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092B" w14:textId="77777777" w:rsidR="00DD002E" w:rsidRPr="004A6040" w:rsidRDefault="00DD002E" w:rsidP="00DD002E">
      <w:pPr>
        <w:pStyle w:val="1-MainHeading"/>
      </w:pPr>
      <w:r>
        <w:t>5</w:t>
      </w:r>
      <w:r w:rsidRPr="00C12C14">
        <w:t>.</w:t>
      </w:r>
      <w:r>
        <w:t>11</w:t>
      </w:r>
      <w:r>
        <w:tab/>
        <w:t>PNEUMOCOCCAL CONJUGATE VACCINE, 15 VALENT ADSORBED</w:t>
      </w:r>
      <w:r>
        <w:br/>
        <w:t>0.5 mL pre-filled syringe,</w:t>
      </w:r>
      <w:r>
        <w:br/>
        <w:t>VAXNEUVANCE</w:t>
      </w:r>
      <w:r w:rsidRPr="004A6040">
        <w:rPr>
          <w:vertAlign w:val="superscript"/>
        </w:rPr>
        <w:t>®</w:t>
      </w:r>
      <w:r w:rsidRPr="004A6040">
        <w:t>,</w:t>
      </w:r>
      <w:r w:rsidRPr="004A6040">
        <w:br/>
      </w:r>
      <w:r>
        <w:t>Merck Sharp &amp; Dohme (Australia) Pty Ltd</w:t>
      </w:r>
      <w:r w:rsidRPr="004A6040">
        <w:t>.</w:t>
      </w:r>
    </w:p>
    <w:p w14:paraId="6428A3DD" w14:textId="77777777" w:rsidR="00DD002E" w:rsidRPr="00407F2D" w:rsidRDefault="00DD002E" w:rsidP="00DD002E">
      <w:pPr>
        <w:pStyle w:val="2-SectionHeading"/>
        <w:numPr>
          <w:ilvl w:val="0"/>
          <w:numId w:val="1"/>
        </w:numPr>
      </w:pPr>
      <w:bookmarkStart w:id="0" w:name="_Toc124765884"/>
      <w:r w:rsidRPr="00407F2D">
        <w:t xml:space="preserve">Purpose of </w:t>
      </w:r>
      <w:r>
        <w:t>submission</w:t>
      </w:r>
      <w:bookmarkEnd w:id="0"/>
    </w:p>
    <w:p w14:paraId="06234F33" w14:textId="77777777" w:rsidR="00DD002E" w:rsidRDefault="00DD002E" w:rsidP="00DD002E">
      <w:pPr>
        <w:pStyle w:val="3-BodyText"/>
      </w:pPr>
      <w:r>
        <w:t xml:space="preserve">The Category 2 submission </w:t>
      </w:r>
      <w:r w:rsidRPr="004E18E9">
        <w:t xml:space="preserve">requested </w:t>
      </w:r>
      <w:r>
        <w:t>National Immunisation Program (NIP)</w:t>
      </w:r>
      <w:r w:rsidRPr="004E18E9">
        <w:t xml:space="preserve"> listing for</w:t>
      </w:r>
      <w:r>
        <w:t xml:space="preserve"> </w:t>
      </w:r>
      <w:r w:rsidRPr="00EE67CF">
        <w:t>15-valent</w:t>
      </w:r>
      <w:r>
        <w:t xml:space="preserve"> </w:t>
      </w:r>
      <w:r w:rsidRPr="00EE67CF">
        <w:t>pneumococcal conjugate vaccine</w:t>
      </w:r>
      <w:r>
        <w:t xml:space="preserve"> (15vPCV)</w:t>
      </w:r>
      <w:r w:rsidRPr="00EE67CF">
        <w:t>,</w:t>
      </w:r>
      <w:r w:rsidRPr="004E18E9">
        <w:t xml:space="preserve"> for </w:t>
      </w:r>
      <w:r>
        <w:t xml:space="preserve">protection against pneumococcal disease in the following paediatric populations:  </w:t>
      </w:r>
    </w:p>
    <w:p w14:paraId="13A1F8F3" w14:textId="5B316CC4" w:rsidR="00DD002E" w:rsidRDefault="00DD002E" w:rsidP="00F31F79">
      <w:pPr>
        <w:pStyle w:val="3-BodyText"/>
        <w:numPr>
          <w:ilvl w:val="0"/>
          <w:numId w:val="7"/>
        </w:numPr>
      </w:pPr>
      <w:r>
        <w:t xml:space="preserve">Non-Indigenous infants and </w:t>
      </w:r>
      <w:r w:rsidRPr="00AA120D">
        <w:t xml:space="preserve">Aboriginal and Torres Strait Islander </w:t>
      </w:r>
      <w:r>
        <w:t xml:space="preserve">infants living in ACT, NSW, Vic and Tas: </w:t>
      </w:r>
      <w:r w:rsidR="000D2B4D">
        <w:t>3</w:t>
      </w:r>
      <w:r>
        <w:t xml:space="preserve"> doses at ages 2, 4 and 12 months (2+1 doses);</w:t>
      </w:r>
    </w:p>
    <w:p w14:paraId="47D83634" w14:textId="77777777" w:rsidR="00DD002E" w:rsidRDefault="00DD002E" w:rsidP="00F31F79">
      <w:pPr>
        <w:pStyle w:val="3-BodyText"/>
        <w:numPr>
          <w:ilvl w:val="0"/>
          <w:numId w:val="7"/>
        </w:numPr>
      </w:pPr>
      <w:r>
        <w:t xml:space="preserve">Infants with specified medical risk conditions and </w:t>
      </w:r>
      <w:r w:rsidRPr="007C6FCD">
        <w:t xml:space="preserve">Aboriginal and Torres Strait Islander </w:t>
      </w:r>
      <w:r>
        <w:t>infants living in WA, NT, SA and Qld: 4 doses at ages 2, 4, 6 and 12 months (3+1 doses);</w:t>
      </w:r>
    </w:p>
    <w:p w14:paraId="4CA43E02" w14:textId="77777777" w:rsidR="00DD002E" w:rsidRDefault="00DD002E" w:rsidP="00F31F79">
      <w:pPr>
        <w:pStyle w:val="3-BodyText"/>
        <w:numPr>
          <w:ilvl w:val="0"/>
          <w:numId w:val="7"/>
        </w:numPr>
      </w:pPr>
      <w:r>
        <w:t xml:space="preserve">Children and adolescents between 12 months and 18 years newly diagnosed with a specified medical risk condition (1 dose); </w:t>
      </w:r>
    </w:p>
    <w:p w14:paraId="53EBB9C1" w14:textId="35E44C6E" w:rsidR="00DD002E" w:rsidRPr="008B1757" w:rsidRDefault="00DD002E" w:rsidP="00F31F79">
      <w:pPr>
        <w:pStyle w:val="3-BodyText"/>
        <w:numPr>
          <w:ilvl w:val="0"/>
          <w:numId w:val="7"/>
        </w:numPr>
      </w:pPr>
      <w:r>
        <w:t xml:space="preserve">Recipients of haematopoietic stem cell transplant (HSCT) aged 12 months to &lt;18 years: </w:t>
      </w:r>
      <w:r w:rsidR="000D2B4D">
        <w:t>3</w:t>
      </w:r>
      <w:r>
        <w:t xml:space="preserve"> doses at 6, 8, and 12 months after HSCT</w:t>
      </w:r>
      <w:r w:rsidR="00E962B0">
        <w:t xml:space="preserve"> (3 doses)</w:t>
      </w:r>
      <w:r>
        <w:t>; these patients would also receive</w:t>
      </w:r>
      <w:r w:rsidRPr="00EE67CF">
        <w:t xml:space="preserve"> 2 doses of</w:t>
      </w:r>
      <w:r>
        <w:t xml:space="preserve"> </w:t>
      </w:r>
      <w:r w:rsidRPr="00AA120D">
        <w:t>23-valent</w:t>
      </w:r>
      <w:r>
        <w:t xml:space="preserve"> </w:t>
      </w:r>
      <w:r w:rsidRPr="00AA120D">
        <w:t>pneumococcal polysaccharide vaccine</w:t>
      </w:r>
      <w:bookmarkStart w:id="1" w:name="_Hlk124256621"/>
      <w:r>
        <w:t xml:space="preserve"> (</w:t>
      </w:r>
      <w:bookmarkEnd w:id="1"/>
      <w:r>
        <w:t>23vPPV)</w:t>
      </w:r>
      <w:r w:rsidRPr="00EE67CF">
        <w:t xml:space="preserve"> (one dose 2</w:t>
      </w:r>
      <w:r w:rsidR="000D2B4D">
        <w:noBreakHyphen/>
      </w:r>
      <w:r w:rsidRPr="00EE67CF">
        <w:t>12 months after</w:t>
      </w:r>
      <w:r>
        <w:t xml:space="preserve"> third</w:t>
      </w:r>
      <w:r w:rsidRPr="00EE67CF">
        <w:t xml:space="preserve"> dose of </w:t>
      </w:r>
      <w:r>
        <w:t>15vPCV</w:t>
      </w:r>
      <w:r w:rsidRPr="00EE67CF">
        <w:t xml:space="preserve"> or at 4 years of age</w:t>
      </w:r>
      <w:r>
        <w:t>,</w:t>
      </w:r>
      <w:r w:rsidRPr="00EE67CF">
        <w:t xml:space="preserve"> whichever is later; </w:t>
      </w:r>
      <w:r>
        <w:t xml:space="preserve">followed by </w:t>
      </w:r>
      <w:r w:rsidRPr="00EE67CF">
        <w:t>a second dose at least 5 years later)</w:t>
      </w:r>
      <w:r>
        <w:t>.</w:t>
      </w:r>
    </w:p>
    <w:p w14:paraId="1541F197" w14:textId="77777777" w:rsidR="00DD002E" w:rsidRPr="0072036F" w:rsidRDefault="00DD002E" w:rsidP="00DD002E">
      <w:pPr>
        <w:pStyle w:val="3-BodyText"/>
      </w:pPr>
      <w:r w:rsidRPr="005750C5">
        <w:t>Listing was requested on the basis of a cost-minimisation</w:t>
      </w:r>
      <w:r>
        <w:t xml:space="preserve"> approach (CMA)</w:t>
      </w:r>
      <w:r w:rsidRPr="005750C5">
        <w:t xml:space="preserve"> versus</w:t>
      </w:r>
      <w:r>
        <w:t xml:space="preserve"> </w:t>
      </w:r>
      <w:r w:rsidRPr="00EE67CF">
        <w:t>1</w:t>
      </w:r>
      <w:r>
        <w:t>3</w:t>
      </w:r>
      <w:r w:rsidRPr="00EE67CF">
        <w:t>-valent pneumococcal conjugate vaccine</w:t>
      </w:r>
      <w:r>
        <w:t xml:space="preserve"> (13vPCV).</w:t>
      </w:r>
      <w:r w:rsidRPr="00696F51">
        <w:rPr>
          <w:color w:val="0066FF"/>
        </w:rPr>
        <w:t xml:space="preserve"> </w:t>
      </w:r>
    </w:p>
    <w:p w14:paraId="2A42AB7D" w14:textId="77777777" w:rsidR="00541AFD" w:rsidRPr="00541AFD" w:rsidRDefault="00DD002E" w:rsidP="00DD002E">
      <w:pPr>
        <w:pStyle w:val="3-BodyText"/>
      </w:pPr>
      <w:r>
        <w:t>The Australian Technical Advisory Group on Immunisation (ATAGI) pre-submission advice to the PBAC on this product was provided on September 1, 2022.</w:t>
      </w:r>
      <w:r w:rsidRPr="00696F51">
        <w:rPr>
          <w:color w:val="0066FF"/>
        </w:rPr>
        <w:t xml:space="preserve"> </w:t>
      </w:r>
    </w:p>
    <w:p w14:paraId="1DDDE47B" w14:textId="50E16E9E" w:rsidR="00DD002E" w:rsidRPr="004B3E62" w:rsidRDefault="00DD002E" w:rsidP="00DD002E">
      <w:pPr>
        <w:pStyle w:val="3-BodyText"/>
      </w:pPr>
      <w:r>
        <w:rPr>
          <w:color w:val="0066FF"/>
        </w:rPr>
        <w:fldChar w:fldCharType="begin"/>
      </w:r>
      <w:r>
        <w:rPr>
          <w:color w:val="0066FF"/>
        </w:rPr>
        <w:instrText xml:space="preserve"> REF _Ref124258727 \h </w:instrText>
      </w:r>
      <w:r>
        <w:rPr>
          <w:color w:val="0066FF"/>
        </w:rPr>
      </w:r>
      <w:r>
        <w:rPr>
          <w:color w:val="0066FF"/>
        </w:rPr>
        <w:fldChar w:fldCharType="separate"/>
      </w:r>
      <w:r w:rsidR="009E7289">
        <w:t xml:space="preserve">Table </w:t>
      </w:r>
      <w:r w:rsidR="009E7289">
        <w:rPr>
          <w:noProof/>
        </w:rPr>
        <w:t>1</w:t>
      </w:r>
      <w:r>
        <w:rPr>
          <w:color w:val="0066FF"/>
        </w:rPr>
        <w:fldChar w:fldCharType="end"/>
      </w:r>
      <w:r>
        <w:rPr>
          <w:color w:val="0066FF"/>
        </w:rPr>
        <w:t xml:space="preserve"> </w:t>
      </w:r>
      <w:r w:rsidRPr="004B3E62">
        <w:t>shows the key components addressed by the submission.</w:t>
      </w:r>
    </w:p>
    <w:p w14:paraId="6493061E" w14:textId="5BFD9031" w:rsidR="00DD002E" w:rsidRDefault="00DD002E" w:rsidP="00554984">
      <w:pPr>
        <w:pStyle w:val="TableFigureHeading"/>
        <w:widowControl w:val="0"/>
        <w:rPr>
          <w:rStyle w:val="CommentReference"/>
          <w:b/>
          <w:szCs w:val="24"/>
        </w:rPr>
      </w:pPr>
      <w:bookmarkStart w:id="2" w:name="_Ref124258727"/>
      <w:r>
        <w:t xml:space="preserve">Table </w:t>
      </w:r>
      <w:r w:rsidR="009E7289">
        <w:fldChar w:fldCharType="begin"/>
      </w:r>
      <w:r w:rsidR="009E7289">
        <w:instrText xml:space="preserve"> SEQ Table \* ARABIC </w:instrText>
      </w:r>
      <w:r w:rsidR="009E7289">
        <w:fldChar w:fldCharType="separate"/>
      </w:r>
      <w:r w:rsidR="009E7289">
        <w:rPr>
          <w:noProof/>
        </w:rPr>
        <w:t>1</w:t>
      </w:r>
      <w:r w:rsidR="009E7289">
        <w:rPr>
          <w:noProof/>
        </w:rPr>
        <w:fldChar w:fldCharType="end"/>
      </w:r>
      <w:bookmarkEnd w:id="2"/>
      <w:r>
        <w:t>:</w:t>
      </w:r>
      <w:r w:rsidRPr="004A6040">
        <w:rPr>
          <w:rStyle w:val="CommentReference"/>
          <w:b/>
          <w:szCs w:val="24"/>
        </w:rPr>
        <w:t xml:space="preserve"> Key components of the clinical issue addressed by the submission (as stated in the </w:t>
      </w:r>
      <w:r w:rsidRPr="004A6040">
        <w:rPr>
          <w:rStyle w:val="CommentReference"/>
          <w:b/>
          <w:szCs w:val="24"/>
        </w:rPr>
        <w:lastRenderedPageBreak/>
        <w:t>submission)</w:t>
      </w:r>
    </w:p>
    <w:tbl>
      <w:tblPr>
        <w:tblStyle w:val="Summarybox2"/>
        <w:tblW w:w="5000" w:type="pct"/>
        <w:tblLook w:val="04A0" w:firstRow="1" w:lastRow="0" w:firstColumn="1" w:lastColumn="0" w:noHBand="0" w:noVBand="1"/>
      </w:tblPr>
      <w:tblGrid>
        <w:gridCol w:w="1129"/>
        <w:gridCol w:w="7888"/>
      </w:tblGrid>
      <w:tr w:rsidR="00DD002E" w:rsidRPr="00EE67CF" w14:paraId="2BA5CDBE" w14:textId="77777777" w:rsidTr="00632A30">
        <w:trPr>
          <w:trHeight w:val="300"/>
        </w:trPr>
        <w:tc>
          <w:tcPr>
            <w:tcW w:w="626" w:type="pct"/>
          </w:tcPr>
          <w:p w14:paraId="775E9904" w14:textId="77777777" w:rsidR="00DD002E" w:rsidRPr="006D2492" w:rsidRDefault="00DD002E" w:rsidP="00554984">
            <w:pPr>
              <w:pStyle w:val="In-tableHeading"/>
              <w:widowControl w:val="0"/>
              <w:rPr>
                <w:sz w:val="20"/>
                <w:szCs w:val="20"/>
              </w:rPr>
            </w:pPr>
            <w:r w:rsidRPr="006D2492">
              <w:rPr>
                <w:sz w:val="20"/>
                <w:szCs w:val="20"/>
              </w:rPr>
              <w:t xml:space="preserve">Component </w:t>
            </w:r>
          </w:p>
        </w:tc>
        <w:tc>
          <w:tcPr>
            <w:tcW w:w="4374" w:type="pct"/>
          </w:tcPr>
          <w:p w14:paraId="032132C8" w14:textId="77777777" w:rsidR="00DD002E" w:rsidRPr="006D2492" w:rsidRDefault="00DD002E" w:rsidP="00554984">
            <w:pPr>
              <w:pStyle w:val="In-tableHeading"/>
              <w:widowControl w:val="0"/>
              <w:rPr>
                <w:sz w:val="20"/>
                <w:szCs w:val="20"/>
              </w:rPr>
            </w:pPr>
            <w:r w:rsidRPr="006D2492">
              <w:rPr>
                <w:sz w:val="20"/>
                <w:szCs w:val="20"/>
              </w:rPr>
              <w:t xml:space="preserve">Description </w:t>
            </w:r>
          </w:p>
        </w:tc>
      </w:tr>
      <w:tr w:rsidR="00DD002E" w:rsidRPr="00EE67CF" w14:paraId="1A65D116" w14:textId="77777777" w:rsidTr="00632A30">
        <w:trPr>
          <w:trHeight w:val="698"/>
        </w:trPr>
        <w:tc>
          <w:tcPr>
            <w:tcW w:w="626" w:type="pct"/>
          </w:tcPr>
          <w:p w14:paraId="12D2B683" w14:textId="77777777" w:rsidR="00DD002E" w:rsidRPr="00EE67CF" w:rsidRDefault="00DD002E" w:rsidP="00554984">
            <w:pPr>
              <w:pStyle w:val="PBACTableText"/>
              <w:keepNext/>
              <w:widowControl w:val="0"/>
            </w:pPr>
            <w:r w:rsidRPr="00EE67CF">
              <w:t xml:space="preserve">Population </w:t>
            </w:r>
          </w:p>
        </w:tc>
        <w:tc>
          <w:tcPr>
            <w:tcW w:w="4374" w:type="pct"/>
          </w:tcPr>
          <w:p w14:paraId="38B08AD2" w14:textId="22CC32DE" w:rsidR="00DD002E" w:rsidRPr="00EE67CF" w:rsidRDefault="007B27F3" w:rsidP="00554984">
            <w:pPr>
              <w:pStyle w:val="PBACTableText"/>
              <w:keepNext/>
              <w:widowControl w:val="0"/>
            </w:pPr>
            <w:r>
              <w:t>The submission</w:t>
            </w:r>
            <w:r w:rsidRPr="00EE67CF">
              <w:t xml:space="preserve"> </w:t>
            </w:r>
            <w:r w:rsidR="00DD002E" w:rsidRPr="00EE67CF">
              <w:t xml:space="preserve">is requesting the same listing as </w:t>
            </w:r>
            <w:r w:rsidR="00DD002E">
              <w:t>13vPCV</w:t>
            </w:r>
            <w:r w:rsidR="00DD002E" w:rsidRPr="00EE67CF">
              <w:t xml:space="preserve"> in infant, children and adolescent populations: </w:t>
            </w:r>
          </w:p>
          <w:p w14:paraId="67CA5BD9" w14:textId="77777777" w:rsidR="00DD002E" w:rsidRPr="00EE67CF" w:rsidRDefault="00DD002E" w:rsidP="00554984">
            <w:pPr>
              <w:pStyle w:val="PBACTableText"/>
              <w:keepNext/>
              <w:widowControl w:val="0"/>
              <w:numPr>
                <w:ilvl w:val="0"/>
                <w:numId w:val="16"/>
              </w:numPr>
              <w:spacing w:after="120"/>
              <w:ind w:left="316" w:hanging="284"/>
            </w:pPr>
            <w:r w:rsidRPr="00EE67CF">
              <w:t>Non Indigenous infants and Indigenous infants living in ACT, NSW, Vic and Tas, three doses at ages 2, 4 and 12 months</w:t>
            </w:r>
          </w:p>
          <w:p w14:paraId="5932918F" w14:textId="77777777" w:rsidR="00DD002E" w:rsidRPr="00EE67CF" w:rsidRDefault="00DD002E" w:rsidP="00554984">
            <w:pPr>
              <w:pStyle w:val="PBACTableText"/>
              <w:keepNext/>
              <w:widowControl w:val="0"/>
              <w:numPr>
                <w:ilvl w:val="0"/>
                <w:numId w:val="16"/>
              </w:numPr>
              <w:spacing w:after="120"/>
              <w:ind w:left="316" w:hanging="284"/>
            </w:pPr>
            <w:r w:rsidRPr="00EE67CF">
              <w:t xml:space="preserve">Infants with specified medical risk conditions and Indigenous infants living in WA, NT, SA and </w:t>
            </w:r>
            <w:r>
              <w:t>Qld</w:t>
            </w:r>
            <w:r w:rsidRPr="00EE67CF">
              <w:t>, 4 doses at ages 2,</w:t>
            </w:r>
            <w:r>
              <w:t xml:space="preserve"> </w:t>
            </w:r>
            <w:r w:rsidRPr="00EE67CF">
              <w:t>4,</w:t>
            </w:r>
            <w:r>
              <w:t xml:space="preserve"> </w:t>
            </w:r>
            <w:r w:rsidRPr="00EE67CF">
              <w:t xml:space="preserve">6 and 12 months, followed by two doses of </w:t>
            </w:r>
            <w:r>
              <w:t>23vPPV</w:t>
            </w:r>
            <w:r w:rsidRPr="00EE67CF">
              <w:t xml:space="preserve"> at 4 years and then 5 years later</w:t>
            </w:r>
          </w:p>
          <w:p w14:paraId="04071337" w14:textId="77777777" w:rsidR="00DD002E" w:rsidRPr="00EE67CF" w:rsidRDefault="00DD002E" w:rsidP="00554984">
            <w:pPr>
              <w:pStyle w:val="PBACTableText"/>
              <w:keepNext/>
              <w:widowControl w:val="0"/>
              <w:numPr>
                <w:ilvl w:val="0"/>
                <w:numId w:val="16"/>
              </w:numPr>
              <w:spacing w:after="120"/>
              <w:ind w:left="316" w:hanging="284"/>
            </w:pPr>
            <w:r w:rsidRPr="00EE67CF">
              <w:t>Children and adolescents between 12 months and 18 years newly diagnosed with a specified medical risk condition</w:t>
            </w:r>
            <w:r>
              <w:t>,</w:t>
            </w:r>
            <w:r w:rsidRPr="00EE67CF">
              <w:t xml:space="preserve"> 1 dose followed by two doses of </w:t>
            </w:r>
            <w:r>
              <w:t>23vPPV</w:t>
            </w:r>
            <w:r w:rsidRPr="00EE67CF">
              <w:t>, 2-12 months later or at 4 years, then 5 years later.</w:t>
            </w:r>
          </w:p>
          <w:p w14:paraId="1E78C68D" w14:textId="77777777" w:rsidR="00DD002E" w:rsidRPr="00EE67CF" w:rsidRDefault="00DD002E" w:rsidP="00554984">
            <w:pPr>
              <w:pStyle w:val="PBACTableText"/>
              <w:keepNext/>
              <w:widowControl w:val="0"/>
              <w:numPr>
                <w:ilvl w:val="0"/>
                <w:numId w:val="16"/>
              </w:numPr>
              <w:ind w:left="316" w:hanging="284"/>
            </w:pPr>
            <w:r w:rsidRPr="00EE67CF">
              <w:t xml:space="preserve">Recipients of HSCT recipients aged 12 months to &lt;18 years, 3 doses of </w:t>
            </w:r>
            <w:r>
              <w:t>15vPCV</w:t>
            </w:r>
            <w:r w:rsidRPr="00EE67CF">
              <w:t xml:space="preserve"> at 6, 8, and 12 months after HSCT and 2 doses of </w:t>
            </w:r>
            <w:r>
              <w:t>23vPPV</w:t>
            </w:r>
            <w:r w:rsidRPr="00EE67CF">
              <w:t xml:space="preserve"> (one dose 2-12 months after 3</w:t>
            </w:r>
            <w:r w:rsidRPr="00EE67CF">
              <w:rPr>
                <w:vertAlign w:val="superscript"/>
              </w:rPr>
              <w:t>rd</w:t>
            </w:r>
            <w:r w:rsidRPr="00EE67CF">
              <w:t xml:space="preserve"> dose of </w:t>
            </w:r>
            <w:r>
              <w:t>15vPCV</w:t>
            </w:r>
            <w:r w:rsidRPr="00EE67CF">
              <w:t xml:space="preserve"> or at 4 years of age whichever is later; a second dose at least 5 years later) </w:t>
            </w:r>
          </w:p>
        </w:tc>
      </w:tr>
      <w:tr w:rsidR="00DD002E" w:rsidRPr="00EE67CF" w14:paraId="0F3FCEAF" w14:textId="77777777" w:rsidTr="00632A30">
        <w:trPr>
          <w:trHeight w:val="698"/>
        </w:trPr>
        <w:tc>
          <w:tcPr>
            <w:tcW w:w="626" w:type="pct"/>
          </w:tcPr>
          <w:p w14:paraId="4F1305DE" w14:textId="77777777" w:rsidR="00DD002E" w:rsidRPr="00EE67CF" w:rsidRDefault="00DD002E" w:rsidP="00554984">
            <w:pPr>
              <w:pStyle w:val="PBACTableText"/>
              <w:keepNext/>
              <w:widowControl w:val="0"/>
            </w:pPr>
            <w:r w:rsidRPr="00EE67CF">
              <w:t xml:space="preserve">Intervention </w:t>
            </w:r>
          </w:p>
        </w:tc>
        <w:tc>
          <w:tcPr>
            <w:tcW w:w="4374" w:type="pct"/>
          </w:tcPr>
          <w:p w14:paraId="27D4FD6D" w14:textId="48E7C3D4" w:rsidR="00DD002E" w:rsidRPr="00EE67CF" w:rsidRDefault="00DD002E" w:rsidP="00554984">
            <w:pPr>
              <w:pStyle w:val="PBACTableText"/>
              <w:keepNext/>
              <w:widowControl w:val="0"/>
              <w:spacing w:after="120"/>
            </w:pPr>
            <w:r>
              <w:t>Each dose is an</w:t>
            </w:r>
            <w:r w:rsidRPr="00EE67CF">
              <w:t xml:space="preserve"> intramuscular dose of </w:t>
            </w:r>
            <w:r>
              <w:t>15vPCV</w:t>
            </w:r>
            <w:r w:rsidRPr="00EE67CF">
              <w:t xml:space="preserve"> 0.5</w:t>
            </w:r>
            <w:r w:rsidR="00541AFD">
              <w:t xml:space="preserve"> </w:t>
            </w:r>
            <w:r w:rsidRPr="00EE67CF">
              <w:t>m</w:t>
            </w:r>
            <w:r w:rsidR="00541AFD">
              <w:t>L</w:t>
            </w:r>
            <w:r w:rsidRPr="00EE67CF">
              <w:t>.</w:t>
            </w:r>
          </w:p>
          <w:p w14:paraId="310B0807" w14:textId="77777777" w:rsidR="00DD002E" w:rsidRPr="00EE67CF" w:rsidRDefault="00DD002E" w:rsidP="00554984">
            <w:pPr>
              <w:pStyle w:val="PBACTableText"/>
              <w:keepNext/>
              <w:widowControl w:val="0"/>
            </w:pPr>
            <w:r>
              <w:t>15vPCV</w:t>
            </w:r>
            <w:r w:rsidRPr="00EE67CF">
              <w:t xml:space="preserve"> is a 15-valent pneumococcal conjugate vaccine which includes serotype-specific capsular polysaccharides included in </w:t>
            </w:r>
            <w:r>
              <w:t>13vPCV</w:t>
            </w:r>
            <w:r w:rsidRPr="00EE67CF">
              <w:t>, plus two additional serotypes</w:t>
            </w:r>
            <w:r>
              <w:t>,</w:t>
            </w:r>
            <w:r w:rsidRPr="00EE67CF">
              <w:t xml:space="preserve"> 22F and 33F, each conjugated to a non-toxic fragment of the diphtheria toxin (CRM197 protein).</w:t>
            </w:r>
          </w:p>
        </w:tc>
      </w:tr>
      <w:tr w:rsidR="00DD002E" w:rsidRPr="00EE67CF" w14:paraId="0738982F" w14:textId="77777777" w:rsidTr="00632A30">
        <w:trPr>
          <w:trHeight w:val="698"/>
        </w:trPr>
        <w:tc>
          <w:tcPr>
            <w:tcW w:w="626" w:type="pct"/>
          </w:tcPr>
          <w:p w14:paraId="1DE8D6C2" w14:textId="77777777" w:rsidR="00DD002E" w:rsidRPr="00EE67CF" w:rsidRDefault="00DD002E" w:rsidP="00554984">
            <w:pPr>
              <w:pStyle w:val="PBACTableText"/>
              <w:keepNext/>
              <w:widowControl w:val="0"/>
            </w:pPr>
            <w:r w:rsidRPr="00EE67CF">
              <w:t xml:space="preserve">Comparator </w:t>
            </w:r>
          </w:p>
        </w:tc>
        <w:tc>
          <w:tcPr>
            <w:tcW w:w="4374" w:type="pct"/>
          </w:tcPr>
          <w:p w14:paraId="08839963" w14:textId="77777777" w:rsidR="00DD002E" w:rsidRPr="00EE67CF" w:rsidRDefault="00DD002E" w:rsidP="00554984">
            <w:pPr>
              <w:pStyle w:val="PBACTableText"/>
              <w:keepNext/>
              <w:widowControl w:val="0"/>
              <w:spacing w:after="120"/>
            </w:pPr>
            <w:r w:rsidRPr="00EE67CF">
              <w:t xml:space="preserve">Main comparator: </w:t>
            </w:r>
            <w:r>
              <w:t>13vPCV</w:t>
            </w:r>
            <w:r w:rsidRPr="00EE67CF">
              <w:t xml:space="preserve"> is currently on the NIP for </w:t>
            </w:r>
            <w:r w:rsidRPr="00EE67CF">
              <w:rPr>
                <w:u w:val="single"/>
              </w:rPr>
              <w:t>all</w:t>
            </w:r>
            <w:r w:rsidRPr="00E95986">
              <w:t xml:space="preserve"> </w:t>
            </w:r>
            <w:r w:rsidRPr="00EE67CF">
              <w:t xml:space="preserve">requested populations outlined in the population section.  </w:t>
            </w:r>
          </w:p>
          <w:p w14:paraId="3BA01453" w14:textId="77777777" w:rsidR="00DD002E" w:rsidRPr="00EE67CF" w:rsidRDefault="00DD002E" w:rsidP="00554984">
            <w:pPr>
              <w:pStyle w:val="PBACTableText"/>
              <w:keepNext/>
              <w:widowControl w:val="0"/>
            </w:pPr>
            <w:r w:rsidRPr="00EE67CF">
              <w:t xml:space="preserve">It is expected that </w:t>
            </w:r>
            <w:r>
              <w:t>23vPPV</w:t>
            </w:r>
            <w:r w:rsidRPr="00EE67CF">
              <w:t xml:space="preserve"> administration in the Indigenous and medically at-risk populations would remain the same </w:t>
            </w:r>
          </w:p>
        </w:tc>
      </w:tr>
      <w:tr w:rsidR="00DD002E" w:rsidRPr="00EE67CF" w14:paraId="35B7CAB9" w14:textId="77777777" w:rsidTr="00632A30">
        <w:trPr>
          <w:trHeight w:val="87"/>
        </w:trPr>
        <w:tc>
          <w:tcPr>
            <w:tcW w:w="626" w:type="pct"/>
          </w:tcPr>
          <w:p w14:paraId="2133095C" w14:textId="77777777" w:rsidR="00DD002E" w:rsidRPr="00EE67CF" w:rsidRDefault="00DD002E" w:rsidP="00554984">
            <w:pPr>
              <w:pStyle w:val="PBACTableText"/>
              <w:keepNext/>
              <w:widowControl w:val="0"/>
            </w:pPr>
            <w:r w:rsidRPr="00EE67CF">
              <w:t xml:space="preserve">Outcomes </w:t>
            </w:r>
          </w:p>
        </w:tc>
        <w:tc>
          <w:tcPr>
            <w:tcW w:w="4374" w:type="pct"/>
          </w:tcPr>
          <w:p w14:paraId="3DFAD06F" w14:textId="77777777" w:rsidR="00DD002E" w:rsidRPr="00EE67CF" w:rsidRDefault="00DD002E" w:rsidP="00554984">
            <w:pPr>
              <w:pStyle w:val="PBACTableText"/>
              <w:keepNext/>
              <w:widowControl w:val="0"/>
            </w:pPr>
            <w:r w:rsidRPr="00EE67CF">
              <w:t>For all requested populations, the endpoints are:</w:t>
            </w:r>
          </w:p>
          <w:p w14:paraId="5A1B0D23" w14:textId="77777777" w:rsidR="00DD002E" w:rsidRPr="00EE67CF" w:rsidRDefault="00DD002E" w:rsidP="00554984">
            <w:pPr>
              <w:pStyle w:val="PBACTableText"/>
              <w:keepNext/>
              <w:widowControl w:val="0"/>
            </w:pPr>
            <w:r>
              <w:t xml:space="preserve">- </w:t>
            </w:r>
            <w:r w:rsidRPr="00EE67CF">
              <w:t xml:space="preserve">Immunogenicity: </w:t>
            </w:r>
          </w:p>
          <w:p w14:paraId="5AD3D73F" w14:textId="77777777" w:rsidR="00DD002E" w:rsidRPr="00EE67CF" w:rsidRDefault="00DD002E" w:rsidP="00554984">
            <w:pPr>
              <w:pStyle w:val="PBACTableText"/>
              <w:keepNext/>
              <w:widowControl w:val="0"/>
              <w:ind w:left="720"/>
            </w:pPr>
            <w:r>
              <w:t>- the p</w:t>
            </w:r>
            <w:r w:rsidRPr="00EE67CF">
              <w:t>roportion of participants meeting serotype-specific IgG threshold value of ≥0.35</w:t>
            </w:r>
            <w:r>
              <w:t> </w:t>
            </w:r>
            <w:r w:rsidRPr="00EE67CF">
              <w:t>µg/m</w:t>
            </w:r>
            <w:r>
              <w:t>L</w:t>
            </w:r>
            <w:r w:rsidRPr="00EE67CF">
              <w:t xml:space="preserve"> 30 days following the toddler dose for </w:t>
            </w:r>
            <w:r>
              <w:t>15vPCV</w:t>
            </w:r>
            <w:r w:rsidRPr="00EE67CF">
              <w:t xml:space="preserve"> compared to </w:t>
            </w:r>
            <w:r>
              <w:t>13vPCV</w:t>
            </w:r>
          </w:p>
          <w:p w14:paraId="0BF57C6F" w14:textId="77777777" w:rsidR="00DD002E" w:rsidRPr="00EE67CF" w:rsidRDefault="00DD002E" w:rsidP="00554984">
            <w:pPr>
              <w:pStyle w:val="PBACTableText"/>
              <w:keepNext/>
              <w:widowControl w:val="0"/>
              <w:ind w:left="720"/>
            </w:pPr>
            <w:r>
              <w:t>- s</w:t>
            </w:r>
            <w:r w:rsidRPr="00EE67CF">
              <w:t xml:space="preserve">erotype-specific IgG GMCs at 30 days following the toddler dose, measured by GMC ratio of </w:t>
            </w:r>
            <w:r>
              <w:t>15vPCV</w:t>
            </w:r>
            <w:r w:rsidRPr="00EE67CF">
              <w:t xml:space="preserve"> to </w:t>
            </w:r>
            <w:r>
              <w:t>13vPCV</w:t>
            </w:r>
          </w:p>
          <w:p w14:paraId="63B35B0E" w14:textId="77777777" w:rsidR="00DD002E" w:rsidRPr="00EE67CF" w:rsidRDefault="00DD002E" w:rsidP="00554984">
            <w:pPr>
              <w:pStyle w:val="PBACTableText"/>
              <w:keepNext/>
              <w:widowControl w:val="0"/>
            </w:pPr>
            <w:r>
              <w:t xml:space="preserve">- </w:t>
            </w:r>
            <w:r w:rsidRPr="00EE67CF">
              <w:t xml:space="preserve">Safety: </w:t>
            </w:r>
          </w:p>
          <w:p w14:paraId="72B912C8" w14:textId="77777777" w:rsidR="00DD002E" w:rsidRPr="00EE67CF" w:rsidRDefault="00DD002E" w:rsidP="00554984">
            <w:pPr>
              <w:pStyle w:val="PBACTableText"/>
              <w:keepNext/>
              <w:widowControl w:val="0"/>
              <w:ind w:left="720"/>
            </w:pPr>
            <w:r>
              <w:t>- s</w:t>
            </w:r>
            <w:r w:rsidRPr="00EE67CF">
              <w:t xml:space="preserve">olicited </w:t>
            </w:r>
            <w:r>
              <w:t>i</w:t>
            </w:r>
            <w:r w:rsidRPr="00EE67CF">
              <w:t>njection site reactions day 1-14 post vaccination</w:t>
            </w:r>
            <w:r>
              <w:t>;</w:t>
            </w:r>
          </w:p>
          <w:p w14:paraId="411275AC" w14:textId="77777777" w:rsidR="00DD002E" w:rsidRPr="00EE67CF" w:rsidRDefault="00DD002E" w:rsidP="00554984">
            <w:pPr>
              <w:pStyle w:val="PBACTableText"/>
              <w:keepNext/>
              <w:widowControl w:val="0"/>
              <w:ind w:left="720"/>
            </w:pPr>
            <w:r>
              <w:t>- s</w:t>
            </w:r>
            <w:r w:rsidRPr="00EE67CF">
              <w:t xml:space="preserve">olicited systemic AEs from </w:t>
            </w:r>
            <w:r>
              <w:t>d</w:t>
            </w:r>
            <w:r w:rsidRPr="00EE67CF">
              <w:t>ay 1</w:t>
            </w:r>
            <w:r>
              <w:t>-</w:t>
            </w:r>
            <w:r w:rsidRPr="00EE67CF">
              <w:t>14 post vaccination</w:t>
            </w:r>
            <w:r>
              <w:t>;</w:t>
            </w:r>
          </w:p>
          <w:p w14:paraId="7C391A6D" w14:textId="77777777" w:rsidR="00DD002E" w:rsidRPr="00EE67CF" w:rsidRDefault="00DD002E" w:rsidP="00554984">
            <w:pPr>
              <w:pStyle w:val="PBACTableText"/>
              <w:keepNext/>
              <w:widowControl w:val="0"/>
              <w:ind w:left="720"/>
            </w:pPr>
            <w:r>
              <w:t>- v</w:t>
            </w:r>
            <w:r w:rsidRPr="00EE67CF">
              <w:t>accine-related serious adverse events from day 1 to study completion</w:t>
            </w:r>
            <w:r>
              <w:t>.</w:t>
            </w:r>
          </w:p>
        </w:tc>
      </w:tr>
      <w:tr w:rsidR="00DD002E" w:rsidRPr="00EE67CF" w14:paraId="1E00564C" w14:textId="77777777" w:rsidTr="00632A30">
        <w:trPr>
          <w:trHeight w:val="544"/>
        </w:trPr>
        <w:tc>
          <w:tcPr>
            <w:tcW w:w="626" w:type="pct"/>
          </w:tcPr>
          <w:p w14:paraId="66E8F040" w14:textId="77777777" w:rsidR="00DD002E" w:rsidRPr="00EE67CF" w:rsidRDefault="00DD002E" w:rsidP="00554984">
            <w:pPr>
              <w:pStyle w:val="PBACTableText"/>
              <w:keepNext/>
              <w:widowControl w:val="0"/>
            </w:pPr>
            <w:r w:rsidRPr="00EE67CF">
              <w:t xml:space="preserve">Clinical claim </w:t>
            </w:r>
          </w:p>
        </w:tc>
        <w:tc>
          <w:tcPr>
            <w:tcW w:w="4374" w:type="pct"/>
          </w:tcPr>
          <w:p w14:paraId="1155A750" w14:textId="7E5086DC" w:rsidR="00DD002E" w:rsidRPr="00EE67CF" w:rsidRDefault="00DD002E" w:rsidP="00554984">
            <w:pPr>
              <w:pStyle w:val="PBACTableText"/>
              <w:keepNext/>
              <w:widowControl w:val="0"/>
            </w:pPr>
            <w:r w:rsidRPr="00EE67CF">
              <w:t>In the paediatric and adolescent populations aged &lt;18</w:t>
            </w:r>
            <w:r w:rsidR="00863232">
              <w:t xml:space="preserve"> years</w:t>
            </w:r>
            <w:r w:rsidRPr="00EE67CF">
              <w:t xml:space="preserve"> currently eligible for </w:t>
            </w:r>
            <w:r>
              <w:t>13vPCV</w:t>
            </w:r>
            <w:r w:rsidRPr="00EE67CF">
              <w:t xml:space="preserve"> vaccination on the NIP, </w:t>
            </w:r>
            <w:r>
              <w:t>15vPCV</w:t>
            </w:r>
            <w:r w:rsidRPr="00EE67CF">
              <w:t xml:space="preserve"> is non-inferior in terms of comparative immunogenicity for 12 of the 13 shared serotypes, has an increased immune response for serotype 3</w:t>
            </w:r>
            <w:r w:rsidR="00863232">
              <w:t>,</w:t>
            </w:r>
            <w:r w:rsidRPr="00EE67CF">
              <w:t xml:space="preserve"> and a superior immune response for unique serotypes, 22F and 33F. </w:t>
            </w:r>
            <w:r>
              <w:t>15vPCV</w:t>
            </w:r>
            <w:r w:rsidRPr="00EE67CF">
              <w:t xml:space="preserve"> is non-inferior to </w:t>
            </w:r>
            <w:r>
              <w:t>13vPCV</w:t>
            </w:r>
            <w:r w:rsidRPr="00EE67CF">
              <w:t xml:space="preserve"> in terms of safety</w:t>
            </w:r>
            <w:r>
              <w:t xml:space="preserve">. </w:t>
            </w:r>
          </w:p>
        </w:tc>
      </w:tr>
    </w:tbl>
    <w:p w14:paraId="0DFB57DC" w14:textId="77777777" w:rsidR="00DD002E" w:rsidRPr="004A6040" w:rsidRDefault="00DD002E" w:rsidP="00554984">
      <w:pPr>
        <w:pStyle w:val="FooterTableFigure"/>
        <w:keepNext/>
        <w:widowControl w:val="0"/>
        <w:rPr>
          <w:sz w:val="20"/>
        </w:rPr>
      </w:pPr>
      <w:r>
        <w:t xml:space="preserve">Source: Table 1.1.3, pp9-10 </w:t>
      </w:r>
      <w:r w:rsidRPr="00D13A3E">
        <w:t xml:space="preserve">of the </w:t>
      </w:r>
      <w:r>
        <w:t>submission.</w:t>
      </w:r>
    </w:p>
    <w:p w14:paraId="7E6659E0" w14:textId="1F37E604" w:rsidR="00DD002E" w:rsidRDefault="00DD002E" w:rsidP="00554984">
      <w:pPr>
        <w:pStyle w:val="FooterTableFigure"/>
        <w:widowControl w:val="0"/>
        <w:spacing w:after="0"/>
      </w:pPr>
      <w:r>
        <w:t>GMC = g</w:t>
      </w:r>
      <w:r w:rsidRPr="00EE67CF">
        <w:t>eometric mean concentration</w:t>
      </w:r>
      <w:r>
        <w:t>;</w:t>
      </w:r>
      <w:r w:rsidRPr="00EE67CF">
        <w:t xml:space="preserve"> </w:t>
      </w:r>
      <w:r>
        <w:t xml:space="preserve">HSCT = </w:t>
      </w:r>
      <w:r w:rsidRPr="007C6FCD">
        <w:t>haematopoietic stem cell transplant</w:t>
      </w:r>
      <w:r>
        <w:t>;</w:t>
      </w:r>
      <w:r w:rsidRPr="007C6FCD">
        <w:t xml:space="preserve"> </w:t>
      </w:r>
      <w:r>
        <w:t xml:space="preserve">NIP = National Immunisation Program; 13vPCV = </w:t>
      </w:r>
      <w:r w:rsidR="00863232" w:rsidRPr="00EE67CF">
        <w:t>1</w:t>
      </w:r>
      <w:r w:rsidR="00863232">
        <w:t>3</w:t>
      </w:r>
      <w:r w:rsidR="00863232" w:rsidRPr="00EE67CF">
        <w:t xml:space="preserve">-valent </w:t>
      </w:r>
      <w:r w:rsidRPr="00EE67CF">
        <w:t>pneumococcal conjugate vaccine</w:t>
      </w:r>
      <w:r>
        <w:t xml:space="preserve">; 15vPCV = </w:t>
      </w:r>
      <w:r w:rsidR="00541AFD" w:rsidRPr="00EE67CF">
        <w:t xml:space="preserve">15-valent </w:t>
      </w:r>
      <w:r w:rsidRPr="00EE67CF">
        <w:t>pneumococcal conjugate vaccine</w:t>
      </w:r>
      <w:r>
        <w:t xml:space="preserve">; 23vPPV = </w:t>
      </w:r>
      <w:r w:rsidRPr="00AA120D">
        <w:t>23-valent pneumococcal</w:t>
      </w:r>
      <w:r>
        <w:t xml:space="preserve"> </w:t>
      </w:r>
      <w:bookmarkStart w:id="3" w:name="_Toc124765885"/>
      <w:r w:rsidR="00541AFD">
        <w:t>polysaccharide vaccine.</w:t>
      </w:r>
    </w:p>
    <w:p w14:paraId="3792E71A" w14:textId="77777777" w:rsidR="00DD002E" w:rsidRPr="004D6EC8" w:rsidRDefault="00DD002E" w:rsidP="00554984">
      <w:pPr>
        <w:pStyle w:val="2-SectionHeading"/>
        <w:keepNext w:val="0"/>
        <w:numPr>
          <w:ilvl w:val="0"/>
          <w:numId w:val="1"/>
        </w:numPr>
      </w:pPr>
      <w:r w:rsidRPr="004D6EC8">
        <w:t>Background</w:t>
      </w:r>
      <w:bookmarkEnd w:id="3"/>
    </w:p>
    <w:p w14:paraId="19B8ACAF" w14:textId="77777777" w:rsidR="00DD002E" w:rsidRPr="004151CF" w:rsidRDefault="00DD002E" w:rsidP="00554984">
      <w:pPr>
        <w:pStyle w:val="4-SubsectionHeading"/>
        <w:keepNext w:val="0"/>
        <w:keepLines/>
      </w:pPr>
      <w:bookmarkStart w:id="4" w:name="_Toc22897638"/>
      <w:bookmarkStart w:id="5" w:name="_Toc124765886"/>
      <w:r w:rsidRPr="004151CF">
        <w:t>Registration status</w:t>
      </w:r>
      <w:bookmarkEnd w:id="4"/>
      <w:bookmarkEnd w:id="5"/>
    </w:p>
    <w:p w14:paraId="1FCE61B2" w14:textId="387F01C7" w:rsidR="00DD002E" w:rsidRPr="009C6451" w:rsidRDefault="00DD002E" w:rsidP="00554984">
      <w:pPr>
        <w:pStyle w:val="3-BodyText"/>
        <w:keepLines/>
        <w:rPr>
          <w:color w:val="0066FF"/>
        </w:rPr>
      </w:pPr>
      <w:r>
        <w:t xml:space="preserve">The </w:t>
      </w:r>
      <w:r w:rsidRPr="004E18E9">
        <w:t xml:space="preserve">submission was made under the TGA/PBAC Parallel Process. At the time of evaluation for PBAC consideration, </w:t>
      </w:r>
      <w:r>
        <w:t>the TGA Clinical Evaluation Report and the Delegate’s Overview were available.</w:t>
      </w:r>
    </w:p>
    <w:p w14:paraId="3838FCF1" w14:textId="7B73FA71" w:rsidR="0015311A" w:rsidRPr="0015311A" w:rsidRDefault="00DD002E" w:rsidP="0015311A">
      <w:pPr>
        <w:pStyle w:val="3-BodyText"/>
        <w:rPr>
          <w:color w:val="0066FF"/>
        </w:rPr>
      </w:pPr>
      <w:r w:rsidRPr="00E53E86">
        <w:lastRenderedPageBreak/>
        <w:t xml:space="preserve">The </w:t>
      </w:r>
      <w:r w:rsidR="00863232">
        <w:t xml:space="preserve">TGA </w:t>
      </w:r>
      <w:r w:rsidRPr="00E53E86">
        <w:t xml:space="preserve">Delegate provided questions for the Sponsor and requested Advisory Committee on Vaccines (ACV) advice, and stated that ‘while a decision is yet to be made, at this stage I am inclined to approve the registration of Vaxneuvance. The final wording of the indication will be determined following ACV.’ </w:t>
      </w:r>
    </w:p>
    <w:p w14:paraId="130483FA" w14:textId="7B22C025" w:rsidR="00716FA7" w:rsidRDefault="0015311A" w:rsidP="0015311A">
      <w:pPr>
        <w:pStyle w:val="3-BodyText"/>
        <w:rPr>
          <w:color w:val="0066FF"/>
        </w:rPr>
      </w:pPr>
      <w:r>
        <w:t xml:space="preserve">The ACV advice became available from the TGA on 9 February 2023. </w:t>
      </w:r>
      <w:r w:rsidRPr="0015311A">
        <w:t>The ACV considered this product to have an overall positive benefit-risk profile for th</w:t>
      </w:r>
      <w:r>
        <w:t>e indication</w:t>
      </w:r>
      <w:r w:rsidR="00716FA7">
        <w:t>:</w:t>
      </w:r>
      <w:r>
        <w:rPr>
          <w:color w:val="0066FF"/>
        </w:rPr>
        <w:t xml:space="preserve"> </w:t>
      </w:r>
    </w:p>
    <w:p w14:paraId="73C5D62F" w14:textId="77777777" w:rsidR="00716FA7" w:rsidRPr="0067055E" w:rsidRDefault="00716FA7" w:rsidP="00716FA7">
      <w:pPr>
        <w:pStyle w:val="3-BodyText"/>
        <w:numPr>
          <w:ilvl w:val="0"/>
          <w:numId w:val="0"/>
        </w:numPr>
        <w:ind w:left="1440"/>
      </w:pPr>
      <w:r w:rsidRPr="0067055E">
        <w:t>VAXNEUVANCE is indicated for active immunisation for the prevention of pneumococcal disease caused by Streptococcus pneumoniae serotypes (1, 3, 4, 5, 6A, 6B, 7F, 9V, 14, 18C, 19A, 19F, 22F, 23F and 33F) in adults and children from 6 weeks of age.</w:t>
      </w:r>
    </w:p>
    <w:p w14:paraId="07B6BC8B" w14:textId="77777777" w:rsidR="00716FA7" w:rsidRPr="0067055E" w:rsidRDefault="00716FA7" w:rsidP="00716FA7">
      <w:pPr>
        <w:pStyle w:val="3-BodyText"/>
        <w:numPr>
          <w:ilvl w:val="0"/>
          <w:numId w:val="0"/>
        </w:numPr>
        <w:ind w:left="1440"/>
      </w:pPr>
      <w:r w:rsidRPr="0067055E">
        <w:t xml:space="preserve">VAXNEUVANCE may not prevent disease caused by </w:t>
      </w:r>
      <w:r w:rsidRPr="0067055E">
        <w:rPr>
          <w:i/>
          <w:iCs/>
        </w:rPr>
        <w:t>S. pneumoniae</w:t>
      </w:r>
      <w:r w:rsidRPr="0067055E">
        <w:t xml:space="preserve"> serotypes that are not contained in the vaccine.</w:t>
      </w:r>
    </w:p>
    <w:p w14:paraId="7008A42F" w14:textId="086BD087" w:rsidR="00716FA7" w:rsidRPr="0067055E" w:rsidRDefault="00716FA7" w:rsidP="00716FA7">
      <w:pPr>
        <w:pStyle w:val="3-BodyText"/>
        <w:numPr>
          <w:ilvl w:val="0"/>
          <w:numId w:val="0"/>
        </w:numPr>
        <w:ind w:left="1440"/>
      </w:pPr>
      <w:r w:rsidRPr="0067055E">
        <w:t>The use of VAXNEUVANCE should be guided by official recommendations.</w:t>
      </w:r>
    </w:p>
    <w:p w14:paraId="4B869D84" w14:textId="2F47C977" w:rsidR="00DD002E" w:rsidRPr="0015311A" w:rsidRDefault="00DD002E" w:rsidP="00716FA7">
      <w:pPr>
        <w:pStyle w:val="3-BodyText"/>
        <w:numPr>
          <w:ilvl w:val="0"/>
          <w:numId w:val="0"/>
        </w:numPr>
        <w:ind w:left="720"/>
        <w:rPr>
          <w:color w:val="0066FF"/>
        </w:rPr>
      </w:pPr>
      <w:r w:rsidRPr="00E53E86">
        <w:t>Registration</w:t>
      </w:r>
      <w:r>
        <w:t xml:space="preserve"> is expected by 30 April 2023. </w:t>
      </w:r>
    </w:p>
    <w:p w14:paraId="06559F1B" w14:textId="72E8B692" w:rsidR="00DD002E" w:rsidRDefault="00DD002E" w:rsidP="00DD002E">
      <w:pPr>
        <w:pStyle w:val="3-BodyText"/>
        <w:rPr>
          <w:color w:val="0066FF"/>
        </w:rPr>
      </w:pPr>
      <w:r>
        <w:t xml:space="preserve">15vPCV has been approved for use in paediatric populations in the USA and also by the European Medicines Agency (EMA). </w:t>
      </w:r>
    </w:p>
    <w:p w14:paraId="1DC59398" w14:textId="77777777" w:rsidR="00DD002E" w:rsidRPr="00621ADA" w:rsidRDefault="00DD002E" w:rsidP="00DD002E">
      <w:pPr>
        <w:pStyle w:val="4-SubsectionHeading"/>
        <w:keepNext w:val="0"/>
      </w:pPr>
      <w:bookmarkStart w:id="6" w:name="_Toc22897639"/>
      <w:bookmarkStart w:id="7" w:name="_Toc124765887"/>
      <w:r w:rsidRPr="00621ADA">
        <w:t>Previous PBAC consideration</w:t>
      </w:r>
      <w:bookmarkEnd w:id="6"/>
      <w:bookmarkEnd w:id="7"/>
    </w:p>
    <w:p w14:paraId="3FBBFE51" w14:textId="77777777" w:rsidR="00DD002E" w:rsidRDefault="00DD002E" w:rsidP="00DD002E">
      <w:pPr>
        <w:pStyle w:val="3-BodyText"/>
      </w:pPr>
      <w:r w:rsidRPr="002B3D23">
        <w:t xml:space="preserve">At its November 2021 meeting, the PBAC recommended that </w:t>
      </w:r>
      <w:r>
        <w:t>15vPCV</w:t>
      </w:r>
      <w:r w:rsidRPr="002B3D23">
        <w:t xml:space="preserve"> be a designated vaccine for the purposes of the </w:t>
      </w:r>
      <w:r w:rsidRPr="002B3D23">
        <w:rPr>
          <w:i/>
          <w:iCs/>
        </w:rPr>
        <w:t>National Health Act 1953</w:t>
      </w:r>
      <w:r w:rsidRPr="002B3D23">
        <w:t xml:space="preserve">, for the prevention of pneumococcal disease in </w:t>
      </w:r>
      <w:bookmarkStart w:id="8" w:name="_Hlk87623928"/>
      <w:r w:rsidRPr="002B3D23">
        <w:t xml:space="preserve">non-Indigenous adults aged ≥70 years, </w:t>
      </w:r>
      <w:r w:rsidRPr="007C6FCD">
        <w:t>Aboriginal and Torres Strait Islander</w:t>
      </w:r>
      <w:r w:rsidRPr="002B3D23" w:rsidDel="008175A2">
        <w:t xml:space="preserve"> </w:t>
      </w:r>
      <w:r w:rsidRPr="002B3D23">
        <w:t>adults aged ≥50 years, and individuals at increased risk of pneumococcal disease aged ≥18 years</w:t>
      </w:r>
      <w:bookmarkEnd w:id="8"/>
      <w:r w:rsidRPr="002B3D23">
        <w:t xml:space="preserve">. </w:t>
      </w:r>
    </w:p>
    <w:p w14:paraId="00D92DDF" w14:textId="77777777" w:rsidR="00DD002E" w:rsidRDefault="00DD002E" w:rsidP="00DD002E">
      <w:pPr>
        <w:pStyle w:val="2-SectionHeading"/>
        <w:keepNext w:val="0"/>
        <w:numPr>
          <w:ilvl w:val="0"/>
          <w:numId w:val="1"/>
        </w:numPr>
      </w:pPr>
      <w:bookmarkStart w:id="9" w:name="_Toc107902078"/>
      <w:bookmarkStart w:id="10" w:name="_Toc124765888"/>
      <w:bookmarkEnd w:id="9"/>
      <w:r w:rsidRPr="00407F2D">
        <w:t>Requested listing</w:t>
      </w:r>
      <w:bookmarkEnd w:id="10"/>
    </w:p>
    <w:p w14:paraId="6B01C8BD" w14:textId="2422C1AF" w:rsidR="00DD002E" w:rsidRDefault="00DD002E" w:rsidP="004C313A">
      <w:pPr>
        <w:pStyle w:val="3-BodyText"/>
      </w:pPr>
      <w:r>
        <w:t>The proposed listing on the NIP is shown below. The submission stated it is based on the proposed listing for 13vPCV</w:t>
      </w:r>
      <w:r w:rsidRPr="002B3D23">
        <w:t xml:space="preserve"> from </w:t>
      </w:r>
      <w:r>
        <w:t>the PBAC Public Summary Document (</w:t>
      </w:r>
      <w:r w:rsidRPr="002B3D23">
        <w:t>PSD</w:t>
      </w:r>
      <w:r>
        <w:t xml:space="preserve">) </w:t>
      </w:r>
      <w:r w:rsidRPr="002B3D23">
        <w:t>March 2018</w:t>
      </w:r>
      <w:r>
        <w:t>.</w:t>
      </w:r>
      <w:r w:rsidR="00753128">
        <w:t xml:space="preserve"> S</w:t>
      </w:r>
      <w:r w:rsidR="00753128" w:rsidRPr="00D70879">
        <w:t>uggested deletions</w:t>
      </w:r>
      <w:r w:rsidR="00753128">
        <w:t xml:space="preserve"> proposed by the Secretariat</w:t>
      </w:r>
      <w:r w:rsidR="00753128" w:rsidRPr="00D70879">
        <w:t xml:space="preserve"> are </w:t>
      </w:r>
      <w:r w:rsidR="00556227">
        <w:t>in</w:t>
      </w:r>
      <w:r w:rsidR="00753128" w:rsidRPr="00D70879">
        <w:t xml:space="preserve"> strikethrough.</w:t>
      </w:r>
    </w:p>
    <w:tbl>
      <w:tblPr>
        <w:tblW w:w="5000" w:type="pct"/>
        <w:tblInd w:w="28" w:type="dxa"/>
        <w:tblCellMar>
          <w:left w:w="28" w:type="dxa"/>
          <w:right w:w="28" w:type="dxa"/>
        </w:tblCellMar>
        <w:tblLook w:val="0000" w:firstRow="0" w:lastRow="0" w:firstColumn="0" w:lastColumn="0" w:noHBand="0" w:noVBand="0"/>
      </w:tblPr>
      <w:tblGrid>
        <w:gridCol w:w="2084"/>
        <w:gridCol w:w="1053"/>
        <w:gridCol w:w="1225"/>
        <w:gridCol w:w="2691"/>
        <w:gridCol w:w="1964"/>
      </w:tblGrid>
      <w:tr w:rsidR="004C313A" w:rsidRPr="00387A5B" w14:paraId="1CFA3EA6" w14:textId="77777777" w:rsidTr="00632A30">
        <w:trPr>
          <w:cantSplit/>
          <w:trHeight w:val="463"/>
        </w:trPr>
        <w:tc>
          <w:tcPr>
            <w:tcW w:w="1156" w:type="pct"/>
            <w:tcBorders>
              <w:top w:val="single" w:sz="4" w:space="0" w:color="auto"/>
              <w:left w:val="single" w:sz="4" w:space="0" w:color="auto"/>
              <w:bottom w:val="single" w:sz="4" w:space="0" w:color="auto"/>
              <w:right w:val="single" w:sz="4" w:space="0" w:color="auto"/>
            </w:tcBorders>
            <w:vAlign w:val="bottom"/>
          </w:tcPr>
          <w:p w14:paraId="692D8165" w14:textId="77777777" w:rsidR="004C313A" w:rsidRPr="004C313A" w:rsidRDefault="004C313A" w:rsidP="004C313A">
            <w:pPr>
              <w:keepNext/>
              <w:jc w:val="left"/>
              <w:rPr>
                <w:rFonts w:ascii="Arial Narrow" w:hAnsi="Arial Narrow"/>
                <w:b/>
                <w:sz w:val="20"/>
              </w:rPr>
            </w:pPr>
            <w:r w:rsidRPr="004C313A">
              <w:rPr>
                <w:rFonts w:ascii="Arial Narrow" w:hAnsi="Arial Narrow"/>
                <w:b/>
                <w:sz w:val="20"/>
              </w:rPr>
              <w:lastRenderedPageBreak/>
              <w:t>Vaccine and the circumstances in which vaccine may be provided</w:t>
            </w:r>
          </w:p>
        </w:tc>
        <w:tc>
          <w:tcPr>
            <w:tcW w:w="584" w:type="pct"/>
            <w:tcBorders>
              <w:top w:val="single" w:sz="4" w:space="0" w:color="auto"/>
              <w:left w:val="single" w:sz="4" w:space="0" w:color="auto"/>
              <w:bottom w:val="single" w:sz="4" w:space="0" w:color="auto"/>
              <w:right w:val="single" w:sz="4" w:space="0" w:color="auto"/>
            </w:tcBorders>
            <w:vAlign w:val="center"/>
          </w:tcPr>
          <w:p w14:paraId="11C9F243" w14:textId="77777777" w:rsidR="004C313A" w:rsidRPr="004C313A" w:rsidRDefault="004C313A" w:rsidP="004C313A">
            <w:pPr>
              <w:keepNext/>
              <w:jc w:val="center"/>
              <w:rPr>
                <w:rFonts w:ascii="Arial Narrow" w:hAnsi="Arial Narrow"/>
                <w:b/>
                <w:sz w:val="20"/>
              </w:rPr>
            </w:pPr>
            <w:r w:rsidRPr="004C313A">
              <w:rPr>
                <w:rFonts w:ascii="Arial Narrow" w:hAnsi="Arial Narrow"/>
                <w:b/>
                <w:sz w:val="20"/>
              </w:rPr>
              <w:t>Brand</w:t>
            </w:r>
          </w:p>
        </w:tc>
        <w:tc>
          <w:tcPr>
            <w:tcW w:w="679" w:type="pct"/>
            <w:tcBorders>
              <w:top w:val="single" w:sz="4" w:space="0" w:color="auto"/>
              <w:left w:val="single" w:sz="4" w:space="0" w:color="auto"/>
              <w:bottom w:val="single" w:sz="4" w:space="0" w:color="auto"/>
              <w:right w:val="single" w:sz="4" w:space="0" w:color="auto"/>
            </w:tcBorders>
            <w:vAlign w:val="center"/>
          </w:tcPr>
          <w:p w14:paraId="0B5F9D67" w14:textId="77777777" w:rsidR="004C313A" w:rsidRPr="004C313A" w:rsidRDefault="004C313A" w:rsidP="004C313A">
            <w:pPr>
              <w:keepNext/>
              <w:jc w:val="center"/>
              <w:rPr>
                <w:rFonts w:ascii="Arial Narrow" w:hAnsi="Arial Narrow"/>
                <w:b/>
                <w:sz w:val="20"/>
              </w:rPr>
            </w:pPr>
            <w:r w:rsidRPr="004C313A">
              <w:rPr>
                <w:rFonts w:ascii="Arial Narrow" w:hAnsi="Arial Narrow"/>
                <w:b/>
                <w:sz w:val="20"/>
              </w:rPr>
              <w:t>Formulation</w:t>
            </w:r>
          </w:p>
        </w:tc>
        <w:tc>
          <w:tcPr>
            <w:tcW w:w="1492" w:type="pct"/>
            <w:tcBorders>
              <w:top w:val="single" w:sz="4" w:space="0" w:color="auto"/>
              <w:left w:val="single" w:sz="4" w:space="0" w:color="auto"/>
              <w:bottom w:val="single" w:sz="4" w:space="0" w:color="auto"/>
              <w:right w:val="single" w:sz="4" w:space="0" w:color="auto"/>
            </w:tcBorders>
            <w:vAlign w:val="center"/>
          </w:tcPr>
          <w:p w14:paraId="6E264092" w14:textId="77777777" w:rsidR="004C313A" w:rsidRPr="004C313A" w:rsidRDefault="004C313A" w:rsidP="004C313A">
            <w:pPr>
              <w:keepNext/>
              <w:jc w:val="center"/>
              <w:rPr>
                <w:rFonts w:ascii="Arial Narrow" w:hAnsi="Arial Narrow"/>
                <w:b/>
                <w:sz w:val="20"/>
              </w:rPr>
            </w:pPr>
            <w:r w:rsidRPr="004C313A">
              <w:rPr>
                <w:rFonts w:ascii="Arial Narrow" w:hAnsi="Arial Narrow"/>
                <w:b/>
                <w:sz w:val="20"/>
              </w:rPr>
              <w:t>Active ingredient and strength</w:t>
            </w:r>
          </w:p>
        </w:tc>
        <w:tc>
          <w:tcPr>
            <w:tcW w:w="1089" w:type="pct"/>
            <w:tcBorders>
              <w:top w:val="single" w:sz="4" w:space="0" w:color="auto"/>
              <w:left w:val="single" w:sz="4" w:space="0" w:color="auto"/>
              <w:bottom w:val="single" w:sz="4" w:space="0" w:color="auto"/>
              <w:right w:val="single" w:sz="4" w:space="0" w:color="auto"/>
            </w:tcBorders>
            <w:vAlign w:val="center"/>
          </w:tcPr>
          <w:p w14:paraId="4C881E2B" w14:textId="77777777" w:rsidR="004C313A" w:rsidRPr="004C313A" w:rsidRDefault="004C313A" w:rsidP="004C313A">
            <w:pPr>
              <w:keepNext/>
              <w:jc w:val="left"/>
              <w:rPr>
                <w:rFonts w:ascii="Arial Narrow" w:hAnsi="Arial Narrow"/>
                <w:b/>
                <w:sz w:val="20"/>
                <w:lang w:val="fr-FR"/>
              </w:rPr>
            </w:pPr>
            <w:r w:rsidRPr="004C313A">
              <w:rPr>
                <w:rFonts w:ascii="Arial Narrow" w:hAnsi="Arial Narrow"/>
                <w:b/>
                <w:sz w:val="20"/>
                <w:lang w:val="fr-FR"/>
              </w:rPr>
              <w:t>Number and timing of doses</w:t>
            </w:r>
          </w:p>
        </w:tc>
      </w:tr>
      <w:tr w:rsidR="004C313A" w:rsidRPr="00387A5B" w14:paraId="6E962625" w14:textId="77777777" w:rsidTr="00632A30">
        <w:trPr>
          <w:cantSplit/>
          <w:trHeight w:val="567"/>
        </w:trPr>
        <w:tc>
          <w:tcPr>
            <w:tcW w:w="1156" w:type="pct"/>
            <w:tcBorders>
              <w:top w:val="single" w:sz="4" w:space="0" w:color="auto"/>
              <w:left w:val="single" w:sz="4" w:space="0" w:color="auto"/>
              <w:bottom w:val="single" w:sz="4" w:space="0" w:color="auto"/>
              <w:right w:val="single" w:sz="4" w:space="0" w:color="auto"/>
            </w:tcBorders>
            <w:vAlign w:val="center"/>
          </w:tcPr>
          <w:p w14:paraId="474236C7" w14:textId="77777777" w:rsidR="004C313A" w:rsidRPr="004C313A" w:rsidRDefault="004C313A" w:rsidP="004C313A">
            <w:pPr>
              <w:keepNext/>
              <w:rPr>
                <w:rFonts w:ascii="Arial Narrow" w:hAnsi="Arial Narrow"/>
                <w:sz w:val="20"/>
              </w:rPr>
            </w:pPr>
            <w:r w:rsidRPr="004C313A">
              <w:rPr>
                <w:rFonts w:ascii="Arial Narrow" w:hAnsi="Arial Narrow"/>
                <w:sz w:val="20"/>
              </w:rPr>
              <w:t>Pneumococcal (conjugate, 15-valent)</w:t>
            </w:r>
          </w:p>
        </w:tc>
        <w:tc>
          <w:tcPr>
            <w:tcW w:w="584" w:type="pct"/>
            <w:tcBorders>
              <w:top w:val="single" w:sz="4" w:space="0" w:color="auto"/>
              <w:left w:val="single" w:sz="4" w:space="0" w:color="auto"/>
              <w:bottom w:val="single" w:sz="4" w:space="0" w:color="auto"/>
              <w:right w:val="single" w:sz="4" w:space="0" w:color="auto"/>
            </w:tcBorders>
            <w:vAlign w:val="center"/>
          </w:tcPr>
          <w:p w14:paraId="523C4D47" w14:textId="77777777" w:rsidR="004C313A" w:rsidRPr="004C313A" w:rsidRDefault="004C313A" w:rsidP="004C313A">
            <w:pPr>
              <w:keepNext/>
              <w:jc w:val="center"/>
              <w:rPr>
                <w:rFonts w:ascii="Arial Narrow" w:hAnsi="Arial Narrow"/>
                <w:sz w:val="20"/>
              </w:rPr>
            </w:pPr>
            <w:r w:rsidRPr="004C313A">
              <w:rPr>
                <w:rFonts w:ascii="Arial Narrow" w:hAnsi="Arial Narrow"/>
                <w:sz w:val="20"/>
              </w:rPr>
              <w:t>Vaxneuvance</w:t>
            </w:r>
          </w:p>
        </w:tc>
        <w:tc>
          <w:tcPr>
            <w:tcW w:w="679" w:type="pct"/>
            <w:tcBorders>
              <w:top w:val="single" w:sz="4" w:space="0" w:color="auto"/>
              <w:left w:val="single" w:sz="4" w:space="0" w:color="auto"/>
              <w:bottom w:val="single" w:sz="4" w:space="0" w:color="auto"/>
              <w:right w:val="single" w:sz="4" w:space="0" w:color="auto"/>
            </w:tcBorders>
            <w:vAlign w:val="center"/>
          </w:tcPr>
          <w:p w14:paraId="6E6D8697" w14:textId="77777777" w:rsidR="004C313A" w:rsidRPr="004C313A" w:rsidRDefault="004C313A" w:rsidP="004C313A">
            <w:pPr>
              <w:keepNext/>
              <w:jc w:val="center"/>
              <w:rPr>
                <w:rFonts w:ascii="Arial Narrow" w:hAnsi="Arial Narrow"/>
                <w:sz w:val="20"/>
              </w:rPr>
            </w:pPr>
            <w:r w:rsidRPr="004C313A">
              <w:rPr>
                <w:rFonts w:ascii="Arial Narrow" w:hAnsi="Arial Narrow"/>
                <w:sz w:val="20"/>
              </w:rPr>
              <w:t>Injection (0.5mL)</w:t>
            </w:r>
          </w:p>
        </w:tc>
        <w:tc>
          <w:tcPr>
            <w:tcW w:w="1492" w:type="pct"/>
            <w:tcBorders>
              <w:top w:val="single" w:sz="4" w:space="0" w:color="auto"/>
              <w:left w:val="single" w:sz="4" w:space="0" w:color="auto"/>
              <w:bottom w:val="single" w:sz="4" w:space="0" w:color="auto"/>
              <w:right w:val="single" w:sz="4" w:space="0" w:color="auto"/>
            </w:tcBorders>
            <w:vAlign w:val="center"/>
          </w:tcPr>
          <w:p w14:paraId="7AD13AF9" w14:textId="77777777" w:rsidR="004C313A" w:rsidRPr="004C313A" w:rsidRDefault="004C313A" w:rsidP="004C313A">
            <w:pPr>
              <w:keepNext/>
              <w:jc w:val="left"/>
              <w:rPr>
                <w:rFonts w:ascii="Arial Narrow" w:hAnsi="Arial Narrow"/>
                <w:sz w:val="20"/>
              </w:rPr>
            </w:pPr>
            <w:r w:rsidRPr="004C313A">
              <w:rPr>
                <w:rFonts w:ascii="Arial Narrow" w:hAnsi="Arial Narrow"/>
                <w:sz w:val="20"/>
              </w:rPr>
              <w:t>Polysaccharides of the capsular antigens of S. pneumoniae serotypes 1, 3, 4, 5, 6A, 6B, 7F, 9V, 14, 18C, 19A, 19F, 22F, 23F, and 33F individually conjugated to CRM197.</w:t>
            </w:r>
          </w:p>
        </w:tc>
        <w:tc>
          <w:tcPr>
            <w:tcW w:w="1089" w:type="pct"/>
            <w:tcBorders>
              <w:top w:val="single" w:sz="4" w:space="0" w:color="auto"/>
              <w:left w:val="single" w:sz="4" w:space="0" w:color="auto"/>
              <w:bottom w:val="single" w:sz="4" w:space="0" w:color="auto"/>
              <w:right w:val="single" w:sz="4" w:space="0" w:color="auto"/>
            </w:tcBorders>
            <w:vAlign w:val="center"/>
          </w:tcPr>
          <w:p w14:paraId="47D066DB" w14:textId="77777777" w:rsidR="004C313A" w:rsidRPr="004C313A" w:rsidRDefault="004C313A" w:rsidP="004C313A">
            <w:pPr>
              <w:keepNext/>
              <w:jc w:val="left"/>
              <w:rPr>
                <w:rFonts w:ascii="Arial Narrow" w:hAnsi="Arial Narrow"/>
                <w:sz w:val="20"/>
              </w:rPr>
            </w:pPr>
            <w:r w:rsidRPr="004C313A">
              <w:rPr>
                <w:rFonts w:ascii="Arial Narrow" w:hAnsi="Arial Narrow"/>
                <w:sz w:val="20"/>
              </w:rPr>
              <w:t>2 or 3 doses of a primary course plus a booster dose</w:t>
            </w:r>
          </w:p>
          <w:p w14:paraId="2106B7E7" w14:textId="77777777" w:rsidR="004C313A" w:rsidRPr="004C313A" w:rsidRDefault="004C313A" w:rsidP="004C313A">
            <w:pPr>
              <w:keepNext/>
              <w:jc w:val="left"/>
              <w:rPr>
                <w:rFonts w:ascii="Arial Narrow" w:hAnsi="Arial Narrow"/>
                <w:sz w:val="20"/>
              </w:rPr>
            </w:pPr>
          </w:p>
          <w:p w14:paraId="19C9D251" w14:textId="77777777" w:rsidR="004C313A" w:rsidRPr="004C313A" w:rsidRDefault="004C313A" w:rsidP="004C313A">
            <w:pPr>
              <w:keepNext/>
              <w:jc w:val="left"/>
              <w:rPr>
                <w:rFonts w:ascii="Arial Narrow" w:hAnsi="Arial Narrow"/>
                <w:sz w:val="20"/>
              </w:rPr>
            </w:pPr>
            <w:r w:rsidRPr="004C313A">
              <w:rPr>
                <w:rFonts w:ascii="Arial Narrow" w:hAnsi="Arial Narrow"/>
                <w:sz w:val="20"/>
              </w:rPr>
              <w:t>or a single supplementary dose</w:t>
            </w:r>
          </w:p>
        </w:tc>
      </w:tr>
      <w:tr w:rsidR="004C313A" w:rsidRPr="00387A5B" w14:paraId="1BA46504" w14:textId="77777777" w:rsidTr="00632A30">
        <w:trPr>
          <w:cantSplit/>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142468A" w14:textId="77777777" w:rsidR="004C313A" w:rsidRPr="004C313A" w:rsidRDefault="004C313A" w:rsidP="004C313A">
            <w:pPr>
              <w:keepNext/>
              <w:spacing w:before="120"/>
              <w:rPr>
                <w:rFonts w:ascii="Arial Narrow" w:hAnsi="Arial Narrow"/>
                <w:sz w:val="20"/>
              </w:rPr>
            </w:pPr>
            <w:r w:rsidRPr="004C313A">
              <w:rPr>
                <w:rFonts w:ascii="Arial Narrow" w:hAnsi="Arial Narrow"/>
                <w:sz w:val="20"/>
              </w:rPr>
              <w:t>Circumstances</w:t>
            </w:r>
          </w:p>
          <w:p w14:paraId="3698E198" w14:textId="77777777" w:rsidR="004C313A" w:rsidRPr="004C313A" w:rsidRDefault="004C313A" w:rsidP="004C313A">
            <w:pPr>
              <w:keepNext/>
              <w:rPr>
                <w:rFonts w:ascii="Arial Narrow" w:hAnsi="Arial Narrow"/>
                <w:sz w:val="20"/>
              </w:rPr>
            </w:pPr>
            <w:r w:rsidRPr="004C313A">
              <w:rPr>
                <w:rFonts w:ascii="Arial Narrow" w:hAnsi="Arial Narrow"/>
                <w:sz w:val="20"/>
              </w:rPr>
              <w:t>Vaccine may be provided:</w:t>
            </w:r>
          </w:p>
          <w:p w14:paraId="2213464F" w14:textId="77777777" w:rsidR="004C313A" w:rsidRPr="004C313A" w:rsidRDefault="004C313A" w:rsidP="00F31F79">
            <w:pPr>
              <w:pStyle w:val="ListParagraph"/>
              <w:keepNext/>
              <w:numPr>
                <w:ilvl w:val="0"/>
                <w:numId w:val="10"/>
              </w:numPr>
              <w:spacing w:after="0"/>
              <w:contextualSpacing/>
              <w:jc w:val="left"/>
              <w:rPr>
                <w:rFonts w:ascii="Arial Narrow" w:hAnsi="Arial Narrow"/>
                <w:sz w:val="20"/>
              </w:rPr>
            </w:pPr>
            <w:r w:rsidRPr="004C313A">
              <w:rPr>
                <w:rFonts w:ascii="Arial Narrow" w:hAnsi="Arial Narrow"/>
                <w:sz w:val="20"/>
              </w:rPr>
              <w:t>to a child who is:</w:t>
            </w:r>
          </w:p>
          <w:p w14:paraId="587D001E" w14:textId="77777777" w:rsidR="004C313A" w:rsidRPr="004C313A" w:rsidRDefault="004C313A" w:rsidP="00F31F79">
            <w:pPr>
              <w:pStyle w:val="ListParagraph"/>
              <w:keepNext/>
              <w:numPr>
                <w:ilvl w:val="0"/>
                <w:numId w:val="11"/>
              </w:numPr>
              <w:spacing w:after="0"/>
              <w:contextualSpacing/>
              <w:jc w:val="left"/>
              <w:rPr>
                <w:rFonts w:ascii="Arial Narrow" w:hAnsi="Arial Narrow"/>
                <w:sz w:val="20"/>
              </w:rPr>
            </w:pPr>
            <w:r w:rsidRPr="004C313A">
              <w:rPr>
                <w:rFonts w:ascii="Arial Narrow" w:hAnsi="Arial Narrow"/>
                <w:sz w:val="20"/>
              </w:rPr>
              <w:t>about 2 months old, and</w:t>
            </w:r>
          </w:p>
          <w:p w14:paraId="4E7A5A4F" w14:textId="77777777" w:rsidR="004C313A" w:rsidRPr="004C313A" w:rsidRDefault="004C313A" w:rsidP="00F31F79">
            <w:pPr>
              <w:pStyle w:val="ListParagraph"/>
              <w:keepNext/>
              <w:numPr>
                <w:ilvl w:val="0"/>
                <w:numId w:val="11"/>
              </w:numPr>
              <w:spacing w:after="0"/>
              <w:contextualSpacing/>
              <w:jc w:val="left"/>
              <w:rPr>
                <w:rFonts w:ascii="Arial Narrow" w:hAnsi="Arial Narrow"/>
                <w:sz w:val="20"/>
              </w:rPr>
            </w:pPr>
            <w:r w:rsidRPr="004C313A">
              <w:rPr>
                <w:rFonts w:ascii="Arial Narrow" w:hAnsi="Arial Narrow"/>
                <w:sz w:val="20"/>
              </w:rPr>
              <w:t xml:space="preserve">about 4 months old; </w:t>
            </w:r>
          </w:p>
          <w:p w14:paraId="46E7799E" w14:textId="77777777" w:rsidR="004C313A" w:rsidRPr="004C313A" w:rsidRDefault="004C313A" w:rsidP="00F31F79">
            <w:pPr>
              <w:pStyle w:val="ListParagraph"/>
              <w:keepNext/>
              <w:numPr>
                <w:ilvl w:val="0"/>
                <w:numId w:val="11"/>
              </w:numPr>
              <w:spacing w:after="0"/>
              <w:contextualSpacing/>
              <w:jc w:val="left"/>
              <w:rPr>
                <w:rFonts w:ascii="Arial Narrow" w:hAnsi="Arial Narrow"/>
                <w:sz w:val="20"/>
              </w:rPr>
            </w:pPr>
            <w:r w:rsidRPr="004C313A">
              <w:rPr>
                <w:rFonts w:ascii="Arial Narrow" w:hAnsi="Arial Narrow"/>
                <w:sz w:val="20"/>
              </w:rPr>
              <w:t xml:space="preserve">in their second year of life; and </w:t>
            </w:r>
          </w:p>
          <w:p w14:paraId="393171F9" w14:textId="77777777" w:rsidR="004C313A" w:rsidRPr="004C313A" w:rsidRDefault="004C313A" w:rsidP="00F31F79">
            <w:pPr>
              <w:pStyle w:val="ListParagraph"/>
              <w:keepNext/>
              <w:numPr>
                <w:ilvl w:val="0"/>
                <w:numId w:val="10"/>
              </w:numPr>
              <w:spacing w:after="0"/>
              <w:contextualSpacing/>
              <w:jc w:val="left"/>
              <w:rPr>
                <w:rFonts w:ascii="Arial Narrow" w:hAnsi="Arial Narrow"/>
                <w:strike/>
                <w:sz w:val="20"/>
              </w:rPr>
            </w:pPr>
            <w:r w:rsidRPr="004C313A">
              <w:rPr>
                <w:rFonts w:ascii="Arial Narrow" w:hAnsi="Arial Narrow"/>
                <w:strike/>
                <w:sz w:val="20"/>
              </w:rPr>
              <w:t>a dose of the vaccine may be provided to a child:</w:t>
            </w:r>
          </w:p>
          <w:p w14:paraId="38EE338D" w14:textId="77777777" w:rsidR="004C313A" w:rsidRPr="004C313A" w:rsidRDefault="004C313A" w:rsidP="00F31F79">
            <w:pPr>
              <w:pStyle w:val="ListParagraph"/>
              <w:keepNext/>
              <w:numPr>
                <w:ilvl w:val="0"/>
                <w:numId w:val="12"/>
              </w:numPr>
              <w:spacing w:after="0"/>
              <w:contextualSpacing/>
              <w:jc w:val="left"/>
              <w:rPr>
                <w:rFonts w:ascii="Arial Narrow" w:hAnsi="Arial Narrow"/>
                <w:strike/>
                <w:sz w:val="20"/>
              </w:rPr>
            </w:pPr>
            <w:r w:rsidRPr="004C313A">
              <w:rPr>
                <w:rFonts w:ascii="Arial Narrow" w:hAnsi="Arial Narrow"/>
                <w:strike/>
                <w:sz w:val="20"/>
              </w:rPr>
              <w:t>who is about 6 months of age and is a member of a medical risk group; or</w:t>
            </w:r>
          </w:p>
          <w:p w14:paraId="253C76C0" w14:textId="77777777" w:rsidR="004C313A" w:rsidRPr="004C313A" w:rsidRDefault="004C313A" w:rsidP="00F31F79">
            <w:pPr>
              <w:pStyle w:val="ListParagraph"/>
              <w:keepNext/>
              <w:numPr>
                <w:ilvl w:val="0"/>
                <w:numId w:val="10"/>
              </w:numPr>
              <w:contextualSpacing/>
              <w:jc w:val="left"/>
              <w:rPr>
                <w:rFonts w:ascii="Arial Narrow" w:hAnsi="Arial Narrow"/>
                <w:sz w:val="20"/>
              </w:rPr>
            </w:pPr>
            <w:r w:rsidRPr="004C313A">
              <w:rPr>
                <w:rFonts w:ascii="Arial Narrow" w:hAnsi="Arial Narrow"/>
                <w:sz w:val="20"/>
              </w:rPr>
              <w:t>the vaccine may be provided in the circumstances set out in subsection 7 (1)</w:t>
            </w:r>
          </w:p>
        </w:tc>
      </w:tr>
    </w:tbl>
    <w:p w14:paraId="10A01AB6" w14:textId="77777777" w:rsidR="004C313A" w:rsidRDefault="004C313A" w:rsidP="004C313A">
      <w:pPr>
        <w:pStyle w:val="3-BodyText"/>
        <w:keepNext/>
        <w:numPr>
          <w:ilvl w:val="0"/>
          <w:numId w:val="0"/>
        </w:numPr>
        <w:spacing w:after="0"/>
        <w:ind w:left="720" w:hanging="720"/>
      </w:pPr>
    </w:p>
    <w:p w14:paraId="3E7EDB65" w14:textId="77777777" w:rsidR="00DD002E" w:rsidRPr="00E53E86" w:rsidRDefault="00DD002E" w:rsidP="004C313A">
      <w:pPr>
        <w:pStyle w:val="3-BodyText"/>
        <w:keepNext/>
      </w:pPr>
      <w:r w:rsidRPr="00D13A3E">
        <w:t>The clinical management algorithm</w:t>
      </w:r>
      <w:r>
        <w:t>s</w:t>
      </w:r>
      <w:r w:rsidRPr="00D13A3E">
        <w:t xml:space="preserve"> </w:t>
      </w:r>
      <w:r>
        <w:t xml:space="preserve">were </w:t>
      </w:r>
      <w:r w:rsidRPr="00D13A3E">
        <w:t xml:space="preserve">based on </w:t>
      </w:r>
      <w:r>
        <w:t xml:space="preserve">the </w:t>
      </w:r>
      <w:r w:rsidRPr="00E53E86">
        <w:t>current National Immunisation Schedule and were accepted by ATAGI.</w:t>
      </w:r>
    </w:p>
    <w:p w14:paraId="23B3785A" w14:textId="646D2420" w:rsidR="00DD002E" w:rsidRPr="00E53E86" w:rsidRDefault="00DD002E" w:rsidP="00DD002E">
      <w:pPr>
        <w:pStyle w:val="3-BodyText"/>
      </w:pPr>
      <w:r w:rsidRPr="00E53E86">
        <w:t>The submission requested that ‘(b) a dose of the vaccine may be provided to a child: (i) who is about 6 months of age and is a member of a medical risk group’. The Secretariat noted that circumstance (b) is not included in the circumstances for Prevenar 13, as that population is already covered in circumstance (c) i.e. subsection 7 (1). As such, the Secretariat propose</w:t>
      </w:r>
      <w:r w:rsidR="00753128">
        <w:t>d</w:t>
      </w:r>
      <w:r w:rsidRPr="00E53E86">
        <w:t xml:space="preserve"> to remove circumstance (b) from the requested listing.</w:t>
      </w:r>
      <w:r>
        <w:t xml:space="preserve"> </w:t>
      </w:r>
      <w:r w:rsidRPr="00A43824">
        <w:t>The ESC considered this to be appropriate.</w:t>
      </w:r>
      <w:r>
        <w:rPr>
          <w:i/>
          <w:iCs/>
        </w:rPr>
        <w:t xml:space="preserve"> </w:t>
      </w:r>
    </w:p>
    <w:p w14:paraId="67DE9EA5" w14:textId="6D0DC214" w:rsidR="00DD002E" w:rsidRPr="00387A5B" w:rsidRDefault="00DD002E" w:rsidP="00DD002E">
      <w:pPr>
        <w:pStyle w:val="3-BodyText"/>
        <w:numPr>
          <w:ilvl w:val="0"/>
          <w:numId w:val="0"/>
        </w:numPr>
        <w:ind w:left="720"/>
        <w:rPr>
          <w:i/>
          <w:iCs/>
        </w:rPr>
      </w:pPr>
      <w:r w:rsidRPr="00387A5B">
        <w:rPr>
          <w:i/>
          <w:iCs/>
        </w:rPr>
        <w:t>For more detail on PBAC’s view, see section 7 PBAC outcome.</w:t>
      </w:r>
    </w:p>
    <w:p w14:paraId="62790159" w14:textId="77777777" w:rsidR="00DD002E" w:rsidRPr="00407F2D" w:rsidDel="00195452" w:rsidRDefault="00DD002E" w:rsidP="00DD002E">
      <w:pPr>
        <w:pStyle w:val="2-SectionHeading"/>
        <w:numPr>
          <w:ilvl w:val="0"/>
          <w:numId w:val="1"/>
        </w:numPr>
      </w:pPr>
      <w:bookmarkStart w:id="11" w:name="_Toc124765889"/>
      <w:r w:rsidDel="00195452">
        <w:t>Population and disease</w:t>
      </w:r>
      <w:bookmarkEnd w:id="11"/>
    </w:p>
    <w:p w14:paraId="57359244" w14:textId="77777777" w:rsidR="00DD002E" w:rsidRPr="00C12128" w:rsidRDefault="00DD002E" w:rsidP="00DD002E">
      <w:pPr>
        <w:pStyle w:val="3-BodyText"/>
        <w:rPr>
          <w:color w:val="0066FF"/>
        </w:rPr>
      </w:pPr>
      <w:r w:rsidRPr="00C12128">
        <w:t xml:space="preserve">Pneumococcal disease, caused by the pathogen </w:t>
      </w:r>
      <w:r w:rsidRPr="00F93A3C">
        <w:rPr>
          <w:i/>
          <w:iCs/>
        </w:rPr>
        <w:t>Streptococcus pneumoniae</w:t>
      </w:r>
      <w:r w:rsidRPr="00C12128">
        <w:t>, can be broadly divided into IPD (invasive pneumococcal disease</w:t>
      </w:r>
      <w:r>
        <w:t>:</w:t>
      </w:r>
      <w:r w:rsidRPr="00C12128">
        <w:t xml:space="preserve"> meningitis, bacteraemia and pneumonia associated with bacteraemia) and non-invasive pneumococcal disease </w:t>
      </w:r>
      <w:r>
        <w:t xml:space="preserve">(community managed or hospitalised community acquired pneumonia). </w:t>
      </w:r>
      <w:r w:rsidRPr="00C12128">
        <w:t>I</w:t>
      </w:r>
      <w:r>
        <w:t>PD</w:t>
      </w:r>
      <w:r w:rsidRPr="00C12128">
        <w:t xml:space="preserve"> can be fatal and was associated with 2,434 hospital admissions in 2016 and 622 deaths between 1997 and 2016 (AIHW 2018). Despite a longstanding pneumococcal disease vaccination program in both children and adults, cases of IPD have ris</w:t>
      </w:r>
      <w:r>
        <w:t>en</w:t>
      </w:r>
      <w:r w:rsidRPr="00C12128">
        <w:t xml:space="preserve"> in Australia between 2015-2019. </w:t>
      </w:r>
    </w:p>
    <w:p w14:paraId="3D3919DD" w14:textId="4A0FB964" w:rsidR="00DD002E" w:rsidRDefault="00DD002E" w:rsidP="00DD002E">
      <w:pPr>
        <w:pStyle w:val="3-BodyText"/>
      </w:pPr>
      <w:r>
        <w:t xml:space="preserve">The ATAGI pre-submission advice for this vaccine and population (September 1, 2022) states that in 2019 there were 460 cases of IPD in children and adolescents aged 19 or less in Australia, of which 63 were in Aboriginal or Torres Strait Islander children and adolescents. </w:t>
      </w:r>
      <w:r w:rsidRPr="003261FE">
        <w:t>M</w:t>
      </w:r>
      <w:r>
        <w:t>any</w:t>
      </w:r>
      <w:r w:rsidRPr="003261FE">
        <w:t xml:space="preserve"> cases are caused by serotypes not present in </w:t>
      </w:r>
      <w:r>
        <w:t>15vPCV</w:t>
      </w:r>
      <w:r w:rsidRPr="003261FE">
        <w:t>: of the total of 460 cases, 204 (44.3%) were caused by non-</w:t>
      </w:r>
      <w:r>
        <w:t>15vPCV</w:t>
      </w:r>
      <w:r w:rsidRPr="003261FE">
        <w:t xml:space="preserve"> strains, and only 27 (5.9%) by strains present in </w:t>
      </w:r>
      <w:r>
        <w:t>15vPCV</w:t>
      </w:r>
      <w:r w:rsidRPr="003261FE">
        <w:t xml:space="preserve"> but not </w:t>
      </w:r>
      <w:r>
        <w:t>13vPCV</w:t>
      </w:r>
      <w:r w:rsidRPr="003261FE">
        <w:t>.</w:t>
      </w:r>
      <w:r>
        <w:t xml:space="preserve"> Non-PCV strains are predominant or a large </w:t>
      </w:r>
      <w:r>
        <w:lastRenderedPageBreak/>
        <w:t xml:space="preserve">minority in all age groups: non-15vPCV serotypes caused 65% of IPD in children under 2 years, 40% in children aged 2-4 years, and 61% in children aged 5-19 years. Strains unique to 15vPCV are unusual causes of IPD in all age groups: 8.7% of cases in children under 2 years, 3.8% of cases in children aged 2-4 years, and 4.9% in children aged 5-19 years. Of the 63 cases of IPD in Indigenous children, 42 (66.7%) were caused by serotypes not present in 15vPCV, and 5 (7.9%) by serotypes present in 15vPCV but not 13vPCV. </w:t>
      </w:r>
    </w:p>
    <w:p w14:paraId="52A200FC" w14:textId="5847FC08" w:rsidR="00DD002E" w:rsidRDefault="00DD002E" w:rsidP="00DD002E">
      <w:pPr>
        <w:pStyle w:val="3-BodyText"/>
      </w:pPr>
      <w:r>
        <w:t>The data from the National Notifiable Diseases Surveillance System (NNDSS) uses age groups 5-9, 10-14 and 15-19 years</w:t>
      </w:r>
      <w:r>
        <w:rPr>
          <w:rStyle w:val="FootnoteReference"/>
        </w:rPr>
        <w:footnoteReference w:id="1"/>
      </w:r>
      <w:hyperlink w:history="1"/>
      <w:r>
        <w:t>. The ATAGI review states that this results in</w:t>
      </w:r>
      <w:r w:rsidRPr="006E1332">
        <w:rPr>
          <w:iCs/>
        </w:rPr>
        <w:t xml:space="preserve"> </w:t>
      </w:r>
      <w:r>
        <w:rPr>
          <w:iCs/>
        </w:rPr>
        <w:t>the submission’s ‘</w:t>
      </w:r>
      <w:r w:rsidRPr="006E1332">
        <w:rPr>
          <w:iCs/>
        </w:rPr>
        <w:t>data including children to 19 years rather than 17 years</w:t>
      </w:r>
      <w:r>
        <w:rPr>
          <w:iCs/>
        </w:rPr>
        <w:t xml:space="preserve">’ – the usual cut-off for ‘paediatric’. In 2019 there were 30 cases of IPD at ages 15-19, of which one was caused by a strain unique to 15vPCV (33F) and three by serotype 3. Fourteen of the 30 patients were </w:t>
      </w:r>
      <w:r w:rsidRPr="001D0592">
        <w:rPr>
          <w:iCs/>
        </w:rPr>
        <w:t>Aboriginal and Torres Strait Islander people</w:t>
      </w:r>
      <w:r>
        <w:rPr>
          <w:iCs/>
        </w:rPr>
        <w:t xml:space="preserve">. If cases in persons aged 15 and over are excluded, total cases of IPD for 2019 would be 430, of which 26 were caused by strains unique to 15vPCV (6.0%), and the cases in </w:t>
      </w:r>
      <w:r w:rsidRPr="001D0592">
        <w:rPr>
          <w:iCs/>
        </w:rPr>
        <w:t>Aboriginal and Torres Strait Islander</w:t>
      </w:r>
      <w:r>
        <w:rPr>
          <w:iCs/>
        </w:rPr>
        <w:t xml:space="preserve"> children would be 49, of which 5 (10.2%) were caused by strains unique to 15vPCV. Overall, including data for ages 15-19, or 17-19, probably has no important effect on the estimate of disease.</w:t>
      </w:r>
    </w:p>
    <w:p w14:paraId="2C0CAB40" w14:textId="61D0D487" w:rsidR="00DD002E" w:rsidRPr="008C78C2" w:rsidRDefault="00DD002E" w:rsidP="00DD002E">
      <w:pPr>
        <w:pStyle w:val="3-BodyText"/>
      </w:pPr>
      <w:r w:rsidRPr="003261FE">
        <w:t xml:space="preserve">The key statement in the ATAGI advice, which is quoted in the submission as the rationale for listing </w:t>
      </w:r>
      <w:r>
        <w:t>15vPCV</w:t>
      </w:r>
      <w:r w:rsidRPr="003261FE">
        <w:t xml:space="preserve">, is that </w:t>
      </w:r>
      <w:r>
        <w:t>‘</w:t>
      </w:r>
      <w:r w:rsidRPr="003261FE">
        <w:t xml:space="preserve">There continues to be an appreciable incidence of pneumococcal disease driven in part by serotypes not included in </w:t>
      </w:r>
      <w:r>
        <w:t>13vPCV</w:t>
      </w:r>
      <w:r w:rsidRPr="003261FE">
        <w:t xml:space="preserve"> and in part by serotype 3 (ST3) disease (which is a </w:t>
      </w:r>
      <w:r>
        <w:t>13vPCV</w:t>
      </w:r>
      <w:r w:rsidRPr="003261FE">
        <w:t xml:space="preserve"> serotype), indicating a need for further pneumococcal vaccines in Australia</w:t>
      </w:r>
      <w:r>
        <w:t>’</w:t>
      </w:r>
      <w:r w:rsidRPr="00E53E86">
        <w:t>. Pneumococcal vaccine coverage in Australia in Aboriginal and Torres Strait Islander children is incomplete</w:t>
      </w:r>
      <w:r w:rsidRPr="00E53E86">
        <w:rPr>
          <w:rStyle w:val="FootnoteReference"/>
        </w:rPr>
        <w:footnoteReference w:id="2"/>
      </w:r>
      <w:r w:rsidRPr="00E53E86">
        <w:t xml:space="preserve"> so the problem of persistent pneumococcal disease due to serotype 3 is not inevitably attributable to too few vaccines, rather than, </w:t>
      </w:r>
      <w:r w:rsidR="004451DF">
        <w:t>for example</w:t>
      </w:r>
      <w:r w:rsidRPr="00E53E86">
        <w:t xml:space="preserve">, to incomplete </w:t>
      </w:r>
      <w:r w:rsidRPr="008C78C2">
        <w:t xml:space="preserve">vaccine coverage. The Pre-Sub-Committee Response (PSCR) </w:t>
      </w:r>
      <w:r w:rsidR="004451DF">
        <w:t>maintained</w:t>
      </w:r>
      <w:r w:rsidR="004451DF" w:rsidRPr="008C78C2">
        <w:t xml:space="preserve"> </w:t>
      </w:r>
      <w:r w:rsidRPr="008C78C2">
        <w:t xml:space="preserve">that the persistence of serotype 3 disease is due to limited efficacy of 13vPCV against this serotype, rather than poor vaccination coverage. </w:t>
      </w:r>
    </w:p>
    <w:p w14:paraId="7D1278B5" w14:textId="77777777" w:rsidR="00DD002E" w:rsidRPr="00C33D30" w:rsidRDefault="00DD002E" w:rsidP="00DD002E">
      <w:pPr>
        <w:ind w:firstLine="709"/>
        <w:rPr>
          <w:rFonts w:asciiTheme="minorHAnsi" w:hAnsiTheme="minorHAnsi"/>
          <w:i/>
        </w:rPr>
      </w:pPr>
      <w:r w:rsidRPr="00C33D30">
        <w:rPr>
          <w:rFonts w:asciiTheme="minorHAnsi" w:hAnsiTheme="minorHAnsi"/>
          <w:i/>
        </w:rPr>
        <w:t>For more detail on PBAC’s view, see section 7 PBAC outcome.</w:t>
      </w:r>
    </w:p>
    <w:p w14:paraId="48ADBC60" w14:textId="77777777" w:rsidR="00DD002E" w:rsidRPr="00407F2D" w:rsidRDefault="00DD002E" w:rsidP="00DD002E">
      <w:pPr>
        <w:pStyle w:val="2-SectionHeading"/>
        <w:numPr>
          <w:ilvl w:val="0"/>
          <w:numId w:val="1"/>
        </w:numPr>
      </w:pPr>
      <w:bookmarkStart w:id="12" w:name="_Toc124765890"/>
      <w:r w:rsidRPr="00407F2D">
        <w:t>Comparator</w:t>
      </w:r>
      <w:bookmarkEnd w:id="12"/>
    </w:p>
    <w:p w14:paraId="4C209C32" w14:textId="29FE0FD2" w:rsidR="00DD002E" w:rsidRDefault="00DD002E" w:rsidP="00DD002E">
      <w:pPr>
        <w:pStyle w:val="3-BodyText"/>
        <w:rPr>
          <w:b/>
        </w:rPr>
      </w:pPr>
      <w:r w:rsidRPr="00ED5BD4">
        <w:rPr>
          <w:lang w:val="en-US"/>
        </w:rPr>
        <w:t xml:space="preserve">The submission nominated </w:t>
      </w:r>
      <w:r>
        <w:rPr>
          <w:lang w:val="en-US"/>
        </w:rPr>
        <w:t>13vPCV</w:t>
      </w:r>
      <w:r w:rsidRPr="00ED5BD4">
        <w:rPr>
          <w:lang w:val="en-US"/>
        </w:rPr>
        <w:t xml:space="preserve"> as the comparator</w:t>
      </w:r>
      <w:r>
        <w:rPr>
          <w:lang w:val="en-US"/>
        </w:rPr>
        <w:t xml:space="preserve">, as it is currently funded on the NIP for the requested population. </w:t>
      </w:r>
      <w:r w:rsidRPr="00532E09">
        <w:t xml:space="preserve">This </w:t>
      </w:r>
      <w:r>
        <w:t>was</w:t>
      </w:r>
      <w:r w:rsidRPr="00532E09">
        <w:t xml:space="preserve"> considered appropriate by ATAGI. There would be no change in the </w:t>
      </w:r>
      <w:r>
        <w:t>second</w:t>
      </w:r>
      <w:r w:rsidRPr="00532E09">
        <w:t xml:space="preserve"> and </w:t>
      </w:r>
      <w:r>
        <w:t xml:space="preserve">third </w:t>
      </w:r>
      <w:r w:rsidRPr="00532E09">
        <w:t xml:space="preserve">doses of </w:t>
      </w:r>
      <w:r>
        <w:t>23vPPV</w:t>
      </w:r>
      <w:r w:rsidRPr="00532E09">
        <w:t xml:space="preserve"> in the Indigenous and </w:t>
      </w:r>
      <w:r w:rsidRPr="00532E09">
        <w:lastRenderedPageBreak/>
        <w:t>medically high-risk populations.</w:t>
      </w:r>
      <w:r>
        <w:t xml:space="preserve"> </w:t>
      </w:r>
      <w:r w:rsidRPr="00A43824">
        <w:t>The ESC considered the nominated comparator to be appropriate.</w:t>
      </w:r>
      <w:r>
        <w:rPr>
          <w:i/>
          <w:iCs/>
        </w:rPr>
        <w:t xml:space="preserve"> </w:t>
      </w:r>
    </w:p>
    <w:p w14:paraId="1A150488" w14:textId="396279DA" w:rsidR="00DD002E" w:rsidRPr="00387A5B" w:rsidRDefault="00DD002E" w:rsidP="00DD002E">
      <w:pPr>
        <w:pStyle w:val="3-BodyText"/>
      </w:pPr>
      <w:r>
        <w:t xml:space="preserve">The submission noted that according to </w:t>
      </w:r>
      <w:r w:rsidRPr="0072036F">
        <w:t>the ATAGI</w:t>
      </w:r>
      <w:r w:rsidR="00857155">
        <w:t xml:space="preserve"> Pre-submission</w:t>
      </w:r>
      <w:r w:rsidRPr="0072036F">
        <w:t xml:space="preserve"> Advice</w:t>
      </w:r>
      <w:r w:rsidR="00857155">
        <w:t xml:space="preserve"> to PBAC</w:t>
      </w:r>
      <w:r>
        <w:t>,</w:t>
      </w:r>
      <w:r w:rsidRPr="0072036F">
        <w:t xml:space="preserve"> </w:t>
      </w:r>
      <w:r w:rsidR="00D37061">
        <w:t>20v</w:t>
      </w:r>
      <w:r w:rsidRPr="0072036F">
        <w:t>PCV is not a relevant comparator at this time as there is no serotype-specific numerical phase III data publicly available for immunogenicity or safety comparisons from the pivotal trials.</w:t>
      </w:r>
      <w:r w:rsidRPr="00ED5BD4">
        <w:rPr>
          <w:lang w:val="en-US"/>
        </w:rPr>
        <w:t xml:space="preserve"> </w:t>
      </w:r>
      <w:r w:rsidR="00C86A26">
        <w:rPr>
          <w:lang w:val="en-US"/>
        </w:rPr>
        <w:t>Furthermore, 20vPCV has not been recommended by the PBAC for paediatric population/s.</w:t>
      </w:r>
    </w:p>
    <w:p w14:paraId="335B8B22" w14:textId="77777777" w:rsidR="00DD002E" w:rsidRPr="00C33D30" w:rsidRDefault="00DD002E" w:rsidP="00DD002E">
      <w:pPr>
        <w:ind w:firstLine="709"/>
        <w:rPr>
          <w:rFonts w:asciiTheme="minorHAnsi" w:hAnsiTheme="minorHAnsi"/>
          <w:i/>
        </w:rPr>
      </w:pPr>
      <w:r w:rsidRPr="00C33D30">
        <w:rPr>
          <w:rFonts w:asciiTheme="minorHAnsi" w:hAnsiTheme="minorHAnsi"/>
          <w:i/>
        </w:rPr>
        <w:t>For more detail on PBAC’s view, see section 7 PBAC outcome.</w:t>
      </w:r>
    </w:p>
    <w:p w14:paraId="59F553E4" w14:textId="77777777" w:rsidR="00DD002E" w:rsidRPr="00407F2D" w:rsidRDefault="00DD002E" w:rsidP="00DD002E">
      <w:pPr>
        <w:pStyle w:val="2-SectionHeading"/>
        <w:numPr>
          <w:ilvl w:val="0"/>
          <w:numId w:val="1"/>
        </w:numPr>
      </w:pPr>
      <w:bookmarkStart w:id="13" w:name="_Toc124765891"/>
      <w:bookmarkStart w:id="14" w:name="_Toc22897640"/>
      <w:r>
        <w:t>C</w:t>
      </w:r>
      <w:r w:rsidRPr="00407F2D">
        <w:t>onsideration of the evidence</w:t>
      </w:r>
      <w:bookmarkEnd w:id="13"/>
    </w:p>
    <w:p w14:paraId="33A0490A" w14:textId="77777777" w:rsidR="00DD002E" w:rsidRPr="006E1229" w:rsidRDefault="00DD002E" w:rsidP="00DD002E">
      <w:pPr>
        <w:pStyle w:val="4-SubsectionHeading"/>
      </w:pPr>
      <w:bookmarkStart w:id="15" w:name="_Hlk76375935"/>
      <w:bookmarkStart w:id="16" w:name="_Toc124765892"/>
      <w:r w:rsidRPr="006E1229">
        <w:t>Sponsor hearing</w:t>
      </w:r>
    </w:p>
    <w:p w14:paraId="271EDE19" w14:textId="77777777" w:rsidR="00DD002E" w:rsidRPr="00F91542" w:rsidRDefault="00DD002E" w:rsidP="00DD002E">
      <w:pPr>
        <w:widowControl w:val="0"/>
        <w:numPr>
          <w:ilvl w:val="1"/>
          <w:numId w:val="1"/>
        </w:numPr>
        <w:spacing w:after="120"/>
        <w:rPr>
          <w:rFonts w:cs="Calibri"/>
          <w:bCs/>
          <w:snapToGrid w:val="0"/>
        </w:rPr>
      </w:pPr>
      <w:r w:rsidRPr="00F91542">
        <w:rPr>
          <w:rFonts w:cs="Calibri"/>
          <w:bCs/>
          <w:snapToGrid w:val="0"/>
        </w:rPr>
        <w:t>There was no hearing for this item.</w:t>
      </w:r>
    </w:p>
    <w:p w14:paraId="663B3A46" w14:textId="77777777" w:rsidR="00DD002E" w:rsidRPr="006E1229" w:rsidRDefault="00DD002E" w:rsidP="00DD002E">
      <w:pPr>
        <w:pStyle w:val="4-SubsectionHeading"/>
      </w:pPr>
      <w:r w:rsidRPr="006E1229">
        <w:t>Consumer comments</w:t>
      </w:r>
    </w:p>
    <w:p w14:paraId="09377D6E" w14:textId="39BCA48E" w:rsidR="00DD002E" w:rsidRPr="006346A4" w:rsidRDefault="00DD002E" w:rsidP="00DD002E">
      <w:pPr>
        <w:pStyle w:val="3-BodyText"/>
        <w:rPr>
          <w:bCs/>
        </w:rPr>
      </w:pPr>
      <w:bookmarkStart w:id="17" w:name="_Hlk76382618"/>
      <w:r w:rsidRPr="00836F75">
        <w:t xml:space="preserve">The PBAC noted and welcomed the input from </w:t>
      </w:r>
      <w:r>
        <w:t xml:space="preserve">an </w:t>
      </w:r>
      <w:r w:rsidRPr="00836F75">
        <w:t xml:space="preserve">organisation via the Consumer Comments facility on the PBS website. The comments </w:t>
      </w:r>
      <w:r>
        <w:t xml:space="preserve">from the Lung Foundation Australia </w:t>
      </w:r>
      <w:r w:rsidRPr="00836F75">
        <w:t xml:space="preserve">described a range of benefits </w:t>
      </w:r>
      <w:r>
        <w:t>that the listing of</w:t>
      </w:r>
      <w:r w:rsidR="00D37061">
        <w:t xml:space="preserve"> 15vPCV on the NIP</w:t>
      </w:r>
      <w:r>
        <w:t xml:space="preserve"> for pa</w:t>
      </w:r>
      <w:r w:rsidR="00D37061">
        <w:t>e</w:t>
      </w:r>
      <w:r>
        <w:t>diatric populations will have on the Australian population. The organisation considered it would provide</w:t>
      </w:r>
      <w:r w:rsidRPr="00836F75">
        <w:t xml:space="preserve"> </w:t>
      </w:r>
      <w:r w:rsidRPr="006346A4">
        <w:rPr>
          <w:bCs/>
        </w:rPr>
        <w:t>an alternative line of supply</w:t>
      </w:r>
      <w:r>
        <w:rPr>
          <w:bCs/>
        </w:rPr>
        <w:t xml:space="preserve"> and </w:t>
      </w:r>
      <w:r w:rsidRPr="006346A4">
        <w:rPr>
          <w:bCs/>
        </w:rPr>
        <w:t>ensur</w:t>
      </w:r>
      <w:r>
        <w:rPr>
          <w:bCs/>
        </w:rPr>
        <w:t>e</w:t>
      </w:r>
      <w:r w:rsidRPr="006346A4">
        <w:rPr>
          <w:bCs/>
        </w:rPr>
        <w:t xml:space="preserve"> continued access to required vaccines, reduce costs to health systems and services by reducing cases of invasive pneumococcal disease, reduce the risk of disease, disability and death associated with pneumococcal disease, </w:t>
      </w:r>
      <w:r>
        <w:rPr>
          <w:bCs/>
        </w:rPr>
        <w:t xml:space="preserve">and </w:t>
      </w:r>
      <w:r w:rsidRPr="006346A4">
        <w:rPr>
          <w:bCs/>
        </w:rPr>
        <w:t>reduce the economic and social burden experienced by parents required to care for ill children</w:t>
      </w:r>
      <w:r>
        <w:rPr>
          <w:bCs/>
        </w:rPr>
        <w:t>.</w:t>
      </w:r>
      <w:r w:rsidRPr="006346A4">
        <w:rPr>
          <w:bCs/>
        </w:rPr>
        <w:t xml:space="preserve"> </w:t>
      </w:r>
    </w:p>
    <w:bookmarkEnd w:id="15"/>
    <w:bookmarkEnd w:id="17"/>
    <w:p w14:paraId="30D38AF3" w14:textId="77777777" w:rsidR="00DD002E" w:rsidRPr="00C9624D" w:rsidRDefault="00DD002E" w:rsidP="00DD002E">
      <w:pPr>
        <w:pStyle w:val="4-SubsectionHeading"/>
      </w:pPr>
      <w:r w:rsidRPr="00C9624D">
        <w:t>Clinical trials</w:t>
      </w:r>
      <w:bookmarkEnd w:id="14"/>
      <w:bookmarkEnd w:id="16"/>
    </w:p>
    <w:p w14:paraId="3E8669A3" w14:textId="1501AEE9" w:rsidR="00DD002E" w:rsidRDefault="00DD002E" w:rsidP="00DD002E">
      <w:pPr>
        <w:pStyle w:val="3-BodyText"/>
        <w:rPr>
          <w:snapToGrid/>
          <w:lang w:val="en-US"/>
        </w:rPr>
      </w:pPr>
      <w:r>
        <w:rPr>
          <w:snapToGrid/>
          <w:lang w:val="en-US"/>
        </w:rPr>
        <w:t xml:space="preserve">The submission was based on eight </w:t>
      </w:r>
      <w:r w:rsidR="00EB58B7">
        <w:rPr>
          <w:snapToGrid/>
          <w:lang w:val="en-US"/>
        </w:rPr>
        <w:t>p</w:t>
      </w:r>
      <w:r>
        <w:rPr>
          <w:snapToGrid/>
          <w:lang w:val="en-US"/>
        </w:rPr>
        <w:t xml:space="preserve">hase III trials comparing 15vPCV to 13vPCV: </w:t>
      </w:r>
    </w:p>
    <w:p w14:paraId="458F787E" w14:textId="77777777" w:rsidR="00DD002E" w:rsidRPr="002E0F7A" w:rsidRDefault="00DD002E" w:rsidP="00F31F79">
      <w:pPr>
        <w:pStyle w:val="3-BodyText"/>
        <w:numPr>
          <w:ilvl w:val="0"/>
          <w:numId w:val="9"/>
        </w:numPr>
        <w:rPr>
          <w:snapToGrid/>
          <w:lang w:val="en-US"/>
        </w:rPr>
      </w:pPr>
      <w:r>
        <w:rPr>
          <w:snapToGrid/>
          <w:lang w:val="en-US"/>
        </w:rPr>
        <w:t>T</w:t>
      </w:r>
      <w:r w:rsidRPr="002E0F7A">
        <w:rPr>
          <w:snapToGrid/>
          <w:lang w:val="en-US"/>
        </w:rPr>
        <w:t xml:space="preserve">wo phase III trials (P025, P026) in healthy babies, using the 2+1 regimen, which is relevant for non-Indigenous infants and </w:t>
      </w:r>
      <w:r w:rsidRPr="001D0592">
        <w:rPr>
          <w:snapToGrid/>
          <w:lang w:val="en-US"/>
        </w:rPr>
        <w:t>Aboriginal and Torres Strait Islander</w:t>
      </w:r>
      <w:r w:rsidRPr="002E0F7A">
        <w:rPr>
          <w:snapToGrid/>
          <w:lang w:val="en-US"/>
        </w:rPr>
        <w:t xml:space="preserve"> infants in NSW, V</w:t>
      </w:r>
      <w:r>
        <w:rPr>
          <w:snapToGrid/>
          <w:lang w:val="en-US"/>
        </w:rPr>
        <w:t>ic</w:t>
      </w:r>
      <w:r w:rsidRPr="002E0F7A">
        <w:rPr>
          <w:snapToGrid/>
          <w:lang w:val="en-US"/>
        </w:rPr>
        <w:t>, ACT and Tas.</w:t>
      </w:r>
    </w:p>
    <w:p w14:paraId="2C0E514B" w14:textId="77777777" w:rsidR="00DD002E" w:rsidRPr="002E0F7A" w:rsidRDefault="00DD002E" w:rsidP="00F31F79">
      <w:pPr>
        <w:pStyle w:val="3-BodyText"/>
        <w:numPr>
          <w:ilvl w:val="0"/>
          <w:numId w:val="9"/>
        </w:numPr>
        <w:rPr>
          <w:snapToGrid/>
          <w:lang w:val="en-US"/>
        </w:rPr>
      </w:pPr>
      <w:r w:rsidRPr="002E0F7A">
        <w:rPr>
          <w:snapToGrid/>
          <w:lang w:val="en-US"/>
        </w:rPr>
        <w:t xml:space="preserve">Two phase III trials (P029, P031) in healthy babies and a pooled analysis of preterm infants and a pooled safety analysis of healthy infants, using the 3+1 regimen to support use in infants with a specified medical risk factor and </w:t>
      </w:r>
      <w:r w:rsidRPr="00AA120D">
        <w:t>Aboriginal and Torres Strait Islander</w:t>
      </w:r>
      <w:r w:rsidRPr="002E0F7A">
        <w:rPr>
          <w:snapToGrid/>
          <w:lang w:val="en-US"/>
        </w:rPr>
        <w:t xml:space="preserve"> infants in Qld, NT, SA and WA</w:t>
      </w:r>
      <w:r>
        <w:rPr>
          <w:snapToGrid/>
          <w:lang w:val="en-US"/>
        </w:rPr>
        <w:t>.</w:t>
      </w:r>
    </w:p>
    <w:p w14:paraId="3C5163B7" w14:textId="77777777" w:rsidR="00DD002E" w:rsidRPr="002E0F7A" w:rsidRDefault="00DD002E" w:rsidP="00F31F79">
      <w:pPr>
        <w:pStyle w:val="3-BodyText"/>
        <w:numPr>
          <w:ilvl w:val="0"/>
          <w:numId w:val="9"/>
        </w:numPr>
        <w:rPr>
          <w:snapToGrid/>
          <w:lang w:val="en-US"/>
        </w:rPr>
      </w:pPr>
      <w:r w:rsidRPr="002E0F7A">
        <w:rPr>
          <w:snapToGrid/>
          <w:lang w:val="en-US"/>
        </w:rPr>
        <w:t>Two phase III trials in children with Sickle Cell Disease</w:t>
      </w:r>
      <w:r>
        <w:rPr>
          <w:snapToGrid/>
          <w:lang w:val="en-US"/>
        </w:rPr>
        <w:t>,</w:t>
      </w:r>
      <w:r w:rsidRPr="002E0F7A">
        <w:rPr>
          <w:snapToGrid/>
          <w:lang w:val="en-US"/>
        </w:rPr>
        <w:t xml:space="preserve"> and </w:t>
      </w:r>
      <w:r>
        <w:rPr>
          <w:snapToGrid/>
          <w:lang w:val="en-US"/>
        </w:rPr>
        <w:t xml:space="preserve">with </w:t>
      </w:r>
      <w:r w:rsidRPr="002E0F7A">
        <w:rPr>
          <w:snapToGrid/>
          <w:lang w:val="en-US"/>
        </w:rPr>
        <w:t>HIV (P023, P030) to support use in children with specified medical risk conditions</w:t>
      </w:r>
      <w:r>
        <w:rPr>
          <w:snapToGrid/>
          <w:lang w:val="en-US"/>
        </w:rPr>
        <w:t>.</w:t>
      </w:r>
    </w:p>
    <w:p w14:paraId="196B4989" w14:textId="3D3C4D46" w:rsidR="00DD002E" w:rsidRPr="00F67E56" w:rsidRDefault="00DD002E" w:rsidP="00F31F79">
      <w:pPr>
        <w:pStyle w:val="3-BodyText"/>
        <w:numPr>
          <w:ilvl w:val="0"/>
          <w:numId w:val="9"/>
        </w:numPr>
        <w:rPr>
          <w:snapToGrid/>
          <w:lang w:val="en-US"/>
        </w:rPr>
      </w:pPr>
      <w:r w:rsidRPr="002E0F7A">
        <w:rPr>
          <w:snapToGrid/>
          <w:lang w:val="en-US"/>
        </w:rPr>
        <w:t xml:space="preserve">Two phase III trials to support use as catch up vaccination (P024) and </w:t>
      </w:r>
      <w:r>
        <w:rPr>
          <w:snapToGrid/>
          <w:lang w:val="en-US"/>
        </w:rPr>
        <w:t>use of 13vPCV for some doses of the schedule and 15vPCV for others</w:t>
      </w:r>
      <w:r w:rsidRPr="002E0F7A">
        <w:rPr>
          <w:snapToGrid/>
          <w:lang w:val="en-US"/>
        </w:rPr>
        <w:t xml:space="preserve"> (P027)</w:t>
      </w:r>
      <w:r>
        <w:rPr>
          <w:snapToGrid/>
          <w:lang w:val="en-US"/>
        </w:rPr>
        <w:t xml:space="preserve">. </w:t>
      </w:r>
      <w:r w:rsidR="00466B8C" w:rsidRPr="00466B8C">
        <w:rPr>
          <w:snapToGrid/>
          <w:lang w:val="en-US"/>
        </w:rPr>
        <w:t xml:space="preserve"> </w:t>
      </w:r>
    </w:p>
    <w:p w14:paraId="43F0CF62" w14:textId="26A751E3" w:rsidR="00DD002E" w:rsidRPr="003D7D42" w:rsidRDefault="00DD002E" w:rsidP="00DD002E">
      <w:pPr>
        <w:pStyle w:val="3-BodyText"/>
        <w:rPr>
          <w:i/>
        </w:rPr>
      </w:pPr>
      <w:r w:rsidRPr="005631B2">
        <w:rPr>
          <w:snapToGrid/>
          <w:lang w:val="en-US"/>
        </w:rPr>
        <w:lastRenderedPageBreak/>
        <w:t xml:space="preserve">Details of the trials presented in </w:t>
      </w:r>
      <w:r w:rsidRPr="00E53E86">
        <w:rPr>
          <w:snapToGrid/>
          <w:lang w:val="en-US"/>
        </w:rPr>
        <w:t xml:space="preserve">the submission are provided in </w:t>
      </w:r>
      <w:r w:rsidRPr="00E53E86">
        <w:rPr>
          <w:snapToGrid/>
          <w:lang w:val="en-US"/>
        </w:rPr>
        <w:fldChar w:fldCharType="begin"/>
      </w:r>
      <w:r w:rsidRPr="00E53E86">
        <w:rPr>
          <w:snapToGrid/>
          <w:lang w:val="en-US"/>
        </w:rPr>
        <w:instrText xml:space="preserve"> REF _Ref104803956 \h  \* MERGEFORMAT </w:instrText>
      </w:r>
      <w:r w:rsidRPr="00E53E86">
        <w:rPr>
          <w:snapToGrid/>
          <w:lang w:val="en-US"/>
        </w:rPr>
      </w:r>
      <w:r w:rsidRPr="00E53E86">
        <w:rPr>
          <w:snapToGrid/>
          <w:lang w:val="en-US"/>
        </w:rPr>
        <w:fldChar w:fldCharType="separate"/>
      </w:r>
      <w:r w:rsidR="009E7289">
        <w:t xml:space="preserve">Table </w:t>
      </w:r>
      <w:r w:rsidR="009E7289">
        <w:rPr>
          <w:noProof/>
        </w:rPr>
        <w:t>2</w:t>
      </w:r>
      <w:r w:rsidRPr="00E53E86">
        <w:rPr>
          <w:snapToGrid/>
          <w:lang w:val="en-US"/>
        </w:rPr>
        <w:fldChar w:fldCharType="end"/>
      </w:r>
      <w:r w:rsidRPr="00E53E86">
        <w:rPr>
          <w:snapToGrid/>
          <w:lang w:val="en-US"/>
        </w:rPr>
        <w:t xml:space="preserve">. </w:t>
      </w:r>
      <w:r w:rsidRPr="00E53E86">
        <w:t>Overall, the literature searches were satisfactory. An independent search located no other relevant trials</w:t>
      </w:r>
      <w:r w:rsidRPr="00DF57E5">
        <w:t xml:space="preserve">. </w:t>
      </w:r>
    </w:p>
    <w:p w14:paraId="0850A870" w14:textId="4EFA5F7D" w:rsidR="00DD002E" w:rsidRPr="003D7D42" w:rsidRDefault="00DD002E" w:rsidP="00DD002E">
      <w:pPr>
        <w:pStyle w:val="3-BodyText"/>
        <w:rPr>
          <w:i/>
        </w:rPr>
      </w:pPr>
      <w:r>
        <w:rPr>
          <w:snapToGrid/>
          <w:lang w:val="en-US"/>
        </w:rPr>
        <w:t xml:space="preserve">The ATAGI advice </w:t>
      </w:r>
      <w:r w:rsidRPr="000D0929">
        <w:rPr>
          <w:snapToGrid/>
          <w:lang w:val="en-US"/>
        </w:rPr>
        <w:t xml:space="preserve">noted an additional Phase 3 trial in Japanese infants that was found </w:t>
      </w:r>
      <w:r w:rsidRPr="003D7D42">
        <w:rPr>
          <w:snapToGrid/>
          <w:lang w:val="en-US"/>
        </w:rPr>
        <w:t>on clinicaltrials.gov (NCT04384107, P033). However, the study completion date was 1</w:t>
      </w:r>
      <w:r w:rsidR="00942CA0">
        <w:rPr>
          <w:snapToGrid/>
          <w:lang w:val="en-US"/>
        </w:rPr>
        <w:t> </w:t>
      </w:r>
      <w:r w:rsidRPr="003D7D42">
        <w:rPr>
          <w:snapToGrid/>
          <w:lang w:val="en-US"/>
        </w:rPr>
        <w:t xml:space="preserve">December 2021 and it was presumed that analysis had not been conducted at the time of the submission of the Request to ATAGI. The submission stated that the trial P033 used the subcutaneous method of administration, and was done solely for the purposes of registration in Japan. As the mode of administration is not relevant in Australia, it was excluded from consideration. The submission also excluded 5 other Phase </w:t>
      </w:r>
      <w:r>
        <w:rPr>
          <w:snapToGrid/>
          <w:lang w:val="en-US"/>
        </w:rPr>
        <w:t>I</w:t>
      </w:r>
      <w:r w:rsidRPr="003D7D42">
        <w:rPr>
          <w:snapToGrid/>
          <w:lang w:val="en-US"/>
        </w:rPr>
        <w:t xml:space="preserve"> and </w:t>
      </w:r>
      <w:r>
        <w:rPr>
          <w:snapToGrid/>
          <w:lang w:val="en-US"/>
        </w:rPr>
        <w:t>II</w:t>
      </w:r>
      <w:r w:rsidRPr="003D7D42">
        <w:rPr>
          <w:snapToGrid/>
          <w:lang w:val="en-US"/>
        </w:rPr>
        <w:t xml:space="preserve"> trials. </w:t>
      </w:r>
    </w:p>
    <w:p w14:paraId="195A8F41" w14:textId="77777777" w:rsidR="00DD002E" w:rsidRPr="005631B2" w:rsidRDefault="00DD002E" w:rsidP="00DD002E">
      <w:pPr>
        <w:pStyle w:val="3-BodyText"/>
      </w:pPr>
      <w:r w:rsidRPr="005631B2">
        <w:rPr>
          <w:snapToGrid/>
          <w:lang w:val="en-US"/>
        </w:rPr>
        <w:t xml:space="preserve">A claim of non-inferiority of </w:t>
      </w:r>
      <w:r>
        <w:rPr>
          <w:snapToGrid/>
          <w:lang w:val="en-US"/>
        </w:rPr>
        <w:t>15vPCV</w:t>
      </w:r>
      <w:r w:rsidRPr="005631B2">
        <w:rPr>
          <w:snapToGrid/>
          <w:lang w:val="en-US"/>
        </w:rPr>
        <w:t xml:space="preserve"> to </w:t>
      </w:r>
      <w:r>
        <w:rPr>
          <w:snapToGrid/>
          <w:lang w:val="en-US"/>
        </w:rPr>
        <w:t>13vPCV</w:t>
      </w:r>
      <w:r w:rsidRPr="005631B2">
        <w:rPr>
          <w:snapToGrid/>
          <w:lang w:val="en-US"/>
        </w:rPr>
        <w:t xml:space="preserve"> was made</w:t>
      </w:r>
      <w:r>
        <w:rPr>
          <w:snapToGrid/>
          <w:lang w:val="en-US"/>
        </w:rPr>
        <w:t xml:space="preserve"> for</w:t>
      </w:r>
      <w:r w:rsidRPr="005631B2">
        <w:rPr>
          <w:snapToGrid/>
          <w:lang w:val="en-US"/>
        </w:rPr>
        <w:t xml:space="preserve"> 12 of the 13 shared serotypes, an increased immune response to serotype 3 and a superior immune response to </w:t>
      </w:r>
      <w:r>
        <w:rPr>
          <w:snapToGrid/>
          <w:lang w:val="en-US"/>
        </w:rPr>
        <w:t>13vPCV</w:t>
      </w:r>
      <w:r w:rsidRPr="005631B2">
        <w:rPr>
          <w:snapToGrid/>
          <w:lang w:val="en-US"/>
        </w:rPr>
        <w:t xml:space="preserve"> for the unique serotypes 22F and 33F in the requested paediatric populations. </w:t>
      </w:r>
    </w:p>
    <w:p w14:paraId="42367DCA" w14:textId="6E2FA0AE" w:rsidR="00DD002E" w:rsidRPr="005631B2" w:rsidRDefault="00DD002E" w:rsidP="00DD002E">
      <w:pPr>
        <w:pStyle w:val="3-BodyText"/>
      </w:pPr>
      <w:r>
        <w:rPr>
          <w:snapToGrid/>
          <w:lang w:val="en-US"/>
        </w:rPr>
        <w:t xml:space="preserve">The approach to establishing comparative effectiveness was based on immunobridging. </w:t>
      </w:r>
    </w:p>
    <w:p w14:paraId="3F848BAB" w14:textId="540B35E0" w:rsidR="00DD002E" w:rsidRPr="002E4F02" w:rsidRDefault="00DD002E" w:rsidP="00DD002E">
      <w:pPr>
        <w:pStyle w:val="TableFigureHeading"/>
        <w:rPr>
          <w:rStyle w:val="CommentReference"/>
          <w:b/>
          <w:szCs w:val="24"/>
        </w:rPr>
      </w:pPr>
      <w:bookmarkStart w:id="18" w:name="_Ref104803956"/>
      <w:r>
        <w:lastRenderedPageBreak/>
        <w:t xml:space="preserve">Table </w:t>
      </w:r>
      <w:r w:rsidR="009E7289">
        <w:fldChar w:fldCharType="begin"/>
      </w:r>
      <w:r w:rsidR="009E7289">
        <w:instrText xml:space="preserve"> SEQ Table \* ARABIC </w:instrText>
      </w:r>
      <w:r w:rsidR="009E7289">
        <w:fldChar w:fldCharType="separate"/>
      </w:r>
      <w:r w:rsidR="009E7289">
        <w:rPr>
          <w:noProof/>
        </w:rPr>
        <w:t>2</w:t>
      </w:r>
      <w:r w:rsidR="009E7289">
        <w:rPr>
          <w:noProof/>
        </w:rPr>
        <w:fldChar w:fldCharType="end"/>
      </w:r>
      <w:bookmarkEnd w:id="18"/>
      <w:r>
        <w:t>:</w:t>
      </w:r>
      <w:r w:rsidRPr="002E4F02">
        <w:rPr>
          <w:rStyle w:val="CommentReference"/>
          <w:b/>
          <w:szCs w:val="24"/>
        </w:rPr>
        <w:t xml:space="preserve"> Trials</w:t>
      </w:r>
      <w:r>
        <w:rPr>
          <w:rStyle w:val="CommentReference"/>
          <w:b/>
          <w:szCs w:val="24"/>
        </w:rPr>
        <w:t xml:space="preserve"> </w:t>
      </w:r>
      <w:r w:rsidRPr="002E4F02">
        <w:rPr>
          <w:rStyle w:val="CommentReference"/>
          <w:b/>
          <w:szCs w:val="24"/>
        </w:rPr>
        <w:t>and associated reports presented in the submission</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123"/>
        <w:gridCol w:w="4896"/>
        <w:gridCol w:w="3048"/>
      </w:tblGrid>
      <w:tr w:rsidR="00DD002E" w:rsidRPr="00B41614" w14:paraId="7ADD2734" w14:textId="77777777" w:rsidTr="00632A30">
        <w:trPr>
          <w:cantSplit/>
          <w:tblHeader/>
        </w:trPr>
        <w:tc>
          <w:tcPr>
            <w:tcW w:w="619" w:type="pct"/>
            <w:vAlign w:val="center"/>
          </w:tcPr>
          <w:p w14:paraId="5AEEFE6E" w14:textId="77777777" w:rsidR="00DD002E" w:rsidRPr="00B41614" w:rsidRDefault="00DD002E" w:rsidP="00632A30">
            <w:pPr>
              <w:pStyle w:val="In-tableHeading"/>
              <w:jc w:val="center"/>
            </w:pPr>
            <w:r w:rsidRPr="00B41614">
              <w:t>Trial ID</w:t>
            </w:r>
          </w:p>
        </w:tc>
        <w:tc>
          <w:tcPr>
            <w:tcW w:w="2740" w:type="pct"/>
            <w:vAlign w:val="center"/>
          </w:tcPr>
          <w:p w14:paraId="1DA39D9A" w14:textId="77777777" w:rsidR="00DD002E" w:rsidRPr="00B41614" w:rsidRDefault="00DD002E" w:rsidP="00632A30">
            <w:pPr>
              <w:pStyle w:val="In-tableHeading"/>
            </w:pPr>
            <w:r w:rsidRPr="00B41614">
              <w:t>Protocol title/ Publication title</w:t>
            </w:r>
          </w:p>
        </w:tc>
        <w:tc>
          <w:tcPr>
            <w:tcW w:w="1641" w:type="pct"/>
            <w:vAlign w:val="center"/>
          </w:tcPr>
          <w:p w14:paraId="28E1D60B" w14:textId="77777777" w:rsidR="00DD002E" w:rsidRPr="00B41614" w:rsidRDefault="00DD002E" w:rsidP="00632A30">
            <w:pPr>
              <w:pStyle w:val="In-tableHeading"/>
            </w:pPr>
            <w:r w:rsidRPr="00B41614">
              <w:t>Publication citation</w:t>
            </w:r>
          </w:p>
        </w:tc>
      </w:tr>
      <w:tr w:rsidR="00DD002E" w:rsidRPr="00CB38A8" w14:paraId="0A686E61" w14:textId="77777777" w:rsidTr="00632A30">
        <w:trPr>
          <w:cantSplit/>
        </w:trPr>
        <w:tc>
          <w:tcPr>
            <w:tcW w:w="619" w:type="pct"/>
            <w:vAlign w:val="center"/>
          </w:tcPr>
          <w:p w14:paraId="1135F379" w14:textId="77777777" w:rsidR="00DD002E" w:rsidRPr="00DF6341" w:rsidRDefault="00DD002E" w:rsidP="00632A30">
            <w:pPr>
              <w:pStyle w:val="TableText0"/>
              <w:jc w:val="center"/>
              <w:rPr>
                <w:szCs w:val="20"/>
              </w:rPr>
            </w:pPr>
            <w:r>
              <w:t>P025</w:t>
            </w:r>
          </w:p>
        </w:tc>
        <w:tc>
          <w:tcPr>
            <w:tcW w:w="2740" w:type="pct"/>
            <w:tcBorders>
              <w:bottom w:val="nil"/>
            </w:tcBorders>
            <w:vAlign w:val="center"/>
          </w:tcPr>
          <w:p w14:paraId="5DCA2CEA" w14:textId="77777777" w:rsidR="00DD002E" w:rsidRPr="00E53E86" w:rsidRDefault="00DD002E" w:rsidP="00632A30">
            <w:pPr>
              <w:pStyle w:val="TableText0"/>
            </w:pPr>
            <w:r w:rsidRPr="00E53E86">
              <w:rPr>
                <w:szCs w:val="22"/>
              </w:rPr>
              <w:t>A Phase 3, Multicenter, Randomized, Double-blind, Active-comparator-controlled Study to Evaluate the Safety, Tolerability, and Immunogenicity of V114 in Healthy Infants (PNEU-PED-EU-1)</w:t>
            </w:r>
          </w:p>
        </w:tc>
        <w:tc>
          <w:tcPr>
            <w:tcW w:w="1641" w:type="pct"/>
            <w:tcBorders>
              <w:bottom w:val="nil"/>
            </w:tcBorders>
            <w:vAlign w:val="center"/>
          </w:tcPr>
          <w:p w14:paraId="302A038C" w14:textId="77777777" w:rsidR="00DD002E" w:rsidRPr="00E53E86" w:rsidRDefault="00DD002E" w:rsidP="00632A30">
            <w:pPr>
              <w:pStyle w:val="TableText0"/>
            </w:pPr>
            <w:r w:rsidRPr="00E53E86">
              <w:t>Clinical Study Report P025V114</w:t>
            </w:r>
          </w:p>
          <w:p w14:paraId="56D6D2F9" w14:textId="77777777" w:rsidR="00DD002E" w:rsidRPr="00E53E86" w:rsidRDefault="00DD002E" w:rsidP="00632A30">
            <w:pPr>
              <w:pStyle w:val="TableText0"/>
              <w:rPr>
                <w:rFonts w:ascii="Times" w:hAnsi="Times"/>
              </w:rPr>
            </w:pPr>
            <w:r w:rsidRPr="00E53E86">
              <w:t>8 Nov 2021</w:t>
            </w:r>
          </w:p>
        </w:tc>
      </w:tr>
      <w:tr w:rsidR="00DD002E" w:rsidRPr="00CB38A8" w14:paraId="0E98D778" w14:textId="77777777" w:rsidTr="00632A30">
        <w:trPr>
          <w:cantSplit/>
        </w:trPr>
        <w:tc>
          <w:tcPr>
            <w:tcW w:w="619" w:type="pct"/>
            <w:vAlign w:val="center"/>
          </w:tcPr>
          <w:p w14:paraId="635F437F" w14:textId="77777777" w:rsidR="00DD002E" w:rsidRPr="00CB38A8" w:rsidRDefault="00DD002E" w:rsidP="00632A30">
            <w:pPr>
              <w:pStyle w:val="TableText0"/>
              <w:jc w:val="center"/>
              <w:rPr>
                <w:rFonts w:ascii="Times" w:hAnsi="Times"/>
              </w:rPr>
            </w:pPr>
            <w:r>
              <w:t>P026</w:t>
            </w:r>
          </w:p>
        </w:tc>
        <w:tc>
          <w:tcPr>
            <w:tcW w:w="2740" w:type="pct"/>
            <w:tcBorders>
              <w:bottom w:val="nil"/>
            </w:tcBorders>
            <w:vAlign w:val="center"/>
          </w:tcPr>
          <w:p w14:paraId="58AD4B2F" w14:textId="77777777" w:rsidR="00DD002E" w:rsidRPr="00E53E86" w:rsidRDefault="00DD002E" w:rsidP="00632A30">
            <w:pPr>
              <w:pStyle w:val="TableText0"/>
            </w:pPr>
            <w:r w:rsidRPr="00E53E86">
              <w:t>A Phase 3, Multicenter, Randomized, Double-blind, Active-comparator-controlled Study to Evaluate the Safety, Tolerability, and Immunogenicity of a 3-dose Regimen of V114 in Healthy Infants (PNEU-PED-EU-2)</w:t>
            </w:r>
          </w:p>
        </w:tc>
        <w:tc>
          <w:tcPr>
            <w:tcW w:w="1641" w:type="pct"/>
            <w:tcBorders>
              <w:bottom w:val="nil"/>
            </w:tcBorders>
            <w:vAlign w:val="center"/>
          </w:tcPr>
          <w:p w14:paraId="0B2A2112" w14:textId="77777777" w:rsidR="00DD002E" w:rsidRPr="00E53E86" w:rsidRDefault="00DD002E" w:rsidP="00632A30">
            <w:pPr>
              <w:pStyle w:val="TableText0"/>
            </w:pPr>
          </w:p>
          <w:p w14:paraId="6A435E97" w14:textId="77777777" w:rsidR="00DD002E" w:rsidRPr="00E53E86" w:rsidRDefault="00DD002E" w:rsidP="00632A30">
            <w:pPr>
              <w:pStyle w:val="TableText0"/>
            </w:pPr>
            <w:r w:rsidRPr="00E53E86">
              <w:t>Clinical Study Report P026V114</w:t>
            </w:r>
          </w:p>
          <w:p w14:paraId="3590C9C2" w14:textId="77777777" w:rsidR="00DD002E" w:rsidRPr="00E53E86" w:rsidRDefault="00DD002E" w:rsidP="00632A30">
            <w:pPr>
              <w:pStyle w:val="TableText0"/>
            </w:pPr>
            <w:r w:rsidRPr="00E53E86">
              <w:t>8 Mar 2022</w:t>
            </w:r>
          </w:p>
        </w:tc>
      </w:tr>
      <w:tr w:rsidR="00DD002E" w:rsidRPr="00CB38A8" w14:paraId="68F273DE" w14:textId="77777777" w:rsidTr="00632A30">
        <w:trPr>
          <w:cantSplit/>
        </w:trPr>
        <w:tc>
          <w:tcPr>
            <w:tcW w:w="619" w:type="pct"/>
            <w:vAlign w:val="center"/>
          </w:tcPr>
          <w:p w14:paraId="188ECEB8" w14:textId="77777777" w:rsidR="00DD002E" w:rsidRDefault="00DD002E" w:rsidP="00632A30">
            <w:pPr>
              <w:pStyle w:val="TableText0"/>
              <w:jc w:val="center"/>
            </w:pPr>
            <w:r>
              <w:t>P029</w:t>
            </w:r>
          </w:p>
          <w:p w14:paraId="399D1E32" w14:textId="77777777" w:rsidR="00DD002E" w:rsidRPr="00CB38A8" w:rsidRDefault="00DD002E" w:rsidP="00632A30">
            <w:pPr>
              <w:pStyle w:val="TableText0"/>
              <w:jc w:val="center"/>
            </w:pPr>
            <w:r w:rsidRPr="00F759D4">
              <w:t>NCT03893448</w:t>
            </w:r>
          </w:p>
        </w:tc>
        <w:tc>
          <w:tcPr>
            <w:tcW w:w="2740" w:type="pct"/>
            <w:tcBorders>
              <w:bottom w:val="nil"/>
            </w:tcBorders>
            <w:vAlign w:val="center"/>
          </w:tcPr>
          <w:p w14:paraId="5B9C243A" w14:textId="77777777" w:rsidR="00DD002E" w:rsidRPr="00E53E86" w:rsidRDefault="00DD002E" w:rsidP="00632A30">
            <w:pPr>
              <w:pStyle w:val="PBACTableText"/>
            </w:pPr>
            <w:r w:rsidRPr="00E53E86">
              <w:t>A Phase 3, Multicenter, Randomized, Double-blind, Active-Comparator-controlled Study to Evaluate the Safety, Tolerability, and Immunogenicity of a 4-dose Regimen of V114 in Healthy Infants (PNEU-PED)</w:t>
            </w:r>
          </w:p>
        </w:tc>
        <w:tc>
          <w:tcPr>
            <w:tcW w:w="1641" w:type="pct"/>
            <w:tcBorders>
              <w:bottom w:val="nil"/>
            </w:tcBorders>
            <w:vAlign w:val="center"/>
          </w:tcPr>
          <w:p w14:paraId="1026AA87" w14:textId="77777777" w:rsidR="00DD002E" w:rsidRPr="00E53E86" w:rsidRDefault="00DD002E" w:rsidP="00632A30">
            <w:pPr>
              <w:pStyle w:val="TableText0"/>
            </w:pPr>
            <w:r w:rsidRPr="00E53E86">
              <w:t>Clinical Study Report P029V114</w:t>
            </w:r>
          </w:p>
          <w:p w14:paraId="3668AE46" w14:textId="77777777" w:rsidR="00DD002E" w:rsidRPr="00E53E86" w:rsidRDefault="00DD002E" w:rsidP="00632A30">
            <w:pPr>
              <w:pStyle w:val="TableText0"/>
              <w:rPr>
                <w:rFonts w:ascii="Times" w:hAnsi="Times"/>
              </w:rPr>
            </w:pPr>
            <w:r w:rsidRPr="00E53E86">
              <w:t>1 Sep 2021</w:t>
            </w:r>
          </w:p>
        </w:tc>
      </w:tr>
      <w:tr w:rsidR="00DD002E" w:rsidRPr="00CB38A8" w14:paraId="62A96F9F" w14:textId="77777777" w:rsidTr="00632A30">
        <w:trPr>
          <w:cantSplit/>
        </w:trPr>
        <w:tc>
          <w:tcPr>
            <w:tcW w:w="619" w:type="pct"/>
            <w:tcBorders>
              <w:top w:val="single" w:sz="4" w:space="0" w:color="auto"/>
              <w:bottom w:val="single" w:sz="4" w:space="0" w:color="auto"/>
            </w:tcBorders>
            <w:vAlign w:val="center"/>
          </w:tcPr>
          <w:p w14:paraId="3853ED95" w14:textId="77777777" w:rsidR="00DD002E" w:rsidRDefault="00DD002E" w:rsidP="00632A30">
            <w:pPr>
              <w:pStyle w:val="Tabletext"/>
              <w:keepNext/>
              <w:keepLines/>
              <w:jc w:val="center"/>
            </w:pPr>
            <w:r>
              <w:t>P031</w:t>
            </w:r>
          </w:p>
          <w:p w14:paraId="06CE301E" w14:textId="77777777" w:rsidR="00DD002E" w:rsidRPr="00CB38A8" w:rsidRDefault="00DD002E" w:rsidP="00632A30">
            <w:pPr>
              <w:pStyle w:val="Tabletext"/>
              <w:keepNext/>
              <w:keepLines/>
              <w:jc w:val="center"/>
            </w:pPr>
            <w:r w:rsidRPr="00FC51BD">
              <w:rPr>
                <w:szCs w:val="22"/>
              </w:rPr>
              <w:t>NCT03692871</w:t>
            </w:r>
          </w:p>
        </w:tc>
        <w:tc>
          <w:tcPr>
            <w:tcW w:w="2740" w:type="pct"/>
            <w:tcBorders>
              <w:top w:val="single" w:sz="4" w:space="0" w:color="auto"/>
              <w:bottom w:val="single" w:sz="4" w:space="0" w:color="auto"/>
            </w:tcBorders>
            <w:vAlign w:val="center"/>
          </w:tcPr>
          <w:p w14:paraId="2F18B136" w14:textId="77777777" w:rsidR="00DD002E" w:rsidRPr="00E53E86" w:rsidRDefault="00DD002E" w:rsidP="00632A30">
            <w:pPr>
              <w:pStyle w:val="TableText0"/>
            </w:pPr>
            <w:r w:rsidRPr="00E53E86">
              <w:rPr>
                <w:szCs w:val="22"/>
              </w:rPr>
              <w:t>A Phase 3, Multicenter, Randomized, Double-blind, Active Comparator-controlled Study to Evaluate the Safety and Tolerability of V114 in Healthy Infants (PNEU-LINK)</w:t>
            </w:r>
          </w:p>
        </w:tc>
        <w:tc>
          <w:tcPr>
            <w:tcW w:w="1641" w:type="pct"/>
            <w:tcBorders>
              <w:top w:val="single" w:sz="4" w:space="0" w:color="auto"/>
              <w:bottom w:val="single" w:sz="4" w:space="0" w:color="auto"/>
            </w:tcBorders>
            <w:vAlign w:val="center"/>
          </w:tcPr>
          <w:p w14:paraId="615334F0" w14:textId="77777777" w:rsidR="00DD002E" w:rsidRPr="00E53E86" w:rsidRDefault="00DD002E" w:rsidP="00632A30">
            <w:pPr>
              <w:pStyle w:val="TableText0"/>
            </w:pPr>
            <w:r w:rsidRPr="00E53E86">
              <w:t>Clinical Study Report P031V114</w:t>
            </w:r>
          </w:p>
          <w:p w14:paraId="5022D099" w14:textId="77777777" w:rsidR="00DD002E" w:rsidRPr="00E53E86" w:rsidRDefault="00DD002E" w:rsidP="00632A30">
            <w:pPr>
              <w:pStyle w:val="TableText0"/>
            </w:pPr>
            <w:r w:rsidRPr="00E53E86">
              <w:t>6 Aug 2021</w:t>
            </w:r>
          </w:p>
        </w:tc>
      </w:tr>
      <w:tr w:rsidR="00DD002E" w:rsidRPr="00CB38A8" w14:paraId="40C39EC5" w14:textId="77777777" w:rsidTr="00632A30">
        <w:trPr>
          <w:cantSplit/>
        </w:trPr>
        <w:tc>
          <w:tcPr>
            <w:tcW w:w="619" w:type="pct"/>
            <w:tcBorders>
              <w:top w:val="single" w:sz="4" w:space="0" w:color="auto"/>
              <w:bottom w:val="single" w:sz="4" w:space="0" w:color="auto"/>
            </w:tcBorders>
            <w:vAlign w:val="center"/>
          </w:tcPr>
          <w:p w14:paraId="192C1223" w14:textId="77777777" w:rsidR="00DD002E" w:rsidRPr="00CB38A8" w:rsidRDefault="00DD002E" w:rsidP="00632A30">
            <w:pPr>
              <w:pStyle w:val="Tabletext"/>
              <w:keepNext/>
              <w:keepLines/>
              <w:jc w:val="center"/>
            </w:pPr>
            <w:r w:rsidRPr="00FC51BD">
              <w:rPr>
                <w:szCs w:val="22"/>
              </w:rPr>
              <w:t>P023</w:t>
            </w:r>
          </w:p>
        </w:tc>
        <w:tc>
          <w:tcPr>
            <w:tcW w:w="2740" w:type="pct"/>
            <w:tcBorders>
              <w:top w:val="single" w:sz="4" w:space="0" w:color="auto"/>
              <w:bottom w:val="single" w:sz="4" w:space="0" w:color="auto"/>
            </w:tcBorders>
            <w:vAlign w:val="center"/>
          </w:tcPr>
          <w:p w14:paraId="4AC0875B" w14:textId="77777777" w:rsidR="00DD002E" w:rsidRPr="00E53E86" w:rsidRDefault="00DD002E" w:rsidP="00632A30">
            <w:pPr>
              <w:pStyle w:val="TableText0"/>
            </w:pPr>
            <w:r w:rsidRPr="00E53E86">
              <w:t>A Phase 3, Multicenter, Randomized, Double-blind, Active Comparator-controlled Study to Evaluate the Safety, Tolerability, and Immunogenicity of V114 in Children with Sickle Cell Disease (PNEU-SICKLE)</w:t>
            </w:r>
          </w:p>
        </w:tc>
        <w:tc>
          <w:tcPr>
            <w:tcW w:w="1641" w:type="pct"/>
            <w:tcBorders>
              <w:top w:val="single" w:sz="4" w:space="0" w:color="auto"/>
              <w:bottom w:val="single" w:sz="4" w:space="0" w:color="auto"/>
            </w:tcBorders>
            <w:vAlign w:val="center"/>
          </w:tcPr>
          <w:p w14:paraId="57158234" w14:textId="77777777" w:rsidR="00DD002E" w:rsidRPr="00E53E86" w:rsidRDefault="00DD002E" w:rsidP="00632A30">
            <w:pPr>
              <w:pStyle w:val="TableText0"/>
            </w:pPr>
            <w:r w:rsidRPr="00E53E86">
              <w:t>Clinical Study Report P023V114</w:t>
            </w:r>
          </w:p>
          <w:p w14:paraId="6F30DE0E" w14:textId="77777777" w:rsidR="00DD002E" w:rsidRPr="00E53E86" w:rsidRDefault="00DD002E" w:rsidP="00632A30">
            <w:pPr>
              <w:pStyle w:val="TableText0"/>
            </w:pPr>
            <w:r w:rsidRPr="00E53E86">
              <w:t>1 April 2021</w:t>
            </w:r>
          </w:p>
        </w:tc>
      </w:tr>
      <w:tr w:rsidR="00DD002E" w:rsidRPr="00CB38A8" w14:paraId="4DAFD733" w14:textId="77777777" w:rsidTr="00632A30">
        <w:trPr>
          <w:cantSplit/>
        </w:trPr>
        <w:tc>
          <w:tcPr>
            <w:tcW w:w="619" w:type="pct"/>
            <w:tcBorders>
              <w:top w:val="single" w:sz="4" w:space="0" w:color="auto"/>
              <w:bottom w:val="single" w:sz="4" w:space="0" w:color="auto"/>
            </w:tcBorders>
            <w:vAlign w:val="center"/>
          </w:tcPr>
          <w:p w14:paraId="2BAEC3C2" w14:textId="77777777" w:rsidR="00DD002E" w:rsidRDefault="00DD002E" w:rsidP="00632A30">
            <w:pPr>
              <w:pStyle w:val="Tabletext"/>
              <w:keepNext/>
              <w:keepLines/>
              <w:jc w:val="center"/>
            </w:pPr>
            <w:r>
              <w:t>P030</w:t>
            </w:r>
          </w:p>
          <w:p w14:paraId="6A98BB4C" w14:textId="77777777" w:rsidR="00DD002E" w:rsidRPr="00CB38A8" w:rsidRDefault="00DD002E" w:rsidP="00632A30">
            <w:pPr>
              <w:pStyle w:val="Tabletext"/>
              <w:keepNext/>
              <w:keepLines/>
              <w:jc w:val="center"/>
            </w:pPr>
            <w:r w:rsidRPr="00FC51BD">
              <w:rPr>
                <w:szCs w:val="22"/>
              </w:rPr>
              <w:t>NCT03921424</w:t>
            </w:r>
          </w:p>
        </w:tc>
        <w:tc>
          <w:tcPr>
            <w:tcW w:w="2740" w:type="pct"/>
            <w:tcBorders>
              <w:top w:val="single" w:sz="4" w:space="0" w:color="auto"/>
              <w:bottom w:val="single" w:sz="4" w:space="0" w:color="auto"/>
            </w:tcBorders>
            <w:vAlign w:val="center"/>
          </w:tcPr>
          <w:p w14:paraId="005639F1" w14:textId="77777777" w:rsidR="00DD002E" w:rsidRPr="00E53E86" w:rsidRDefault="00DD002E" w:rsidP="00632A30">
            <w:pPr>
              <w:pStyle w:val="TableText0"/>
            </w:pPr>
            <w:r w:rsidRPr="00E53E86">
              <w:t>A Phase 3, Multicenter, Randomized, Double-blind, Active Comparator-controlled Study to Evaluate the Safety, Tolerability, and Immunogenicity of V114 Followed by Administration of PNEUMOVAX™23 Eight Weeks Later in Children Infected With Human Immunodeficiency Virus (HIV) (PNEU-WAY PED)</w:t>
            </w:r>
          </w:p>
        </w:tc>
        <w:tc>
          <w:tcPr>
            <w:tcW w:w="1641" w:type="pct"/>
            <w:tcBorders>
              <w:top w:val="single" w:sz="4" w:space="0" w:color="auto"/>
              <w:bottom w:val="single" w:sz="4" w:space="0" w:color="auto"/>
            </w:tcBorders>
            <w:vAlign w:val="center"/>
          </w:tcPr>
          <w:p w14:paraId="06F9722D" w14:textId="77777777" w:rsidR="00DD002E" w:rsidRPr="00E53E86" w:rsidRDefault="00DD002E" w:rsidP="00632A30">
            <w:pPr>
              <w:pStyle w:val="TableText0"/>
            </w:pPr>
          </w:p>
          <w:p w14:paraId="2A9DCE7D" w14:textId="77777777" w:rsidR="00DD002E" w:rsidRPr="00E53E86" w:rsidRDefault="00DD002E" w:rsidP="00632A30">
            <w:pPr>
              <w:pStyle w:val="TableText0"/>
            </w:pPr>
            <w:r w:rsidRPr="00E53E86">
              <w:t>Clinical Study Report P030V114</w:t>
            </w:r>
          </w:p>
          <w:p w14:paraId="030764BA" w14:textId="77777777" w:rsidR="00DD002E" w:rsidRPr="00E53E86" w:rsidRDefault="00DD002E" w:rsidP="00632A30">
            <w:pPr>
              <w:pStyle w:val="TableText0"/>
            </w:pPr>
            <w:r w:rsidRPr="00E53E86">
              <w:t>20 Aug 2021</w:t>
            </w:r>
          </w:p>
        </w:tc>
      </w:tr>
      <w:tr w:rsidR="00DD002E" w:rsidRPr="00CB38A8" w14:paraId="06E3725A" w14:textId="77777777" w:rsidTr="00632A30">
        <w:trPr>
          <w:cantSplit/>
        </w:trPr>
        <w:tc>
          <w:tcPr>
            <w:tcW w:w="619" w:type="pct"/>
            <w:tcBorders>
              <w:top w:val="single" w:sz="4" w:space="0" w:color="auto"/>
              <w:bottom w:val="nil"/>
            </w:tcBorders>
            <w:vAlign w:val="center"/>
          </w:tcPr>
          <w:p w14:paraId="6DDF9462" w14:textId="77777777" w:rsidR="00DD002E" w:rsidRDefault="00DD002E" w:rsidP="00632A30">
            <w:pPr>
              <w:pStyle w:val="Tabletext"/>
              <w:keepNext/>
              <w:keepLines/>
              <w:jc w:val="center"/>
            </w:pPr>
            <w:r>
              <w:t>P024</w:t>
            </w:r>
          </w:p>
          <w:p w14:paraId="354C6C63" w14:textId="77777777" w:rsidR="00DD002E" w:rsidRPr="00CB38A8" w:rsidRDefault="00DD002E" w:rsidP="00632A30">
            <w:pPr>
              <w:pStyle w:val="Tabletext"/>
              <w:keepNext/>
              <w:keepLines/>
              <w:jc w:val="center"/>
            </w:pPr>
            <w:r>
              <w:t>NCT03885934</w:t>
            </w:r>
          </w:p>
        </w:tc>
        <w:tc>
          <w:tcPr>
            <w:tcW w:w="2740" w:type="pct"/>
            <w:tcBorders>
              <w:top w:val="single" w:sz="4" w:space="0" w:color="auto"/>
              <w:bottom w:val="nil"/>
            </w:tcBorders>
            <w:vAlign w:val="center"/>
          </w:tcPr>
          <w:p w14:paraId="4FE6E44F" w14:textId="77777777" w:rsidR="00DD002E" w:rsidRPr="00E53E86" w:rsidRDefault="00DD002E" w:rsidP="00632A30">
            <w:pPr>
              <w:pStyle w:val="TableText0"/>
            </w:pPr>
            <w:r w:rsidRPr="00E53E86">
              <w:rPr>
                <w:szCs w:val="22"/>
              </w:rPr>
              <w:t>Phase 3 Study to Evaluate the Safety, Tolerability, and Immunogenicity of Catch-up Vaccination Regimens of V114 in Healthy Infants, Children, and Adolescents (PNEU-PLAN)</w:t>
            </w:r>
          </w:p>
        </w:tc>
        <w:tc>
          <w:tcPr>
            <w:tcW w:w="1641" w:type="pct"/>
            <w:tcBorders>
              <w:top w:val="single" w:sz="4" w:space="0" w:color="auto"/>
              <w:bottom w:val="nil"/>
            </w:tcBorders>
            <w:vAlign w:val="center"/>
          </w:tcPr>
          <w:p w14:paraId="67D19C70" w14:textId="77777777" w:rsidR="00DD002E" w:rsidRPr="00E53E86" w:rsidRDefault="00DD002E" w:rsidP="00632A30">
            <w:pPr>
              <w:pStyle w:val="TableText0"/>
            </w:pPr>
            <w:r w:rsidRPr="00E53E86">
              <w:t>Clinical Study Report P024V114</w:t>
            </w:r>
          </w:p>
          <w:p w14:paraId="6F6B6A8C" w14:textId="77777777" w:rsidR="00DD002E" w:rsidRPr="00E53E86" w:rsidRDefault="00DD002E" w:rsidP="00632A30">
            <w:pPr>
              <w:pStyle w:val="TableText0"/>
            </w:pPr>
            <w:r w:rsidRPr="00E53E86">
              <w:t>27 May 2021</w:t>
            </w:r>
          </w:p>
        </w:tc>
      </w:tr>
      <w:tr w:rsidR="00DD002E" w:rsidRPr="00CB38A8" w14:paraId="3D868AFF" w14:textId="77777777" w:rsidTr="00632A30">
        <w:trPr>
          <w:cantSplit/>
        </w:trPr>
        <w:tc>
          <w:tcPr>
            <w:tcW w:w="619" w:type="pct"/>
            <w:tcBorders>
              <w:top w:val="nil"/>
              <w:bottom w:val="single" w:sz="4" w:space="0" w:color="auto"/>
            </w:tcBorders>
            <w:vAlign w:val="center"/>
          </w:tcPr>
          <w:p w14:paraId="5EA692FA" w14:textId="77777777" w:rsidR="00DD002E" w:rsidRPr="00CB38A8" w:rsidRDefault="00DD002E" w:rsidP="00632A30">
            <w:pPr>
              <w:pStyle w:val="Tabletext"/>
              <w:keepNext/>
              <w:keepLines/>
            </w:pPr>
          </w:p>
        </w:tc>
        <w:tc>
          <w:tcPr>
            <w:tcW w:w="2740" w:type="pct"/>
            <w:tcBorders>
              <w:top w:val="nil"/>
              <w:bottom w:val="single" w:sz="4" w:space="0" w:color="auto"/>
            </w:tcBorders>
            <w:vAlign w:val="center"/>
          </w:tcPr>
          <w:p w14:paraId="37616813" w14:textId="77777777" w:rsidR="00DD002E" w:rsidRPr="00E53E86" w:rsidRDefault="00DD002E" w:rsidP="00632A30">
            <w:pPr>
              <w:pStyle w:val="TableText0"/>
            </w:pPr>
            <w:r w:rsidRPr="00E53E86">
              <w:t>Banniettis et al, 2021 Phase 3 Study to Evaluate the Safety, Tolerability, and Immunogenicity of Catch-up Vaccination Regimens of V114 in Healthy Infants, Children, and Adolescents (PNEU–PLAN)</w:t>
            </w:r>
          </w:p>
        </w:tc>
        <w:tc>
          <w:tcPr>
            <w:tcW w:w="1641" w:type="pct"/>
            <w:tcBorders>
              <w:top w:val="nil"/>
              <w:bottom w:val="single" w:sz="4" w:space="0" w:color="auto"/>
            </w:tcBorders>
            <w:vAlign w:val="center"/>
          </w:tcPr>
          <w:p w14:paraId="2EE25FEB" w14:textId="77777777" w:rsidR="00DD002E" w:rsidRPr="00E53E86" w:rsidRDefault="00DD002E" w:rsidP="00632A30">
            <w:pPr>
              <w:pStyle w:val="TableText0"/>
            </w:pPr>
            <w:r w:rsidRPr="00E53E86">
              <w:t>Open Forum Infectious Diseases, 2021.  8: SUPP 1,  S678. https://doi.org/10.1093/ofid/ofab466.1367</w:t>
            </w:r>
          </w:p>
        </w:tc>
      </w:tr>
      <w:tr w:rsidR="00DD002E" w:rsidRPr="00CB38A8" w14:paraId="2B70B009" w14:textId="77777777" w:rsidTr="00632A30">
        <w:trPr>
          <w:cantSplit/>
        </w:trPr>
        <w:tc>
          <w:tcPr>
            <w:tcW w:w="619" w:type="pct"/>
            <w:tcBorders>
              <w:top w:val="single" w:sz="4" w:space="0" w:color="auto"/>
              <w:bottom w:val="nil"/>
            </w:tcBorders>
            <w:vAlign w:val="center"/>
          </w:tcPr>
          <w:p w14:paraId="6D8F1D32" w14:textId="77777777" w:rsidR="00DD002E" w:rsidRDefault="00DD002E" w:rsidP="00632A30">
            <w:pPr>
              <w:pStyle w:val="Tabletext"/>
              <w:keepNext/>
              <w:keepLines/>
              <w:jc w:val="center"/>
            </w:pPr>
            <w:r>
              <w:t>P027</w:t>
            </w:r>
          </w:p>
          <w:p w14:paraId="265FE8B9" w14:textId="77777777" w:rsidR="00DD002E" w:rsidRPr="00CB38A8" w:rsidRDefault="00DD002E" w:rsidP="00632A30">
            <w:pPr>
              <w:pStyle w:val="Tabletext"/>
              <w:keepNext/>
              <w:keepLines/>
              <w:jc w:val="center"/>
            </w:pPr>
            <w:r>
              <w:t>NCT0360162</w:t>
            </w:r>
          </w:p>
        </w:tc>
        <w:tc>
          <w:tcPr>
            <w:tcW w:w="2740" w:type="pct"/>
            <w:tcBorders>
              <w:top w:val="single" w:sz="4" w:space="0" w:color="auto"/>
              <w:bottom w:val="nil"/>
            </w:tcBorders>
            <w:vAlign w:val="center"/>
          </w:tcPr>
          <w:p w14:paraId="486FC7DD" w14:textId="77777777" w:rsidR="00DD002E" w:rsidRPr="00E53E86" w:rsidRDefault="00DD002E" w:rsidP="00632A30">
            <w:pPr>
              <w:pStyle w:val="TableText0"/>
              <w:spacing w:after="120"/>
            </w:pPr>
            <w:r w:rsidRPr="00E53E86">
              <w:t>A Phase 3, Multicenter, Randomized, Double-blind Study to Evaluate the Interchangeability of V114 and Prevnar 13™ With Respect to Safety, Tolerability, and Immunogenicity in Healthy Infants (PNEU-DIRECTION)</w:t>
            </w:r>
          </w:p>
        </w:tc>
        <w:tc>
          <w:tcPr>
            <w:tcW w:w="1641" w:type="pct"/>
            <w:tcBorders>
              <w:top w:val="single" w:sz="4" w:space="0" w:color="auto"/>
              <w:bottom w:val="nil"/>
            </w:tcBorders>
            <w:vAlign w:val="center"/>
          </w:tcPr>
          <w:p w14:paraId="03534E25" w14:textId="77777777" w:rsidR="00DD002E" w:rsidRPr="00E53E86" w:rsidRDefault="00DD002E" w:rsidP="00632A30">
            <w:pPr>
              <w:pStyle w:val="TableText0"/>
            </w:pPr>
          </w:p>
          <w:p w14:paraId="2DE9814A" w14:textId="77777777" w:rsidR="00DD002E" w:rsidRPr="00E53E86" w:rsidRDefault="00DD002E" w:rsidP="00632A30">
            <w:pPr>
              <w:pStyle w:val="TableText0"/>
            </w:pPr>
            <w:r w:rsidRPr="00E53E86">
              <w:t>Clinical Study Report P027V114</w:t>
            </w:r>
          </w:p>
          <w:p w14:paraId="7211AEED" w14:textId="77777777" w:rsidR="00DD002E" w:rsidRPr="00E53E86" w:rsidRDefault="00DD002E" w:rsidP="00632A30">
            <w:pPr>
              <w:pStyle w:val="TableText0"/>
            </w:pPr>
            <w:r w:rsidRPr="00E53E86">
              <w:t>25 May 2021</w:t>
            </w:r>
          </w:p>
        </w:tc>
      </w:tr>
      <w:tr w:rsidR="00DD002E" w:rsidRPr="00CB38A8" w14:paraId="14F6C16B" w14:textId="77777777" w:rsidTr="00632A30">
        <w:trPr>
          <w:cantSplit/>
        </w:trPr>
        <w:tc>
          <w:tcPr>
            <w:tcW w:w="619" w:type="pct"/>
            <w:tcBorders>
              <w:top w:val="nil"/>
              <w:bottom w:val="single" w:sz="4" w:space="0" w:color="auto"/>
            </w:tcBorders>
            <w:vAlign w:val="center"/>
          </w:tcPr>
          <w:p w14:paraId="1D1E1F84" w14:textId="77777777" w:rsidR="00DD002E" w:rsidRDefault="00DD002E" w:rsidP="00632A30">
            <w:pPr>
              <w:pStyle w:val="Tabletext"/>
              <w:keepNext/>
              <w:keepLines/>
            </w:pPr>
          </w:p>
        </w:tc>
        <w:tc>
          <w:tcPr>
            <w:tcW w:w="2740" w:type="pct"/>
            <w:tcBorders>
              <w:top w:val="nil"/>
              <w:bottom w:val="single" w:sz="4" w:space="0" w:color="auto"/>
            </w:tcBorders>
            <w:vAlign w:val="center"/>
          </w:tcPr>
          <w:p w14:paraId="27ABC10E" w14:textId="77777777" w:rsidR="00DD002E" w:rsidRPr="00E53E86" w:rsidRDefault="00DD002E" w:rsidP="00632A30">
            <w:pPr>
              <w:pStyle w:val="TableText0"/>
            </w:pPr>
            <w:r w:rsidRPr="00E53E86">
              <w:t>Bili et al, 2021, A Phase 3, Multicenter, Randomized, Double-blind Study to Evaluate the Interchangeability of V114 and Prevnar 13™ with Respect to Safety, Tolerability, and Immunogenicity in Healthy Infants (PNEU-DIRECTION)</w:t>
            </w:r>
          </w:p>
        </w:tc>
        <w:tc>
          <w:tcPr>
            <w:tcW w:w="1641" w:type="pct"/>
            <w:tcBorders>
              <w:top w:val="nil"/>
              <w:bottom w:val="single" w:sz="4" w:space="0" w:color="auto"/>
            </w:tcBorders>
            <w:vAlign w:val="center"/>
          </w:tcPr>
          <w:p w14:paraId="0319EF1C" w14:textId="77777777" w:rsidR="00DD002E" w:rsidRPr="00E53E86" w:rsidRDefault="00DD002E" w:rsidP="00632A30">
            <w:pPr>
              <w:pStyle w:val="TableText0"/>
            </w:pPr>
            <w:r w:rsidRPr="00E53E86">
              <w:t>Open Forum Infectious Diseases, 2021. 8:SUPPL 1,  S684. 10.1093/ofid/ofab466.1376</w:t>
            </w:r>
          </w:p>
        </w:tc>
      </w:tr>
    </w:tbl>
    <w:p w14:paraId="5966DAD9" w14:textId="77777777" w:rsidR="00DD002E" w:rsidRPr="00B1011F" w:rsidRDefault="00DD002E" w:rsidP="00DD002E">
      <w:pPr>
        <w:pStyle w:val="FooterTableFigure"/>
        <w:rPr>
          <w:sz w:val="20"/>
        </w:rPr>
      </w:pPr>
      <w:r>
        <w:t xml:space="preserve">Source: Table 2.2.2, p 46 </w:t>
      </w:r>
      <w:r w:rsidRPr="00D13A3E">
        <w:t xml:space="preserve">of the </w:t>
      </w:r>
      <w:r>
        <w:t>submission and CSRs for dates.</w:t>
      </w:r>
    </w:p>
    <w:p w14:paraId="59E6916B" w14:textId="3CC995B0" w:rsidR="00DD002E" w:rsidRDefault="00DD002E" w:rsidP="00DD002E">
      <w:pPr>
        <w:pStyle w:val="3-BodyText"/>
      </w:pPr>
      <w:r w:rsidRPr="00B50DB8">
        <w:t>The key features of the randomised trial</w:t>
      </w:r>
      <w:r>
        <w:t xml:space="preserve">s </w:t>
      </w:r>
      <w:r w:rsidRPr="00B50DB8">
        <w:t>are summarised i</w:t>
      </w:r>
      <w:r w:rsidRPr="00F57DB9">
        <w:t xml:space="preserve">n </w:t>
      </w:r>
      <w:bookmarkStart w:id="19" w:name="_Ref104804098"/>
      <w:r>
        <w:fldChar w:fldCharType="begin"/>
      </w:r>
      <w:r>
        <w:instrText xml:space="preserve"> REF _Ref124580487 \h </w:instrText>
      </w:r>
      <w:r>
        <w:fldChar w:fldCharType="separate"/>
      </w:r>
      <w:r w:rsidR="009E7289">
        <w:t xml:space="preserve">Table </w:t>
      </w:r>
      <w:r w:rsidR="009E7289">
        <w:rPr>
          <w:noProof/>
        </w:rPr>
        <w:t>3</w:t>
      </w:r>
      <w:r>
        <w:fldChar w:fldCharType="end"/>
      </w:r>
      <w:r>
        <w:t xml:space="preserve">. </w:t>
      </w:r>
    </w:p>
    <w:p w14:paraId="7D65A6DC" w14:textId="08FA42DA" w:rsidR="00DD002E" w:rsidRDefault="00DD002E" w:rsidP="00DD002E">
      <w:pPr>
        <w:pStyle w:val="Caption"/>
      </w:pPr>
      <w:bookmarkStart w:id="20" w:name="_Ref124580487"/>
      <w:r>
        <w:t xml:space="preserve">Table </w:t>
      </w:r>
      <w:r w:rsidR="009E7289">
        <w:fldChar w:fldCharType="begin"/>
      </w:r>
      <w:r w:rsidR="009E7289">
        <w:instrText xml:space="preserve"> SEQ Table \* ARABIC </w:instrText>
      </w:r>
      <w:r w:rsidR="009E7289">
        <w:fldChar w:fldCharType="separate"/>
      </w:r>
      <w:r w:rsidR="009E7289">
        <w:rPr>
          <w:noProof/>
        </w:rPr>
        <w:t>3</w:t>
      </w:r>
      <w:r w:rsidR="009E7289">
        <w:rPr>
          <w:noProof/>
        </w:rPr>
        <w:fldChar w:fldCharType="end"/>
      </w:r>
      <w:bookmarkEnd w:id="20"/>
      <w:r>
        <w:t>: Key features of the included evidence</w:t>
      </w:r>
    </w:p>
    <w:tbl>
      <w:tblPr>
        <w:tblStyle w:val="TableGrid"/>
        <w:tblW w:w="0" w:type="auto"/>
        <w:tblLook w:val="04A0" w:firstRow="1" w:lastRow="0" w:firstColumn="1" w:lastColumn="0" w:noHBand="0" w:noVBand="1"/>
      </w:tblPr>
      <w:tblGrid>
        <w:gridCol w:w="601"/>
        <w:gridCol w:w="581"/>
        <w:gridCol w:w="2499"/>
        <w:gridCol w:w="567"/>
        <w:gridCol w:w="2410"/>
        <w:gridCol w:w="2359"/>
      </w:tblGrid>
      <w:tr w:rsidR="00DD002E" w14:paraId="5DF01D7B" w14:textId="77777777" w:rsidTr="00632A30">
        <w:trPr>
          <w:tblHeader/>
        </w:trPr>
        <w:tc>
          <w:tcPr>
            <w:tcW w:w="601" w:type="dxa"/>
          </w:tcPr>
          <w:p w14:paraId="3FBF42D4" w14:textId="77777777" w:rsidR="00DD002E" w:rsidRPr="0068179F" w:rsidRDefault="00DD002E" w:rsidP="00632A30">
            <w:pPr>
              <w:pStyle w:val="In-tableHeading"/>
            </w:pPr>
            <w:r w:rsidRPr="0068179F">
              <w:t>Trial</w:t>
            </w:r>
          </w:p>
        </w:tc>
        <w:tc>
          <w:tcPr>
            <w:tcW w:w="581" w:type="dxa"/>
          </w:tcPr>
          <w:p w14:paraId="27739110" w14:textId="77777777" w:rsidR="00DD002E" w:rsidRPr="0068179F" w:rsidRDefault="00DD002E" w:rsidP="00632A30">
            <w:pPr>
              <w:pStyle w:val="In-tableHeading"/>
            </w:pPr>
            <w:r w:rsidRPr="0068179F">
              <w:t>N</w:t>
            </w:r>
          </w:p>
        </w:tc>
        <w:tc>
          <w:tcPr>
            <w:tcW w:w="2499" w:type="dxa"/>
          </w:tcPr>
          <w:p w14:paraId="1790E8AF" w14:textId="77777777" w:rsidR="00DD002E" w:rsidRPr="0068179F" w:rsidRDefault="00DD002E" w:rsidP="00632A30">
            <w:pPr>
              <w:pStyle w:val="In-tableHeading"/>
            </w:pPr>
            <w:r w:rsidRPr="0068179F">
              <w:t>Design/ duration</w:t>
            </w:r>
          </w:p>
        </w:tc>
        <w:tc>
          <w:tcPr>
            <w:tcW w:w="567" w:type="dxa"/>
          </w:tcPr>
          <w:p w14:paraId="2D3B3B32" w14:textId="77777777" w:rsidR="00DD002E" w:rsidRPr="0068179F" w:rsidRDefault="00DD002E" w:rsidP="00632A30">
            <w:pPr>
              <w:pStyle w:val="In-tableHeading"/>
            </w:pPr>
            <w:r w:rsidRPr="0068179F">
              <w:t>Risk of bias</w:t>
            </w:r>
          </w:p>
        </w:tc>
        <w:tc>
          <w:tcPr>
            <w:tcW w:w="2410" w:type="dxa"/>
          </w:tcPr>
          <w:p w14:paraId="545ABACA" w14:textId="77777777" w:rsidR="00DD002E" w:rsidRPr="0068179F" w:rsidRDefault="00DD002E" w:rsidP="00632A30">
            <w:pPr>
              <w:pStyle w:val="In-tableHeading"/>
            </w:pPr>
            <w:r w:rsidRPr="0068179F">
              <w:t>Patient population</w:t>
            </w:r>
          </w:p>
        </w:tc>
        <w:tc>
          <w:tcPr>
            <w:tcW w:w="2359" w:type="dxa"/>
          </w:tcPr>
          <w:p w14:paraId="37BCB81E" w14:textId="77777777" w:rsidR="00DD002E" w:rsidRPr="0068179F" w:rsidRDefault="00DD002E" w:rsidP="00632A30">
            <w:pPr>
              <w:pStyle w:val="In-tableHeading"/>
            </w:pPr>
            <w:r w:rsidRPr="0068179F">
              <w:t>Outcome(s)</w:t>
            </w:r>
          </w:p>
        </w:tc>
      </w:tr>
      <w:tr w:rsidR="00DD002E" w14:paraId="44B90C5E" w14:textId="77777777" w:rsidTr="00632A30">
        <w:tc>
          <w:tcPr>
            <w:tcW w:w="9017" w:type="dxa"/>
            <w:gridSpan w:val="6"/>
          </w:tcPr>
          <w:p w14:paraId="5FA7D591" w14:textId="77777777" w:rsidR="00DD002E" w:rsidRDefault="00DD002E" w:rsidP="00632A30">
            <w:pPr>
              <w:pStyle w:val="In-tableHeading"/>
              <w:rPr>
                <w:lang w:val="en-AU"/>
              </w:rPr>
            </w:pPr>
            <w:r>
              <w:rPr>
                <w:lang w:val="en-AU"/>
              </w:rPr>
              <w:t>Pivotal trials</w:t>
            </w:r>
          </w:p>
        </w:tc>
      </w:tr>
      <w:tr w:rsidR="00DD002E" w14:paraId="19BA0C18" w14:textId="77777777" w:rsidTr="00632A30">
        <w:tc>
          <w:tcPr>
            <w:tcW w:w="601" w:type="dxa"/>
          </w:tcPr>
          <w:p w14:paraId="0A1C532F" w14:textId="77777777" w:rsidR="00DD002E" w:rsidRPr="00FF1FE4" w:rsidRDefault="00DD002E" w:rsidP="00632A30">
            <w:pPr>
              <w:pStyle w:val="PBACTableText"/>
              <w:rPr>
                <w:b/>
                <w:bCs/>
              </w:rPr>
            </w:pPr>
            <w:r w:rsidRPr="00FF1FE4">
              <w:rPr>
                <w:b/>
                <w:bCs/>
              </w:rPr>
              <w:t>P025</w:t>
            </w:r>
          </w:p>
        </w:tc>
        <w:tc>
          <w:tcPr>
            <w:tcW w:w="581" w:type="dxa"/>
          </w:tcPr>
          <w:p w14:paraId="7BAFEE2A" w14:textId="77777777" w:rsidR="00DD002E" w:rsidRDefault="00DD002E" w:rsidP="00632A30">
            <w:pPr>
              <w:pStyle w:val="PBACTableText"/>
            </w:pPr>
            <w:r w:rsidRPr="008340BC">
              <w:t>1184</w:t>
            </w:r>
          </w:p>
        </w:tc>
        <w:tc>
          <w:tcPr>
            <w:tcW w:w="2499" w:type="dxa"/>
          </w:tcPr>
          <w:p w14:paraId="2750B506" w14:textId="77777777" w:rsidR="00DD002E" w:rsidRDefault="00DD002E" w:rsidP="00632A30">
            <w:pPr>
              <w:pStyle w:val="PBACTableText"/>
            </w:pPr>
            <w:r>
              <w:t>15vPCV</w:t>
            </w:r>
            <w:r w:rsidRPr="008340BC">
              <w:t xml:space="preserve"> vs </w:t>
            </w:r>
            <w:r>
              <w:t>13vPCV</w:t>
            </w:r>
            <w:r w:rsidRPr="008340BC">
              <w:t xml:space="preserve">, doses at 2, 4, 11-15 mo (preterm infants 2, 3, 4, 11-15 mo), R, DB, </w:t>
            </w:r>
          </w:p>
        </w:tc>
        <w:tc>
          <w:tcPr>
            <w:tcW w:w="567" w:type="dxa"/>
          </w:tcPr>
          <w:p w14:paraId="5E3D7315" w14:textId="77777777" w:rsidR="00DD002E" w:rsidRDefault="00DD002E" w:rsidP="00632A30">
            <w:pPr>
              <w:pStyle w:val="PBACTableText"/>
            </w:pPr>
            <w:r w:rsidRPr="00E95AEC">
              <w:rPr>
                <w:iCs/>
              </w:rPr>
              <w:t>Low</w:t>
            </w:r>
          </w:p>
        </w:tc>
        <w:tc>
          <w:tcPr>
            <w:tcW w:w="2410" w:type="dxa"/>
          </w:tcPr>
          <w:p w14:paraId="7674C68A" w14:textId="77777777" w:rsidR="00DD002E" w:rsidRDefault="00DD002E" w:rsidP="00632A30">
            <w:pPr>
              <w:pStyle w:val="PBACTableText"/>
            </w:pPr>
            <w:r w:rsidRPr="008340BC">
              <w:t>Healthy infants; no previous pneumococcal vaccine; preterm allowed</w:t>
            </w:r>
          </w:p>
        </w:tc>
        <w:tc>
          <w:tcPr>
            <w:tcW w:w="2359" w:type="dxa"/>
          </w:tcPr>
          <w:p w14:paraId="78F19B22" w14:textId="77777777" w:rsidR="00DD002E" w:rsidRPr="008340BC" w:rsidRDefault="00DD002E" w:rsidP="00632A30">
            <w:pPr>
              <w:pStyle w:val="PBACTableText"/>
            </w:pPr>
            <w:r w:rsidRPr="008340BC">
              <w:t>Serotype specific IgG</w:t>
            </w:r>
            <w:r>
              <w:t xml:space="preserve"> 30 days after </w:t>
            </w:r>
            <w:r w:rsidRPr="008A6580">
              <w:t>3rd</w:t>
            </w:r>
            <w:r>
              <w:t>/</w:t>
            </w:r>
            <w:r w:rsidRPr="008A6580">
              <w:t>4</w:t>
            </w:r>
            <w:r>
              <w:t>dose</w:t>
            </w:r>
            <w:r w:rsidRPr="008340BC">
              <w:t xml:space="preserve">; </w:t>
            </w:r>
          </w:p>
          <w:p w14:paraId="67D9630E" w14:textId="77777777" w:rsidR="00DD002E" w:rsidRDefault="00DD002E" w:rsidP="00632A30">
            <w:pPr>
              <w:pStyle w:val="PBACTableText"/>
            </w:pPr>
            <w:r w:rsidRPr="008340BC">
              <w:lastRenderedPageBreak/>
              <w:t xml:space="preserve">% with IgG </w:t>
            </w:r>
            <w:r w:rsidRPr="008340BC">
              <w:sym w:font="Symbol" w:char="F0B3"/>
            </w:r>
            <w:r w:rsidRPr="008340BC">
              <w:t xml:space="preserve"> 0.35µg/ml 30 days post dose 3 by serotype (dose 4 for preterm infants)</w:t>
            </w:r>
          </w:p>
        </w:tc>
      </w:tr>
      <w:tr w:rsidR="00DD002E" w14:paraId="443D7E43" w14:textId="77777777" w:rsidTr="00632A30">
        <w:tc>
          <w:tcPr>
            <w:tcW w:w="601" w:type="dxa"/>
          </w:tcPr>
          <w:p w14:paraId="116EBFCD" w14:textId="77777777" w:rsidR="00DD002E" w:rsidRPr="00FF1FE4" w:rsidRDefault="00DD002E" w:rsidP="00632A30">
            <w:pPr>
              <w:pStyle w:val="PBACTableText"/>
              <w:rPr>
                <w:b/>
                <w:bCs/>
              </w:rPr>
            </w:pPr>
            <w:r w:rsidRPr="00FF1FE4">
              <w:rPr>
                <w:b/>
                <w:bCs/>
              </w:rPr>
              <w:lastRenderedPageBreak/>
              <w:t>P026</w:t>
            </w:r>
          </w:p>
        </w:tc>
        <w:tc>
          <w:tcPr>
            <w:tcW w:w="581" w:type="dxa"/>
          </w:tcPr>
          <w:p w14:paraId="60C0CF19" w14:textId="77777777" w:rsidR="00DD002E" w:rsidRDefault="00DD002E" w:rsidP="00632A30">
            <w:pPr>
              <w:pStyle w:val="PBACTableText"/>
            </w:pPr>
            <w:r w:rsidRPr="008340BC">
              <w:t>1191</w:t>
            </w:r>
          </w:p>
        </w:tc>
        <w:tc>
          <w:tcPr>
            <w:tcW w:w="2499" w:type="dxa"/>
          </w:tcPr>
          <w:p w14:paraId="5FD5D1B0" w14:textId="77777777" w:rsidR="00DD002E" w:rsidRPr="008340BC" w:rsidRDefault="00DD002E" w:rsidP="00632A30">
            <w:pPr>
              <w:pStyle w:val="PBACTableText"/>
            </w:pPr>
            <w:r>
              <w:t>15vPCV</w:t>
            </w:r>
            <w:r w:rsidRPr="008340BC">
              <w:t xml:space="preserve"> vs </w:t>
            </w:r>
            <w:r>
              <w:t>13vPCV</w:t>
            </w:r>
            <w:r w:rsidRPr="008340BC">
              <w:t>, doses at 3, 5, 12 mo</w:t>
            </w:r>
          </w:p>
          <w:p w14:paraId="28DA4473" w14:textId="77777777" w:rsidR="00DD002E" w:rsidRDefault="00DD002E" w:rsidP="00632A30">
            <w:pPr>
              <w:pStyle w:val="PBACTableText"/>
            </w:pPr>
            <w:r w:rsidRPr="008340BC">
              <w:t xml:space="preserve"> R, DB</w:t>
            </w:r>
          </w:p>
        </w:tc>
        <w:tc>
          <w:tcPr>
            <w:tcW w:w="567" w:type="dxa"/>
          </w:tcPr>
          <w:p w14:paraId="5880BEC0" w14:textId="77777777" w:rsidR="00DD002E" w:rsidRDefault="00DD002E" w:rsidP="00632A30">
            <w:pPr>
              <w:pStyle w:val="PBACTableText"/>
            </w:pPr>
            <w:r w:rsidRPr="00E95AEC">
              <w:rPr>
                <w:iCs/>
              </w:rPr>
              <w:t>Low</w:t>
            </w:r>
          </w:p>
        </w:tc>
        <w:tc>
          <w:tcPr>
            <w:tcW w:w="2410" w:type="dxa"/>
          </w:tcPr>
          <w:p w14:paraId="5E22B6D2" w14:textId="77777777" w:rsidR="00DD002E" w:rsidRDefault="00DD002E" w:rsidP="00632A30">
            <w:pPr>
              <w:pStyle w:val="PBACTableText"/>
            </w:pPr>
            <w:r w:rsidRPr="008340BC">
              <w:t>Healthy infants, no previous pneumococcal vaccine, &lt;37 wk gestation excluded</w:t>
            </w:r>
          </w:p>
        </w:tc>
        <w:tc>
          <w:tcPr>
            <w:tcW w:w="2359" w:type="dxa"/>
          </w:tcPr>
          <w:p w14:paraId="74CC85C8" w14:textId="77777777" w:rsidR="00DD002E" w:rsidRPr="008340BC" w:rsidRDefault="00DD002E" w:rsidP="00632A30">
            <w:pPr>
              <w:pStyle w:val="PBACTableText"/>
            </w:pPr>
            <w:r w:rsidRPr="008340BC">
              <w:t>Serotype specific IgG</w:t>
            </w:r>
            <w:r>
              <w:t xml:space="preserve"> 30 days after 3</w:t>
            </w:r>
            <w:r w:rsidRPr="008A6580">
              <w:rPr>
                <w:vertAlign w:val="superscript"/>
              </w:rPr>
              <w:t>rd</w:t>
            </w:r>
            <w:r>
              <w:t xml:space="preserve"> dose</w:t>
            </w:r>
            <w:r w:rsidRPr="008340BC">
              <w:t xml:space="preserve">; </w:t>
            </w:r>
          </w:p>
          <w:p w14:paraId="65352E48" w14:textId="77777777" w:rsidR="00DD002E" w:rsidRDefault="00DD002E" w:rsidP="00632A30">
            <w:pPr>
              <w:pStyle w:val="PBACTableText"/>
            </w:pPr>
            <w:r w:rsidRPr="008340BC">
              <w:t xml:space="preserve">% with IgG </w:t>
            </w:r>
            <w:r w:rsidRPr="008340BC">
              <w:sym w:font="Symbol" w:char="F0B3"/>
            </w:r>
            <w:r w:rsidRPr="008340BC">
              <w:t xml:space="preserve"> 0.35µg/ml 30 days post dose 3 by serotype</w:t>
            </w:r>
          </w:p>
        </w:tc>
      </w:tr>
      <w:tr w:rsidR="00DD002E" w14:paraId="5A254C25" w14:textId="77777777" w:rsidTr="00632A30">
        <w:tc>
          <w:tcPr>
            <w:tcW w:w="601" w:type="dxa"/>
          </w:tcPr>
          <w:p w14:paraId="06219EB8" w14:textId="77777777" w:rsidR="00DD002E" w:rsidRPr="00FF1FE4" w:rsidRDefault="00DD002E" w:rsidP="00632A30">
            <w:pPr>
              <w:pStyle w:val="PBACTableText"/>
              <w:rPr>
                <w:b/>
                <w:bCs/>
              </w:rPr>
            </w:pPr>
            <w:r w:rsidRPr="00FF1FE4">
              <w:rPr>
                <w:b/>
                <w:bCs/>
              </w:rPr>
              <w:t>P029</w:t>
            </w:r>
          </w:p>
        </w:tc>
        <w:tc>
          <w:tcPr>
            <w:tcW w:w="581" w:type="dxa"/>
          </w:tcPr>
          <w:p w14:paraId="52D2AC2B" w14:textId="77777777" w:rsidR="00DD002E" w:rsidRDefault="00DD002E" w:rsidP="00632A30">
            <w:pPr>
              <w:pStyle w:val="PBACTableText"/>
            </w:pPr>
            <w:r w:rsidRPr="008340BC">
              <w:t>1720</w:t>
            </w:r>
          </w:p>
        </w:tc>
        <w:tc>
          <w:tcPr>
            <w:tcW w:w="2499" w:type="dxa"/>
          </w:tcPr>
          <w:p w14:paraId="7723D7B7" w14:textId="77777777" w:rsidR="00DD002E" w:rsidRDefault="00DD002E" w:rsidP="00632A30">
            <w:pPr>
              <w:pStyle w:val="PBACTableText"/>
            </w:pPr>
            <w:r>
              <w:t>15vPCV</w:t>
            </w:r>
            <w:r w:rsidRPr="008340BC">
              <w:t xml:space="preserve"> vs </w:t>
            </w:r>
            <w:r>
              <w:t>13vPCV</w:t>
            </w:r>
            <w:r w:rsidRPr="008340BC">
              <w:t xml:space="preserve">, doses 2, 4, 6, 12-15 mo, R, DB </w:t>
            </w:r>
          </w:p>
        </w:tc>
        <w:tc>
          <w:tcPr>
            <w:tcW w:w="567" w:type="dxa"/>
          </w:tcPr>
          <w:p w14:paraId="35178F7A" w14:textId="77777777" w:rsidR="00DD002E" w:rsidRDefault="00DD002E" w:rsidP="00632A30">
            <w:pPr>
              <w:pStyle w:val="PBACTableText"/>
            </w:pPr>
            <w:r w:rsidRPr="00E95AEC">
              <w:rPr>
                <w:iCs/>
              </w:rPr>
              <w:t>Low</w:t>
            </w:r>
          </w:p>
        </w:tc>
        <w:tc>
          <w:tcPr>
            <w:tcW w:w="2410" w:type="dxa"/>
          </w:tcPr>
          <w:p w14:paraId="63E808DF" w14:textId="77777777" w:rsidR="00DD002E" w:rsidRDefault="00DD002E" w:rsidP="00632A30">
            <w:pPr>
              <w:pStyle w:val="PBACTableText"/>
            </w:pPr>
            <w:r w:rsidRPr="008340BC">
              <w:t>Healthy infants; no previous pneumococcal vaccine; preterm allowed</w:t>
            </w:r>
          </w:p>
        </w:tc>
        <w:tc>
          <w:tcPr>
            <w:tcW w:w="2359" w:type="dxa"/>
          </w:tcPr>
          <w:p w14:paraId="57A92CC6" w14:textId="77777777" w:rsidR="00DD002E" w:rsidRPr="008340BC" w:rsidRDefault="00DD002E" w:rsidP="00632A30">
            <w:pPr>
              <w:pStyle w:val="PBACTableText"/>
            </w:pPr>
            <w:r w:rsidRPr="008340BC">
              <w:t>Serotype specific IgG</w:t>
            </w:r>
            <w:r>
              <w:t xml:space="preserve"> 30 days after 4</w:t>
            </w:r>
            <w:r w:rsidRPr="008A6580">
              <w:rPr>
                <w:vertAlign w:val="superscript"/>
              </w:rPr>
              <w:t>th</w:t>
            </w:r>
            <w:r>
              <w:t xml:space="preserve"> dose</w:t>
            </w:r>
            <w:r w:rsidRPr="008340BC">
              <w:t xml:space="preserve">; </w:t>
            </w:r>
          </w:p>
          <w:p w14:paraId="10279900" w14:textId="77777777" w:rsidR="00DD002E" w:rsidRDefault="00DD002E" w:rsidP="00632A30">
            <w:pPr>
              <w:pStyle w:val="PBACTableText"/>
            </w:pPr>
            <w:r w:rsidRPr="008340BC">
              <w:t xml:space="preserve">% with IgG </w:t>
            </w:r>
            <w:r w:rsidRPr="008340BC">
              <w:sym w:font="Symbol" w:char="F0B3"/>
            </w:r>
            <w:r w:rsidRPr="008340BC">
              <w:t xml:space="preserve"> 0.35µg/ml 30 days post dose 3 by serotype</w:t>
            </w:r>
          </w:p>
        </w:tc>
      </w:tr>
      <w:tr w:rsidR="00DD002E" w14:paraId="655CDEA5" w14:textId="77777777" w:rsidTr="00632A30">
        <w:tc>
          <w:tcPr>
            <w:tcW w:w="601" w:type="dxa"/>
          </w:tcPr>
          <w:p w14:paraId="63E71BA7" w14:textId="77777777" w:rsidR="00DD002E" w:rsidRPr="00FF1FE4" w:rsidRDefault="00DD002E" w:rsidP="00632A30">
            <w:pPr>
              <w:pStyle w:val="PBACTableText"/>
              <w:rPr>
                <w:b/>
                <w:bCs/>
              </w:rPr>
            </w:pPr>
            <w:r w:rsidRPr="00FF1FE4">
              <w:rPr>
                <w:b/>
                <w:bCs/>
              </w:rPr>
              <w:t>P031</w:t>
            </w:r>
          </w:p>
        </w:tc>
        <w:tc>
          <w:tcPr>
            <w:tcW w:w="581" w:type="dxa"/>
          </w:tcPr>
          <w:p w14:paraId="341CCB4E" w14:textId="77777777" w:rsidR="00DD002E" w:rsidRDefault="00DD002E" w:rsidP="00632A30">
            <w:pPr>
              <w:pStyle w:val="PBACTableText"/>
            </w:pPr>
            <w:r w:rsidRPr="008340BC">
              <w:t>2409</w:t>
            </w:r>
          </w:p>
        </w:tc>
        <w:tc>
          <w:tcPr>
            <w:tcW w:w="2499" w:type="dxa"/>
          </w:tcPr>
          <w:p w14:paraId="4FB04FEB" w14:textId="77777777" w:rsidR="00DD002E" w:rsidRDefault="00DD002E" w:rsidP="00632A30">
            <w:pPr>
              <w:pStyle w:val="PBACTableText"/>
            </w:pPr>
            <w:r>
              <w:t>15vPCV</w:t>
            </w:r>
            <w:r w:rsidRPr="008340BC">
              <w:t xml:space="preserve"> vs </w:t>
            </w:r>
            <w:r>
              <w:t>13vPCV</w:t>
            </w:r>
            <w:r w:rsidRPr="008340BC">
              <w:t>, doses 2, 4, 6, 12-15 mo, R, DB</w:t>
            </w:r>
          </w:p>
        </w:tc>
        <w:tc>
          <w:tcPr>
            <w:tcW w:w="567" w:type="dxa"/>
          </w:tcPr>
          <w:p w14:paraId="39F6C962" w14:textId="77777777" w:rsidR="00DD002E" w:rsidRDefault="00DD002E" w:rsidP="00632A30">
            <w:pPr>
              <w:pStyle w:val="PBACTableText"/>
            </w:pPr>
            <w:r w:rsidRPr="008340BC">
              <w:t>Low</w:t>
            </w:r>
          </w:p>
        </w:tc>
        <w:tc>
          <w:tcPr>
            <w:tcW w:w="2410" w:type="dxa"/>
          </w:tcPr>
          <w:p w14:paraId="4B98745D" w14:textId="77777777" w:rsidR="00DD002E" w:rsidRDefault="00DD002E" w:rsidP="00632A30">
            <w:pPr>
              <w:pStyle w:val="PBACTableText"/>
            </w:pPr>
            <w:r w:rsidRPr="008340BC">
              <w:t>Healthy infants; no previous pneumococcal vaccine; preterm allowed</w:t>
            </w:r>
          </w:p>
        </w:tc>
        <w:tc>
          <w:tcPr>
            <w:tcW w:w="2359" w:type="dxa"/>
          </w:tcPr>
          <w:p w14:paraId="32B503BB" w14:textId="77777777" w:rsidR="00DD002E" w:rsidRDefault="00DD002E" w:rsidP="00632A30">
            <w:pPr>
              <w:pStyle w:val="PBACTableText"/>
            </w:pPr>
            <w:r w:rsidRPr="008340BC">
              <w:t>Adverse events</w:t>
            </w:r>
          </w:p>
        </w:tc>
      </w:tr>
      <w:tr w:rsidR="00DD002E" w14:paraId="552B4B8A" w14:textId="77777777" w:rsidTr="00632A30">
        <w:tc>
          <w:tcPr>
            <w:tcW w:w="9017" w:type="dxa"/>
            <w:gridSpan w:val="6"/>
          </w:tcPr>
          <w:p w14:paraId="36D6453F" w14:textId="77777777" w:rsidR="00DD002E" w:rsidRPr="00F67E56" w:rsidRDefault="00DD002E" w:rsidP="00632A30">
            <w:pPr>
              <w:pStyle w:val="PBACTableText"/>
              <w:rPr>
                <w:b/>
              </w:rPr>
            </w:pPr>
            <w:r w:rsidRPr="00F67E56">
              <w:rPr>
                <w:b/>
              </w:rPr>
              <w:t>Trials in children with risk conditions</w:t>
            </w:r>
          </w:p>
        </w:tc>
      </w:tr>
      <w:tr w:rsidR="00DD002E" w14:paraId="376882B8" w14:textId="77777777" w:rsidTr="00632A30">
        <w:tc>
          <w:tcPr>
            <w:tcW w:w="601" w:type="dxa"/>
          </w:tcPr>
          <w:p w14:paraId="78FDDC2C" w14:textId="77777777" w:rsidR="00DD002E" w:rsidRPr="00FF1FE4" w:rsidRDefault="00DD002E" w:rsidP="00632A30">
            <w:pPr>
              <w:pStyle w:val="PBACTableText"/>
              <w:rPr>
                <w:b/>
                <w:bCs/>
              </w:rPr>
            </w:pPr>
            <w:r w:rsidRPr="00FF1FE4">
              <w:rPr>
                <w:b/>
                <w:bCs/>
              </w:rPr>
              <w:t>P023</w:t>
            </w:r>
          </w:p>
        </w:tc>
        <w:tc>
          <w:tcPr>
            <w:tcW w:w="581" w:type="dxa"/>
          </w:tcPr>
          <w:p w14:paraId="3DF48B88" w14:textId="77777777" w:rsidR="00DD002E" w:rsidRPr="008C58D3" w:rsidRDefault="00DD002E" w:rsidP="00632A30">
            <w:pPr>
              <w:pStyle w:val="PBACTableText"/>
            </w:pPr>
            <w:r w:rsidRPr="008C58D3">
              <w:t>104</w:t>
            </w:r>
          </w:p>
        </w:tc>
        <w:tc>
          <w:tcPr>
            <w:tcW w:w="2499" w:type="dxa"/>
          </w:tcPr>
          <w:p w14:paraId="6999AA82" w14:textId="77777777" w:rsidR="00DD002E" w:rsidRPr="008C58D3" w:rsidRDefault="00DD002E" w:rsidP="00632A30">
            <w:pPr>
              <w:pStyle w:val="PBACTableText"/>
            </w:pPr>
            <w:r>
              <w:t>15vPCV</w:t>
            </w:r>
            <w:r w:rsidRPr="008C58D3">
              <w:t xml:space="preserve"> vs </w:t>
            </w:r>
            <w:r>
              <w:t>13vPCV</w:t>
            </w:r>
            <w:r w:rsidRPr="008C58D3">
              <w:t>, single dose, R, DB</w:t>
            </w:r>
          </w:p>
        </w:tc>
        <w:tc>
          <w:tcPr>
            <w:tcW w:w="567" w:type="dxa"/>
          </w:tcPr>
          <w:p w14:paraId="472F2FB8" w14:textId="77777777" w:rsidR="00DD002E" w:rsidRPr="008C58D3" w:rsidRDefault="00DD002E" w:rsidP="00632A30">
            <w:pPr>
              <w:pStyle w:val="PBACTableText"/>
            </w:pPr>
            <w:r w:rsidRPr="008C58D3">
              <w:t>Low</w:t>
            </w:r>
          </w:p>
        </w:tc>
        <w:tc>
          <w:tcPr>
            <w:tcW w:w="2410" w:type="dxa"/>
          </w:tcPr>
          <w:p w14:paraId="78466E4C" w14:textId="77777777" w:rsidR="00DD002E" w:rsidRPr="008C58D3" w:rsidRDefault="00DD002E" w:rsidP="00632A30">
            <w:pPr>
              <w:pStyle w:val="PBACTableText"/>
            </w:pPr>
            <w:r w:rsidRPr="008C58D3">
              <w:t>Sickle Cell Disease, age 5-17 years; no PCV or PnP vaccine within 3 years</w:t>
            </w:r>
          </w:p>
        </w:tc>
        <w:tc>
          <w:tcPr>
            <w:tcW w:w="2359" w:type="dxa"/>
          </w:tcPr>
          <w:p w14:paraId="41024C40" w14:textId="77777777" w:rsidR="00DD002E" w:rsidRPr="008C58D3" w:rsidRDefault="00DD002E" w:rsidP="00632A30">
            <w:pPr>
              <w:pStyle w:val="PBACTableText"/>
            </w:pPr>
            <w:r w:rsidRPr="008C58D3">
              <w:t>Serotype specific IgG 30 days after dose</w:t>
            </w:r>
          </w:p>
          <w:p w14:paraId="103409CC" w14:textId="77777777" w:rsidR="00DD002E" w:rsidRPr="008C58D3" w:rsidRDefault="00DD002E" w:rsidP="00632A30">
            <w:pPr>
              <w:pStyle w:val="PBACTableText"/>
            </w:pPr>
          </w:p>
        </w:tc>
      </w:tr>
      <w:tr w:rsidR="00DD002E" w14:paraId="3ACB832D" w14:textId="77777777" w:rsidTr="00632A30">
        <w:tc>
          <w:tcPr>
            <w:tcW w:w="601" w:type="dxa"/>
          </w:tcPr>
          <w:p w14:paraId="3F6B9BBE" w14:textId="77777777" w:rsidR="00DD002E" w:rsidRPr="00FF1FE4" w:rsidRDefault="00DD002E" w:rsidP="00632A30">
            <w:pPr>
              <w:pStyle w:val="PBACTableText"/>
              <w:rPr>
                <w:b/>
                <w:bCs/>
              </w:rPr>
            </w:pPr>
            <w:r w:rsidRPr="00FF1FE4">
              <w:rPr>
                <w:b/>
                <w:bCs/>
              </w:rPr>
              <w:t>P030</w:t>
            </w:r>
          </w:p>
        </w:tc>
        <w:tc>
          <w:tcPr>
            <w:tcW w:w="581" w:type="dxa"/>
          </w:tcPr>
          <w:p w14:paraId="1E42AC21" w14:textId="77777777" w:rsidR="00DD002E" w:rsidRPr="0019525B" w:rsidRDefault="00DD002E" w:rsidP="00632A30">
            <w:pPr>
              <w:pStyle w:val="PBACTableText"/>
            </w:pPr>
            <w:r w:rsidRPr="0019525B">
              <w:t>407</w:t>
            </w:r>
          </w:p>
        </w:tc>
        <w:tc>
          <w:tcPr>
            <w:tcW w:w="2499" w:type="dxa"/>
          </w:tcPr>
          <w:p w14:paraId="7ED23B3C" w14:textId="77777777" w:rsidR="00DD002E" w:rsidRPr="0019525B" w:rsidRDefault="00DD002E" w:rsidP="00632A30">
            <w:pPr>
              <w:pStyle w:val="PBACTableText"/>
            </w:pPr>
            <w:r>
              <w:t>15vPCV</w:t>
            </w:r>
            <w:r w:rsidRPr="0019525B">
              <w:t xml:space="preserve"> vs </w:t>
            </w:r>
            <w:r>
              <w:t>13vPCV</w:t>
            </w:r>
            <w:r w:rsidRPr="0019525B">
              <w:t xml:space="preserve">, single dose then </w:t>
            </w:r>
            <w:r>
              <w:t>23vPPV</w:t>
            </w:r>
            <w:r w:rsidRPr="0019525B">
              <w:t xml:space="preserve"> at 8 wk, R, DB</w:t>
            </w:r>
          </w:p>
        </w:tc>
        <w:tc>
          <w:tcPr>
            <w:tcW w:w="567" w:type="dxa"/>
          </w:tcPr>
          <w:p w14:paraId="6237776A" w14:textId="77777777" w:rsidR="00DD002E" w:rsidRPr="0019525B" w:rsidRDefault="00DD002E" w:rsidP="00632A30">
            <w:pPr>
              <w:pStyle w:val="PBACTableText"/>
            </w:pPr>
            <w:r w:rsidRPr="0019525B">
              <w:t>Low</w:t>
            </w:r>
          </w:p>
        </w:tc>
        <w:tc>
          <w:tcPr>
            <w:tcW w:w="2410" w:type="dxa"/>
          </w:tcPr>
          <w:p w14:paraId="04ECF8D9" w14:textId="77777777" w:rsidR="00DD002E" w:rsidRPr="0019525B" w:rsidRDefault="00DD002E" w:rsidP="00632A30">
            <w:pPr>
              <w:pStyle w:val="PBACTableText"/>
            </w:pPr>
            <w:r w:rsidRPr="0019525B">
              <w:t xml:space="preserve">HIV aged 6-17 years; </w:t>
            </w:r>
          </w:p>
          <w:p w14:paraId="1213606C" w14:textId="77777777" w:rsidR="00DD002E" w:rsidRPr="0019525B" w:rsidRDefault="00DD002E" w:rsidP="00632A30">
            <w:pPr>
              <w:pStyle w:val="PBACTableText"/>
            </w:pPr>
            <w:r w:rsidRPr="0019525B">
              <w:t xml:space="preserve">CD4 count </w:t>
            </w:r>
            <w:r w:rsidRPr="0019525B">
              <w:sym w:font="Symbol" w:char="F0B3"/>
            </w:r>
            <w:r w:rsidRPr="0019525B">
              <w:t xml:space="preserve"> 200/</w:t>
            </w:r>
            <w:r w:rsidRPr="0019525B">
              <w:sym w:font="Symbol" w:char="F06D"/>
            </w:r>
            <w:r w:rsidRPr="0019525B">
              <w:t xml:space="preserve">L, plasma HIV &lt; 50,000 copies/mL; </w:t>
            </w:r>
          </w:p>
          <w:p w14:paraId="0C66BC92" w14:textId="77777777" w:rsidR="00DD002E" w:rsidRPr="0019525B" w:rsidRDefault="00DD002E" w:rsidP="00632A30">
            <w:pPr>
              <w:pStyle w:val="PBACTableText"/>
            </w:pPr>
            <w:r w:rsidRPr="0019525B">
              <w:t xml:space="preserve">No previous PCV or previous PCV &lt; 13-valent or partially vaccinated with </w:t>
            </w:r>
            <w:r>
              <w:t>13vPCV</w:t>
            </w:r>
            <w:r w:rsidRPr="0019525B">
              <w:t xml:space="preserve"> or PCV vaccination </w:t>
            </w:r>
            <w:r w:rsidRPr="0019525B">
              <w:sym w:font="Symbol" w:char="F0B3"/>
            </w:r>
            <w:r w:rsidRPr="0019525B">
              <w:t xml:space="preserve"> 3 years;</w:t>
            </w:r>
          </w:p>
          <w:p w14:paraId="5C5CDC64" w14:textId="77777777" w:rsidR="00DD002E" w:rsidRPr="0019525B" w:rsidRDefault="00DD002E" w:rsidP="00632A30">
            <w:pPr>
              <w:pStyle w:val="PBACTableText"/>
            </w:pPr>
            <w:r w:rsidRPr="0019525B">
              <w:t xml:space="preserve">No previous pneumococcal vaccine or one pneumococcal vaccination </w:t>
            </w:r>
            <w:r w:rsidRPr="0019525B">
              <w:sym w:font="Symbol" w:char="F0B3"/>
            </w:r>
            <w:r w:rsidRPr="0019525B">
              <w:t xml:space="preserve"> 5 years</w:t>
            </w:r>
          </w:p>
        </w:tc>
        <w:tc>
          <w:tcPr>
            <w:tcW w:w="2359" w:type="dxa"/>
          </w:tcPr>
          <w:p w14:paraId="717FE0BC" w14:textId="77777777" w:rsidR="00DD002E" w:rsidRPr="0019525B" w:rsidRDefault="00DD002E" w:rsidP="00632A30">
            <w:pPr>
              <w:pStyle w:val="PBACTableText"/>
            </w:pPr>
            <w:r w:rsidRPr="0019525B">
              <w:t>Serotype specific IgG 30 days after dose</w:t>
            </w:r>
          </w:p>
          <w:p w14:paraId="51DD8887" w14:textId="77777777" w:rsidR="00DD002E" w:rsidRPr="0019525B" w:rsidRDefault="00DD002E" w:rsidP="00632A30">
            <w:pPr>
              <w:pStyle w:val="PBACTableText"/>
            </w:pPr>
          </w:p>
        </w:tc>
      </w:tr>
      <w:tr w:rsidR="00DD002E" w14:paraId="00853324" w14:textId="77777777" w:rsidTr="00632A30">
        <w:tc>
          <w:tcPr>
            <w:tcW w:w="9017" w:type="dxa"/>
            <w:gridSpan w:val="6"/>
          </w:tcPr>
          <w:p w14:paraId="2C7430E9" w14:textId="77777777" w:rsidR="00DD002E" w:rsidRPr="00F67E56" w:rsidRDefault="00DD002E" w:rsidP="00632A30">
            <w:pPr>
              <w:pStyle w:val="PBACTableText"/>
              <w:rPr>
                <w:b/>
              </w:rPr>
            </w:pPr>
            <w:r w:rsidRPr="00F67E56">
              <w:rPr>
                <w:b/>
              </w:rPr>
              <w:t>Catch-up regimen</w:t>
            </w:r>
          </w:p>
        </w:tc>
      </w:tr>
      <w:tr w:rsidR="00DD002E" w14:paraId="0AC09201" w14:textId="77777777" w:rsidTr="00632A30">
        <w:tc>
          <w:tcPr>
            <w:tcW w:w="601" w:type="dxa"/>
          </w:tcPr>
          <w:p w14:paraId="11078D0D" w14:textId="77777777" w:rsidR="00DD002E" w:rsidRPr="00FF1FE4" w:rsidRDefault="00DD002E" w:rsidP="00632A30">
            <w:pPr>
              <w:pStyle w:val="PBACTableText"/>
              <w:rPr>
                <w:b/>
                <w:bCs/>
              </w:rPr>
            </w:pPr>
            <w:r w:rsidRPr="00FF1FE4">
              <w:rPr>
                <w:b/>
                <w:bCs/>
              </w:rPr>
              <w:t>P024</w:t>
            </w:r>
          </w:p>
        </w:tc>
        <w:tc>
          <w:tcPr>
            <w:tcW w:w="581" w:type="dxa"/>
          </w:tcPr>
          <w:p w14:paraId="69BADC33" w14:textId="77777777" w:rsidR="00DD002E" w:rsidRPr="0019525B" w:rsidRDefault="00DD002E" w:rsidP="00632A30">
            <w:pPr>
              <w:pStyle w:val="PBACTableText"/>
            </w:pPr>
            <w:r w:rsidRPr="0019525B">
              <w:t>606</w:t>
            </w:r>
          </w:p>
        </w:tc>
        <w:tc>
          <w:tcPr>
            <w:tcW w:w="2499" w:type="dxa"/>
          </w:tcPr>
          <w:p w14:paraId="409E89E0" w14:textId="77777777" w:rsidR="00DD002E" w:rsidRPr="0019525B" w:rsidRDefault="00DD002E" w:rsidP="00632A30">
            <w:pPr>
              <w:pStyle w:val="PBACTableText"/>
            </w:pPr>
            <w:r>
              <w:t>15vPCV</w:t>
            </w:r>
            <w:r w:rsidRPr="0019525B">
              <w:t xml:space="preserve"> vs </w:t>
            </w:r>
            <w:r>
              <w:t>13vPCV</w:t>
            </w:r>
            <w:r w:rsidRPr="0019525B">
              <w:t>, R, DB; 7-11 mo and no previous PCV, 3 doses; 12-23 mo and no previous PCV, 2 doses; 2-17 years and no previous PCV, one dose; 2-17 years and previous PCV one dose &gt; 8 wk after last PCV</w:t>
            </w:r>
          </w:p>
        </w:tc>
        <w:tc>
          <w:tcPr>
            <w:tcW w:w="567" w:type="dxa"/>
          </w:tcPr>
          <w:p w14:paraId="1D1C2367" w14:textId="77777777" w:rsidR="00DD002E" w:rsidRPr="0019525B" w:rsidRDefault="00DD002E" w:rsidP="00632A30">
            <w:pPr>
              <w:pStyle w:val="PBACTableText"/>
            </w:pPr>
            <w:r w:rsidRPr="0019525B">
              <w:t>Low</w:t>
            </w:r>
          </w:p>
        </w:tc>
        <w:tc>
          <w:tcPr>
            <w:tcW w:w="2410" w:type="dxa"/>
          </w:tcPr>
          <w:p w14:paraId="5B86F5C4" w14:textId="77777777" w:rsidR="00DD002E" w:rsidRPr="0019525B" w:rsidRDefault="00DD002E" w:rsidP="00632A30">
            <w:pPr>
              <w:pStyle w:val="PBACTableText"/>
            </w:pPr>
            <w:r w:rsidRPr="0019525B">
              <w:t>Healthy</w:t>
            </w:r>
          </w:p>
        </w:tc>
        <w:tc>
          <w:tcPr>
            <w:tcW w:w="2359" w:type="dxa"/>
          </w:tcPr>
          <w:p w14:paraId="638F47C1" w14:textId="77777777" w:rsidR="00DD002E" w:rsidRPr="0019525B" w:rsidRDefault="00DD002E" w:rsidP="00632A30">
            <w:pPr>
              <w:pStyle w:val="PBACTableText"/>
            </w:pPr>
            <w:r w:rsidRPr="0019525B">
              <w:t>Serotype specific IgG 30 days after final dose</w:t>
            </w:r>
          </w:p>
        </w:tc>
      </w:tr>
      <w:tr w:rsidR="00DD002E" w14:paraId="63F04AEB" w14:textId="77777777" w:rsidTr="00632A30">
        <w:tc>
          <w:tcPr>
            <w:tcW w:w="9017" w:type="dxa"/>
            <w:gridSpan w:val="6"/>
          </w:tcPr>
          <w:p w14:paraId="18ADF081" w14:textId="77777777" w:rsidR="00DD002E" w:rsidRPr="00FF1FE4" w:rsidRDefault="00DD002E" w:rsidP="00632A30">
            <w:pPr>
              <w:pStyle w:val="PBACTableText"/>
              <w:rPr>
                <w:b/>
                <w:bCs/>
              </w:rPr>
            </w:pPr>
            <w:r w:rsidRPr="00FF1FE4">
              <w:rPr>
                <w:b/>
                <w:bCs/>
              </w:rPr>
              <w:t>Interchangeability of 15vPCV and 13vPCV</w:t>
            </w:r>
          </w:p>
        </w:tc>
      </w:tr>
      <w:tr w:rsidR="00DD002E" w14:paraId="61EF4EE8" w14:textId="77777777" w:rsidTr="00632A30">
        <w:tc>
          <w:tcPr>
            <w:tcW w:w="601" w:type="dxa"/>
          </w:tcPr>
          <w:p w14:paraId="14771335" w14:textId="77777777" w:rsidR="00DD002E" w:rsidRPr="00FF1FE4" w:rsidRDefault="00DD002E" w:rsidP="00632A30">
            <w:pPr>
              <w:pStyle w:val="PBACTableText"/>
              <w:rPr>
                <w:b/>
                <w:bCs/>
              </w:rPr>
            </w:pPr>
            <w:r w:rsidRPr="00FF1FE4">
              <w:rPr>
                <w:b/>
                <w:bCs/>
              </w:rPr>
              <w:t>P027</w:t>
            </w:r>
          </w:p>
        </w:tc>
        <w:tc>
          <w:tcPr>
            <w:tcW w:w="581" w:type="dxa"/>
          </w:tcPr>
          <w:p w14:paraId="37289911" w14:textId="77777777" w:rsidR="00DD002E" w:rsidRPr="0019525B" w:rsidRDefault="00DD002E" w:rsidP="00632A30">
            <w:pPr>
              <w:pStyle w:val="PBACTableText"/>
            </w:pPr>
            <w:r w:rsidRPr="0019525B">
              <w:t>900</w:t>
            </w:r>
          </w:p>
        </w:tc>
        <w:tc>
          <w:tcPr>
            <w:tcW w:w="2499" w:type="dxa"/>
          </w:tcPr>
          <w:p w14:paraId="2B84FF96" w14:textId="77777777" w:rsidR="00DD002E" w:rsidRPr="0019525B" w:rsidRDefault="00DD002E" w:rsidP="00632A30">
            <w:pPr>
              <w:pStyle w:val="PBACTableText"/>
            </w:pPr>
            <w:r>
              <w:t>15vPCV</w:t>
            </w:r>
            <w:r w:rsidRPr="0019525B">
              <w:t xml:space="preserve"> v. </w:t>
            </w:r>
            <w:r>
              <w:t>13vPCV</w:t>
            </w:r>
            <w:r w:rsidRPr="0019525B">
              <w:t>, R, DB, 4 doses total as:</w:t>
            </w:r>
          </w:p>
          <w:p w14:paraId="284DF23D" w14:textId="77777777" w:rsidR="00DD002E" w:rsidRPr="0019525B" w:rsidRDefault="00DD002E" w:rsidP="00632A30">
            <w:pPr>
              <w:pStyle w:val="PBACTableText"/>
            </w:pPr>
            <w:r w:rsidRPr="0019525B">
              <w:t xml:space="preserve">- All </w:t>
            </w:r>
            <w:r>
              <w:t>13vPCV</w:t>
            </w:r>
            <w:r w:rsidRPr="0019525B">
              <w:t xml:space="preserve"> doses</w:t>
            </w:r>
          </w:p>
          <w:p w14:paraId="5152D258" w14:textId="77777777" w:rsidR="00DD002E" w:rsidRPr="0019525B" w:rsidRDefault="00DD002E" w:rsidP="00632A30">
            <w:pPr>
              <w:pStyle w:val="PBACTableText"/>
            </w:pPr>
            <w:r w:rsidRPr="0019525B">
              <w:t xml:space="preserve">- 1 </w:t>
            </w:r>
            <w:r>
              <w:t>15vPCV</w:t>
            </w:r>
            <w:r w:rsidRPr="0019525B">
              <w:t xml:space="preserve"> + 3 </w:t>
            </w:r>
            <w:r>
              <w:t>13vPCV</w:t>
            </w:r>
            <w:r w:rsidRPr="0019525B">
              <w:t xml:space="preserve"> doses</w:t>
            </w:r>
          </w:p>
          <w:p w14:paraId="715C5F0B" w14:textId="77777777" w:rsidR="00DD002E" w:rsidRPr="0019525B" w:rsidRDefault="00DD002E" w:rsidP="00632A30">
            <w:pPr>
              <w:pStyle w:val="PBACTableText"/>
            </w:pPr>
            <w:r w:rsidRPr="0019525B">
              <w:t xml:space="preserve">- 2 </w:t>
            </w:r>
            <w:r>
              <w:t>15vPCV</w:t>
            </w:r>
            <w:r w:rsidRPr="0019525B">
              <w:t xml:space="preserve"> + 2 </w:t>
            </w:r>
            <w:r>
              <w:t>13vPCV</w:t>
            </w:r>
            <w:r w:rsidRPr="0019525B">
              <w:t xml:space="preserve"> doses</w:t>
            </w:r>
          </w:p>
          <w:p w14:paraId="7FB72A78" w14:textId="77777777" w:rsidR="00DD002E" w:rsidRPr="0019525B" w:rsidRDefault="00DD002E" w:rsidP="00632A30">
            <w:pPr>
              <w:pStyle w:val="PBACTableText"/>
            </w:pPr>
            <w:r w:rsidRPr="0019525B">
              <w:t xml:space="preserve">- 3 </w:t>
            </w:r>
            <w:r>
              <w:t>15vPCV</w:t>
            </w:r>
            <w:r w:rsidRPr="0019525B">
              <w:t xml:space="preserve"> + 1 </w:t>
            </w:r>
            <w:r>
              <w:t>13vPCV</w:t>
            </w:r>
            <w:r w:rsidRPr="0019525B">
              <w:t xml:space="preserve"> doses</w:t>
            </w:r>
          </w:p>
          <w:p w14:paraId="30E53900" w14:textId="77777777" w:rsidR="00DD002E" w:rsidRPr="0019525B" w:rsidRDefault="00DD002E" w:rsidP="00632A30">
            <w:pPr>
              <w:pStyle w:val="PBACTableText"/>
            </w:pPr>
            <w:r w:rsidRPr="0019525B">
              <w:t xml:space="preserve">- All </w:t>
            </w:r>
            <w:r>
              <w:t>15vPCV</w:t>
            </w:r>
            <w:r w:rsidRPr="0019525B">
              <w:t xml:space="preserve"> doses </w:t>
            </w:r>
          </w:p>
        </w:tc>
        <w:tc>
          <w:tcPr>
            <w:tcW w:w="567" w:type="dxa"/>
          </w:tcPr>
          <w:p w14:paraId="64C89522" w14:textId="77777777" w:rsidR="00DD002E" w:rsidRPr="0019525B" w:rsidRDefault="00DD002E" w:rsidP="00632A30">
            <w:pPr>
              <w:pStyle w:val="PBACTableText"/>
            </w:pPr>
            <w:r w:rsidRPr="0019525B">
              <w:t>Low</w:t>
            </w:r>
          </w:p>
        </w:tc>
        <w:tc>
          <w:tcPr>
            <w:tcW w:w="2410" w:type="dxa"/>
          </w:tcPr>
          <w:p w14:paraId="7E0E14E9" w14:textId="77777777" w:rsidR="00DD002E" w:rsidRPr="0019525B" w:rsidRDefault="00DD002E" w:rsidP="00632A30">
            <w:pPr>
              <w:pStyle w:val="PBACTableText"/>
            </w:pPr>
            <w:r w:rsidRPr="0019525B">
              <w:t xml:space="preserve">Healthy infants; no previous PCV if &lt; 2 years; if </w:t>
            </w:r>
            <w:r w:rsidRPr="0019525B">
              <w:sym w:font="Symbol" w:char="F0B3"/>
            </w:r>
            <w:r w:rsidRPr="0019525B">
              <w:t xml:space="preserve"> 2 years no previous PCV or last PCV &gt; 8 wk before study entry  </w:t>
            </w:r>
          </w:p>
        </w:tc>
        <w:tc>
          <w:tcPr>
            <w:tcW w:w="2359" w:type="dxa"/>
          </w:tcPr>
          <w:p w14:paraId="7D452D7F" w14:textId="77777777" w:rsidR="00DD002E" w:rsidRPr="0019525B" w:rsidRDefault="00DD002E" w:rsidP="00632A30">
            <w:pPr>
              <w:pStyle w:val="PBACTableText"/>
            </w:pPr>
            <w:r w:rsidRPr="0019525B">
              <w:t>Serotype specific IgG 30 days after 4th dose</w:t>
            </w:r>
          </w:p>
        </w:tc>
      </w:tr>
    </w:tbl>
    <w:p w14:paraId="34B2F82B" w14:textId="77777777" w:rsidR="00DD002E" w:rsidRDefault="00DD002E" w:rsidP="00DD002E">
      <w:pPr>
        <w:pStyle w:val="TableFooter"/>
      </w:pPr>
      <w:r w:rsidRPr="0019525B">
        <w:t xml:space="preserve">Source: Table 2.3-1, pp49-51 of the submission. </w:t>
      </w:r>
    </w:p>
    <w:p w14:paraId="50E753F3" w14:textId="77777777" w:rsidR="00DD002E" w:rsidRDefault="00DD002E" w:rsidP="00DD002E">
      <w:pPr>
        <w:pStyle w:val="TableFooter"/>
        <w:spacing w:after="120"/>
        <w:rPr>
          <w:rStyle w:val="CommentReference"/>
          <w:rFonts w:eastAsiaTheme="majorEastAsia"/>
          <w:snapToGrid w:val="0"/>
        </w:rPr>
      </w:pPr>
      <w:r w:rsidRPr="006E4520">
        <w:lastRenderedPageBreak/>
        <w:t>CD4 = cluster of differentiation 4; DB =</w:t>
      </w:r>
      <w:r w:rsidRPr="0019525B">
        <w:t xml:space="preserve"> double blind; HIV = human immunodeficiency virus; IgG = immunoglobulin</w:t>
      </w:r>
      <w:r>
        <w:t> </w:t>
      </w:r>
      <w:r w:rsidRPr="0019525B">
        <w:t>G</w:t>
      </w:r>
      <w:r>
        <w:t>;</w:t>
      </w:r>
      <w:r w:rsidRPr="0019525B">
        <w:t xml:space="preserve"> </w:t>
      </w:r>
      <w:r>
        <w:t xml:space="preserve">mo = months; </w:t>
      </w:r>
      <w:r w:rsidRPr="0019525B">
        <w:t>PCV = pneumococcal conjugate vaccine</w:t>
      </w:r>
      <w:r>
        <w:t xml:space="preserve">; </w:t>
      </w:r>
      <w:r w:rsidRPr="0019525B">
        <w:t>R = randomised</w:t>
      </w:r>
      <w:r>
        <w:t>; wk = weeks</w:t>
      </w:r>
      <w:r w:rsidRPr="0019525B">
        <w:t>.</w:t>
      </w:r>
      <w:bookmarkStart w:id="21" w:name="_Ref119917370"/>
    </w:p>
    <w:p w14:paraId="558C724F" w14:textId="77777777" w:rsidR="00DD002E" w:rsidRPr="00401677" w:rsidRDefault="00DD002E" w:rsidP="00DD002E">
      <w:pPr>
        <w:pStyle w:val="3-BodyText"/>
      </w:pPr>
      <w:bookmarkStart w:id="22" w:name="_Toc22897641"/>
      <w:bookmarkEnd w:id="19"/>
      <w:bookmarkEnd w:id="21"/>
      <w:r w:rsidRPr="00401677">
        <w:t>Key efficacy outcomes in the trials were immunological responses and included immunoglobulin G (IgG; measured in geometric mean concentration; GMC) at Day 30 post-vaccination as the primary outcome (with the exception of study P031, which had adverse events as the primary outcome) and the level of opsonophagocytic activity (OPA; measured in geometric mean titre</w:t>
      </w:r>
      <w:r>
        <w:t>,</w:t>
      </w:r>
      <w:r w:rsidRPr="00401677">
        <w:t xml:space="preserve"> GMT). The comparative efficacy was expressed as the proportion of children with an IgG antibody titre of 0.35 </w:t>
      </w:r>
      <w:r w:rsidRPr="00401677">
        <w:rPr>
          <w:lang w:val="el-GR"/>
        </w:rPr>
        <w:t>μ</w:t>
      </w:r>
      <w:r w:rsidRPr="00401677">
        <w:t xml:space="preserve">g/mL or greater, and the ratio between </w:t>
      </w:r>
      <w:r>
        <w:t>15vPCV</w:t>
      </w:r>
      <w:r w:rsidRPr="00401677">
        <w:t xml:space="preserve"> and </w:t>
      </w:r>
      <w:r>
        <w:t>13vPCV</w:t>
      </w:r>
      <w:r w:rsidRPr="00401677">
        <w:t xml:space="preserve"> for OPA GMT and IgG GMC. </w:t>
      </w:r>
    </w:p>
    <w:p w14:paraId="080A2329" w14:textId="32663BD7" w:rsidR="00DD002E" w:rsidRPr="00401677" w:rsidRDefault="00DD002E" w:rsidP="00DD002E">
      <w:pPr>
        <w:pStyle w:val="3-BodyText"/>
      </w:pPr>
      <w:r w:rsidRPr="00401677">
        <w:t>OPA GMTs were conducted on a sample of patients only; ATAGI noted that ‘Additional data to support a claim of non-inferior OPA would be desirable’.</w:t>
      </w:r>
    </w:p>
    <w:p w14:paraId="530B9EC5" w14:textId="500F0DD6" w:rsidR="004935D0" w:rsidRDefault="00DD002E" w:rsidP="00DD002E">
      <w:pPr>
        <w:pStyle w:val="3-BodyText"/>
      </w:pPr>
      <w:r w:rsidRPr="00401677">
        <w:t>The specified non-inferiority criteria for the primary outcomes of the trials were that the lower bound of the 2-sided 95% CI of the IgG GMC ratio [</w:t>
      </w:r>
      <w:r>
        <w:t>15vPCV</w:t>
      </w:r>
      <w:r w:rsidRPr="00401677">
        <w:t>/</w:t>
      </w:r>
      <w:r>
        <w:t>13vPCV</w:t>
      </w:r>
      <w:r w:rsidRPr="00401677">
        <w:t xml:space="preserve">] be greater than 0.5, and the lower bound of the 95% CI of the proportion of children with IgG </w:t>
      </w:r>
      <w:r w:rsidRPr="00401677">
        <w:sym w:font="Symbol" w:char="F0B3"/>
      </w:r>
      <w:r w:rsidRPr="00401677">
        <w:t xml:space="preserve">0.35 </w:t>
      </w:r>
      <w:r w:rsidRPr="00401677">
        <w:sym w:font="Symbol" w:char="F06D"/>
      </w:r>
      <w:r w:rsidRPr="00401677">
        <w:t>g/mL be greater than -10%. The ATAGI advice note</w:t>
      </w:r>
      <w:r w:rsidR="004935D0">
        <w:t>d</w:t>
      </w:r>
      <w:r w:rsidRPr="00401677">
        <w:t xml:space="preserve"> that some authorities recommend a lower bound of the confidence interval for the ratio of 0.67, because of the concern that accepting a lower bound of the 95% CI of 0.5 may allow downward drift of efficacy</w:t>
      </w:r>
      <w:r w:rsidRPr="00E53E86">
        <w:t>: ‘by approving vaccines based on noninferiority to a prior vaccine, which itself was justified based on non-inferiority, it is possible that subsequent vaccines could be accepted despite having inferior immunogenicity to an originally licensed vaccine.’</w:t>
      </w:r>
      <w:r>
        <w:t xml:space="preserve"> </w:t>
      </w:r>
    </w:p>
    <w:p w14:paraId="07F382F0" w14:textId="78A0FCB5" w:rsidR="00DD002E" w:rsidRPr="00CF4323" w:rsidRDefault="00DD002E" w:rsidP="00DD002E">
      <w:pPr>
        <w:pStyle w:val="3-BodyText"/>
      </w:pPr>
      <w:r w:rsidRPr="008C78C2">
        <w:t>The PSCR stated that a bridge-to-bridge approach and non-inferiority margin of 0.5 has been accepted by key regulatory bodies in USA, EU, UK, Canada for 15vPCV in the paediatric population. The PSCR further stated that the PBAC have previously acknowledged that a more stringent non-inferiority threshold creates practical challenges for the conduct of clinical trials and is not suited for multiple antigen vaccines such as PCV15 (referring to paragraph 7.6, 15vPCV PSD, November 2021).</w:t>
      </w:r>
    </w:p>
    <w:p w14:paraId="3621979D" w14:textId="4E972505" w:rsidR="00DD002E" w:rsidRPr="00E53E86" w:rsidRDefault="00DD002E" w:rsidP="00DD002E">
      <w:pPr>
        <w:pStyle w:val="3-BodyText"/>
        <w:rPr>
          <w:lang w:val="en-US"/>
        </w:rPr>
      </w:pPr>
      <w:r w:rsidRPr="00E53E86">
        <w:rPr>
          <w:lang w:val="en-US"/>
        </w:rPr>
        <w:t>In the trials P025, 026 and 029, there</w:t>
      </w:r>
      <w:r>
        <w:rPr>
          <w:lang w:val="en-US"/>
        </w:rPr>
        <w:t xml:space="preserve"> were</w:t>
      </w:r>
      <w:r w:rsidRPr="00E53E86">
        <w:rPr>
          <w:lang w:val="en-US"/>
        </w:rPr>
        <w:t xml:space="preserve"> 4/13, 5/13 and 4/13 serotypes, respectively, for which the lower bound of the 95% CI for the IgG GMC ratio was below 0.67. In 2/4, 3/5 and 3/4 cases, respectively, however, the point estimate of the ratio was itself below 0.67.</w:t>
      </w:r>
    </w:p>
    <w:p w14:paraId="41C23ECC" w14:textId="77777777" w:rsidR="00DD002E" w:rsidRDefault="00DD002E" w:rsidP="00DD002E">
      <w:pPr>
        <w:pStyle w:val="4-SubsectionHeading"/>
      </w:pPr>
      <w:bookmarkStart w:id="23" w:name="_Toc124765893"/>
      <w:r w:rsidRPr="00C9624D">
        <w:t>Comparative effectiveness</w:t>
      </w:r>
      <w:bookmarkEnd w:id="22"/>
      <w:bookmarkEnd w:id="23"/>
    </w:p>
    <w:p w14:paraId="53EFED01" w14:textId="77777777" w:rsidR="00DD002E" w:rsidRDefault="00DD002E" w:rsidP="00DD002E">
      <w:pPr>
        <w:pStyle w:val="3-BodyText"/>
      </w:pPr>
      <w:r>
        <w:t>The assessment of comparative effectiveness was based on bridging immunogenicity data, such that i</w:t>
      </w:r>
      <w:r w:rsidRPr="00C85FC3">
        <w:t xml:space="preserve">mmunogenicity for </w:t>
      </w:r>
      <w:r>
        <w:t>15vPCV</w:t>
      </w:r>
      <w:r w:rsidRPr="00C85FC3">
        <w:t xml:space="preserve"> </w:t>
      </w:r>
      <w:r>
        <w:t>was</w:t>
      </w:r>
      <w:r w:rsidRPr="00C85FC3">
        <w:t xml:space="preserve"> compared to that of </w:t>
      </w:r>
      <w:r>
        <w:t>13vPCV</w:t>
      </w:r>
      <w:r w:rsidRPr="00C85FC3">
        <w:t xml:space="preserve">, while </w:t>
      </w:r>
      <w:r>
        <w:t>13vPCV</w:t>
      </w:r>
      <w:r w:rsidRPr="00C85FC3">
        <w:t xml:space="preserve"> immunogenicity was in turn previously compared to that of PCV7, for which there is clinical </w:t>
      </w:r>
      <w:r w:rsidRPr="00E53E86">
        <w:t>evidence. A similar appr</w:t>
      </w:r>
      <w:r>
        <w:t xml:space="preserve">oach was previously accepted by the PBAC for the assessment of 15vPCV in adults, although in that case (a) the PBAC based its decision mainly on the equivalence of OPA, not IgG levels; (b) downward drift was a lesser concern because the bridge was only 15vPCV to 13vPCV, and (c) 15vPCV has </w:t>
      </w:r>
      <w:r>
        <w:lastRenderedPageBreak/>
        <w:t>been shown to reduce pneumonia in a placebo-controlled randomised trial in older adults.</w:t>
      </w:r>
      <w:r>
        <w:rPr>
          <w:rStyle w:val="FootnoteReference"/>
        </w:rPr>
        <w:footnoteReference w:id="3"/>
      </w:r>
      <w:r>
        <w:t xml:space="preserve">  </w:t>
      </w:r>
    </w:p>
    <w:p w14:paraId="3664117C" w14:textId="6A5B7DEC" w:rsidR="00DD002E" w:rsidRDefault="00DD002E" w:rsidP="00DD002E">
      <w:pPr>
        <w:pStyle w:val="3-BodyText"/>
      </w:pPr>
      <w:r>
        <w:t>The o</w:t>
      </w:r>
      <w:r w:rsidRPr="007E2298">
        <w:t>psonophagocytic activity results for selected serotypes</w:t>
      </w:r>
      <w:r>
        <w:t xml:space="preserve"> are shown in </w:t>
      </w:r>
      <w:r>
        <w:fldChar w:fldCharType="begin"/>
      </w:r>
      <w:r>
        <w:instrText xml:space="preserve"> REF _Ref119920955 \h </w:instrText>
      </w:r>
      <w:r>
        <w:fldChar w:fldCharType="separate"/>
      </w:r>
      <w:r w:rsidR="009E7289">
        <w:t xml:space="preserve">Table </w:t>
      </w:r>
      <w:r w:rsidR="009E7289">
        <w:rPr>
          <w:noProof/>
        </w:rPr>
        <w:t>4</w:t>
      </w:r>
      <w:r>
        <w:fldChar w:fldCharType="end"/>
      </w:r>
      <w:r>
        <w:t xml:space="preserve">. The serotypes selected were those for which the IgG GMC ratios were low, and those specified by the submission as of importance. OPA was very high for both vaccines for all other serotypes. Data for all serotypes are presented in Tables 2.5-7 and 2.5-8, pp109-112 of the submission. </w:t>
      </w:r>
    </w:p>
    <w:p w14:paraId="37FF9EE2" w14:textId="12E6BA17" w:rsidR="00DD002E" w:rsidRPr="007E2298" w:rsidRDefault="00DD002E" w:rsidP="00DD002E">
      <w:pPr>
        <w:pStyle w:val="Caption"/>
      </w:pPr>
      <w:bookmarkStart w:id="24" w:name="_Ref119920955"/>
      <w:r>
        <w:t xml:space="preserve">Table </w:t>
      </w:r>
      <w:r w:rsidR="009E7289">
        <w:fldChar w:fldCharType="begin"/>
      </w:r>
      <w:r w:rsidR="009E7289">
        <w:instrText xml:space="preserve"> SEQ Table \* ARABIC </w:instrText>
      </w:r>
      <w:r w:rsidR="009E7289">
        <w:fldChar w:fldCharType="separate"/>
      </w:r>
      <w:r w:rsidR="009E7289">
        <w:rPr>
          <w:noProof/>
        </w:rPr>
        <w:t>4</w:t>
      </w:r>
      <w:r w:rsidR="009E7289">
        <w:rPr>
          <w:noProof/>
        </w:rPr>
        <w:fldChar w:fldCharType="end"/>
      </w:r>
      <w:bookmarkEnd w:id="24"/>
      <w:r>
        <w:t xml:space="preserve">: </w:t>
      </w:r>
      <w:r w:rsidRPr="00693D05">
        <w:rPr>
          <w:rStyle w:val="CommentReference"/>
          <w:b/>
          <w:szCs w:val="18"/>
        </w:rPr>
        <w:t>Opsonophagocytic activity results for selected serotypes</w:t>
      </w:r>
      <w:r>
        <w:rPr>
          <w:rStyle w:val="CommentReference"/>
          <w:b/>
          <w:szCs w:val="18"/>
        </w:rPr>
        <w:t xml:space="preserve"> at serotype specific threshold titres</w:t>
      </w:r>
    </w:p>
    <w:tbl>
      <w:tblPr>
        <w:tblStyle w:val="TableGrid"/>
        <w:tblW w:w="0" w:type="auto"/>
        <w:tblLook w:val="04A0" w:firstRow="1" w:lastRow="0" w:firstColumn="1" w:lastColumn="0" w:noHBand="0" w:noVBand="1"/>
      </w:tblPr>
      <w:tblGrid>
        <w:gridCol w:w="600"/>
        <w:gridCol w:w="827"/>
        <w:gridCol w:w="978"/>
        <w:gridCol w:w="1102"/>
        <w:gridCol w:w="1102"/>
        <w:gridCol w:w="1102"/>
        <w:gridCol w:w="1102"/>
        <w:gridCol w:w="1102"/>
        <w:gridCol w:w="1102"/>
      </w:tblGrid>
      <w:tr w:rsidR="00DD002E" w14:paraId="1A07CBEB" w14:textId="77777777" w:rsidTr="00632A30">
        <w:tc>
          <w:tcPr>
            <w:tcW w:w="600" w:type="dxa"/>
          </w:tcPr>
          <w:p w14:paraId="647F1FF6" w14:textId="77777777" w:rsidR="00DD002E" w:rsidRDefault="00DD002E" w:rsidP="00632A30">
            <w:pPr>
              <w:keepNext/>
            </w:pPr>
          </w:p>
        </w:tc>
        <w:tc>
          <w:tcPr>
            <w:tcW w:w="827" w:type="dxa"/>
          </w:tcPr>
          <w:p w14:paraId="7BFA14BA" w14:textId="77777777" w:rsidR="00DD002E" w:rsidRDefault="00DD002E" w:rsidP="00632A30">
            <w:pPr>
              <w:keepNext/>
            </w:pPr>
          </w:p>
        </w:tc>
        <w:tc>
          <w:tcPr>
            <w:tcW w:w="978" w:type="dxa"/>
          </w:tcPr>
          <w:p w14:paraId="43FA2725" w14:textId="77777777" w:rsidR="00DD002E" w:rsidRDefault="00DD002E" w:rsidP="00632A30">
            <w:pPr>
              <w:keepNext/>
            </w:pPr>
          </w:p>
        </w:tc>
        <w:tc>
          <w:tcPr>
            <w:tcW w:w="1102" w:type="dxa"/>
          </w:tcPr>
          <w:p w14:paraId="6EBC8EC8" w14:textId="77777777" w:rsidR="00DD002E" w:rsidRPr="00EF128F" w:rsidRDefault="00DD002E" w:rsidP="00632A30">
            <w:pPr>
              <w:pStyle w:val="In-tableHeading"/>
            </w:pPr>
            <w:r w:rsidRPr="00EF128F">
              <w:t>1</w:t>
            </w:r>
          </w:p>
          <w:p w14:paraId="52BE6E6A" w14:textId="77777777" w:rsidR="00DD002E" w:rsidRDefault="00DD002E" w:rsidP="00632A30">
            <w:pPr>
              <w:pStyle w:val="In-tableHeading"/>
            </w:pPr>
            <w:r w:rsidRPr="00EF128F">
              <w:sym w:font="Symbol" w:char="F0B3"/>
            </w:r>
            <w:r w:rsidRPr="00EF128F">
              <w:t xml:space="preserve"> 1:9</w:t>
            </w:r>
          </w:p>
        </w:tc>
        <w:tc>
          <w:tcPr>
            <w:tcW w:w="1102" w:type="dxa"/>
          </w:tcPr>
          <w:p w14:paraId="6E9EB7BD" w14:textId="77777777" w:rsidR="00DD002E" w:rsidRPr="00EF128F" w:rsidRDefault="00DD002E" w:rsidP="00632A30">
            <w:pPr>
              <w:pStyle w:val="In-tableHeading"/>
            </w:pPr>
            <w:r w:rsidRPr="00EF128F">
              <w:t>3</w:t>
            </w:r>
          </w:p>
          <w:p w14:paraId="59FBC8B1" w14:textId="77777777" w:rsidR="00DD002E" w:rsidRDefault="00DD002E" w:rsidP="00632A30">
            <w:pPr>
              <w:pStyle w:val="In-tableHeading"/>
            </w:pPr>
            <w:r w:rsidRPr="00EF128F">
              <w:sym w:font="Symbol" w:char="F0B3"/>
            </w:r>
            <w:r w:rsidRPr="00EF128F">
              <w:t xml:space="preserve"> 1:19</w:t>
            </w:r>
          </w:p>
        </w:tc>
        <w:tc>
          <w:tcPr>
            <w:tcW w:w="1102" w:type="dxa"/>
          </w:tcPr>
          <w:p w14:paraId="2B4F1208" w14:textId="77777777" w:rsidR="00DD002E" w:rsidRPr="00EF128F" w:rsidRDefault="00DD002E" w:rsidP="00632A30">
            <w:pPr>
              <w:pStyle w:val="In-tableHeading"/>
            </w:pPr>
            <w:r w:rsidRPr="00EF128F">
              <w:t>5</w:t>
            </w:r>
          </w:p>
          <w:p w14:paraId="13738DAF" w14:textId="77777777" w:rsidR="00DD002E" w:rsidRDefault="00DD002E" w:rsidP="00632A30">
            <w:pPr>
              <w:pStyle w:val="In-tableHeading"/>
            </w:pPr>
            <w:r w:rsidRPr="00EF128F">
              <w:sym w:font="Symbol" w:char="F0B3"/>
            </w:r>
            <w:r w:rsidRPr="00EF128F">
              <w:t xml:space="preserve"> 1:27</w:t>
            </w:r>
          </w:p>
        </w:tc>
        <w:tc>
          <w:tcPr>
            <w:tcW w:w="1102" w:type="dxa"/>
          </w:tcPr>
          <w:p w14:paraId="530F1EB5" w14:textId="77777777" w:rsidR="00DD002E" w:rsidRPr="00EF128F" w:rsidRDefault="00DD002E" w:rsidP="00632A30">
            <w:pPr>
              <w:pStyle w:val="In-tableHeading"/>
            </w:pPr>
            <w:r w:rsidRPr="00EF128F">
              <w:t>6A</w:t>
            </w:r>
          </w:p>
          <w:p w14:paraId="0619DF13" w14:textId="77777777" w:rsidR="00DD002E" w:rsidRDefault="00DD002E" w:rsidP="00632A30">
            <w:pPr>
              <w:pStyle w:val="In-tableHeading"/>
            </w:pPr>
            <w:r w:rsidRPr="00EF128F">
              <w:sym w:font="Symbol" w:char="F0B3"/>
            </w:r>
            <w:r w:rsidRPr="00EF128F">
              <w:t xml:space="preserve"> 1:232</w:t>
            </w:r>
          </w:p>
        </w:tc>
        <w:tc>
          <w:tcPr>
            <w:tcW w:w="1102" w:type="dxa"/>
          </w:tcPr>
          <w:p w14:paraId="298F7CCC" w14:textId="77777777" w:rsidR="00DD002E" w:rsidRPr="00EF128F" w:rsidRDefault="00DD002E" w:rsidP="00632A30">
            <w:pPr>
              <w:pStyle w:val="In-tableHeading"/>
            </w:pPr>
            <w:r w:rsidRPr="00EF128F">
              <w:t>22F</w:t>
            </w:r>
          </w:p>
          <w:p w14:paraId="00B36DFD" w14:textId="77777777" w:rsidR="00DD002E" w:rsidRDefault="00DD002E" w:rsidP="00632A30">
            <w:pPr>
              <w:pStyle w:val="In-tableHeading"/>
            </w:pPr>
            <w:r w:rsidRPr="00EF128F">
              <w:sym w:font="Symbol" w:char="F0B3"/>
            </w:r>
            <w:r w:rsidRPr="00EF128F">
              <w:t xml:space="preserve"> 1:15</w:t>
            </w:r>
          </w:p>
        </w:tc>
        <w:tc>
          <w:tcPr>
            <w:tcW w:w="1102" w:type="dxa"/>
          </w:tcPr>
          <w:p w14:paraId="7E8F2825" w14:textId="77777777" w:rsidR="00DD002E" w:rsidRPr="00EF128F" w:rsidRDefault="00DD002E" w:rsidP="00632A30">
            <w:pPr>
              <w:pStyle w:val="In-tableHeading"/>
            </w:pPr>
            <w:r w:rsidRPr="00EF128F">
              <w:t>33F</w:t>
            </w:r>
          </w:p>
          <w:p w14:paraId="55041E35" w14:textId="77777777" w:rsidR="00DD002E" w:rsidRDefault="00DD002E" w:rsidP="00632A30">
            <w:pPr>
              <w:pStyle w:val="In-tableHeading"/>
            </w:pPr>
            <w:r w:rsidRPr="00EF128F">
              <w:sym w:font="Symbol" w:char="F0B3"/>
            </w:r>
            <w:r w:rsidRPr="00EF128F">
              <w:t xml:space="preserve"> 1:20</w:t>
            </w:r>
          </w:p>
        </w:tc>
      </w:tr>
      <w:tr w:rsidR="00DD002E" w14:paraId="6A33EB66" w14:textId="77777777" w:rsidTr="00632A30">
        <w:tc>
          <w:tcPr>
            <w:tcW w:w="600" w:type="dxa"/>
            <w:vMerge w:val="restart"/>
          </w:tcPr>
          <w:p w14:paraId="3826C918" w14:textId="77777777" w:rsidR="00DD002E" w:rsidRPr="00B23744" w:rsidRDefault="00DD002E" w:rsidP="00632A30">
            <w:pPr>
              <w:pStyle w:val="PBACTableText"/>
              <w:keepNext/>
              <w:spacing w:before="0" w:after="0"/>
              <w:rPr>
                <w:b/>
                <w:bCs/>
              </w:rPr>
            </w:pPr>
            <w:r w:rsidRPr="00B23744">
              <w:rPr>
                <w:b/>
                <w:bCs/>
              </w:rPr>
              <w:t>P025</w:t>
            </w:r>
          </w:p>
        </w:tc>
        <w:tc>
          <w:tcPr>
            <w:tcW w:w="827" w:type="dxa"/>
            <w:vMerge w:val="restart"/>
          </w:tcPr>
          <w:p w14:paraId="42FD6593" w14:textId="77777777" w:rsidR="00DD002E" w:rsidRPr="00B23744" w:rsidRDefault="00DD002E" w:rsidP="00632A30">
            <w:pPr>
              <w:pStyle w:val="PBACTableText"/>
              <w:keepNext/>
              <w:spacing w:before="0" w:after="0"/>
              <w:rPr>
                <w:b/>
                <w:bCs/>
              </w:rPr>
            </w:pPr>
            <w:r w:rsidRPr="00B23744">
              <w:rPr>
                <w:b/>
                <w:bCs/>
              </w:rPr>
              <w:t>15vPCV</w:t>
            </w:r>
          </w:p>
          <w:p w14:paraId="0E2E99AA" w14:textId="77777777" w:rsidR="00DD002E" w:rsidRPr="00B23744" w:rsidRDefault="00DD002E" w:rsidP="00632A30">
            <w:pPr>
              <w:pStyle w:val="PBACTableText"/>
              <w:keepNext/>
              <w:spacing w:before="0" w:after="0"/>
              <w:rPr>
                <w:b/>
                <w:bCs/>
              </w:rPr>
            </w:pPr>
            <w:r w:rsidRPr="00B23744">
              <w:rPr>
                <w:b/>
                <w:bCs/>
              </w:rPr>
              <w:t>N = 116</w:t>
            </w:r>
          </w:p>
        </w:tc>
        <w:tc>
          <w:tcPr>
            <w:tcW w:w="978" w:type="dxa"/>
          </w:tcPr>
          <w:p w14:paraId="2CC9B965" w14:textId="77777777" w:rsidR="00DD002E" w:rsidRPr="00F04E8C" w:rsidRDefault="00DD002E" w:rsidP="00632A30">
            <w:pPr>
              <w:pStyle w:val="PBACTableText"/>
              <w:keepNext/>
              <w:spacing w:before="0" w:after="0"/>
              <w:rPr>
                <w:b/>
                <w:bCs/>
              </w:rPr>
            </w:pPr>
            <w:r w:rsidRPr="00F04E8C">
              <w:rPr>
                <w:b/>
                <w:bCs/>
              </w:rPr>
              <w:t>Pos./test.</w:t>
            </w:r>
          </w:p>
        </w:tc>
        <w:tc>
          <w:tcPr>
            <w:tcW w:w="1102" w:type="dxa"/>
          </w:tcPr>
          <w:p w14:paraId="51DA18BA" w14:textId="77777777" w:rsidR="00DD002E" w:rsidRPr="00F04E8C" w:rsidRDefault="00DD002E" w:rsidP="00632A30">
            <w:pPr>
              <w:pStyle w:val="PBACTableText"/>
              <w:keepNext/>
              <w:spacing w:before="0" w:after="0"/>
              <w:rPr>
                <w:b/>
                <w:bCs/>
              </w:rPr>
            </w:pPr>
            <w:r w:rsidRPr="00F04E8C">
              <w:rPr>
                <w:b/>
                <w:bCs/>
              </w:rPr>
              <w:t>96/101</w:t>
            </w:r>
          </w:p>
        </w:tc>
        <w:tc>
          <w:tcPr>
            <w:tcW w:w="1102" w:type="dxa"/>
          </w:tcPr>
          <w:p w14:paraId="36F38AE3" w14:textId="77777777" w:rsidR="00DD002E" w:rsidRPr="00F04E8C" w:rsidRDefault="00DD002E" w:rsidP="00632A30">
            <w:pPr>
              <w:pStyle w:val="PBACTableText"/>
              <w:keepNext/>
              <w:spacing w:before="0" w:after="0"/>
              <w:rPr>
                <w:b/>
                <w:bCs/>
              </w:rPr>
            </w:pPr>
            <w:r w:rsidRPr="00F04E8C">
              <w:rPr>
                <w:b/>
                <w:bCs/>
              </w:rPr>
              <w:t>98/98</w:t>
            </w:r>
          </w:p>
        </w:tc>
        <w:tc>
          <w:tcPr>
            <w:tcW w:w="1102" w:type="dxa"/>
          </w:tcPr>
          <w:p w14:paraId="3823EED9" w14:textId="77777777" w:rsidR="00DD002E" w:rsidRPr="00F04E8C" w:rsidRDefault="00DD002E" w:rsidP="00632A30">
            <w:pPr>
              <w:pStyle w:val="PBACTableText"/>
              <w:keepNext/>
              <w:spacing w:before="0" w:after="0"/>
              <w:rPr>
                <w:b/>
                <w:bCs/>
              </w:rPr>
            </w:pPr>
            <w:r w:rsidRPr="00F04E8C">
              <w:rPr>
                <w:b/>
                <w:bCs/>
              </w:rPr>
              <w:t>102/102</w:t>
            </w:r>
          </w:p>
        </w:tc>
        <w:tc>
          <w:tcPr>
            <w:tcW w:w="1102" w:type="dxa"/>
          </w:tcPr>
          <w:p w14:paraId="558EC024" w14:textId="77777777" w:rsidR="00DD002E" w:rsidRPr="00F04E8C" w:rsidRDefault="00DD002E" w:rsidP="00632A30">
            <w:pPr>
              <w:pStyle w:val="PBACTableText"/>
              <w:keepNext/>
              <w:spacing w:before="0" w:after="0"/>
              <w:rPr>
                <w:b/>
                <w:bCs/>
              </w:rPr>
            </w:pPr>
            <w:r w:rsidRPr="00F04E8C">
              <w:rPr>
                <w:b/>
                <w:bCs/>
              </w:rPr>
              <w:t>97/98</w:t>
            </w:r>
          </w:p>
        </w:tc>
        <w:tc>
          <w:tcPr>
            <w:tcW w:w="1102" w:type="dxa"/>
          </w:tcPr>
          <w:p w14:paraId="606DFF97" w14:textId="77777777" w:rsidR="00DD002E" w:rsidRPr="00F04E8C" w:rsidRDefault="00DD002E" w:rsidP="00632A30">
            <w:pPr>
              <w:pStyle w:val="PBACTableText"/>
              <w:keepNext/>
              <w:spacing w:before="0" w:after="0"/>
              <w:rPr>
                <w:b/>
                <w:bCs/>
              </w:rPr>
            </w:pPr>
            <w:r w:rsidRPr="00F04E8C">
              <w:rPr>
                <w:b/>
                <w:bCs/>
              </w:rPr>
              <w:t>97/98</w:t>
            </w:r>
          </w:p>
        </w:tc>
        <w:tc>
          <w:tcPr>
            <w:tcW w:w="1102" w:type="dxa"/>
          </w:tcPr>
          <w:p w14:paraId="76F32DE0" w14:textId="77777777" w:rsidR="00DD002E" w:rsidRPr="00F04E8C" w:rsidRDefault="00DD002E" w:rsidP="00632A30">
            <w:pPr>
              <w:pStyle w:val="PBACTableText"/>
              <w:keepNext/>
              <w:spacing w:before="0" w:after="0"/>
              <w:rPr>
                <w:b/>
                <w:bCs/>
              </w:rPr>
            </w:pPr>
            <w:r w:rsidRPr="00F04E8C">
              <w:rPr>
                <w:b/>
                <w:bCs/>
              </w:rPr>
              <w:t>96/96</w:t>
            </w:r>
          </w:p>
        </w:tc>
      </w:tr>
      <w:tr w:rsidR="00DD002E" w14:paraId="1491EE8F" w14:textId="77777777" w:rsidTr="00632A30">
        <w:tc>
          <w:tcPr>
            <w:tcW w:w="600" w:type="dxa"/>
            <w:vMerge/>
          </w:tcPr>
          <w:p w14:paraId="64DAA02A" w14:textId="77777777" w:rsidR="00DD002E" w:rsidRPr="00B23744" w:rsidRDefault="00DD002E" w:rsidP="00632A30">
            <w:pPr>
              <w:pStyle w:val="PBACTableText"/>
              <w:keepNext/>
              <w:spacing w:before="0" w:after="0"/>
              <w:rPr>
                <w:b/>
                <w:bCs/>
              </w:rPr>
            </w:pPr>
          </w:p>
        </w:tc>
        <w:tc>
          <w:tcPr>
            <w:tcW w:w="827" w:type="dxa"/>
            <w:vMerge/>
          </w:tcPr>
          <w:p w14:paraId="323F4B9E" w14:textId="77777777" w:rsidR="00DD002E" w:rsidRPr="00B23744" w:rsidRDefault="00DD002E" w:rsidP="00632A30">
            <w:pPr>
              <w:pStyle w:val="PBACTableText"/>
              <w:keepNext/>
              <w:spacing w:before="0" w:after="0"/>
              <w:rPr>
                <w:b/>
                <w:bCs/>
              </w:rPr>
            </w:pPr>
          </w:p>
        </w:tc>
        <w:tc>
          <w:tcPr>
            <w:tcW w:w="978" w:type="dxa"/>
          </w:tcPr>
          <w:p w14:paraId="4144B681" w14:textId="77777777" w:rsidR="00DD002E" w:rsidRPr="00F04E8C" w:rsidRDefault="00DD002E" w:rsidP="00632A30">
            <w:pPr>
              <w:pStyle w:val="PBACTableText"/>
              <w:keepNext/>
              <w:spacing w:before="0" w:after="0"/>
              <w:rPr>
                <w:b/>
                <w:bCs/>
              </w:rPr>
            </w:pPr>
            <w:r w:rsidRPr="00F04E8C">
              <w:rPr>
                <w:b/>
                <w:bCs/>
              </w:rPr>
              <w:t xml:space="preserve">% </w:t>
            </w:r>
          </w:p>
          <w:p w14:paraId="041A3EFF" w14:textId="77777777" w:rsidR="00DD002E" w:rsidRPr="00F04E8C" w:rsidRDefault="00DD002E" w:rsidP="00632A30">
            <w:pPr>
              <w:pStyle w:val="PBACTableText"/>
              <w:keepNext/>
              <w:spacing w:before="0" w:after="0"/>
              <w:rPr>
                <w:b/>
                <w:bCs/>
              </w:rPr>
            </w:pPr>
            <w:r w:rsidRPr="00F04E8C">
              <w:rPr>
                <w:b/>
                <w:bCs/>
              </w:rPr>
              <w:t>(95% CI)</w:t>
            </w:r>
          </w:p>
        </w:tc>
        <w:tc>
          <w:tcPr>
            <w:tcW w:w="1102" w:type="dxa"/>
          </w:tcPr>
          <w:p w14:paraId="7DEF5EBA" w14:textId="77777777" w:rsidR="00DD002E" w:rsidRDefault="00DD002E" w:rsidP="00632A30">
            <w:pPr>
              <w:pStyle w:val="PBACTableText"/>
              <w:keepNext/>
              <w:spacing w:before="0" w:after="0"/>
            </w:pPr>
            <w:r w:rsidRPr="005631B2">
              <w:t xml:space="preserve">95% </w:t>
            </w:r>
          </w:p>
          <w:p w14:paraId="6311F835" w14:textId="77777777" w:rsidR="00DD002E" w:rsidRPr="005631B2" w:rsidRDefault="00DD002E" w:rsidP="00632A30">
            <w:pPr>
              <w:pStyle w:val="PBACTableText"/>
              <w:keepNext/>
              <w:spacing w:before="0" w:after="0"/>
            </w:pPr>
            <w:r w:rsidRPr="005631B2">
              <w:t>(88.8,</w:t>
            </w:r>
            <w:r>
              <w:t xml:space="preserve"> </w:t>
            </w:r>
            <w:r w:rsidRPr="005631B2">
              <w:t>98.4)</w:t>
            </w:r>
          </w:p>
        </w:tc>
        <w:tc>
          <w:tcPr>
            <w:tcW w:w="1102" w:type="dxa"/>
          </w:tcPr>
          <w:p w14:paraId="436C0629" w14:textId="77777777" w:rsidR="00DD002E" w:rsidRDefault="00DD002E" w:rsidP="00632A30">
            <w:pPr>
              <w:pStyle w:val="PBACTableText"/>
              <w:keepNext/>
              <w:spacing w:before="0" w:after="0"/>
            </w:pPr>
            <w:r w:rsidRPr="005631B2">
              <w:t xml:space="preserve">100% </w:t>
            </w:r>
          </w:p>
          <w:p w14:paraId="223524DE" w14:textId="77777777" w:rsidR="00DD002E" w:rsidRPr="005631B2" w:rsidRDefault="00DD002E" w:rsidP="00632A30">
            <w:pPr>
              <w:pStyle w:val="PBACTableText"/>
              <w:keepNext/>
              <w:spacing w:before="0" w:after="0"/>
            </w:pPr>
            <w:r w:rsidRPr="005631B2">
              <w:t>(96.3, 100)</w:t>
            </w:r>
          </w:p>
        </w:tc>
        <w:tc>
          <w:tcPr>
            <w:tcW w:w="1102" w:type="dxa"/>
          </w:tcPr>
          <w:p w14:paraId="6BD4278C" w14:textId="77777777" w:rsidR="00DD002E" w:rsidRDefault="00DD002E" w:rsidP="00632A30">
            <w:pPr>
              <w:pStyle w:val="PBACTableText"/>
              <w:keepNext/>
              <w:spacing w:before="0" w:after="0"/>
            </w:pPr>
            <w:r w:rsidRPr="005631B2">
              <w:t xml:space="preserve">100% </w:t>
            </w:r>
          </w:p>
          <w:p w14:paraId="44FE09F7" w14:textId="77777777" w:rsidR="00DD002E" w:rsidRPr="005631B2" w:rsidRDefault="00DD002E" w:rsidP="00632A30">
            <w:pPr>
              <w:pStyle w:val="PBACTableText"/>
              <w:keepNext/>
              <w:spacing w:before="0" w:after="0"/>
            </w:pPr>
            <w:r w:rsidRPr="005631B2">
              <w:t>(96.4, 100)</w:t>
            </w:r>
          </w:p>
        </w:tc>
        <w:tc>
          <w:tcPr>
            <w:tcW w:w="1102" w:type="dxa"/>
          </w:tcPr>
          <w:p w14:paraId="60D115FB" w14:textId="77777777" w:rsidR="00DD002E" w:rsidRDefault="00DD002E" w:rsidP="00632A30">
            <w:pPr>
              <w:pStyle w:val="PBACTableText"/>
              <w:keepNext/>
              <w:spacing w:before="0" w:after="0"/>
            </w:pPr>
            <w:r w:rsidRPr="005631B2">
              <w:t xml:space="preserve">99% </w:t>
            </w:r>
          </w:p>
          <w:p w14:paraId="50452270" w14:textId="77777777" w:rsidR="00DD002E" w:rsidRPr="005631B2" w:rsidRDefault="00DD002E" w:rsidP="00632A30">
            <w:pPr>
              <w:pStyle w:val="PBACTableText"/>
              <w:keepNext/>
              <w:spacing w:before="0" w:after="0"/>
            </w:pPr>
            <w:r w:rsidRPr="005631B2">
              <w:t>(94.4, 100)</w:t>
            </w:r>
          </w:p>
        </w:tc>
        <w:tc>
          <w:tcPr>
            <w:tcW w:w="1102" w:type="dxa"/>
          </w:tcPr>
          <w:p w14:paraId="0746FDE1" w14:textId="77777777" w:rsidR="00DD002E" w:rsidRPr="005631B2" w:rsidRDefault="00DD002E" w:rsidP="00632A30">
            <w:pPr>
              <w:pStyle w:val="PBACTableText"/>
              <w:keepNext/>
              <w:spacing w:before="0" w:after="0"/>
            </w:pPr>
            <w:r w:rsidRPr="005631B2">
              <w:t>99%</w:t>
            </w:r>
          </w:p>
          <w:p w14:paraId="49865663" w14:textId="77777777" w:rsidR="00DD002E" w:rsidRPr="005631B2" w:rsidRDefault="00DD002E" w:rsidP="00632A30">
            <w:pPr>
              <w:pStyle w:val="PBACTableText"/>
              <w:keepNext/>
              <w:spacing w:before="0" w:after="0"/>
            </w:pPr>
            <w:r>
              <w:t>(</w:t>
            </w:r>
            <w:r w:rsidRPr="005631B2">
              <w:t>94.4, 100)</w:t>
            </w:r>
          </w:p>
        </w:tc>
        <w:tc>
          <w:tcPr>
            <w:tcW w:w="1102" w:type="dxa"/>
          </w:tcPr>
          <w:p w14:paraId="41ACEFE7" w14:textId="77777777" w:rsidR="00DD002E" w:rsidRDefault="00DD002E" w:rsidP="00632A30">
            <w:pPr>
              <w:pStyle w:val="PBACTableText"/>
              <w:keepNext/>
              <w:spacing w:before="0" w:after="0"/>
            </w:pPr>
            <w:r w:rsidRPr="005631B2">
              <w:t xml:space="preserve">100% </w:t>
            </w:r>
          </w:p>
          <w:p w14:paraId="227C45E4" w14:textId="77777777" w:rsidR="00DD002E" w:rsidRPr="005631B2" w:rsidRDefault="00DD002E" w:rsidP="00632A30">
            <w:pPr>
              <w:pStyle w:val="PBACTableText"/>
              <w:keepNext/>
              <w:spacing w:before="0" w:after="0"/>
            </w:pPr>
            <w:r w:rsidRPr="005631B2">
              <w:t>(96.2, 100)</w:t>
            </w:r>
          </w:p>
        </w:tc>
      </w:tr>
      <w:tr w:rsidR="00DD002E" w14:paraId="1C14004D" w14:textId="77777777" w:rsidTr="00632A30">
        <w:tc>
          <w:tcPr>
            <w:tcW w:w="600" w:type="dxa"/>
            <w:vMerge/>
          </w:tcPr>
          <w:p w14:paraId="3D79964D" w14:textId="77777777" w:rsidR="00DD002E" w:rsidRPr="00B23744" w:rsidRDefault="00DD002E" w:rsidP="00632A30">
            <w:pPr>
              <w:pStyle w:val="PBACTableText"/>
              <w:keepNext/>
              <w:spacing w:before="0" w:after="0"/>
              <w:rPr>
                <w:b/>
                <w:bCs/>
              </w:rPr>
            </w:pPr>
          </w:p>
        </w:tc>
        <w:tc>
          <w:tcPr>
            <w:tcW w:w="827" w:type="dxa"/>
            <w:vMerge w:val="restart"/>
          </w:tcPr>
          <w:p w14:paraId="7C87E435" w14:textId="77777777" w:rsidR="00DD002E" w:rsidRPr="00B23744" w:rsidRDefault="00DD002E" w:rsidP="00632A30">
            <w:pPr>
              <w:pStyle w:val="PBACTableText"/>
              <w:keepNext/>
              <w:spacing w:before="0" w:after="0"/>
              <w:rPr>
                <w:b/>
                <w:bCs/>
              </w:rPr>
            </w:pPr>
            <w:r w:rsidRPr="00B23744">
              <w:rPr>
                <w:b/>
                <w:bCs/>
              </w:rPr>
              <w:t>13vPCV</w:t>
            </w:r>
          </w:p>
          <w:p w14:paraId="044AB61A" w14:textId="77777777" w:rsidR="00DD002E" w:rsidRPr="00B23744" w:rsidRDefault="00DD002E" w:rsidP="00632A30">
            <w:pPr>
              <w:pStyle w:val="PBACTableText"/>
              <w:keepNext/>
              <w:spacing w:before="0" w:after="0"/>
              <w:rPr>
                <w:b/>
                <w:bCs/>
              </w:rPr>
            </w:pPr>
            <w:r w:rsidRPr="00B23744">
              <w:rPr>
                <w:b/>
                <w:bCs/>
              </w:rPr>
              <w:t>N = 122</w:t>
            </w:r>
          </w:p>
        </w:tc>
        <w:tc>
          <w:tcPr>
            <w:tcW w:w="978" w:type="dxa"/>
          </w:tcPr>
          <w:p w14:paraId="4138A5D6" w14:textId="77777777" w:rsidR="00DD002E" w:rsidRPr="00F04E8C" w:rsidRDefault="00DD002E" w:rsidP="00632A30">
            <w:pPr>
              <w:pStyle w:val="PBACTableText"/>
              <w:keepNext/>
              <w:spacing w:before="0" w:after="0"/>
              <w:rPr>
                <w:b/>
                <w:bCs/>
              </w:rPr>
            </w:pPr>
            <w:r w:rsidRPr="00F04E8C">
              <w:rPr>
                <w:b/>
                <w:bCs/>
              </w:rPr>
              <w:t>Pos./test.</w:t>
            </w:r>
          </w:p>
        </w:tc>
        <w:tc>
          <w:tcPr>
            <w:tcW w:w="1102" w:type="dxa"/>
          </w:tcPr>
          <w:p w14:paraId="353EEAE5" w14:textId="77777777" w:rsidR="00DD002E" w:rsidRPr="00F04E8C" w:rsidRDefault="00DD002E" w:rsidP="00632A30">
            <w:pPr>
              <w:pStyle w:val="PBACTableText"/>
              <w:keepNext/>
              <w:spacing w:before="0" w:after="0"/>
              <w:rPr>
                <w:b/>
                <w:bCs/>
              </w:rPr>
            </w:pPr>
            <w:r w:rsidRPr="00F04E8C">
              <w:rPr>
                <w:b/>
                <w:bCs/>
              </w:rPr>
              <w:t>106/108</w:t>
            </w:r>
          </w:p>
        </w:tc>
        <w:tc>
          <w:tcPr>
            <w:tcW w:w="1102" w:type="dxa"/>
          </w:tcPr>
          <w:p w14:paraId="49C61919" w14:textId="77777777" w:rsidR="00DD002E" w:rsidRPr="00F04E8C" w:rsidRDefault="00DD002E" w:rsidP="00632A30">
            <w:pPr>
              <w:pStyle w:val="PBACTableText"/>
              <w:keepNext/>
              <w:spacing w:before="0" w:after="0"/>
              <w:rPr>
                <w:b/>
                <w:bCs/>
              </w:rPr>
            </w:pPr>
            <w:r w:rsidRPr="00F04E8C">
              <w:rPr>
                <w:b/>
                <w:bCs/>
              </w:rPr>
              <w:t>101/103</w:t>
            </w:r>
          </w:p>
        </w:tc>
        <w:tc>
          <w:tcPr>
            <w:tcW w:w="1102" w:type="dxa"/>
          </w:tcPr>
          <w:p w14:paraId="4FBDBFFA" w14:textId="77777777" w:rsidR="00DD002E" w:rsidRPr="00F04E8C" w:rsidRDefault="00DD002E" w:rsidP="00632A30">
            <w:pPr>
              <w:pStyle w:val="PBACTableText"/>
              <w:keepNext/>
              <w:spacing w:before="0" w:after="0"/>
              <w:rPr>
                <w:b/>
                <w:bCs/>
              </w:rPr>
            </w:pPr>
            <w:r w:rsidRPr="00F04E8C">
              <w:rPr>
                <w:b/>
                <w:bCs/>
              </w:rPr>
              <w:t>102/102</w:t>
            </w:r>
          </w:p>
        </w:tc>
        <w:tc>
          <w:tcPr>
            <w:tcW w:w="1102" w:type="dxa"/>
          </w:tcPr>
          <w:p w14:paraId="3D7AC93D" w14:textId="77777777" w:rsidR="00DD002E" w:rsidRPr="00F04E8C" w:rsidRDefault="00DD002E" w:rsidP="00632A30">
            <w:pPr>
              <w:pStyle w:val="PBACTableText"/>
              <w:keepNext/>
              <w:spacing w:before="0" w:after="0"/>
              <w:rPr>
                <w:b/>
                <w:bCs/>
              </w:rPr>
            </w:pPr>
            <w:r w:rsidRPr="00F04E8C">
              <w:rPr>
                <w:b/>
                <w:bCs/>
              </w:rPr>
              <w:t>99/99</w:t>
            </w:r>
          </w:p>
        </w:tc>
        <w:tc>
          <w:tcPr>
            <w:tcW w:w="1102" w:type="dxa"/>
          </w:tcPr>
          <w:p w14:paraId="2A8706D2" w14:textId="77777777" w:rsidR="00DD002E" w:rsidRPr="00F04E8C" w:rsidRDefault="00DD002E" w:rsidP="00632A30">
            <w:pPr>
              <w:pStyle w:val="PBACTableText"/>
              <w:keepNext/>
              <w:spacing w:before="0" w:after="0"/>
              <w:rPr>
                <w:b/>
                <w:bCs/>
              </w:rPr>
            </w:pPr>
            <w:r w:rsidRPr="00F04E8C">
              <w:rPr>
                <w:b/>
                <w:bCs/>
              </w:rPr>
              <w:t>27/96</w:t>
            </w:r>
          </w:p>
        </w:tc>
        <w:tc>
          <w:tcPr>
            <w:tcW w:w="1102" w:type="dxa"/>
          </w:tcPr>
          <w:p w14:paraId="191D8214" w14:textId="77777777" w:rsidR="00DD002E" w:rsidRPr="00F04E8C" w:rsidRDefault="00DD002E" w:rsidP="00632A30">
            <w:pPr>
              <w:pStyle w:val="PBACTableText"/>
              <w:keepNext/>
              <w:spacing w:before="0" w:after="0"/>
              <w:rPr>
                <w:b/>
                <w:bCs/>
              </w:rPr>
            </w:pPr>
            <w:r w:rsidRPr="00F04E8C">
              <w:rPr>
                <w:b/>
                <w:bCs/>
              </w:rPr>
              <w:t>99/101</w:t>
            </w:r>
          </w:p>
        </w:tc>
      </w:tr>
      <w:tr w:rsidR="00DD002E" w14:paraId="0238CFAC" w14:textId="77777777" w:rsidTr="00632A30">
        <w:tc>
          <w:tcPr>
            <w:tcW w:w="600" w:type="dxa"/>
            <w:vMerge/>
          </w:tcPr>
          <w:p w14:paraId="465C44F1" w14:textId="77777777" w:rsidR="00DD002E" w:rsidRPr="00B23744" w:rsidRDefault="00DD002E" w:rsidP="00632A30">
            <w:pPr>
              <w:pStyle w:val="PBACTableText"/>
              <w:keepNext/>
              <w:spacing w:before="0" w:after="0"/>
              <w:rPr>
                <w:b/>
                <w:bCs/>
              </w:rPr>
            </w:pPr>
          </w:p>
        </w:tc>
        <w:tc>
          <w:tcPr>
            <w:tcW w:w="827" w:type="dxa"/>
            <w:vMerge/>
          </w:tcPr>
          <w:p w14:paraId="5CCDA984" w14:textId="77777777" w:rsidR="00DD002E" w:rsidRPr="00B23744" w:rsidRDefault="00DD002E" w:rsidP="00632A30">
            <w:pPr>
              <w:pStyle w:val="PBACTableText"/>
              <w:keepNext/>
              <w:spacing w:before="0" w:after="0"/>
              <w:rPr>
                <w:b/>
                <w:bCs/>
              </w:rPr>
            </w:pPr>
          </w:p>
        </w:tc>
        <w:tc>
          <w:tcPr>
            <w:tcW w:w="978" w:type="dxa"/>
          </w:tcPr>
          <w:p w14:paraId="58ED103B" w14:textId="77777777" w:rsidR="00DD002E" w:rsidRPr="00F04E8C" w:rsidRDefault="00DD002E" w:rsidP="00632A30">
            <w:pPr>
              <w:pStyle w:val="PBACTableText"/>
              <w:keepNext/>
              <w:spacing w:before="0" w:after="0"/>
              <w:rPr>
                <w:b/>
                <w:bCs/>
              </w:rPr>
            </w:pPr>
            <w:r w:rsidRPr="00F04E8C">
              <w:rPr>
                <w:b/>
                <w:bCs/>
              </w:rPr>
              <w:t xml:space="preserve">% </w:t>
            </w:r>
          </w:p>
          <w:p w14:paraId="19949B20" w14:textId="77777777" w:rsidR="00DD002E" w:rsidRPr="00F04E8C" w:rsidRDefault="00DD002E" w:rsidP="00632A30">
            <w:pPr>
              <w:pStyle w:val="PBACTableText"/>
              <w:keepNext/>
              <w:spacing w:before="0" w:after="0"/>
              <w:rPr>
                <w:b/>
                <w:bCs/>
              </w:rPr>
            </w:pPr>
            <w:r w:rsidRPr="00F04E8C">
              <w:rPr>
                <w:b/>
                <w:bCs/>
              </w:rPr>
              <w:t>(95% CI)</w:t>
            </w:r>
          </w:p>
        </w:tc>
        <w:tc>
          <w:tcPr>
            <w:tcW w:w="1102" w:type="dxa"/>
          </w:tcPr>
          <w:p w14:paraId="750FDF7B" w14:textId="77777777" w:rsidR="00DD002E" w:rsidRPr="005631B2" w:rsidRDefault="00DD002E" w:rsidP="00632A30">
            <w:pPr>
              <w:pStyle w:val="PBACTableText"/>
              <w:keepNext/>
              <w:spacing w:before="0" w:after="0"/>
            </w:pPr>
            <w:r w:rsidRPr="005631B2">
              <w:t>98.1% (93.2, 99.8)</w:t>
            </w:r>
          </w:p>
        </w:tc>
        <w:tc>
          <w:tcPr>
            <w:tcW w:w="1102" w:type="dxa"/>
          </w:tcPr>
          <w:p w14:paraId="7CFD6F1C" w14:textId="77777777" w:rsidR="00DD002E" w:rsidRPr="005631B2" w:rsidRDefault="00DD002E" w:rsidP="00632A30">
            <w:pPr>
              <w:pStyle w:val="PBACTableText"/>
              <w:keepNext/>
              <w:spacing w:before="0" w:after="0"/>
            </w:pPr>
            <w:r w:rsidRPr="005631B2">
              <w:t>98.1% (93.2, 99.8)</w:t>
            </w:r>
          </w:p>
        </w:tc>
        <w:tc>
          <w:tcPr>
            <w:tcW w:w="1102" w:type="dxa"/>
          </w:tcPr>
          <w:p w14:paraId="219C8813" w14:textId="77777777" w:rsidR="00DD002E" w:rsidRDefault="00DD002E" w:rsidP="00632A30">
            <w:pPr>
              <w:pStyle w:val="PBACTableText"/>
              <w:keepNext/>
              <w:spacing w:before="0" w:after="0"/>
            </w:pPr>
            <w:r w:rsidRPr="005631B2">
              <w:t xml:space="preserve">100% </w:t>
            </w:r>
          </w:p>
          <w:p w14:paraId="0D1D00F8" w14:textId="77777777" w:rsidR="00DD002E" w:rsidRPr="005631B2" w:rsidRDefault="00DD002E" w:rsidP="00632A30">
            <w:pPr>
              <w:pStyle w:val="PBACTableText"/>
              <w:keepNext/>
              <w:spacing w:before="0" w:after="0"/>
            </w:pPr>
            <w:r w:rsidRPr="005631B2">
              <w:t>(96.4, 100)</w:t>
            </w:r>
          </w:p>
        </w:tc>
        <w:tc>
          <w:tcPr>
            <w:tcW w:w="1102" w:type="dxa"/>
          </w:tcPr>
          <w:p w14:paraId="2CBAE92F" w14:textId="77777777" w:rsidR="00DD002E" w:rsidRDefault="00DD002E" w:rsidP="00632A30">
            <w:pPr>
              <w:pStyle w:val="PBACTableText"/>
              <w:keepNext/>
              <w:spacing w:before="0" w:after="0"/>
            </w:pPr>
            <w:r w:rsidRPr="005631B2">
              <w:t xml:space="preserve">100% </w:t>
            </w:r>
          </w:p>
          <w:p w14:paraId="199087AB" w14:textId="77777777" w:rsidR="00DD002E" w:rsidRPr="005631B2" w:rsidRDefault="00DD002E" w:rsidP="00632A30">
            <w:pPr>
              <w:pStyle w:val="PBACTableText"/>
              <w:keepNext/>
              <w:spacing w:before="0" w:after="0"/>
            </w:pPr>
            <w:r w:rsidRPr="005631B2">
              <w:t>(96.3, 100)</w:t>
            </w:r>
          </w:p>
        </w:tc>
        <w:tc>
          <w:tcPr>
            <w:tcW w:w="1102" w:type="dxa"/>
          </w:tcPr>
          <w:p w14:paraId="58B16B8F" w14:textId="77777777" w:rsidR="00DD002E" w:rsidRPr="005631B2" w:rsidRDefault="00DD002E" w:rsidP="00632A30">
            <w:pPr>
              <w:pStyle w:val="PBACTableText"/>
              <w:keepNext/>
              <w:spacing w:before="0" w:after="0"/>
            </w:pPr>
            <w:r w:rsidRPr="005631B2">
              <w:t>28.1% (19.4, 38.2)</w:t>
            </w:r>
          </w:p>
        </w:tc>
        <w:tc>
          <w:tcPr>
            <w:tcW w:w="1102" w:type="dxa"/>
          </w:tcPr>
          <w:p w14:paraId="29782EE2" w14:textId="77777777" w:rsidR="00DD002E" w:rsidRPr="005631B2" w:rsidRDefault="00DD002E" w:rsidP="00632A30">
            <w:pPr>
              <w:pStyle w:val="PBACTableText"/>
              <w:keepNext/>
              <w:spacing w:before="0" w:after="0"/>
            </w:pPr>
            <w:r w:rsidRPr="005631B2">
              <w:t>98%</w:t>
            </w:r>
          </w:p>
          <w:p w14:paraId="02AB5717" w14:textId="77777777" w:rsidR="00DD002E" w:rsidRPr="005631B2" w:rsidRDefault="00DD002E" w:rsidP="00632A30">
            <w:pPr>
              <w:pStyle w:val="PBACTableText"/>
              <w:keepNext/>
              <w:spacing w:before="0" w:after="0"/>
            </w:pPr>
            <w:r w:rsidRPr="005631B2">
              <w:t>(93.0, 99.8)</w:t>
            </w:r>
          </w:p>
        </w:tc>
      </w:tr>
      <w:tr w:rsidR="00DD002E" w14:paraId="5330A40A" w14:textId="77777777" w:rsidTr="00632A30">
        <w:tc>
          <w:tcPr>
            <w:tcW w:w="600" w:type="dxa"/>
            <w:vMerge w:val="restart"/>
          </w:tcPr>
          <w:p w14:paraId="5883A372" w14:textId="77777777" w:rsidR="00DD002E" w:rsidRPr="00B23744" w:rsidRDefault="00DD002E" w:rsidP="00632A30">
            <w:pPr>
              <w:pStyle w:val="PBACTableText"/>
              <w:keepNext/>
              <w:spacing w:before="0" w:after="0"/>
              <w:rPr>
                <w:b/>
                <w:bCs/>
              </w:rPr>
            </w:pPr>
            <w:r w:rsidRPr="00B23744">
              <w:rPr>
                <w:b/>
                <w:bCs/>
              </w:rPr>
              <w:t>P026</w:t>
            </w:r>
          </w:p>
        </w:tc>
        <w:tc>
          <w:tcPr>
            <w:tcW w:w="827" w:type="dxa"/>
            <w:vMerge w:val="restart"/>
          </w:tcPr>
          <w:p w14:paraId="4D223276" w14:textId="77777777" w:rsidR="00DD002E" w:rsidRPr="00B23744" w:rsidRDefault="00DD002E" w:rsidP="00632A30">
            <w:pPr>
              <w:pStyle w:val="PBACTableText"/>
              <w:keepNext/>
              <w:spacing w:before="0" w:after="0"/>
              <w:rPr>
                <w:b/>
                <w:bCs/>
              </w:rPr>
            </w:pPr>
            <w:r w:rsidRPr="00B23744">
              <w:rPr>
                <w:b/>
                <w:bCs/>
              </w:rPr>
              <w:t>15vPCV</w:t>
            </w:r>
          </w:p>
          <w:p w14:paraId="33F6BA33" w14:textId="77777777" w:rsidR="00DD002E" w:rsidRPr="00B23744" w:rsidRDefault="00DD002E" w:rsidP="00632A30">
            <w:pPr>
              <w:pStyle w:val="PBACTableText"/>
              <w:keepNext/>
              <w:spacing w:before="0" w:after="0"/>
              <w:rPr>
                <w:b/>
                <w:bCs/>
              </w:rPr>
            </w:pPr>
            <w:r w:rsidRPr="00B23744">
              <w:rPr>
                <w:b/>
                <w:bCs/>
              </w:rPr>
              <w:t>N = 123</w:t>
            </w:r>
          </w:p>
        </w:tc>
        <w:tc>
          <w:tcPr>
            <w:tcW w:w="978" w:type="dxa"/>
          </w:tcPr>
          <w:p w14:paraId="1B520E7F" w14:textId="77777777" w:rsidR="00DD002E" w:rsidRPr="00F04E8C" w:rsidRDefault="00DD002E" w:rsidP="00632A30">
            <w:pPr>
              <w:pStyle w:val="PBACTableText"/>
              <w:keepNext/>
              <w:spacing w:before="0" w:after="0"/>
              <w:rPr>
                <w:b/>
                <w:bCs/>
              </w:rPr>
            </w:pPr>
            <w:r w:rsidRPr="00F04E8C">
              <w:rPr>
                <w:b/>
                <w:bCs/>
              </w:rPr>
              <w:t>Pos./test.</w:t>
            </w:r>
          </w:p>
        </w:tc>
        <w:tc>
          <w:tcPr>
            <w:tcW w:w="1102" w:type="dxa"/>
          </w:tcPr>
          <w:p w14:paraId="3602DB0E" w14:textId="77777777" w:rsidR="00DD002E" w:rsidRPr="00F04E8C" w:rsidRDefault="00DD002E" w:rsidP="00632A30">
            <w:pPr>
              <w:pStyle w:val="PBACTableText"/>
              <w:keepNext/>
              <w:spacing w:before="0" w:after="0"/>
              <w:rPr>
                <w:b/>
                <w:bCs/>
              </w:rPr>
            </w:pPr>
            <w:r w:rsidRPr="00F04E8C">
              <w:rPr>
                <w:b/>
                <w:bCs/>
              </w:rPr>
              <w:t>106/108</w:t>
            </w:r>
          </w:p>
        </w:tc>
        <w:tc>
          <w:tcPr>
            <w:tcW w:w="1102" w:type="dxa"/>
          </w:tcPr>
          <w:p w14:paraId="269A756A" w14:textId="77777777" w:rsidR="00DD002E" w:rsidRPr="00F04E8C" w:rsidRDefault="00DD002E" w:rsidP="00632A30">
            <w:pPr>
              <w:pStyle w:val="PBACTableText"/>
              <w:keepNext/>
              <w:spacing w:before="0" w:after="0"/>
              <w:rPr>
                <w:b/>
                <w:bCs/>
              </w:rPr>
            </w:pPr>
            <w:r w:rsidRPr="00F04E8C">
              <w:rPr>
                <w:b/>
                <w:bCs/>
              </w:rPr>
              <w:t>101/102</w:t>
            </w:r>
          </w:p>
        </w:tc>
        <w:tc>
          <w:tcPr>
            <w:tcW w:w="1102" w:type="dxa"/>
          </w:tcPr>
          <w:p w14:paraId="0E97285F" w14:textId="77777777" w:rsidR="00DD002E" w:rsidRPr="00F04E8C" w:rsidRDefault="00DD002E" w:rsidP="00632A30">
            <w:pPr>
              <w:pStyle w:val="PBACTableText"/>
              <w:keepNext/>
              <w:spacing w:before="0" w:after="0"/>
              <w:rPr>
                <w:b/>
                <w:bCs/>
              </w:rPr>
            </w:pPr>
            <w:r w:rsidRPr="00F04E8C">
              <w:rPr>
                <w:b/>
                <w:bCs/>
              </w:rPr>
              <w:t>108/108</w:t>
            </w:r>
          </w:p>
        </w:tc>
        <w:tc>
          <w:tcPr>
            <w:tcW w:w="1102" w:type="dxa"/>
          </w:tcPr>
          <w:p w14:paraId="57F47537" w14:textId="77777777" w:rsidR="00DD002E" w:rsidRPr="00F04E8C" w:rsidRDefault="00DD002E" w:rsidP="00632A30">
            <w:pPr>
              <w:pStyle w:val="PBACTableText"/>
              <w:keepNext/>
              <w:spacing w:before="0" w:after="0"/>
              <w:rPr>
                <w:b/>
                <w:bCs/>
              </w:rPr>
            </w:pPr>
            <w:r w:rsidRPr="00F04E8C">
              <w:rPr>
                <w:b/>
                <w:bCs/>
              </w:rPr>
              <w:t>100/100</w:t>
            </w:r>
          </w:p>
        </w:tc>
        <w:tc>
          <w:tcPr>
            <w:tcW w:w="1102" w:type="dxa"/>
          </w:tcPr>
          <w:p w14:paraId="58419B5E" w14:textId="77777777" w:rsidR="00DD002E" w:rsidRPr="00F04E8C" w:rsidRDefault="00DD002E" w:rsidP="00632A30">
            <w:pPr>
              <w:pStyle w:val="PBACTableText"/>
              <w:keepNext/>
              <w:spacing w:before="0" w:after="0"/>
              <w:rPr>
                <w:b/>
                <w:bCs/>
              </w:rPr>
            </w:pPr>
            <w:r w:rsidRPr="00F04E8C">
              <w:rPr>
                <w:b/>
                <w:bCs/>
              </w:rPr>
              <w:t>104/104</w:t>
            </w:r>
          </w:p>
        </w:tc>
        <w:tc>
          <w:tcPr>
            <w:tcW w:w="1102" w:type="dxa"/>
          </w:tcPr>
          <w:p w14:paraId="67F23D90" w14:textId="77777777" w:rsidR="00DD002E" w:rsidRPr="00F04E8C" w:rsidRDefault="00DD002E" w:rsidP="00632A30">
            <w:pPr>
              <w:pStyle w:val="PBACTableText"/>
              <w:keepNext/>
              <w:spacing w:before="0" w:after="0"/>
              <w:rPr>
                <w:b/>
                <w:bCs/>
              </w:rPr>
            </w:pPr>
            <w:r w:rsidRPr="00F04E8C">
              <w:rPr>
                <w:b/>
                <w:bCs/>
              </w:rPr>
              <w:t>105/105</w:t>
            </w:r>
          </w:p>
        </w:tc>
      </w:tr>
      <w:tr w:rsidR="00DD002E" w14:paraId="5E1BCA1F" w14:textId="77777777" w:rsidTr="00632A30">
        <w:tc>
          <w:tcPr>
            <w:tcW w:w="600" w:type="dxa"/>
            <w:vMerge/>
          </w:tcPr>
          <w:p w14:paraId="0C11EE99" w14:textId="77777777" w:rsidR="00DD002E" w:rsidRPr="00B23744" w:rsidRDefault="00DD002E" w:rsidP="00632A30">
            <w:pPr>
              <w:pStyle w:val="PBACTableText"/>
              <w:keepNext/>
              <w:spacing w:before="0" w:after="0"/>
              <w:rPr>
                <w:b/>
                <w:bCs/>
              </w:rPr>
            </w:pPr>
          </w:p>
        </w:tc>
        <w:tc>
          <w:tcPr>
            <w:tcW w:w="827" w:type="dxa"/>
            <w:vMerge/>
          </w:tcPr>
          <w:p w14:paraId="26FB2AB1" w14:textId="77777777" w:rsidR="00DD002E" w:rsidRPr="00B23744" w:rsidRDefault="00DD002E" w:rsidP="00632A30">
            <w:pPr>
              <w:pStyle w:val="PBACTableText"/>
              <w:keepNext/>
              <w:spacing w:before="0" w:after="0"/>
              <w:rPr>
                <w:b/>
                <w:bCs/>
              </w:rPr>
            </w:pPr>
          </w:p>
        </w:tc>
        <w:tc>
          <w:tcPr>
            <w:tcW w:w="978" w:type="dxa"/>
          </w:tcPr>
          <w:p w14:paraId="0CA18A3E" w14:textId="77777777" w:rsidR="00DD002E" w:rsidRPr="00F04E8C" w:rsidRDefault="00DD002E" w:rsidP="00632A30">
            <w:pPr>
              <w:pStyle w:val="PBACTableText"/>
              <w:keepNext/>
              <w:spacing w:before="0" w:after="0"/>
              <w:rPr>
                <w:b/>
                <w:bCs/>
              </w:rPr>
            </w:pPr>
            <w:r w:rsidRPr="00F04E8C">
              <w:rPr>
                <w:b/>
                <w:bCs/>
              </w:rPr>
              <w:t xml:space="preserve">% </w:t>
            </w:r>
          </w:p>
          <w:p w14:paraId="2C411A02" w14:textId="77777777" w:rsidR="00DD002E" w:rsidRPr="00F04E8C" w:rsidRDefault="00DD002E" w:rsidP="00632A30">
            <w:pPr>
              <w:pStyle w:val="PBACTableText"/>
              <w:keepNext/>
              <w:spacing w:before="0" w:after="0"/>
              <w:rPr>
                <w:b/>
                <w:bCs/>
              </w:rPr>
            </w:pPr>
            <w:r w:rsidRPr="00F04E8C">
              <w:rPr>
                <w:b/>
                <w:bCs/>
              </w:rPr>
              <w:t>(95% CI)</w:t>
            </w:r>
          </w:p>
        </w:tc>
        <w:tc>
          <w:tcPr>
            <w:tcW w:w="1102" w:type="dxa"/>
          </w:tcPr>
          <w:p w14:paraId="588F7C04" w14:textId="77777777" w:rsidR="00DD002E" w:rsidRDefault="00DD002E" w:rsidP="00632A30">
            <w:pPr>
              <w:pStyle w:val="PBACTableText"/>
              <w:keepNext/>
              <w:spacing w:before="0" w:after="0"/>
            </w:pPr>
            <w:r w:rsidRPr="00EF128F">
              <w:t>98.1% (93.5, 99.8)</w:t>
            </w:r>
          </w:p>
        </w:tc>
        <w:tc>
          <w:tcPr>
            <w:tcW w:w="1102" w:type="dxa"/>
          </w:tcPr>
          <w:p w14:paraId="139595A0" w14:textId="77777777" w:rsidR="00DD002E" w:rsidRDefault="00DD002E" w:rsidP="00632A30">
            <w:pPr>
              <w:pStyle w:val="PBACTableText"/>
              <w:keepNext/>
              <w:spacing w:before="0" w:after="0"/>
            </w:pPr>
            <w:r w:rsidRPr="00EF128F">
              <w:t>99.0% (94.7, 100)</w:t>
            </w:r>
          </w:p>
        </w:tc>
        <w:tc>
          <w:tcPr>
            <w:tcW w:w="1102" w:type="dxa"/>
          </w:tcPr>
          <w:p w14:paraId="6C99CB60" w14:textId="77777777" w:rsidR="00DD002E" w:rsidRDefault="00DD002E" w:rsidP="00632A30">
            <w:pPr>
              <w:pStyle w:val="PBACTableText"/>
              <w:keepNext/>
              <w:spacing w:before="0" w:after="0"/>
            </w:pPr>
            <w:r w:rsidRPr="00EF128F">
              <w:t xml:space="preserve">100% </w:t>
            </w:r>
          </w:p>
          <w:p w14:paraId="631C212D" w14:textId="77777777" w:rsidR="00DD002E" w:rsidRDefault="00DD002E" w:rsidP="00632A30">
            <w:pPr>
              <w:pStyle w:val="PBACTableText"/>
              <w:keepNext/>
              <w:spacing w:before="0" w:after="0"/>
            </w:pPr>
            <w:r w:rsidRPr="00EF128F">
              <w:t>(96.6, 100)</w:t>
            </w:r>
          </w:p>
        </w:tc>
        <w:tc>
          <w:tcPr>
            <w:tcW w:w="1102" w:type="dxa"/>
          </w:tcPr>
          <w:p w14:paraId="4931AC90" w14:textId="77777777" w:rsidR="00DD002E" w:rsidRDefault="00DD002E" w:rsidP="00632A30">
            <w:pPr>
              <w:pStyle w:val="PBACTableText"/>
              <w:keepNext/>
              <w:spacing w:before="0" w:after="0"/>
            </w:pPr>
            <w:r w:rsidRPr="00EF128F">
              <w:t xml:space="preserve">100% </w:t>
            </w:r>
          </w:p>
          <w:p w14:paraId="11B5FBC3" w14:textId="77777777" w:rsidR="00DD002E" w:rsidRDefault="00DD002E" w:rsidP="00632A30">
            <w:pPr>
              <w:pStyle w:val="PBACTableText"/>
              <w:keepNext/>
              <w:spacing w:before="0" w:after="0"/>
            </w:pPr>
            <w:r w:rsidRPr="00EF128F">
              <w:t>(96.4, 100)</w:t>
            </w:r>
          </w:p>
        </w:tc>
        <w:tc>
          <w:tcPr>
            <w:tcW w:w="1102" w:type="dxa"/>
          </w:tcPr>
          <w:p w14:paraId="0D882D74" w14:textId="77777777" w:rsidR="00DD002E" w:rsidRDefault="00DD002E" w:rsidP="00632A30">
            <w:pPr>
              <w:pStyle w:val="PBACTableText"/>
              <w:keepNext/>
              <w:spacing w:before="0" w:after="0"/>
            </w:pPr>
            <w:r w:rsidRPr="00EF128F">
              <w:t xml:space="preserve">100% </w:t>
            </w:r>
          </w:p>
          <w:p w14:paraId="3C4464CD" w14:textId="77777777" w:rsidR="00DD002E" w:rsidRDefault="00DD002E" w:rsidP="00632A30">
            <w:pPr>
              <w:pStyle w:val="PBACTableText"/>
              <w:keepNext/>
              <w:spacing w:before="0" w:after="0"/>
            </w:pPr>
            <w:r w:rsidRPr="00EF128F">
              <w:t>(96.5, 100)</w:t>
            </w:r>
          </w:p>
        </w:tc>
        <w:tc>
          <w:tcPr>
            <w:tcW w:w="1102" w:type="dxa"/>
          </w:tcPr>
          <w:p w14:paraId="26DBE604" w14:textId="77777777" w:rsidR="00DD002E" w:rsidRDefault="00DD002E" w:rsidP="00632A30">
            <w:pPr>
              <w:pStyle w:val="PBACTableText"/>
              <w:keepNext/>
              <w:spacing w:before="0" w:after="0"/>
            </w:pPr>
            <w:r w:rsidRPr="00EF128F">
              <w:t xml:space="preserve">100% </w:t>
            </w:r>
          </w:p>
          <w:p w14:paraId="5D13DD40" w14:textId="77777777" w:rsidR="00DD002E" w:rsidRDefault="00DD002E" w:rsidP="00632A30">
            <w:pPr>
              <w:pStyle w:val="PBACTableText"/>
              <w:keepNext/>
              <w:spacing w:before="0" w:after="0"/>
            </w:pPr>
            <w:r w:rsidRPr="00EF128F">
              <w:t>(96.5, 100)</w:t>
            </w:r>
          </w:p>
        </w:tc>
      </w:tr>
      <w:tr w:rsidR="00DD002E" w14:paraId="343D5D5F" w14:textId="77777777" w:rsidTr="00632A30">
        <w:tc>
          <w:tcPr>
            <w:tcW w:w="600" w:type="dxa"/>
            <w:vMerge/>
          </w:tcPr>
          <w:p w14:paraId="6B25FA59" w14:textId="77777777" w:rsidR="00DD002E" w:rsidRPr="00B23744" w:rsidRDefault="00DD002E" w:rsidP="00632A30">
            <w:pPr>
              <w:pStyle w:val="PBACTableText"/>
              <w:keepNext/>
              <w:spacing w:before="0" w:after="0"/>
              <w:rPr>
                <w:b/>
                <w:bCs/>
              </w:rPr>
            </w:pPr>
          </w:p>
        </w:tc>
        <w:tc>
          <w:tcPr>
            <w:tcW w:w="827" w:type="dxa"/>
            <w:vMerge w:val="restart"/>
          </w:tcPr>
          <w:p w14:paraId="2B022889" w14:textId="77777777" w:rsidR="00DD002E" w:rsidRPr="00B23744" w:rsidRDefault="00DD002E" w:rsidP="00632A30">
            <w:pPr>
              <w:pStyle w:val="PBACTableText"/>
              <w:keepNext/>
              <w:spacing w:before="0" w:after="0"/>
              <w:rPr>
                <w:b/>
                <w:bCs/>
              </w:rPr>
            </w:pPr>
            <w:r w:rsidRPr="00B23744">
              <w:rPr>
                <w:b/>
                <w:bCs/>
              </w:rPr>
              <w:t>13vPCV</w:t>
            </w:r>
          </w:p>
          <w:p w14:paraId="0CD9E185" w14:textId="77777777" w:rsidR="00DD002E" w:rsidRPr="00B23744" w:rsidRDefault="00DD002E" w:rsidP="00632A30">
            <w:pPr>
              <w:pStyle w:val="PBACTableText"/>
              <w:keepNext/>
              <w:spacing w:before="0" w:after="0"/>
              <w:rPr>
                <w:b/>
                <w:bCs/>
              </w:rPr>
            </w:pPr>
            <w:r w:rsidRPr="00B23744">
              <w:rPr>
                <w:b/>
                <w:bCs/>
              </w:rPr>
              <w:t>N = 113</w:t>
            </w:r>
          </w:p>
        </w:tc>
        <w:tc>
          <w:tcPr>
            <w:tcW w:w="978" w:type="dxa"/>
          </w:tcPr>
          <w:p w14:paraId="1DAD6550" w14:textId="77777777" w:rsidR="00DD002E" w:rsidRPr="00F04E8C" w:rsidRDefault="00DD002E" w:rsidP="00632A30">
            <w:pPr>
              <w:pStyle w:val="PBACTableText"/>
              <w:keepNext/>
              <w:spacing w:before="0" w:after="0"/>
              <w:rPr>
                <w:b/>
                <w:bCs/>
              </w:rPr>
            </w:pPr>
            <w:r w:rsidRPr="00F04E8C">
              <w:rPr>
                <w:b/>
                <w:bCs/>
              </w:rPr>
              <w:t>Pos./test.</w:t>
            </w:r>
          </w:p>
        </w:tc>
        <w:tc>
          <w:tcPr>
            <w:tcW w:w="1102" w:type="dxa"/>
          </w:tcPr>
          <w:p w14:paraId="2014782B" w14:textId="77777777" w:rsidR="00DD002E" w:rsidRPr="00F04E8C" w:rsidRDefault="00DD002E" w:rsidP="00632A30">
            <w:pPr>
              <w:pStyle w:val="PBACTableText"/>
              <w:keepNext/>
              <w:spacing w:before="0" w:after="0"/>
              <w:rPr>
                <w:b/>
                <w:bCs/>
              </w:rPr>
            </w:pPr>
            <w:r w:rsidRPr="00F04E8C">
              <w:rPr>
                <w:b/>
                <w:bCs/>
              </w:rPr>
              <w:t>92/94</w:t>
            </w:r>
          </w:p>
        </w:tc>
        <w:tc>
          <w:tcPr>
            <w:tcW w:w="1102" w:type="dxa"/>
          </w:tcPr>
          <w:p w14:paraId="4C52D5BF" w14:textId="77777777" w:rsidR="00DD002E" w:rsidRPr="00F04E8C" w:rsidRDefault="00DD002E" w:rsidP="00632A30">
            <w:pPr>
              <w:pStyle w:val="PBACTableText"/>
              <w:keepNext/>
              <w:spacing w:before="0" w:after="0"/>
              <w:rPr>
                <w:b/>
                <w:bCs/>
              </w:rPr>
            </w:pPr>
            <w:r w:rsidRPr="00F04E8C">
              <w:rPr>
                <w:b/>
                <w:bCs/>
              </w:rPr>
              <w:t>90/92</w:t>
            </w:r>
          </w:p>
        </w:tc>
        <w:tc>
          <w:tcPr>
            <w:tcW w:w="1102" w:type="dxa"/>
          </w:tcPr>
          <w:p w14:paraId="20DEEF35" w14:textId="77777777" w:rsidR="00DD002E" w:rsidRPr="00F04E8C" w:rsidRDefault="00DD002E" w:rsidP="00632A30">
            <w:pPr>
              <w:pStyle w:val="PBACTableText"/>
              <w:keepNext/>
              <w:spacing w:before="0" w:after="0"/>
              <w:rPr>
                <w:b/>
                <w:bCs/>
              </w:rPr>
            </w:pPr>
            <w:r w:rsidRPr="00F04E8C">
              <w:rPr>
                <w:b/>
                <w:bCs/>
              </w:rPr>
              <w:t>95/95</w:t>
            </w:r>
          </w:p>
        </w:tc>
        <w:tc>
          <w:tcPr>
            <w:tcW w:w="1102" w:type="dxa"/>
          </w:tcPr>
          <w:p w14:paraId="238B9088" w14:textId="77777777" w:rsidR="00DD002E" w:rsidRPr="00F04E8C" w:rsidRDefault="00DD002E" w:rsidP="00632A30">
            <w:pPr>
              <w:pStyle w:val="PBACTableText"/>
              <w:keepNext/>
              <w:spacing w:before="0" w:after="0"/>
              <w:rPr>
                <w:b/>
                <w:bCs/>
              </w:rPr>
            </w:pPr>
            <w:r w:rsidRPr="00F04E8C">
              <w:rPr>
                <w:b/>
                <w:bCs/>
              </w:rPr>
              <w:t>93/93</w:t>
            </w:r>
          </w:p>
        </w:tc>
        <w:tc>
          <w:tcPr>
            <w:tcW w:w="1102" w:type="dxa"/>
          </w:tcPr>
          <w:p w14:paraId="3C3487CD" w14:textId="77777777" w:rsidR="00DD002E" w:rsidRPr="00F04E8C" w:rsidRDefault="00DD002E" w:rsidP="00632A30">
            <w:pPr>
              <w:pStyle w:val="PBACTableText"/>
              <w:keepNext/>
              <w:spacing w:before="0" w:after="0"/>
              <w:rPr>
                <w:b/>
                <w:bCs/>
              </w:rPr>
            </w:pPr>
            <w:r w:rsidRPr="00F04E8C">
              <w:rPr>
                <w:b/>
                <w:bCs/>
              </w:rPr>
              <w:t>24/91</w:t>
            </w:r>
          </w:p>
        </w:tc>
        <w:tc>
          <w:tcPr>
            <w:tcW w:w="1102" w:type="dxa"/>
          </w:tcPr>
          <w:p w14:paraId="464A8782" w14:textId="77777777" w:rsidR="00DD002E" w:rsidRPr="00F04E8C" w:rsidRDefault="00DD002E" w:rsidP="00632A30">
            <w:pPr>
              <w:pStyle w:val="PBACTableText"/>
              <w:keepNext/>
              <w:spacing w:before="0" w:after="0"/>
              <w:rPr>
                <w:b/>
                <w:bCs/>
              </w:rPr>
            </w:pPr>
            <w:r w:rsidRPr="00F04E8C">
              <w:rPr>
                <w:b/>
                <w:bCs/>
              </w:rPr>
              <w:t>94/95</w:t>
            </w:r>
          </w:p>
        </w:tc>
      </w:tr>
      <w:tr w:rsidR="00DD002E" w14:paraId="61664FE3" w14:textId="77777777" w:rsidTr="00632A30">
        <w:tc>
          <w:tcPr>
            <w:tcW w:w="600" w:type="dxa"/>
            <w:vMerge/>
          </w:tcPr>
          <w:p w14:paraId="3133C281" w14:textId="77777777" w:rsidR="00DD002E" w:rsidRPr="00B23744" w:rsidRDefault="00DD002E" w:rsidP="00632A30">
            <w:pPr>
              <w:pStyle w:val="PBACTableText"/>
              <w:keepNext/>
              <w:spacing w:before="0" w:after="0"/>
              <w:rPr>
                <w:b/>
                <w:bCs/>
              </w:rPr>
            </w:pPr>
          </w:p>
        </w:tc>
        <w:tc>
          <w:tcPr>
            <w:tcW w:w="827" w:type="dxa"/>
            <w:vMerge/>
          </w:tcPr>
          <w:p w14:paraId="29B9A329" w14:textId="77777777" w:rsidR="00DD002E" w:rsidRPr="00B23744" w:rsidRDefault="00DD002E" w:rsidP="00632A30">
            <w:pPr>
              <w:pStyle w:val="PBACTableText"/>
              <w:keepNext/>
              <w:spacing w:before="0" w:after="0"/>
              <w:rPr>
                <w:b/>
                <w:bCs/>
              </w:rPr>
            </w:pPr>
          </w:p>
        </w:tc>
        <w:tc>
          <w:tcPr>
            <w:tcW w:w="978" w:type="dxa"/>
          </w:tcPr>
          <w:p w14:paraId="51B51CA2" w14:textId="77777777" w:rsidR="00DD002E" w:rsidRPr="00F04E8C" w:rsidRDefault="00DD002E" w:rsidP="00632A30">
            <w:pPr>
              <w:pStyle w:val="PBACTableText"/>
              <w:keepNext/>
              <w:spacing w:before="0" w:after="0"/>
              <w:rPr>
                <w:b/>
                <w:bCs/>
              </w:rPr>
            </w:pPr>
            <w:r w:rsidRPr="00F04E8C">
              <w:rPr>
                <w:b/>
                <w:bCs/>
              </w:rPr>
              <w:t xml:space="preserve">% </w:t>
            </w:r>
          </w:p>
          <w:p w14:paraId="2C184A4B" w14:textId="77777777" w:rsidR="00DD002E" w:rsidRPr="00F04E8C" w:rsidRDefault="00DD002E" w:rsidP="00632A30">
            <w:pPr>
              <w:pStyle w:val="PBACTableText"/>
              <w:keepNext/>
              <w:spacing w:before="0" w:after="0"/>
              <w:rPr>
                <w:b/>
                <w:bCs/>
              </w:rPr>
            </w:pPr>
            <w:r w:rsidRPr="00F04E8C">
              <w:rPr>
                <w:b/>
                <w:bCs/>
              </w:rPr>
              <w:t>(95% CI)</w:t>
            </w:r>
          </w:p>
        </w:tc>
        <w:tc>
          <w:tcPr>
            <w:tcW w:w="1102" w:type="dxa"/>
          </w:tcPr>
          <w:p w14:paraId="3AE6F81D" w14:textId="77777777" w:rsidR="00DD002E" w:rsidRDefault="00DD002E" w:rsidP="00632A30">
            <w:pPr>
              <w:pStyle w:val="PBACTableText"/>
              <w:keepNext/>
              <w:spacing w:before="0" w:after="0"/>
            </w:pPr>
            <w:r w:rsidRPr="00EF128F">
              <w:t>97.9% (92.5, 99.7)</w:t>
            </w:r>
          </w:p>
        </w:tc>
        <w:tc>
          <w:tcPr>
            <w:tcW w:w="1102" w:type="dxa"/>
          </w:tcPr>
          <w:p w14:paraId="49C93458" w14:textId="77777777" w:rsidR="00DD002E" w:rsidRDefault="00DD002E" w:rsidP="00632A30">
            <w:pPr>
              <w:pStyle w:val="PBACTableText"/>
              <w:keepNext/>
              <w:spacing w:before="0" w:after="0"/>
            </w:pPr>
            <w:r w:rsidRPr="00EF128F">
              <w:t>97.8% (92.4, 99.7)</w:t>
            </w:r>
          </w:p>
        </w:tc>
        <w:tc>
          <w:tcPr>
            <w:tcW w:w="1102" w:type="dxa"/>
          </w:tcPr>
          <w:p w14:paraId="46E9FC92" w14:textId="77777777" w:rsidR="00DD002E" w:rsidRDefault="00DD002E" w:rsidP="00632A30">
            <w:pPr>
              <w:pStyle w:val="PBACTableText"/>
              <w:keepNext/>
              <w:spacing w:before="0" w:after="0"/>
            </w:pPr>
            <w:r w:rsidRPr="00EF128F">
              <w:t xml:space="preserve">100% </w:t>
            </w:r>
          </w:p>
          <w:p w14:paraId="198B3666" w14:textId="77777777" w:rsidR="00DD002E" w:rsidRDefault="00DD002E" w:rsidP="00632A30">
            <w:pPr>
              <w:pStyle w:val="PBACTableText"/>
              <w:keepNext/>
              <w:spacing w:before="0" w:after="0"/>
            </w:pPr>
            <w:r w:rsidRPr="00EF128F">
              <w:t>(96.2, 100)</w:t>
            </w:r>
          </w:p>
        </w:tc>
        <w:tc>
          <w:tcPr>
            <w:tcW w:w="1102" w:type="dxa"/>
          </w:tcPr>
          <w:p w14:paraId="0CB293DE" w14:textId="77777777" w:rsidR="00DD002E" w:rsidRDefault="00DD002E" w:rsidP="00632A30">
            <w:pPr>
              <w:pStyle w:val="PBACTableText"/>
              <w:keepNext/>
              <w:spacing w:before="0" w:after="0"/>
            </w:pPr>
            <w:r w:rsidRPr="00EF128F">
              <w:t xml:space="preserve">100% </w:t>
            </w:r>
          </w:p>
          <w:p w14:paraId="39DF5097" w14:textId="77777777" w:rsidR="00DD002E" w:rsidRDefault="00DD002E" w:rsidP="00632A30">
            <w:pPr>
              <w:pStyle w:val="PBACTableText"/>
              <w:keepNext/>
              <w:spacing w:before="0" w:after="0"/>
            </w:pPr>
            <w:r w:rsidRPr="00EF128F">
              <w:t>(96.1, 100)</w:t>
            </w:r>
          </w:p>
        </w:tc>
        <w:tc>
          <w:tcPr>
            <w:tcW w:w="1102" w:type="dxa"/>
          </w:tcPr>
          <w:p w14:paraId="47237963" w14:textId="77777777" w:rsidR="00DD002E" w:rsidRDefault="00DD002E" w:rsidP="00632A30">
            <w:pPr>
              <w:pStyle w:val="PBACTableText"/>
              <w:keepNext/>
              <w:spacing w:before="0" w:after="0"/>
            </w:pPr>
            <w:r w:rsidRPr="00EF128F">
              <w:t>26.4% (17.7, 36.7)</w:t>
            </w:r>
          </w:p>
        </w:tc>
        <w:tc>
          <w:tcPr>
            <w:tcW w:w="1102" w:type="dxa"/>
          </w:tcPr>
          <w:p w14:paraId="36F49E36" w14:textId="77777777" w:rsidR="00DD002E" w:rsidRDefault="00DD002E" w:rsidP="00632A30">
            <w:pPr>
              <w:pStyle w:val="PBACTableText"/>
              <w:keepNext/>
              <w:spacing w:before="0" w:after="0"/>
            </w:pPr>
            <w:r w:rsidRPr="00EF128F">
              <w:t>98.9% (94.3, 100)</w:t>
            </w:r>
          </w:p>
        </w:tc>
      </w:tr>
      <w:tr w:rsidR="00DD002E" w14:paraId="09B151BB" w14:textId="77777777" w:rsidTr="00632A30">
        <w:tc>
          <w:tcPr>
            <w:tcW w:w="600" w:type="dxa"/>
            <w:vMerge w:val="restart"/>
          </w:tcPr>
          <w:p w14:paraId="2D13A23D" w14:textId="77777777" w:rsidR="00DD002E" w:rsidRPr="00B23744" w:rsidRDefault="00DD002E" w:rsidP="00632A30">
            <w:pPr>
              <w:pStyle w:val="PBACTableText"/>
              <w:keepNext/>
              <w:spacing w:before="0" w:after="0"/>
              <w:rPr>
                <w:b/>
                <w:bCs/>
              </w:rPr>
            </w:pPr>
            <w:r w:rsidRPr="00B23744">
              <w:rPr>
                <w:b/>
                <w:bCs/>
              </w:rPr>
              <w:t>P029</w:t>
            </w:r>
          </w:p>
        </w:tc>
        <w:tc>
          <w:tcPr>
            <w:tcW w:w="827" w:type="dxa"/>
            <w:vMerge w:val="restart"/>
          </w:tcPr>
          <w:p w14:paraId="6543D1C7" w14:textId="77777777" w:rsidR="00DD002E" w:rsidRPr="00B23744" w:rsidRDefault="00DD002E" w:rsidP="00632A30">
            <w:pPr>
              <w:pStyle w:val="PBACTableText"/>
              <w:keepNext/>
              <w:spacing w:before="0" w:after="0"/>
              <w:rPr>
                <w:b/>
                <w:bCs/>
              </w:rPr>
            </w:pPr>
            <w:r w:rsidRPr="00B23744">
              <w:rPr>
                <w:b/>
                <w:bCs/>
              </w:rPr>
              <w:t>15vPCV</w:t>
            </w:r>
          </w:p>
          <w:p w14:paraId="75D3B467" w14:textId="77777777" w:rsidR="00DD002E" w:rsidRPr="00B23744" w:rsidRDefault="00DD002E" w:rsidP="00632A30">
            <w:pPr>
              <w:pStyle w:val="PBACTableText"/>
              <w:keepNext/>
              <w:spacing w:before="0" w:after="0"/>
              <w:rPr>
                <w:b/>
                <w:bCs/>
              </w:rPr>
            </w:pPr>
            <w:r w:rsidRPr="00B23744">
              <w:rPr>
                <w:b/>
                <w:bCs/>
              </w:rPr>
              <w:t>N = 176</w:t>
            </w:r>
          </w:p>
        </w:tc>
        <w:tc>
          <w:tcPr>
            <w:tcW w:w="978" w:type="dxa"/>
          </w:tcPr>
          <w:p w14:paraId="55BCCFF3" w14:textId="77777777" w:rsidR="00DD002E" w:rsidRPr="00F04E8C" w:rsidRDefault="00DD002E" w:rsidP="00632A30">
            <w:pPr>
              <w:pStyle w:val="PBACTableText"/>
              <w:keepNext/>
              <w:spacing w:before="0" w:after="0"/>
              <w:rPr>
                <w:b/>
                <w:bCs/>
              </w:rPr>
            </w:pPr>
            <w:r w:rsidRPr="00F04E8C">
              <w:rPr>
                <w:b/>
                <w:bCs/>
              </w:rPr>
              <w:t>Pos./test.</w:t>
            </w:r>
          </w:p>
        </w:tc>
        <w:tc>
          <w:tcPr>
            <w:tcW w:w="1102" w:type="dxa"/>
          </w:tcPr>
          <w:p w14:paraId="478272EC" w14:textId="77777777" w:rsidR="00DD002E" w:rsidRPr="00F04E8C" w:rsidRDefault="00DD002E" w:rsidP="00632A30">
            <w:pPr>
              <w:pStyle w:val="PBACTableText"/>
              <w:keepNext/>
              <w:spacing w:before="0" w:after="0"/>
              <w:rPr>
                <w:b/>
                <w:bCs/>
              </w:rPr>
            </w:pPr>
            <w:r w:rsidRPr="00F04E8C">
              <w:rPr>
                <w:b/>
                <w:bCs/>
              </w:rPr>
              <w:t>147/170</w:t>
            </w:r>
          </w:p>
        </w:tc>
        <w:tc>
          <w:tcPr>
            <w:tcW w:w="1102" w:type="dxa"/>
          </w:tcPr>
          <w:p w14:paraId="727F92CF" w14:textId="77777777" w:rsidR="00DD002E" w:rsidRPr="00F04E8C" w:rsidRDefault="00DD002E" w:rsidP="00632A30">
            <w:pPr>
              <w:pStyle w:val="PBACTableText"/>
              <w:keepNext/>
              <w:spacing w:before="0" w:after="0"/>
              <w:rPr>
                <w:b/>
                <w:bCs/>
              </w:rPr>
            </w:pPr>
            <w:r w:rsidRPr="00F04E8C">
              <w:rPr>
                <w:b/>
                <w:bCs/>
              </w:rPr>
              <w:t>169/169</w:t>
            </w:r>
          </w:p>
        </w:tc>
        <w:tc>
          <w:tcPr>
            <w:tcW w:w="1102" w:type="dxa"/>
          </w:tcPr>
          <w:p w14:paraId="23300F8E" w14:textId="77777777" w:rsidR="00DD002E" w:rsidRPr="00F04E8C" w:rsidRDefault="00DD002E" w:rsidP="00632A30">
            <w:pPr>
              <w:pStyle w:val="PBACTableText"/>
              <w:keepNext/>
              <w:spacing w:before="0" w:after="0"/>
              <w:rPr>
                <w:b/>
                <w:bCs/>
              </w:rPr>
            </w:pPr>
            <w:r w:rsidRPr="00F04E8C">
              <w:rPr>
                <w:b/>
                <w:bCs/>
              </w:rPr>
              <w:t>165/171</w:t>
            </w:r>
          </w:p>
        </w:tc>
        <w:tc>
          <w:tcPr>
            <w:tcW w:w="1102" w:type="dxa"/>
          </w:tcPr>
          <w:p w14:paraId="05D173E9" w14:textId="77777777" w:rsidR="00DD002E" w:rsidRPr="00F04E8C" w:rsidRDefault="00DD002E" w:rsidP="00632A30">
            <w:pPr>
              <w:pStyle w:val="PBACTableText"/>
              <w:keepNext/>
              <w:spacing w:before="0" w:after="0"/>
              <w:rPr>
                <w:b/>
                <w:bCs/>
              </w:rPr>
            </w:pPr>
            <w:r w:rsidRPr="00F04E8C">
              <w:rPr>
                <w:b/>
                <w:bCs/>
              </w:rPr>
              <w:t>166/171</w:t>
            </w:r>
          </w:p>
        </w:tc>
        <w:tc>
          <w:tcPr>
            <w:tcW w:w="1102" w:type="dxa"/>
          </w:tcPr>
          <w:p w14:paraId="4F586365" w14:textId="77777777" w:rsidR="00DD002E" w:rsidRPr="00F04E8C" w:rsidRDefault="00DD002E" w:rsidP="00632A30">
            <w:pPr>
              <w:pStyle w:val="PBACTableText"/>
              <w:keepNext/>
              <w:spacing w:before="0" w:after="0"/>
              <w:rPr>
                <w:b/>
                <w:bCs/>
              </w:rPr>
            </w:pPr>
            <w:r w:rsidRPr="00F04E8C">
              <w:rPr>
                <w:b/>
                <w:bCs/>
              </w:rPr>
              <w:t>169/170</w:t>
            </w:r>
          </w:p>
        </w:tc>
        <w:tc>
          <w:tcPr>
            <w:tcW w:w="1102" w:type="dxa"/>
          </w:tcPr>
          <w:p w14:paraId="0CEA0AE9" w14:textId="77777777" w:rsidR="00DD002E" w:rsidRPr="00F04E8C" w:rsidRDefault="00DD002E" w:rsidP="00632A30">
            <w:pPr>
              <w:pStyle w:val="PBACTableText"/>
              <w:keepNext/>
              <w:spacing w:before="0" w:after="0"/>
              <w:rPr>
                <w:b/>
                <w:bCs/>
              </w:rPr>
            </w:pPr>
            <w:r w:rsidRPr="00F04E8C">
              <w:rPr>
                <w:b/>
                <w:bCs/>
              </w:rPr>
              <w:t>168/170</w:t>
            </w:r>
          </w:p>
        </w:tc>
      </w:tr>
      <w:tr w:rsidR="00DD002E" w14:paraId="0672A353" w14:textId="77777777" w:rsidTr="00632A30">
        <w:tc>
          <w:tcPr>
            <w:tcW w:w="600" w:type="dxa"/>
            <w:vMerge/>
          </w:tcPr>
          <w:p w14:paraId="7299388A" w14:textId="77777777" w:rsidR="00DD002E" w:rsidRPr="00B23744" w:rsidRDefault="00DD002E" w:rsidP="00632A30">
            <w:pPr>
              <w:pStyle w:val="PBACTableText"/>
              <w:keepNext/>
              <w:spacing w:before="0" w:after="0"/>
              <w:rPr>
                <w:b/>
                <w:bCs/>
              </w:rPr>
            </w:pPr>
          </w:p>
        </w:tc>
        <w:tc>
          <w:tcPr>
            <w:tcW w:w="827" w:type="dxa"/>
            <w:vMerge/>
          </w:tcPr>
          <w:p w14:paraId="7B1AFC84" w14:textId="77777777" w:rsidR="00DD002E" w:rsidRPr="00B23744" w:rsidRDefault="00DD002E" w:rsidP="00632A30">
            <w:pPr>
              <w:pStyle w:val="PBACTableText"/>
              <w:keepNext/>
              <w:spacing w:before="0" w:after="0"/>
              <w:rPr>
                <w:b/>
                <w:bCs/>
              </w:rPr>
            </w:pPr>
          </w:p>
        </w:tc>
        <w:tc>
          <w:tcPr>
            <w:tcW w:w="978" w:type="dxa"/>
          </w:tcPr>
          <w:p w14:paraId="555653DB" w14:textId="77777777" w:rsidR="00DD002E" w:rsidRPr="00F04E8C" w:rsidRDefault="00DD002E" w:rsidP="00632A30">
            <w:pPr>
              <w:pStyle w:val="PBACTableText"/>
              <w:keepNext/>
              <w:spacing w:before="0" w:after="0"/>
              <w:rPr>
                <w:b/>
                <w:bCs/>
              </w:rPr>
            </w:pPr>
            <w:r w:rsidRPr="00F04E8C">
              <w:rPr>
                <w:b/>
                <w:bCs/>
              </w:rPr>
              <w:t xml:space="preserve">% </w:t>
            </w:r>
          </w:p>
          <w:p w14:paraId="6BDBD4CB" w14:textId="77777777" w:rsidR="00DD002E" w:rsidRPr="00F04E8C" w:rsidRDefault="00DD002E" w:rsidP="00632A30">
            <w:pPr>
              <w:pStyle w:val="PBACTableText"/>
              <w:keepNext/>
              <w:spacing w:before="0" w:after="0"/>
              <w:rPr>
                <w:b/>
                <w:bCs/>
              </w:rPr>
            </w:pPr>
            <w:r w:rsidRPr="00F04E8C">
              <w:rPr>
                <w:b/>
                <w:bCs/>
              </w:rPr>
              <w:t>(95% CI)</w:t>
            </w:r>
          </w:p>
        </w:tc>
        <w:tc>
          <w:tcPr>
            <w:tcW w:w="1102" w:type="dxa"/>
          </w:tcPr>
          <w:p w14:paraId="6B7F6096" w14:textId="77777777" w:rsidR="00DD002E" w:rsidRPr="00EF128F" w:rsidRDefault="00DD002E" w:rsidP="00632A30">
            <w:pPr>
              <w:pStyle w:val="PBACTableText"/>
              <w:keepNext/>
              <w:spacing w:before="0" w:after="0"/>
            </w:pPr>
            <w:r w:rsidRPr="00EF128F">
              <w:t>86.5% (80.4, 91.2)</w:t>
            </w:r>
          </w:p>
        </w:tc>
        <w:tc>
          <w:tcPr>
            <w:tcW w:w="1102" w:type="dxa"/>
          </w:tcPr>
          <w:p w14:paraId="10A9499D" w14:textId="77777777" w:rsidR="00DD002E" w:rsidRDefault="00DD002E" w:rsidP="00632A30">
            <w:pPr>
              <w:pStyle w:val="PBACTableText"/>
              <w:keepNext/>
              <w:spacing w:before="0" w:after="0"/>
            </w:pPr>
            <w:r w:rsidRPr="00EF128F">
              <w:t xml:space="preserve">100% </w:t>
            </w:r>
          </w:p>
          <w:p w14:paraId="4979CDE6" w14:textId="77777777" w:rsidR="00DD002E" w:rsidRPr="00EF128F" w:rsidRDefault="00DD002E" w:rsidP="00632A30">
            <w:pPr>
              <w:pStyle w:val="PBACTableText"/>
              <w:keepNext/>
              <w:spacing w:before="0" w:after="0"/>
            </w:pPr>
            <w:r w:rsidRPr="00EF128F">
              <w:t>(97.8, 100)</w:t>
            </w:r>
          </w:p>
        </w:tc>
        <w:tc>
          <w:tcPr>
            <w:tcW w:w="1102" w:type="dxa"/>
          </w:tcPr>
          <w:p w14:paraId="60DCBD6E" w14:textId="77777777" w:rsidR="00DD002E" w:rsidRPr="00EF128F" w:rsidRDefault="00DD002E" w:rsidP="00632A30">
            <w:pPr>
              <w:pStyle w:val="PBACTableText"/>
              <w:keepNext/>
              <w:spacing w:before="0" w:after="0"/>
            </w:pPr>
            <w:r w:rsidRPr="00EF128F">
              <w:t>96.5% (92.5, 98.7)</w:t>
            </w:r>
          </w:p>
        </w:tc>
        <w:tc>
          <w:tcPr>
            <w:tcW w:w="1102" w:type="dxa"/>
          </w:tcPr>
          <w:p w14:paraId="0F5C0CBD" w14:textId="77777777" w:rsidR="00DD002E" w:rsidRPr="00EF128F" w:rsidRDefault="00DD002E" w:rsidP="00632A30">
            <w:pPr>
              <w:pStyle w:val="PBACTableText"/>
              <w:keepNext/>
              <w:spacing w:before="0" w:after="0"/>
            </w:pPr>
            <w:r w:rsidRPr="00EF128F">
              <w:t>97.1% (93.5, 99.0)</w:t>
            </w:r>
          </w:p>
        </w:tc>
        <w:tc>
          <w:tcPr>
            <w:tcW w:w="1102" w:type="dxa"/>
          </w:tcPr>
          <w:p w14:paraId="59617817" w14:textId="77777777" w:rsidR="00DD002E" w:rsidRPr="00EF128F" w:rsidRDefault="00DD002E" w:rsidP="00632A30">
            <w:pPr>
              <w:pStyle w:val="PBACTableText"/>
              <w:keepNext/>
              <w:spacing w:before="0" w:after="0"/>
            </w:pPr>
            <w:r w:rsidRPr="00EF128F">
              <w:t>99.4% (96.8, 100)</w:t>
            </w:r>
          </w:p>
        </w:tc>
        <w:tc>
          <w:tcPr>
            <w:tcW w:w="1102" w:type="dxa"/>
          </w:tcPr>
          <w:p w14:paraId="0B48E47F" w14:textId="77777777" w:rsidR="00DD002E" w:rsidRPr="00EF128F" w:rsidRDefault="00DD002E" w:rsidP="00632A30">
            <w:pPr>
              <w:pStyle w:val="PBACTableText"/>
              <w:keepNext/>
              <w:spacing w:before="0" w:after="0"/>
            </w:pPr>
            <w:r w:rsidRPr="00EF128F">
              <w:t>98.8% (96.5, 99.9)</w:t>
            </w:r>
          </w:p>
        </w:tc>
      </w:tr>
      <w:tr w:rsidR="00DD002E" w14:paraId="61926368" w14:textId="77777777" w:rsidTr="00632A30">
        <w:tc>
          <w:tcPr>
            <w:tcW w:w="600" w:type="dxa"/>
            <w:vMerge/>
          </w:tcPr>
          <w:p w14:paraId="76F049B1" w14:textId="77777777" w:rsidR="00DD002E" w:rsidRPr="00B23744" w:rsidRDefault="00DD002E" w:rsidP="00632A30">
            <w:pPr>
              <w:pStyle w:val="PBACTableText"/>
              <w:keepNext/>
              <w:spacing w:before="0" w:after="0"/>
              <w:rPr>
                <w:b/>
                <w:bCs/>
              </w:rPr>
            </w:pPr>
          </w:p>
        </w:tc>
        <w:tc>
          <w:tcPr>
            <w:tcW w:w="827" w:type="dxa"/>
            <w:vMerge w:val="restart"/>
          </w:tcPr>
          <w:p w14:paraId="7B480162" w14:textId="77777777" w:rsidR="00DD002E" w:rsidRPr="00B23744" w:rsidRDefault="00DD002E" w:rsidP="00632A30">
            <w:pPr>
              <w:pStyle w:val="PBACTableText"/>
              <w:keepNext/>
              <w:spacing w:before="0" w:after="0"/>
              <w:rPr>
                <w:b/>
                <w:bCs/>
              </w:rPr>
            </w:pPr>
            <w:r w:rsidRPr="00B23744">
              <w:rPr>
                <w:b/>
                <w:bCs/>
              </w:rPr>
              <w:t>13vPCV</w:t>
            </w:r>
          </w:p>
          <w:p w14:paraId="146A16FF" w14:textId="77777777" w:rsidR="00DD002E" w:rsidRPr="00B23744" w:rsidRDefault="00DD002E" w:rsidP="00632A30">
            <w:pPr>
              <w:pStyle w:val="PBACTableText"/>
              <w:keepNext/>
              <w:spacing w:before="0" w:after="0"/>
              <w:rPr>
                <w:b/>
                <w:bCs/>
              </w:rPr>
            </w:pPr>
            <w:r w:rsidRPr="00B23744">
              <w:rPr>
                <w:b/>
                <w:bCs/>
              </w:rPr>
              <w:t>N = 168</w:t>
            </w:r>
          </w:p>
        </w:tc>
        <w:tc>
          <w:tcPr>
            <w:tcW w:w="978" w:type="dxa"/>
          </w:tcPr>
          <w:p w14:paraId="4500FAFF" w14:textId="77777777" w:rsidR="00DD002E" w:rsidRPr="00F04E8C" w:rsidRDefault="00DD002E" w:rsidP="00632A30">
            <w:pPr>
              <w:pStyle w:val="PBACTableText"/>
              <w:keepNext/>
              <w:spacing w:before="0" w:after="0"/>
              <w:rPr>
                <w:b/>
                <w:bCs/>
              </w:rPr>
            </w:pPr>
            <w:r w:rsidRPr="00F04E8C">
              <w:rPr>
                <w:b/>
                <w:bCs/>
              </w:rPr>
              <w:t>Pos./test.</w:t>
            </w:r>
          </w:p>
        </w:tc>
        <w:tc>
          <w:tcPr>
            <w:tcW w:w="1102" w:type="dxa"/>
          </w:tcPr>
          <w:p w14:paraId="51A9D19E" w14:textId="77777777" w:rsidR="00DD002E" w:rsidRPr="00F04E8C" w:rsidRDefault="00DD002E" w:rsidP="00632A30">
            <w:pPr>
              <w:pStyle w:val="PBACTableText"/>
              <w:keepNext/>
              <w:spacing w:before="0" w:after="0"/>
              <w:rPr>
                <w:b/>
                <w:bCs/>
              </w:rPr>
            </w:pPr>
            <w:r w:rsidRPr="00F04E8C">
              <w:rPr>
                <w:b/>
                <w:bCs/>
              </w:rPr>
              <w:t>142/162</w:t>
            </w:r>
          </w:p>
        </w:tc>
        <w:tc>
          <w:tcPr>
            <w:tcW w:w="1102" w:type="dxa"/>
          </w:tcPr>
          <w:p w14:paraId="7ADB7116" w14:textId="77777777" w:rsidR="00DD002E" w:rsidRPr="00F04E8C" w:rsidRDefault="00DD002E" w:rsidP="00632A30">
            <w:pPr>
              <w:pStyle w:val="PBACTableText"/>
              <w:keepNext/>
              <w:spacing w:before="0" w:after="0"/>
              <w:rPr>
                <w:b/>
                <w:bCs/>
              </w:rPr>
            </w:pPr>
            <w:r w:rsidRPr="00F04E8C">
              <w:rPr>
                <w:b/>
                <w:bCs/>
              </w:rPr>
              <w:t>158/158</w:t>
            </w:r>
          </w:p>
        </w:tc>
        <w:tc>
          <w:tcPr>
            <w:tcW w:w="1102" w:type="dxa"/>
          </w:tcPr>
          <w:p w14:paraId="4F8E5F43" w14:textId="77777777" w:rsidR="00DD002E" w:rsidRPr="00F04E8C" w:rsidRDefault="00DD002E" w:rsidP="00632A30">
            <w:pPr>
              <w:pStyle w:val="PBACTableText"/>
              <w:keepNext/>
              <w:spacing w:before="0" w:after="0"/>
              <w:rPr>
                <w:b/>
                <w:bCs/>
              </w:rPr>
            </w:pPr>
            <w:r w:rsidRPr="00F04E8C">
              <w:rPr>
                <w:b/>
                <w:bCs/>
              </w:rPr>
              <w:t>159/162</w:t>
            </w:r>
          </w:p>
        </w:tc>
        <w:tc>
          <w:tcPr>
            <w:tcW w:w="1102" w:type="dxa"/>
          </w:tcPr>
          <w:p w14:paraId="23E97A5D" w14:textId="77777777" w:rsidR="00DD002E" w:rsidRPr="00F04E8C" w:rsidRDefault="00DD002E" w:rsidP="00632A30">
            <w:pPr>
              <w:pStyle w:val="PBACTableText"/>
              <w:keepNext/>
              <w:spacing w:before="0" w:after="0"/>
              <w:rPr>
                <w:b/>
                <w:bCs/>
              </w:rPr>
            </w:pPr>
            <w:r w:rsidRPr="00F04E8C">
              <w:rPr>
                <w:b/>
                <w:bCs/>
              </w:rPr>
              <w:t>156/159</w:t>
            </w:r>
          </w:p>
        </w:tc>
        <w:tc>
          <w:tcPr>
            <w:tcW w:w="1102" w:type="dxa"/>
          </w:tcPr>
          <w:p w14:paraId="4F080046" w14:textId="77777777" w:rsidR="00DD002E" w:rsidRPr="00F04E8C" w:rsidRDefault="00DD002E" w:rsidP="00632A30">
            <w:pPr>
              <w:pStyle w:val="PBACTableText"/>
              <w:keepNext/>
              <w:spacing w:before="0" w:after="0"/>
              <w:rPr>
                <w:b/>
                <w:bCs/>
              </w:rPr>
            </w:pPr>
            <w:r w:rsidRPr="00F04E8C">
              <w:rPr>
                <w:b/>
                <w:bCs/>
              </w:rPr>
              <w:t>9/155</w:t>
            </w:r>
          </w:p>
        </w:tc>
        <w:tc>
          <w:tcPr>
            <w:tcW w:w="1102" w:type="dxa"/>
          </w:tcPr>
          <w:p w14:paraId="00FF6A01" w14:textId="77777777" w:rsidR="00DD002E" w:rsidRPr="00F04E8C" w:rsidRDefault="00DD002E" w:rsidP="00632A30">
            <w:pPr>
              <w:pStyle w:val="PBACTableText"/>
              <w:keepNext/>
              <w:spacing w:before="0" w:after="0"/>
              <w:rPr>
                <w:b/>
                <w:bCs/>
              </w:rPr>
            </w:pPr>
            <w:r w:rsidRPr="00F04E8C">
              <w:rPr>
                <w:b/>
                <w:bCs/>
              </w:rPr>
              <w:t>88/155</w:t>
            </w:r>
          </w:p>
        </w:tc>
      </w:tr>
      <w:tr w:rsidR="00DD002E" w14:paraId="5E6ABF29" w14:textId="77777777" w:rsidTr="00632A30">
        <w:tc>
          <w:tcPr>
            <w:tcW w:w="600" w:type="dxa"/>
            <w:vMerge/>
          </w:tcPr>
          <w:p w14:paraId="47FC6BB7" w14:textId="77777777" w:rsidR="00DD002E" w:rsidRDefault="00DD002E" w:rsidP="00632A30">
            <w:pPr>
              <w:pStyle w:val="PBACTableText"/>
              <w:keepNext/>
              <w:spacing w:before="0" w:after="0"/>
            </w:pPr>
          </w:p>
        </w:tc>
        <w:tc>
          <w:tcPr>
            <w:tcW w:w="827" w:type="dxa"/>
            <w:vMerge/>
          </w:tcPr>
          <w:p w14:paraId="39BD361B" w14:textId="77777777" w:rsidR="00DD002E" w:rsidRDefault="00DD002E" w:rsidP="00632A30">
            <w:pPr>
              <w:pStyle w:val="PBACTableText"/>
              <w:keepNext/>
              <w:spacing w:before="0" w:after="0"/>
            </w:pPr>
          </w:p>
        </w:tc>
        <w:tc>
          <w:tcPr>
            <w:tcW w:w="978" w:type="dxa"/>
          </w:tcPr>
          <w:p w14:paraId="2AD16F7E" w14:textId="77777777" w:rsidR="00DD002E" w:rsidRPr="00F04E8C" w:rsidRDefault="00DD002E" w:rsidP="00632A30">
            <w:pPr>
              <w:pStyle w:val="PBACTableText"/>
              <w:keepNext/>
              <w:spacing w:before="0" w:after="0"/>
              <w:rPr>
                <w:b/>
                <w:bCs/>
              </w:rPr>
            </w:pPr>
            <w:r w:rsidRPr="00F04E8C">
              <w:rPr>
                <w:b/>
                <w:bCs/>
              </w:rPr>
              <w:t xml:space="preserve">% </w:t>
            </w:r>
          </w:p>
          <w:p w14:paraId="3FAF0BC4" w14:textId="77777777" w:rsidR="00DD002E" w:rsidRPr="00F04E8C" w:rsidRDefault="00DD002E" w:rsidP="00632A30">
            <w:pPr>
              <w:pStyle w:val="PBACTableText"/>
              <w:keepNext/>
              <w:spacing w:before="0" w:after="0"/>
              <w:rPr>
                <w:b/>
                <w:bCs/>
              </w:rPr>
            </w:pPr>
            <w:r w:rsidRPr="00F04E8C">
              <w:rPr>
                <w:b/>
                <w:bCs/>
              </w:rPr>
              <w:t>(95% CI)</w:t>
            </w:r>
          </w:p>
        </w:tc>
        <w:tc>
          <w:tcPr>
            <w:tcW w:w="1102" w:type="dxa"/>
          </w:tcPr>
          <w:p w14:paraId="3963339F" w14:textId="77777777" w:rsidR="00DD002E" w:rsidRPr="00EF128F" w:rsidRDefault="00DD002E" w:rsidP="00632A30">
            <w:pPr>
              <w:pStyle w:val="PBACTableText"/>
              <w:keepNext/>
              <w:spacing w:before="0" w:after="0"/>
            </w:pPr>
            <w:r w:rsidRPr="00EF128F">
              <w:t>87.7% (81.6, 92.3)</w:t>
            </w:r>
          </w:p>
        </w:tc>
        <w:tc>
          <w:tcPr>
            <w:tcW w:w="1102" w:type="dxa"/>
          </w:tcPr>
          <w:p w14:paraId="2DC0374D" w14:textId="77777777" w:rsidR="00DD002E" w:rsidRDefault="00DD002E" w:rsidP="00632A30">
            <w:pPr>
              <w:pStyle w:val="PBACTableText"/>
              <w:keepNext/>
              <w:spacing w:before="0" w:after="0"/>
            </w:pPr>
            <w:r w:rsidRPr="00EF128F">
              <w:t xml:space="preserve">100% </w:t>
            </w:r>
          </w:p>
          <w:p w14:paraId="421644F6" w14:textId="77777777" w:rsidR="00DD002E" w:rsidRPr="00EF128F" w:rsidRDefault="00DD002E" w:rsidP="00632A30">
            <w:pPr>
              <w:pStyle w:val="PBACTableText"/>
              <w:keepNext/>
              <w:spacing w:before="0" w:after="0"/>
            </w:pPr>
            <w:r w:rsidRPr="00EF128F">
              <w:t>(97.7, 100)</w:t>
            </w:r>
          </w:p>
        </w:tc>
        <w:tc>
          <w:tcPr>
            <w:tcW w:w="1102" w:type="dxa"/>
          </w:tcPr>
          <w:p w14:paraId="6B606FD9" w14:textId="77777777" w:rsidR="00DD002E" w:rsidRPr="00EF128F" w:rsidRDefault="00DD002E" w:rsidP="00632A30">
            <w:pPr>
              <w:pStyle w:val="PBACTableText"/>
              <w:keepNext/>
              <w:spacing w:before="0" w:after="0"/>
            </w:pPr>
            <w:r w:rsidRPr="00EF128F">
              <w:t>98.1% (94.7, 99.6)</w:t>
            </w:r>
          </w:p>
        </w:tc>
        <w:tc>
          <w:tcPr>
            <w:tcW w:w="1102" w:type="dxa"/>
          </w:tcPr>
          <w:p w14:paraId="6DAFD9E8" w14:textId="77777777" w:rsidR="00DD002E" w:rsidRPr="00EF128F" w:rsidRDefault="00DD002E" w:rsidP="00632A30">
            <w:pPr>
              <w:pStyle w:val="PBACTableText"/>
              <w:keepNext/>
              <w:spacing w:before="0" w:after="0"/>
            </w:pPr>
            <w:r w:rsidRPr="00EF128F">
              <w:t>98.1% (94.6, 99.6)</w:t>
            </w:r>
          </w:p>
        </w:tc>
        <w:tc>
          <w:tcPr>
            <w:tcW w:w="1102" w:type="dxa"/>
          </w:tcPr>
          <w:p w14:paraId="0E477FB6" w14:textId="77777777" w:rsidR="00DD002E" w:rsidRDefault="00DD002E" w:rsidP="00632A30">
            <w:pPr>
              <w:pStyle w:val="PBACTableText"/>
              <w:keepNext/>
              <w:spacing w:before="0" w:after="0"/>
            </w:pPr>
            <w:r w:rsidRPr="00EF128F">
              <w:t xml:space="preserve">5.8% </w:t>
            </w:r>
          </w:p>
          <w:p w14:paraId="67FB2848" w14:textId="77777777" w:rsidR="00DD002E" w:rsidRPr="00EF128F" w:rsidRDefault="00DD002E" w:rsidP="00632A30">
            <w:pPr>
              <w:pStyle w:val="PBACTableText"/>
              <w:keepNext/>
              <w:spacing w:before="0" w:after="0"/>
            </w:pPr>
            <w:r w:rsidRPr="00EF128F">
              <w:t>(2.7, 10.7)</w:t>
            </w:r>
          </w:p>
        </w:tc>
        <w:tc>
          <w:tcPr>
            <w:tcW w:w="1102" w:type="dxa"/>
          </w:tcPr>
          <w:p w14:paraId="294530B8" w14:textId="77777777" w:rsidR="00DD002E" w:rsidRPr="00EF128F" w:rsidRDefault="00DD002E" w:rsidP="00632A30">
            <w:pPr>
              <w:pStyle w:val="PBACTableText"/>
              <w:keepNext/>
              <w:spacing w:before="0" w:after="0"/>
            </w:pPr>
            <w:r w:rsidRPr="00EF128F">
              <w:t>56.8% (48.6, 64.7)</w:t>
            </w:r>
          </w:p>
        </w:tc>
      </w:tr>
    </w:tbl>
    <w:p w14:paraId="40346A33" w14:textId="77777777" w:rsidR="00DD002E" w:rsidRPr="00E334CA" w:rsidRDefault="00DD002E" w:rsidP="00DD002E">
      <w:pPr>
        <w:pStyle w:val="TableFooter"/>
        <w:keepNext/>
      </w:pPr>
      <w:r w:rsidRPr="00E334CA">
        <w:t>Source: Table 2.5-7, pp109-110 of the submission</w:t>
      </w:r>
    </w:p>
    <w:p w14:paraId="35DB0C5B" w14:textId="77777777" w:rsidR="00DD002E" w:rsidRPr="00E334CA" w:rsidRDefault="00DD002E" w:rsidP="00DD002E">
      <w:pPr>
        <w:pStyle w:val="TableFooter"/>
        <w:spacing w:after="120"/>
      </w:pPr>
      <w:r w:rsidRPr="00E334CA">
        <w:t>N = number of participants randomised; CI = confidence interval; PCV = pneumococcal conjugate vaccine</w:t>
      </w:r>
      <w:r>
        <w:t>; Pos./test. = positives/tested.</w:t>
      </w:r>
    </w:p>
    <w:p w14:paraId="2F75D321" w14:textId="40FC4FC9" w:rsidR="00DD002E" w:rsidRDefault="00DD002E" w:rsidP="00DD002E">
      <w:pPr>
        <w:pStyle w:val="3-BodyText"/>
      </w:pPr>
      <w:r>
        <w:t xml:space="preserve">The ratios of OPA GMT were, except for serotype 22F, close to unity. The submission and the trial CSRs do not provide 95% CI for </w:t>
      </w:r>
      <w:r w:rsidRPr="00E53E86">
        <w:t>the ratios, but the ATAGI Advice contains a table similar to Table 5 from the PBAC’s consideration of 15vPCV for adults</w:t>
      </w:r>
      <w:r>
        <w:t xml:space="preserve"> (paragraph 6.17, 15vPCV PSD, November 2021) constructed by the review group. This table is reproduced in </w:t>
      </w:r>
      <w:r>
        <w:fldChar w:fldCharType="begin"/>
      </w:r>
      <w:r>
        <w:instrText xml:space="preserve"> REF _Ref124508606 \h </w:instrText>
      </w:r>
      <w:r>
        <w:fldChar w:fldCharType="separate"/>
      </w:r>
      <w:r w:rsidR="009E7289">
        <w:t xml:space="preserve">Table </w:t>
      </w:r>
      <w:r w:rsidR="009E7289">
        <w:rPr>
          <w:noProof/>
        </w:rPr>
        <w:t>5</w:t>
      </w:r>
      <w:r>
        <w:fldChar w:fldCharType="end"/>
      </w:r>
      <w:r>
        <w:t xml:space="preserve"> below.</w:t>
      </w:r>
    </w:p>
    <w:p w14:paraId="56316B2F" w14:textId="51BA81E3" w:rsidR="00DD002E" w:rsidRPr="00697203" w:rsidRDefault="00DD002E" w:rsidP="00DD002E">
      <w:pPr>
        <w:pStyle w:val="Caption"/>
        <w:rPr>
          <w:rFonts w:asciiTheme="minorHAnsi" w:hAnsiTheme="minorHAnsi"/>
          <w:sz w:val="24"/>
        </w:rPr>
      </w:pPr>
      <w:bookmarkStart w:id="25" w:name="_Ref124508606"/>
      <w:r>
        <w:lastRenderedPageBreak/>
        <w:t xml:space="preserve">Table </w:t>
      </w:r>
      <w:r w:rsidR="009E7289">
        <w:fldChar w:fldCharType="begin"/>
      </w:r>
      <w:r w:rsidR="009E7289">
        <w:instrText xml:space="preserve"> SEQ Table \* ARABIC </w:instrText>
      </w:r>
      <w:r w:rsidR="009E7289">
        <w:fldChar w:fldCharType="separate"/>
      </w:r>
      <w:r w:rsidR="009E7289">
        <w:rPr>
          <w:noProof/>
        </w:rPr>
        <w:t>5</w:t>
      </w:r>
      <w:r w:rsidR="009E7289">
        <w:rPr>
          <w:noProof/>
        </w:rPr>
        <w:fldChar w:fldCharType="end"/>
      </w:r>
      <w:bookmarkEnd w:id="25"/>
      <w:r>
        <w:t xml:space="preserve">: </w:t>
      </w:r>
      <w:r w:rsidRPr="00697203">
        <w:t>OPA GMT ratios (</w:t>
      </w:r>
      <w:r>
        <w:t>15vPCV</w:t>
      </w:r>
      <w:r w:rsidRPr="00697203">
        <w:t>/</w:t>
      </w:r>
      <w:r>
        <w:t>13vPCV</w:t>
      </w:r>
      <w:r w:rsidRPr="00697203">
        <w:t xml:space="preserve">) at day 30 post final dose (and post dose 3 P029) </w:t>
      </w:r>
      <w:r w:rsidRPr="00697203">
        <w:rPr>
          <w:rFonts w:cs="Calibri"/>
        </w:rPr>
        <w:t>for shared serotypes </w:t>
      </w: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Caption w:val="Table 5: OPA GMT ratios (15vPCV/13vPCV) at day 30 post final dose (and post dose 3 P029) for shared serotypes "/>
      </w:tblPr>
      <w:tblGrid>
        <w:gridCol w:w="851"/>
        <w:gridCol w:w="219"/>
        <w:gridCol w:w="681"/>
        <w:gridCol w:w="144"/>
        <w:gridCol w:w="660"/>
        <w:gridCol w:w="813"/>
        <w:gridCol w:w="809"/>
        <w:gridCol w:w="808"/>
        <w:gridCol w:w="39"/>
        <w:gridCol w:w="770"/>
        <w:gridCol w:w="808"/>
        <w:gridCol w:w="809"/>
        <w:gridCol w:w="109"/>
        <w:gridCol w:w="831"/>
        <w:gridCol w:w="676"/>
      </w:tblGrid>
      <w:tr w:rsidR="00DD002E" w14:paraId="2AD4EE91" w14:textId="77777777" w:rsidTr="00632A30">
        <w:trPr>
          <w:trHeight w:val="675"/>
        </w:trPr>
        <w:tc>
          <w:tcPr>
            <w:tcW w:w="851" w:type="dxa"/>
            <w:tcBorders>
              <w:top w:val="single" w:sz="6" w:space="0" w:color="auto"/>
              <w:left w:val="nil"/>
              <w:bottom w:val="single" w:sz="6" w:space="0" w:color="auto"/>
              <w:right w:val="nil"/>
            </w:tcBorders>
            <w:shd w:val="clear" w:color="auto" w:fill="auto"/>
            <w:vAlign w:val="bottom"/>
          </w:tcPr>
          <w:p w14:paraId="40E9CDE1"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Serotype</w:t>
            </w:r>
            <w:r w:rsidRPr="00597D3D">
              <w:rPr>
                <w:rFonts w:ascii="Arial Narrow" w:hAnsi="Arial Narrow" w:cs="Calibri"/>
                <w:color w:val="000000" w:themeColor="text1"/>
                <w:sz w:val="20"/>
                <w:szCs w:val="20"/>
              </w:rPr>
              <w:t> </w:t>
            </w:r>
          </w:p>
        </w:tc>
        <w:tc>
          <w:tcPr>
            <w:tcW w:w="900" w:type="dxa"/>
            <w:gridSpan w:val="2"/>
            <w:tcBorders>
              <w:top w:val="single" w:sz="6" w:space="0" w:color="auto"/>
              <w:left w:val="nil"/>
              <w:bottom w:val="single" w:sz="6" w:space="0" w:color="auto"/>
              <w:right w:val="nil"/>
            </w:tcBorders>
            <w:shd w:val="clear" w:color="auto" w:fill="auto"/>
          </w:tcPr>
          <w:p w14:paraId="648C087A" w14:textId="77777777" w:rsidR="00DD002E" w:rsidRPr="00597D3D" w:rsidRDefault="00DD002E" w:rsidP="00632A30">
            <w:pPr>
              <w:keepNext/>
              <w:rPr>
                <w:rFonts w:ascii="Arial Narrow" w:hAnsi="Arial Narrow"/>
                <w:color w:val="000000" w:themeColor="text1"/>
                <w:sz w:val="20"/>
                <w:szCs w:val="20"/>
              </w:rPr>
            </w:pPr>
            <w:r w:rsidRPr="00597D3D">
              <w:rPr>
                <w:rFonts w:ascii="Arial Narrow" w:hAnsi="Arial Narrow" w:cs="Calibri"/>
                <w:b/>
                <w:bCs/>
                <w:color w:val="000000" w:themeColor="text1"/>
                <w:sz w:val="20"/>
                <w:szCs w:val="20"/>
                <w:lang w:val="en-US"/>
              </w:rPr>
              <w:t>P025 2+1, Primary</w:t>
            </w:r>
          </w:p>
          <w:p w14:paraId="6B2E250E"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Healthy infants</w:t>
            </w:r>
            <w:r w:rsidRPr="00597D3D">
              <w:rPr>
                <w:rFonts w:ascii="Arial Narrow" w:hAnsi="Arial Narrow" w:cs="Calibri"/>
                <w:color w:val="000000" w:themeColor="text1"/>
                <w:sz w:val="20"/>
                <w:szCs w:val="20"/>
              </w:rPr>
              <w:t> </w:t>
            </w:r>
          </w:p>
        </w:tc>
        <w:tc>
          <w:tcPr>
            <w:tcW w:w="804" w:type="dxa"/>
            <w:gridSpan w:val="2"/>
            <w:tcBorders>
              <w:top w:val="single" w:sz="6" w:space="0" w:color="auto"/>
              <w:left w:val="nil"/>
              <w:bottom w:val="single" w:sz="6" w:space="0" w:color="auto"/>
              <w:right w:val="single" w:sz="6" w:space="0" w:color="auto"/>
            </w:tcBorders>
            <w:shd w:val="clear" w:color="auto" w:fill="auto"/>
          </w:tcPr>
          <w:p w14:paraId="64508A23"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P026 2+1, Primary</w:t>
            </w:r>
            <w:r w:rsidRPr="00597D3D">
              <w:rPr>
                <w:rFonts w:ascii="Arial Narrow" w:hAnsi="Arial Narrow"/>
                <w:sz w:val="20"/>
                <w:szCs w:val="20"/>
              </w:rPr>
              <w:br/>
            </w:r>
            <w:r w:rsidRPr="00597D3D">
              <w:rPr>
                <w:rFonts w:ascii="Arial Narrow" w:hAnsi="Arial Narrow" w:cs="Calibri"/>
                <w:b/>
                <w:bCs/>
                <w:color w:val="000000" w:themeColor="text1"/>
                <w:sz w:val="20"/>
                <w:szCs w:val="20"/>
                <w:lang w:val="en-US"/>
              </w:rPr>
              <w:t>Healthy infants</w:t>
            </w:r>
            <w:r w:rsidRPr="00597D3D">
              <w:rPr>
                <w:rFonts w:ascii="Arial Narrow" w:hAnsi="Arial Narrow" w:cs="Calibri"/>
                <w:color w:val="000000" w:themeColor="text1"/>
                <w:sz w:val="20"/>
                <w:szCs w:val="20"/>
              </w:rPr>
              <w:t> </w:t>
            </w:r>
          </w:p>
        </w:tc>
        <w:tc>
          <w:tcPr>
            <w:tcW w:w="813" w:type="dxa"/>
            <w:tcBorders>
              <w:top w:val="single" w:sz="6" w:space="0" w:color="auto"/>
              <w:left w:val="single" w:sz="6" w:space="0" w:color="auto"/>
              <w:bottom w:val="single" w:sz="6" w:space="0" w:color="auto"/>
              <w:right w:val="nil"/>
            </w:tcBorders>
            <w:shd w:val="clear" w:color="auto" w:fill="auto"/>
            <w:vAlign w:val="bottom"/>
          </w:tcPr>
          <w:p w14:paraId="00D04AE4"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P025 2+1, Toddler</w:t>
            </w:r>
            <w:r w:rsidRPr="00597D3D">
              <w:rPr>
                <w:rFonts w:ascii="Arial Narrow" w:hAnsi="Arial Narrow"/>
                <w:sz w:val="20"/>
                <w:szCs w:val="20"/>
              </w:rPr>
              <w:br/>
            </w:r>
            <w:r w:rsidRPr="00597D3D">
              <w:rPr>
                <w:rFonts w:ascii="Arial Narrow" w:hAnsi="Arial Narrow" w:cs="Calibri"/>
                <w:b/>
                <w:bCs/>
                <w:color w:val="000000" w:themeColor="text1"/>
                <w:sz w:val="20"/>
                <w:szCs w:val="20"/>
                <w:lang w:val="en-US"/>
              </w:rPr>
              <w:t>Healthy infants</w:t>
            </w:r>
            <w:r w:rsidRPr="00597D3D">
              <w:rPr>
                <w:rFonts w:ascii="Arial Narrow" w:hAnsi="Arial Narrow" w:cs="Calibri"/>
                <w:color w:val="000000" w:themeColor="text1"/>
                <w:sz w:val="20"/>
                <w:szCs w:val="20"/>
              </w:rPr>
              <w:t> </w:t>
            </w:r>
          </w:p>
        </w:tc>
        <w:tc>
          <w:tcPr>
            <w:tcW w:w="809" w:type="dxa"/>
            <w:tcBorders>
              <w:top w:val="single" w:sz="6" w:space="0" w:color="auto"/>
              <w:left w:val="nil"/>
              <w:bottom w:val="single" w:sz="6" w:space="0" w:color="auto"/>
              <w:right w:val="nil"/>
            </w:tcBorders>
            <w:shd w:val="clear" w:color="auto" w:fill="auto"/>
            <w:vAlign w:val="bottom"/>
          </w:tcPr>
          <w:p w14:paraId="51D5CF10"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P026 2+1, Toddler</w:t>
            </w:r>
            <w:r w:rsidRPr="00597D3D">
              <w:rPr>
                <w:rFonts w:ascii="Arial Narrow" w:hAnsi="Arial Narrow"/>
                <w:sz w:val="20"/>
                <w:szCs w:val="20"/>
              </w:rPr>
              <w:br/>
            </w:r>
            <w:r w:rsidRPr="00597D3D">
              <w:rPr>
                <w:rFonts w:ascii="Arial Narrow" w:hAnsi="Arial Narrow" w:cs="Calibri"/>
                <w:b/>
                <w:bCs/>
                <w:color w:val="000000" w:themeColor="text1"/>
                <w:sz w:val="20"/>
                <w:szCs w:val="20"/>
                <w:lang w:val="en-US"/>
              </w:rPr>
              <w:t>Healthy infants</w:t>
            </w:r>
            <w:r w:rsidRPr="00597D3D">
              <w:rPr>
                <w:rFonts w:ascii="Arial Narrow" w:hAnsi="Arial Narrow" w:cs="Calibri"/>
                <w:color w:val="000000" w:themeColor="text1"/>
                <w:sz w:val="20"/>
                <w:szCs w:val="20"/>
              </w:rPr>
              <w:t> </w:t>
            </w:r>
          </w:p>
        </w:tc>
        <w:tc>
          <w:tcPr>
            <w:tcW w:w="808" w:type="dxa"/>
            <w:tcBorders>
              <w:top w:val="single" w:sz="6" w:space="0" w:color="auto"/>
              <w:left w:val="nil"/>
              <w:bottom w:val="single" w:sz="6" w:space="0" w:color="auto"/>
              <w:right w:val="nil"/>
            </w:tcBorders>
            <w:shd w:val="clear" w:color="auto" w:fill="auto"/>
            <w:vAlign w:val="bottom"/>
          </w:tcPr>
          <w:p w14:paraId="12758889"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P029 3+1, Primary</w:t>
            </w:r>
            <w:r w:rsidRPr="00597D3D">
              <w:rPr>
                <w:rFonts w:ascii="Arial Narrow" w:hAnsi="Arial Narrow"/>
                <w:sz w:val="20"/>
                <w:szCs w:val="20"/>
              </w:rPr>
              <w:br/>
            </w:r>
            <w:r w:rsidRPr="00597D3D">
              <w:rPr>
                <w:rFonts w:ascii="Arial Narrow" w:hAnsi="Arial Narrow" w:cs="Calibri"/>
                <w:b/>
                <w:bCs/>
                <w:color w:val="000000" w:themeColor="text1"/>
                <w:sz w:val="20"/>
                <w:szCs w:val="20"/>
                <w:lang w:val="en-US"/>
              </w:rPr>
              <w:t>Healthy infants</w:t>
            </w:r>
            <w:r w:rsidRPr="00597D3D">
              <w:rPr>
                <w:rFonts w:ascii="Arial Narrow" w:hAnsi="Arial Narrow" w:cs="Calibri"/>
                <w:color w:val="000000" w:themeColor="text1"/>
                <w:sz w:val="20"/>
                <w:szCs w:val="20"/>
              </w:rPr>
              <w:t> </w:t>
            </w:r>
          </w:p>
        </w:tc>
        <w:tc>
          <w:tcPr>
            <w:tcW w:w="809" w:type="dxa"/>
            <w:gridSpan w:val="2"/>
            <w:tcBorders>
              <w:top w:val="single" w:sz="6" w:space="0" w:color="auto"/>
              <w:left w:val="nil"/>
              <w:bottom w:val="single" w:sz="6" w:space="0" w:color="auto"/>
              <w:right w:val="single" w:sz="6" w:space="0" w:color="auto"/>
            </w:tcBorders>
            <w:shd w:val="clear" w:color="auto" w:fill="auto"/>
            <w:vAlign w:val="bottom"/>
          </w:tcPr>
          <w:p w14:paraId="4203A80A" w14:textId="77777777" w:rsidR="00DD002E" w:rsidRPr="00597D3D" w:rsidRDefault="00DD002E" w:rsidP="00632A30">
            <w:pPr>
              <w:keepNext/>
              <w:rPr>
                <w:rFonts w:ascii="Arial Narrow" w:hAnsi="Arial Narrow"/>
                <w:color w:val="000000" w:themeColor="text1"/>
                <w:sz w:val="20"/>
                <w:szCs w:val="20"/>
              </w:rPr>
            </w:pPr>
            <w:r w:rsidRPr="00597D3D">
              <w:rPr>
                <w:rFonts w:ascii="Arial Narrow" w:hAnsi="Arial Narrow" w:cs="Calibri"/>
                <w:b/>
                <w:bCs/>
                <w:color w:val="000000" w:themeColor="text1"/>
                <w:sz w:val="20"/>
                <w:szCs w:val="20"/>
                <w:lang w:val="en-US"/>
              </w:rPr>
              <w:t>P029 3+1, Toddler</w:t>
            </w:r>
          </w:p>
          <w:p w14:paraId="21527149"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Healthy infants</w:t>
            </w:r>
            <w:r w:rsidRPr="00597D3D">
              <w:rPr>
                <w:rFonts w:ascii="Arial Narrow" w:hAnsi="Arial Narrow" w:cs="Calibri"/>
                <w:color w:val="000000" w:themeColor="text1"/>
                <w:sz w:val="20"/>
                <w:szCs w:val="20"/>
              </w:rPr>
              <w:t> </w:t>
            </w:r>
          </w:p>
        </w:tc>
        <w:tc>
          <w:tcPr>
            <w:tcW w:w="808" w:type="dxa"/>
            <w:tcBorders>
              <w:top w:val="single" w:sz="6" w:space="0" w:color="auto"/>
              <w:left w:val="single" w:sz="6" w:space="0" w:color="auto"/>
              <w:bottom w:val="single" w:sz="6" w:space="0" w:color="auto"/>
              <w:right w:val="nil"/>
            </w:tcBorders>
            <w:shd w:val="clear" w:color="auto" w:fill="auto"/>
            <w:vAlign w:val="bottom"/>
          </w:tcPr>
          <w:p w14:paraId="72D0B557"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Pooled 3+1</w:t>
            </w:r>
            <w:r w:rsidRPr="00597D3D">
              <w:rPr>
                <w:rFonts w:ascii="Arial Narrow" w:hAnsi="Arial Narrow" w:cs="Calibri"/>
                <w:color w:val="000000" w:themeColor="text1"/>
                <w:sz w:val="20"/>
                <w:szCs w:val="20"/>
              </w:rPr>
              <w:t> </w:t>
            </w:r>
          </w:p>
          <w:p w14:paraId="4BC9B0CF"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Primary</w:t>
            </w:r>
          </w:p>
          <w:p w14:paraId="1390C5C0"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Preterm</w:t>
            </w:r>
          </w:p>
        </w:tc>
        <w:tc>
          <w:tcPr>
            <w:tcW w:w="809" w:type="dxa"/>
            <w:tcBorders>
              <w:top w:val="single" w:sz="6" w:space="0" w:color="auto"/>
              <w:left w:val="nil"/>
              <w:bottom w:val="single" w:sz="6" w:space="0" w:color="auto"/>
              <w:right w:val="nil"/>
            </w:tcBorders>
            <w:shd w:val="clear" w:color="auto" w:fill="auto"/>
            <w:vAlign w:val="bottom"/>
          </w:tcPr>
          <w:p w14:paraId="33FF1458"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Pooled 3+1</w:t>
            </w:r>
            <w:r w:rsidRPr="00597D3D">
              <w:rPr>
                <w:rFonts w:ascii="Arial Narrow" w:hAnsi="Arial Narrow" w:cs="Calibri"/>
                <w:color w:val="000000" w:themeColor="text1"/>
                <w:sz w:val="20"/>
                <w:szCs w:val="20"/>
              </w:rPr>
              <w:t> </w:t>
            </w:r>
          </w:p>
          <w:p w14:paraId="5BBC3348"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Toddler</w:t>
            </w:r>
          </w:p>
          <w:p w14:paraId="5E083DA7"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Preterm</w:t>
            </w:r>
          </w:p>
        </w:tc>
        <w:tc>
          <w:tcPr>
            <w:tcW w:w="940" w:type="dxa"/>
            <w:gridSpan w:val="2"/>
            <w:tcBorders>
              <w:top w:val="single" w:sz="6" w:space="0" w:color="auto"/>
              <w:left w:val="nil"/>
              <w:bottom w:val="single" w:sz="6" w:space="0" w:color="auto"/>
              <w:right w:val="nil"/>
            </w:tcBorders>
            <w:shd w:val="clear" w:color="auto" w:fill="auto"/>
            <w:vAlign w:val="bottom"/>
          </w:tcPr>
          <w:p w14:paraId="7D320A1A" w14:textId="77777777" w:rsidR="00DD002E" w:rsidRPr="00597D3D" w:rsidRDefault="00DD002E" w:rsidP="00632A30">
            <w:pPr>
              <w:keepNext/>
              <w:jc w:val="left"/>
              <w:rPr>
                <w:rFonts w:ascii="Arial Narrow" w:hAnsi="Arial Narrow"/>
                <w:sz w:val="20"/>
                <w:szCs w:val="20"/>
              </w:rPr>
            </w:pPr>
            <w:r w:rsidRPr="00597D3D">
              <w:rPr>
                <w:rFonts w:ascii="Arial Narrow" w:hAnsi="Arial Narrow" w:cs="Calibri"/>
                <w:b/>
                <w:bCs/>
                <w:color w:val="000000" w:themeColor="text1"/>
                <w:sz w:val="20"/>
                <w:szCs w:val="20"/>
                <w:lang w:val="en-US"/>
              </w:rPr>
              <w:t>P023 </w:t>
            </w:r>
            <w:r w:rsidRPr="00597D3D">
              <w:rPr>
                <w:rFonts w:ascii="Arial Narrow" w:hAnsi="Arial Narrow" w:cs="Calibri"/>
                <w:color w:val="000000" w:themeColor="text1"/>
                <w:sz w:val="20"/>
                <w:szCs w:val="20"/>
              </w:rPr>
              <w:t> </w:t>
            </w:r>
          </w:p>
          <w:p w14:paraId="03BA90DE" w14:textId="77777777" w:rsidR="00DD002E" w:rsidRPr="00597D3D" w:rsidRDefault="00DD002E" w:rsidP="00632A30">
            <w:pPr>
              <w:keepNext/>
              <w:jc w:val="left"/>
              <w:rPr>
                <w:rFonts w:ascii="Arial Narrow" w:hAnsi="Arial Narrow"/>
                <w:sz w:val="20"/>
                <w:szCs w:val="20"/>
              </w:rPr>
            </w:pPr>
            <w:r w:rsidRPr="00597D3D">
              <w:rPr>
                <w:rFonts w:ascii="Arial Narrow" w:hAnsi="Arial Narrow" w:cs="Calibri"/>
                <w:b/>
                <w:bCs/>
                <w:color w:val="000000" w:themeColor="text1"/>
                <w:sz w:val="20"/>
                <w:szCs w:val="20"/>
                <w:lang w:val="en-US"/>
              </w:rPr>
              <w:t>Sickle</w:t>
            </w:r>
            <w:r>
              <w:rPr>
                <w:rFonts w:ascii="Arial Narrow" w:hAnsi="Arial Narrow" w:cs="Calibri"/>
                <w:b/>
                <w:bCs/>
                <w:color w:val="000000" w:themeColor="text1"/>
                <w:sz w:val="20"/>
                <w:szCs w:val="20"/>
                <w:lang w:val="en-US"/>
              </w:rPr>
              <w:t xml:space="preserve"> </w:t>
            </w:r>
            <w:r w:rsidRPr="00597D3D">
              <w:rPr>
                <w:rFonts w:ascii="Arial Narrow" w:hAnsi="Arial Narrow" w:cs="Calibri"/>
                <w:b/>
                <w:bCs/>
                <w:color w:val="000000" w:themeColor="text1"/>
                <w:sz w:val="20"/>
                <w:szCs w:val="20"/>
                <w:lang w:val="en-US"/>
              </w:rPr>
              <w:t>cell disease</w:t>
            </w:r>
          </w:p>
        </w:tc>
        <w:tc>
          <w:tcPr>
            <w:tcW w:w="676" w:type="dxa"/>
            <w:tcBorders>
              <w:top w:val="single" w:sz="6" w:space="0" w:color="auto"/>
              <w:left w:val="nil"/>
              <w:bottom w:val="single" w:sz="6" w:space="0" w:color="auto"/>
              <w:right w:val="nil"/>
            </w:tcBorders>
            <w:shd w:val="clear" w:color="auto" w:fill="auto"/>
            <w:vAlign w:val="bottom"/>
          </w:tcPr>
          <w:p w14:paraId="27544D39" w14:textId="77777777" w:rsidR="00DD002E" w:rsidRPr="00597D3D" w:rsidRDefault="00DD002E" w:rsidP="00632A30">
            <w:pPr>
              <w:keepNext/>
              <w:rPr>
                <w:rFonts w:ascii="Arial Narrow" w:hAnsi="Arial Narrow" w:cs="Calibri"/>
                <w:b/>
                <w:bCs/>
                <w:color w:val="000000" w:themeColor="text1"/>
                <w:sz w:val="20"/>
                <w:szCs w:val="20"/>
                <w:lang w:val="en-US"/>
              </w:rPr>
            </w:pPr>
            <w:r w:rsidRPr="00597D3D">
              <w:rPr>
                <w:rFonts w:ascii="Arial Narrow" w:hAnsi="Arial Narrow" w:cs="Calibri"/>
                <w:b/>
                <w:bCs/>
                <w:color w:val="000000" w:themeColor="text1"/>
                <w:sz w:val="20"/>
                <w:szCs w:val="20"/>
                <w:lang w:val="en-US"/>
              </w:rPr>
              <w:t>P030</w:t>
            </w:r>
          </w:p>
          <w:p w14:paraId="68233C80" w14:textId="77777777" w:rsidR="00DD002E" w:rsidRPr="00597D3D" w:rsidRDefault="00DD002E" w:rsidP="00632A30">
            <w:pPr>
              <w:keepNext/>
              <w:rPr>
                <w:rFonts w:ascii="Arial Narrow" w:hAnsi="Arial Narrow"/>
                <w:sz w:val="20"/>
                <w:szCs w:val="20"/>
              </w:rPr>
            </w:pPr>
            <w:r w:rsidRPr="00597D3D">
              <w:rPr>
                <w:rFonts w:ascii="Arial Narrow" w:hAnsi="Arial Narrow" w:cs="Calibri"/>
                <w:b/>
                <w:bCs/>
                <w:color w:val="000000" w:themeColor="text1"/>
                <w:sz w:val="20"/>
                <w:szCs w:val="20"/>
                <w:lang w:val="en-US"/>
              </w:rPr>
              <w:t>HIV</w:t>
            </w:r>
            <w:r w:rsidRPr="00597D3D">
              <w:rPr>
                <w:rFonts w:ascii="Arial Narrow" w:hAnsi="Arial Narrow" w:cs="Calibri"/>
                <w:color w:val="000000" w:themeColor="text1"/>
                <w:sz w:val="20"/>
                <w:szCs w:val="20"/>
              </w:rPr>
              <w:t> </w:t>
            </w:r>
          </w:p>
        </w:tc>
      </w:tr>
      <w:tr w:rsidR="00DD002E" w14:paraId="034E1148" w14:textId="77777777" w:rsidTr="00632A30">
        <w:trPr>
          <w:trHeight w:val="300"/>
        </w:trPr>
        <w:tc>
          <w:tcPr>
            <w:tcW w:w="1070" w:type="dxa"/>
            <w:gridSpan w:val="2"/>
            <w:tcBorders>
              <w:top w:val="single" w:sz="6" w:space="0" w:color="auto"/>
              <w:left w:val="nil"/>
              <w:bottom w:val="nil"/>
              <w:right w:val="nil"/>
            </w:tcBorders>
            <w:shd w:val="clear" w:color="auto" w:fill="auto"/>
            <w:vAlign w:val="center"/>
          </w:tcPr>
          <w:p w14:paraId="45D0F20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w:t>
            </w:r>
            <w:r w:rsidRPr="00597D3D">
              <w:rPr>
                <w:rFonts w:ascii="Arial Narrow" w:hAnsi="Arial Narrow" w:cs="Calibri"/>
                <w:color w:val="000000" w:themeColor="text1"/>
                <w:sz w:val="20"/>
                <w:szCs w:val="20"/>
              </w:rPr>
              <w:t> </w:t>
            </w:r>
          </w:p>
        </w:tc>
        <w:tc>
          <w:tcPr>
            <w:tcW w:w="825" w:type="dxa"/>
            <w:gridSpan w:val="2"/>
            <w:tcBorders>
              <w:top w:val="single" w:sz="6" w:space="0" w:color="auto"/>
              <w:left w:val="nil"/>
              <w:bottom w:val="nil"/>
              <w:right w:val="nil"/>
            </w:tcBorders>
            <w:shd w:val="clear" w:color="auto" w:fill="auto"/>
            <w:vAlign w:val="bottom"/>
          </w:tcPr>
          <w:p w14:paraId="7BE145E9"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0.83</w:t>
            </w:r>
            <w:r w:rsidRPr="00597D3D">
              <w:rPr>
                <w:rFonts w:ascii="Arial Narrow" w:hAnsi="Arial Narrow" w:cs="Calibri"/>
                <w:color w:val="000000" w:themeColor="text1"/>
                <w:sz w:val="20"/>
                <w:szCs w:val="20"/>
              </w:rPr>
              <w:t> </w:t>
            </w:r>
          </w:p>
        </w:tc>
        <w:tc>
          <w:tcPr>
            <w:tcW w:w="660" w:type="dxa"/>
            <w:tcBorders>
              <w:top w:val="single" w:sz="6" w:space="0" w:color="auto"/>
              <w:left w:val="nil"/>
              <w:bottom w:val="nil"/>
              <w:right w:val="single" w:sz="6" w:space="0" w:color="auto"/>
            </w:tcBorders>
            <w:shd w:val="clear" w:color="auto" w:fill="auto"/>
            <w:vAlign w:val="bottom"/>
          </w:tcPr>
          <w:p w14:paraId="0C44004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1.41</w:t>
            </w:r>
            <w:r w:rsidRPr="00597D3D">
              <w:rPr>
                <w:rFonts w:ascii="Arial Narrow" w:hAnsi="Arial Narrow" w:cs="Calibri"/>
                <w:color w:val="000000" w:themeColor="text1"/>
                <w:sz w:val="20"/>
                <w:szCs w:val="20"/>
              </w:rPr>
              <w:t> </w:t>
            </w:r>
          </w:p>
        </w:tc>
        <w:tc>
          <w:tcPr>
            <w:tcW w:w="813" w:type="dxa"/>
            <w:tcBorders>
              <w:top w:val="single" w:sz="6" w:space="0" w:color="auto"/>
              <w:left w:val="single" w:sz="6" w:space="0" w:color="auto"/>
              <w:bottom w:val="nil"/>
              <w:right w:val="nil"/>
            </w:tcBorders>
            <w:shd w:val="clear" w:color="auto" w:fill="auto"/>
            <w:vAlign w:val="bottom"/>
          </w:tcPr>
          <w:p w14:paraId="27CB1E06"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0.83</w:t>
            </w:r>
            <w:r w:rsidRPr="00597D3D">
              <w:rPr>
                <w:rFonts w:ascii="Arial Narrow" w:hAnsi="Arial Narrow" w:cs="Calibri"/>
                <w:color w:val="000000" w:themeColor="text1"/>
                <w:sz w:val="20"/>
                <w:szCs w:val="20"/>
              </w:rPr>
              <w:t> </w:t>
            </w:r>
          </w:p>
        </w:tc>
        <w:tc>
          <w:tcPr>
            <w:tcW w:w="809" w:type="dxa"/>
            <w:tcBorders>
              <w:top w:val="single" w:sz="6" w:space="0" w:color="auto"/>
              <w:left w:val="nil"/>
              <w:bottom w:val="nil"/>
              <w:right w:val="nil"/>
            </w:tcBorders>
            <w:shd w:val="clear" w:color="auto" w:fill="auto"/>
            <w:vAlign w:val="bottom"/>
          </w:tcPr>
          <w:p w14:paraId="364BA68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0.83</w:t>
            </w:r>
            <w:r w:rsidRPr="00597D3D">
              <w:rPr>
                <w:rFonts w:ascii="Arial Narrow" w:hAnsi="Arial Narrow" w:cs="Calibri"/>
                <w:color w:val="000000" w:themeColor="text1"/>
                <w:sz w:val="20"/>
                <w:szCs w:val="20"/>
              </w:rPr>
              <w:t> </w:t>
            </w:r>
          </w:p>
        </w:tc>
        <w:tc>
          <w:tcPr>
            <w:tcW w:w="847" w:type="dxa"/>
            <w:gridSpan w:val="2"/>
            <w:tcBorders>
              <w:top w:val="single" w:sz="6" w:space="0" w:color="auto"/>
              <w:left w:val="nil"/>
              <w:bottom w:val="nil"/>
              <w:right w:val="nil"/>
            </w:tcBorders>
            <w:shd w:val="clear" w:color="auto" w:fill="auto"/>
            <w:vAlign w:val="bottom"/>
          </w:tcPr>
          <w:p w14:paraId="0F40FE96"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0.73</w:t>
            </w:r>
            <w:r w:rsidRPr="00597D3D">
              <w:rPr>
                <w:rFonts w:ascii="Arial Narrow" w:hAnsi="Arial Narrow" w:cs="Calibri"/>
                <w:color w:val="000000" w:themeColor="text1"/>
                <w:sz w:val="20"/>
                <w:szCs w:val="20"/>
              </w:rPr>
              <w:t> </w:t>
            </w:r>
          </w:p>
        </w:tc>
        <w:tc>
          <w:tcPr>
            <w:tcW w:w="770" w:type="dxa"/>
            <w:tcBorders>
              <w:top w:val="single" w:sz="6" w:space="0" w:color="auto"/>
              <w:left w:val="nil"/>
              <w:bottom w:val="nil"/>
              <w:right w:val="single" w:sz="6" w:space="0" w:color="auto"/>
            </w:tcBorders>
            <w:shd w:val="clear" w:color="auto" w:fill="F79646" w:themeFill="accent6"/>
            <w:vAlign w:val="bottom"/>
          </w:tcPr>
          <w:p w14:paraId="4B737D09"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0.61</w:t>
            </w:r>
            <w:r w:rsidRPr="00597D3D">
              <w:rPr>
                <w:rFonts w:ascii="Arial Narrow" w:hAnsi="Arial Narrow" w:cs="Calibri"/>
                <w:color w:val="000000" w:themeColor="text1"/>
                <w:sz w:val="20"/>
                <w:szCs w:val="20"/>
              </w:rPr>
              <w:t> </w:t>
            </w:r>
          </w:p>
        </w:tc>
        <w:tc>
          <w:tcPr>
            <w:tcW w:w="808" w:type="dxa"/>
            <w:tcBorders>
              <w:top w:val="single" w:sz="6" w:space="0" w:color="auto"/>
              <w:left w:val="single" w:sz="6" w:space="0" w:color="auto"/>
              <w:bottom w:val="nil"/>
              <w:right w:val="nil"/>
            </w:tcBorders>
            <w:shd w:val="clear" w:color="auto" w:fill="F79646" w:themeFill="accent6"/>
            <w:vAlign w:val="bottom"/>
          </w:tcPr>
          <w:p w14:paraId="2890931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0.62</w:t>
            </w:r>
            <w:r w:rsidRPr="00597D3D">
              <w:rPr>
                <w:rFonts w:ascii="Arial Narrow" w:hAnsi="Arial Narrow" w:cs="Calibri"/>
                <w:color w:val="000000" w:themeColor="text1"/>
                <w:sz w:val="20"/>
                <w:szCs w:val="20"/>
              </w:rPr>
              <w:t> </w:t>
            </w:r>
          </w:p>
        </w:tc>
        <w:tc>
          <w:tcPr>
            <w:tcW w:w="918" w:type="dxa"/>
            <w:gridSpan w:val="2"/>
            <w:tcBorders>
              <w:top w:val="single" w:sz="6" w:space="0" w:color="auto"/>
              <w:left w:val="nil"/>
              <w:bottom w:val="nil"/>
              <w:right w:val="nil"/>
            </w:tcBorders>
            <w:shd w:val="clear" w:color="auto" w:fill="F79646" w:themeFill="accent6"/>
            <w:vAlign w:val="bottom"/>
          </w:tcPr>
          <w:p w14:paraId="4D68BF5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0.65</w:t>
            </w:r>
            <w:r w:rsidRPr="00597D3D">
              <w:rPr>
                <w:rFonts w:ascii="Arial Narrow" w:hAnsi="Arial Narrow" w:cs="Calibri"/>
                <w:color w:val="000000" w:themeColor="text1"/>
                <w:sz w:val="20"/>
                <w:szCs w:val="20"/>
              </w:rPr>
              <w:t> </w:t>
            </w:r>
          </w:p>
        </w:tc>
        <w:tc>
          <w:tcPr>
            <w:tcW w:w="831" w:type="dxa"/>
            <w:tcBorders>
              <w:top w:val="single" w:sz="6" w:space="0" w:color="auto"/>
              <w:left w:val="nil"/>
              <w:bottom w:val="nil"/>
              <w:right w:val="nil"/>
            </w:tcBorders>
            <w:shd w:val="clear" w:color="auto" w:fill="auto"/>
            <w:vAlign w:val="bottom"/>
          </w:tcPr>
          <w:p w14:paraId="468227F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0.96</w:t>
            </w:r>
            <w:r w:rsidRPr="00597D3D">
              <w:rPr>
                <w:rFonts w:ascii="Arial Narrow" w:hAnsi="Arial Narrow" w:cs="Calibri"/>
                <w:color w:val="000000" w:themeColor="text1"/>
                <w:sz w:val="20"/>
                <w:szCs w:val="20"/>
              </w:rPr>
              <w:t> </w:t>
            </w:r>
          </w:p>
        </w:tc>
        <w:tc>
          <w:tcPr>
            <w:tcW w:w="676" w:type="dxa"/>
            <w:tcBorders>
              <w:top w:val="single" w:sz="6" w:space="0" w:color="auto"/>
              <w:left w:val="nil"/>
              <w:bottom w:val="nil"/>
              <w:right w:val="nil"/>
            </w:tcBorders>
            <w:shd w:val="clear" w:color="auto" w:fill="auto"/>
          </w:tcPr>
          <w:p w14:paraId="0A448FD2"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0.89</w:t>
            </w:r>
            <w:r w:rsidRPr="00597D3D">
              <w:rPr>
                <w:rFonts w:ascii="Arial Narrow" w:hAnsi="Arial Narrow" w:cs="Calibri"/>
                <w:sz w:val="20"/>
                <w:szCs w:val="20"/>
              </w:rPr>
              <w:t> </w:t>
            </w:r>
          </w:p>
        </w:tc>
      </w:tr>
      <w:tr w:rsidR="00DD002E" w14:paraId="427846A1" w14:textId="77777777" w:rsidTr="00632A30">
        <w:trPr>
          <w:trHeight w:val="300"/>
        </w:trPr>
        <w:tc>
          <w:tcPr>
            <w:tcW w:w="1070" w:type="dxa"/>
            <w:gridSpan w:val="2"/>
            <w:tcBorders>
              <w:top w:val="nil"/>
              <w:left w:val="nil"/>
              <w:bottom w:val="nil"/>
              <w:right w:val="nil"/>
            </w:tcBorders>
            <w:shd w:val="clear" w:color="auto" w:fill="auto"/>
            <w:vAlign w:val="center"/>
          </w:tcPr>
          <w:p w14:paraId="64F9AE2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3</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599AF47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1.35</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92CDDC" w:themeFill="accent5" w:themeFillTint="99"/>
            <w:vAlign w:val="bottom"/>
          </w:tcPr>
          <w:p w14:paraId="28A0A7E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1.56</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3657529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1.06</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4F0851B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1.08</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0D345BD6"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1.35</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2CB3DF9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0.85</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0B96265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1.25</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auto"/>
            <w:vAlign w:val="bottom"/>
          </w:tcPr>
          <w:p w14:paraId="1A4A643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0.87</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auto"/>
            <w:vAlign w:val="bottom"/>
          </w:tcPr>
          <w:p w14:paraId="32F3BF8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1.13</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4C06F881"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1.09</w:t>
            </w:r>
            <w:r w:rsidRPr="00597D3D">
              <w:rPr>
                <w:rFonts w:ascii="Arial Narrow" w:hAnsi="Arial Narrow" w:cs="Calibri"/>
                <w:sz w:val="20"/>
                <w:szCs w:val="20"/>
              </w:rPr>
              <w:t> </w:t>
            </w:r>
          </w:p>
        </w:tc>
      </w:tr>
      <w:tr w:rsidR="00DD002E" w14:paraId="47FEA34B" w14:textId="77777777" w:rsidTr="00632A30">
        <w:trPr>
          <w:trHeight w:val="300"/>
        </w:trPr>
        <w:tc>
          <w:tcPr>
            <w:tcW w:w="1070" w:type="dxa"/>
            <w:gridSpan w:val="2"/>
            <w:tcBorders>
              <w:top w:val="nil"/>
              <w:left w:val="nil"/>
              <w:bottom w:val="nil"/>
              <w:right w:val="nil"/>
            </w:tcBorders>
            <w:shd w:val="clear" w:color="auto" w:fill="auto"/>
            <w:vAlign w:val="center"/>
          </w:tcPr>
          <w:p w14:paraId="1B3A593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4</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287C8A5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1.06</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4CD2ECE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1.19</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52D79C4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0.70</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349356B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0.81</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13736FA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0.83</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4E8FD93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0.73</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7F8E35D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0.82</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auto"/>
            <w:vAlign w:val="bottom"/>
          </w:tcPr>
          <w:p w14:paraId="0DB3EE1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0.68</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F79646" w:themeFill="accent6"/>
            <w:vAlign w:val="bottom"/>
          </w:tcPr>
          <w:p w14:paraId="4AC1CDB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0.67</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F79646" w:themeFill="accent6"/>
          </w:tcPr>
          <w:p w14:paraId="07FE75EC"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0.66</w:t>
            </w:r>
            <w:r w:rsidRPr="00597D3D">
              <w:rPr>
                <w:rFonts w:ascii="Arial Narrow" w:hAnsi="Arial Narrow" w:cs="Calibri"/>
                <w:sz w:val="20"/>
                <w:szCs w:val="20"/>
              </w:rPr>
              <w:t> </w:t>
            </w:r>
          </w:p>
        </w:tc>
      </w:tr>
      <w:tr w:rsidR="00DD002E" w14:paraId="74852669" w14:textId="77777777" w:rsidTr="00632A30">
        <w:trPr>
          <w:trHeight w:val="300"/>
        </w:trPr>
        <w:tc>
          <w:tcPr>
            <w:tcW w:w="1070" w:type="dxa"/>
            <w:gridSpan w:val="2"/>
            <w:tcBorders>
              <w:top w:val="nil"/>
              <w:left w:val="nil"/>
              <w:bottom w:val="nil"/>
              <w:right w:val="nil"/>
            </w:tcBorders>
            <w:shd w:val="clear" w:color="auto" w:fill="auto"/>
            <w:vAlign w:val="center"/>
          </w:tcPr>
          <w:p w14:paraId="0ECB55C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5</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29A7865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0.78</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1AD9B4E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2CFD36E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0.84</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09308FA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0.84</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270452B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0.76</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6BE6D84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0.69</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1204F24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0.92</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auto"/>
            <w:vAlign w:val="bottom"/>
          </w:tcPr>
          <w:p w14:paraId="62CFE58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0.78</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auto"/>
            <w:vAlign w:val="bottom"/>
          </w:tcPr>
          <w:p w14:paraId="5CA4AA41"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1.15</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34246D62"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1.32</w:t>
            </w:r>
            <w:r w:rsidRPr="00597D3D">
              <w:rPr>
                <w:rFonts w:ascii="Arial Narrow" w:hAnsi="Arial Narrow" w:cs="Calibri"/>
                <w:sz w:val="20"/>
                <w:szCs w:val="20"/>
              </w:rPr>
              <w:t> </w:t>
            </w:r>
          </w:p>
        </w:tc>
      </w:tr>
      <w:tr w:rsidR="00DD002E" w14:paraId="082797F7" w14:textId="77777777" w:rsidTr="00632A30">
        <w:trPr>
          <w:trHeight w:val="300"/>
        </w:trPr>
        <w:tc>
          <w:tcPr>
            <w:tcW w:w="1070" w:type="dxa"/>
            <w:gridSpan w:val="2"/>
            <w:tcBorders>
              <w:top w:val="nil"/>
              <w:left w:val="nil"/>
              <w:bottom w:val="nil"/>
              <w:right w:val="nil"/>
            </w:tcBorders>
            <w:shd w:val="clear" w:color="auto" w:fill="auto"/>
            <w:vAlign w:val="center"/>
          </w:tcPr>
          <w:p w14:paraId="331F73D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6A</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58ACF0E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F79646" w:themeFill="accent6"/>
            <w:vAlign w:val="bottom"/>
          </w:tcPr>
          <w:p w14:paraId="7DA1AA6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0.67</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F79646" w:themeFill="accent6"/>
            <w:vAlign w:val="bottom"/>
          </w:tcPr>
          <w:p w14:paraId="3E13E466"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0.61</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1C2DFDF1"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0.71</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2B73B4B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0.76</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10E85966"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0.71</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F79646" w:themeFill="accent6"/>
            <w:vAlign w:val="bottom"/>
          </w:tcPr>
          <w:p w14:paraId="3CBA692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0.64</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C00000"/>
            <w:vAlign w:val="bottom"/>
          </w:tcPr>
          <w:p w14:paraId="5660175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FFFFFF" w:themeColor="background1"/>
                <w:sz w:val="20"/>
                <w:szCs w:val="20"/>
                <w:lang w:val="en-US"/>
              </w:rPr>
              <w:t>0.45</w:t>
            </w:r>
            <w:r w:rsidRPr="00597D3D">
              <w:rPr>
                <w:rFonts w:ascii="Arial Narrow" w:hAnsi="Arial Narrow" w:cs="Calibri"/>
                <w:color w:val="FFFFFF" w:themeColor="background1"/>
                <w:sz w:val="20"/>
                <w:szCs w:val="20"/>
              </w:rPr>
              <w:t> </w:t>
            </w:r>
          </w:p>
        </w:tc>
        <w:tc>
          <w:tcPr>
            <w:tcW w:w="831" w:type="dxa"/>
            <w:tcBorders>
              <w:top w:val="nil"/>
              <w:left w:val="nil"/>
              <w:bottom w:val="nil"/>
              <w:right w:val="nil"/>
            </w:tcBorders>
            <w:shd w:val="clear" w:color="auto" w:fill="auto"/>
            <w:vAlign w:val="bottom"/>
          </w:tcPr>
          <w:p w14:paraId="3F6C443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1.35</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3781C321"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1.20</w:t>
            </w:r>
            <w:r w:rsidRPr="00597D3D">
              <w:rPr>
                <w:rFonts w:ascii="Arial Narrow" w:hAnsi="Arial Narrow" w:cs="Calibri"/>
                <w:sz w:val="20"/>
                <w:szCs w:val="20"/>
              </w:rPr>
              <w:t> </w:t>
            </w:r>
          </w:p>
        </w:tc>
      </w:tr>
      <w:tr w:rsidR="00DD002E" w14:paraId="0AEFCE23" w14:textId="77777777" w:rsidTr="00632A30">
        <w:trPr>
          <w:trHeight w:val="300"/>
        </w:trPr>
        <w:tc>
          <w:tcPr>
            <w:tcW w:w="1070" w:type="dxa"/>
            <w:gridSpan w:val="2"/>
            <w:tcBorders>
              <w:top w:val="nil"/>
              <w:left w:val="nil"/>
              <w:bottom w:val="nil"/>
              <w:right w:val="nil"/>
            </w:tcBorders>
            <w:shd w:val="clear" w:color="auto" w:fill="auto"/>
            <w:vAlign w:val="center"/>
          </w:tcPr>
          <w:p w14:paraId="71FDA37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6B</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2A73EF2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1.2</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3CAB9C5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1.15</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1E998D46"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0.77</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03CD7DD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1.01</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7D61588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0.98</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1A8F02F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0.79</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F79646" w:themeFill="accent6"/>
            <w:vAlign w:val="bottom"/>
          </w:tcPr>
          <w:p w14:paraId="7B70E32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0.60</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F79646" w:themeFill="accent6"/>
            <w:vAlign w:val="bottom"/>
          </w:tcPr>
          <w:p w14:paraId="34C6C521"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0.64</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92CDDC" w:themeFill="accent5" w:themeFillTint="99"/>
            <w:vAlign w:val="bottom"/>
          </w:tcPr>
          <w:p w14:paraId="48854FF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1.70</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3D5898EF"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1.17</w:t>
            </w:r>
            <w:r w:rsidRPr="00597D3D">
              <w:rPr>
                <w:rFonts w:ascii="Arial Narrow" w:hAnsi="Arial Narrow" w:cs="Calibri"/>
                <w:sz w:val="20"/>
                <w:szCs w:val="20"/>
              </w:rPr>
              <w:t> </w:t>
            </w:r>
          </w:p>
        </w:tc>
      </w:tr>
      <w:tr w:rsidR="00DD002E" w14:paraId="68C89DDE" w14:textId="77777777" w:rsidTr="00632A30">
        <w:trPr>
          <w:trHeight w:val="300"/>
        </w:trPr>
        <w:tc>
          <w:tcPr>
            <w:tcW w:w="1070" w:type="dxa"/>
            <w:gridSpan w:val="2"/>
            <w:tcBorders>
              <w:top w:val="nil"/>
              <w:left w:val="nil"/>
              <w:bottom w:val="nil"/>
              <w:right w:val="nil"/>
            </w:tcBorders>
            <w:shd w:val="clear" w:color="auto" w:fill="auto"/>
            <w:vAlign w:val="center"/>
          </w:tcPr>
          <w:p w14:paraId="2CC3C8D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7F</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6DFDB04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0.75</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3861A15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0.88</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F79646" w:themeFill="accent6"/>
            <w:vAlign w:val="bottom"/>
          </w:tcPr>
          <w:p w14:paraId="14783E89"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0.63</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6403C7C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0013745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0.68</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FFFFFF" w:themeFill="background1"/>
            <w:vAlign w:val="bottom"/>
          </w:tcPr>
          <w:p w14:paraId="0561C6D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0.82</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F79646" w:themeFill="accent6"/>
            <w:vAlign w:val="bottom"/>
          </w:tcPr>
          <w:p w14:paraId="13157B7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0.66</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F79646" w:themeFill="accent6"/>
            <w:vAlign w:val="bottom"/>
          </w:tcPr>
          <w:p w14:paraId="3A2EAAE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0.56</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auto"/>
            <w:vAlign w:val="bottom"/>
          </w:tcPr>
          <w:p w14:paraId="2B5EBD9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1.15</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6C9D4763"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0.95</w:t>
            </w:r>
            <w:r w:rsidRPr="00597D3D">
              <w:rPr>
                <w:rFonts w:ascii="Arial Narrow" w:hAnsi="Arial Narrow" w:cs="Calibri"/>
                <w:sz w:val="20"/>
                <w:szCs w:val="20"/>
              </w:rPr>
              <w:t> </w:t>
            </w:r>
          </w:p>
        </w:tc>
      </w:tr>
      <w:tr w:rsidR="00DD002E" w14:paraId="55C1D238" w14:textId="77777777" w:rsidTr="00632A30">
        <w:trPr>
          <w:trHeight w:val="300"/>
        </w:trPr>
        <w:tc>
          <w:tcPr>
            <w:tcW w:w="1070" w:type="dxa"/>
            <w:gridSpan w:val="2"/>
            <w:tcBorders>
              <w:top w:val="nil"/>
              <w:left w:val="nil"/>
              <w:bottom w:val="nil"/>
              <w:right w:val="nil"/>
            </w:tcBorders>
            <w:shd w:val="clear" w:color="auto" w:fill="auto"/>
            <w:vAlign w:val="center"/>
          </w:tcPr>
          <w:p w14:paraId="735D460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9V</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5C558351"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0.86</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579B9A8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1.16</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07853B8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0.73</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1D48E91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0.80</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112291F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0.79</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F79646" w:themeFill="accent6"/>
            <w:vAlign w:val="bottom"/>
          </w:tcPr>
          <w:p w14:paraId="7646613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0.64</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050C1C1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0.83</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F79646" w:themeFill="accent6"/>
            <w:vAlign w:val="bottom"/>
          </w:tcPr>
          <w:p w14:paraId="3C9ED00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0.51</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auto"/>
            <w:vAlign w:val="bottom"/>
          </w:tcPr>
          <w:p w14:paraId="339ED04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1.16</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6EA89DFC"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0.82</w:t>
            </w:r>
            <w:r w:rsidRPr="00597D3D">
              <w:rPr>
                <w:rFonts w:ascii="Arial Narrow" w:hAnsi="Arial Narrow" w:cs="Calibri"/>
                <w:sz w:val="20"/>
                <w:szCs w:val="20"/>
              </w:rPr>
              <w:t> </w:t>
            </w:r>
          </w:p>
        </w:tc>
      </w:tr>
      <w:tr w:rsidR="00DD002E" w14:paraId="4285FD85" w14:textId="77777777" w:rsidTr="00632A30">
        <w:trPr>
          <w:trHeight w:val="300"/>
        </w:trPr>
        <w:tc>
          <w:tcPr>
            <w:tcW w:w="1070" w:type="dxa"/>
            <w:gridSpan w:val="2"/>
            <w:tcBorders>
              <w:top w:val="nil"/>
              <w:left w:val="nil"/>
              <w:bottom w:val="nil"/>
              <w:right w:val="nil"/>
            </w:tcBorders>
            <w:shd w:val="clear" w:color="auto" w:fill="auto"/>
            <w:vAlign w:val="center"/>
          </w:tcPr>
          <w:p w14:paraId="07AA89F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14</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347C41A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1DEF1A2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1.21</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78CB216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1.02</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23CC96E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1.46</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7AC6D25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1.30</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92CDDC" w:themeFill="accent5" w:themeFillTint="99"/>
            <w:vAlign w:val="bottom"/>
          </w:tcPr>
          <w:p w14:paraId="3880686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1.51</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31327A7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0.87</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auto"/>
            <w:vAlign w:val="bottom"/>
          </w:tcPr>
          <w:p w14:paraId="7890AD1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1.02</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auto"/>
            <w:vAlign w:val="bottom"/>
          </w:tcPr>
          <w:p w14:paraId="614C922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0.81</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5190FEA6"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1.03</w:t>
            </w:r>
            <w:r w:rsidRPr="00597D3D">
              <w:rPr>
                <w:rFonts w:ascii="Arial Narrow" w:hAnsi="Arial Narrow" w:cs="Calibri"/>
                <w:sz w:val="20"/>
                <w:szCs w:val="20"/>
              </w:rPr>
              <w:t> </w:t>
            </w:r>
          </w:p>
        </w:tc>
      </w:tr>
      <w:tr w:rsidR="00DD002E" w14:paraId="068C1E86" w14:textId="77777777" w:rsidTr="00632A30">
        <w:trPr>
          <w:trHeight w:val="300"/>
        </w:trPr>
        <w:tc>
          <w:tcPr>
            <w:tcW w:w="1070" w:type="dxa"/>
            <w:gridSpan w:val="2"/>
            <w:tcBorders>
              <w:top w:val="nil"/>
              <w:left w:val="nil"/>
              <w:bottom w:val="nil"/>
              <w:right w:val="nil"/>
            </w:tcBorders>
            <w:shd w:val="clear" w:color="auto" w:fill="auto"/>
            <w:vAlign w:val="center"/>
          </w:tcPr>
          <w:p w14:paraId="295BC1A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18C</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402080C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0.86</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39F82D3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0.87</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00EBDDF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0.94</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73B01D8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1.10</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4669D67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0.88</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655502A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095454D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0.89</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auto"/>
            <w:vAlign w:val="bottom"/>
          </w:tcPr>
          <w:p w14:paraId="03481D4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0.80</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92CDDC" w:themeFill="accent5" w:themeFillTint="99"/>
            <w:vAlign w:val="bottom"/>
          </w:tcPr>
          <w:p w14:paraId="00978D0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1.70</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5109F86C"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1.29</w:t>
            </w:r>
            <w:r w:rsidRPr="00597D3D">
              <w:rPr>
                <w:rFonts w:ascii="Arial Narrow" w:hAnsi="Arial Narrow" w:cs="Calibri"/>
                <w:sz w:val="20"/>
                <w:szCs w:val="20"/>
              </w:rPr>
              <w:t> </w:t>
            </w:r>
          </w:p>
        </w:tc>
      </w:tr>
      <w:tr w:rsidR="00DD002E" w14:paraId="73476DD4" w14:textId="77777777" w:rsidTr="00632A30">
        <w:trPr>
          <w:trHeight w:val="300"/>
        </w:trPr>
        <w:tc>
          <w:tcPr>
            <w:tcW w:w="1070" w:type="dxa"/>
            <w:gridSpan w:val="2"/>
            <w:tcBorders>
              <w:top w:val="nil"/>
              <w:left w:val="nil"/>
              <w:bottom w:val="nil"/>
              <w:right w:val="nil"/>
            </w:tcBorders>
            <w:shd w:val="clear" w:color="auto" w:fill="auto"/>
            <w:vAlign w:val="center"/>
          </w:tcPr>
          <w:p w14:paraId="487BB28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19A</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4C7BBEB4"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424FCFF0"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0.72</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0AE90E25"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0.70</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29D060C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F79646" w:themeFill="accent6"/>
            <w:vAlign w:val="bottom"/>
          </w:tcPr>
          <w:p w14:paraId="3A1CB89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0.60</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F79646" w:themeFill="accent6"/>
            <w:vAlign w:val="bottom"/>
          </w:tcPr>
          <w:p w14:paraId="7AE3131B"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0.60</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C00000"/>
            <w:vAlign w:val="bottom"/>
          </w:tcPr>
          <w:p w14:paraId="7460FC39"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FFFFFF" w:themeColor="background1"/>
                <w:sz w:val="20"/>
                <w:szCs w:val="20"/>
                <w:lang w:val="en-US"/>
              </w:rPr>
              <w:t>0.46</w:t>
            </w:r>
            <w:r w:rsidRPr="00597D3D">
              <w:rPr>
                <w:rFonts w:ascii="Arial Narrow" w:hAnsi="Arial Narrow" w:cs="Calibri"/>
                <w:color w:val="FFFFFF" w:themeColor="background1"/>
                <w:sz w:val="20"/>
                <w:szCs w:val="20"/>
              </w:rPr>
              <w:t> </w:t>
            </w:r>
          </w:p>
        </w:tc>
        <w:tc>
          <w:tcPr>
            <w:tcW w:w="918" w:type="dxa"/>
            <w:gridSpan w:val="2"/>
            <w:tcBorders>
              <w:top w:val="nil"/>
              <w:left w:val="nil"/>
              <w:bottom w:val="nil"/>
              <w:right w:val="nil"/>
            </w:tcBorders>
            <w:shd w:val="clear" w:color="auto" w:fill="C00000"/>
            <w:vAlign w:val="bottom"/>
          </w:tcPr>
          <w:p w14:paraId="47B91C01"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FFFFFF" w:themeColor="background1"/>
                <w:sz w:val="20"/>
                <w:szCs w:val="20"/>
                <w:lang w:val="en-US"/>
              </w:rPr>
              <w:t>0.40</w:t>
            </w:r>
            <w:r w:rsidRPr="00597D3D">
              <w:rPr>
                <w:rFonts w:ascii="Arial Narrow" w:hAnsi="Arial Narrow" w:cs="Calibri"/>
                <w:color w:val="FFFFFF" w:themeColor="background1"/>
                <w:sz w:val="20"/>
                <w:szCs w:val="20"/>
              </w:rPr>
              <w:t> </w:t>
            </w:r>
          </w:p>
        </w:tc>
        <w:tc>
          <w:tcPr>
            <w:tcW w:w="831" w:type="dxa"/>
            <w:tcBorders>
              <w:top w:val="nil"/>
              <w:left w:val="nil"/>
              <w:bottom w:val="nil"/>
              <w:right w:val="nil"/>
            </w:tcBorders>
            <w:shd w:val="clear" w:color="auto" w:fill="92CDDC" w:themeFill="accent5" w:themeFillTint="99"/>
            <w:vAlign w:val="bottom"/>
          </w:tcPr>
          <w:p w14:paraId="23743199"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1.52</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3B9F8F40"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0.94</w:t>
            </w:r>
            <w:r w:rsidRPr="00597D3D">
              <w:rPr>
                <w:rFonts w:ascii="Arial Narrow" w:hAnsi="Arial Narrow" w:cs="Calibri"/>
                <w:sz w:val="20"/>
                <w:szCs w:val="20"/>
              </w:rPr>
              <w:t> </w:t>
            </w:r>
          </w:p>
        </w:tc>
      </w:tr>
      <w:tr w:rsidR="00DD002E" w14:paraId="15FED50C" w14:textId="77777777" w:rsidTr="00632A30">
        <w:trPr>
          <w:trHeight w:val="300"/>
        </w:trPr>
        <w:tc>
          <w:tcPr>
            <w:tcW w:w="1070" w:type="dxa"/>
            <w:gridSpan w:val="2"/>
            <w:tcBorders>
              <w:top w:val="nil"/>
              <w:left w:val="nil"/>
              <w:bottom w:val="nil"/>
              <w:right w:val="nil"/>
            </w:tcBorders>
            <w:shd w:val="clear" w:color="auto" w:fill="auto"/>
            <w:vAlign w:val="center"/>
          </w:tcPr>
          <w:p w14:paraId="164D473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19F</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2DB1E3B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0.92</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1C79E269"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0.88</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auto"/>
            <w:vAlign w:val="bottom"/>
          </w:tcPr>
          <w:p w14:paraId="0AEFA47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0.89</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auto"/>
            <w:vAlign w:val="bottom"/>
          </w:tcPr>
          <w:p w14:paraId="26847C23"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0.85</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auto"/>
            <w:vAlign w:val="bottom"/>
          </w:tcPr>
          <w:p w14:paraId="439B129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0.83</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auto"/>
            <w:vAlign w:val="bottom"/>
          </w:tcPr>
          <w:p w14:paraId="2F244C4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0.87</w:t>
            </w:r>
            <w:r w:rsidRPr="00597D3D">
              <w:rPr>
                <w:rFonts w:ascii="Arial Narrow" w:hAnsi="Arial Narrow" w:cs="Calibri"/>
                <w:color w:val="000000" w:themeColor="text1"/>
                <w:sz w:val="20"/>
                <w:szCs w:val="20"/>
              </w:rPr>
              <w:t> </w:t>
            </w:r>
          </w:p>
        </w:tc>
        <w:tc>
          <w:tcPr>
            <w:tcW w:w="808" w:type="dxa"/>
            <w:tcBorders>
              <w:top w:val="nil"/>
              <w:left w:val="single" w:sz="6" w:space="0" w:color="auto"/>
              <w:bottom w:val="nil"/>
              <w:right w:val="nil"/>
            </w:tcBorders>
            <w:shd w:val="clear" w:color="auto" w:fill="auto"/>
            <w:vAlign w:val="bottom"/>
          </w:tcPr>
          <w:p w14:paraId="1E8FD09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0.69</w:t>
            </w:r>
            <w:r w:rsidRPr="00597D3D">
              <w:rPr>
                <w:rFonts w:ascii="Arial Narrow" w:hAnsi="Arial Narrow" w:cs="Calibri"/>
                <w:color w:val="000000" w:themeColor="text1"/>
                <w:sz w:val="20"/>
                <w:szCs w:val="20"/>
              </w:rPr>
              <w:t> </w:t>
            </w:r>
          </w:p>
        </w:tc>
        <w:tc>
          <w:tcPr>
            <w:tcW w:w="918" w:type="dxa"/>
            <w:gridSpan w:val="2"/>
            <w:tcBorders>
              <w:top w:val="nil"/>
              <w:left w:val="nil"/>
              <w:bottom w:val="nil"/>
              <w:right w:val="nil"/>
            </w:tcBorders>
            <w:shd w:val="clear" w:color="auto" w:fill="auto"/>
            <w:vAlign w:val="bottom"/>
          </w:tcPr>
          <w:p w14:paraId="0E42B1B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0.74</w:t>
            </w:r>
            <w:r w:rsidRPr="00597D3D">
              <w:rPr>
                <w:rFonts w:ascii="Arial Narrow" w:hAnsi="Arial Narrow" w:cs="Calibri"/>
                <w:color w:val="000000" w:themeColor="text1"/>
                <w:sz w:val="20"/>
                <w:szCs w:val="20"/>
              </w:rPr>
              <w:t> </w:t>
            </w:r>
          </w:p>
        </w:tc>
        <w:tc>
          <w:tcPr>
            <w:tcW w:w="831" w:type="dxa"/>
            <w:tcBorders>
              <w:top w:val="nil"/>
              <w:left w:val="nil"/>
              <w:bottom w:val="nil"/>
              <w:right w:val="nil"/>
            </w:tcBorders>
            <w:shd w:val="clear" w:color="auto" w:fill="auto"/>
            <w:vAlign w:val="bottom"/>
          </w:tcPr>
          <w:p w14:paraId="2FA8601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1.49</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697A5AEB"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1.13</w:t>
            </w:r>
            <w:r w:rsidRPr="00597D3D">
              <w:rPr>
                <w:rFonts w:ascii="Arial Narrow" w:hAnsi="Arial Narrow" w:cs="Calibri"/>
                <w:sz w:val="20"/>
                <w:szCs w:val="20"/>
              </w:rPr>
              <w:t> </w:t>
            </w:r>
          </w:p>
        </w:tc>
      </w:tr>
      <w:tr w:rsidR="00DD002E" w14:paraId="64CABCAF" w14:textId="77777777" w:rsidTr="00632A30">
        <w:trPr>
          <w:trHeight w:val="300"/>
        </w:trPr>
        <w:tc>
          <w:tcPr>
            <w:tcW w:w="1070" w:type="dxa"/>
            <w:gridSpan w:val="2"/>
            <w:tcBorders>
              <w:top w:val="nil"/>
              <w:left w:val="nil"/>
              <w:bottom w:val="nil"/>
              <w:right w:val="nil"/>
            </w:tcBorders>
            <w:shd w:val="clear" w:color="auto" w:fill="auto"/>
            <w:vAlign w:val="center"/>
          </w:tcPr>
          <w:p w14:paraId="6C3FE182"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23F</w:t>
            </w:r>
            <w:r w:rsidRPr="00597D3D">
              <w:rPr>
                <w:rFonts w:ascii="Arial Narrow" w:hAnsi="Arial Narrow" w:cs="Calibri"/>
                <w:color w:val="000000" w:themeColor="text1"/>
                <w:sz w:val="20"/>
                <w:szCs w:val="20"/>
              </w:rPr>
              <w:t> </w:t>
            </w:r>
          </w:p>
        </w:tc>
        <w:tc>
          <w:tcPr>
            <w:tcW w:w="825" w:type="dxa"/>
            <w:gridSpan w:val="2"/>
            <w:tcBorders>
              <w:top w:val="nil"/>
              <w:left w:val="nil"/>
              <w:bottom w:val="nil"/>
              <w:right w:val="nil"/>
            </w:tcBorders>
            <w:shd w:val="clear" w:color="auto" w:fill="auto"/>
            <w:vAlign w:val="bottom"/>
          </w:tcPr>
          <w:p w14:paraId="69BB223F"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0.88</w:t>
            </w:r>
            <w:r w:rsidRPr="00597D3D">
              <w:rPr>
                <w:rFonts w:ascii="Arial Narrow" w:hAnsi="Arial Narrow" w:cs="Calibri"/>
                <w:color w:val="000000" w:themeColor="text1"/>
                <w:sz w:val="20"/>
                <w:szCs w:val="20"/>
              </w:rPr>
              <w:t> </w:t>
            </w:r>
          </w:p>
        </w:tc>
        <w:tc>
          <w:tcPr>
            <w:tcW w:w="660" w:type="dxa"/>
            <w:tcBorders>
              <w:top w:val="nil"/>
              <w:left w:val="nil"/>
              <w:bottom w:val="nil"/>
              <w:right w:val="single" w:sz="6" w:space="0" w:color="auto"/>
            </w:tcBorders>
            <w:shd w:val="clear" w:color="auto" w:fill="auto"/>
            <w:vAlign w:val="bottom"/>
          </w:tcPr>
          <w:p w14:paraId="4B1DCBFD"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0.87</w:t>
            </w:r>
            <w:r w:rsidRPr="00597D3D">
              <w:rPr>
                <w:rFonts w:ascii="Arial Narrow" w:hAnsi="Arial Narrow" w:cs="Calibri"/>
                <w:color w:val="000000" w:themeColor="text1"/>
                <w:sz w:val="20"/>
                <w:szCs w:val="20"/>
              </w:rPr>
              <w:t> </w:t>
            </w:r>
          </w:p>
        </w:tc>
        <w:tc>
          <w:tcPr>
            <w:tcW w:w="813" w:type="dxa"/>
            <w:tcBorders>
              <w:top w:val="nil"/>
              <w:left w:val="single" w:sz="6" w:space="0" w:color="auto"/>
              <w:bottom w:val="nil"/>
              <w:right w:val="nil"/>
            </w:tcBorders>
            <w:shd w:val="clear" w:color="auto" w:fill="F79646" w:themeFill="accent6"/>
            <w:vAlign w:val="bottom"/>
          </w:tcPr>
          <w:p w14:paraId="5127817A"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0.57</w:t>
            </w:r>
            <w:r w:rsidRPr="00597D3D">
              <w:rPr>
                <w:rFonts w:ascii="Arial Narrow" w:hAnsi="Arial Narrow" w:cs="Calibri"/>
                <w:color w:val="000000" w:themeColor="text1"/>
                <w:sz w:val="20"/>
                <w:szCs w:val="20"/>
              </w:rPr>
              <w:t> </w:t>
            </w:r>
          </w:p>
        </w:tc>
        <w:tc>
          <w:tcPr>
            <w:tcW w:w="809" w:type="dxa"/>
            <w:tcBorders>
              <w:top w:val="nil"/>
              <w:left w:val="nil"/>
              <w:bottom w:val="nil"/>
              <w:right w:val="nil"/>
            </w:tcBorders>
            <w:shd w:val="clear" w:color="auto" w:fill="F79646" w:themeFill="accent6"/>
            <w:vAlign w:val="bottom"/>
          </w:tcPr>
          <w:p w14:paraId="739EF39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0.54</w:t>
            </w:r>
            <w:r w:rsidRPr="00597D3D">
              <w:rPr>
                <w:rFonts w:ascii="Arial Narrow" w:hAnsi="Arial Narrow" w:cs="Calibri"/>
                <w:color w:val="000000" w:themeColor="text1"/>
                <w:sz w:val="20"/>
                <w:szCs w:val="20"/>
              </w:rPr>
              <w:t> </w:t>
            </w:r>
          </w:p>
        </w:tc>
        <w:tc>
          <w:tcPr>
            <w:tcW w:w="847" w:type="dxa"/>
            <w:gridSpan w:val="2"/>
            <w:tcBorders>
              <w:top w:val="nil"/>
              <w:left w:val="nil"/>
              <w:bottom w:val="nil"/>
              <w:right w:val="nil"/>
            </w:tcBorders>
            <w:shd w:val="clear" w:color="auto" w:fill="F79646" w:themeFill="accent6"/>
            <w:vAlign w:val="bottom"/>
          </w:tcPr>
          <w:p w14:paraId="33F4ED7C"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0.57</w:t>
            </w:r>
            <w:r w:rsidRPr="00597D3D">
              <w:rPr>
                <w:rFonts w:ascii="Arial Narrow" w:hAnsi="Arial Narrow" w:cs="Calibri"/>
                <w:color w:val="000000" w:themeColor="text1"/>
                <w:sz w:val="20"/>
                <w:szCs w:val="20"/>
              </w:rPr>
              <w:t> </w:t>
            </w:r>
          </w:p>
        </w:tc>
        <w:tc>
          <w:tcPr>
            <w:tcW w:w="770" w:type="dxa"/>
            <w:tcBorders>
              <w:top w:val="nil"/>
              <w:left w:val="nil"/>
              <w:bottom w:val="nil"/>
              <w:right w:val="single" w:sz="6" w:space="0" w:color="auto"/>
            </w:tcBorders>
            <w:shd w:val="clear" w:color="auto" w:fill="C00000"/>
            <w:vAlign w:val="bottom"/>
          </w:tcPr>
          <w:p w14:paraId="564775E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FFFFFF" w:themeColor="background1"/>
                <w:sz w:val="20"/>
                <w:szCs w:val="20"/>
                <w:lang w:val="en-US"/>
              </w:rPr>
              <w:t>0.45</w:t>
            </w:r>
            <w:r w:rsidRPr="00597D3D">
              <w:rPr>
                <w:rFonts w:ascii="Arial Narrow" w:hAnsi="Arial Narrow" w:cs="Calibri"/>
                <w:color w:val="FFFFFF" w:themeColor="background1"/>
                <w:sz w:val="20"/>
                <w:szCs w:val="20"/>
              </w:rPr>
              <w:t> </w:t>
            </w:r>
          </w:p>
        </w:tc>
        <w:tc>
          <w:tcPr>
            <w:tcW w:w="808" w:type="dxa"/>
            <w:tcBorders>
              <w:top w:val="nil"/>
              <w:left w:val="single" w:sz="6" w:space="0" w:color="auto"/>
              <w:bottom w:val="nil"/>
              <w:right w:val="nil"/>
            </w:tcBorders>
            <w:shd w:val="clear" w:color="auto" w:fill="C00000"/>
            <w:vAlign w:val="bottom"/>
          </w:tcPr>
          <w:p w14:paraId="0E83002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FFFFFF" w:themeColor="background1"/>
                <w:sz w:val="20"/>
                <w:szCs w:val="20"/>
                <w:lang w:val="en-US"/>
              </w:rPr>
              <w:t>0.44</w:t>
            </w:r>
            <w:r w:rsidRPr="00597D3D">
              <w:rPr>
                <w:rFonts w:ascii="Arial Narrow" w:hAnsi="Arial Narrow" w:cs="Calibri"/>
                <w:color w:val="FFFFFF" w:themeColor="background1"/>
                <w:sz w:val="20"/>
                <w:szCs w:val="20"/>
              </w:rPr>
              <w:t> </w:t>
            </w:r>
          </w:p>
        </w:tc>
        <w:tc>
          <w:tcPr>
            <w:tcW w:w="918" w:type="dxa"/>
            <w:gridSpan w:val="2"/>
            <w:tcBorders>
              <w:top w:val="nil"/>
              <w:left w:val="nil"/>
              <w:bottom w:val="nil"/>
              <w:right w:val="nil"/>
            </w:tcBorders>
            <w:shd w:val="clear" w:color="auto" w:fill="C00000"/>
            <w:vAlign w:val="bottom"/>
          </w:tcPr>
          <w:p w14:paraId="52AA8F58"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FFFFFF" w:themeColor="background1"/>
                <w:sz w:val="20"/>
                <w:szCs w:val="20"/>
                <w:lang w:val="en-US"/>
              </w:rPr>
              <w:t>0.20</w:t>
            </w:r>
            <w:r w:rsidRPr="00597D3D">
              <w:rPr>
                <w:rFonts w:ascii="Arial Narrow" w:hAnsi="Arial Narrow" w:cs="Calibri"/>
                <w:color w:val="FFFFFF" w:themeColor="background1"/>
                <w:sz w:val="20"/>
                <w:szCs w:val="20"/>
              </w:rPr>
              <w:t> </w:t>
            </w:r>
          </w:p>
        </w:tc>
        <w:tc>
          <w:tcPr>
            <w:tcW w:w="831" w:type="dxa"/>
            <w:tcBorders>
              <w:top w:val="nil"/>
              <w:left w:val="nil"/>
              <w:bottom w:val="nil"/>
              <w:right w:val="nil"/>
            </w:tcBorders>
            <w:shd w:val="clear" w:color="auto" w:fill="auto"/>
            <w:vAlign w:val="bottom"/>
          </w:tcPr>
          <w:p w14:paraId="744A0A5E"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0.90</w:t>
            </w:r>
            <w:r w:rsidRPr="00597D3D">
              <w:rPr>
                <w:rFonts w:ascii="Arial Narrow" w:hAnsi="Arial Narrow" w:cs="Calibri"/>
                <w:color w:val="000000" w:themeColor="text1"/>
                <w:sz w:val="20"/>
                <w:szCs w:val="20"/>
              </w:rPr>
              <w:t> </w:t>
            </w:r>
          </w:p>
        </w:tc>
        <w:tc>
          <w:tcPr>
            <w:tcW w:w="676" w:type="dxa"/>
            <w:tcBorders>
              <w:top w:val="nil"/>
              <w:left w:val="nil"/>
              <w:bottom w:val="nil"/>
              <w:right w:val="nil"/>
            </w:tcBorders>
            <w:shd w:val="clear" w:color="auto" w:fill="auto"/>
          </w:tcPr>
          <w:p w14:paraId="577CAB76"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0.98</w:t>
            </w:r>
            <w:r w:rsidRPr="00597D3D">
              <w:rPr>
                <w:rFonts w:ascii="Arial Narrow" w:hAnsi="Arial Narrow" w:cs="Calibri"/>
                <w:sz w:val="20"/>
                <w:szCs w:val="20"/>
              </w:rPr>
              <w:t> </w:t>
            </w:r>
          </w:p>
        </w:tc>
      </w:tr>
      <w:tr w:rsidR="00DD002E" w14:paraId="7E7928D4" w14:textId="77777777" w:rsidTr="00632A30">
        <w:trPr>
          <w:trHeight w:val="75"/>
        </w:trPr>
        <w:tc>
          <w:tcPr>
            <w:tcW w:w="1070" w:type="dxa"/>
            <w:gridSpan w:val="2"/>
            <w:tcBorders>
              <w:top w:val="nil"/>
              <w:left w:val="nil"/>
              <w:bottom w:val="single" w:sz="6" w:space="0" w:color="auto"/>
              <w:right w:val="nil"/>
            </w:tcBorders>
            <w:shd w:val="clear" w:color="auto" w:fill="auto"/>
            <w:vAlign w:val="bottom"/>
          </w:tcPr>
          <w:p w14:paraId="50B57837" w14:textId="77777777" w:rsidR="00DD002E" w:rsidRPr="00597D3D" w:rsidRDefault="00DD002E" w:rsidP="00632A30">
            <w:pPr>
              <w:keepNext/>
              <w:rPr>
                <w:rFonts w:ascii="Arial Narrow" w:hAnsi="Arial Narrow"/>
                <w:sz w:val="20"/>
                <w:szCs w:val="20"/>
              </w:rPr>
            </w:pPr>
            <w:r w:rsidRPr="00597D3D">
              <w:rPr>
                <w:rFonts w:ascii="Arial Narrow" w:hAnsi="Arial Narrow" w:cs="Calibri"/>
                <w:color w:val="000000" w:themeColor="text1"/>
                <w:sz w:val="20"/>
                <w:szCs w:val="20"/>
                <w:lang w:val="en-US"/>
              </w:rPr>
              <w:t>Number per serotype </w:t>
            </w:r>
            <w:r w:rsidRPr="00597D3D">
              <w:rPr>
                <w:rFonts w:ascii="Arial Narrow" w:hAnsi="Arial Narrow" w:cs="Calibri"/>
                <w:color w:val="000000" w:themeColor="text1"/>
                <w:sz w:val="20"/>
                <w:szCs w:val="20"/>
              </w:rPr>
              <w:t> </w:t>
            </w:r>
          </w:p>
        </w:tc>
        <w:tc>
          <w:tcPr>
            <w:tcW w:w="825" w:type="dxa"/>
            <w:gridSpan w:val="2"/>
            <w:tcBorders>
              <w:top w:val="nil"/>
              <w:left w:val="nil"/>
              <w:bottom w:val="single" w:sz="6" w:space="0" w:color="auto"/>
              <w:right w:val="nil"/>
            </w:tcBorders>
            <w:shd w:val="clear" w:color="auto" w:fill="auto"/>
            <w:vAlign w:val="bottom"/>
          </w:tcPr>
          <w:p w14:paraId="5CD1AC5F"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222-226</w:t>
            </w:r>
            <w:r w:rsidRPr="00597D3D">
              <w:rPr>
                <w:rFonts w:ascii="Arial Narrow" w:hAnsi="Arial Narrow" w:cs="Calibri"/>
                <w:sz w:val="20"/>
                <w:szCs w:val="20"/>
              </w:rPr>
              <w:t> </w:t>
            </w:r>
          </w:p>
        </w:tc>
        <w:tc>
          <w:tcPr>
            <w:tcW w:w="660" w:type="dxa"/>
            <w:tcBorders>
              <w:top w:val="nil"/>
              <w:left w:val="nil"/>
              <w:bottom w:val="single" w:sz="6" w:space="0" w:color="auto"/>
              <w:right w:val="single" w:sz="6" w:space="0" w:color="auto"/>
            </w:tcBorders>
            <w:shd w:val="clear" w:color="auto" w:fill="auto"/>
            <w:vAlign w:val="bottom"/>
          </w:tcPr>
          <w:p w14:paraId="72CEA2E8"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130-132</w:t>
            </w:r>
            <w:r w:rsidRPr="00597D3D">
              <w:rPr>
                <w:rFonts w:ascii="Arial Narrow" w:hAnsi="Arial Narrow" w:cs="Calibri"/>
                <w:sz w:val="20"/>
                <w:szCs w:val="20"/>
              </w:rPr>
              <w:t> </w:t>
            </w:r>
          </w:p>
        </w:tc>
        <w:tc>
          <w:tcPr>
            <w:tcW w:w="813" w:type="dxa"/>
            <w:tcBorders>
              <w:top w:val="nil"/>
              <w:left w:val="single" w:sz="6" w:space="0" w:color="auto"/>
              <w:bottom w:val="single" w:sz="6" w:space="0" w:color="auto"/>
              <w:right w:val="nil"/>
            </w:tcBorders>
            <w:shd w:val="clear" w:color="auto" w:fill="auto"/>
            <w:vAlign w:val="bottom"/>
          </w:tcPr>
          <w:p w14:paraId="7C4C9BC8"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196-210</w:t>
            </w:r>
            <w:r w:rsidRPr="00597D3D">
              <w:rPr>
                <w:rFonts w:ascii="Arial Narrow" w:hAnsi="Arial Narrow" w:cs="Calibri"/>
                <w:sz w:val="20"/>
                <w:szCs w:val="20"/>
              </w:rPr>
              <w:t> </w:t>
            </w:r>
          </w:p>
        </w:tc>
        <w:tc>
          <w:tcPr>
            <w:tcW w:w="809" w:type="dxa"/>
            <w:tcBorders>
              <w:top w:val="nil"/>
              <w:left w:val="nil"/>
              <w:bottom w:val="single" w:sz="6" w:space="0" w:color="auto"/>
              <w:right w:val="nil"/>
            </w:tcBorders>
            <w:shd w:val="clear" w:color="auto" w:fill="auto"/>
            <w:vAlign w:val="bottom"/>
          </w:tcPr>
          <w:p w14:paraId="22015174"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193-202</w:t>
            </w:r>
            <w:r w:rsidRPr="00597D3D">
              <w:rPr>
                <w:rFonts w:ascii="Arial Narrow" w:hAnsi="Arial Narrow" w:cs="Calibri"/>
                <w:sz w:val="20"/>
                <w:szCs w:val="20"/>
              </w:rPr>
              <w:t> </w:t>
            </w:r>
          </w:p>
        </w:tc>
        <w:tc>
          <w:tcPr>
            <w:tcW w:w="847" w:type="dxa"/>
            <w:gridSpan w:val="2"/>
            <w:tcBorders>
              <w:top w:val="nil"/>
              <w:left w:val="nil"/>
              <w:bottom w:val="single" w:sz="6" w:space="0" w:color="auto"/>
              <w:right w:val="nil"/>
            </w:tcBorders>
            <w:shd w:val="clear" w:color="auto" w:fill="auto"/>
            <w:vAlign w:val="bottom"/>
          </w:tcPr>
          <w:p w14:paraId="279E841E"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325-333</w:t>
            </w:r>
            <w:r w:rsidRPr="00597D3D">
              <w:rPr>
                <w:rFonts w:ascii="Arial Narrow" w:hAnsi="Arial Narrow" w:cs="Calibri"/>
                <w:sz w:val="20"/>
                <w:szCs w:val="20"/>
              </w:rPr>
              <w:t> </w:t>
            </w:r>
          </w:p>
        </w:tc>
        <w:tc>
          <w:tcPr>
            <w:tcW w:w="770" w:type="dxa"/>
            <w:tcBorders>
              <w:top w:val="nil"/>
              <w:left w:val="nil"/>
              <w:bottom w:val="single" w:sz="6" w:space="0" w:color="auto"/>
              <w:right w:val="single" w:sz="6" w:space="0" w:color="auto"/>
            </w:tcBorders>
            <w:shd w:val="clear" w:color="auto" w:fill="auto"/>
            <w:vAlign w:val="bottom"/>
          </w:tcPr>
          <w:p w14:paraId="073F367D"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161-169</w:t>
            </w:r>
            <w:r w:rsidRPr="00597D3D">
              <w:rPr>
                <w:rFonts w:ascii="Arial Narrow" w:hAnsi="Arial Narrow" w:cs="Calibri"/>
                <w:sz w:val="20"/>
                <w:szCs w:val="20"/>
              </w:rPr>
              <w:t> </w:t>
            </w:r>
          </w:p>
        </w:tc>
        <w:tc>
          <w:tcPr>
            <w:tcW w:w="808" w:type="dxa"/>
            <w:tcBorders>
              <w:top w:val="nil"/>
              <w:left w:val="single" w:sz="6" w:space="0" w:color="auto"/>
              <w:bottom w:val="single" w:sz="6" w:space="0" w:color="auto"/>
              <w:right w:val="nil"/>
            </w:tcBorders>
            <w:shd w:val="clear" w:color="auto" w:fill="auto"/>
            <w:vAlign w:val="bottom"/>
          </w:tcPr>
          <w:p w14:paraId="1F1A06BE"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112-117</w:t>
            </w:r>
            <w:r w:rsidRPr="00597D3D">
              <w:rPr>
                <w:rFonts w:ascii="Arial Narrow" w:hAnsi="Arial Narrow" w:cs="Calibri"/>
                <w:sz w:val="20"/>
                <w:szCs w:val="20"/>
              </w:rPr>
              <w:t> </w:t>
            </w:r>
          </w:p>
        </w:tc>
        <w:tc>
          <w:tcPr>
            <w:tcW w:w="918" w:type="dxa"/>
            <w:gridSpan w:val="2"/>
            <w:tcBorders>
              <w:top w:val="nil"/>
              <w:left w:val="nil"/>
              <w:bottom w:val="single" w:sz="6" w:space="0" w:color="auto"/>
              <w:right w:val="nil"/>
            </w:tcBorders>
            <w:shd w:val="clear" w:color="auto" w:fill="auto"/>
            <w:vAlign w:val="bottom"/>
          </w:tcPr>
          <w:p w14:paraId="44817CBE"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84-89</w:t>
            </w:r>
            <w:r w:rsidRPr="00597D3D">
              <w:rPr>
                <w:rFonts w:ascii="Arial Narrow" w:hAnsi="Arial Narrow" w:cs="Calibri"/>
                <w:sz w:val="20"/>
                <w:szCs w:val="20"/>
              </w:rPr>
              <w:t> </w:t>
            </w:r>
          </w:p>
        </w:tc>
        <w:tc>
          <w:tcPr>
            <w:tcW w:w="831" w:type="dxa"/>
            <w:tcBorders>
              <w:top w:val="nil"/>
              <w:left w:val="nil"/>
              <w:bottom w:val="single" w:sz="6" w:space="0" w:color="auto"/>
              <w:right w:val="nil"/>
            </w:tcBorders>
            <w:shd w:val="clear" w:color="auto" w:fill="auto"/>
            <w:vAlign w:val="bottom"/>
          </w:tcPr>
          <w:p w14:paraId="369B5712"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~50 15vPCV/</w:t>
            </w:r>
            <w:r w:rsidRPr="00597D3D">
              <w:rPr>
                <w:rFonts w:ascii="Arial Narrow" w:hAnsi="Arial Narrow" w:cs="Calibri"/>
                <w:sz w:val="20"/>
                <w:szCs w:val="20"/>
              </w:rPr>
              <w:t> </w:t>
            </w:r>
          </w:p>
          <w:p w14:paraId="00682369"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~20 13vPCV</w:t>
            </w:r>
            <w:r w:rsidRPr="00597D3D">
              <w:rPr>
                <w:rFonts w:ascii="Arial Narrow" w:hAnsi="Arial Narrow" w:cs="Calibri"/>
                <w:sz w:val="20"/>
                <w:szCs w:val="20"/>
              </w:rPr>
              <w:t> </w:t>
            </w:r>
          </w:p>
        </w:tc>
        <w:tc>
          <w:tcPr>
            <w:tcW w:w="676" w:type="dxa"/>
            <w:tcBorders>
              <w:top w:val="nil"/>
              <w:left w:val="nil"/>
              <w:bottom w:val="single" w:sz="6" w:space="0" w:color="auto"/>
              <w:right w:val="nil"/>
            </w:tcBorders>
            <w:shd w:val="clear" w:color="auto" w:fill="auto"/>
            <w:vAlign w:val="bottom"/>
          </w:tcPr>
          <w:p w14:paraId="36232CC4" w14:textId="77777777" w:rsidR="00DD002E" w:rsidRPr="00597D3D" w:rsidRDefault="00DD002E" w:rsidP="00632A30">
            <w:pPr>
              <w:keepNext/>
              <w:rPr>
                <w:rFonts w:ascii="Arial Narrow" w:hAnsi="Arial Narrow"/>
                <w:sz w:val="20"/>
                <w:szCs w:val="20"/>
              </w:rPr>
            </w:pPr>
            <w:r w:rsidRPr="00597D3D">
              <w:rPr>
                <w:rFonts w:ascii="Arial Narrow" w:hAnsi="Arial Narrow" w:cs="Calibri"/>
                <w:sz w:val="20"/>
                <w:szCs w:val="20"/>
                <w:lang w:val="en-US"/>
              </w:rPr>
              <w:t>321-324</w:t>
            </w:r>
            <w:r w:rsidRPr="00597D3D">
              <w:rPr>
                <w:rFonts w:ascii="Arial Narrow" w:hAnsi="Arial Narrow" w:cs="Calibri"/>
                <w:sz w:val="20"/>
                <w:szCs w:val="20"/>
              </w:rPr>
              <w:t> </w:t>
            </w:r>
          </w:p>
        </w:tc>
      </w:tr>
    </w:tbl>
    <w:p w14:paraId="09203C23" w14:textId="77777777" w:rsidR="00DD002E" w:rsidRPr="00597D3D" w:rsidRDefault="00DD002E" w:rsidP="00DD002E">
      <w:pPr>
        <w:keepNext/>
        <w:rPr>
          <w:rFonts w:ascii="Arial Narrow" w:hAnsi="Arial Narrow" w:cs="Segoe UI"/>
          <w:sz w:val="18"/>
          <w:szCs w:val="18"/>
        </w:rPr>
      </w:pPr>
      <w:r w:rsidRPr="00597D3D">
        <w:rPr>
          <w:rFonts w:ascii="Arial Narrow" w:hAnsi="Arial Narrow" w:cs="Calibri"/>
          <w:sz w:val="18"/>
          <w:szCs w:val="18"/>
          <w:lang w:val="en-US"/>
        </w:rPr>
        <w:t xml:space="preserve">Source: Table 2.4-4, p28 , ATAGI Advice. </w:t>
      </w:r>
    </w:p>
    <w:p w14:paraId="34AFCC94" w14:textId="77777777" w:rsidR="00DD002E" w:rsidRPr="00597D3D" w:rsidRDefault="00DD002E" w:rsidP="00DD002E">
      <w:pPr>
        <w:keepNext/>
        <w:rPr>
          <w:rFonts w:ascii="Arial Narrow" w:hAnsi="Arial Narrow" w:cs="Calibri"/>
          <w:sz w:val="18"/>
          <w:szCs w:val="18"/>
        </w:rPr>
      </w:pPr>
      <w:r w:rsidRPr="00597D3D">
        <w:rPr>
          <w:rFonts w:ascii="Arial Narrow" w:hAnsi="Arial Narrow" w:cs="Calibri"/>
          <w:sz w:val="18"/>
          <w:szCs w:val="18"/>
          <w:lang w:val="en-US"/>
        </w:rPr>
        <w:t>Ratios of point estimates (15vPCV/13vPCV) were calculated by ATAGI evaluators, as a proxy indication of relative immunogenicity. </w:t>
      </w:r>
    </w:p>
    <w:p w14:paraId="574816A4" w14:textId="77777777" w:rsidR="00DD002E" w:rsidRPr="00697203" w:rsidRDefault="00DD002E" w:rsidP="00DD002E">
      <w:pPr>
        <w:keepNext/>
        <w:spacing w:after="120"/>
        <w:rPr>
          <w:lang w:val="en-US"/>
        </w:rPr>
      </w:pPr>
      <w:r w:rsidRPr="00597D3D">
        <w:rPr>
          <w:rFonts w:ascii="Arial Narrow" w:hAnsi="Arial Narrow" w:cs="Calibri"/>
          <w:sz w:val="18"/>
          <w:szCs w:val="18"/>
          <w:lang w:val="en-US"/>
        </w:rPr>
        <w:t>Ratio: </w:t>
      </w:r>
      <w:r w:rsidRPr="00617D8F">
        <w:rPr>
          <w:rFonts w:ascii="Arial Narrow" w:hAnsi="Arial Narrow" w:cs="Calibri"/>
          <w:color w:val="E36C0A" w:themeColor="accent6" w:themeShade="BF"/>
          <w:sz w:val="18"/>
          <w:szCs w:val="18"/>
          <w:lang w:val="en-US"/>
        </w:rPr>
        <w:t>Orange indicates ratio is &gt;0.5 to ≤0.67</w:t>
      </w:r>
      <w:r w:rsidRPr="00597D3D">
        <w:rPr>
          <w:rFonts w:ascii="Arial Narrow" w:hAnsi="Arial Narrow" w:cs="Calibri"/>
          <w:sz w:val="18"/>
          <w:szCs w:val="18"/>
          <w:lang w:val="en-US"/>
        </w:rPr>
        <w:t xml:space="preserve">, </w:t>
      </w:r>
      <w:r w:rsidRPr="00617D8F">
        <w:rPr>
          <w:rFonts w:ascii="Arial Narrow" w:hAnsi="Arial Narrow" w:cs="Calibri"/>
          <w:color w:val="FF0000"/>
          <w:sz w:val="18"/>
          <w:szCs w:val="18"/>
          <w:lang w:val="en-US"/>
        </w:rPr>
        <w:t>red ≤0.5, favouring 13vPCV</w:t>
      </w:r>
      <w:r w:rsidRPr="00597D3D">
        <w:rPr>
          <w:rFonts w:ascii="Arial Narrow" w:hAnsi="Arial Narrow" w:cs="Calibri"/>
          <w:sz w:val="18"/>
          <w:szCs w:val="18"/>
          <w:lang w:val="en-US"/>
        </w:rPr>
        <w:t xml:space="preserve">. </w:t>
      </w:r>
      <w:r w:rsidRPr="00617D8F">
        <w:rPr>
          <w:rFonts w:ascii="Arial Narrow" w:hAnsi="Arial Narrow" w:cs="Calibri"/>
          <w:color w:val="31849B" w:themeColor="accent5" w:themeShade="BF"/>
          <w:sz w:val="18"/>
          <w:szCs w:val="18"/>
          <w:lang w:val="en-US"/>
        </w:rPr>
        <w:t>Blue indicates ratio &gt;1.5, favouring 15vPCV</w:t>
      </w:r>
      <w:r w:rsidRPr="00597D3D">
        <w:rPr>
          <w:rFonts w:ascii="Arial Narrow" w:hAnsi="Arial Narrow" w:cs="Calibri"/>
          <w:sz w:val="18"/>
          <w:szCs w:val="18"/>
          <w:lang w:val="en-US"/>
        </w:rPr>
        <w:t>. These levels are used only to indicate ratios that are moderately lower or higher than 1.</w:t>
      </w:r>
    </w:p>
    <w:p w14:paraId="0399795C" w14:textId="0ED70836" w:rsidR="00DD002E" w:rsidRDefault="00DD002E" w:rsidP="00DD002E">
      <w:pPr>
        <w:pStyle w:val="3-BodyText"/>
      </w:pPr>
      <w:r>
        <w:t xml:space="preserve">The Forest plots for the results for </w:t>
      </w:r>
      <w:r w:rsidRPr="00473219">
        <w:t>the proportion of participants with IgG</w:t>
      </w:r>
      <w:r>
        <w:t xml:space="preserve"> </w:t>
      </w:r>
      <w:r w:rsidRPr="00473219">
        <w:t>≥ 0.35</w:t>
      </w:r>
      <w:r w:rsidRPr="00D8007D">
        <w:t xml:space="preserve"> </w:t>
      </w:r>
      <w:r w:rsidRPr="00473219">
        <w:t>µg/m</w:t>
      </w:r>
      <w:r>
        <w:t>L</w:t>
      </w:r>
      <w:r w:rsidRPr="00473219">
        <w:t xml:space="preserve"> at 30 days post toddler dose</w:t>
      </w:r>
      <w:r>
        <w:t xml:space="preserve"> are shown in </w:t>
      </w:r>
      <w:r>
        <w:fldChar w:fldCharType="begin"/>
      </w:r>
      <w:r>
        <w:instrText xml:space="preserve"> REF _Ref124583496 \h </w:instrText>
      </w:r>
      <w:r>
        <w:fldChar w:fldCharType="separate"/>
      </w:r>
      <w:r w:rsidR="009E7289">
        <w:t xml:space="preserve">Figure </w:t>
      </w:r>
      <w:r w:rsidR="009E7289">
        <w:rPr>
          <w:noProof/>
        </w:rPr>
        <w:t>1</w:t>
      </w:r>
      <w:r>
        <w:fldChar w:fldCharType="end"/>
      </w:r>
      <w:r>
        <w:t xml:space="preserve"> (Study P025), </w:t>
      </w:r>
      <w:r>
        <w:fldChar w:fldCharType="begin"/>
      </w:r>
      <w:r>
        <w:instrText xml:space="preserve"> REF _Ref124583499 \h </w:instrText>
      </w:r>
      <w:r>
        <w:fldChar w:fldCharType="separate"/>
      </w:r>
      <w:r w:rsidR="009E7289">
        <w:t xml:space="preserve">Figure </w:t>
      </w:r>
      <w:r w:rsidR="009E7289">
        <w:rPr>
          <w:noProof/>
        </w:rPr>
        <w:t>2</w:t>
      </w:r>
      <w:r>
        <w:fldChar w:fldCharType="end"/>
      </w:r>
      <w:r>
        <w:t xml:space="preserve"> (Study P026) and </w:t>
      </w:r>
      <w:r>
        <w:fldChar w:fldCharType="begin"/>
      </w:r>
      <w:r>
        <w:instrText xml:space="preserve"> REF _Ref124583502 \h </w:instrText>
      </w:r>
      <w:r>
        <w:fldChar w:fldCharType="separate"/>
      </w:r>
      <w:r w:rsidR="009E7289">
        <w:t xml:space="preserve">Figure </w:t>
      </w:r>
      <w:r w:rsidR="009E7289">
        <w:rPr>
          <w:noProof/>
        </w:rPr>
        <w:t>3</w:t>
      </w:r>
      <w:r>
        <w:fldChar w:fldCharType="end"/>
      </w:r>
      <w:r>
        <w:t xml:space="preserve"> (Study P029).</w:t>
      </w:r>
    </w:p>
    <w:p w14:paraId="31D1617D" w14:textId="77777777" w:rsidR="00DD002E" w:rsidRDefault="00DD002E" w:rsidP="00DD002E">
      <w:pPr>
        <w:pStyle w:val="3-BodyText"/>
      </w:pPr>
      <w:r>
        <w:t xml:space="preserve">The ATAGI advice noted that the immune response to concomitant vaccines were not altered with 15vPCV compared to 13vPCV. </w:t>
      </w:r>
    </w:p>
    <w:p w14:paraId="4895D28C" w14:textId="77777777" w:rsidR="00DD002E" w:rsidRDefault="00DD002E" w:rsidP="00DD002E">
      <w:pPr>
        <w:pStyle w:val="3-BodyText"/>
        <w:numPr>
          <w:ilvl w:val="0"/>
          <w:numId w:val="0"/>
        </w:numPr>
        <w:ind w:left="720"/>
      </w:pPr>
    </w:p>
    <w:p w14:paraId="36BB3268" w14:textId="77777777" w:rsidR="00DD002E" w:rsidRDefault="00DD002E" w:rsidP="00DD002E">
      <w:pPr>
        <w:jc w:val="left"/>
        <w:rPr>
          <w:rFonts w:ascii="Arial Narrow" w:hAnsi="Arial Narrow"/>
          <w:b/>
          <w:bCs/>
          <w:sz w:val="20"/>
          <w:szCs w:val="18"/>
        </w:rPr>
      </w:pPr>
      <w:bookmarkStart w:id="26" w:name="_Ref122088940"/>
      <w:r>
        <w:br w:type="page"/>
      </w:r>
    </w:p>
    <w:p w14:paraId="468988B0" w14:textId="40F8A917" w:rsidR="00DD002E" w:rsidRDefault="00DD002E" w:rsidP="00DD002E">
      <w:pPr>
        <w:pStyle w:val="Caption"/>
      </w:pPr>
      <w:bookmarkStart w:id="27" w:name="_Ref124583496"/>
      <w:bookmarkEnd w:id="26"/>
      <w:r>
        <w:lastRenderedPageBreak/>
        <w:t xml:space="preserve">Figure </w:t>
      </w:r>
      <w:r w:rsidR="009E7289">
        <w:fldChar w:fldCharType="begin"/>
      </w:r>
      <w:r w:rsidR="009E7289">
        <w:instrText xml:space="preserve"> SEQ Figure \* ARABIC </w:instrText>
      </w:r>
      <w:r w:rsidR="009E7289">
        <w:fldChar w:fldCharType="separate"/>
      </w:r>
      <w:r w:rsidR="009E7289">
        <w:rPr>
          <w:noProof/>
        </w:rPr>
        <w:t>1</w:t>
      </w:r>
      <w:r w:rsidR="009E7289">
        <w:rPr>
          <w:noProof/>
        </w:rPr>
        <w:fldChar w:fldCharType="end"/>
      </w:r>
      <w:bookmarkEnd w:id="27"/>
      <w:r>
        <w:t>: Forest Plot of IgG GMC Ratios at 30 days post dose 3 (per protocol population): Study P025</w:t>
      </w:r>
    </w:p>
    <w:p w14:paraId="254D97AA" w14:textId="77777777" w:rsidR="00DD002E" w:rsidRPr="00413E4A" w:rsidRDefault="00DD002E" w:rsidP="00DD002E">
      <w:r w:rsidRPr="00FC51BD">
        <w:rPr>
          <w:noProof/>
        </w:rPr>
        <w:drawing>
          <wp:inline distT="0" distB="0" distL="0" distR="0" wp14:anchorId="0245EA9C" wp14:editId="4F460A02">
            <wp:extent cx="4527550" cy="4597587"/>
            <wp:effectExtent l="0" t="0" r="6350" b="0"/>
            <wp:docPr id="35" name="Picture 35" descr="Figure 1: Forest Plot of IgG GMC Ratios at 30 days post dose 3 (per protocol population): Study P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1: Forest Plot of IgG GMC Ratios at 30 days post dose 3 (per protocol population): Study P025"/>
                    <pic:cNvPicPr/>
                  </pic:nvPicPr>
                  <pic:blipFill>
                    <a:blip r:embed="rId8">
                      <a:extLst>
                        <a:ext uri="{28A0092B-C50C-407E-A947-70E740481C1C}">
                          <a14:useLocalDpi xmlns:a14="http://schemas.microsoft.com/office/drawing/2010/main" val="0"/>
                        </a:ext>
                      </a:extLst>
                    </a:blip>
                    <a:stretch>
                      <a:fillRect/>
                    </a:stretch>
                  </pic:blipFill>
                  <pic:spPr>
                    <a:xfrm>
                      <a:off x="0" y="0"/>
                      <a:ext cx="4527550" cy="4597587"/>
                    </a:xfrm>
                    <a:prstGeom prst="rect">
                      <a:avLst/>
                    </a:prstGeom>
                  </pic:spPr>
                </pic:pic>
              </a:graphicData>
            </a:graphic>
          </wp:inline>
        </w:drawing>
      </w:r>
    </w:p>
    <w:p w14:paraId="2CC0126D" w14:textId="77777777" w:rsidR="00DD002E" w:rsidRDefault="00DD002E" w:rsidP="00DD002E">
      <w:pPr>
        <w:pStyle w:val="FooterTableFigure"/>
      </w:pPr>
      <w:bookmarkStart w:id="28" w:name="_Toc117588503"/>
      <w:r>
        <w:t>Source: Figure 14.2-2 P025, CSR</w:t>
      </w:r>
    </w:p>
    <w:p w14:paraId="5F8FA5E1" w14:textId="77777777" w:rsidR="00DD002E" w:rsidRDefault="00DD002E" w:rsidP="00DD002E">
      <w:pPr>
        <w:pStyle w:val="FooterTableFigure"/>
      </w:pPr>
      <w:r w:rsidRPr="003008C6">
        <w:t>GMC = geometric mean concentration; V114  = 15vPCV; Prevenar  = 13vPCV</w:t>
      </w:r>
    </w:p>
    <w:p w14:paraId="24DB911E" w14:textId="77777777" w:rsidR="00DD002E" w:rsidRDefault="00DD002E" w:rsidP="00DD002E">
      <w:pPr>
        <w:jc w:val="left"/>
        <w:rPr>
          <w:rFonts w:ascii="Arial Narrow" w:hAnsi="Arial Narrow"/>
          <w:snapToGrid w:val="0"/>
          <w:sz w:val="18"/>
          <w:szCs w:val="22"/>
        </w:rPr>
      </w:pPr>
      <w:r>
        <w:br w:type="page"/>
      </w:r>
    </w:p>
    <w:p w14:paraId="165AE05A" w14:textId="6B54A6CC" w:rsidR="00DD002E" w:rsidRDefault="00DD002E" w:rsidP="00DD002E">
      <w:pPr>
        <w:pStyle w:val="Caption"/>
      </w:pPr>
      <w:bookmarkStart w:id="29" w:name="_Ref124583499"/>
      <w:r>
        <w:lastRenderedPageBreak/>
        <w:t xml:space="preserve">Figure </w:t>
      </w:r>
      <w:r w:rsidR="009E7289">
        <w:fldChar w:fldCharType="begin"/>
      </w:r>
      <w:r w:rsidR="009E7289">
        <w:instrText xml:space="preserve"> SEQ Figure \* ARABIC </w:instrText>
      </w:r>
      <w:r w:rsidR="009E7289">
        <w:fldChar w:fldCharType="separate"/>
      </w:r>
      <w:r w:rsidR="009E7289">
        <w:rPr>
          <w:noProof/>
        </w:rPr>
        <w:t>2</w:t>
      </w:r>
      <w:r w:rsidR="009E7289">
        <w:rPr>
          <w:noProof/>
        </w:rPr>
        <w:fldChar w:fldCharType="end"/>
      </w:r>
      <w:bookmarkEnd w:id="29"/>
      <w:r>
        <w:t>: Forest Plot of IgG GMC Ratios at 30 days post dose 3 (per protocol population) (P026)</w:t>
      </w:r>
    </w:p>
    <w:p w14:paraId="375D95DE" w14:textId="77777777" w:rsidR="00DD002E" w:rsidRDefault="00DD002E" w:rsidP="00DD002E">
      <w:pPr>
        <w:pStyle w:val="FooterTableFigure"/>
      </w:pPr>
      <w:r w:rsidRPr="00FC51BD">
        <w:rPr>
          <w:noProof/>
        </w:rPr>
        <w:drawing>
          <wp:inline distT="0" distB="0" distL="0" distR="0" wp14:anchorId="4CFAD66E" wp14:editId="4E01136D">
            <wp:extent cx="4632960" cy="4502785"/>
            <wp:effectExtent l="0" t="0" r="0" b="0"/>
            <wp:docPr id="19" name="Picture 19" descr="Figure 2: Forest Plot of IgG GMC Ratios at 30 days post dose 3 (per protocol population) (P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2: Forest Plot of IgG GMC Ratios at 30 days post dose 3 (per protocol population) (P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960" cy="4502785"/>
                    </a:xfrm>
                    <a:prstGeom prst="rect">
                      <a:avLst/>
                    </a:prstGeom>
                    <a:noFill/>
                  </pic:spPr>
                </pic:pic>
              </a:graphicData>
            </a:graphic>
          </wp:inline>
        </w:drawing>
      </w:r>
    </w:p>
    <w:p w14:paraId="1C4B2FD4" w14:textId="77777777" w:rsidR="00DD002E" w:rsidRDefault="00DD002E" w:rsidP="00DD002E">
      <w:pPr>
        <w:pStyle w:val="FooterTableFigure"/>
      </w:pPr>
      <w:r>
        <w:t>Source: Figure 14.2-2 P026, CSR</w:t>
      </w:r>
    </w:p>
    <w:p w14:paraId="0B76AB1D" w14:textId="77777777" w:rsidR="00DD002E" w:rsidRDefault="00DD002E" w:rsidP="00DD002E">
      <w:pPr>
        <w:pStyle w:val="FooterTableFigure"/>
      </w:pPr>
      <w:r w:rsidRPr="003008C6">
        <w:t>GMC = geometric mean concentration; V114  = 15vPCV; Prevenar  = 13vPCV</w:t>
      </w:r>
      <w:bookmarkStart w:id="30" w:name="_Ref122088955"/>
    </w:p>
    <w:p w14:paraId="7D1E9AA0" w14:textId="40BBB685" w:rsidR="00DD002E" w:rsidRDefault="00DD002E" w:rsidP="00DD002E">
      <w:pPr>
        <w:pStyle w:val="Caption"/>
      </w:pPr>
      <w:bookmarkStart w:id="31" w:name="_Ref124583502"/>
      <w:r>
        <w:lastRenderedPageBreak/>
        <w:t xml:space="preserve">Figure </w:t>
      </w:r>
      <w:r w:rsidR="009E7289">
        <w:fldChar w:fldCharType="begin"/>
      </w:r>
      <w:r w:rsidR="009E7289">
        <w:instrText xml:space="preserve"> SEQ Figure \* ARABIC </w:instrText>
      </w:r>
      <w:r w:rsidR="009E7289">
        <w:fldChar w:fldCharType="separate"/>
      </w:r>
      <w:r w:rsidR="009E7289">
        <w:rPr>
          <w:noProof/>
        </w:rPr>
        <w:t>3</w:t>
      </w:r>
      <w:r w:rsidR="009E7289">
        <w:rPr>
          <w:noProof/>
        </w:rPr>
        <w:fldChar w:fldCharType="end"/>
      </w:r>
      <w:bookmarkEnd w:id="30"/>
      <w:bookmarkEnd w:id="31"/>
      <w:r>
        <w:t xml:space="preserve">: </w:t>
      </w:r>
      <w:r w:rsidRPr="00FC51BD">
        <w:t xml:space="preserve">Forest plot of IgG GMCs Ratios at 30 Days </w:t>
      </w:r>
      <w:r>
        <w:t>p</w:t>
      </w:r>
      <w:r w:rsidRPr="00FC51BD">
        <w:t>ost dose 3 and post dose 4 (</w:t>
      </w:r>
      <w:r>
        <w:t>p</w:t>
      </w:r>
      <w:r w:rsidRPr="00FC51BD">
        <w:t>er protocol population)</w:t>
      </w:r>
    </w:p>
    <w:p w14:paraId="1A1EE849" w14:textId="77777777" w:rsidR="00DD002E" w:rsidRPr="00AE1734" w:rsidRDefault="00DD002E" w:rsidP="00DD002E">
      <w:pPr>
        <w:pStyle w:val="Caption"/>
      </w:pPr>
      <w:r w:rsidRPr="00FC51BD">
        <w:t xml:space="preserve"> P029</w:t>
      </w:r>
      <w:bookmarkEnd w:id="28"/>
      <w:r w:rsidRPr="00FC51BD">
        <w:tab/>
        <w:t>Post dose 4</w:t>
      </w:r>
    </w:p>
    <w:p w14:paraId="2EC1EB3F" w14:textId="77777777" w:rsidR="00DD002E" w:rsidRPr="00FC51BD" w:rsidRDefault="00DD002E" w:rsidP="00DD002E">
      <w:r w:rsidRPr="00FC51BD">
        <w:rPr>
          <w:noProof/>
        </w:rPr>
        <w:drawing>
          <wp:inline distT="0" distB="0" distL="0" distR="0" wp14:anchorId="1A5311CB" wp14:editId="7FDE6060">
            <wp:extent cx="5579533" cy="4161954"/>
            <wp:effectExtent l="0" t="0" r="0" b="3810"/>
            <wp:docPr id="27" name="Picture 27" descr="Figure 3: Forest plot of IgG GMCs Ratios at 30 Days post dose 3 and post dose 4 (per protocol population)&#10; P029 Post dose 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3: Forest plot of IgG GMCs Ratios at 30 Days post dose 3 and post dose 4 (per protocol population)&#10; P029 Post dose 4&#10;&#10;"/>
                    <pic:cNvPicPr/>
                  </pic:nvPicPr>
                  <pic:blipFill>
                    <a:blip r:embed="rId10"/>
                    <a:stretch>
                      <a:fillRect/>
                    </a:stretch>
                  </pic:blipFill>
                  <pic:spPr>
                    <a:xfrm>
                      <a:off x="0" y="0"/>
                      <a:ext cx="5634974" cy="4203309"/>
                    </a:xfrm>
                    <a:prstGeom prst="rect">
                      <a:avLst/>
                    </a:prstGeom>
                  </pic:spPr>
                </pic:pic>
              </a:graphicData>
            </a:graphic>
          </wp:inline>
        </w:drawing>
      </w:r>
    </w:p>
    <w:p w14:paraId="606AA89A" w14:textId="77777777" w:rsidR="00DD002E" w:rsidRDefault="00DD002E" w:rsidP="00DD002E">
      <w:pPr>
        <w:pStyle w:val="TableFigureFooter"/>
      </w:pPr>
      <w:r w:rsidRPr="00FC51BD">
        <w:t>Source: Figure 14.2-2, 14.2-7 P029 CSR</w:t>
      </w:r>
      <w:r>
        <w:t>.</w:t>
      </w:r>
      <w:r w:rsidRPr="00FC51BD">
        <w:t xml:space="preserve"> </w:t>
      </w:r>
    </w:p>
    <w:p w14:paraId="76D2F82E" w14:textId="77777777" w:rsidR="00DD002E" w:rsidRDefault="00DD002E" w:rsidP="00DD002E">
      <w:pPr>
        <w:pStyle w:val="TableFigureFooter"/>
      </w:pPr>
      <w:r w:rsidRPr="00FC51BD">
        <w:t xml:space="preserve">Note: 22F and 33F are compared on the basis of non-inferiority to </w:t>
      </w:r>
      <w:r>
        <w:t>13vPCV</w:t>
      </w:r>
      <w:r w:rsidRPr="00FC51BD">
        <w:t xml:space="preserve"> serotype 4 post dose 3, the lowest responding </w:t>
      </w:r>
      <w:r>
        <w:t>13vPCV</w:t>
      </w:r>
      <w:r w:rsidRPr="00FC51BD">
        <w:t xml:space="preserve"> serotype excluding serotype 3</w:t>
      </w:r>
      <w:r>
        <w:t>.</w:t>
      </w:r>
      <w:r w:rsidRPr="00FC51BD">
        <w:t xml:space="preserve"> </w:t>
      </w:r>
    </w:p>
    <w:p w14:paraId="1687ED8E" w14:textId="77777777" w:rsidR="00DD002E" w:rsidRDefault="00DD002E" w:rsidP="00DD002E">
      <w:pPr>
        <w:pStyle w:val="TableFigureFooter"/>
      </w:pPr>
      <w:r>
        <w:t>GMC = geometric mean concentration; V114 = 15vPCV; Prevenar  = 13vPCV.</w:t>
      </w:r>
    </w:p>
    <w:p w14:paraId="77B12957" w14:textId="3EBEAFFA" w:rsidR="00DD002E" w:rsidRDefault="00DD002E" w:rsidP="00DD002E">
      <w:pPr>
        <w:pStyle w:val="3-BodyText"/>
      </w:pPr>
      <w:r>
        <w:t xml:space="preserve">The ATAGI advice also noted that there were no key differences between the Australian setting and the trial setting that would influence the immunogenicity results. </w:t>
      </w:r>
    </w:p>
    <w:p w14:paraId="628BD6C1" w14:textId="77777777" w:rsidR="00DD002E" w:rsidRPr="00C9624D" w:rsidRDefault="00DD002E" w:rsidP="00DD002E">
      <w:pPr>
        <w:pStyle w:val="4-SubsectionHeading"/>
      </w:pPr>
      <w:bookmarkStart w:id="32" w:name="_Toc22897642"/>
      <w:bookmarkStart w:id="33" w:name="_Toc124765894"/>
      <w:r w:rsidRPr="00C9624D">
        <w:t>Comparative harms</w:t>
      </w:r>
      <w:bookmarkEnd w:id="32"/>
      <w:bookmarkEnd w:id="33"/>
    </w:p>
    <w:p w14:paraId="29BA9689" w14:textId="62036551" w:rsidR="00DD002E" w:rsidRPr="00E53E86" w:rsidRDefault="00DD002E" w:rsidP="00DD002E">
      <w:pPr>
        <w:pStyle w:val="3-BodyText"/>
        <w:rPr>
          <w:color w:val="0066FF"/>
        </w:rPr>
      </w:pPr>
      <w:r w:rsidRPr="00E53E86">
        <w:t xml:space="preserve">The adverse event as reported in the trials are summarised in </w:t>
      </w:r>
      <w:r w:rsidRPr="00E53E86">
        <w:fldChar w:fldCharType="begin"/>
      </w:r>
      <w:r w:rsidRPr="00E53E86">
        <w:instrText xml:space="preserve"> REF _Ref119657372 \h  \* MERGEFORMAT </w:instrText>
      </w:r>
      <w:r w:rsidRPr="00E53E86">
        <w:fldChar w:fldCharType="separate"/>
      </w:r>
      <w:r w:rsidR="009E7289">
        <w:t xml:space="preserve">Table </w:t>
      </w:r>
      <w:r w:rsidR="009E7289">
        <w:rPr>
          <w:noProof/>
        </w:rPr>
        <w:t>6</w:t>
      </w:r>
      <w:r w:rsidRPr="00E53E86">
        <w:fldChar w:fldCharType="end"/>
      </w:r>
      <w:r w:rsidRPr="00E53E86">
        <w:t xml:space="preserve">. </w:t>
      </w:r>
    </w:p>
    <w:p w14:paraId="762DD93D" w14:textId="5E697173" w:rsidR="00DD002E" w:rsidRPr="006424CB" w:rsidRDefault="00DD002E" w:rsidP="00DD002E">
      <w:pPr>
        <w:pStyle w:val="TableFigureHeading"/>
        <w:keepLines/>
      </w:pPr>
      <w:bookmarkStart w:id="34" w:name="_Ref119657372"/>
      <w:r>
        <w:lastRenderedPageBreak/>
        <w:t xml:space="preserve">Table </w:t>
      </w:r>
      <w:r w:rsidR="009E7289">
        <w:fldChar w:fldCharType="begin"/>
      </w:r>
      <w:r w:rsidR="009E7289">
        <w:instrText xml:space="preserve"> SEQ Table \* ARABIC </w:instrText>
      </w:r>
      <w:r w:rsidR="009E7289">
        <w:fldChar w:fldCharType="separate"/>
      </w:r>
      <w:r w:rsidR="009E7289">
        <w:rPr>
          <w:noProof/>
        </w:rPr>
        <w:t>6</w:t>
      </w:r>
      <w:r w:rsidR="009E7289">
        <w:rPr>
          <w:noProof/>
        </w:rPr>
        <w:fldChar w:fldCharType="end"/>
      </w:r>
      <w:bookmarkEnd w:id="34"/>
      <w:r>
        <w:t xml:space="preserve">: </w:t>
      </w:r>
      <w:r w:rsidRPr="00D86231">
        <w:rPr>
          <w:rStyle w:val="CommentReference"/>
          <w:b/>
          <w:szCs w:val="24"/>
        </w:rPr>
        <w:t>Summary of key adverse events in the trials</w:t>
      </w:r>
    </w:p>
    <w:tbl>
      <w:tblPr>
        <w:tblStyle w:val="TableGrid"/>
        <w:tblW w:w="5000" w:type="pct"/>
        <w:tblLook w:val="04A0" w:firstRow="1" w:lastRow="0" w:firstColumn="1" w:lastColumn="0" w:noHBand="0" w:noVBand="1"/>
      </w:tblPr>
      <w:tblGrid>
        <w:gridCol w:w="608"/>
        <w:gridCol w:w="1614"/>
        <w:gridCol w:w="1069"/>
        <w:gridCol w:w="1145"/>
        <w:gridCol w:w="1151"/>
        <w:gridCol w:w="1149"/>
        <w:gridCol w:w="1138"/>
        <w:gridCol w:w="1143"/>
      </w:tblGrid>
      <w:tr w:rsidR="00DD002E" w:rsidRPr="00120322" w14:paraId="2FD887E1" w14:textId="77777777" w:rsidTr="00632A30">
        <w:trPr>
          <w:tblHeader/>
        </w:trPr>
        <w:tc>
          <w:tcPr>
            <w:tcW w:w="1232" w:type="pct"/>
            <w:gridSpan w:val="2"/>
          </w:tcPr>
          <w:p w14:paraId="57F3E056" w14:textId="77777777" w:rsidR="00DD002E" w:rsidRPr="00120322" w:rsidRDefault="00DD002E" w:rsidP="00632A30">
            <w:pPr>
              <w:pStyle w:val="PBACTableText"/>
              <w:keepNext/>
              <w:keepLines/>
              <w:spacing w:before="0" w:after="0"/>
            </w:pPr>
          </w:p>
        </w:tc>
        <w:tc>
          <w:tcPr>
            <w:tcW w:w="593" w:type="pct"/>
          </w:tcPr>
          <w:p w14:paraId="41F221BA" w14:textId="77777777" w:rsidR="00DD002E" w:rsidRDefault="00DD002E" w:rsidP="00632A30">
            <w:pPr>
              <w:pStyle w:val="PBACTableText"/>
              <w:keepNext/>
              <w:keepLines/>
              <w:spacing w:before="0" w:after="0"/>
              <w:rPr>
                <w:b/>
              </w:rPr>
            </w:pPr>
            <w:r w:rsidRPr="00120322">
              <w:rPr>
                <w:b/>
              </w:rPr>
              <w:t xml:space="preserve">Any AE, </w:t>
            </w:r>
          </w:p>
          <w:p w14:paraId="0104B849" w14:textId="77777777" w:rsidR="00DD002E" w:rsidRPr="00120322" w:rsidRDefault="00DD002E" w:rsidP="00632A30">
            <w:pPr>
              <w:pStyle w:val="PBACTableText"/>
              <w:keepNext/>
              <w:keepLines/>
              <w:spacing w:before="0" w:after="0"/>
              <w:rPr>
                <w:b/>
              </w:rPr>
            </w:pPr>
            <w:r w:rsidRPr="00120322">
              <w:rPr>
                <w:b/>
              </w:rPr>
              <w:t>n (%)</w:t>
            </w:r>
          </w:p>
        </w:tc>
        <w:tc>
          <w:tcPr>
            <w:tcW w:w="635" w:type="pct"/>
          </w:tcPr>
          <w:p w14:paraId="2D1E8896" w14:textId="77777777" w:rsidR="00DD002E" w:rsidRDefault="00DD002E" w:rsidP="00632A30">
            <w:pPr>
              <w:pStyle w:val="PBACTableText"/>
              <w:keepNext/>
              <w:keepLines/>
              <w:spacing w:before="0" w:after="0"/>
              <w:rPr>
                <w:b/>
              </w:rPr>
            </w:pPr>
            <w:r w:rsidRPr="00120322">
              <w:rPr>
                <w:b/>
              </w:rPr>
              <w:t xml:space="preserve">Any injection-site reaction </w:t>
            </w:r>
          </w:p>
          <w:p w14:paraId="076AA196" w14:textId="77777777" w:rsidR="00DD002E" w:rsidRPr="00120322" w:rsidRDefault="00DD002E" w:rsidP="00632A30">
            <w:pPr>
              <w:pStyle w:val="PBACTableText"/>
              <w:keepNext/>
              <w:keepLines/>
              <w:spacing w:before="0" w:after="0"/>
              <w:rPr>
                <w:b/>
              </w:rPr>
            </w:pPr>
            <w:r w:rsidRPr="00120322">
              <w:rPr>
                <w:b/>
              </w:rPr>
              <w:t>n (%)</w:t>
            </w:r>
          </w:p>
        </w:tc>
        <w:tc>
          <w:tcPr>
            <w:tcW w:w="638" w:type="pct"/>
          </w:tcPr>
          <w:p w14:paraId="20C5B439" w14:textId="77777777" w:rsidR="00DD002E" w:rsidRDefault="00DD002E" w:rsidP="00632A30">
            <w:pPr>
              <w:pStyle w:val="PBACTableText"/>
              <w:keepNext/>
              <w:keepLines/>
              <w:spacing w:before="0" w:after="0"/>
              <w:rPr>
                <w:b/>
              </w:rPr>
            </w:pPr>
            <w:r w:rsidRPr="00120322">
              <w:rPr>
                <w:b/>
              </w:rPr>
              <w:t>Injection site pain</w:t>
            </w:r>
          </w:p>
          <w:p w14:paraId="5B9FBDCB" w14:textId="77777777" w:rsidR="00DD002E" w:rsidRPr="00120322" w:rsidRDefault="00DD002E" w:rsidP="00632A30">
            <w:pPr>
              <w:pStyle w:val="PBACTableText"/>
              <w:keepNext/>
              <w:keepLines/>
              <w:spacing w:before="0" w:after="0"/>
              <w:rPr>
                <w:b/>
              </w:rPr>
            </w:pPr>
            <w:r w:rsidRPr="00120322">
              <w:rPr>
                <w:b/>
              </w:rPr>
              <w:t>n (%)</w:t>
            </w:r>
          </w:p>
        </w:tc>
        <w:tc>
          <w:tcPr>
            <w:tcW w:w="637" w:type="pct"/>
          </w:tcPr>
          <w:p w14:paraId="1A40F718" w14:textId="77777777" w:rsidR="00DD002E" w:rsidRDefault="00DD002E" w:rsidP="00632A30">
            <w:pPr>
              <w:pStyle w:val="PBACTableText"/>
              <w:keepNext/>
              <w:keepLines/>
              <w:spacing w:before="0" w:after="0"/>
              <w:rPr>
                <w:b/>
              </w:rPr>
            </w:pPr>
            <w:r w:rsidRPr="00120322">
              <w:rPr>
                <w:b/>
              </w:rPr>
              <w:t>Moderate or severe injection site pain</w:t>
            </w:r>
          </w:p>
          <w:p w14:paraId="49540386" w14:textId="77777777" w:rsidR="00DD002E" w:rsidRPr="00120322" w:rsidRDefault="00DD002E" w:rsidP="00632A30">
            <w:pPr>
              <w:pStyle w:val="PBACTableText"/>
              <w:keepNext/>
              <w:keepLines/>
              <w:spacing w:before="0" w:after="0"/>
              <w:rPr>
                <w:b/>
              </w:rPr>
            </w:pPr>
            <w:r w:rsidRPr="00120322">
              <w:rPr>
                <w:b/>
              </w:rPr>
              <w:t>n (%)</w:t>
            </w:r>
          </w:p>
        </w:tc>
        <w:tc>
          <w:tcPr>
            <w:tcW w:w="631" w:type="pct"/>
          </w:tcPr>
          <w:p w14:paraId="3718012C" w14:textId="77777777" w:rsidR="00DD002E" w:rsidRDefault="00DD002E" w:rsidP="00632A30">
            <w:pPr>
              <w:pStyle w:val="PBACTableText"/>
              <w:keepNext/>
              <w:keepLines/>
              <w:spacing w:before="0" w:after="0"/>
              <w:rPr>
                <w:b/>
              </w:rPr>
            </w:pPr>
            <w:r w:rsidRPr="00120322">
              <w:rPr>
                <w:b/>
              </w:rPr>
              <w:t>Systemic reactions</w:t>
            </w:r>
          </w:p>
          <w:p w14:paraId="2EF1D87E" w14:textId="77777777" w:rsidR="00DD002E" w:rsidRPr="00120322" w:rsidRDefault="00DD002E" w:rsidP="00632A30">
            <w:pPr>
              <w:pStyle w:val="PBACTableText"/>
              <w:keepNext/>
              <w:keepLines/>
              <w:spacing w:before="0" w:after="0"/>
              <w:rPr>
                <w:b/>
              </w:rPr>
            </w:pPr>
            <w:r w:rsidRPr="00120322">
              <w:rPr>
                <w:b/>
              </w:rPr>
              <w:t>n (%)</w:t>
            </w:r>
          </w:p>
        </w:tc>
        <w:tc>
          <w:tcPr>
            <w:tcW w:w="634" w:type="pct"/>
          </w:tcPr>
          <w:p w14:paraId="0F0B15A5" w14:textId="77777777" w:rsidR="00DD002E" w:rsidRDefault="00DD002E" w:rsidP="00632A30">
            <w:pPr>
              <w:pStyle w:val="PBACTableText"/>
              <w:keepNext/>
              <w:keepLines/>
              <w:spacing w:before="0" w:after="0"/>
              <w:rPr>
                <w:b/>
              </w:rPr>
            </w:pPr>
            <w:r w:rsidRPr="00120322">
              <w:rPr>
                <w:b/>
              </w:rPr>
              <w:t>Any SAE</w:t>
            </w:r>
          </w:p>
          <w:p w14:paraId="374A1370" w14:textId="77777777" w:rsidR="00DD002E" w:rsidRPr="00120322" w:rsidRDefault="00DD002E" w:rsidP="00632A30">
            <w:pPr>
              <w:pStyle w:val="PBACTableText"/>
              <w:keepNext/>
              <w:keepLines/>
              <w:spacing w:before="0" w:after="0"/>
              <w:rPr>
                <w:b/>
              </w:rPr>
            </w:pPr>
            <w:r w:rsidRPr="00120322">
              <w:rPr>
                <w:b/>
              </w:rPr>
              <w:t>n (%)</w:t>
            </w:r>
          </w:p>
        </w:tc>
      </w:tr>
      <w:tr w:rsidR="00DD002E" w:rsidRPr="00120322" w14:paraId="24AB1123" w14:textId="77777777" w:rsidTr="00632A30">
        <w:tc>
          <w:tcPr>
            <w:tcW w:w="337" w:type="pct"/>
            <w:vMerge w:val="restart"/>
          </w:tcPr>
          <w:p w14:paraId="20E19490" w14:textId="77777777" w:rsidR="00DD002E" w:rsidRPr="00120322" w:rsidRDefault="00DD002E" w:rsidP="00632A30">
            <w:pPr>
              <w:pStyle w:val="PBACTableText"/>
              <w:keepNext/>
              <w:keepLines/>
              <w:spacing w:before="0" w:after="0"/>
              <w:rPr>
                <w:b/>
              </w:rPr>
            </w:pPr>
            <w:r w:rsidRPr="00120322">
              <w:rPr>
                <w:b/>
              </w:rPr>
              <w:t>P025</w:t>
            </w:r>
          </w:p>
        </w:tc>
        <w:tc>
          <w:tcPr>
            <w:tcW w:w="895" w:type="pct"/>
          </w:tcPr>
          <w:p w14:paraId="090D1947" w14:textId="77777777" w:rsidR="00DD002E" w:rsidRPr="00120322" w:rsidRDefault="00DD002E" w:rsidP="00632A30">
            <w:pPr>
              <w:pStyle w:val="PBACTableText"/>
              <w:keepNext/>
              <w:keepLines/>
              <w:spacing w:before="0" w:after="0"/>
            </w:pPr>
            <w:r>
              <w:t xml:space="preserve">15vPCV, </w:t>
            </w:r>
            <w:r w:rsidRPr="00120322">
              <w:t>N = 587</w:t>
            </w:r>
          </w:p>
        </w:tc>
        <w:tc>
          <w:tcPr>
            <w:tcW w:w="593" w:type="pct"/>
          </w:tcPr>
          <w:p w14:paraId="568F7EC6" w14:textId="77777777" w:rsidR="00DD002E" w:rsidRPr="00120322" w:rsidRDefault="00DD002E" w:rsidP="00632A30">
            <w:pPr>
              <w:pStyle w:val="PBACTableText"/>
              <w:keepNext/>
              <w:keepLines/>
              <w:spacing w:before="0" w:after="0"/>
              <w:jc w:val="right"/>
            </w:pPr>
            <w:r w:rsidRPr="00120322">
              <w:t>555 (94.5)</w:t>
            </w:r>
          </w:p>
        </w:tc>
        <w:tc>
          <w:tcPr>
            <w:tcW w:w="635" w:type="pct"/>
          </w:tcPr>
          <w:p w14:paraId="59FF64CB" w14:textId="77777777" w:rsidR="00DD002E" w:rsidRPr="00120322" w:rsidRDefault="00DD002E" w:rsidP="00632A30">
            <w:pPr>
              <w:pStyle w:val="PBACTableText"/>
              <w:keepNext/>
              <w:keepLines/>
              <w:spacing w:before="0" w:after="0"/>
              <w:jc w:val="right"/>
            </w:pPr>
            <w:r w:rsidRPr="00120322">
              <w:t>427 (72.7)</w:t>
            </w:r>
          </w:p>
        </w:tc>
        <w:tc>
          <w:tcPr>
            <w:tcW w:w="638" w:type="pct"/>
          </w:tcPr>
          <w:p w14:paraId="35CAAB0B" w14:textId="77777777" w:rsidR="00DD002E" w:rsidRPr="00120322" w:rsidRDefault="00DD002E" w:rsidP="00632A30">
            <w:pPr>
              <w:pStyle w:val="PBACTableText"/>
              <w:keepNext/>
              <w:keepLines/>
              <w:spacing w:before="0" w:after="0"/>
              <w:jc w:val="right"/>
            </w:pPr>
            <w:r w:rsidRPr="00120322">
              <w:t>238 (40.5)</w:t>
            </w:r>
          </w:p>
        </w:tc>
        <w:tc>
          <w:tcPr>
            <w:tcW w:w="637" w:type="pct"/>
          </w:tcPr>
          <w:p w14:paraId="3B10A308" w14:textId="77777777" w:rsidR="00DD002E" w:rsidRPr="002C3837" w:rsidRDefault="00DD002E" w:rsidP="00632A30">
            <w:pPr>
              <w:pStyle w:val="PBACTableText"/>
              <w:keepNext/>
              <w:keepLines/>
              <w:spacing w:before="0" w:after="0"/>
              <w:jc w:val="right"/>
            </w:pPr>
            <w:r w:rsidRPr="002C3837">
              <w:t>138 (28.5)</w:t>
            </w:r>
          </w:p>
        </w:tc>
        <w:tc>
          <w:tcPr>
            <w:tcW w:w="631" w:type="pct"/>
          </w:tcPr>
          <w:p w14:paraId="084B422D" w14:textId="77777777" w:rsidR="00DD002E" w:rsidRPr="00120322" w:rsidRDefault="00DD002E" w:rsidP="00632A30">
            <w:pPr>
              <w:pStyle w:val="PBACTableText"/>
              <w:keepNext/>
              <w:keepLines/>
              <w:spacing w:before="0" w:after="0"/>
              <w:jc w:val="right"/>
            </w:pPr>
            <w:r w:rsidRPr="00120322">
              <w:t>536 (91.3)</w:t>
            </w:r>
          </w:p>
        </w:tc>
        <w:tc>
          <w:tcPr>
            <w:tcW w:w="634" w:type="pct"/>
          </w:tcPr>
          <w:p w14:paraId="4A366AC6" w14:textId="77777777" w:rsidR="00DD002E" w:rsidRPr="00120322" w:rsidRDefault="00DD002E" w:rsidP="00632A30">
            <w:pPr>
              <w:pStyle w:val="PBACTableText"/>
              <w:keepNext/>
              <w:keepLines/>
              <w:spacing w:before="0" w:after="0"/>
              <w:jc w:val="right"/>
            </w:pPr>
            <w:r w:rsidRPr="00120322">
              <w:t>57 (9.7)</w:t>
            </w:r>
          </w:p>
        </w:tc>
      </w:tr>
      <w:tr w:rsidR="00DD002E" w:rsidRPr="00120322" w14:paraId="2E143F7F" w14:textId="77777777" w:rsidTr="00632A30">
        <w:tc>
          <w:tcPr>
            <w:tcW w:w="337" w:type="pct"/>
            <w:vMerge/>
          </w:tcPr>
          <w:p w14:paraId="51BD3212" w14:textId="77777777" w:rsidR="00DD002E" w:rsidRPr="00120322" w:rsidRDefault="00DD002E" w:rsidP="00632A30">
            <w:pPr>
              <w:pStyle w:val="PBACTableText"/>
              <w:keepNext/>
              <w:keepLines/>
              <w:spacing w:before="0" w:after="0"/>
              <w:rPr>
                <w:b/>
              </w:rPr>
            </w:pPr>
          </w:p>
        </w:tc>
        <w:tc>
          <w:tcPr>
            <w:tcW w:w="895" w:type="pct"/>
          </w:tcPr>
          <w:p w14:paraId="6236CBE1" w14:textId="77777777" w:rsidR="00DD002E" w:rsidRPr="00120322" w:rsidRDefault="00DD002E" w:rsidP="00632A30">
            <w:pPr>
              <w:pStyle w:val="PBACTableText"/>
              <w:keepNext/>
              <w:keepLines/>
              <w:spacing w:before="0" w:after="0"/>
            </w:pPr>
            <w:r>
              <w:t xml:space="preserve">13vPCV, </w:t>
            </w:r>
            <w:r w:rsidRPr="00120322">
              <w:t>N = 591</w:t>
            </w:r>
          </w:p>
        </w:tc>
        <w:tc>
          <w:tcPr>
            <w:tcW w:w="593" w:type="pct"/>
          </w:tcPr>
          <w:p w14:paraId="6B3873CB" w14:textId="77777777" w:rsidR="00DD002E" w:rsidRPr="00120322" w:rsidRDefault="00DD002E" w:rsidP="00632A30">
            <w:pPr>
              <w:pStyle w:val="PBACTableText"/>
              <w:keepNext/>
              <w:keepLines/>
              <w:spacing w:before="0" w:after="0"/>
              <w:jc w:val="right"/>
            </w:pPr>
            <w:r w:rsidRPr="00120322">
              <w:t>550 (93.1)</w:t>
            </w:r>
          </w:p>
        </w:tc>
        <w:tc>
          <w:tcPr>
            <w:tcW w:w="635" w:type="pct"/>
          </w:tcPr>
          <w:p w14:paraId="6FBF12A7" w14:textId="77777777" w:rsidR="00DD002E" w:rsidRPr="00120322" w:rsidRDefault="00DD002E" w:rsidP="00632A30">
            <w:pPr>
              <w:pStyle w:val="PBACTableText"/>
              <w:keepNext/>
              <w:keepLines/>
              <w:spacing w:before="0" w:after="0"/>
              <w:jc w:val="right"/>
            </w:pPr>
            <w:r w:rsidRPr="00120322">
              <w:t>398 (67.3)</w:t>
            </w:r>
          </w:p>
        </w:tc>
        <w:tc>
          <w:tcPr>
            <w:tcW w:w="638" w:type="pct"/>
          </w:tcPr>
          <w:p w14:paraId="103B7DB1" w14:textId="77777777" w:rsidR="00DD002E" w:rsidRPr="00120322" w:rsidRDefault="00DD002E" w:rsidP="00632A30">
            <w:pPr>
              <w:pStyle w:val="PBACTableText"/>
              <w:keepNext/>
              <w:keepLines/>
              <w:spacing w:before="0" w:after="0"/>
              <w:jc w:val="right"/>
            </w:pPr>
            <w:r w:rsidRPr="00120322">
              <w:t>173</w:t>
            </w:r>
            <w:r>
              <w:t xml:space="preserve"> </w:t>
            </w:r>
            <w:r w:rsidRPr="00120322">
              <w:t>(29.3)</w:t>
            </w:r>
          </w:p>
        </w:tc>
        <w:tc>
          <w:tcPr>
            <w:tcW w:w="637" w:type="pct"/>
          </w:tcPr>
          <w:p w14:paraId="5551ADDD" w14:textId="77777777" w:rsidR="00DD002E" w:rsidRPr="00835453" w:rsidRDefault="00DD002E" w:rsidP="00632A30">
            <w:pPr>
              <w:pStyle w:val="PBACTableText"/>
              <w:keepNext/>
              <w:keepLines/>
              <w:spacing w:before="0" w:after="0"/>
              <w:jc w:val="right"/>
            </w:pPr>
            <w:r w:rsidRPr="00835453">
              <w:t>81</w:t>
            </w:r>
            <w:r>
              <w:t xml:space="preserve"> </w:t>
            </w:r>
            <w:r w:rsidRPr="00835453">
              <w:t>(13.8)</w:t>
            </w:r>
          </w:p>
        </w:tc>
        <w:tc>
          <w:tcPr>
            <w:tcW w:w="631" w:type="pct"/>
          </w:tcPr>
          <w:p w14:paraId="3987EAD3" w14:textId="77777777" w:rsidR="00DD002E" w:rsidRPr="00120322" w:rsidRDefault="00DD002E" w:rsidP="00632A30">
            <w:pPr>
              <w:pStyle w:val="PBACTableText"/>
              <w:keepNext/>
              <w:keepLines/>
              <w:spacing w:before="0" w:after="0"/>
              <w:jc w:val="right"/>
            </w:pPr>
            <w:r w:rsidRPr="00120322">
              <w:t>526</w:t>
            </w:r>
            <w:r>
              <w:t xml:space="preserve"> </w:t>
            </w:r>
            <w:r w:rsidRPr="00120322">
              <w:t>(89.0)</w:t>
            </w:r>
          </w:p>
        </w:tc>
        <w:tc>
          <w:tcPr>
            <w:tcW w:w="634" w:type="pct"/>
          </w:tcPr>
          <w:p w14:paraId="2E487DF1" w14:textId="77777777" w:rsidR="00DD002E" w:rsidRPr="00120322" w:rsidRDefault="00DD002E" w:rsidP="00632A30">
            <w:pPr>
              <w:pStyle w:val="PBACTableText"/>
              <w:keepNext/>
              <w:keepLines/>
              <w:spacing w:before="0" w:after="0"/>
              <w:jc w:val="right"/>
            </w:pPr>
            <w:r w:rsidRPr="00120322">
              <w:t>70 (11.8)</w:t>
            </w:r>
          </w:p>
        </w:tc>
      </w:tr>
      <w:tr w:rsidR="00DD002E" w:rsidRPr="00120322" w14:paraId="7BA97F86" w14:textId="77777777" w:rsidTr="00632A30">
        <w:tc>
          <w:tcPr>
            <w:tcW w:w="337" w:type="pct"/>
            <w:vMerge/>
          </w:tcPr>
          <w:p w14:paraId="59D4C6C6" w14:textId="77777777" w:rsidR="00DD002E" w:rsidRPr="00120322" w:rsidRDefault="00DD002E" w:rsidP="00632A30">
            <w:pPr>
              <w:pStyle w:val="PBACTableText"/>
              <w:keepNext/>
              <w:keepLines/>
              <w:spacing w:before="0" w:after="0"/>
              <w:rPr>
                <w:b/>
              </w:rPr>
            </w:pPr>
          </w:p>
        </w:tc>
        <w:tc>
          <w:tcPr>
            <w:tcW w:w="895" w:type="pct"/>
          </w:tcPr>
          <w:p w14:paraId="52DA7963" w14:textId="77777777" w:rsidR="00DD002E" w:rsidRPr="00120322" w:rsidRDefault="00DD002E" w:rsidP="00632A30">
            <w:pPr>
              <w:pStyle w:val="PBACTableText"/>
              <w:keepNext/>
              <w:keepLines/>
              <w:spacing w:before="0" w:after="0"/>
            </w:pPr>
            <w:r w:rsidRPr="00120322">
              <w:t>Difference</w:t>
            </w:r>
            <w:r>
              <w:t xml:space="preserve"> (%)</w:t>
            </w:r>
            <w:r w:rsidRPr="00120322">
              <w:t xml:space="preserve">, </w:t>
            </w:r>
            <w:r>
              <w:t>15v</w:t>
            </w:r>
            <w:r w:rsidRPr="00120322">
              <w:t>-</w:t>
            </w:r>
            <w:r>
              <w:t>13v</w:t>
            </w:r>
            <w:r w:rsidRPr="00120322">
              <w:t xml:space="preserve">, (95% CI) </w:t>
            </w:r>
          </w:p>
        </w:tc>
        <w:tc>
          <w:tcPr>
            <w:tcW w:w="593" w:type="pct"/>
          </w:tcPr>
          <w:p w14:paraId="226FB48A" w14:textId="77777777" w:rsidR="00DD002E" w:rsidRDefault="00DD002E" w:rsidP="00632A30">
            <w:pPr>
              <w:pStyle w:val="PBACTableText"/>
              <w:keepNext/>
              <w:keepLines/>
              <w:spacing w:before="0" w:after="0"/>
            </w:pPr>
            <w:r w:rsidRPr="00120322">
              <w:t xml:space="preserve">1.5 </w:t>
            </w:r>
          </w:p>
          <w:p w14:paraId="326DE95A" w14:textId="77777777" w:rsidR="00DD002E" w:rsidRPr="00120322" w:rsidRDefault="00DD002E" w:rsidP="00632A30">
            <w:pPr>
              <w:pStyle w:val="PBACTableText"/>
              <w:keepNext/>
              <w:keepLines/>
              <w:spacing w:before="0" w:after="0"/>
            </w:pPr>
            <w:r w:rsidRPr="00120322">
              <w:t>(-1.3, 4.3)</w:t>
            </w:r>
          </w:p>
        </w:tc>
        <w:tc>
          <w:tcPr>
            <w:tcW w:w="635" w:type="pct"/>
          </w:tcPr>
          <w:p w14:paraId="3D9DE5A8" w14:textId="77777777" w:rsidR="00DD002E" w:rsidRDefault="00DD002E" w:rsidP="00632A30">
            <w:pPr>
              <w:pStyle w:val="PBACTableText"/>
              <w:keepNext/>
              <w:keepLines/>
              <w:spacing w:before="0" w:after="0"/>
            </w:pPr>
            <w:r w:rsidRPr="00120322">
              <w:t>5.4</w:t>
            </w:r>
          </w:p>
          <w:p w14:paraId="6D802E34" w14:textId="77777777" w:rsidR="00DD002E" w:rsidRPr="00120322" w:rsidRDefault="00DD002E" w:rsidP="00632A30">
            <w:pPr>
              <w:pStyle w:val="PBACTableText"/>
              <w:keepNext/>
              <w:keepLines/>
              <w:spacing w:before="0" w:after="0"/>
            </w:pPr>
            <w:r w:rsidRPr="00120322">
              <w:t>(NR)</w:t>
            </w:r>
          </w:p>
        </w:tc>
        <w:tc>
          <w:tcPr>
            <w:tcW w:w="638" w:type="pct"/>
          </w:tcPr>
          <w:p w14:paraId="6979685D" w14:textId="77777777" w:rsidR="00DD002E" w:rsidRDefault="00DD002E" w:rsidP="00632A30">
            <w:pPr>
              <w:pStyle w:val="PBACTableText"/>
              <w:keepNext/>
              <w:keepLines/>
              <w:spacing w:before="0" w:after="0"/>
            </w:pPr>
            <w:r w:rsidRPr="00120322">
              <w:t>11.2</w:t>
            </w:r>
          </w:p>
          <w:p w14:paraId="71A5B224" w14:textId="77777777" w:rsidR="00DD002E" w:rsidRPr="00120322" w:rsidRDefault="00DD002E" w:rsidP="00632A30">
            <w:pPr>
              <w:pStyle w:val="PBACTableText"/>
              <w:keepNext/>
              <w:keepLines/>
              <w:spacing w:before="0" w:after="0"/>
            </w:pPr>
            <w:r w:rsidRPr="00120322">
              <w:t xml:space="preserve"> (NR)</w:t>
            </w:r>
          </w:p>
        </w:tc>
        <w:tc>
          <w:tcPr>
            <w:tcW w:w="637" w:type="pct"/>
          </w:tcPr>
          <w:p w14:paraId="7CB000AB" w14:textId="77777777" w:rsidR="00DD002E" w:rsidRPr="00835453" w:rsidRDefault="00DD002E" w:rsidP="00632A30">
            <w:pPr>
              <w:pStyle w:val="PBACTableText"/>
              <w:keepNext/>
              <w:keepLines/>
              <w:spacing w:before="0" w:after="0"/>
            </w:pPr>
            <w:r w:rsidRPr="00835453">
              <w:t xml:space="preserve">14.7 </w:t>
            </w:r>
          </w:p>
          <w:p w14:paraId="0716880D" w14:textId="77777777" w:rsidR="00DD002E" w:rsidRPr="00835453" w:rsidRDefault="00DD002E" w:rsidP="00632A30">
            <w:pPr>
              <w:pStyle w:val="PBACTableText"/>
              <w:keepNext/>
              <w:keepLines/>
              <w:spacing w:before="0" w:after="0"/>
            </w:pPr>
            <w:r w:rsidRPr="00835453">
              <w:t>(NR)</w:t>
            </w:r>
          </w:p>
        </w:tc>
        <w:tc>
          <w:tcPr>
            <w:tcW w:w="631" w:type="pct"/>
          </w:tcPr>
          <w:p w14:paraId="066E0BCE" w14:textId="77777777" w:rsidR="00DD002E" w:rsidRDefault="00DD002E" w:rsidP="00632A30">
            <w:pPr>
              <w:pStyle w:val="PBACTableText"/>
              <w:keepNext/>
              <w:keepLines/>
              <w:spacing w:before="0" w:after="0"/>
            </w:pPr>
            <w:r w:rsidRPr="00120322">
              <w:t xml:space="preserve">2.3 </w:t>
            </w:r>
          </w:p>
          <w:p w14:paraId="46C79056" w14:textId="77777777" w:rsidR="00DD002E" w:rsidRPr="00120322" w:rsidRDefault="00DD002E" w:rsidP="00632A30">
            <w:pPr>
              <w:pStyle w:val="PBACTableText"/>
              <w:keepNext/>
              <w:keepLines/>
              <w:spacing w:before="0" w:after="0"/>
            </w:pPr>
            <w:r w:rsidRPr="00120322">
              <w:t>(NR)</w:t>
            </w:r>
          </w:p>
        </w:tc>
        <w:tc>
          <w:tcPr>
            <w:tcW w:w="634" w:type="pct"/>
          </w:tcPr>
          <w:p w14:paraId="70F91D6A" w14:textId="77777777" w:rsidR="00DD002E" w:rsidRDefault="00DD002E" w:rsidP="00632A30">
            <w:pPr>
              <w:pStyle w:val="PBACTableText"/>
              <w:keepNext/>
              <w:keepLines/>
              <w:spacing w:before="0" w:after="0"/>
            </w:pPr>
            <w:r w:rsidRPr="00120322">
              <w:t xml:space="preserve">- 2.1 </w:t>
            </w:r>
          </w:p>
          <w:p w14:paraId="1FEA541C" w14:textId="77777777" w:rsidR="00DD002E" w:rsidRPr="00120322" w:rsidRDefault="00DD002E" w:rsidP="00632A30">
            <w:pPr>
              <w:pStyle w:val="PBACTableText"/>
              <w:keepNext/>
              <w:keepLines/>
              <w:spacing w:before="0" w:after="0"/>
            </w:pPr>
            <w:r w:rsidRPr="00120322">
              <w:t>(-5.7, 1.4)</w:t>
            </w:r>
          </w:p>
        </w:tc>
      </w:tr>
      <w:tr w:rsidR="00DD002E" w:rsidRPr="00120322" w14:paraId="60081ADC" w14:textId="77777777" w:rsidTr="00632A30">
        <w:tc>
          <w:tcPr>
            <w:tcW w:w="337" w:type="pct"/>
            <w:vMerge w:val="restart"/>
          </w:tcPr>
          <w:p w14:paraId="308E3137" w14:textId="77777777" w:rsidR="00DD002E" w:rsidRPr="00120322" w:rsidRDefault="00DD002E" w:rsidP="00632A30">
            <w:pPr>
              <w:pStyle w:val="PBACTableText"/>
              <w:keepNext/>
              <w:keepLines/>
              <w:spacing w:before="0" w:after="0"/>
              <w:rPr>
                <w:b/>
              </w:rPr>
            </w:pPr>
            <w:r w:rsidRPr="00120322">
              <w:rPr>
                <w:b/>
              </w:rPr>
              <w:t>P026</w:t>
            </w:r>
          </w:p>
        </w:tc>
        <w:tc>
          <w:tcPr>
            <w:tcW w:w="895" w:type="pct"/>
          </w:tcPr>
          <w:p w14:paraId="5A02D66F" w14:textId="77777777" w:rsidR="00DD002E" w:rsidRPr="00120322" w:rsidRDefault="00DD002E" w:rsidP="00632A30">
            <w:pPr>
              <w:pStyle w:val="PBACTableText"/>
              <w:keepNext/>
              <w:keepLines/>
              <w:spacing w:before="0" w:after="0"/>
            </w:pPr>
            <w:r>
              <w:t xml:space="preserve">15vPCV, </w:t>
            </w:r>
            <w:r w:rsidRPr="00120322">
              <w:t>N = 595</w:t>
            </w:r>
          </w:p>
        </w:tc>
        <w:tc>
          <w:tcPr>
            <w:tcW w:w="593" w:type="pct"/>
          </w:tcPr>
          <w:p w14:paraId="39E936CB" w14:textId="77777777" w:rsidR="00DD002E" w:rsidRPr="00120322" w:rsidRDefault="00DD002E" w:rsidP="00632A30">
            <w:pPr>
              <w:pStyle w:val="PBACTableText"/>
              <w:keepNext/>
              <w:keepLines/>
              <w:spacing w:before="0" w:after="0"/>
              <w:jc w:val="right"/>
            </w:pPr>
            <w:r w:rsidRPr="00120322">
              <w:t>591 (99.3)</w:t>
            </w:r>
          </w:p>
        </w:tc>
        <w:tc>
          <w:tcPr>
            <w:tcW w:w="635" w:type="pct"/>
          </w:tcPr>
          <w:p w14:paraId="42E7D4C0" w14:textId="77777777" w:rsidR="00DD002E" w:rsidRPr="00120322" w:rsidRDefault="00DD002E" w:rsidP="00632A30">
            <w:pPr>
              <w:pStyle w:val="PBACTableText"/>
              <w:keepNext/>
              <w:keepLines/>
              <w:spacing w:before="0" w:after="0"/>
              <w:jc w:val="right"/>
            </w:pPr>
            <w:r w:rsidRPr="00120322">
              <w:t>525 (88.2)</w:t>
            </w:r>
          </w:p>
        </w:tc>
        <w:tc>
          <w:tcPr>
            <w:tcW w:w="638" w:type="pct"/>
          </w:tcPr>
          <w:p w14:paraId="52D99CC5" w14:textId="77777777" w:rsidR="00DD002E" w:rsidRPr="00120322" w:rsidRDefault="00DD002E" w:rsidP="00632A30">
            <w:pPr>
              <w:pStyle w:val="PBACTableText"/>
              <w:keepNext/>
              <w:keepLines/>
              <w:spacing w:before="0" w:after="0"/>
              <w:jc w:val="right"/>
            </w:pPr>
            <w:r w:rsidRPr="00120322">
              <w:t>375 (63.0)</w:t>
            </w:r>
          </w:p>
        </w:tc>
        <w:tc>
          <w:tcPr>
            <w:tcW w:w="637" w:type="pct"/>
          </w:tcPr>
          <w:p w14:paraId="0160154D" w14:textId="77777777" w:rsidR="00DD002E" w:rsidRPr="00835453" w:rsidRDefault="00DD002E" w:rsidP="00632A30">
            <w:pPr>
              <w:pStyle w:val="PBACTableText"/>
              <w:keepNext/>
              <w:keepLines/>
              <w:spacing w:before="0" w:after="0"/>
              <w:jc w:val="right"/>
            </w:pPr>
            <w:r w:rsidRPr="00835453">
              <w:t>236</w:t>
            </w:r>
            <w:r>
              <w:t xml:space="preserve"> </w:t>
            </w:r>
            <w:r w:rsidRPr="00835453">
              <w:t>(39.7)</w:t>
            </w:r>
          </w:p>
        </w:tc>
        <w:tc>
          <w:tcPr>
            <w:tcW w:w="631" w:type="pct"/>
          </w:tcPr>
          <w:p w14:paraId="5E1DD561" w14:textId="77777777" w:rsidR="00DD002E" w:rsidRPr="00120322" w:rsidRDefault="00DD002E" w:rsidP="00632A30">
            <w:pPr>
              <w:pStyle w:val="PBACTableText"/>
              <w:keepNext/>
              <w:keepLines/>
              <w:spacing w:before="0" w:after="0"/>
              <w:jc w:val="right"/>
            </w:pPr>
            <w:r w:rsidRPr="00120322">
              <w:t>588</w:t>
            </w:r>
            <w:r>
              <w:t xml:space="preserve"> </w:t>
            </w:r>
            <w:r w:rsidRPr="00120322">
              <w:t>(98.8)</w:t>
            </w:r>
          </w:p>
        </w:tc>
        <w:tc>
          <w:tcPr>
            <w:tcW w:w="634" w:type="pct"/>
          </w:tcPr>
          <w:p w14:paraId="398FE319" w14:textId="77777777" w:rsidR="00DD002E" w:rsidRPr="00120322" w:rsidRDefault="00DD002E" w:rsidP="00632A30">
            <w:pPr>
              <w:pStyle w:val="PBACTableText"/>
              <w:keepNext/>
              <w:keepLines/>
              <w:spacing w:before="0" w:after="0"/>
              <w:jc w:val="right"/>
            </w:pPr>
            <w:r w:rsidRPr="00120322">
              <w:t>30 (5.0)</w:t>
            </w:r>
          </w:p>
        </w:tc>
      </w:tr>
      <w:tr w:rsidR="00DD002E" w:rsidRPr="00120322" w14:paraId="7B00D851" w14:textId="77777777" w:rsidTr="00632A30">
        <w:tc>
          <w:tcPr>
            <w:tcW w:w="337" w:type="pct"/>
            <w:vMerge/>
          </w:tcPr>
          <w:p w14:paraId="31FB4F87" w14:textId="77777777" w:rsidR="00DD002E" w:rsidRPr="00120322" w:rsidRDefault="00DD002E" w:rsidP="00632A30">
            <w:pPr>
              <w:pStyle w:val="PBACTableText"/>
              <w:keepNext/>
              <w:keepLines/>
              <w:spacing w:before="0" w:after="0"/>
              <w:rPr>
                <w:b/>
              </w:rPr>
            </w:pPr>
          </w:p>
        </w:tc>
        <w:tc>
          <w:tcPr>
            <w:tcW w:w="895" w:type="pct"/>
          </w:tcPr>
          <w:p w14:paraId="1126AD36" w14:textId="77777777" w:rsidR="00DD002E" w:rsidRPr="00120322" w:rsidRDefault="00DD002E" w:rsidP="00632A30">
            <w:pPr>
              <w:pStyle w:val="PBACTableText"/>
              <w:keepNext/>
              <w:keepLines/>
              <w:spacing w:before="0" w:after="0"/>
            </w:pPr>
            <w:r>
              <w:t xml:space="preserve">13vPCV, </w:t>
            </w:r>
            <w:r w:rsidRPr="00120322">
              <w:t>N = 594</w:t>
            </w:r>
          </w:p>
        </w:tc>
        <w:tc>
          <w:tcPr>
            <w:tcW w:w="593" w:type="pct"/>
          </w:tcPr>
          <w:p w14:paraId="13CFA8D1" w14:textId="77777777" w:rsidR="00DD002E" w:rsidRPr="00120322" w:rsidRDefault="00DD002E" w:rsidP="00632A30">
            <w:pPr>
              <w:pStyle w:val="PBACTableText"/>
              <w:keepNext/>
              <w:keepLines/>
              <w:spacing w:before="0" w:after="0"/>
              <w:jc w:val="right"/>
            </w:pPr>
            <w:r w:rsidRPr="00120322">
              <w:t>592 (99.7)</w:t>
            </w:r>
          </w:p>
        </w:tc>
        <w:tc>
          <w:tcPr>
            <w:tcW w:w="635" w:type="pct"/>
          </w:tcPr>
          <w:p w14:paraId="208C163F" w14:textId="77777777" w:rsidR="00DD002E" w:rsidRPr="00120322" w:rsidRDefault="00DD002E" w:rsidP="00632A30">
            <w:pPr>
              <w:pStyle w:val="PBACTableText"/>
              <w:keepNext/>
              <w:keepLines/>
              <w:spacing w:before="0" w:after="0"/>
              <w:jc w:val="right"/>
            </w:pPr>
            <w:r w:rsidRPr="00120322">
              <w:t>531 (89.4</w:t>
            </w:r>
            <w:r>
              <w:t>)</w:t>
            </w:r>
          </w:p>
        </w:tc>
        <w:tc>
          <w:tcPr>
            <w:tcW w:w="638" w:type="pct"/>
          </w:tcPr>
          <w:p w14:paraId="393E2AD5" w14:textId="77777777" w:rsidR="00DD002E" w:rsidRPr="00120322" w:rsidRDefault="00DD002E" w:rsidP="00632A30">
            <w:pPr>
              <w:pStyle w:val="PBACTableText"/>
              <w:keepNext/>
              <w:keepLines/>
              <w:spacing w:before="0" w:after="0"/>
              <w:jc w:val="right"/>
            </w:pPr>
            <w:r w:rsidRPr="00120322">
              <w:t>354 (59.6)</w:t>
            </w:r>
          </w:p>
        </w:tc>
        <w:tc>
          <w:tcPr>
            <w:tcW w:w="637" w:type="pct"/>
          </w:tcPr>
          <w:p w14:paraId="20FDECD8" w14:textId="77777777" w:rsidR="00DD002E" w:rsidRPr="00835453" w:rsidRDefault="00DD002E" w:rsidP="00632A30">
            <w:pPr>
              <w:pStyle w:val="PBACTableText"/>
              <w:keepNext/>
              <w:keepLines/>
              <w:spacing w:before="0" w:after="0"/>
              <w:jc w:val="right"/>
            </w:pPr>
            <w:r w:rsidRPr="00835453">
              <w:t>187 (31.5)</w:t>
            </w:r>
          </w:p>
        </w:tc>
        <w:tc>
          <w:tcPr>
            <w:tcW w:w="631" w:type="pct"/>
          </w:tcPr>
          <w:p w14:paraId="4873EE8A" w14:textId="77777777" w:rsidR="00DD002E" w:rsidRPr="00120322" w:rsidRDefault="00DD002E" w:rsidP="00632A30">
            <w:pPr>
              <w:pStyle w:val="PBACTableText"/>
              <w:keepNext/>
              <w:keepLines/>
              <w:spacing w:before="0" w:after="0"/>
              <w:jc w:val="right"/>
            </w:pPr>
            <w:r w:rsidRPr="00120322">
              <w:t>587</w:t>
            </w:r>
            <w:r>
              <w:t xml:space="preserve"> </w:t>
            </w:r>
            <w:r w:rsidRPr="00120322">
              <w:t>(98.8)</w:t>
            </w:r>
          </w:p>
        </w:tc>
        <w:tc>
          <w:tcPr>
            <w:tcW w:w="634" w:type="pct"/>
          </w:tcPr>
          <w:p w14:paraId="2292F655" w14:textId="77777777" w:rsidR="00DD002E" w:rsidRPr="00120322" w:rsidRDefault="00DD002E" w:rsidP="00632A30">
            <w:pPr>
              <w:pStyle w:val="PBACTableText"/>
              <w:keepNext/>
              <w:keepLines/>
              <w:spacing w:before="0" w:after="0"/>
              <w:jc w:val="right"/>
            </w:pPr>
            <w:r w:rsidRPr="00120322">
              <w:t>28</w:t>
            </w:r>
            <w:r>
              <w:t xml:space="preserve"> </w:t>
            </w:r>
            <w:r w:rsidRPr="00120322">
              <w:t>(4.7)</w:t>
            </w:r>
          </w:p>
        </w:tc>
      </w:tr>
      <w:tr w:rsidR="00DD002E" w:rsidRPr="00120322" w14:paraId="3D38C384" w14:textId="77777777" w:rsidTr="00632A30">
        <w:tc>
          <w:tcPr>
            <w:tcW w:w="337" w:type="pct"/>
            <w:vMerge/>
          </w:tcPr>
          <w:p w14:paraId="6A779987" w14:textId="77777777" w:rsidR="00DD002E" w:rsidRPr="00120322" w:rsidRDefault="00DD002E" w:rsidP="00632A30">
            <w:pPr>
              <w:pStyle w:val="PBACTableText"/>
              <w:keepNext/>
              <w:keepLines/>
              <w:spacing w:before="0" w:after="0"/>
              <w:rPr>
                <w:b/>
              </w:rPr>
            </w:pPr>
          </w:p>
        </w:tc>
        <w:tc>
          <w:tcPr>
            <w:tcW w:w="895" w:type="pct"/>
          </w:tcPr>
          <w:p w14:paraId="0949C4DC" w14:textId="77777777" w:rsidR="00DD002E" w:rsidRPr="00120322" w:rsidRDefault="00DD002E" w:rsidP="00632A30">
            <w:pPr>
              <w:pStyle w:val="PBACTableText"/>
              <w:keepNext/>
              <w:keepLines/>
              <w:spacing w:before="0" w:after="0"/>
            </w:pPr>
            <w:r w:rsidRPr="00120322">
              <w:t>Difference</w:t>
            </w:r>
            <w:r>
              <w:t xml:space="preserve"> (%)</w:t>
            </w:r>
            <w:r w:rsidRPr="00120322">
              <w:t xml:space="preserve">, </w:t>
            </w:r>
            <w:r>
              <w:t>15v</w:t>
            </w:r>
            <w:r w:rsidRPr="00120322">
              <w:t>-</w:t>
            </w:r>
            <w:r>
              <w:t>13v</w:t>
            </w:r>
            <w:r w:rsidRPr="00120322">
              <w:t xml:space="preserve">, (95% CI) </w:t>
            </w:r>
          </w:p>
        </w:tc>
        <w:tc>
          <w:tcPr>
            <w:tcW w:w="593" w:type="pct"/>
          </w:tcPr>
          <w:p w14:paraId="6E11E637" w14:textId="77777777" w:rsidR="00DD002E" w:rsidRDefault="00DD002E" w:rsidP="00632A30">
            <w:pPr>
              <w:pStyle w:val="PBACTableText"/>
              <w:keepNext/>
              <w:keepLines/>
              <w:spacing w:before="0" w:after="0"/>
            </w:pPr>
            <w:r w:rsidRPr="00120322">
              <w:t xml:space="preserve">-0.3 </w:t>
            </w:r>
          </w:p>
          <w:p w14:paraId="3FB9B1F5" w14:textId="77777777" w:rsidR="00DD002E" w:rsidRPr="00120322" w:rsidRDefault="00DD002E" w:rsidP="00632A30">
            <w:pPr>
              <w:pStyle w:val="PBACTableText"/>
              <w:keepNext/>
              <w:keepLines/>
              <w:spacing w:before="0" w:after="0"/>
            </w:pPr>
            <w:r w:rsidRPr="00120322">
              <w:t>(-1.4, 0.6)</w:t>
            </w:r>
          </w:p>
        </w:tc>
        <w:tc>
          <w:tcPr>
            <w:tcW w:w="635" w:type="pct"/>
          </w:tcPr>
          <w:p w14:paraId="51ECE616" w14:textId="77777777" w:rsidR="00DD002E" w:rsidRDefault="00DD002E" w:rsidP="00632A30">
            <w:pPr>
              <w:pStyle w:val="PBACTableText"/>
              <w:keepNext/>
              <w:keepLines/>
              <w:spacing w:before="0" w:after="0"/>
            </w:pPr>
            <w:r w:rsidRPr="00120322">
              <w:t xml:space="preserve">-1.2 </w:t>
            </w:r>
          </w:p>
          <w:p w14:paraId="0843AAEB" w14:textId="77777777" w:rsidR="00DD002E" w:rsidRPr="00120322" w:rsidRDefault="00DD002E" w:rsidP="00632A30">
            <w:pPr>
              <w:pStyle w:val="PBACTableText"/>
              <w:keepNext/>
              <w:keepLines/>
              <w:spacing w:before="0" w:after="0"/>
            </w:pPr>
            <w:r w:rsidRPr="00120322">
              <w:t>(NR)</w:t>
            </w:r>
          </w:p>
        </w:tc>
        <w:tc>
          <w:tcPr>
            <w:tcW w:w="638" w:type="pct"/>
          </w:tcPr>
          <w:p w14:paraId="2700B371" w14:textId="77777777" w:rsidR="00DD002E" w:rsidRDefault="00DD002E" w:rsidP="00632A30">
            <w:pPr>
              <w:pStyle w:val="PBACTableText"/>
              <w:keepNext/>
              <w:keepLines/>
              <w:spacing w:before="0" w:after="0"/>
            </w:pPr>
            <w:r w:rsidRPr="00120322">
              <w:t xml:space="preserve">3.4 </w:t>
            </w:r>
          </w:p>
          <w:p w14:paraId="60F0C71F" w14:textId="77777777" w:rsidR="00DD002E" w:rsidRPr="00120322" w:rsidRDefault="00DD002E" w:rsidP="00632A30">
            <w:pPr>
              <w:pStyle w:val="PBACTableText"/>
              <w:keepNext/>
              <w:keepLines/>
              <w:spacing w:before="0" w:after="0"/>
            </w:pPr>
            <w:r w:rsidRPr="00120322">
              <w:t>(NR)</w:t>
            </w:r>
          </w:p>
        </w:tc>
        <w:tc>
          <w:tcPr>
            <w:tcW w:w="637" w:type="pct"/>
          </w:tcPr>
          <w:p w14:paraId="1013DEA2" w14:textId="77777777" w:rsidR="00DD002E" w:rsidRPr="00835453" w:rsidRDefault="00DD002E" w:rsidP="00632A30">
            <w:pPr>
              <w:pStyle w:val="PBACTableText"/>
              <w:keepNext/>
              <w:keepLines/>
              <w:spacing w:before="0" w:after="0"/>
            </w:pPr>
            <w:r w:rsidRPr="00835453">
              <w:t xml:space="preserve">8.2 </w:t>
            </w:r>
          </w:p>
          <w:p w14:paraId="6550B5AE" w14:textId="77777777" w:rsidR="00DD002E" w:rsidRPr="00835453" w:rsidRDefault="00DD002E" w:rsidP="00632A30">
            <w:pPr>
              <w:pStyle w:val="PBACTableText"/>
              <w:keepNext/>
              <w:keepLines/>
              <w:spacing w:before="0" w:after="0"/>
            </w:pPr>
            <w:r w:rsidRPr="00835453">
              <w:t>(NR)</w:t>
            </w:r>
          </w:p>
        </w:tc>
        <w:tc>
          <w:tcPr>
            <w:tcW w:w="631" w:type="pct"/>
          </w:tcPr>
          <w:p w14:paraId="6456C354" w14:textId="77777777" w:rsidR="00DD002E" w:rsidRPr="00120322" w:rsidRDefault="00DD002E" w:rsidP="00632A30">
            <w:pPr>
              <w:pStyle w:val="PBACTableText"/>
              <w:keepNext/>
              <w:keepLines/>
              <w:spacing w:before="0" w:after="0"/>
            </w:pPr>
            <w:r w:rsidRPr="00120322">
              <w:t>0</w:t>
            </w:r>
          </w:p>
        </w:tc>
        <w:tc>
          <w:tcPr>
            <w:tcW w:w="634" w:type="pct"/>
          </w:tcPr>
          <w:p w14:paraId="6F9055AA" w14:textId="77777777" w:rsidR="00DD002E" w:rsidRDefault="00DD002E" w:rsidP="00632A30">
            <w:pPr>
              <w:pStyle w:val="PBACTableText"/>
              <w:keepNext/>
              <w:keepLines/>
              <w:spacing w:before="0" w:after="0"/>
            </w:pPr>
            <w:r w:rsidRPr="00120322">
              <w:t xml:space="preserve">0.3 </w:t>
            </w:r>
          </w:p>
          <w:p w14:paraId="0F334708" w14:textId="77777777" w:rsidR="00DD002E" w:rsidRPr="00120322" w:rsidRDefault="00DD002E" w:rsidP="00632A30">
            <w:pPr>
              <w:pStyle w:val="PBACTableText"/>
              <w:keepNext/>
              <w:keepLines/>
              <w:spacing w:before="0" w:after="0"/>
            </w:pPr>
            <w:r w:rsidRPr="00120322">
              <w:t>(-2.2, 2.8)</w:t>
            </w:r>
          </w:p>
        </w:tc>
      </w:tr>
      <w:tr w:rsidR="00DD002E" w:rsidRPr="00120322" w14:paraId="1C9C6C94" w14:textId="77777777" w:rsidTr="00632A30">
        <w:tc>
          <w:tcPr>
            <w:tcW w:w="337" w:type="pct"/>
            <w:vMerge w:val="restart"/>
          </w:tcPr>
          <w:p w14:paraId="45B16EFA" w14:textId="77777777" w:rsidR="00DD002E" w:rsidRPr="00120322" w:rsidRDefault="00DD002E" w:rsidP="00632A30">
            <w:pPr>
              <w:pStyle w:val="PBACTableText"/>
              <w:keepNext/>
              <w:keepLines/>
              <w:spacing w:before="0" w:after="0"/>
              <w:rPr>
                <w:b/>
              </w:rPr>
            </w:pPr>
            <w:r w:rsidRPr="00120322">
              <w:rPr>
                <w:b/>
              </w:rPr>
              <w:t>P029</w:t>
            </w:r>
          </w:p>
        </w:tc>
        <w:tc>
          <w:tcPr>
            <w:tcW w:w="895" w:type="pct"/>
          </w:tcPr>
          <w:p w14:paraId="42FB465C" w14:textId="77777777" w:rsidR="00DD002E" w:rsidRPr="00120322" w:rsidRDefault="00DD002E" w:rsidP="00632A30">
            <w:pPr>
              <w:pStyle w:val="PBACTableText"/>
              <w:keepNext/>
              <w:keepLines/>
              <w:spacing w:before="0" w:after="0"/>
            </w:pPr>
            <w:r>
              <w:t xml:space="preserve">15vPCV, </w:t>
            </w:r>
            <w:r w:rsidRPr="00120322">
              <w:t>N = 858</w:t>
            </w:r>
          </w:p>
        </w:tc>
        <w:tc>
          <w:tcPr>
            <w:tcW w:w="593" w:type="pct"/>
          </w:tcPr>
          <w:p w14:paraId="3CC71396" w14:textId="77777777" w:rsidR="00DD002E" w:rsidRPr="00120322" w:rsidRDefault="00DD002E" w:rsidP="00632A30">
            <w:pPr>
              <w:pStyle w:val="PBACTableText"/>
              <w:keepNext/>
              <w:keepLines/>
              <w:spacing w:before="0" w:after="0"/>
              <w:jc w:val="right"/>
            </w:pPr>
            <w:r w:rsidRPr="00120322">
              <w:t>805 (93.8)</w:t>
            </w:r>
          </w:p>
        </w:tc>
        <w:tc>
          <w:tcPr>
            <w:tcW w:w="635" w:type="pct"/>
          </w:tcPr>
          <w:p w14:paraId="3C472501" w14:textId="77777777" w:rsidR="00DD002E" w:rsidRPr="00120322" w:rsidRDefault="00DD002E" w:rsidP="00632A30">
            <w:pPr>
              <w:pStyle w:val="PBACTableText"/>
              <w:keepNext/>
              <w:keepLines/>
              <w:spacing w:before="0" w:after="0"/>
              <w:jc w:val="right"/>
            </w:pPr>
            <w:r w:rsidRPr="00120322">
              <w:t>598 (69.7)</w:t>
            </w:r>
          </w:p>
        </w:tc>
        <w:tc>
          <w:tcPr>
            <w:tcW w:w="638" w:type="pct"/>
          </w:tcPr>
          <w:p w14:paraId="10636418" w14:textId="77777777" w:rsidR="00DD002E" w:rsidRPr="00120322" w:rsidRDefault="00DD002E" w:rsidP="00632A30">
            <w:pPr>
              <w:pStyle w:val="PBACTableText"/>
              <w:keepNext/>
              <w:keepLines/>
              <w:spacing w:before="0" w:after="0"/>
              <w:jc w:val="right"/>
            </w:pPr>
            <w:r w:rsidRPr="00120322">
              <w:t>427</w:t>
            </w:r>
            <w:r>
              <w:t xml:space="preserve"> </w:t>
            </w:r>
            <w:r w:rsidRPr="00120322">
              <w:t>(49.8)</w:t>
            </w:r>
          </w:p>
        </w:tc>
        <w:tc>
          <w:tcPr>
            <w:tcW w:w="637" w:type="pct"/>
          </w:tcPr>
          <w:p w14:paraId="5003A032" w14:textId="77777777" w:rsidR="00DD002E" w:rsidRPr="00835453" w:rsidRDefault="00DD002E" w:rsidP="00632A30">
            <w:pPr>
              <w:pStyle w:val="PBACTableText"/>
              <w:keepNext/>
              <w:keepLines/>
              <w:spacing w:before="0" w:after="0"/>
              <w:jc w:val="right"/>
            </w:pPr>
            <w:r w:rsidRPr="00835453">
              <w:t>234 (27.3)</w:t>
            </w:r>
          </w:p>
        </w:tc>
        <w:tc>
          <w:tcPr>
            <w:tcW w:w="631" w:type="pct"/>
          </w:tcPr>
          <w:p w14:paraId="36256FD6" w14:textId="77777777" w:rsidR="00DD002E" w:rsidRPr="00120322" w:rsidRDefault="00DD002E" w:rsidP="00632A30">
            <w:pPr>
              <w:pStyle w:val="PBACTableText"/>
              <w:keepNext/>
              <w:keepLines/>
              <w:spacing w:before="0" w:after="0"/>
              <w:jc w:val="right"/>
            </w:pPr>
            <w:r w:rsidRPr="00120322">
              <w:t>785 (91.5)</w:t>
            </w:r>
          </w:p>
        </w:tc>
        <w:tc>
          <w:tcPr>
            <w:tcW w:w="634" w:type="pct"/>
          </w:tcPr>
          <w:p w14:paraId="55403E21" w14:textId="77777777" w:rsidR="00DD002E" w:rsidRPr="00120322" w:rsidRDefault="00DD002E" w:rsidP="00632A30">
            <w:pPr>
              <w:pStyle w:val="PBACTableText"/>
              <w:keepNext/>
              <w:keepLines/>
              <w:spacing w:before="0" w:after="0"/>
              <w:jc w:val="right"/>
            </w:pPr>
            <w:r w:rsidRPr="00120322">
              <w:t>88 (10.3)</w:t>
            </w:r>
          </w:p>
        </w:tc>
      </w:tr>
      <w:tr w:rsidR="00DD002E" w:rsidRPr="00120322" w14:paraId="08E475D9" w14:textId="77777777" w:rsidTr="00632A30">
        <w:tc>
          <w:tcPr>
            <w:tcW w:w="337" w:type="pct"/>
            <w:vMerge/>
          </w:tcPr>
          <w:p w14:paraId="37FE3585" w14:textId="77777777" w:rsidR="00DD002E" w:rsidRPr="00120322" w:rsidRDefault="00DD002E" w:rsidP="00632A30">
            <w:pPr>
              <w:pStyle w:val="PBACTableText"/>
              <w:keepNext/>
              <w:keepLines/>
              <w:spacing w:before="0" w:after="0"/>
              <w:rPr>
                <w:b/>
              </w:rPr>
            </w:pPr>
          </w:p>
        </w:tc>
        <w:tc>
          <w:tcPr>
            <w:tcW w:w="895" w:type="pct"/>
          </w:tcPr>
          <w:p w14:paraId="2E57FB4C" w14:textId="77777777" w:rsidR="00DD002E" w:rsidRPr="00120322" w:rsidRDefault="00DD002E" w:rsidP="00632A30">
            <w:pPr>
              <w:pStyle w:val="PBACTableText"/>
              <w:keepNext/>
              <w:keepLines/>
              <w:spacing w:before="0" w:after="0"/>
            </w:pPr>
            <w:r>
              <w:t xml:space="preserve">13vPCV, </w:t>
            </w:r>
            <w:r w:rsidRPr="00120322">
              <w:t>N = 855</w:t>
            </w:r>
          </w:p>
        </w:tc>
        <w:tc>
          <w:tcPr>
            <w:tcW w:w="593" w:type="pct"/>
          </w:tcPr>
          <w:p w14:paraId="00504D22" w14:textId="77777777" w:rsidR="00DD002E" w:rsidRPr="00120322" w:rsidRDefault="00DD002E" w:rsidP="00632A30">
            <w:pPr>
              <w:pStyle w:val="PBACTableText"/>
              <w:keepNext/>
              <w:keepLines/>
              <w:spacing w:before="0" w:after="0"/>
              <w:jc w:val="right"/>
            </w:pPr>
            <w:r w:rsidRPr="00120322">
              <w:t>790 (92.4)</w:t>
            </w:r>
          </w:p>
        </w:tc>
        <w:tc>
          <w:tcPr>
            <w:tcW w:w="635" w:type="pct"/>
          </w:tcPr>
          <w:p w14:paraId="23ABBF82" w14:textId="77777777" w:rsidR="00DD002E" w:rsidRPr="00120322" w:rsidRDefault="00DD002E" w:rsidP="00632A30">
            <w:pPr>
              <w:pStyle w:val="PBACTableText"/>
              <w:keepNext/>
              <w:keepLines/>
              <w:spacing w:before="0" w:after="0"/>
              <w:jc w:val="right"/>
            </w:pPr>
            <w:r w:rsidRPr="00120322">
              <w:t>595 (69.6)</w:t>
            </w:r>
          </w:p>
        </w:tc>
        <w:tc>
          <w:tcPr>
            <w:tcW w:w="638" w:type="pct"/>
          </w:tcPr>
          <w:p w14:paraId="0EDEB3E0" w14:textId="77777777" w:rsidR="00DD002E" w:rsidRPr="00120322" w:rsidRDefault="00DD002E" w:rsidP="00632A30">
            <w:pPr>
              <w:pStyle w:val="PBACTableText"/>
              <w:keepNext/>
              <w:keepLines/>
              <w:spacing w:before="0" w:after="0"/>
              <w:jc w:val="right"/>
            </w:pPr>
            <w:r w:rsidRPr="00120322">
              <w:t>401 (46.9)</w:t>
            </w:r>
          </w:p>
        </w:tc>
        <w:tc>
          <w:tcPr>
            <w:tcW w:w="637" w:type="pct"/>
          </w:tcPr>
          <w:p w14:paraId="10A74B7B" w14:textId="77777777" w:rsidR="00DD002E" w:rsidRPr="00835453" w:rsidRDefault="00DD002E" w:rsidP="00632A30">
            <w:pPr>
              <w:pStyle w:val="PBACTableText"/>
              <w:keepNext/>
              <w:keepLines/>
              <w:spacing w:before="0" w:after="0"/>
              <w:jc w:val="right"/>
            </w:pPr>
            <w:r w:rsidRPr="00835453">
              <w:t>214</w:t>
            </w:r>
            <w:r>
              <w:t xml:space="preserve"> </w:t>
            </w:r>
            <w:r w:rsidRPr="00835453">
              <w:t>(25.0)</w:t>
            </w:r>
          </w:p>
        </w:tc>
        <w:tc>
          <w:tcPr>
            <w:tcW w:w="631" w:type="pct"/>
          </w:tcPr>
          <w:p w14:paraId="7D075C83" w14:textId="77777777" w:rsidR="00DD002E" w:rsidRPr="00120322" w:rsidRDefault="00DD002E" w:rsidP="00632A30">
            <w:pPr>
              <w:pStyle w:val="PBACTableText"/>
              <w:keepNext/>
              <w:keepLines/>
              <w:spacing w:before="0" w:after="0"/>
              <w:jc w:val="right"/>
            </w:pPr>
            <w:r w:rsidRPr="00120322">
              <w:t>766</w:t>
            </w:r>
            <w:r>
              <w:t xml:space="preserve"> </w:t>
            </w:r>
            <w:r w:rsidRPr="00120322">
              <w:t>(89.6)</w:t>
            </w:r>
          </w:p>
        </w:tc>
        <w:tc>
          <w:tcPr>
            <w:tcW w:w="634" w:type="pct"/>
          </w:tcPr>
          <w:p w14:paraId="1E74FB96" w14:textId="77777777" w:rsidR="00DD002E" w:rsidRPr="00120322" w:rsidRDefault="00DD002E" w:rsidP="00632A30">
            <w:pPr>
              <w:pStyle w:val="PBACTableText"/>
              <w:keepNext/>
              <w:keepLines/>
              <w:spacing w:before="0" w:after="0"/>
              <w:jc w:val="right"/>
            </w:pPr>
            <w:r w:rsidRPr="00120322">
              <w:t>81 (9.5)</w:t>
            </w:r>
          </w:p>
        </w:tc>
      </w:tr>
      <w:tr w:rsidR="00DD002E" w:rsidRPr="00120322" w14:paraId="4BF491C2" w14:textId="77777777" w:rsidTr="00632A30">
        <w:tc>
          <w:tcPr>
            <w:tcW w:w="337" w:type="pct"/>
            <w:vMerge/>
          </w:tcPr>
          <w:p w14:paraId="3F89BCD4" w14:textId="77777777" w:rsidR="00DD002E" w:rsidRPr="00120322" w:rsidRDefault="00DD002E" w:rsidP="00632A30">
            <w:pPr>
              <w:pStyle w:val="PBACTableText"/>
              <w:keepNext/>
              <w:keepLines/>
              <w:spacing w:before="0" w:after="0"/>
              <w:rPr>
                <w:b/>
              </w:rPr>
            </w:pPr>
          </w:p>
        </w:tc>
        <w:tc>
          <w:tcPr>
            <w:tcW w:w="895" w:type="pct"/>
          </w:tcPr>
          <w:p w14:paraId="221DF74B" w14:textId="77777777" w:rsidR="00DD002E" w:rsidRPr="00120322" w:rsidRDefault="00DD002E" w:rsidP="00632A30">
            <w:pPr>
              <w:pStyle w:val="PBACTableText"/>
              <w:keepNext/>
              <w:keepLines/>
              <w:spacing w:before="0" w:after="0"/>
            </w:pPr>
            <w:r w:rsidRPr="00120322">
              <w:t>Difference</w:t>
            </w:r>
            <w:r>
              <w:t xml:space="preserve"> (%)</w:t>
            </w:r>
            <w:r w:rsidRPr="00120322">
              <w:t xml:space="preserve">, </w:t>
            </w:r>
            <w:r>
              <w:t>15v</w:t>
            </w:r>
            <w:r w:rsidRPr="00120322">
              <w:t>-</w:t>
            </w:r>
            <w:r>
              <w:t>13v</w:t>
            </w:r>
            <w:r w:rsidRPr="00120322">
              <w:t xml:space="preserve">, (95% CI) </w:t>
            </w:r>
          </w:p>
        </w:tc>
        <w:tc>
          <w:tcPr>
            <w:tcW w:w="593" w:type="pct"/>
          </w:tcPr>
          <w:p w14:paraId="72A4CFC2" w14:textId="77777777" w:rsidR="00DD002E" w:rsidRDefault="00DD002E" w:rsidP="00632A30">
            <w:pPr>
              <w:pStyle w:val="PBACTableText"/>
              <w:keepNext/>
              <w:keepLines/>
              <w:spacing w:before="0" w:after="0"/>
            </w:pPr>
            <w:r w:rsidRPr="00120322">
              <w:t xml:space="preserve">1.4 </w:t>
            </w:r>
          </w:p>
          <w:p w14:paraId="37C34BAD" w14:textId="77777777" w:rsidR="00DD002E" w:rsidRPr="00120322" w:rsidRDefault="00DD002E" w:rsidP="00632A30">
            <w:pPr>
              <w:pStyle w:val="PBACTableText"/>
              <w:keepNext/>
              <w:keepLines/>
              <w:spacing w:before="0" w:after="0"/>
            </w:pPr>
            <w:r w:rsidRPr="00120322">
              <w:t>(-1.0, 3.9)</w:t>
            </w:r>
          </w:p>
        </w:tc>
        <w:tc>
          <w:tcPr>
            <w:tcW w:w="635" w:type="pct"/>
          </w:tcPr>
          <w:p w14:paraId="5A3AEB9C" w14:textId="77777777" w:rsidR="00DD002E" w:rsidRDefault="00DD002E" w:rsidP="00632A30">
            <w:pPr>
              <w:pStyle w:val="PBACTableText"/>
              <w:keepNext/>
              <w:keepLines/>
              <w:spacing w:before="0" w:after="0"/>
            </w:pPr>
            <w:r w:rsidRPr="00120322">
              <w:t xml:space="preserve">0.1 </w:t>
            </w:r>
          </w:p>
          <w:p w14:paraId="216DAF9E" w14:textId="77777777" w:rsidR="00DD002E" w:rsidRPr="00120322" w:rsidRDefault="00DD002E" w:rsidP="00632A30">
            <w:pPr>
              <w:pStyle w:val="PBACTableText"/>
              <w:keepNext/>
              <w:keepLines/>
              <w:spacing w:before="0" w:after="0"/>
            </w:pPr>
            <w:r w:rsidRPr="00120322">
              <w:t>(NR)</w:t>
            </w:r>
          </w:p>
        </w:tc>
        <w:tc>
          <w:tcPr>
            <w:tcW w:w="638" w:type="pct"/>
          </w:tcPr>
          <w:p w14:paraId="07F7021D" w14:textId="77777777" w:rsidR="00DD002E" w:rsidRDefault="00DD002E" w:rsidP="00632A30">
            <w:pPr>
              <w:pStyle w:val="PBACTableText"/>
              <w:keepNext/>
              <w:keepLines/>
              <w:spacing w:before="0" w:after="0"/>
            </w:pPr>
            <w:r w:rsidRPr="00120322">
              <w:t>2.9</w:t>
            </w:r>
          </w:p>
          <w:p w14:paraId="2A18D17A" w14:textId="77777777" w:rsidR="00DD002E" w:rsidRPr="00120322" w:rsidRDefault="00DD002E" w:rsidP="00632A30">
            <w:pPr>
              <w:pStyle w:val="PBACTableText"/>
              <w:keepNext/>
              <w:keepLines/>
              <w:spacing w:before="0" w:after="0"/>
            </w:pPr>
            <w:r w:rsidRPr="00120322">
              <w:t>(</w:t>
            </w:r>
            <w:r>
              <w:t>N</w:t>
            </w:r>
            <w:r w:rsidRPr="00120322">
              <w:t>R)</w:t>
            </w:r>
          </w:p>
        </w:tc>
        <w:tc>
          <w:tcPr>
            <w:tcW w:w="637" w:type="pct"/>
          </w:tcPr>
          <w:p w14:paraId="1528FEFA" w14:textId="77777777" w:rsidR="00DD002E" w:rsidRPr="00835453" w:rsidRDefault="00DD002E" w:rsidP="00632A30">
            <w:pPr>
              <w:pStyle w:val="PBACTableText"/>
              <w:keepNext/>
              <w:keepLines/>
              <w:spacing w:before="0" w:after="0"/>
            </w:pPr>
            <w:r w:rsidRPr="00835453">
              <w:t xml:space="preserve">2.3 </w:t>
            </w:r>
          </w:p>
          <w:p w14:paraId="60CA8580" w14:textId="77777777" w:rsidR="00DD002E" w:rsidRPr="00835453" w:rsidRDefault="00DD002E" w:rsidP="00632A30">
            <w:pPr>
              <w:pStyle w:val="PBACTableText"/>
              <w:keepNext/>
              <w:keepLines/>
              <w:spacing w:before="0" w:after="0"/>
            </w:pPr>
            <w:r w:rsidRPr="00835453">
              <w:t>(NR)</w:t>
            </w:r>
          </w:p>
        </w:tc>
        <w:tc>
          <w:tcPr>
            <w:tcW w:w="631" w:type="pct"/>
          </w:tcPr>
          <w:p w14:paraId="547060AE" w14:textId="77777777" w:rsidR="00DD002E" w:rsidRDefault="00DD002E" w:rsidP="00632A30">
            <w:pPr>
              <w:pStyle w:val="PBACTableText"/>
              <w:keepNext/>
              <w:keepLines/>
              <w:spacing w:before="0" w:after="0"/>
            </w:pPr>
            <w:r w:rsidRPr="00120322">
              <w:t xml:space="preserve">1.9 </w:t>
            </w:r>
          </w:p>
          <w:p w14:paraId="7639E39A" w14:textId="77777777" w:rsidR="00DD002E" w:rsidRPr="00120322" w:rsidRDefault="00DD002E" w:rsidP="00632A30">
            <w:pPr>
              <w:pStyle w:val="PBACTableText"/>
              <w:keepNext/>
              <w:keepLines/>
              <w:spacing w:before="0" w:after="0"/>
            </w:pPr>
            <w:r w:rsidRPr="00120322">
              <w:t>(NR)</w:t>
            </w:r>
          </w:p>
        </w:tc>
        <w:tc>
          <w:tcPr>
            <w:tcW w:w="634" w:type="pct"/>
          </w:tcPr>
          <w:p w14:paraId="25DD7678" w14:textId="77777777" w:rsidR="00DD002E" w:rsidRDefault="00DD002E" w:rsidP="00632A30">
            <w:pPr>
              <w:pStyle w:val="PBACTableText"/>
              <w:keepNext/>
              <w:keepLines/>
              <w:spacing w:before="0" w:after="0"/>
            </w:pPr>
            <w:r w:rsidRPr="00120322">
              <w:t xml:space="preserve">0.8 </w:t>
            </w:r>
          </w:p>
          <w:p w14:paraId="3C16A63F" w14:textId="77777777" w:rsidR="00DD002E" w:rsidRPr="00120322" w:rsidRDefault="00DD002E" w:rsidP="00632A30">
            <w:pPr>
              <w:pStyle w:val="PBACTableText"/>
              <w:keepNext/>
              <w:keepLines/>
              <w:spacing w:before="0" w:after="0"/>
            </w:pPr>
            <w:r w:rsidRPr="00120322">
              <w:t>(NR)</w:t>
            </w:r>
          </w:p>
        </w:tc>
      </w:tr>
      <w:tr w:rsidR="00DD002E" w:rsidRPr="00120322" w14:paraId="63E0C1CF" w14:textId="77777777" w:rsidTr="00632A30">
        <w:tc>
          <w:tcPr>
            <w:tcW w:w="337" w:type="pct"/>
            <w:vMerge w:val="restart"/>
          </w:tcPr>
          <w:p w14:paraId="00889546" w14:textId="77777777" w:rsidR="00DD002E" w:rsidRPr="00120322" w:rsidRDefault="00DD002E" w:rsidP="00632A30">
            <w:pPr>
              <w:pStyle w:val="PBACTableText"/>
              <w:keepNext/>
              <w:keepLines/>
              <w:spacing w:before="0" w:after="0"/>
              <w:rPr>
                <w:b/>
              </w:rPr>
            </w:pPr>
            <w:r w:rsidRPr="00120322">
              <w:rPr>
                <w:b/>
              </w:rPr>
              <w:t>P031</w:t>
            </w:r>
          </w:p>
        </w:tc>
        <w:tc>
          <w:tcPr>
            <w:tcW w:w="895" w:type="pct"/>
          </w:tcPr>
          <w:p w14:paraId="12D35116" w14:textId="77777777" w:rsidR="00DD002E" w:rsidRPr="00120322" w:rsidRDefault="00DD002E" w:rsidP="00632A30">
            <w:pPr>
              <w:pStyle w:val="PBACTableText"/>
              <w:keepNext/>
              <w:keepLines/>
              <w:spacing w:before="0" w:after="0"/>
            </w:pPr>
            <w:r>
              <w:t xml:space="preserve">15vPCV, </w:t>
            </w:r>
            <w:r w:rsidRPr="00120322">
              <w:t>N = 1965</w:t>
            </w:r>
          </w:p>
        </w:tc>
        <w:tc>
          <w:tcPr>
            <w:tcW w:w="593" w:type="pct"/>
          </w:tcPr>
          <w:p w14:paraId="4FDA6460" w14:textId="77777777" w:rsidR="00DD002E" w:rsidRPr="00120322" w:rsidRDefault="00DD002E" w:rsidP="00632A30">
            <w:pPr>
              <w:pStyle w:val="PBACTableText"/>
              <w:keepNext/>
              <w:keepLines/>
              <w:spacing w:before="0" w:after="0"/>
              <w:jc w:val="right"/>
            </w:pPr>
            <w:r w:rsidRPr="00120322">
              <w:t>1840</w:t>
            </w:r>
            <w:r>
              <w:t xml:space="preserve"> </w:t>
            </w:r>
            <w:r w:rsidRPr="00120322">
              <w:t>(93.6)</w:t>
            </w:r>
          </w:p>
        </w:tc>
        <w:tc>
          <w:tcPr>
            <w:tcW w:w="635" w:type="pct"/>
          </w:tcPr>
          <w:p w14:paraId="0849A2BD" w14:textId="77777777" w:rsidR="00DD002E" w:rsidRPr="00120322" w:rsidRDefault="00DD002E" w:rsidP="00632A30">
            <w:pPr>
              <w:pStyle w:val="PBACTableText"/>
              <w:keepNext/>
              <w:keepLines/>
              <w:spacing w:before="0" w:after="0"/>
              <w:jc w:val="right"/>
            </w:pPr>
            <w:r w:rsidRPr="00120322">
              <w:t>1349</w:t>
            </w:r>
            <w:r>
              <w:t xml:space="preserve"> </w:t>
            </w:r>
            <w:r w:rsidRPr="00120322">
              <w:t>(68.7)</w:t>
            </w:r>
          </w:p>
        </w:tc>
        <w:tc>
          <w:tcPr>
            <w:tcW w:w="638" w:type="pct"/>
          </w:tcPr>
          <w:p w14:paraId="0BF4DF04" w14:textId="77777777" w:rsidR="00DD002E" w:rsidRPr="00120322" w:rsidRDefault="00DD002E" w:rsidP="00632A30">
            <w:pPr>
              <w:pStyle w:val="PBACTableText"/>
              <w:keepNext/>
              <w:keepLines/>
              <w:spacing w:before="0" w:after="0"/>
              <w:jc w:val="right"/>
            </w:pPr>
            <w:r w:rsidRPr="00120322">
              <w:t>843 (42.9)</w:t>
            </w:r>
          </w:p>
        </w:tc>
        <w:tc>
          <w:tcPr>
            <w:tcW w:w="637" w:type="pct"/>
          </w:tcPr>
          <w:p w14:paraId="4C1C5253" w14:textId="77777777" w:rsidR="00DD002E" w:rsidRPr="00835453" w:rsidRDefault="00DD002E" w:rsidP="00632A30">
            <w:pPr>
              <w:pStyle w:val="PBACTableText"/>
              <w:keepNext/>
              <w:keepLines/>
              <w:spacing w:before="0" w:after="0"/>
              <w:jc w:val="right"/>
            </w:pPr>
            <w:r w:rsidRPr="00835453">
              <w:t>460 (23.4)</w:t>
            </w:r>
          </w:p>
        </w:tc>
        <w:tc>
          <w:tcPr>
            <w:tcW w:w="631" w:type="pct"/>
          </w:tcPr>
          <w:p w14:paraId="758F2AFE" w14:textId="77777777" w:rsidR="00DD002E" w:rsidRPr="00120322" w:rsidRDefault="00DD002E" w:rsidP="00632A30">
            <w:pPr>
              <w:pStyle w:val="PBACTableText"/>
              <w:keepNext/>
              <w:keepLines/>
              <w:spacing w:before="0" w:after="0"/>
              <w:jc w:val="right"/>
            </w:pPr>
            <w:r w:rsidRPr="00120322">
              <w:t>1789</w:t>
            </w:r>
            <w:r>
              <w:t xml:space="preserve"> </w:t>
            </w:r>
            <w:r w:rsidRPr="00120322">
              <w:t>(91.0)</w:t>
            </w:r>
          </w:p>
        </w:tc>
        <w:tc>
          <w:tcPr>
            <w:tcW w:w="634" w:type="pct"/>
          </w:tcPr>
          <w:p w14:paraId="1071413F" w14:textId="77777777" w:rsidR="00DD002E" w:rsidRPr="00120322" w:rsidRDefault="00DD002E" w:rsidP="00632A30">
            <w:pPr>
              <w:pStyle w:val="PBACTableText"/>
              <w:keepNext/>
              <w:keepLines/>
              <w:spacing w:before="0" w:after="0"/>
              <w:jc w:val="right"/>
            </w:pPr>
            <w:r w:rsidRPr="00120322">
              <w:t>192</w:t>
            </w:r>
            <w:r>
              <w:t xml:space="preserve"> </w:t>
            </w:r>
            <w:r w:rsidRPr="00120322">
              <w:t>(9.8)</w:t>
            </w:r>
          </w:p>
        </w:tc>
      </w:tr>
      <w:tr w:rsidR="00DD002E" w:rsidRPr="00120322" w14:paraId="469781AE" w14:textId="77777777" w:rsidTr="00632A30">
        <w:tc>
          <w:tcPr>
            <w:tcW w:w="337" w:type="pct"/>
            <w:vMerge/>
          </w:tcPr>
          <w:p w14:paraId="40781DAE" w14:textId="77777777" w:rsidR="00DD002E" w:rsidRPr="00120322" w:rsidRDefault="00DD002E" w:rsidP="00632A30">
            <w:pPr>
              <w:pStyle w:val="PBACTableText"/>
              <w:keepNext/>
              <w:keepLines/>
              <w:spacing w:before="0" w:after="0"/>
              <w:rPr>
                <w:b/>
              </w:rPr>
            </w:pPr>
          </w:p>
        </w:tc>
        <w:tc>
          <w:tcPr>
            <w:tcW w:w="895" w:type="pct"/>
          </w:tcPr>
          <w:p w14:paraId="5B17833C" w14:textId="77777777" w:rsidR="00DD002E" w:rsidRPr="00120322" w:rsidRDefault="00DD002E" w:rsidP="00632A30">
            <w:pPr>
              <w:pStyle w:val="PBACTableText"/>
              <w:keepNext/>
              <w:keepLines/>
              <w:spacing w:before="0" w:after="0"/>
            </w:pPr>
            <w:r>
              <w:t xml:space="preserve">13vPCV, </w:t>
            </w:r>
            <w:r w:rsidRPr="00120322">
              <w:t>N = 433</w:t>
            </w:r>
          </w:p>
        </w:tc>
        <w:tc>
          <w:tcPr>
            <w:tcW w:w="593" w:type="pct"/>
          </w:tcPr>
          <w:p w14:paraId="30128BA2" w14:textId="77777777" w:rsidR="00DD002E" w:rsidRPr="00120322" w:rsidRDefault="00DD002E" w:rsidP="00632A30">
            <w:pPr>
              <w:pStyle w:val="PBACTableText"/>
              <w:keepNext/>
              <w:keepLines/>
              <w:spacing w:before="0" w:after="0"/>
              <w:jc w:val="right"/>
            </w:pPr>
            <w:r w:rsidRPr="00120322">
              <w:t>404 (93.3)</w:t>
            </w:r>
          </w:p>
        </w:tc>
        <w:tc>
          <w:tcPr>
            <w:tcW w:w="635" w:type="pct"/>
          </w:tcPr>
          <w:p w14:paraId="5283A2D6" w14:textId="77777777" w:rsidR="00DD002E" w:rsidRPr="00120322" w:rsidRDefault="00DD002E" w:rsidP="00632A30">
            <w:pPr>
              <w:pStyle w:val="PBACTableText"/>
              <w:keepNext/>
              <w:keepLines/>
              <w:spacing w:before="0" w:after="0"/>
              <w:jc w:val="right"/>
            </w:pPr>
            <w:r w:rsidRPr="00120322">
              <w:t>266 (61.4)</w:t>
            </w:r>
          </w:p>
        </w:tc>
        <w:tc>
          <w:tcPr>
            <w:tcW w:w="638" w:type="pct"/>
          </w:tcPr>
          <w:p w14:paraId="1F0AD58B" w14:textId="77777777" w:rsidR="00DD002E" w:rsidRPr="00120322" w:rsidRDefault="00DD002E" w:rsidP="00632A30">
            <w:pPr>
              <w:pStyle w:val="PBACTableText"/>
              <w:keepNext/>
              <w:keepLines/>
              <w:spacing w:before="0" w:after="0"/>
              <w:jc w:val="right"/>
            </w:pPr>
            <w:r w:rsidRPr="00120322">
              <w:t>158 (36.5)</w:t>
            </w:r>
          </w:p>
        </w:tc>
        <w:tc>
          <w:tcPr>
            <w:tcW w:w="637" w:type="pct"/>
          </w:tcPr>
          <w:p w14:paraId="7DAEFB40" w14:textId="77777777" w:rsidR="00DD002E" w:rsidRPr="00835453" w:rsidRDefault="00DD002E" w:rsidP="00632A30">
            <w:pPr>
              <w:pStyle w:val="PBACTableText"/>
              <w:keepNext/>
              <w:keepLines/>
              <w:spacing w:before="0" w:after="0"/>
              <w:jc w:val="right"/>
            </w:pPr>
            <w:r w:rsidRPr="00835453">
              <w:t>72 (16.6)</w:t>
            </w:r>
          </w:p>
        </w:tc>
        <w:tc>
          <w:tcPr>
            <w:tcW w:w="631" w:type="pct"/>
          </w:tcPr>
          <w:p w14:paraId="3CE9CA93" w14:textId="77777777" w:rsidR="00DD002E" w:rsidRPr="00120322" w:rsidRDefault="00DD002E" w:rsidP="00632A30">
            <w:pPr>
              <w:pStyle w:val="PBACTableText"/>
              <w:keepNext/>
              <w:keepLines/>
              <w:spacing w:before="0" w:after="0"/>
              <w:jc w:val="right"/>
            </w:pPr>
            <w:r w:rsidRPr="00120322">
              <w:t>393 (90.8)</w:t>
            </w:r>
          </w:p>
        </w:tc>
        <w:tc>
          <w:tcPr>
            <w:tcW w:w="634" w:type="pct"/>
          </w:tcPr>
          <w:p w14:paraId="700D3AD9" w14:textId="77777777" w:rsidR="00DD002E" w:rsidRPr="00120322" w:rsidRDefault="00DD002E" w:rsidP="00632A30">
            <w:pPr>
              <w:pStyle w:val="PBACTableText"/>
              <w:keepNext/>
              <w:keepLines/>
              <w:spacing w:before="0" w:after="0"/>
              <w:jc w:val="right"/>
            </w:pPr>
            <w:r w:rsidRPr="00120322">
              <w:t>45 (10.4)</w:t>
            </w:r>
          </w:p>
        </w:tc>
      </w:tr>
      <w:tr w:rsidR="00DD002E" w:rsidRPr="00120322" w14:paraId="1F9483DC" w14:textId="77777777" w:rsidTr="00632A30">
        <w:tc>
          <w:tcPr>
            <w:tcW w:w="337" w:type="pct"/>
            <w:vMerge/>
          </w:tcPr>
          <w:p w14:paraId="3D56CAF3" w14:textId="77777777" w:rsidR="00DD002E" w:rsidRPr="00120322" w:rsidRDefault="00DD002E" w:rsidP="00632A30">
            <w:pPr>
              <w:pStyle w:val="PBACTableText"/>
              <w:keepNext/>
              <w:keepLines/>
              <w:spacing w:before="0" w:after="0"/>
              <w:rPr>
                <w:b/>
              </w:rPr>
            </w:pPr>
          </w:p>
        </w:tc>
        <w:tc>
          <w:tcPr>
            <w:tcW w:w="895" w:type="pct"/>
          </w:tcPr>
          <w:p w14:paraId="45B4A4D8" w14:textId="77777777" w:rsidR="00DD002E" w:rsidRPr="00120322" w:rsidRDefault="00DD002E" w:rsidP="00632A30">
            <w:pPr>
              <w:pStyle w:val="PBACTableText"/>
              <w:keepNext/>
              <w:keepLines/>
              <w:spacing w:before="0" w:after="0"/>
            </w:pPr>
            <w:r w:rsidRPr="00120322">
              <w:t>Difference</w:t>
            </w:r>
            <w:r>
              <w:t xml:space="preserve"> (%)</w:t>
            </w:r>
            <w:r w:rsidRPr="00120322">
              <w:t xml:space="preserve">, </w:t>
            </w:r>
            <w:r>
              <w:t>15v</w:t>
            </w:r>
            <w:r w:rsidRPr="00120322">
              <w:t>-</w:t>
            </w:r>
            <w:r>
              <w:t>13v</w:t>
            </w:r>
            <w:r w:rsidRPr="00120322">
              <w:t xml:space="preserve">, (95% CI) </w:t>
            </w:r>
          </w:p>
        </w:tc>
        <w:tc>
          <w:tcPr>
            <w:tcW w:w="593" w:type="pct"/>
          </w:tcPr>
          <w:p w14:paraId="3E24C0C5" w14:textId="77777777" w:rsidR="00DD002E" w:rsidRDefault="00DD002E" w:rsidP="00632A30">
            <w:pPr>
              <w:pStyle w:val="PBACTableText"/>
              <w:keepNext/>
              <w:keepLines/>
              <w:spacing w:before="0" w:after="0"/>
            </w:pPr>
            <w:r w:rsidRPr="00120322">
              <w:t xml:space="preserve">0.3 </w:t>
            </w:r>
          </w:p>
          <w:p w14:paraId="2304184A" w14:textId="77777777" w:rsidR="00DD002E" w:rsidRPr="00120322" w:rsidRDefault="00DD002E" w:rsidP="00632A30">
            <w:pPr>
              <w:pStyle w:val="PBACTableText"/>
              <w:keepNext/>
              <w:keepLines/>
              <w:spacing w:before="0" w:after="0"/>
            </w:pPr>
            <w:r w:rsidRPr="00120322">
              <w:t>(-2.0, 3.3)</w:t>
            </w:r>
          </w:p>
        </w:tc>
        <w:tc>
          <w:tcPr>
            <w:tcW w:w="635" w:type="pct"/>
          </w:tcPr>
          <w:p w14:paraId="6F2496BD" w14:textId="77777777" w:rsidR="00DD002E" w:rsidRDefault="00DD002E" w:rsidP="00632A30">
            <w:pPr>
              <w:pStyle w:val="PBACTableText"/>
              <w:keepNext/>
              <w:keepLines/>
              <w:spacing w:before="0" w:after="0"/>
            </w:pPr>
            <w:r w:rsidRPr="00120322">
              <w:t>7.3</w:t>
            </w:r>
          </w:p>
          <w:p w14:paraId="69B7B1EA" w14:textId="77777777" w:rsidR="00DD002E" w:rsidRPr="00120322" w:rsidRDefault="00DD002E" w:rsidP="00632A30">
            <w:pPr>
              <w:pStyle w:val="PBACTableText"/>
              <w:keepNext/>
              <w:keepLines/>
              <w:spacing w:before="0" w:after="0"/>
            </w:pPr>
            <w:r w:rsidRPr="00120322">
              <w:t xml:space="preserve"> (NR)</w:t>
            </w:r>
          </w:p>
        </w:tc>
        <w:tc>
          <w:tcPr>
            <w:tcW w:w="638" w:type="pct"/>
          </w:tcPr>
          <w:p w14:paraId="47315585" w14:textId="77777777" w:rsidR="00DD002E" w:rsidRDefault="00DD002E" w:rsidP="00632A30">
            <w:pPr>
              <w:pStyle w:val="PBACTableText"/>
              <w:keepNext/>
              <w:keepLines/>
              <w:spacing w:before="0" w:after="0"/>
            </w:pPr>
            <w:r w:rsidRPr="00120322">
              <w:t xml:space="preserve">6.4 </w:t>
            </w:r>
          </w:p>
          <w:p w14:paraId="4AAA9E4A" w14:textId="77777777" w:rsidR="00DD002E" w:rsidRPr="00120322" w:rsidRDefault="00DD002E" w:rsidP="00632A30">
            <w:pPr>
              <w:pStyle w:val="PBACTableText"/>
              <w:keepNext/>
              <w:keepLines/>
              <w:spacing w:before="0" w:after="0"/>
            </w:pPr>
            <w:r w:rsidRPr="00120322">
              <w:t>(NR)</w:t>
            </w:r>
          </w:p>
        </w:tc>
        <w:tc>
          <w:tcPr>
            <w:tcW w:w="637" w:type="pct"/>
          </w:tcPr>
          <w:p w14:paraId="0E8767F5" w14:textId="77777777" w:rsidR="00DD002E" w:rsidRDefault="00DD002E" w:rsidP="00632A30">
            <w:pPr>
              <w:pStyle w:val="PBACTableText"/>
              <w:keepNext/>
              <w:keepLines/>
              <w:spacing w:before="0" w:after="0"/>
            </w:pPr>
            <w:r w:rsidRPr="00120322">
              <w:t xml:space="preserve">6.8 </w:t>
            </w:r>
          </w:p>
          <w:p w14:paraId="7BABEB21" w14:textId="77777777" w:rsidR="00DD002E" w:rsidRPr="00120322" w:rsidRDefault="00DD002E" w:rsidP="00632A30">
            <w:pPr>
              <w:pStyle w:val="PBACTableText"/>
              <w:keepNext/>
              <w:keepLines/>
              <w:spacing w:before="0" w:after="0"/>
            </w:pPr>
            <w:r w:rsidRPr="00120322">
              <w:t>(NR)</w:t>
            </w:r>
          </w:p>
        </w:tc>
        <w:tc>
          <w:tcPr>
            <w:tcW w:w="631" w:type="pct"/>
          </w:tcPr>
          <w:p w14:paraId="0D685BFC" w14:textId="77777777" w:rsidR="00DD002E" w:rsidRDefault="00DD002E" w:rsidP="00632A30">
            <w:pPr>
              <w:pStyle w:val="PBACTableText"/>
              <w:keepNext/>
              <w:keepLines/>
              <w:spacing w:before="0" w:after="0"/>
            </w:pPr>
            <w:r w:rsidRPr="00120322">
              <w:t xml:space="preserve">0.2 </w:t>
            </w:r>
          </w:p>
          <w:p w14:paraId="779D83EC" w14:textId="77777777" w:rsidR="00DD002E" w:rsidRPr="00120322" w:rsidRDefault="00DD002E" w:rsidP="00632A30">
            <w:pPr>
              <w:pStyle w:val="PBACTableText"/>
              <w:keepNext/>
              <w:keepLines/>
              <w:spacing w:before="0" w:after="0"/>
            </w:pPr>
            <w:r w:rsidRPr="00120322">
              <w:t>(NR)</w:t>
            </w:r>
          </w:p>
        </w:tc>
        <w:tc>
          <w:tcPr>
            <w:tcW w:w="634" w:type="pct"/>
          </w:tcPr>
          <w:p w14:paraId="70DAE978" w14:textId="77777777" w:rsidR="00DD002E" w:rsidRDefault="00DD002E" w:rsidP="00632A30">
            <w:pPr>
              <w:pStyle w:val="PBACTableText"/>
              <w:keepNext/>
              <w:keepLines/>
              <w:spacing w:before="0" w:after="0"/>
            </w:pPr>
            <w:r w:rsidRPr="00120322">
              <w:t xml:space="preserve">-0.6 </w:t>
            </w:r>
          </w:p>
          <w:p w14:paraId="193BA0CC" w14:textId="77777777" w:rsidR="00DD002E" w:rsidRPr="00120322" w:rsidRDefault="00DD002E" w:rsidP="00632A30">
            <w:pPr>
              <w:pStyle w:val="PBACTableText"/>
              <w:keepNext/>
              <w:keepLines/>
              <w:spacing w:before="0" w:after="0"/>
            </w:pPr>
            <w:r w:rsidRPr="00120322">
              <w:t>(-4.1, 2.3)</w:t>
            </w:r>
          </w:p>
        </w:tc>
      </w:tr>
      <w:tr w:rsidR="00DD002E" w:rsidRPr="00120322" w14:paraId="2EFC18E1" w14:textId="77777777" w:rsidTr="00632A30">
        <w:tc>
          <w:tcPr>
            <w:tcW w:w="337" w:type="pct"/>
            <w:vMerge w:val="restart"/>
          </w:tcPr>
          <w:p w14:paraId="1F9348EB" w14:textId="77777777" w:rsidR="00DD002E" w:rsidRPr="00120322" w:rsidRDefault="00DD002E" w:rsidP="00632A30">
            <w:pPr>
              <w:pStyle w:val="PBACTableText"/>
              <w:keepNext/>
              <w:keepLines/>
              <w:spacing w:before="0" w:after="0"/>
              <w:rPr>
                <w:b/>
              </w:rPr>
            </w:pPr>
            <w:r w:rsidRPr="00120322">
              <w:rPr>
                <w:b/>
              </w:rPr>
              <w:t>P023</w:t>
            </w:r>
          </w:p>
        </w:tc>
        <w:tc>
          <w:tcPr>
            <w:tcW w:w="895" w:type="pct"/>
          </w:tcPr>
          <w:p w14:paraId="70612979" w14:textId="77777777" w:rsidR="00DD002E" w:rsidRPr="00120322" w:rsidRDefault="00DD002E" w:rsidP="00632A30">
            <w:pPr>
              <w:pStyle w:val="PBACTableText"/>
              <w:keepNext/>
              <w:keepLines/>
              <w:spacing w:before="0" w:after="0"/>
            </w:pPr>
            <w:r>
              <w:t xml:space="preserve">15vPCV, </w:t>
            </w:r>
            <w:r w:rsidRPr="00120322">
              <w:t>N = 69</w:t>
            </w:r>
          </w:p>
        </w:tc>
        <w:tc>
          <w:tcPr>
            <w:tcW w:w="593" w:type="pct"/>
          </w:tcPr>
          <w:p w14:paraId="5A80F972" w14:textId="77777777" w:rsidR="00DD002E" w:rsidRPr="00120322" w:rsidRDefault="00DD002E" w:rsidP="00632A30">
            <w:pPr>
              <w:pStyle w:val="PBACTableText"/>
              <w:keepNext/>
              <w:keepLines/>
              <w:spacing w:before="0" w:after="0"/>
              <w:jc w:val="right"/>
            </w:pPr>
            <w:r w:rsidRPr="00120322">
              <w:t>56 (81.2)</w:t>
            </w:r>
          </w:p>
        </w:tc>
        <w:tc>
          <w:tcPr>
            <w:tcW w:w="635" w:type="pct"/>
          </w:tcPr>
          <w:p w14:paraId="20EE793C" w14:textId="77777777" w:rsidR="00DD002E" w:rsidRPr="00120322" w:rsidRDefault="00DD002E" w:rsidP="00632A30">
            <w:pPr>
              <w:pStyle w:val="PBACTableText"/>
              <w:keepNext/>
              <w:keepLines/>
              <w:spacing w:before="0" w:after="0"/>
              <w:jc w:val="right"/>
            </w:pPr>
            <w:r w:rsidRPr="00120322">
              <w:t>48 (69.6)</w:t>
            </w:r>
          </w:p>
        </w:tc>
        <w:tc>
          <w:tcPr>
            <w:tcW w:w="638" w:type="pct"/>
          </w:tcPr>
          <w:p w14:paraId="77ADBF12" w14:textId="77777777" w:rsidR="00DD002E" w:rsidRPr="00120322" w:rsidRDefault="00DD002E" w:rsidP="00632A30">
            <w:pPr>
              <w:pStyle w:val="PBACTableText"/>
              <w:keepNext/>
              <w:keepLines/>
              <w:spacing w:before="0" w:after="0"/>
              <w:jc w:val="right"/>
            </w:pPr>
            <w:r w:rsidRPr="00120322">
              <w:t>42 (60.9)</w:t>
            </w:r>
          </w:p>
        </w:tc>
        <w:tc>
          <w:tcPr>
            <w:tcW w:w="637" w:type="pct"/>
          </w:tcPr>
          <w:p w14:paraId="5F88124B" w14:textId="77777777" w:rsidR="00DD002E" w:rsidRPr="00120322" w:rsidRDefault="00DD002E" w:rsidP="00632A30">
            <w:pPr>
              <w:pStyle w:val="PBACTableText"/>
              <w:keepNext/>
              <w:keepLines/>
              <w:spacing w:before="0" w:after="0"/>
              <w:jc w:val="right"/>
            </w:pPr>
            <w:r w:rsidRPr="00120322">
              <w:t>12 (17.4)</w:t>
            </w:r>
          </w:p>
        </w:tc>
        <w:tc>
          <w:tcPr>
            <w:tcW w:w="631" w:type="pct"/>
          </w:tcPr>
          <w:p w14:paraId="0232B1B9" w14:textId="77777777" w:rsidR="00DD002E" w:rsidRPr="00120322" w:rsidRDefault="00DD002E" w:rsidP="00632A30">
            <w:pPr>
              <w:pStyle w:val="PBACTableText"/>
              <w:keepNext/>
              <w:keepLines/>
              <w:spacing w:before="0" w:after="0"/>
              <w:jc w:val="right"/>
            </w:pPr>
            <w:r w:rsidRPr="00120322">
              <w:t>42</w:t>
            </w:r>
            <w:r>
              <w:t xml:space="preserve"> </w:t>
            </w:r>
            <w:r w:rsidRPr="00120322">
              <w:t>(60.9)</w:t>
            </w:r>
          </w:p>
        </w:tc>
        <w:tc>
          <w:tcPr>
            <w:tcW w:w="634" w:type="pct"/>
          </w:tcPr>
          <w:p w14:paraId="6DD8BDF4" w14:textId="77777777" w:rsidR="00DD002E" w:rsidRPr="00120322" w:rsidRDefault="00DD002E" w:rsidP="00632A30">
            <w:pPr>
              <w:pStyle w:val="PBACTableText"/>
              <w:keepNext/>
              <w:keepLines/>
              <w:spacing w:before="0" w:after="0"/>
              <w:jc w:val="right"/>
            </w:pPr>
            <w:r w:rsidRPr="00120322">
              <w:t>13 (18.8)</w:t>
            </w:r>
          </w:p>
        </w:tc>
      </w:tr>
      <w:tr w:rsidR="00DD002E" w:rsidRPr="00120322" w14:paraId="70D34619" w14:textId="77777777" w:rsidTr="00632A30">
        <w:tc>
          <w:tcPr>
            <w:tcW w:w="337" w:type="pct"/>
            <w:vMerge/>
          </w:tcPr>
          <w:p w14:paraId="1853350D" w14:textId="77777777" w:rsidR="00DD002E" w:rsidRPr="00120322" w:rsidRDefault="00DD002E" w:rsidP="00632A30">
            <w:pPr>
              <w:pStyle w:val="PBACTableText"/>
              <w:keepNext/>
              <w:keepLines/>
              <w:spacing w:before="0" w:after="0"/>
              <w:rPr>
                <w:b/>
              </w:rPr>
            </w:pPr>
          </w:p>
        </w:tc>
        <w:tc>
          <w:tcPr>
            <w:tcW w:w="895" w:type="pct"/>
          </w:tcPr>
          <w:p w14:paraId="4B26E7DF" w14:textId="77777777" w:rsidR="00DD002E" w:rsidRPr="00120322" w:rsidRDefault="00DD002E" w:rsidP="00632A30">
            <w:pPr>
              <w:pStyle w:val="PBACTableText"/>
              <w:keepNext/>
              <w:keepLines/>
              <w:spacing w:before="0" w:after="0"/>
            </w:pPr>
            <w:r>
              <w:t xml:space="preserve">13vPCV, </w:t>
            </w:r>
            <w:r w:rsidRPr="00120322">
              <w:t>N = 34</w:t>
            </w:r>
          </w:p>
        </w:tc>
        <w:tc>
          <w:tcPr>
            <w:tcW w:w="593" w:type="pct"/>
          </w:tcPr>
          <w:p w14:paraId="2E9A4009" w14:textId="77777777" w:rsidR="00DD002E" w:rsidRPr="00120322" w:rsidRDefault="00DD002E" w:rsidP="00632A30">
            <w:pPr>
              <w:pStyle w:val="PBACTableText"/>
              <w:keepNext/>
              <w:keepLines/>
              <w:spacing w:before="0" w:after="0"/>
              <w:jc w:val="right"/>
            </w:pPr>
            <w:r w:rsidRPr="00120322">
              <w:t>27</w:t>
            </w:r>
            <w:r>
              <w:t xml:space="preserve"> </w:t>
            </w:r>
            <w:r w:rsidRPr="00120322">
              <w:t>(79.4)</w:t>
            </w:r>
          </w:p>
        </w:tc>
        <w:tc>
          <w:tcPr>
            <w:tcW w:w="635" w:type="pct"/>
          </w:tcPr>
          <w:p w14:paraId="6E9773EE" w14:textId="77777777" w:rsidR="00DD002E" w:rsidRPr="00120322" w:rsidRDefault="00DD002E" w:rsidP="00632A30">
            <w:pPr>
              <w:pStyle w:val="PBACTableText"/>
              <w:keepNext/>
              <w:keepLines/>
              <w:spacing w:before="0" w:after="0"/>
              <w:jc w:val="right"/>
            </w:pPr>
            <w:r w:rsidRPr="00120322">
              <w:t>26 (76.5)</w:t>
            </w:r>
          </w:p>
        </w:tc>
        <w:tc>
          <w:tcPr>
            <w:tcW w:w="638" w:type="pct"/>
          </w:tcPr>
          <w:p w14:paraId="4347696C" w14:textId="77777777" w:rsidR="00DD002E" w:rsidRPr="00120322" w:rsidRDefault="00DD002E" w:rsidP="00632A30">
            <w:pPr>
              <w:pStyle w:val="PBACTableText"/>
              <w:keepNext/>
              <w:keepLines/>
              <w:spacing w:before="0" w:after="0"/>
              <w:jc w:val="right"/>
            </w:pPr>
            <w:r w:rsidRPr="00120322">
              <w:t>23 (67.6)</w:t>
            </w:r>
          </w:p>
        </w:tc>
        <w:tc>
          <w:tcPr>
            <w:tcW w:w="637" w:type="pct"/>
          </w:tcPr>
          <w:p w14:paraId="25A426BB" w14:textId="77777777" w:rsidR="00DD002E" w:rsidRPr="00835453" w:rsidRDefault="00DD002E" w:rsidP="00632A30">
            <w:pPr>
              <w:pStyle w:val="PBACTableText"/>
              <w:keepNext/>
              <w:keepLines/>
              <w:spacing w:before="0" w:after="0"/>
              <w:jc w:val="right"/>
            </w:pPr>
            <w:r w:rsidRPr="00835453">
              <w:t>4 (11.8)</w:t>
            </w:r>
          </w:p>
        </w:tc>
        <w:tc>
          <w:tcPr>
            <w:tcW w:w="631" w:type="pct"/>
          </w:tcPr>
          <w:p w14:paraId="256EAD40" w14:textId="77777777" w:rsidR="00DD002E" w:rsidRPr="00120322" w:rsidRDefault="00DD002E" w:rsidP="00632A30">
            <w:pPr>
              <w:pStyle w:val="PBACTableText"/>
              <w:keepNext/>
              <w:keepLines/>
              <w:spacing w:before="0" w:after="0"/>
              <w:jc w:val="right"/>
            </w:pPr>
            <w:r w:rsidRPr="00120322">
              <w:t>19 (55.9)</w:t>
            </w:r>
          </w:p>
        </w:tc>
        <w:tc>
          <w:tcPr>
            <w:tcW w:w="634" w:type="pct"/>
          </w:tcPr>
          <w:p w14:paraId="21F93782" w14:textId="77777777" w:rsidR="00DD002E" w:rsidRPr="00120322" w:rsidRDefault="00DD002E" w:rsidP="00632A30">
            <w:pPr>
              <w:pStyle w:val="PBACTableText"/>
              <w:keepNext/>
              <w:keepLines/>
              <w:spacing w:before="0" w:after="0"/>
              <w:jc w:val="right"/>
            </w:pPr>
            <w:r w:rsidRPr="00120322">
              <w:t>8 (23.5)</w:t>
            </w:r>
          </w:p>
        </w:tc>
      </w:tr>
      <w:tr w:rsidR="00DD002E" w:rsidRPr="00120322" w14:paraId="0EB75CD6" w14:textId="77777777" w:rsidTr="00632A30">
        <w:tc>
          <w:tcPr>
            <w:tcW w:w="337" w:type="pct"/>
            <w:vMerge/>
          </w:tcPr>
          <w:p w14:paraId="74351F0C" w14:textId="77777777" w:rsidR="00DD002E" w:rsidRPr="00120322" w:rsidRDefault="00DD002E" w:rsidP="00632A30">
            <w:pPr>
              <w:pStyle w:val="PBACTableText"/>
              <w:keepNext/>
              <w:keepLines/>
              <w:spacing w:before="0" w:after="0"/>
              <w:rPr>
                <w:b/>
              </w:rPr>
            </w:pPr>
          </w:p>
        </w:tc>
        <w:tc>
          <w:tcPr>
            <w:tcW w:w="895" w:type="pct"/>
          </w:tcPr>
          <w:p w14:paraId="34F4F3D7" w14:textId="77777777" w:rsidR="00DD002E" w:rsidRPr="00120322" w:rsidRDefault="00DD002E" w:rsidP="00632A30">
            <w:pPr>
              <w:pStyle w:val="PBACTableText"/>
              <w:keepNext/>
              <w:keepLines/>
              <w:spacing w:before="0" w:after="0"/>
            </w:pPr>
            <w:r w:rsidRPr="00120322">
              <w:t>Difference</w:t>
            </w:r>
            <w:r>
              <w:t xml:space="preserve"> (%)</w:t>
            </w:r>
            <w:r w:rsidRPr="00120322">
              <w:t xml:space="preserve">, </w:t>
            </w:r>
            <w:r>
              <w:t>15v</w:t>
            </w:r>
            <w:r w:rsidRPr="00120322">
              <w:t>-</w:t>
            </w:r>
            <w:r>
              <w:t>13v</w:t>
            </w:r>
            <w:r w:rsidRPr="00120322">
              <w:t xml:space="preserve">, (95% CI) </w:t>
            </w:r>
          </w:p>
        </w:tc>
        <w:tc>
          <w:tcPr>
            <w:tcW w:w="593" w:type="pct"/>
          </w:tcPr>
          <w:p w14:paraId="343B48E9" w14:textId="77777777" w:rsidR="00DD002E" w:rsidRDefault="00DD002E" w:rsidP="00632A30">
            <w:pPr>
              <w:pStyle w:val="PBACTableText"/>
              <w:keepNext/>
              <w:keepLines/>
              <w:spacing w:before="0" w:after="0"/>
            </w:pPr>
            <w:r w:rsidRPr="00120322">
              <w:t xml:space="preserve">-1.8 </w:t>
            </w:r>
          </w:p>
          <w:p w14:paraId="6168E943" w14:textId="77777777" w:rsidR="00DD002E" w:rsidRPr="00120322" w:rsidRDefault="00DD002E" w:rsidP="00632A30">
            <w:pPr>
              <w:pStyle w:val="PBACTableText"/>
              <w:keepNext/>
              <w:keepLines/>
              <w:spacing w:before="0" w:after="0"/>
            </w:pPr>
            <w:r w:rsidRPr="00120322">
              <w:t>(NR)</w:t>
            </w:r>
          </w:p>
        </w:tc>
        <w:tc>
          <w:tcPr>
            <w:tcW w:w="635" w:type="pct"/>
          </w:tcPr>
          <w:p w14:paraId="10C98848" w14:textId="77777777" w:rsidR="00DD002E" w:rsidRDefault="00DD002E" w:rsidP="00632A30">
            <w:pPr>
              <w:pStyle w:val="PBACTableText"/>
              <w:keepNext/>
              <w:keepLines/>
              <w:spacing w:before="0" w:after="0"/>
            </w:pPr>
            <w:r w:rsidRPr="00120322">
              <w:t xml:space="preserve">-6.9 </w:t>
            </w:r>
          </w:p>
          <w:p w14:paraId="1E7DFCF0" w14:textId="77777777" w:rsidR="00DD002E" w:rsidRPr="00120322" w:rsidRDefault="00DD002E" w:rsidP="00632A30">
            <w:pPr>
              <w:pStyle w:val="PBACTableText"/>
              <w:keepNext/>
              <w:keepLines/>
              <w:spacing w:before="0" w:after="0"/>
            </w:pPr>
            <w:r w:rsidRPr="00120322">
              <w:t>(NR)</w:t>
            </w:r>
          </w:p>
        </w:tc>
        <w:tc>
          <w:tcPr>
            <w:tcW w:w="638" w:type="pct"/>
          </w:tcPr>
          <w:p w14:paraId="625D414D" w14:textId="77777777" w:rsidR="00DD002E" w:rsidRDefault="00DD002E" w:rsidP="00632A30">
            <w:pPr>
              <w:pStyle w:val="PBACTableText"/>
              <w:keepNext/>
              <w:keepLines/>
              <w:spacing w:before="0" w:after="0"/>
            </w:pPr>
            <w:r w:rsidRPr="00120322">
              <w:t xml:space="preserve">-6.7 </w:t>
            </w:r>
          </w:p>
          <w:p w14:paraId="2E9F1711" w14:textId="77777777" w:rsidR="00DD002E" w:rsidRPr="00120322" w:rsidRDefault="00DD002E" w:rsidP="00632A30">
            <w:pPr>
              <w:pStyle w:val="PBACTableText"/>
              <w:keepNext/>
              <w:keepLines/>
              <w:spacing w:before="0" w:after="0"/>
            </w:pPr>
            <w:r w:rsidRPr="00120322">
              <w:t>(NR)</w:t>
            </w:r>
          </w:p>
        </w:tc>
        <w:tc>
          <w:tcPr>
            <w:tcW w:w="637" w:type="pct"/>
          </w:tcPr>
          <w:p w14:paraId="2844B6D4" w14:textId="77777777" w:rsidR="00DD002E" w:rsidRPr="00835453" w:rsidRDefault="00DD002E" w:rsidP="00632A30">
            <w:pPr>
              <w:pStyle w:val="PBACTableText"/>
              <w:keepNext/>
              <w:keepLines/>
              <w:spacing w:before="0" w:after="0"/>
            </w:pPr>
            <w:r w:rsidRPr="00835453">
              <w:t xml:space="preserve">5.6 </w:t>
            </w:r>
          </w:p>
          <w:p w14:paraId="6F2699B6" w14:textId="77777777" w:rsidR="00DD002E" w:rsidRPr="00835453" w:rsidRDefault="00DD002E" w:rsidP="00632A30">
            <w:pPr>
              <w:pStyle w:val="PBACTableText"/>
              <w:keepNext/>
              <w:keepLines/>
              <w:spacing w:before="0" w:after="0"/>
            </w:pPr>
            <w:r w:rsidRPr="00835453">
              <w:t>(NR)</w:t>
            </w:r>
          </w:p>
        </w:tc>
        <w:tc>
          <w:tcPr>
            <w:tcW w:w="631" w:type="pct"/>
          </w:tcPr>
          <w:p w14:paraId="36E3CBE3" w14:textId="77777777" w:rsidR="00DD002E" w:rsidRDefault="00DD002E" w:rsidP="00632A30">
            <w:pPr>
              <w:pStyle w:val="PBACTableText"/>
              <w:keepNext/>
              <w:keepLines/>
              <w:spacing w:before="0" w:after="0"/>
            </w:pPr>
            <w:r w:rsidRPr="00120322">
              <w:t xml:space="preserve">5.0 </w:t>
            </w:r>
          </w:p>
          <w:p w14:paraId="5C11852D" w14:textId="77777777" w:rsidR="00DD002E" w:rsidRPr="00120322" w:rsidRDefault="00DD002E" w:rsidP="00632A30">
            <w:pPr>
              <w:pStyle w:val="PBACTableText"/>
              <w:keepNext/>
              <w:keepLines/>
              <w:spacing w:before="0" w:after="0"/>
            </w:pPr>
            <w:r w:rsidRPr="00120322">
              <w:t>(NR)</w:t>
            </w:r>
          </w:p>
        </w:tc>
        <w:tc>
          <w:tcPr>
            <w:tcW w:w="634" w:type="pct"/>
          </w:tcPr>
          <w:p w14:paraId="272EF4A7" w14:textId="77777777" w:rsidR="00DD002E" w:rsidRDefault="00DD002E" w:rsidP="00632A30">
            <w:pPr>
              <w:pStyle w:val="PBACTableText"/>
              <w:keepNext/>
              <w:keepLines/>
              <w:spacing w:before="0" w:after="0"/>
            </w:pPr>
            <w:r w:rsidRPr="00120322">
              <w:t xml:space="preserve">-4.7 </w:t>
            </w:r>
          </w:p>
          <w:p w14:paraId="4F6C7452" w14:textId="77777777" w:rsidR="00DD002E" w:rsidRPr="00120322" w:rsidRDefault="00DD002E" w:rsidP="00632A30">
            <w:pPr>
              <w:pStyle w:val="PBACTableText"/>
              <w:keepNext/>
              <w:keepLines/>
              <w:spacing w:before="0" w:after="0"/>
            </w:pPr>
            <w:r w:rsidRPr="00120322">
              <w:t>(NR)</w:t>
            </w:r>
          </w:p>
        </w:tc>
      </w:tr>
      <w:tr w:rsidR="00DD002E" w:rsidRPr="00120322" w14:paraId="79C9F0D4" w14:textId="77777777" w:rsidTr="00632A30">
        <w:tc>
          <w:tcPr>
            <w:tcW w:w="337" w:type="pct"/>
            <w:vMerge w:val="restart"/>
          </w:tcPr>
          <w:p w14:paraId="2B713890" w14:textId="77777777" w:rsidR="00DD002E" w:rsidRPr="00120322" w:rsidRDefault="00DD002E" w:rsidP="00632A30">
            <w:pPr>
              <w:pStyle w:val="PBACTableText"/>
              <w:keepNext/>
              <w:keepLines/>
              <w:spacing w:before="0" w:after="0"/>
              <w:rPr>
                <w:b/>
              </w:rPr>
            </w:pPr>
            <w:r w:rsidRPr="00120322">
              <w:rPr>
                <w:b/>
              </w:rPr>
              <w:t>P030</w:t>
            </w:r>
          </w:p>
        </w:tc>
        <w:tc>
          <w:tcPr>
            <w:tcW w:w="895" w:type="pct"/>
          </w:tcPr>
          <w:p w14:paraId="3193B658" w14:textId="77777777" w:rsidR="00DD002E" w:rsidRPr="00120322" w:rsidRDefault="00DD002E" w:rsidP="00632A30">
            <w:pPr>
              <w:pStyle w:val="PBACTableText"/>
              <w:keepNext/>
              <w:keepLines/>
              <w:spacing w:before="0" w:after="0"/>
            </w:pPr>
            <w:r>
              <w:t xml:space="preserve">15vPCV, </w:t>
            </w:r>
            <w:r w:rsidRPr="00120322">
              <w:t>N = 203</w:t>
            </w:r>
          </w:p>
        </w:tc>
        <w:tc>
          <w:tcPr>
            <w:tcW w:w="593" w:type="pct"/>
          </w:tcPr>
          <w:p w14:paraId="0AC71322" w14:textId="77777777" w:rsidR="00DD002E" w:rsidRPr="00120322" w:rsidRDefault="00DD002E" w:rsidP="00632A30">
            <w:pPr>
              <w:pStyle w:val="PBACTableText"/>
              <w:keepNext/>
              <w:keepLines/>
              <w:spacing w:before="0" w:after="0"/>
              <w:jc w:val="right"/>
            </w:pPr>
            <w:r w:rsidRPr="00120322">
              <w:t>160 (78.8)</w:t>
            </w:r>
          </w:p>
        </w:tc>
        <w:tc>
          <w:tcPr>
            <w:tcW w:w="635" w:type="pct"/>
          </w:tcPr>
          <w:p w14:paraId="1235A591" w14:textId="77777777" w:rsidR="00DD002E" w:rsidRPr="00120322" w:rsidRDefault="00DD002E" w:rsidP="00632A30">
            <w:pPr>
              <w:pStyle w:val="PBACTableText"/>
              <w:keepNext/>
              <w:keepLines/>
              <w:spacing w:before="0" w:after="0"/>
              <w:jc w:val="right"/>
            </w:pPr>
            <w:r w:rsidRPr="00120322">
              <w:t>145 (71.4)</w:t>
            </w:r>
          </w:p>
        </w:tc>
        <w:tc>
          <w:tcPr>
            <w:tcW w:w="638" w:type="pct"/>
          </w:tcPr>
          <w:p w14:paraId="2F1D7794" w14:textId="77777777" w:rsidR="00DD002E" w:rsidRPr="00120322" w:rsidRDefault="00DD002E" w:rsidP="00632A30">
            <w:pPr>
              <w:pStyle w:val="PBACTableText"/>
              <w:keepNext/>
              <w:keepLines/>
              <w:spacing w:before="0" w:after="0"/>
              <w:jc w:val="right"/>
            </w:pPr>
            <w:r w:rsidRPr="00120322">
              <w:t>112 (55.2)</w:t>
            </w:r>
          </w:p>
        </w:tc>
        <w:tc>
          <w:tcPr>
            <w:tcW w:w="637" w:type="pct"/>
          </w:tcPr>
          <w:p w14:paraId="188142AF" w14:textId="77777777" w:rsidR="00DD002E" w:rsidRPr="00835453" w:rsidRDefault="00DD002E" w:rsidP="00632A30">
            <w:pPr>
              <w:pStyle w:val="PBACTableText"/>
              <w:keepNext/>
              <w:keepLines/>
              <w:spacing w:before="0" w:after="0"/>
              <w:jc w:val="right"/>
            </w:pPr>
            <w:r w:rsidRPr="00835453">
              <w:t>28 (13.8)</w:t>
            </w:r>
          </w:p>
        </w:tc>
        <w:tc>
          <w:tcPr>
            <w:tcW w:w="631" w:type="pct"/>
          </w:tcPr>
          <w:p w14:paraId="31E7E5DA" w14:textId="77777777" w:rsidR="00DD002E" w:rsidRPr="00120322" w:rsidRDefault="00DD002E" w:rsidP="00632A30">
            <w:pPr>
              <w:pStyle w:val="PBACTableText"/>
              <w:keepNext/>
              <w:keepLines/>
              <w:spacing w:before="0" w:after="0"/>
              <w:jc w:val="right"/>
            </w:pPr>
            <w:r w:rsidRPr="00120322">
              <w:t>107</w:t>
            </w:r>
            <w:r>
              <w:t xml:space="preserve"> </w:t>
            </w:r>
            <w:r w:rsidRPr="00120322">
              <w:t>(52.7)</w:t>
            </w:r>
          </w:p>
        </w:tc>
        <w:tc>
          <w:tcPr>
            <w:tcW w:w="634" w:type="pct"/>
          </w:tcPr>
          <w:p w14:paraId="2869B177" w14:textId="77777777" w:rsidR="00DD002E" w:rsidRPr="00120322" w:rsidRDefault="00DD002E" w:rsidP="00632A30">
            <w:pPr>
              <w:pStyle w:val="PBACTableText"/>
              <w:keepNext/>
              <w:keepLines/>
              <w:spacing w:before="0" w:after="0"/>
              <w:jc w:val="right"/>
            </w:pPr>
            <w:r w:rsidRPr="00120322">
              <w:t>1 (0.5)</w:t>
            </w:r>
          </w:p>
        </w:tc>
      </w:tr>
      <w:tr w:rsidR="00DD002E" w:rsidRPr="00120322" w14:paraId="632BB40B" w14:textId="77777777" w:rsidTr="00632A30">
        <w:tc>
          <w:tcPr>
            <w:tcW w:w="337" w:type="pct"/>
            <w:vMerge/>
          </w:tcPr>
          <w:p w14:paraId="5328E39C" w14:textId="77777777" w:rsidR="00DD002E" w:rsidRPr="00120322" w:rsidRDefault="00DD002E" w:rsidP="00632A30">
            <w:pPr>
              <w:pStyle w:val="PBACTableText"/>
              <w:keepNext/>
              <w:keepLines/>
              <w:spacing w:before="0" w:after="0"/>
            </w:pPr>
          </w:p>
        </w:tc>
        <w:tc>
          <w:tcPr>
            <w:tcW w:w="895" w:type="pct"/>
          </w:tcPr>
          <w:p w14:paraId="62B0B568" w14:textId="77777777" w:rsidR="00DD002E" w:rsidRPr="00120322" w:rsidRDefault="00DD002E" w:rsidP="00632A30">
            <w:pPr>
              <w:pStyle w:val="PBACTableText"/>
              <w:keepNext/>
              <w:keepLines/>
              <w:spacing w:before="0" w:after="0"/>
            </w:pPr>
            <w:r>
              <w:t xml:space="preserve">13vPCV, </w:t>
            </w:r>
            <w:r w:rsidRPr="00120322">
              <w:t>N = 204</w:t>
            </w:r>
          </w:p>
        </w:tc>
        <w:tc>
          <w:tcPr>
            <w:tcW w:w="593" w:type="pct"/>
          </w:tcPr>
          <w:p w14:paraId="302C398A" w14:textId="77777777" w:rsidR="00DD002E" w:rsidRPr="00120322" w:rsidRDefault="00DD002E" w:rsidP="00632A30">
            <w:pPr>
              <w:pStyle w:val="PBACTableText"/>
              <w:keepNext/>
              <w:keepLines/>
              <w:spacing w:before="0" w:after="0"/>
              <w:jc w:val="right"/>
            </w:pPr>
            <w:r w:rsidRPr="00120322">
              <w:t>142 (69.6)</w:t>
            </w:r>
          </w:p>
        </w:tc>
        <w:tc>
          <w:tcPr>
            <w:tcW w:w="635" w:type="pct"/>
          </w:tcPr>
          <w:p w14:paraId="2BA8260C" w14:textId="77777777" w:rsidR="00DD002E" w:rsidRPr="00120322" w:rsidRDefault="00DD002E" w:rsidP="00632A30">
            <w:pPr>
              <w:pStyle w:val="PBACTableText"/>
              <w:keepNext/>
              <w:keepLines/>
              <w:spacing w:before="0" w:after="0"/>
              <w:jc w:val="right"/>
            </w:pPr>
            <w:r w:rsidRPr="00120322">
              <w:t>122 (59.8)</w:t>
            </w:r>
          </w:p>
        </w:tc>
        <w:tc>
          <w:tcPr>
            <w:tcW w:w="638" w:type="pct"/>
          </w:tcPr>
          <w:p w14:paraId="6CC855B3" w14:textId="77777777" w:rsidR="00DD002E" w:rsidRPr="00120322" w:rsidRDefault="00DD002E" w:rsidP="00632A30">
            <w:pPr>
              <w:pStyle w:val="PBACTableText"/>
              <w:keepNext/>
              <w:keepLines/>
              <w:spacing w:before="0" w:after="0"/>
              <w:jc w:val="right"/>
            </w:pPr>
            <w:r w:rsidRPr="00120322">
              <w:t>110 (53.9)</w:t>
            </w:r>
          </w:p>
        </w:tc>
        <w:tc>
          <w:tcPr>
            <w:tcW w:w="637" w:type="pct"/>
          </w:tcPr>
          <w:p w14:paraId="5C8CAED5" w14:textId="77777777" w:rsidR="00DD002E" w:rsidRPr="00835453" w:rsidRDefault="00DD002E" w:rsidP="00632A30">
            <w:pPr>
              <w:pStyle w:val="PBACTableText"/>
              <w:keepNext/>
              <w:keepLines/>
              <w:spacing w:before="0" w:after="0"/>
              <w:jc w:val="right"/>
            </w:pPr>
            <w:r w:rsidRPr="00835453">
              <w:t>33</w:t>
            </w:r>
            <w:r>
              <w:t xml:space="preserve"> </w:t>
            </w:r>
            <w:r w:rsidRPr="00835453">
              <w:t>(16.2)</w:t>
            </w:r>
          </w:p>
        </w:tc>
        <w:tc>
          <w:tcPr>
            <w:tcW w:w="631" w:type="pct"/>
          </w:tcPr>
          <w:p w14:paraId="1C1C167F" w14:textId="77777777" w:rsidR="00DD002E" w:rsidRPr="00120322" w:rsidRDefault="00DD002E" w:rsidP="00632A30">
            <w:pPr>
              <w:pStyle w:val="PBACTableText"/>
              <w:keepNext/>
              <w:keepLines/>
              <w:spacing w:before="0" w:after="0"/>
              <w:jc w:val="right"/>
            </w:pPr>
            <w:r w:rsidRPr="00120322">
              <w:t>90 (44.1)</w:t>
            </w:r>
          </w:p>
        </w:tc>
        <w:tc>
          <w:tcPr>
            <w:tcW w:w="634" w:type="pct"/>
          </w:tcPr>
          <w:p w14:paraId="7C97B5F0" w14:textId="77777777" w:rsidR="00DD002E" w:rsidRPr="00120322" w:rsidRDefault="00DD002E" w:rsidP="00632A30">
            <w:pPr>
              <w:pStyle w:val="PBACTableText"/>
              <w:keepNext/>
              <w:keepLines/>
              <w:spacing w:before="0" w:after="0"/>
              <w:jc w:val="right"/>
            </w:pPr>
            <w:r w:rsidRPr="00120322">
              <w:t>1</w:t>
            </w:r>
            <w:r>
              <w:t xml:space="preserve"> </w:t>
            </w:r>
            <w:r w:rsidRPr="00120322">
              <w:t>(0.5)</w:t>
            </w:r>
          </w:p>
        </w:tc>
      </w:tr>
      <w:tr w:rsidR="00DD002E" w:rsidRPr="00120322" w14:paraId="0F756C37" w14:textId="77777777" w:rsidTr="00632A30">
        <w:tc>
          <w:tcPr>
            <w:tcW w:w="337" w:type="pct"/>
            <w:vMerge/>
          </w:tcPr>
          <w:p w14:paraId="1EA6ED94" w14:textId="77777777" w:rsidR="00DD002E" w:rsidRPr="00120322" w:rsidRDefault="00DD002E" w:rsidP="00632A30">
            <w:pPr>
              <w:pStyle w:val="PBACTableText"/>
              <w:keepNext/>
              <w:keepLines/>
              <w:spacing w:before="0" w:after="0"/>
            </w:pPr>
          </w:p>
        </w:tc>
        <w:tc>
          <w:tcPr>
            <w:tcW w:w="895" w:type="pct"/>
          </w:tcPr>
          <w:p w14:paraId="04F5099B" w14:textId="77777777" w:rsidR="00DD002E" w:rsidRPr="00120322" w:rsidRDefault="00DD002E" w:rsidP="00632A30">
            <w:pPr>
              <w:pStyle w:val="PBACTableText"/>
              <w:keepNext/>
              <w:keepLines/>
              <w:spacing w:before="0" w:after="0"/>
            </w:pPr>
            <w:r w:rsidRPr="00120322">
              <w:t>Difference</w:t>
            </w:r>
            <w:r>
              <w:t xml:space="preserve"> (%)</w:t>
            </w:r>
            <w:r w:rsidRPr="00120322">
              <w:t xml:space="preserve">, </w:t>
            </w:r>
            <w:r>
              <w:t>15v</w:t>
            </w:r>
            <w:r w:rsidRPr="00120322">
              <w:t>-</w:t>
            </w:r>
            <w:r>
              <w:t>13v</w:t>
            </w:r>
            <w:r w:rsidRPr="00120322">
              <w:t xml:space="preserve">, (95% CI) </w:t>
            </w:r>
          </w:p>
        </w:tc>
        <w:tc>
          <w:tcPr>
            <w:tcW w:w="593" w:type="pct"/>
          </w:tcPr>
          <w:p w14:paraId="477E33AF" w14:textId="77777777" w:rsidR="00DD002E" w:rsidRDefault="00DD002E" w:rsidP="00632A30">
            <w:pPr>
              <w:pStyle w:val="PBACTableText"/>
              <w:keepNext/>
              <w:keepLines/>
              <w:spacing w:before="0" w:after="0"/>
            </w:pPr>
            <w:r w:rsidRPr="00120322">
              <w:t xml:space="preserve">9.2 </w:t>
            </w:r>
          </w:p>
          <w:p w14:paraId="4F919924" w14:textId="77777777" w:rsidR="00DD002E" w:rsidRPr="00120322" w:rsidRDefault="00DD002E" w:rsidP="00632A30">
            <w:pPr>
              <w:pStyle w:val="PBACTableText"/>
              <w:keepNext/>
              <w:keepLines/>
              <w:spacing w:before="0" w:after="0"/>
            </w:pPr>
            <w:r w:rsidRPr="00120322">
              <w:t>(NR)</w:t>
            </w:r>
          </w:p>
        </w:tc>
        <w:tc>
          <w:tcPr>
            <w:tcW w:w="635" w:type="pct"/>
          </w:tcPr>
          <w:p w14:paraId="1FACC861" w14:textId="77777777" w:rsidR="00DD002E" w:rsidRDefault="00DD002E" w:rsidP="00632A30">
            <w:pPr>
              <w:pStyle w:val="PBACTableText"/>
              <w:keepNext/>
              <w:keepLines/>
              <w:spacing w:before="0" w:after="0"/>
            </w:pPr>
            <w:r w:rsidRPr="00120322">
              <w:t>11.6</w:t>
            </w:r>
          </w:p>
          <w:p w14:paraId="429003F6" w14:textId="77777777" w:rsidR="00DD002E" w:rsidRPr="00120322" w:rsidRDefault="00DD002E" w:rsidP="00632A30">
            <w:pPr>
              <w:pStyle w:val="PBACTableText"/>
              <w:keepNext/>
              <w:keepLines/>
              <w:spacing w:before="0" w:after="0"/>
            </w:pPr>
            <w:r w:rsidRPr="00120322">
              <w:t xml:space="preserve"> (NR)</w:t>
            </w:r>
          </w:p>
        </w:tc>
        <w:tc>
          <w:tcPr>
            <w:tcW w:w="638" w:type="pct"/>
          </w:tcPr>
          <w:p w14:paraId="29F4BC3A" w14:textId="77777777" w:rsidR="00DD002E" w:rsidRDefault="00DD002E" w:rsidP="00632A30">
            <w:pPr>
              <w:pStyle w:val="PBACTableText"/>
              <w:keepNext/>
              <w:keepLines/>
              <w:spacing w:before="0" w:after="0"/>
            </w:pPr>
            <w:r w:rsidRPr="00120322">
              <w:t>1.3</w:t>
            </w:r>
          </w:p>
          <w:p w14:paraId="2CE5B7F7" w14:textId="77777777" w:rsidR="00DD002E" w:rsidRPr="00120322" w:rsidRDefault="00DD002E" w:rsidP="00632A30">
            <w:pPr>
              <w:pStyle w:val="PBACTableText"/>
              <w:keepNext/>
              <w:keepLines/>
              <w:spacing w:before="0" w:after="0"/>
            </w:pPr>
            <w:r w:rsidRPr="00120322">
              <w:t xml:space="preserve"> (NR)</w:t>
            </w:r>
          </w:p>
        </w:tc>
        <w:tc>
          <w:tcPr>
            <w:tcW w:w="637" w:type="pct"/>
          </w:tcPr>
          <w:p w14:paraId="03CF4FBB" w14:textId="77777777" w:rsidR="00DD002E" w:rsidRPr="00835453" w:rsidRDefault="00DD002E" w:rsidP="00632A30">
            <w:pPr>
              <w:pStyle w:val="PBACTableText"/>
              <w:keepNext/>
              <w:keepLines/>
              <w:spacing w:before="0" w:after="0"/>
            </w:pPr>
            <w:r w:rsidRPr="00835453">
              <w:t xml:space="preserve">-2.4 </w:t>
            </w:r>
          </w:p>
          <w:p w14:paraId="433279F9" w14:textId="77777777" w:rsidR="00DD002E" w:rsidRPr="00835453" w:rsidRDefault="00DD002E" w:rsidP="00632A30">
            <w:pPr>
              <w:pStyle w:val="PBACTableText"/>
              <w:keepNext/>
              <w:keepLines/>
              <w:spacing w:before="0" w:after="0"/>
            </w:pPr>
            <w:r w:rsidRPr="00835453">
              <w:t>(NR)</w:t>
            </w:r>
          </w:p>
        </w:tc>
        <w:tc>
          <w:tcPr>
            <w:tcW w:w="631" w:type="pct"/>
          </w:tcPr>
          <w:p w14:paraId="027E126A" w14:textId="77777777" w:rsidR="00DD002E" w:rsidRDefault="00DD002E" w:rsidP="00632A30">
            <w:pPr>
              <w:pStyle w:val="PBACTableText"/>
              <w:keepNext/>
              <w:keepLines/>
              <w:spacing w:before="0" w:after="0"/>
            </w:pPr>
            <w:r w:rsidRPr="00120322">
              <w:t xml:space="preserve">8.6 </w:t>
            </w:r>
          </w:p>
          <w:p w14:paraId="39950E87" w14:textId="77777777" w:rsidR="00DD002E" w:rsidRPr="00120322" w:rsidRDefault="00DD002E" w:rsidP="00632A30">
            <w:pPr>
              <w:pStyle w:val="PBACTableText"/>
              <w:keepNext/>
              <w:keepLines/>
              <w:spacing w:before="0" w:after="0"/>
            </w:pPr>
            <w:r w:rsidRPr="00120322">
              <w:t>(NR)</w:t>
            </w:r>
          </w:p>
        </w:tc>
        <w:tc>
          <w:tcPr>
            <w:tcW w:w="634" w:type="pct"/>
          </w:tcPr>
          <w:p w14:paraId="265B165B" w14:textId="77777777" w:rsidR="00DD002E" w:rsidRPr="00120322" w:rsidRDefault="00DD002E" w:rsidP="00632A30">
            <w:pPr>
              <w:pStyle w:val="PBACTableText"/>
              <w:keepNext/>
              <w:keepLines/>
              <w:spacing w:before="0" w:after="0"/>
            </w:pPr>
            <w:r w:rsidRPr="00120322">
              <w:t>0</w:t>
            </w:r>
          </w:p>
        </w:tc>
      </w:tr>
    </w:tbl>
    <w:p w14:paraId="609BE574" w14:textId="77777777" w:rsidR="00B72E66" w:rsidRPr="00EB6551" w:rsidRDefault="00B72E66" w:rsidP="00B72E66">
      <w:pPr>
        <w:pStyle w:val="FooterTableFigure"/>
        <w:keepNext/>
        <w:keepLines/>
      </w:pPr>
      <w:r w:rsidRPr="00120322">
        <w:t xml:space="preserve">Source: Table 2.5-33, p156; Table 2.5-34, p157; Table 2.5-37, p160; Table 2.5-38, p161; Table 2.5-39, p164; Table 2.5-41, pp165-6 of the submission. </w:t>
      </w:r>
    </w:p>
    <w:p w14:paraId="26C53494" w14:textId="5D5391FF" w:rsidR="00DD002E" w:rsidRDefault="00DD002E" w:rsidP="00DD002E">
      <w:pPr>
        <w:pStyle w:val="FooterTableFigure"/>
        <w:keepNext/>
        <w:keepLines/>
      </w:pPr>
      <w:r>
        <w:t xml:space="preserve">NR = not reported; </w:t>
      </w:r>
      <w:r w:rsidR="00BC73CC" w:rsidRPr="0019525B">
        <w:t>PCV = pneumococcal conjugate vaccine</w:t>
      </w:r>
      <w:r w:rsidR="00BC73CC">
        <w:t xml:space="preserve">; </w:t>
      </w:r>
      <w:r>
        <w:t>SAE = serious adverse event.</w:t>
      </w:r>
    </w:p>
    <w:p w14:paraId="78A0EA59" w14:textId="77777777" w:rsidR="00DD002E" w:rsidRPr="00441A4E" w:rsidRDefault="00DD002E" w:rsidP="00DD002E">
      <w:pPr>
        <w:pStyle w:val="3-BodyText"/>
        <w:rPr>
          <w:bCs/>
          <w:iCs/>
        </w:rPr>
      </w:pPr>
      <w:bookmarkStart w:id="35" w:name="_Toc22897643"/>
      <w:bookmarkStart w:id="36" w:name="_Toc124765895"/>
      <w:r w:rsidRPr="00441A4E">
        <w:rPr>
          <w:bCs/>
          <w:iCs/>
          <w:snapToGrid/>
        </w:rPr>
        <w:t xml:space="preserve">As noted by ATAGI, there appeared to be differences in the number of reports of moderate to </w:t>
      </w:r>
      <w:r w:rsidRPr="00441A4E">
        <w:rPr>
          <w:bCs/>
          <w:iCs/>
          <w:snapToGrid/>
          <w:lang w:val="en-US"/>
        </w:rPr>
        <w:t>severe</w:t>
      </w:r>
      <w:r w:rsidRPr="00441A4E">
        <w:rPr>
          <w:bCs/>
          <w:iCs/>
          <w:snapToGrid/>
        </w:rPr>
        <w:t xml:space="preserve"> injection site pain, which were more frequent with 15vPCV than with the comparator. Statistical comparisons were not reported for this outcome. ATAGI noted that the frequency of moderate to severe injection site pain was already rather high with 13vPCV (mean rate in the six trials = 19.2%), so that it is unclear whether an increase of the order of one third with 15vPCV (mean difference in the six trials = 5.9%) would have important effects on outcomes such as acceptance of later doses.</w:t>
      </w:r>
      <w:r w:rsidRPr="00441A4E">
        <w:rPr>
          <w:bCs/>
          <w:iCs/>
        </w:rPr>
        <w:t xml:space="preserve"> </w:t>
      </w:r>
    </w:p>
    <w:p w14:paraId="504B4A26" w14:textId="77777777" w:rsidR="00DD002E" w:rsidRPr="00C9624D" w:rsidRDefault="00DD002E" w:rsidP="00DD002E">
      <w:pPr>
        <w:pStyle w:val="4-SubsectionHeading"/>
      </w:pPr>
      <w:r w:rsidRPr="00C9624D">
        <w:t>Benefits/harms</w:t>
      </w:r>
      <w:bookmarkEnd w:id="35"/>
      <w:bookmarkEnd w:id="36"/>
    </w:p>
    <w:p w14:paraId="73686A58" w14:textId="77777777" w:rsidR="00DD002E" w:rsidRPr="002E1071" w:rsidRDefault="00DD002E" w:rsidP="00DD002E">
      <w:pPr>
        <w:pStyle w:val="3-BodyText"/>
      </w:pPr>
      <w:r w:rsidRPr="00311D9B">
        <w:rPr>
          <w:snapToGrid/>
          <w:lang w:val="en-US"/>
        </w:rPr>
        <w:t xml:space="preserve">A benefits and harms table is not presented as the submission made a claim of non-inferiority. </w:t>
      </w:r>
    </w:p>
    <w:p w14:paraId="07C4AA4F" w14:textId="77777777" w:rsidR="00DD002E" w:rsidRPr="00C9624D" w:rsidRDefault="00DD002E" w:rsidP="00DD002E">
      <w:pPr>
        <w:pStyle w:val="4-SubsectionHeading"/>
      </w:pPr>
      <w:bookmarkStart w:id="37" w:name="_Toc22897644"/>
      <w:bookmarkStart w:id="38" w:name="_Toc124765896"/>
      <w:bookmarkStart w:id="39" w:name="_Hlk130823684"/>
      <w:r w:rsidRPr="00C9624D">
        <w:t>Clinical claim</w:t>
      </w:r>
      <w:bookmarkEnd w:id="37"/>
      <w:bookmarkEnd w:id="38"/>
    </w:p>
    <w:p w14:paraId="1EC64163" w14:textId="203DFF83" w:rsidR="00DD002E" w:rsidRPr="005C0CE0" w:rsidRDefault="00DD002E" w:rsidP="00DD002E">
      <w:pPr>
        <w:pStyle w:val="3-BodyText"/>
        <w:rPr>
          <w:rFonts w:eastAsia="Calibri"/>
          <w:lang w:val="en-GB"/>
        </w:rPr>
      </w:pPr>
      <w:r w:rsidRPr="005C0CE0">
        <w:rPr>
          <w:rFonts w:eastAsia="Calibri"/>
        </w:rPr>
        <w:t xml:space="preserve">The submission claimed </w:t>
      </w:r>
      <w:r w:rsidRPr="005C0CE0">
        <w:t xml:space="preserve">non-inferiority of 15vPCV to 13vPCV in 12 of the 13 shared serotypes, an increased immune response to serotype 3, and a superior immune </w:t>
      </w:r>
      <w:r w:rsidRPr="005C0CE0">
        <w:lastRenderedPageBreak/>
        <w:t>response to 13vPCV for the unique serotypes 22F and 33F in the requested paediatric populations.</w:t>
      </w:r>
      <w:r w:rsidRPr="005C0CE0">
        <w:rPr>
          <w:rFonts w:eastAsia="Calibri"/>
        </w:rPr>
        <w:t xml:space="preserve"> The ESC considered that the</w:t>
      </w:r>
      <w:r w:rsidRPr="005C0CE0">
        <w:rPr>
          <w:rFonts w:eastAsia="Calibri"/>
          <w:lang w:val="en-GB"/>
        </w:rPr>
        <w:t xml:space="preserve"> claim for an increased immune response for specific serotypes is difficult to assess, as it is uncertain whether this would translate to meaningfully improved clinical protection. The ESC</w:t>
      </w:r>
      <w:r w:rsidR="0037795F">
        <w:rPr>
          <w:rFonts w:eastAsia="Calibri"/>
          <w:lang w:val="en-GB"/>
        </w:rPr>
        <w:t xml:space="preserve"> and the PBAC</w:t>
      </w:r>
      <w:r w:rsidRPr="005C0CE0">
        <w:rPr>
          <w:rFonts w:eastAsia="Calibri"/>
          <w:lang w:val="en-GB"/>
        </w:rPr>
        <w:t xml:space="preserve"> agreed with the evaluation that 15vPCV is non-inferior in terms of effectiveness compared to 13vPCV.</w:t>
      </w:r>
    </w:p>
    <w:p w14:paraId="65B9C347" w14:textId="48E92AFE" w:rsidR="00DD002E" w:rsidRPr="00497388" w:rsidRDefault="00DD002E" w:rsidP="00497388">
      <w:pPr>
        <w:pStyle w:val="3-BodyText"/>
        <w:rPr>
          <w:rFonts w:eastAsia="Calibri"/>
          <w:lang w:val="en-GB"/>
        </w:rPr>
      </w:pPr>
      <w:r w:rsidRPr="005C0CE0">
        <w:rPr>
          <w:rFonts w:eastAsia="Calibri"/>
        </w:rPr>
        <w:t>The submission described 15vPCV as non-inferior in terms of safety compared to 13vPCV. The evaluation noted that moderate and severe pain at the injection site was more frequent with 15vPCV. While the ESC agreed with the evaluation that the claim of n</w:t>
      </w:r>
      <w:r w:rsidRPr="005C0CE0">
        <w:rPr>
          <w:rFonts w:eastAsia="Calibri"/>
          <w:lang w:val="en-GB"/>
        </w:rPr>
        <w:t xml:space="preserve">on-inferior safety was not adequately supported, it considered it is uncertain whether this would impact on tolerability/acceptability of the vaccine. </w:t>
      </w:r>
      <w:r w:rsidRPr="005C0CE0">
        <w:rPr>
          <w:rFonts w:eastAsia="Calibri"/>
        </w:rPr>
        <w:t>In its consideration of the November 2021 submission for adult populations, the ESC considered that the safety of 15vPCV was comparable to that of 13</w:t>
      </w:r>
      <w:r w:rsidR="00497388">
        <w:rPr>
          <w:rFonts w:eastAsia="Calibri"/>
        </w:rPr>
        <w:t>v</w:t>
      </w:r>
      <w:r w:rsidRPr="005C0CE0">
        <w:rPr>
          <w:rFonts w:eastAsia="Calibri"/>
        </w:rPr>
        <w:t xml:space="preserve">PCV (paragraph 6.28, 15vPCV PSD, November 2021). The PSCR referred to the ATAGI comment that </w:t>
      </w:r>
      <w:r w:rsidRPr="005C0CE0">
        <w:rPr>
          <w:rFonts w:eastAsia="Calibri"/>
          <w:lang w:val="en-US"/>
        </w:rPr>
        <w:t>‘The Sponsor’s claim of non-inferiority with respect to safety is likely reasonable’</w:t>
      </w:r>
      <w:r w:rsidRPr="008C78C2">
        <w:rPr>
          <w:rFonts w:eastAsia="Calibri"/>
          <w:lang w:val="en-US"/>
        </w:rPr>
        <w:t>.</w:t>
      </w:r>
      <w:bookmarkStart w:id="40" w:name="_Hlk76376200"/>
      <w:r w:rsidR="00497388">
        <w:rPr>
          <w:rFonts w:eastAsia="Calibri"/>
          <w:lang w:val="en-US"/>
        </w:rPr>
        <w:t xml:space="preserve"> While the PBAC noted the concerns regarding tolerability, </w:t>
      </w:r>
      <w:bookmarkStart w:id="41" w:name="_Hlk130825003"/>
      <w:r w:rsidR="00497388">
        <w:rPr>
          <w:rFonts w:eastAsia="Calibri"/>
          <w:lang w:val="en-US"/>
        </w:rPr>
        <w:t xml:space="preserve">it considered </w:t>
      </w:r>
      <w:r w:rsidR="005522A9" w:rsidRPr="00B85497">
        <w:rPr>
          <w:szCs w:val="20"/>
        </w:rPr>
        <w:t>that the claim of noninferior comparative safety was reasonable</w:t>
      </w:r>
      <w:r w:rsidR="00497388">
        <w:rPr>
          <w:rFonts w:eastAsia="Calibri"/>
        </w:rPr>
        <w:t>.</w:t>
      </w:r>
      <w:bookmarkEnd w:id="40"/>
      <w:bookmarkEnd w:id="39"/>
      <w:bookmarkEnd w:id="41"/>
    </w:p>
    <w:p w14:paraId="2285754E" w14:textId="77777777" w:rsidR="00DD002E" w:rsidRPr="00C9624D" w:rsidRDefault="00DD002E" w:rsidP="00DD002E">
      <w:pPr>
        <w:pStyle w:val="4-SubsectionHeading"/>
      </w:pPr>
      <w:bookmarkStart w:id="42" w:name="_Toc22897645"/>
      <w:bookmarkStart w:id="43" w:name="_Toc124765897"/>
      <w:r w:rsidRPr="00C9624D">
        <w:t>Economic analysis</w:t>
      </w:r>
      <w:bookmarkEnd w:id="42"/>
      <w:bookmarkEnd w:id="43"/>
      <w:r w:rsidRPr="00C9624D">
        <w:t xml:space="preserve"> </w:t>
      </w:r>
    </w:p>
    <w:p w14:paraId="74F1E422" w14:textId="66C9BCD3" w:rsidR="00DD002E" w:rsidRPr="00433C0A" w:rsidRDefault="00DD002E" w:rsidP="00DD002E">
      <w:pPr>
        <w:pStyle w:val="3-BodyText"/>
      </w:pPr>
      <w:r w:rsidRPr="00433C0A">
        <w:t>The subm</w:t>
      </w:r>
      <w:r>
        <w:t>i</w:t>
      </w:r>
      <w:r w:rsidRPr="00433C0A">
        <w:t xml:space="preserve">ssion presented a </w:t>
      </w:r>
      <w:r>
        <w:t xml:space="preserve">CMA using 13vPCV as the comparator. The key components and assumption used are shown in </w:t>
      </w:r>
      <w:r>
        <w:fldChar w:fldCharType="begin"/>
      </w:r>
      <w:r>
        <w:instrText xml:space="preserve"> REF _Ref119498138 \h </w:instrText>
      </w:r>
      <w:r>
        <w:fldChar w:fldCharType="separate"/>
      </w:r>
      <w:r w:rsidR="009E7289">
        <w:t xml:space="preserve">Table </w:t>
      </w:r>
      <w:r w:rsidR="009E7289">
        <w:rPr>
          <w:noProof/>
        </w:rPr>
        <w:t>7</w:t>
      </w:r>
      <w:r>
        <w:fldChar w:fldCharType="end"/>
      </w:r>
      <w:r>
        <w:t>.</w:t>
      </w:r>
    </w:p>
    <w:p w14:paraId="7EC9F265" w14:textId="2BAC3ECB" w:rsidR="00DD002E" w:rsidRPr="00402812" w:rsidRDefault="00DD002E" w:rsidP="00DD002E">
      <w:pPr>
        <w:pStyle w:val="3-BodyText"/>
      </w:pPr>
      <w:r w:rsidRPr="001222FC">
        <w:t xml:space="preserve">The equi-effective doses </w:t>
      </w:r>
      <w:r>
        <w:t>we</w:t>
      </w:r>
      <w:r w:rsidRPr="001222FC">
        <w:t xml:space="preserve">re estimated as </w:t>
      </w:r>
      <w:r>
        <w:t>15vPCV 0.5</w:t>
      </w:r>
      <w:r w:rsidR="00DC3B3B">
        <w:t xml:space="preserve"> </w:t>
      </w:r>
      <w:r>
        <w:t>mL injection and 13vPCV 0.5</w:t>
      </w:r>
      <w:r w:rsidR="00DC3B3B">
        <w:t> </w:t>
      </w:r>
      <w:r>
        <w:t xml:space="preserve">mL injection. </w:t>
      </w:r>
    </w:p>
    <w:p w14:paraId="24650B3F" w14:textId="5370AB7E" w:rsidR="00DD002E" w:rsidRDefault="00DD002E" w:rsidP="00DD002E">
      <w:pPr>
        <w:pStyle w:val="Caption"/>
        <w:rPr>
          <w:rStyle w:val="CommentReference"/>
          <w:b/>
          <w:szCs w:val="24"/>
        </w:rPr>
      </w:pPr>
      <w:bookmarkStart w:id="44" w:name="_Ref119498138"/>
      <w:r>
        <w:lastRenderedPageBreak/>
        <w:t xml:space="preserve">Table </w:t>
      </w:r>
      <w:r w:rsidR="009E7289">
        <w:fldChar w:fldCharType="begin"/>
      </w:r>
      <w:r w:rsidR="009E7289">
        <w:instrText xml:space="preserve"> SEQ Table \* ARABIC </w:instrText>
      </w:r>
      <w:r w:rsidR="009E7289">
        <w:fldChar w:fldCharType="separate"/>
      </w:r>
      <w:r w:rsidR="009E7289">
        <w:rPr>
          <w:noProof/>
        </w:rPr>
        <w:t>7</w:t>
      </w:r>
      <w:r w:rsidR="009E7289">
        <w:rPr>
          <w:noProof/>
        </w:rPr>
        <w:fldChar w:fldCharType="end"/>
      </w:r>
      <w:bookmarkEnd w:id="44"/>
      <w:r>
        <w:t xml:space="preserve">: </w:t>
      </w:r>
      <w:r w:rsidRPr="00656188">
        <w:rPr>
          <w:rStyle w:val="CommentReference"/>
          <w:b/>
          <w:szCs w:val="24"/>
        </w:rPr>
        <w:t xml:space="preserve">Key components and assumptions of the cost-minimisation </w:t>
      </w:r>
      <w:r>
        <w:rPr>
          <w:rStyle w:val="CommentReference"/>
          <w:b/>
          <w:szCs w:val="24"/>
        </w:rPr>
        <w:t>approach</w:t>
      </w:r>
    </w:p>
    <w:tbl>
      <w:tblPr>
        <w:tblStyle w:val="Summarybox2"/>
        <w:tblW w:w="0" w:type="auto"/>
        <w:tblLook w:val="04A0" w:firstRow="1" w:lastRow="0" w:firstColumn="1" w:lastColumn="0" w:noHBand="0" w:noVBand="1"/>
      </w:tblPr>
      <w:tblGrid>
        <w:gridCol w:w="2019"/>
        <w:gridCol w:w="6998"/>
      </w:tblGrid>
      <w:tr w:rsidR="00DD002E" w:rsidRPr="00433C0A" w14:paraId="00AFE982" w14:textId="77777777" w:rsidTr="00BC73CC">
        <w:trPr>
          <w:trHeight w:val="211"/>
        </w:trPr>
        <w:tc>
          <w:tcPr>
            <w:tcW w:w="2019" w:type="dxa"/>
          </w:tcPr>
          <w:p w14:paraId="536D41C8" w14:textId="77777777" w:rsidR="00DD002E" w:rsidRPr="00433C0A" w:rsidRDefault="00DD002E" w:rsidP="00632A30">
            <w:pPr>
              <w:pStyle w:val="In-tableHeading"/>
              <w:rPr>
                <w:sz w:val="20"/>
                <w:szCs w:val="20"/>
              </w:rPr>
            </w:pPr>
            <w:r w:rsidRPr="00433C0A">
              <w:rPr>
                <w:sz w:val="20"/>
                <w:szCs w:val="20"/>
              </w:rPr>
              <w:t>Component</w:t>
            </w:r>
          </w:p>
        </w:tc>
        <w:tc>
          <w:tcPr>
            <w:tcW w:w="6998" w:type="dxa"/>
          </w:tcPr>
          <w:p w14:paraId="218183F4" w14:textId="77777777" w:rsidR="00DD002E" w:rsidRPr="00433C0A" w:rsidRDefault="00DD002E" w:rsidP="00632A30">
            <w:pPr>
              <w:pStyle w:val="In-tableHeading"/>
              <w:rPr>
                <w:sz w:val="20"/>
                <w:szCs w:val="20"/>
              </w:rPr>
            </w:pPr>
            <w:r w:rsidRPr="00433C0A">
              <w:rPr>
                <w:sz w:val="20"/>
                <w:szCs w:val="20"/>
              </w:rPr>
              <w:t>Claim or assumption</w:t>
            </w:r>
          </w:p>
        </w:tc>
      </w:tr>
      <w:tr w:rsidR="00DD002E" w:rsidRPr="00433C0A" w14:paraId="37C225BB" w14:textId="77777777" w:rsidTr="00BC73CC">
        <w:tc>
          <w:tcPr>
            <w:tcW w:w="2019" w:type="dxa"/>
          </w:tcPr>
          <w:p w14:paraId="779DC6BD" w14:textId="77777777" w:rsidR="00DD002E" w:rsidRPr="00433C0A" w:rsidRDefault="00DD002E" w:rsidP="00632A30">
            <w:pPr>
              <w:pStyle w:val="PBACTableText"/>
              <w:keepNext/>
              <w:rPr>
                <w:snapToGrid w:val="0"/>
              </w:rPr>
            </w:pPr>
            <w:r w:rsidRPr="00433C0A">
              <w:rPr>
                <w:snapToGrid w:val="0"/>
              </w:rPr>
              <w:t>Therapeutic claim: effectiveness</w:t>
            </w:r>
          </w:p>
        </w:tc>
        <w:tc>
          <w:tcPr>
            <w:tcW w:w="6998" w:type="dxa"/>
          </w:tcPr>
          <w:p w14:paraId="7ADE286F" w14:textId="77777777" w:rsidR="00DD002E" w:rsidRPr="00433C0A" w:rsidRDefault="00DD002E" w:rsidP="00632A30">
            <w:pPr>
              <w:pStyle w:val="PBACTableText"/>
              <w:keepNext/>
              <w:rPr>
                <w:snapToGrid w:val="0"/>
              </w:rPr>
            </w:pPr>
            <w:r w:rsidRPr="00433C0A">
              <w:rPr>
                <w:snapToGrid w:val="0"/>
              </w:rPr>
              <w:t>Based on evidence presented in Section 2, effectiveness is assumed to be non-inferior.</w:t>
            </w:r>
          </w:p>
        </w:tc>
      </w:tr>
      <w:tr w:rsidR="00DD002E" w:rsidRPr="00433C0A" w14:paraId="1AA8E527" w14:textId="77777777" w:rsidTr="00BC73CC">
        <w:tc>
          <w:tcPr>
            <w:tcW w:w="2019" w:type="dxa"/>
          </w:tcPr>
          <w:p w14:paraId="2E2E5711" w14:textId="77777777" w:rsidR="00DD002E" w:rsidRPr="00433C0A" w:rsidRDefault="00DD002E" w:rsidP="00632A30">
            <w:pPr>
              <w:pStyle w:val="PBACTableText"/>
              <w:keepNext/>
              <w:rPr>
                <w:snapToGrid w:val="0"/>
              </w:rPr>
            </w:pPr>
            <w:r w:rsidRPr="00433C0A">
              <w:rPr>
                <w:snapToGrid w:val="0"/>
              </w:rPr>
              <w:t>Therapeutic claim: safety</w:t>
            </w:r>
          </w:p>
        </w:tc>
        <w:tc>
          <w:tcPr>
            <w:tcW w:w="6998" w:type="dxa"/>
          </w:tcPr>
          <w:p w14:paraId="42CF02BD" w14:textId="77777777" w:rsidR="00DD002E" w:rsidRPr="00433C0A" w:rsidRDefault="00DD002E" w:rsidP="00632A30">
            <w:pPr>
              <w:pStyle w:val="PBACTableText"/>
              <w:keepNext/>
              <w:rPr>
                <w:snapToGrid w:val="0"/>
              </w:rPr>
            </w:pPr>
            <w:r w:rsidRPr="00433C0A">
              <w:rPr>
                <w:snapToGrid w:val="0"/>
              </w:rPr>
              <w:t>Based on evidence presented in Section 2, safety is assumed to be non-inferior.</w:t>
            </w:r>
          </w:p>
        </w:tc>
      </w:tr>
      <w:tr w:rsidR="00DD002E" w:rsidRPr="00433C0A" w14:paraId="0FB01874" w14:textId="77777777" w:rsidTr="00BC73CC">
        <w:tc>
          <w:tcPr>
            <w:tcW w:w="2019" w:type="dxa"/>
          </w:tcPr>
          <w:p w14:paraId="5C6BD080" w14:textId="77777777" w:rsidR="00DD002E" w:rsidRPr="00433C0A" w:rsidRDefault="00DD002E" w:rsidP="00632A30">
            <w:pPr>
              <w:pStyle w:val="PBACTableText"/>
              <w:keepNext/>
              <w:rPr>
                <w:snapToGrid w:val="0"/>
              </w:rPr>
            </w:pPr>
            <w:r w:rsidRPr="00433C0A">
              <w:rPr>
                <w:snapToGrid w:val="0"/>
              </w:rPr>
              <w:t>Evidence base</w:t>
            </w:r>
          </w:p>
        </w:tc>
        <w:tc>
          <w:tcPr>
            <w:tcW w:w="6998" w:type="dxa"/>
          </w:tcPr>
          <w:p w14:paraId="2F2A9558" w14:textId="77777777" w:rsidR="00DD002E" w:rsidRPr="00433C0A" w:rsidRDefault="00DD002E" w:rsidP="00632A30">
            <w:pPr>
              <w:pStyle w:val="PBACTableText"/>
              <w:keepNext/>
              <w:rPr>
                <w:snapToGrid w:val="0"/>
              </w:rPr>
            </w:pPr>
            <w:r w:rsidRPr="00433C0A">
              <w:rPr>
                <w:snapToGrid w:val="0"/>
              </w:rPr>
              <w:t xml:space="preserve">Direct comparison to </w:t>
            </w:r>
            <w:r>
              <w:rPr>
                <w:snapToGrid w:val="0"/>
              </w:rPr>
              <w:t>13vPCV</w:t>
            </w:r>
            <w:r w:rsidRPr="00433C0A">
              <w:rPr>
                <w:snapToGrid w:val="0"/>
              </w:rPr>
              <w:t xml:space="preserve"> based on eight phase III comparative trials and two pooled analyses in those aged &lt;18 years of age</w:t>
            </w:r>
            <w:r>
              <w:rPr>
                <w:snapToGrid w:val="0"/>
              </w:rPr>
              <w:t>.</w:t>
            </w:r>
          </w:p>
        </w:tc>
      </w:tr>
      <w:tr w:rsidR="00DD002E" w:rsidRPr="00433C0A" w14:paraId="644B283B" w14:textId="77777777" w:rsidTr="00BC73CC">
        <w:tc>
          <w:tcPr>
            <w:tcW w:w="2019" w:type="dxa"/>
          </w:tcPr>
          <w:p w14:paraId="71A6D88E" w14:textId="77777777" w:rsidR="00DD002E" w:rsidRPr="00433C0A" w:rsidRDefault="00DD002E" w:rsidP="00632A30">
            <w:pPr>
              <w:pStyle w:val="PBACTableText"/>
              <w:keepNext/>
              <w:rPr>
                <w:snapToGrid w:val="0"/>
              </w:rPr>
            </w:pPr>
            <w:r w:rsidRPr="00433C0A">
              <w:rPr>
                <w:snapToGrid w:val="0"/>
              </w:rPr>
              <w:t>Equi-effective doses</w:t>
            </w:r>
          </w:p>
        </w:tc>
        <w:tc>
          <w:tcPr>
            <w:tcW w:w="6998" w:type="dxa"/>
          </w:tcPr>
          <w:p w14:paraId="28CEA531" w14:textId="77777777" w:rsidR="00DD002E" w:rsidRPr="00433C0A" w:rsidRDefault="00DD002E" w:rsidP="00632A30">
            <w:pPr>
              <w:pStyle w:val="PBACTableText"/>
              <w:keepNext/>
              <w:rPr>
                <w:snapToGrid w:val="0"/>
                <w:u w:val="single"/>
              </w:rPr>
            </w:pPr>
            <w:bookmarkStart w:id="45" w:name="_Hlk114123300"/>
            <w:r w:rsidRPr="00433C0A">
              <w:rPr>
                <w:snapToGrid w:val="0"/>
                <w:u w:val="single"/>
              </w:rPr>
              <w:t xml:space="preserve">Non-Indigenous Infants and </w:t>
            </w:r>
            <w:r w:rsidRPr="00935262">
              <w:rPr>
                <w:snapToGrid w:val="0"/>
                <w:u w:val="single"/>
              </w:rPr>
              <w:t>Aboriginal and Torres Strait Islander</w:t>
            </w:r>
            <w:r w:rsidRPr="00433C0A">
              <w:rPr>
                <w:snapToGrid w:val="0"/>
                <w:u w:val="single"/>
              </w:rPr>
              <w:t xml:space="preserve"> Infants living in ACT, NSW, V</w:t>
            </w:r>
            <w:r>
              <w:rPr>
                <w:snapToGrid w:val="0"/>
                <w:u w:val="single"/>
              </w:rPr>
              <w:t>ic</w:t>
            </w:r>
            <w:r w:rsidRPr="00433C0A">
              <w:rPr>
                <w:snapToGrid w:val="0"/>
                <w:u w:val="single"/>
              </w:rPr>
              <w:t xml:space="preserve"> and T</w:t>
            </w:r>
            <w:r>
              <w:rPr>
                <w:snapToGrid w:val="0"/>
                <w:u w:val="single"/>
              </w:rPr>
              <w:t>as (2+1 doses)</w:t>
            </w:r>
          </w:p>
          <w:bookmarkEnd w:id="45"/>
          <w:p w14:paraId="1AA407F8" w14:textId="77777777" w:rsidR="00DD002E" w:rsidRPr="00433C0A" w:rsidRDefault="00DD002E" w:rsidP="00632A30">
            <w:pPr>
              <w:pStyle w:val="PBACTableText"/>
              <w:keepNext/>
              <w:spacing w:after="120"/>
              <w:rPr>
                <w:snapToGrid w:val="0"/>
              </w:rPr>
            </w:pPr>
            <w:r w:rsidRPr="00433C0A">
              <w:rPr>
                <w:snapToGrid w:val="0"/>
              </w:rPr>
              <w:t>1 dose (0.5 m</w:t>
            </w:r>
            <w:r>
              <w:rPr>
                <w:snapToGrid w:val="0"/>
              </w:rPr>
              <w:t>L</w:t>
            </w:r>
            <w:r w:rsidRPr="00433C0A">
              <w:rPr>
                <w:snapToGrid w:val="0"/>
              </w:rPr>
              <w:t xml:space="preserve">) </w:t>
            </w:r>
            <w:r>
              <w:rPr>
                <w:snapToGrid w:val="0"/>
              </w:rPr>
              <w:t>15vPCV</w:t>
            </w:r>
            <w:r w:rsidRPr="00433C0A">
              <w:rPr>
                <w:snapToGrid w:val="0"/>
              </w:rPr>
              <w:t xml:space="preserve"> at 2, 4</w:t>
            </w:r>
            <w:r>
              <w:rPr>
                <w:snapToGrid w:val="0"/>
              </w:rPr>
              <w:t>,</w:t>
            </w:r>
            <w:r w:rsidRPr="00433C0A">
              <w:rPr>
                <w:snapToGrid w:val="0"/>
              </w:rPr>
              <w:t xml:space="preserve"> 12 months = 1 dose (0.5 m</w:t>
            </w:r>
            <w:r>
              <w:rPr>
                <w:snapToGrid w:val="0"/>
              </w:rPr>
              <w:t>L</w:t>
            </w:r>
            <w:r w:rsidRPr="00433C0A">
              <w:rPr>
                <w:snapToGrid w:val="0"/>
              </w:rPr>
              <w:t xml:space="preserve">) </w:t>
            </w:r>
            <w:r>
              <w:rPr>
                <w:snapToGrid w:val="0"/>
              </w:rPr>
              <w:t>13vPCV</w:t>
            </w:r>
            <w:r w:rsidRPr="00433C0A">
              <w:rPr>
                <w:snapToGrid w:val="0"/>
              </w:rPr>
              <w:t xml:space="preserve"> at 2, 4, 12 months.</w:t>
            </w:r>
          </w:p>
          <w:p w14:paraId="21D26D4B" w14:textId="77777777" w:rsidR="00DD002E" w:rsidRPr="00433C0A" w:rsidRDefault="00DD002E" w:rsidP="00632A30">
            <w:pPr>
              <w:pStyle w:val="PBACTableText"/>
              <w:keepNext/>
              <w:rPr>
                <w:snapToGrid w:val="0"/>
                <w:u w:val="single"/>
              </w:rPr>
            </w:pPr>
            <w:r w:rsidRPr="00433C0A">
              <w:rPr>
                <w:snapToGrid w:val="0"/>
                <w:u w:val="single"/>
              </w:rPr>
              <w:t xml:space="preserve">Infants with Specified Medical Risk Conditions and </w:t>
            </w:r>
            <w:r w:rsidRPr="00935262">
              <w:rPr>
                <w:snapToGrid w:val="0"/>
                <w:u w:val="single"/>
              </w:rPr>
              <w:t>Aboriginal and Torres Strait Islander</w:t>
            </w:r>
            <w:r w:rsidRPr="00433C0A">
              <w:rPr>
                <w:snapToGrid w:val="0"/>
                <w:u w:val="single"/>
              </w:rPr>
              <w:t xml:space="preserve"> infants living in WA, NT, SA and Q</w:t>
            </w:r>
            <w:r>
              <w:rPr>
                <w:snapToGrid w:val="0"/>
                <w:u w:val="single"/>
              </w:rPr>
              <w:t>ld (3+1 doses)</w:t>
            </w:r>
          </w:p>
          <w:p w14:paraId="20B79291" w14:textId="77777777" w:rsidR="00DD002E" w:rsidRPr="00433C0A" w:rsidRDefault="00DD002E" w:rsidP="00632A30">
            <w:pPr>
              <w:pStyle w:val="PBACTableText"/>
              <w:keepNext/>
              <w:spacing w:after="120"/>
              <w:rPr>
                <w:snapToGrid w:val="0"/>
              </w:rPr>
            </w:pPr>
            <w:r w:rsidRPr="00433C0A">
              <w:rPr>
                <w:snapToGrid w:val="0"/>
              </w:rPr>
              <w:t xml:space="preserve">1 dose (0.5 ml) </w:t>
            </w:r>
            <w:r>
              <w:rPr>
                <w:snapToGrid w:val="0"/>
              </w:rPr>
              <w:t>15vPCV</w:t>
            </w:r>
            <w:r w:rsidRPr="00433C0A">
              <w:rPr>
                <w:snapToGrid w:val="0"/>
              </w:rPr>
              <w:t xml:space="preserve"> at 2, 4, 6, 12 months = 1 dose (0.5 m</w:t>
            </w:r>
            <w:r>
              <w:rPr>
                <w:snapToGrid w:val="0"/>
              </w:rPr>
              <w:t>L</w:t>
            </w:r>
            <w:r w:rsidRPr="00433C0A">
              <w:rPr>
                <w:snapToGrid w:val="0"/>
              </w:rPr>
              <w:t xml:space="preserve">) </w:t>
            </w:r>
            <w:r>
              <w:rPr>
                <w:snapToGrid w:val="0"/>
              </w:rPr>
              <w:t>13vPCV</w:t>
            </w:r>
            <w:r w:rsidRPr="00433C0A">
              <w:rPr>
                <w:snapToGrid w:val="0"/>
              </w:rPr>
              <w:t xml:space="preserve"> at 2, 4, 6, 12 months</w:t>
            </w:r>
            <w:r>
              <w:rPr>
                <w:snapToGrid w:val="0"/>
              </w:rPr>
              <w:t>.</w:t>
            </w:r>
          </w:p>
          <w:p w14:paraId="3D7E809E" w14:textId="77777777" w:rsidR="00DD002E" w:rsidRPr="00433C0A" w:rsidRDefault="00DD002E" w:rsidP="00632A30">
            <w:pPr>
              <w:pStyle w:val="PBACTableText"/>
              <w:keepNext/>
              <w:rPr>
                <w:snapToGrid w:val="0"/>
                <w:u w:val="single"/>
              </w:rPr>
            </w:pPr>
            <w:r w:rsidRPr="00433C0A">
              <w:rPr>
                <w:snapToGrid w:val="0"/>
                <w:u w:val="single"/>
              </w:rPr>
              <w:t>Children and adolescents between 12 months and 18 years diagnosed with a specified medical risk condition</w:t>
            </w:r>
            <w:r>
              <w:rPr>
                <w:snapToGrid w:val="0"/>
                <w:u w:val="single"/>
              </w:rPr>
              <w:t xml:space="preserve"> (1 dose)</w:t>
            </w:r>
          </w:p>
          <w:p w14:paraId="3919133A" w14:textId="77777777" w:rsidR="00DD002E" w:rsidRPr="00433C0A" w:rsidRDefault="00DD002E" w:rsidP="00632A30">
            <w:pPr>
              <w:pStyle w:val="PBACTableText"/>
              <w:keepNext/>
              <w:spacing w:after="120"/>
              <w:rPr>
                <w:snapToGrid w:val="0"/>
              </w:rPr>
            </w:pPr>
            <w:r w:rsidRPr="00433C0A">
              <w:rPr>
                <w:snapToGrid w:val="0"/>
              </w:rPr>
              <w:t>1 dose (0.5 m</w:t>
            </w:r>
            <w:r>
              <w:rPr>
                <w:snapToGrid w:val="0"/>
              </w:rPr>
              <w:t>L</w:t>
            </w:r>
            <w:r w:rsidRPr="00433C0A">
              <w:rPr>
                <w:snapToGrid w:val="0"/>
              </w:rPr>
              <w:t xml:space="preserve">) </w:t>
            </w:r>
            <w:r>
              <w:rPr>
                <w:snapToGrid w:val="0"/>
              </w:rPr>
              <w:t>15vPCV</w:t>
            </w:r>
            <w:r w:rsidRPr="00433C0A">
              <w:rPr>
                <w:snapToGrid w:val="0"/>
              </w:rPr>
              <w:t xml:space="preserve"> = 1 dose (0.5 m</w:t>
            </w:r>
            <w:r>
              <w:rPr>
                <w:snapToGrid w:val="0"/>
              </w:rPr>
              <w:t>L</w:t>
            </w:r>
            <w:r w:rsidRPr="00433C0A">
              <w:rPr>
                <w:snapToGrid w:val="0"/>
              </w:rPr>
              <w:t xml:space="preserve">) </w:t>
            </w:r>
            <w:r>
              <w:rPr>
                <w:snapToGrid w:val="0"/>
              </w:rPr>
              <w:t>13vPCV</w:t>
            </w:r>
          </w:p>
          <w:p w14:paraId="12036C25" w14:textId="77777777" w:rsidR="00DD002E" w:rsidRPr="00433C0A" w:rsidRDefault="00DD002E" w:rsidP="00632A30">
            <w:pPr>
              <w:pStyle w:val="PBACTableText"/>
              <w:keepNext/>
              <w:rPr>
                <w:snapToGrid w:val="0"/>
              </w:rPr>
            </w:pPr>
            <w:r w:rsidRPr="00433C0A">
              <w:rPr>
                <w:snapToGrid w:val="0"/>
                <w:u w:val="single"/>
              </w:rPr>
              <w:t>Haematopoietic stem cell transplant (HSCT) recipients aged 12 months to &lt;18 years</w:t>
            </w:r>
            <w:r>
              <w:rPr>
                <w:snapToGrid w:val="0"/>
                <w:u w:val="single"/>
              </w:rPr>
              <w:t xml:space="preserve"> (3 doses)</w:t>
            </w:r>
            <w:r w:rsidRPr="00433C0A">
              <w:rPr>
                <w:snapToGrid w:val="0"/>
              </w:rPr>
              <w:t xml:space="preserve">  </w:t>
            </w:r>
          </w:p>
          <w:p w14:paraId="28587347" w14:textId="77777777" w:rsidR="00DD002E" w:rsidRPr="00433C0A" w:rsidRDefault="00DD002E" w:rsidP="00632A30">
            <w:pPr>
              <w:pStyle w:val="PBACTableText"/>
              <w:keepNext/>
              <w:rPr>
                <w:snapToGrid w:val="0"/>
              </w:rPr>
            </w:pPr>
            <w:r w:rsidRPr="00433C0A">
              <w:rPr>
                <w:snapToGrid w:val="0"/>
              </w:rPr>
              <w:t>After HSCT, 1 dose (0.5 m</w:t>
            </w:r>
            <w:r>
              <w:rPr>
                <w:snapToGrid w:val="0"/>
              </w:rPr>
              <w:t>L</w:t>
            </w:r>
            <w:r w:rsidRPr="00433C0A">
              <w:rPr>
                <w:snapToGrid w:val="0"/>
              </w:rPr>
              <w:t xml:space="preserve">) </w:t>
            </w:r>
            <w:r>
              <w:rPr>
                <w:snapToGrid w:val="0"/>
              </w:rPr>
              <w:t>15vPCV</w:t>
            </w:r>
            <w:r w:rsidRPr="00433C0A">
              <w:rPr>
                <w:snapToGrid w:val="0"/>
              </w:rPr>
              <w:t xml:space="preserve"> at 6, 8, 12 months = 1 dose (0.5 m</w:t>
            </w:r>
            <w:r>
              <w:rPr>
                <w:snapToGrid w:val="0"/>
              </w:rPr>
              <w:t>L</w:t>
            </w:r>
            <w:r w:rsidRPr="00433C0A">
              <w:rPr>
                <w:snapToGrid w:val="0"/>
              </w:rPr>
              <w:t xml:space="preserve">) </w:t>
            </w:r>
            <w:r>
              <w:rPr>
                <w:snapToGrid w:val="0"/>
              </w:rPr>
              <w:t>13vPCV</w:t>
            </w:r>
            <w:r w:rsidRPr="00433C0A">
              <w:rPr>
                <w:snapToGrid w:val="0"/>
              </w:rPr>
              <w:t xml:space="preserve"> at 6, 8, 12 months</w:t>
            </w:r>
            <w:r>
              <w:rPr>
                <w:snapToGrid w:val="0"/>
              </w:rPr>
              <w:t>.</w:t>
            </w:r>
          </w:p>
        </w:tc>
      </w:tr>
      <w:tr w:rsidR="00DD002E" w:rsidRPr="00433C0A" w14:paraId="60CF65EA" w14:textId="77777777" w:rsidTr="00BC73CC">
        <w:tc>
          <w:tcPr>
            <w:tcW w:w="2019" w:type="dxa"/>
          </w:tcPr>
          <w:p w14:paraId="32535D8A" w14:textId="77777777" w:rsidR="00DD002E" w:rsidRPr="00433C0A" w:rsidRDefault="00DD002E" w:rsidP="00632A30">
            <w:pPr>
              <w:pStyle w:val="PBACTableText"/>
              <w:keepNext/>
              <w:rPr>
                <w:snapToGrid w:val="0"/>
              </w:rPr>
            </w:pPr>
            <w:r w:rsidRPr="00433C0A">
              <w:rPr>
                <w:snapToGrid w:val="0"/>
              </w:rPr>
              <w:t>Direct medicine costs</w:t>
            </w:r>
          </w:p>
        </w:tc>
        <w:tc>
          <w:tcPr>
            <w:tcW w:w="6998" w:type="dxa"/>
          </w:tcPr>
          <w:p w14:paraId="43384582" w14:textId="510CE22F" w:rsidR="00DD002E" w:rsidRPr="00433C0A" w:rsidRDefault="00D418F5" w:rsidP="00632A30">
            <w:pPr>
              <w:pStyle w:val="PBACTableText"/>
              <w:keepNext/>
              <w:rPr>
                <w:snapToGrid w:val="0"/>
              </w:rPr>
            </w:pPr>
            <w:r>
              <w:t xml:space="preserve">The submission stated that the sponsor would </w:t>
            </w:r>
            <w:r w:rsidR="00DD002E" w:rsidRPr="00433C0A">
              <w:rPr>
                <w:snapToGrid w:val="0"/>
              </w:rPr>
              <w:t xml:space="preserve">match the nationally negotiated price of </w:t>
            </w:r>
            <w:r w:rsidR="00DD002E">
              <w:rPr>
                <w:snapToGrid w:val="0"/>
              </w:rPr>
              <w:t>13vPCV</w:t>
            </w:r>
            <w:r w:rsidR="00DD002E" w:rsidRPr="00433C0A" w:rsidDel="0078063E">
              <w:rPr>
                <w:snapToGrid w:val="0"/>
              </w:rPr>
              <w:t xml:space="preserve"> </w:t>
            </w:r>
            <w:r w:rsidR="00DD002E" w:rsidRPr="00433C0A">
              <w:rPr>
                <w:snapToGrid w:val="0"/>
              </w:rPr>
              <w:t>in children and infants, once recommended for listing</w:t>
            </w:r>
            <w:r w:rsidR="00DD002E">
              <w:rPr>
                <w:snapToGrid w:val="0"/>
              </w:rPr>
              <w:t>.</w:t>
            </w:r>
          </w:p>
        </w:tc>
      </w:tr>
      <w:tr w:rsidR="00DD002E" w:rsidRPr="00433C0A" w14:paraId="2761E187" w14:textId="77777777" w:rsidTr="00BC73CC">
        <w:tc>
          <w:tcPr>
            <w:tcW w:w="2019" w:type="dxa"/>
          </w:tcPr>
          <w:p w14:paraId="0F85AC1C" w14:textId="77777777" w:rsidR="00DD002E" w:rsidRPr="00433C0A" w:rsidRDefault="00DD002E" w:rsidP="00632A30">
            <w:pPr>
              <w:pStyle w:val="PBACTableText"/>
              <w:keepNext/>
              <w:rPr>
                <w:snapToGrid w:val="0"/>
              </w:rPr>
            </w:pPr>
            <w:r w:rsidRPr="00433C0A">
              <w:rPr>
                <w:snapToGrid w:val="0"/>
              </w:rPr>
              <w:t>Other costs or cost offsets</w:t>
            </w:r>
          </w:p>
        </w:tc>
        <w:tc>
          <w:tcPr>
            <w:tcW w:w="6998" w:type="dxa"/>
          </w:tcPr>
          <w:p w14:paraId="16286971" w14:textId="77777777" w:rsidR="00DD002E" w:rsidRPr="00433C0A" w:rsidRDefault="00DD002E" w:rsidP="00632A30">
            <w:pPr>
              <w:pStyle w:val="PBACTableText"/>
              <w:keepNext/>
              <w:rPr>
                <w:snapToGrid w:val="0"/>
              </w:rPr>
            </w:pPr>
            <w:r w:rsidRPr="00433C0A">
              <w:rPr>
                <w:snapToGrid w:val="0"/>
              </w:rPr>
              <w:t>None</w:t>
            </w:r>
          </w:p>
        </w:tc>
      </w:tr>
    </w:tbl>
    <w:p w14:paraId="2DDB6C2C" w14:textId="77777777" w:rsidR="00B72E66" w:rsidRPr="00935262" w:rsidRDefault="00B72E66" w:rsidP="00B72E66">
      <w:pPr>
        <w:pStyle w:val="FooterTableFigure"/>
        <w:keepNext/>
        <w:rPr>
          <w:rStyle w:val="CommentReference"/>
          <w:b w:val="0"/>
          <w:sz w:val="18"/>
          <w:szCs w:val="22"/>
        </w:rPr>
      </w:pPr>
      <w:r w:rsidRPr="00935262">
        <w:rPr>
          <w:rStyle w:val="CommentReference"/>
          <w:b w:val="0"/>
          <w:sz w:val="18"/>
          <w:szCs w:val="22"/>
        </w:rPr>
        <w:t>Source: Table 3.1.1, p203 of the submission.</w:t>
      </w:r>
    </w:p>
    <w:p w14:paraId="38540764" w14:textId="63B0C59D" w:rsidR="00BC73CC" w:rsidRDefault="00BC73CC" w:rsidP="00DD002E">
      <w:pPr>
        <w:pStyle w:val="FooterTableFigure"/>
        <w:keepNext/>
        <w:rPr>
          <w:rStyle w:val="CommentReference"/>
          <w:b w:val="0"/>
          <w:sz w:val="18"/>
          <w:szCs w:val="22"/>
        </w:rPr>
      </w:pPr>
      <w:r>
        <w:t xml:space="preserve">HSCT = </w:t>
      </w:r>
      <w:r w:rsidRPr="00BC73CC">
        <w:t>haematopoietic stem cell transplant</w:t>
      </w:r>
      <w:r>
        <w:t xml:space="preserve">; </w:t>
      </w:r>
      <w:r w:rsidRPr="0019525B">
        <w:t>PCV = pneumococcal conjugate vaccine</w:t>
      </w:r>
      <w:r>
        <w:t>.</w:t>
      </w:r>
    </w:p>
    <w:p w14:paraId="6C1368ED" w14:textId="3EA3C12C" w:rsidR="00DD002E" w:rsidRDefault="00DD002E" w:rsidP="00DD002E">
      <w:pPr>
        <w:pStyle w:val="3-BodyText"/>
      </w:pPr>
      <w:r>
        <w:t xml:space="preserve">As the nationally negotiated price for 13vPCV is not available, the submission used the publicly available market price for the analysis, $114.99 per dose. The submission stated that the sponsor would accept the nationally negotiated price of 13vPCV for children and infants. The results of this analysis are shown in </w:t>
      </w:r>
      <w:r>
        <w:fldChar w:fldCharType="begin"/>
      </w:r>
      <w:r>
        <w:instrText xml:space="preserve"> REF _Ref119498801 \h </w:instrText>
      </w:r>
      <w:r>
        <w:fldChar w:fldCharType="separate"/>
      </w:r>
      <w:r w:rsidR="009E7289">
        <w:t xml:space="preserve">Table </w:t>
      </w:r>
      <w:r w:rsidR="009E7289">
        <w:rPr>
          <w:noProof/>
        </w:rPr>
        <w:t>8</w:t>
      </w:r>
      <w:r>
        <w:fldChar w:fldCharType="end"/>
      </w:r>
      <w:r>
        <w:t>.</w:t>
      </w:r>
    </w:p>
    <w:p w14:paraId="3FAD4F99" w14:textId="6D9F2A27" w:rsidR="00DD002E" w:rsidRPr="00FC51BD" w:rsidRDefault="00DD002E" w:rsidP="00DD002E">
      <w:pPr>
        <w:pStyle w:val="Caption"/>
      </w:pPr>
      <w:bookmarkStart w:id="46" w:name="_Ref119498801"/>
      <w:r>
        <w:lastRenderedPageBreak/>
        <w:t xml:space="preserve">Table </w:t>
      </w:r>
      <w:r w:rsidR="009E7289">
        <w:fldChar w:fldCharType="begin"/>
      </w:r>
      <w:r w:rsidR="009E7289">
        <w:instrText xml:space="preserve"> SEQ Table \* ARABIC </w:instrText>
      </w:r>
      <w:r w:rsidR="009E7289">
        <w:fldChar w:fldCharType="separate"/>
      </w:r>
      <w:r w:rsidR="009E7289">
        <w:rPr>
          <w:noProof/>
        </w:rPr>
        <w:t>8</w:t>
      </w:r>
      <w:r w:rsidR="009E7289">
        <w:rPr>
          <w:noProof/>
        </w:rPr>
        <w:fldChar w:fldCharType="end"/>
      </w:r>
      <w:bookmarkEnd w:id="46"/>
      <w:r>
        <w:t xml:space="preserve">: </w:t>
      </w:r>
      <w:r w:rsidRPr="00FC51BD">
        <w:t xml:space="preserve">Results of cost minimisation </w:t>
      </w:r>
      <w:r>
        <w:t>in the</w:t>
      </w:r>
      <w:r w:rsidRPr="00FC51BD">
        <w:t xml:space="preserve"> paediatric population</w:t>
      </w:r>
    </w:p>
    <w:tbl>
      <w:tblPr>
        <w:tblStyle w:val="Summarybox2"/>
        <w:tblW w:w="5000" w:type="pct"/>
        <w:tblLook w:val="04A0" w:firstRow="1" w:lastRow="0" w:firstColumn="1" w:lastColumn="0" w:noHBand="0" w:noVBand="1"/>
      </w:tblPr>
      <w:tblGrid>
        <w:gridCol w:w="2829"/>
        <w:gridCol w:w="1558"/>
        <w:gridCol w:w="2269"/>
        <w:gridCol w:w="2361"/>
      </w:tblGrid>
      <w:tr w:rsidR="00DD002E" w:rsidRPr="00FC51BD" w14:paraId="52EB4F79" w14:textId="77777777" w:rsidTr="00632A30">
        <w:trPr>
          <w:trHeight w:val="300"/>
        </w:trPr>
        <w:tc>
          <w:tcPr>
            <w:tcW w:w="1569" w:type="pct"/>
            <w:hideMark/>
          </w:tcPr>
          <w:p w14:paraId="76D37207" w14:textId="77777777" w:rsidR="00DD002E" w:rsidRPr="00FC51BD" w:rsidRDefault="00DD002E" w:rsidP="00632A30">
            <w:pPr>
              <w:pStyle w:val="PBACTableText"/>
              <w:keepNext/>
            </w:pPr>
            <w:r w:rsidRPr="00FC51BD">
              <w:t>Population</w:t>
            </w:r>
          </w:p>
        </w:tc>
        <w:tc>
          <w:tcPr>
            <w:tcW w:w="864" w:type="pct"/>
            <w:hideMark/>
          </w:tcPr>
          <w:p w14:paraId="28CA6164" w14:textId="77777777" w:rsidR="00DD002E" w:rsidRPr="00FC51BD" w:rsidRDefault="00DD002E" w:rsidP="00632A30">
            <w:pPr>
              <w:pStyle w:val="PBACTableText"/>
              <w:keepNext/>
            </w:pPr>
            <w:r w:rsidRPr="00FC51BD">
              <w:t>Vaccine</w:t>
            </w:r>
          </w:p>
        </w:tc>
        <w:tc>
          <w:tcPr>
            <w:tcW w:w="1258" w:type="pct"/>
            <w:hideMark/>
          </w:tcPr>
          <w:p w14:paraId="77071410" w14:textId="77777777" w:rsidR="00DD002E" w:rsidRPr="00FC51BD" w:rsidRDefault="00DD002E" w:rsidP="00632A30">
            <w:pPr>
              <w:pStyle w:val="PBACTableText"/>
              <w:keepNext/>
            </w:pPr>
            <w:r w:rsidRPr="00FC51BD">
              <w:t xml:space="preserve">Cost per </w:t>
            </w:r>
            <w:r>
              <w:t>dose</w:t>
            </w:r>
          </w:p>
        </w:tc>
        <w:tc>
          <w:tcPr>
            <w:tcW w:w="1309" w:type="pct"/>
            <w:hideMark/>
          </w:tcPr>
          <w:p w14:paraId="6599A8BD" w14:textId="77777777" w:rsidR="00DD002E" w:rsidRPr="00FC51BD" w:rsidRDefault="00DD002E" w:rsidP="00632A30">
            <w:pPr>
              <w:pStyle w:val="PBACTableText"/>
              <w:keepNext/>
            </w:pPr>
            <w:r w:rsidRPr="00FC51BD">
              <w:t>Total Cost Per Regime</w:t>
            </w:r>
            <w:r>
              <w:t>n</w:t>
            </w:r>
          </w:p>
        </w:tc>
      </w:tr>
      <w:tr w:rsidR="00DD002E" w:rsidRPr="00FC51BD" w14:paraId="3B21605A" w14:textId="77777777" w:rsidTr="00632A30">
        <w:trPr>
          <w:trHeight w:val="418"/>
        </w:trPr>
        <w:tc>
          <w:tcPr>
            <w:tcW w:w="1569" w:type="pct"/>
            <w:vMerge w:val="restart"/>
            <w:hideMark/>
          </w:tcPr>
          <w:p w14:paraId="2854B59E" w14:textId="77777777" w:rsidR="00DD002E" w:rsidRPr="00FC51BD" w:rsidRDefault="00DD002E" w:rsidP="00632A30">
            <w:pPr>
              <w:pStyle w:val="PBACTableText"/>
              <w:keepNext/>
            </w:pPr>
            <w:r w:rsidRPr="00FC51BD">
              <w:t>Non-</w:t>
            </w:r>
            <w:r>
              <w:t>Indigenous</w:t>
            </w:r>
            <w:r w:rsidRPr="00FC51BD">
              <w:t xml:space="preserve"> Infants and </w:t>
            </w:r>
            <w:r w:rsidRPr="00935262">
              <w:t>Aboriginal and Torres Strait Islander</w:t>
            </w:r>
            <w:r w:rsidRPr="00FC51BD">
              <w:t xml:space="preserve"> Infants living in ACT,</w:t>
            </w:r>
            <w:r>
              <w:t xml:space="preserve"> </w:t>
            </w:r>
            <w:r w:rsidRPr="00FC51BD">
              <w:t>NSW,</w:t>
            </w:r>
            <w:r>
              <w:t xml:space="preserve"> </w:t>
            </w:r>
            <w:r w:rsidRPr="00FC51BD">
              <w:t>V</w:t>
            </w:r>
            <w:r>
              <w:t>ic</w:t>
            </w:r>
            <w:r w:rsidRPr="00FC51BD">
              <w:t xml:space="preserve"> and T</w:t>
            </w:r>
            <w:r>
              <w:t>as (2+1 doses)</w:t>
            </w:r>
          </w:p>
        </w:tc>
        <w:tc>
          <w:tcPr>
            <w:tcW w:w="864" w:type="pct"/>
            <w:hideMark/>
          </w:tcPr>
          <w:p w14:paraId="54C82E03" w14:textId="77777777" w:rsidR="00DD002E" w:rsidRPr="00FC51BD" w:rsidRDefault="00DD002E" w:rsidP="00632A30">
            <w:pPr>
              <w:pStyle w:val="PBACTableText"/>
              <w:keepNext/>
            </w:pPr>
            <w:r>
              <w:t>15vPCV</w:t>
            </w:r>
          </w:p>
        </w:tc>
        <w:tc>
          <w:tcPr>
            <w:tcW w:w="1258" w:type="pct"/>
            <w:hideMark/>
          </w:tcPr>
          <w:p w14:paraId="1E9A0B19" w14:textId="77777777" w:rsidR="00DD002E" w:rsidRDefault="00DD002E" w:rsidP="00632A30">
            <w:pPr>
              <w:pStyle w:val="PBACTableText"/>
              <w:keepNext/>
            </w:pPr>
            <w:r>
              <w:t xml:space="preserve">All doses </w:t>
            </w:r>
            <w:r w:rsidRPr="00FC51BD">
              <w:t xml:space="preserve">$114.99 </w:t>
            </w:r>
          </w:p>
          <w:p w14:paraId="16A8880A" w14:textId="77777777" w:rsidR="00DD002E" w:rsidRPr="00FC51BD" w:rsidRDefault="00DD002E" w:rsidP="00632A30">
            <w:pPr>
              <w:pStyle w:val="PBACTableText"/>
              <w:keepNext/>
            </w:pPr>
          </w:p>
        </w:tc>
        <w:tc>
          <w:tcPr>
            <w:tcW w:w="1309" w:type="pct"/>
            <w:hideMark/>
          </w:tcPr>
          <w:p w14:paraId="5A77A5D2" w14:textId="77777777" w:rsidR="00DD002E" w:rsidRPr="00FC51BD" w:rsidRDefault="00DD002E" w:rsidP="00632A30">
            <w:pPr>
              <w:pStyle w:val="PBACTableText"/>
              <w:keepNext/>
            </w:pPr>
            <w:r w:rsidRPr="00FC51BD">
              <w:t>$114.99 x 3 = $344.97</w:t>
            </w:r>
          </w:p>
        </w:tc>
      </w:tr>
      <w:tr w:rsidR="00DD002E" w:rsidRPr="00FC51BD" w14:paraId="265F22B5" w14:textId="77777777" w:rsidTr="00632A30">
        <w:trPr>
          <w:trHeight w:val="600"/>
        </w:trPr>
        <w:tc>
          <w:tcPr>
            <w:tcW w:w="1569" w:type="pct"/>
            <w:vMerge/>
            <w:hideMark/>
          </w:tcPr>
          <w:p w14:paraId="0A7A283A" w14:textId="77777777" w:rsidR="00DD002E" w:rsidRPr="00FC51BD" w:rsidRDefault="00DD002E" w:rsidP="00632A30">
            <w:pPr>
              <w:pStyle w:val="PBACTableText"/>
              <w:keepNext/>
            </w:pPr>
          </w:p>
        </w:tc>
        <w:tc>
          <w:tcPr>
            <w:tcW w:w="864" w:type="pct"/>
            <w:hideMark/>
          </w:tcPr>
          <w:p w14:paraId="0B65F025" w14:textId="77777777" w:rsidR="00DD002E" w:rsidRPr="00FC51BD" w:rsidRDefault="00DD002E" w:rsidP="00632A30">
            <w:pPr>
              <w:pStyle w:val="PBACTableText"/>
              <w:keepNext/>
            </w:pPr>
            <w:r>
              <w:t>13vPCV</w:t>
            </w:r>
          </w:p>
        </w:tc>
        <w:tc>
          <w:tcPr>
            <w:tcW w:w="1258" w:type="pct"/>
            <w:hideMark/>
          </w:tcPr>
          <w:p w14:paraId="60BA8252" w14:textId="77777777" w:rsidR="00DD002E" w:rsidRDefault="00DD002E" w:rsidP="00632A30">
            <w:pPr>
              <w:pStyle w:val="PBACTableText"/>
              <w:keepNext/>
            </w:pPr>
            <w:r>
              <w:t xml:space="preserve">All doses </w:t>
            </w:r>
            <w:r w:rsidRPr="00FC51BD">
              <w:t>$114.99</w:t>
            </w:r>
          </w:p>
          <w:p w14:paraId="6E267D8C" w14:textId="77777777" w:rsidR="00DD002E" w:rsidRPr="00FC51BD" w:rsidRDefault="00DD002E" w:rsidP="00632A30">
            <w:pPr>
              <w:pStyle w:val="PBACTableText"/>
              <w:keepNext/>
            </w:pPr>
          </w:p>
        </w:tc>
        <w:tc>
          <w:tcPr>
            <w:tcW w:w="1309" w:type="pct"/>
            <w:hideMark/>
          </w:tcPr>
          <w:p w14:paraId="55AB4411" w14:textId="77777777" w:rsidR="00DD002E" w:rsidRPr="00FC51BD" w:rsidRDefault="00DD002E" w:rsidP="00632A30">
            <w:pPr>
              <w:pStyle w:val="PBACTableText"/>
              <w:keepNext/>
            </w:pPr>
            <w:r w:rsidRPr="00FC51BD">
              <w:t>$114.99 x 3 = $344.97</w:t>
            </w:r>
          </w:p>
        </w:tc>
      </w:tr>
      <w:tr w:rsidR="00DD002E" w:rsidRPr="00FC51BD" w14:paraId="3B904BDC" w14:textId="77777777" w:rsidTr="00632A30">
        <w:trPr>
          <w:trHeight w:val="300"/>
        </w:trPr>
        <w:tc>
          <w:tcPr>
            <w:tcW w:w="1569" w:type="pct"/>
            <w:vMerge/>
            <w:hideMark/>
          </w:tcPr>
          <w:p w14:paraId="2AC34E20" w14:textId="77777777" w:rsidR="00DD002E" w:rsidRPr="00FC51BD" w:rsidRDefault="00DD002E" w:rsidP="00632A30">
            <w:pPr>
              <w:pStyle w:val="PBACTableText"/>
              <w:keepNext/>
            </w:pPr>
          </w:p>
        </w:tc>
        <w:tc>
          <w:tcPr>
            <w:tcW w:w="864" w:type="pct"/>
            <w:hideMark/>
          </w:tcPr>
          <w:p w14:paraId="2198E955" w14:textId="77777777" w:rsidR="00DD002E" w:rsidRPr="00FC51BD" w:rsidRDefault="00DD002E" w:rsidP="00632A30">
            <w:pPr>
              <w:pStyle w:val="PBACTableText"/>
              <w:keepNext/>
            </w:pPr>
            <w:r w:rsidRPr="00FC51BD">
              <w:t>Cost Difference</w:t>
            </w:r>
          </w:p>
        </w:tc>
        <w:tc>
          <w:tcPr>
            <w:tcW w:w="1258" w:type="pct"/>
            <w:hideMark/>
          </w:tcPr>
          <w:p w14:paraId="023C3534" w14:textId="77777777" w:rsidR="00DD002E" w:rsidRPr="00FC51BD" w:rsidRDefault="00DD002E" w:rsidP="00632A30">
            <w:pPr>
              <w:pStyle w:val="PBACTableText"/>
              <w:keepNext/>
            </w:pPr>
          </w:p>
        </w:tc>
        <w:tc>
          <w:tcPr>
            <w:tcW w:w="1309" w:type="pct"/>
            <w:hideMark/>
          </w:tcPr>
          <w:p w14:paraId="5AD1BEC4" w14:textId="77777777" w:rsidR="00DD002E" w:rsidRPr="00FC51BD" w:rsidRDefault="00DD002E" w:rsidP="00632A30">
            <w:pPr>
              <w:pStyle w:val="PBACTableText"/>
              <w:keepNext/>
            </w:pPr>
            <w:r w:rsidRPr="00FC51BD">
              <w:t>$0.00</w:t>
            </w:r>
          </w:p>
        </w:tc>
      </w:tr>
      <w:tr w:rsidR="00DD002E" w:rsidRPr="00FC51BD" w14:paraId="05515F1D" w14:textId="77777777" w:rsidTr="00632A30">
        <w:trPr>
          <w:trHeight w:val="300"/>
        </w:trPr>
        <w:tc>
          <w:tcPr>
            <w:tcW w:w="5000" w:type="pct"/>
            <w:gridSpan w:val="4"/>
            <w:hideMark/>
          </w:tcPr>
          <w:p w14:paraId="29BAFB8F" w14:textId="77777777" w:rsidR="00DD002E" w:rsidRPr="00FC51BD" w:rsidRDefault="00DD002E" w:rsidP="00632A30">
            <w:pPr>
              <w:pStyle w:val="PBACTableText"/>
              <w:keepNext/>
            </w:pPr>
          </w:p>
        </w:tc>
      </w:tr>
      <w:tr w:rsidR="00DD002E" w:rsidRPr="00FC51BD" w14:paraId="22A0912A" w14:textId="77777777" w:rsidTr="00632A30">
        <w:trPr>
          <w:trHeight w:val="660"/>
        </w:trPr>
        <w:tc>
          <w:tcPr>
            <w:tcW w:w="1569" w:type="pct"/>
            <w:vMerge w:val="restart"/>
            <w:hideMark/>
          </w:tcPr>
          <w:p w14:paraId="1DBA9DED" w14:textId="77777777" w:rsidR="00DD002E" w:rsidRPr="00FC51BD" w:rsidRDefault="00DD002E" w:rsidP="00632A30">
            <w:pPr>
              <w:pStyle w:val="PBACTableText"/>
              <w:keepNext/>
            </w:pPr>
            <w:r w:rsidRPr="00FC51BD">
              <w:t xml:space="preserve">Infants with Specified Medical Risk Conditions and </w:t>
            </w:r>
            <w:r w:rsidRPr="00935262">
              <w:t>Aboriginal and Torres Strait Islander</w:t>
            </w:r>
            <w:r w:rsidRPr="00FC51BD">
              <w:t xml:space="preserve"> </w:t>
            </w:r>
            <w:r>
              <w:t>Infants</w:t>
            </w:r>
            <w:r w:rsidRPr="00FC51BD">
              <w:t xml:space="preserve"> living in WA, NT, SA and Q</w:t>
            </w:r>
            <w:r>
              <w:t>ld (3+1 doses)</w:t>
            </w:r>
          </w:p>
        </w:tc>
        <w:tc>
          <w:tcPr>
            <w:tcW w:w="864" w:type="pct"/>
            <w:hideMark/>
          </w:tcPr>
          <w:p w14:paraId="1B493E07" w14:textId="77777777" w:rsidR="00DD002E" w:rsidRPr="00FC51BD" w:rsidRDefault="00DD002E" w:rsidP="00632A30">
            <w:pPr>
              <w:pStyle w:val="PBACTableText"/>
              <w:keepNext/>
            </w:pPr>
            <w:r>
              <w:t>15vPCV</w:t>
            </w:r>
          </w:p>
        </w:tc>
        <w:tc>
          <w:tcPr>
            <w:tcW w:w="1258" w:type="pct"/>
            <w:hideMark/>
          </w:tcPr>
          <w:p w14:paraId="63DD5D78" w14:textId="77777777" w:rsidR="00DD002E" w:rsidRDefault="00DD002E" w:rsidP="00632A30">
            <w:pPr>
              <w:pStyle w:val="PBACTableText"/>
              <w:keepNext/>
            </w:pPr>
            <w:r>
              <w:t xml:space="preserve">All doses </w:t>
            </w:r>
            <w:r w:rsidRPr="00FC51BD">
              <w:t>$114.99</w:t>
            </w:r>
          </w:p>
          <w:p w14:paraId="3E57B702" w14:textId="77777777" w:rsidR="00DD002E" w:rsidRPr="00FC51BD" w:rsidRDefault="00DD002E" w:rsidP="00632A30">
            <w:pPr>
              <w:pStyle w:val="PBACTableText"/>
              <w:keepNext/>
            </w:pPr>
          </w:p>
        </w:tc>
        <w:tc>
          <w:tcPr>
            <w:tcW w:w="1309" w:type="pct"/>
            <w:hideMark/>
          </w:tcPr>
          <w:p w14:paraId="4614AF94" w14:textId="77777777" w:rsidR="00DD002E" w:rsidRPr="00FC51BD" w:rsidRDefault="00DD002E" w:rsidP="00632A30">
            <w:pPr>
              <w:pStyle w:val="PBACTableText"/>
              <w:keepNext/>
            </w:pPr>
            <w:r w:rsidRPr="00FC51BD">
              <w:t>$114.99 x 4 = $459.96</w:t>
            </w:r>
          </w:p>
        </w:tc>
      </w:tr>
      <w:tr w:rsidR="00DD002E" w:rsidRPr="00FC51BD" w14:paraId="4D707DEC" w14:textId="77777777" w:rsidTr="00632A30">
        <w:trPr>
          <w:trHeight w:val="215"/>
        </w:trPr>
        <w:tc>
          <w:tcPr>
            <w:tcW w:w="1569" w:type="pct"/>
            <w:vMerge/>
            <w:hideMark/>
          </w:tcPr>
          <w:p w14:paraId="04EDCE48" w14:textId="77777777" w:rsidR="00DD002E" w:rsidRPr="00FC51BD" w:rsidRDefault="00DD002E" w:rsidP="00632A30">
            <w:pPr>
              <w:pStyle w:val="PBACTableText"/>
              <w:keepNext/>
            </w:pPr>
          </w:p>
        </w:tc>
        <w:tc>
          <w:tcPr>
            <w:tcW w:w="864" w:type="pct"/>
            <w:hideMark/>
          </w:tcPr>
          <w:p w14:paraId="320F415A" w14:textId="77777777" w:rsidR="00DD002E" w:rsidRPr="00FC51BD" w:rsidRDefault="00DD002E" w:rsidP="00632A30">
            <w:pPr>
              <w:pStyle w:val="PBACTableText"/>
              <w:keepNext/>
            </w:pPr>
            <w:r>
              <w:t>13vPCV</w:t>
            </w:r>
          </w:p>
        </w:tc>
        <w:tc>
          <w:tcPr>
            <w:tcW w:w="1258" w:type="pct"/>
            <w:hideMark/>
          </w:tcPr>
          <w:p w14:paraId="0E4ADF15" w14:textId="77777777" w:rsidR="00DD002E" w:rsidRDefault="00DD002E" w:rsidP="00632A30">
            <w:pPr>
              <w:pStyle w:val="PBACTableText"/>
              <w:keepNext/>
            </w:pPr>
            <w:r>
              <w:t xml:space="preserve">All doses </w:t>
            </w:r>
            <w:r w:rsidRPr="00FC51BD">
              <w:t xml:space="preserve">$114.99 </w:t>
            </w:r>
          </w:p>
          <w:p w14:paraId="695CE3BF" w14:textId="77777777" w:rsidR="00DD002E" w:rsidRPr="00FC51BD" w:rsidRDefault="00DD002E" w:rsidP="00632A30">
            <w:pPr>
              <w:pStyle w:val="PBACTableText"/>
              <w:keepNext/>
            </w:pPr>
          </w:p>
        </w:tc>
        <w:tc>
          <w:tcPr>
            <w:tcW w:w="1309" w:type="pct"/>
            <w:hideMark/>
          </w:tcPr>
          <w:p w14:paraId="2B99FC4A" w14:textId="77777777" w:rsidR="00DD002E" w:rsidRPr="00FC51BD" w:rsidRDefault="00DD002E" w:rsidP="00632A30">
            <w:pPr>
              <w:pStyle w:val="PBACTableText"/>
              <w:keepNext/>
            </w:pPr>
            <w:r w:rsidRPr="00FC51BD">
              <w:t>$114.99 x 4 = $459.96</w:t>
            </w:r>
          </w:p>
        </w:tc>
      </w:tr>
      <w:tr w:rsidR="00DD002E" w:rsidRPr="00FC51BD" w14:paraId="5D7FE0AB" w14:textId="77777777" w:rsidTr="00632A30">
        <w:trPr>
          <w:trHeight w:val="300"/>
        </w:trPr>
        <w:tc>
          <w:tcPr>
            <w:tcW w:w="1569" w:type="pct"/>
            <w:vMerge/>
            <w:hideMark/>
          </w:tcPr>
          <w:p w14:paraId="6F9B94CF" w14:textId="77777777" w:rsidR="00DD002E" w:rsidRPr="00FC51BD" w:rsidRDefault="00DD002E" w:rsidP="00632A30">
            <w:pPr>
              <w:pStyle w:val="PBACTableText"/>
              <w:keepNext/>
            </w:pPr>
          </w:p>
        </w:tc>
        <w:tc>
          <w:tcPr>
            <w:tcW w:w="864" w:type="pct"/>
            <w:hideMark/>
          </w:tcPr>
          <w:p w14:paraId="3EA8AD61" w14:textId="77777777" w:rsidR="00DD002E" w:rsidRPr="00FC51BD" w:rsidRDefault="00DD002E" w:rsidP="00632A30">
            <w:pPr>
              <w:pStyle w:val="PBACTableText"/>
              <w:keepNext/>
            </w:pPr>
            <w:r w:rsidRPr="00FC51BD">
              <w:t>Cost Difference</w:t>
            </w:r>
          </w:p>
        </w:tc>
        <w:tc>
          <w:tcPr>
            <w:tcW w:w="1258" w:type="pct"/>
            <w:hideMark/>
          </w:tcPr>
          <w:p w14:paraId="68103688" w14:textId="77777777" w:rsidR="00DD002E" w:rsidRPr="00FC51BD" w:rsidRDefault="00DD002E" w:rsidP="00632A30">
            <w:pPr>
              <w:pStyle w:val="PBACTableText"/>
              <w:keepNext/>
            </w:pPr>
          </w:p>
        </w:tc>
        <w:tc>
          <w:tcPr>
            <w:tcW w:w="1309" w:type="pct"/>
            <w:hideMark/>
          </w:tcPr>
          <w:p w14:paraId="5108E682" w14:textId="77777777" w:rsidR="00DD002E" w:rsidRPr="00FC51BD" w:rsidRDefault="00DD002E" w:rsidP="00632A30">
            <w:pPr>
              <w:pStyle w:val="PBACTableText"/>
              <w:keepNext/>
            </w:pPr>
            <w:r w:rsidRPr="00FC51BD">
              <w:t>$0.00</w:t>
            </w:r>
          </w:p>
        </w:tc>
      </w:tr>
      <w:tr w:rsidR="00DD002E" w:rsidRPr="00FC51BD" w14:paraId="1FC325B9" w14:textId="77777777" w:rsidTr="00632A30">
        <w:trPr>
          <w:trHeight w:val="300"/>
        </w:trPr>
        <w:tc>
          <w:tcPr>
            <w:tcW w:w="5000" w:type="pct"/>
            <w:gridSpan w:val="4"/>
            <w:hideMark/>
          </w:tcPr>
          <w:p w14:paraId="0DDAD8FD" w14:textId="77777777" w:rsidR="00DD002E" w:rsidRPr="00FC51BD" w:rsidRDefault="00DD002E" w:rsidP="00632A30">
            <w:pPr>
              <w:pStyle w:val="PBACTableText"/>
              <w:keepNext/>
            </w:pPr>
          </w:p>
        </w:tc>
      </w:tr>
      <w:tr w:rsidR="00DD002E" w:rsidRPr="00FC51BD" w14:paraId="5C0A6F56" w14:textId="77777777" w:rsidTr="00632A30">
        <w:trPr>
          <w:trHeight w:val="355"/>
        </w:trPr>
        <w:tc>
          <w:tcPr>
            <w:tcW w:w="1569" w:type="pct"/>
            <w:vMerge w:val="restart"/>
            <w:hideMark/>
          </w:tcPr>
          <w:p w14:paraId="1C8AEC72" w14:textId="77777777" w:rsidR="00DD002E" w:rsidRPr="00FC51BD" w:rsidRDefault="00DD002E" w:rsidP="00632A30">
            <w:pPr>
              <w:pStyle w:val="PBACTableText"/>
              <w:keepNext/>
            </w:pPr>
            <w:r w:rsidRPr="00FC51BD">
              <w:t>Children and adolescents between 12 months and 18 years newly diagnosed with a specified medical risk condition</w:t>
            </w:r>
            <w:r>
              <w:t xml:space="preserve"> (1 dose)</w:t>
            </w:r>
          </w:p>
        </w:tc>
        <w:tc>
          <w:tcPr>
            <w:tcW w:w="864" w:type="pct"/>
            <w:hideMark/>
          </w:tcPr>
          <w:p w14:paraId="189D9AC6" w14:textId="77777777" w:rsidR="00DD002E" w:rsidRPr="00FC51BD" w:rsidRDefault="00DD002E" w:rsidP="00632A30">
            <w:pPr>
              <w:pStyle w:val="PBACTableText"/>
              <w:keepNext/>
            </w:pPr>
            <w:r>
              <w:t>15vPCV</w:t>
            </w:r>
          </w:p>
        </w:tc>
        <w:tc>
          <w:tcPr>
            <w:tcW w:w="1258" w:type="pct"/>
            <w:hideMark/>
          </w:tcPr>
          <w:p w14:paraId="71474ABC" w14:textId="77777777" w:rsidR="00DD002E" w:rsidRPr="00FC51BD" w:rsidRDefault="00DD002E" w:rsidP="00632A30">
            <w:pPr>
              <w:pStyle w:val="PBACTableText"/>
              <w:keepNext/>
            </w:pPr>
            <w:r w:rsidRPr="00FC51BD">
              <w:t>$114.99</w:t>
            </w:r>
          </w:p>
        </w:tc>
        <w:tc>
          <w:tcPr>
            <w:tcW w:w="1309" w:type="pct"/>
            <w:hideMark/>
          </w:tcPr>
          <w:p w14:paraId="570AFFF6" w14:textId="77777777" w:rsidR="00DD002E" w:rsidRPr="00FC51BD" w:rsidRDefault="00DD002E" w:rsidP="00632A30">
            <w:pPr>
              <w:pStyle w:val="PBACTableText"/>
              <w:keepNext/>
            </w:pPr>
            <w:r w:rsidRPr="00FC51BD">
              <w:t>$114.99</w:t>
            </w:r>
          </w:p>
        </w:tc>
      </w:tr>
      <w:tr w:rsidR="00DD002E" w:rsidRPr="00FC51BD" w14:paraId="32DC17B0" w14:textId="77777777" w:rsidTr="00632A30">
        <w:trPr>
          <w:trHeight w:val="300"/>
        </w:trPr>
        <w:tc>
          <w:tcPr>
            <w:tcW w:w="1569" w:type="pct"/>
            <w:vMerge/>
            <w:hideMark/>
          </w:tcPr>
          <w:p w14:paraId="175E1075" w14:textId="77777777" w:rsidR="00DD002E" w:rsidRPr="00FC51BD" w:rsidRDefault="00DD002E" w:rsidP="00632A30">
            <w:pPr>
              <w:pStyle w:val="PBACTableText"/>
              <w:keepNext/>
            </w:pPr>
          </w:p>
        </w:tc>
        <w:tc>
          <w:tcPr>
            <w:tcW w:w="864" w:type="pct"/>
            <w:hideMark/>
          </w:tcPr>
          <w:p w14:paraId="0EAA26A8" w14:textId="77777777" w:rsidR="00DD002E" w:rsidRPr="00FC51BD" w:rsidRDefault="00DD002E" w:rsidP="00632A30">
            <w:pPr>
              <w:pStyle w:val="PBACTableText"/>
              <w:keepNext/>
            </w:pPr>
            <w:r>
              <w:t>13vPCV</w:t>
            </w:r>
          </w:p>
        </w:tc>
        <w:tc>
          <w:tcPr>
            <w:tcW w:w="1258" w:type="pct"/>
            <w:hideMark/>
          </w:tcPr>
          <w:p w14:paraId="3099BFD1" w14:textId="77777777" w:rsidR="00DD002E" w:rsidRPr="00FC51BD" w:rsidRDefault="00DD002E" w:rsidP="00632A30">
            <w:pPr>
              <w:pStyle w:val="PBACTableText"/>
              <w:keepNext/>
            </w:pPr>
            <w:r w:rsidRPr="00FC51BD">
              <w:t>$114.99</w:t>
            </w:r>
          </w:p>
        </w:tc>
        <w:tc>
          <w:tcPr>
            <w:tcW w:w="1309" w:type="pct"/>
            <w:hideMark/>
          </w:tcPr>
          <w:p w14:paraId="15608507" w14:textId="77777777" w:rsidR="00DD002E" w:rsidRPr="00FC51BD" w:rsidRDefault="00DD002E" w:rsidP="00632A30">
            <w:pPr>
              <w:pStyle w:val="PBACTableText"/>
              <w:keepNext/>
            </w:pPr>
            <w:r w:rsidRPr="00FC51BD">
              <w:t>$114.99</w:t>
            </w:r>
          </w:p>
        </w:tc>
      </w:tr>
      <w:tr w:rsidR="00DD002E" w:rsidRPr="00FC51BD" w14:paraId="118AA54F" w14:textId="77777777" w:rsidTr="00632A30">
        <w:trPr>
          <w:trHeight w:val="300"/>
        </w:trPr>
        <w:tc>
          <w:tcPr>
            <w:tcW w:w="1569" w:type="pct"/>
            <w:vMerge/>
            <w:hideMark/>
          </w:tcPr>
          <w:p w14:paraId="408592FB" w14:textId="77777777" w:rsidR="00DD002E" w:rsidRPr="00FC51BD" w:rsidRDefault="00DD002E" w:rsidP="00632A30">
            <w:pPr>
              <w:pStyle w:val="PBACTableText"/>
              <w:keepNext/>
            </w:pPr>
          </w:p>
        </w:tc>
        <w:tc>
          <w:tcPr>
            <w:tcW w:w="864" w:type="pct"/>
            <w:hideMark/>
          </w:tcPr>
          <w:p w14:paraId="5F646B11" w14:textId="77777777" w:rsidR="00DD002E" w:rsidRPr="00FC51BD" w:rsidRDefault="00DD002E" w:rsidP="00632A30">
            <w:pPr>
              <w:pStyle w:val="PBACTableText"/>
              <w:keepNext/>
            </w:pPr>
            <w:r w:rsidRPr="00FC51BD">
              <w:t>Cost Difference</w:t>
            </w:r>
          </w:p>
        </w:tc>
        <w:tc>
          <w:tcPr>
            <w:tcW w:w="1258" w:type="pct"/>
            <w:hideMark/>
          </w:tcPr>
          <w:p w14:paraId="2A6C5ABF" w14:textId="77777777" w:rsidR="00DD002E" w:rsidRPr="00FC51BD" w:rsidRDefault="00DD002E" w:rsidP="00632A30">
            <w:pPr>
              <w:pStyle w:val="PBACTableText"/>
              <w:keepNext/>
            </w:pPr>
          </w:p>
        </w:tc>
        <w:tc>
          <w:tcPr>
            <w:tcW w:w="1309" w:type="pct"/>
            <w:hideMark/>
          </w:tcPr>
          <w:p w14:paraId="19E216A0" w14:textId="77777777" w:rsidR="00DD002E" w:rsidRPr="00FC51BD" w:rsidRDefault="00DD002E" w:rsidP="00632A30">
            <w:pPr>
              <w:pStyle w:val="PBACTableText"/>
              <w:keepNext/>
            </w:pPr>
            <w:r w:rsidRPr="00FC51BD">
              <w:t>$0.00</w:t>
            </w:r>
          </w:p>
        </w:tc>
      </w:tr>
      <w:tr w:rsidR="00DD002E" w:rsidRPr="00FC51BD" w14:paraId="57313BF9" w14:textId="77777777" w:rsidTr="00632A30">
        <w:trPr>
          <w:trHeight w:val="300"/>
        </w:trPr>
        <w:tc>
          <w:tcPr>
            <w:tcW w:w="5000" w:type="pct"/>
            <w:gridSpan w:val="4"/>
            <w:hideMark/>
          </w:tcPr>
          <w:p w14:paraId="0EF48F7C" w14:textId="77777777" w:rsidR="00DD002E" w:rsidRPr="00FC51BD" w:rsidRDefault="00DD002E" w:rsidP="00632A30">
            <w:pPr>
              <w:pStyle w:val="PBACTableText"/>
              <w:keepNext/>
            </w:pPr>
          </w:p>
        </w:tc>
      </w:tr>
      <w:tr w:rsidR="00DD002E" w:rsidRPr="00FC51BD" w14:paraId="471C1921" w14:textId="77777777" w:rsidTr="00632A30">
        <w:trPr>
          <w:trHeight w:val="491"/>
        </w:trPr>
        <w:tc>
          <w:tcPr>
            <w:tcW w:w="1569" w:type="pct"/>
            <w:vMerge w:val="restart"/>
            <w:hideMark/>
          </w:tcPr>
          <w:p w14:paraId="16D69494" w14:textId="77777777" w:rsidR="00DD002E" w:rsidRPr="00FC51BD" w:rsidRDefault="00DD002E" w:rsidP="00632A30">
            <w:pPr>
              <w:pStyle w:val="PBACTableText"/>
              <w:keepNext/>
            </w:pPr>
            <w:r w:rsidRPr="00FC51BD">
              <w:t>Haematopoietic stem cell transplant (HSCT) recipients aged 12 months to &lt;18 years</w:t>
            </w:r>
            <w:r>
              <w:t xml:space="preserve"> (3 doses)</w:t>
            </w:r>
          </w:p>
        </w:tc>
        <w:tc>
          <w:tcPr>
            <w:tcW w:w="864" w:type="pct"/>
            <w:hideMark/>
          </w:tcPr>
          <w:p w14:paraId="410EB26E" w14:textId="77777777" w:rsidR="00DD002E" w:rsidRPr="00FC51BD" w:rsidRDefault="00DD002E" w:rsidP="00632A30">
            <w:pPr>
              <w:pStyle w:val="PBACTableText"/>
              <w:keepNext/>
            </w:pPr>
            <w:r>
              <w:t>15vPCV</w:t>
            </w:r>
          </w:p>
        </w:tc>
        <w:tc>
          <w:tcPr>
            <w:tcW w:w="1258" w:type="pct"/>
            <w:hideMark/>
          </w:tcPr>
          <w:p w14:paraId="6BDFF66E" w14:textId="77777777" w:rsidR="00DD002E" w:rsidRDefault="00DD002E" w:rsidP="00632A30">
            <w:pPr>
              <w:pStyle w:val="PBACTableText"/>
              <w:keepNext/>
            </w:pPr>
            <w:r>
              <w:t xml:space="preserve">All doses </w:t>
            </w:r>
            <w:r w:rsidRPr="00FC51BD">
              <w:t xml:space="preserve">$114.99 </w:t>
            </w:r>
          </w:p>
          <w:p w14:paraId="09FDDD50" w14:textId="77777777" w:rsidR="00DD002E" w:rsidRPr="00FC51BD" w:rsidRDefault="00DD002E" w:rsidP="00632A30">
            <w:pPr>
              <w:pStyle w:val="PBACTableText"/>
              <w:keepNext/>
            </w:pPr>
          </w:p>
        </w:tc>
        <w:tc>
          <w:tcPr>
            <w:tcW w:w="1309" w:type="pct"/>
            <w:hideMark/>
          </w:tcPr>
          <w:p w14:paraId="6B200992" w14:textId="77777777" w:rsidR="00DD002E" w:rsidRPr="00FC51BD" w:rsidRDefault="00DD002E" w:rsidP="00632A30">
            <w:pPr>
              <w:pStyle w:val="PBACTableText"/>
              <w:keepNext/>
            </w:pPr>
            <w:r w:rsidRPr="00FC51BD">
              <w:t>$114.99 x 3 = $344.97</w:t>
            </w:r>
          </w:p>
        </w:tc>
      </w:tr>
      <w:tr w:rsidR="00DD002E" w:rsidRPr="00FC51BD" w14:paraId="1FABC946" w14:textId="77777777" w:rsidTr="00632A30">
        <w:trPr>
          <w:trHeight w:val="600"/>
        </w:trPr>
        <w:tc>
          <w:tcPr>
            <w:tcW w:w="1569" w:type="pct"/>
            <w:vMerge/>
            <w:hideMark/>
          </w:tcPr>
          <w:p w14:paraId="1BFCE0D4" w14:textId="77777777" w:rsidR="00DD002E" w:rsidRPr="00FC51BD" w:rsidRDefault="00DD002E" w:rsidP="00632A30">
            <w:pPr>
              <w:pStyle w:val="PBACTableText"/>
              <w:keepNext/>
            </w:pPr>
          </w:p>
        </w:tc>
        <w:tc>
          <w:tcPr>
            <w:tcW w:w="864" w:type="pct"/>
            <w:hideMark/>
          </w:tcPr>
          <w:p w14:paraId="4F49F6B0" w14:textId="77777777" w:rsidR="00DD002E" w:rsidRPr="00FC51BD" w:rsidRDefault="00DD002E" w:rsidP="00632A30">
            <w:pPr>
              <w:pStyle w:val="PBACTableText"/>
              <w:keepNext/>
            </w:pPr>
            <w:r>
              <w:t>13vPCV</w:t>
            </w:r>
          </w:p>
        </w:tc>
        <w:tc>
          <w:tcPr>
            <w:tcW w:w="1258" w:type="pct"/>
            <w:hideMark/>
          </w:tcPr>
          <w:p w14:paraId="63899753" w14:textId="77777777" w:rsidR="00DD002E" w:rsidRDefault="00DD002E" w:rsidP="00632A30">
            <w:pPr>
              <w:pStyle w:val="PBACTableText"/>
              <w:keepNext/>
            </w:pPr>
            <w:r>
              <w:t xml:space="preserve">All doses </w:t>
            </w:r>
            <w:r w:rsidRPr="00FC51BD">
              <w:t xml:space="preserve">$114.99 </w:t>
            </w:r>
          </w:p>
          <w:p w14:paraId="307F3FBE" w14:textId="77777777" w:rsidR="00DD002E" w:rsidRPr="00FC51BD" w:rsidRDefault="00DD002E" w:rsidP="00632A30">
            <w:pPr>
              <w:pStyle w:val="PBACTableText"/>
              <w:keepNext/>
            </w:pPr>
          </w:p>
        </w:tc>
        <w:tc>
          <w:tcPr>
            <w:tcW w:w="1309" w:type="pct"/>
            <w:hideMark/>
          </w:tcPr>
          <w:p w14:paraId="1CBD27C7" w14:textId="77777777" w:rsidR="00DD002E" w:rsidRPr="00FC51BD" w:rsidRDefault="00DD002E" w:rsidP="00632A30">
            <w:pPr>
              <w:pStyle w:val="PBACTableText"/>
              <w:keepNext/>
            </w:pPr>
            <w:r w:rsidRPr="00FC51BD">
              <w:t>$114.99 x 3 = $344.97</w:t>
            </w:r>
          </w:p>
        </w:tc>
      </w:tr>
      <w:tr w:rsidR="00DD002E" w:rsidRPr="00FC51BD" w14:paraId="6AA4BDCA" w14:textId="77777777" w:rsidTr="00632A30">
        <w:trPr>
          <w:trHeight w:val="300"/>
        </w:trPr>
        <w:tc>
          <w:tcPr>
            <w:tcW w:w="1569" w:type="pct"/>
            <w:vMerge/>
            <w:hideMark/>
          </w:tcPr>
          <w:p w14:paraId="1C553CF4" w14:textId="77777777" w:rsidR="00DD002E" w:rsidRPr="00FC51BD" w:rsidRDefault="00DD002E" w:rsidP="00632A30">
            <w:pPr>
              <w:pStyle w:val="PBACTableText"/>
              <w:keepNext/>
            </w:pPr>
          </w:p>
        </w:tc>
        <w:tc>
          <w:tcPr>
            <w:tcW w:w="864" w:type="pct"/>
            <w:hideMark/>
          </w:tcPr>
          <w:p w14:paraId="0D100ACD" w14:textId="77777777" w:rsidR="00DD002E" w:rsidRPr="00FC51BD" w:rsidRDefault="00DD002E" w:rsidP="00632A30">
            <w:pPr>
              <w:pStyle w:val="PBACTableText"/>
              <w:keepNext/>
            </w:pPr>
            <w:r w:rsidRPr="00FC51BD">
              <w:t>Cost Difference</w:t>
            </w:r>
          </w:p>
        </w:tc>
        <w:tc>
          <w:tcPr>
            <w:tcW w:w="1258" w:type="pct"/>
            <w:hideMark/>
          </w:tcPr>
          <w:p w14:paraId="3B7B09C1" w14:textId="77777777" w:rsidR="00DD002E" w:rsidRPr="00FC51BD" w:rsidRDefault="00DD002E" w:rsidP="00632A30">
            <w:pPr>
              <w:pStyle w:val="PBACTableText"/>
              <w:keepNext/>
            </w:pPr>
          </w:p>
        </w:tc>
        <w:tc>
          <w:tcPr>
            <w:tcW w:w="1309" w:type="pct"/>
            <w:hideMark/>
          </w:tcPr>
          <w:p w14:paraId="7A31FC30" w14:textId="77777777" w:rsidR="00DD002E" w:rsidRPr="00FC51BD" w:rsidRDefault="00DD002E" w:rsidP="00632A30">
            <w:pPr>
              <w:pStyle w:val="PBACTableText"/>
              <w:keepNext/>
            </w:pPr>
            <w:r w:rsidRPr="00FC51BD">
              <w:t>$0.00</w:t>
            </w:r>
          </w:p>
        </w:tc>
      </w:tr>
      <w:tr w:rsidR="00DD002E" w:rsidRPr="00FC51BD" w14:paraId="34095304" w14:textId="77777777" w:rsidTr="00632A30">
        <w:trPr>
          <w:trHeight w:val="300"/>
        </w:trPr>
        <w:tc>
          <w:tcPr>
            <w:tcW w:w="1569" w:type="pct"/>
          </w:tcPr>
          <w:p w14:paraId="4D11CE11" w14:textId="77777777" w:rsidR="00DD002E" w:rsidRPr="00FC51BD" w:rsidRDefault="00DD002E" w:rsidP="00632A30">
            <w:pPr>
              <w:pStyle w:val="PBACTableText"/>
              <w:keepNext/>
            </w:pPr>
            <w:r>
              <w:t xml:space="preserve">Administration costs (MBS item 3) </w:t>
            </w:r>
          </w:p>
        </w:tc>
        <w:tc>
          <w:tcPr>
            <w:tcW w:w="864" w:type="pct"/>
          </w:tcPr>
          <w:p w14:paraId="3F1B3A4B" w14:textId="77777777" w:rsidR="00DD002E" w:rsidRPr="00FC51BD" w:rsidRDefault="00DD002E" w:rsidP="00632A30">
            <w:pPr>
              <w:pStyle w:val="PBACTableText"/>
              <w:keepNext/>
            </w:pPr>
            <w:r>
              <w:t>15vPCV</w:t>
            </w:r>
          </w:p>
        </w:tc>
        <w:tc>
          <w:tcPr>
            <w:tcW w:w="1258" w:type="pct"/>
          </w:tcPr>
          <w:p w14:paraId="12981A1A" w14:textId="77777777" w:rsidR="00DD002E" w:rsidRPr="00FC51BD" w:rsidRDefault="00DD002E" w:rsidP="00632A30">
            <w:pPr>
              <w:pStyle w:val="PBACTableText"/>
              <w:keepNext/>
            </w:pPr>
            <w:r>
              <w:t>$18.20</w:t>
            </w:r>
          </w:p>
        </w:tc>
        <w:tc>
          <w:tcPr>
            <w:tcW w:w="1309" w:type="pct"/>
          </w:tcPr>
          <w:p w14:paraId="702E1C87" w14:textId="77777777" w:rsidR="00DD002E" w:rsidRPr="00FC51BD" w:rsidRDefault="00DD002E" w:rsidP="00632A30">
            <w:pPr>
              <w:pStyle w:val="PBACTableText"/>
              <w:keepNext/>
            </w:pPr>
          </w:p>
        </w:tc>
      </w:tr>
      <w:tr w:rsidR="00DD002E" w:rsidRPr="00FC51BD" w14:paraId="487B14F5" w14:textId="77777777" w:rsidTr="00632A30">
        <w:trPr>
          <w:trHeight w:val="300"/>
        </w:trPr>
        <w:tc>
          <w:tcPr>
            <w:tcW w:w="1569" w:type="pct"/>
          </w:tcPr>
          <w:p w14:paraId="64C2908D" w14:textId="77777777" w:rsidR="00DD002E" w:rsidRDefault="00DD002E" w:rsidP="00632A30">
            <w:pPr>
              <w:pStyle w:val="PBACTableText"/>
              <w:keepNext/>
            </w:pPr>
          </w:p>
        </w:tc>
        <w:tc>
          <w:tcPr>
            <w:tcW w:w="864" w:type="pct"/>
          </w:tcPr>
          <w:p w14:paraId="173051BC" w14:textId="77777777" w:rsidR="00DD002E" w:rsidRDefault="00DD002E" w:rsidP="00632A30">
            <w:pPr>
              <w:pStyle w:val="PBACTableText"/>
              <w:keepNext/>
            </w:pPr>
            <w:r>
              <w:t>13vPCV</w:t>
            </w:r>
          </w:p>
        </w:tc>
        <w:tc>
          <w:tcPr>
            <w:tcW w:w="1258" w:type="pct"/>
          </w:tcPr>
          <w:p w14:paraId="33BC4AFA" w14:textId="77777777" w:rsidR="00DD002E" w:rsidRPr="00FC51BD" w:rsidRDefault="00DD002E" w:rsidP="00632A30">
            <w:pPr>
              <w:pStyle w:val="PBACTableText"/>
              <w:keepNext/>
            </w:pPr>
            <w:r>
              <w:t>$18.20</w:t>
            </w:r>
          </w:p>
        </w:tc>
        <w:tc>
          <w:tcPr>
            <w:tcW w:w="1309" w:type="pct"/>
          </w:tcPr>
          <w:p w14:paraId="59951CB4" w14:textId="77777777" w:rsidR="00DD002E" w:rsidRPr="00FC51BD" w:rsidRDefault="00DD002E" w:rsidP="00632A30">
            <w:pPr>
              <w:pStyle w:val="PBACTableText"/>
              <w:keepNext/>
            </w:pPr>
          </w:p>
        </w:tc>
      </w:tr>
      <w:tr w:rsidR="00DD002E" w:rsidRPr="00FC51BD" w14:paraId="439B5D7E" w14:textId="77777777" w:rsidTr="00632A30">
        <w:trPr>
          <w:trHeight w:val="300"/>
        </w:trPr>
        <w:tc>
          <w:tcPr>
            <w:tcW w:w="1569" w:type="pct"/>
          </w:tcPr>
          <w:p w14:paraId="34DFE69A" w14:textId="77777777" w:rsidR="00DD002E" w:rsidRDefault="00DD002E" w:rsidP="00632A30">
            <w:pPr>
              <w:pStyle w:val="PBACTableText"/>
              <w:keepNext/>
            </w:pPr>
          </w:p>
        </w:tc>
        <w:tc>
          <w:tcPr>
            <w:tcW w:w="864" w:type="pct"/>
          </w:tcPr>
          <w:p w14:paraId="0C9E757E" w14:textId="77777777" w:rsidR="00DD002E" w:rsidRDefault="00DD002E" w:rsidP="00632A30">
            <w:pPr>
              <w:pStyle w:val="PBACTableText"/>
              <w:keepNext/>
            </w:pPr>
            <w:r>
              <w:t>Cost difference</w:t>
            </w:r>
          </w:p>
        </w:tc>
        <w:tc>
          <w:tcPr>
            <w:tcW w:w="1258" w:type="pct"/>
          </w:tcPr>
          <w:p w14:paraId="360E2A8E" w14:textId="77777777" w:rsidR="00DD002E" w:rsidRDefault="00DD002E" w:rsidP="00632A30">
            <w:pPr>
              <w:pStyle w:val="PBACTableText"/>
              <w:keepNext/>
            </w:pPr>
            <w:r>
              <w:t>$0.00</w:t>
            </w:r>
          </w:p>
        </w:tc>
        <w:tc>
          <w:tcPr>
            <w:tcW w:w="1309" w:type="pct"/>
          </w:tcPr>
          <w:p w14:paraId="588363E0" w14:textId="77777777" w:rsidR="00DD002E" w:rsidRPr="00FC51BD" w:rsidRDefault="00DD002E" w:rsidP="00632A30">
            <w:pPr>
              <w:pStyle w:val="PBACTableText"/>
              <w:keepNext/>
            </w:pPr>
          </w:p>
        </w:tc>
      </w:tr>
    </w:tbl>
    <w:p w14:paraId="3A5E91CD" w14:textId="77777777" w:rsidR="00DD002E" w:rsidRDefault="00DD002E" w:rsidP="00DD002E">
      <w:pPr>
        <w:pStyle w:val="TableFooter"/>
        <w:keepNext/>
      </w:pPr>
      <w:r>
        <w:t>Source: Table 3.4.1, pp204-5 of the submission</w:t>
      </w:r>
      <w:bookmarkStart w:id="47" w:name="_Ref104805102"/>
      <w:bookmarkStart w:id="48" w:name="_Hlk86339156"/>
      <w:r>
        <w:t>.</w:t>
      </w:r>
    </w:p>
    <w:p w14:paraId="590C35F2" w14:textId="61E72DED" w:rsidR="00DD002E" w:rsidRDefault="00DD002E" w:rsidP="00DD002E">
      <w:pPr>
        <w:pStyle w:val="TableFooter"/>
        <w:keepNext/>
      </w:pPr>
      <w:r>
        <w:t>HSCT = h</w:t>
      </w:r>
      <w:r w:rsidRPr="00FC51BD">
        <w:t>aematopoietic stem cell transplan</w:t>
      </w:r>
      <w:r>
        <w:t xml:space="preserve">t; PCV = </w:t>
      </w:r>
      <w:r w:rsidRPr="00EE67CF">
        <w:t>pneumococcal conjugate vaccine</w:t>
      </w:r>
      <w:r>
        <w:t xml:space="preserve">. </w:t>
      </w:r>
    </w:p>
    <w:p w14:paraId="447E61E6" w14:textId="77777777" w:rsidR="00DD002E" w:rsidRDefault="00DD002E" w:rsidP="00DD002E">
      <w:pPr>
        <w:pStyle w:val="4-SubsectionHeading"/>
      </w:pPr>
      <w:bookmarkStart w:id="49" w:name="_Toc22897646"/>
      <w:bookmarkStart w:id="50" w:name="_Toc124765898"/>
      <w:r>
        <w:t>Vaccine</w:t>
      </w:r>
      <w:r w:rsidRPr="002C2775">
        <w:t xml:space="preserve"> cost/patient/course</w:t>
      </w:r>
      <w:bookmarkEnd w:id="49"/>
      <w:bookmarkEnd w:id="50"/>
    </w:p>
    <w:p w14:paraId="3F7E9E5B" w14:textId="77777777" w:rsidR="00DD002E" w:rsidRPr="005B2320" w:rsidRDefault="00DD002E" w:rsidP="00DD002E">
      <w:pPr>
        <w:pStyle w:val="3-BodyText"/>
      </w:pPr>
      <w:r w:rsidRPr="00F93A3C">
        <w:t>Vaccine cost per patient per course was estimated at $114.99 based on the publicly available private market price (based on 1 dose, the same cost/patient/course was applied in the financial estimates).</w:t>
      </w:r>
      <w:bookmarkStart w:id="51" w:name="_Hlk107307804"/>
      <w:bookmarkEnd w:id="47"/>
      <w:bookmarkEnd w:id="48"/>
    </w:p>
    <w:p w14:paraId="778DCED0" w14:textId="77777777" w:rsidR="00DD002E" w:rsidRPr="00C9624D" w:rsidRDefault="00DD002E" w:rsidP="00DD002E">
      <w:pPr>
        <w:pStyle w:val="4-SubsectionHeading"/>
      </w:pPr>
      <w:bookmarkStart w:id="52" w:name="_Toc22897647"/>
      <w:bookmarkStart w:id="53" w:name="_Toc124765899"/>
      <w:bookmarkEnd w:id="51"/>
      <w:r w:rsidRPr="00C9624D">
        <w:t>Estimated PBS usage &amp; financial implications</w:t>
      </w:r>
      <w:bookmarkEnd w:id="52"/>
      <w:bookmarkEnd w:id="53"/>
    </w:p>
    <w:p w14:paraId="164405E4" w14:textId="77777777" w:rsidR="00DD002E" w:rsidRPr="00B07B98" w:rsidRDefault="00DD002E" w:rsidP="00DD002E">
      <w:pPr>
        <w:pStyle w:val="3-BodyText"/>
        <w:rPr>
          <w:color w:val="0066FF"/>
        </w:rPr>
      </w:pPr>
      <w:r>
        <w:t>This submission was</w:t>
      </w:r>
      <w:r w:rsidRPr="005B2320">
        <w:t xml:space="preserve"> not </w:t>
      </w:r>
      <w:r>
        <w:t>considered by DUSC</w:t>
      </w:r>
      <w:r w:rsidRPr="00B50DB8">
        <w:rPr>
          <w:color w:val="0070C0"/>
        </w:rPr>
        <w:t>.</w:t>
      </w:r>
      <w:r>
        <w:rPr>
          <w:color w:val="0070C0"/>
        </w:rPr>
        <w:t xml:space="preserve"> </w:t>
      </w:r>
    </w:p>
    <w:p w14:paraId="4AA2A6E9" w14:textId="77777777" w:rsidR="00DD002E" w:rsidRDefault="00DD002E" w:rsidP="00DD002E">
      <w:pPr>
        <w:pStyle w:val="3-BodyText"/>
      </w:pPr>
      <w:r w:rsidRPr="00372A4D">
        <w:t>The submission used an epidemiological approach to estimate the number of doses required for each population</w:t>
      </w:r>
      <w:r>
        <w:t xml:space="preserve">: (1) </w:t>
      </w:r>
      <w:r w:rsidRPr="0055099C">
        <w:t>Non</w:t>
      </w:r>
      <w:r>
        <w:t>-</w:t>
      </w:r>
      <w:r w:rsidRPr="0055099C">
        <w:t xml:space="preserve">Indigenous infants and </w:t>
      </w:r>
      <w:r w:rsidRPr="00935262">
        <w:t>Aboriginal and Torres Strait Islander</w:t>
      </w:r>
      <w:r w:rsidRPr="0055099C">
        <w:t xml:space="preserve"> infants living in ACT, NSW, Vic and Tas</w:t>
      </w:r>
      <w:r>
        <w:t xml:space="preserve">; (2) </w:t>
      </w:r>
      <w:r w:rsidRPr="00935262">
        <w:t>Aboriginal and Torres Strait Islander</w:t>
      </w:r>
      <w:r w:rsidRPr="00B25F8C">
        <w:t xml:space="preserve"> infants living in NT, Qld, SA and WA and medically at risk infants ≤12 months</w:t>
      </w:r>
      <w:r>
        <w:t>; (3) medically at-risk 12 months to 18 years;</w:t>
      </w:r>
      <w:r w:rsidRPr="00B25F8C">
        <w:t xml:space="preserve"> </w:t>
      </w:r>
      <w:r>
        <w:t>h</w:t>
      </w:r>
      <w:r w:rsidRPr="00B25F8C">
        <w:t xml:space="preserve">aematopoietic </w:t>
      </w:r>
      <w:r>
        <w:t>s</w:t>
      </w:r>
      <w:r w:rsidRPr="00B25F8C">
        <w:t xml:space="preserve">tem </w:t>
      </w:r>
      <w:r>
        <w:t>c</w:t>
      </w:r>
      <w:r w:rsidRPr="00B25F8C">
        <w:t xml:space="preserve">ell </w:t>
      </w:r>
      <w:r>
        <w:t>t</w:t>
      </w:r>
      <w:r w:rsidRPr="00B25F8C">
        <w:t>ransplant</w:t>
      </w:r>
      <w:r>
        <w:t xml:space="preserve"> patients up to 18 years.</w:t>
      </w:r>
    </w:p>
    <w:p w14:paraId="5CEA237E" w14:textId="77777777" w:rsidR="00DD002E" w:rsidRDefault="00DD002E" w:rsidP="00DD002E">
      <w:pPr>
        <w:pStyle w:val="3-BodyText"/>
      </w:pPr>
      <w:r>
        <w:lastRenderedPageBreak/>
        <w:t>The submission assumed that as only</w:t>
      </w:r>
      <w:r w:rsidRPr="00372A4D">
        <w:t xml:space="preserve"> one PCV has been on the NIP, all </w:t>
      </w:r>
      <w:r>
        <w:t>13vPCV</w:t>
      </w:r>
      <w:r w:rsidRPr="00372A4D">
        <w:t xml:space="preserve"> doses will be replaced by </w:t>
      </w:r>
      <w:r>
        <w:t>15vPCV</w:t>
      </w:r>
      <w:r w:rsidRPr="00372A4D">
        <w:t xml:space="preserve"> following a nationally negotiated tender process.</w:t>
      </w:r>
    </w:p>
    <w:p w14:paraId="1D60735D" w14:textId="0C237432" w:rsidR="00DD002E" w:rsidRDefault="00DD002E" w:rsidP="00DD002E">
      <w:pPr>
        <w:pStyle w:val="3-BodyText"/>
      </w:pPr>
      <w:r>
        <w:t xml:space="preserve">Data sources are listed in </w:t>
      </w:r>
      <w:r>
        <w:fldChar w:fldCharType="begin"/>
      </w:r>
      <w:r>
        <w:instrText xml:space="preserve"> REF _Ref122089115 \h </w:instrText>
      </w:r>
      <w:r>
        <w:fldChar w:fldCharType="separate"/>
      </w:r>
      <w:r w:rsidR="009E7289">
        <w:t xml:space="preserve">Table </w:t>
      </w:r>
      <w:r w:rsidR="009E7289">
        <w:rPr>
          <w:noProof/>
        </w:rPr>
        <w:t>9</w:t>
      </w:r>
      <w:r>
        <w:fldChar w:fldCharType="end"/>
      </w:r>
      <w:r>
        <w:t>.</w:t>
      </w:r>
    </w:p>
    <w:p w14:paraId="1836816B" w14:textId="279D9C6D" w:rsidR="00DD002E" w:rsidRDefault="00DD002E" w:rsidP="00DD002E">
      <w:pPr>
        <w:pStyle w:val="Caption"/>
      </w:pPr>
      <w:bookmarkStart w:id="54" w:name="_Ref122089115"/>
      <w:r>
        <w:t xml:space="preserve">Table </w:t>
      </w:r>
      <w:r w:rsidR="009E7289">
        <w:fldChar w:fldCharType="begin"/>
      </w:r>
      <w:r w:rsidR="009E7289">
        <w:instrText xml:space="preserve"> SEQ Table \* ARABIC </w:instrText>
      </w:r>
      <w:r w:rsidR="009E7289">
        <w:fldChar w:fldCharType="separate"/>
      </w:r>
      <w:r w:rsidR="009E7289">
        <w:rPr>
          <w:noProof/>
        </w:rPr>
        <w:t>9</w:t>
      </w:r>
      <w:r w:rsidR="009E7289">
        <w:rPr>
          <w:noProof/>
        </w:rPr>
        <w:fldChar w:fldCharType="end"/>
      </w:r>
      <w:bookmarkEnd w:id="54"/>
      <w:r>
        <w:t>: Data sources for financial estimates</w:t>
      </w:r>
    </w:p>
    <w:tbl>
      <w:tblPr>
        <w:tblStyle w:val="TableGrid"/>
        <w:tblW w:w="5000" w:type="pct"/>
        <w:tblLook w:val="04A0" w:firstRow="1" w:lastRow="0" w:firstColumn="1" w:lastColumn="0" w:noHBand="0" w:noVBand="1"/>
      </w:tblPr>
      <w:tblGrid>
        <w:gridCol w:w="1881"/>
        <w:gridCol w:w="1769"/>
        <w:gridCol w:w="1829"/>
        <w:gridCol w:w="1706"/>
        <w:gridCol w:w="1832"/>
      </w:tblGrid>
      <w:tr w:rsidR="00DD002E" w14:paraId="6EED68FE" w14:textId="77777777" w:rsidTr="00632A30">
        <w:tc>
          <w:tcPr>
            <w:tcW w:w="1043" w:type="pct"/>
          </w:tcPr>
          <w:p w14:paraId="7E0F960C" w14:textId="77777777" w:rsidR="00DD002E" w:rsidRDefault="00DD002E" w:rsidP="00632A30">
            <w:pPr>
              <w:pStyle w:val="In-tableHeading"/>
            </w:pPr>
            <w:r>
              <w:t>population</w:t>
            </w:r>
          </w:p>
        </w:tc>
        <w:tc>
          <w:tcPr>
            <w:tcW w:w="981" w:type="pct"/>
          </w:tcPr>
          <w:p w14:paraId="36FC42B2" w14:textId="77777777" w:rsidR="00DD002E" w:rsidRDefault="00DD002E" w:rsidP="00632A30">
            <w:pPr>
              <w:pStyle w:val="In-tableHeading"/>
            </w:pPr>
            <w:r>
              <w:t>Data source</w:t>
            </w:r>
          </w:p>
        </w:tc>
        <w:tc>
          <w:tcPr>
            <w:tcW w:w="1014" w:type="pct"/>
          </w:tcPr>
          <w:p w14:paraId="069775B8" w14:textId="77777777" w:rsidR="00DD002E" w:rsidRDefault="00DD002E" w:rsidP="00632A30">
            <w:pPr>
              <w:pStyle w:val="In-tableHeading"/>
            </w:pPr>
            <w:r>
              <w:t>Vaccine coverage rate</w:t>
            </w:r>
          </w:p>
        </w:tc>
        <w:tc>
          <w:tcPr>
            <w:tcW w:w="946" w:type="pct"/>
          </w:tcPr>
          <w:p w14:paraId="7B8BB928" w14:textId="77777777" w:rsidR="00DD002E" w:rsidRDefault="00DD002E" w:rsidP="00632A30">
            <w:pPr>
              <w:pStyle w:val="In-tableHeading"/>
            </w:pPr>
            <w:r>
              <w:t>Number of doses</w:t>
            </w:r>
          </w:p>
        </w:tc>
        <w:tc>
          <w:tcPr>
            <w:tcW w:w="1017" w:type="pct"/>
          </w:tcPr>
          <w:p w14:paraId="3A4B1EE7" w14:textId="77777777" w:rsidR="00DD002E" w:rsidRDefault="00DD002E" w:rsidP="00632A30">
            <w:pPr>
              <w:pStyle w:val="In-tableHeading"/>
            </w:pPr>
            <w:r>
              <w:t>Comment</w:t>
            </w:r>
          </w:p>
        </w:tc>
      </w:tr>
      <w:tr w:rsidR="00DD002E" w14:paraId="4921675C" w14:textId="77777777" w:rsidTr="00632A30">
        <w:tc>
          <w:tcPr>
            <w:tcW w:w="1043" w:type="pct"/>
          </w:tcPr>
          <w:p w14:paraId="24E1D9C0" w14:textId="77777777" w:rsidR="00DD002E" w:rsidRDefault="00DD002E" w:rsidP="00632A30">
            <w:pPr>
              <w:pStyle w:val="PBACTableText"/>
            </w:pPr>
            <w:r w:rsidRPr="0055099C">
              <w:t>Non</w:t>
            </w:r>
            <w:r>
              <w:t>-</w:t>
            </w:r>
            <w:r w:rsidRPr="0055099C">
              <w:t xml:space="preserve">Indigenous infants and </w:t>
            </w:r>
            <w:r w:rsidRPr="005907A1">
              <w:t>Aboriginal and Torres Strait Islander</w:t>
            </w:r>
            <w:r w:rsidRPr="0055099C">
              <w:t xml:space="preserve"> infants living in ACT, NSW, Vic and Tas</w:t>
            </w:r>
          </w:p>
        </w:tc>
        <w:tc>
          <w:tcPr>
            <w:tcW w:w="981" w:type="pct"/>
          </w:tcPr>
          <w:p w14:paraId="076B6FCC" w14:textId="77777777" w:rsidR="00DD002E" w:rsidRDefault="00DD002E" w:rsidP="00632A30">
            <w:pPr>
              <w:pStyle w:val="PBACTableText"/>
            </w:pPr>
            <w:r>
              <w:t>ABS data, forecast 2021-2029</w:t>
            </w:r>
          </w:p>
        </w:tc>
        <w:tc>
          <w:tcPr>
            <w:tcW w:w="1014" w:type="pct"/>
          </w:tcPr>
          <w:p w14:paraId="3FAC9ECE" w14:textId="77777777" w:rsidR="00DD002E" w:rsidRDefault="00DD002E" w:rsidP="00632A30">
            <w:pPr>
              <w:pStyle w:val="PBACTableText"/>
            </w:pPr>
            <w:r>
              <w:t xml:space="preserve">June 2022 immunisation rate for 1 year olds, 94.18% </w:t>
            </w:r>
          </w:p>
        </w:tc>
        <w:tc>
          <w:tcPr>
            <w:tcW w:w="946" w:type="pct"/>
          </w:tcPr>
          <w:p w14:paraId="5C55196E" w14:textId="77777777" w:rsidR="00DD002E" w:rsidRPr="00E53E86" w:rsidRDefault="00DD002E" w:rsidP="00632A30">
            <w:pPr>
              <w:pStyle w:val="PBACTableText"/>
            </w:pPr>
            <w:r w:rsidRPr="00E53E86">
              <w:t>2+1 per person</w:t>
            </w:r>
          </w:p>
        </w:tc>
        <w:tc>
          <w:tcPr>
            <w:tcW w:w="1017" w:type="pct"/>
          </w:tcPr>
          <w:p w14:paraId="47BD6D92" w14:textId="77777777" w:rsidR="00DD002E" w:rsidRPr="00E53E86" w:rsidRDefault="00DD002E" w:rsidP="00632A30">
            <w:pPr>
              <w:pStyle w:val="PBACTableText"/>
            </w:pPr>
            <w:r w:rsidRPr="00E53E86">
              <w:t xml:space="preserve"> Reasonable</w:t>
            </w:r>
          </w:p>
        </w:tc>
      </w:tr>
      <w:tr w:rsidR="00DD002E" w14:paraId="57FFDD9C" w14:textId="77777777" w:rsidTr="00632A30">
        <w:tc>
          <w:tcPr>
            <w:tcW w:w="1043" w:type="pct"/>
          </w:tcPr>
          <w:p w14:paraId="21870ECA" w14:textId="77777777" w:rsidR="00DD002E" w:rsidRDefault="00DD002E" w:rsidP="00632A30">
            <w:pPr>
              <w:pStyle w:val="PBACTableText"/>
            </w:pPr>
            <w:r w:rsidRPr="005907A1">
              <w:t>Aboriginal and Torres Strait Islander</w:t>
            </w:r>
            <w:r w:rsidRPr="00B25F8C">
              <w:t xml:space="preserve"> infants living in NT, Qld, SA and WA and medically at risk infants ≤12 months</w:t>
            </w:r>
          </w:p>
        </w:tc>
        <w:tc>
          <w:tcPr>
            <w:tcW w:w="981" w:type="pct"/>
          </w:tcPr>
          <w:p w14:paraId="554F111B" w14:textId="77777777" w:rsidR="00DD002E" w:rsidRDefault="00DD002E" w:rsidP="00632A30">
            <w:pPr>
              <w:pStyle w:val="PBACTableText"/>
            </w:pPr>
            <w:r>
              <w:t>ABS data, extracted 2013-2020</w:t>
            </w:r>
          </w:p>
          <w:p w14:paraId="55501BB7" w14:textId="77777777" w:rsidR="00DD002E" w:rsidRDefault="00DD002E" w:rsidP="00632A30">
            <w:pPr>
              <w:pStyle w:val="PBACTableText"/>
            </w:pPr>
            <w:r>
              <w:t>Incidence rate per 100,000 from various sources</w:t>
            </w:r>
          </w:p>
        </w:tc>
        <w:tc>
          <w:tcPr>
            <w:tcW w:w="1014" w:type="pct"/>
          </w:tcPr>
          <w:p w14:paraId="7D440C53" w14:textId="77777777" w:rsidR="00DD002E" w:rsidRDefault="00DD002E" w:rsidP="00632A30">
            <w:pPr>
              <w:pStyle w:val="PBACTableText"/>
            </w:pPr>
            <w:r>
              <w:t>94.18%</w:t>
            </w:r>
          </w:p>
        </w:tc>
        <w:tc>
          <w:tcPr>
            <w:tcW w:w="946" w:type="pct"/>
          </w:tcPr>
          <w:p w14:paraId="3699CBFB" w14:textId="77777777" w:rsidR="00DD002E" w:rsidRPr="00E53E86" w:rsidRDefault="00DD002E" w:rsidP="00632A30">
            <w:pPr>
              <w:pStyle w:val="PBACTableText"/>
            </w:pPr>
            <w:r w:rsidRPr="00E53E86">
              <w:t>3+1 per person</w:t>
            </w:r>
          </w:p>
        </w:tc>
        <w:tc>
          <w:tcPr>
            <w:tcW w:w="1017" w:type="pct"/>
          </w:tcPr>
          <w:p w14:paraId="45333187" w14:textId="77777777" w:rsidR="00DD002E" w:rsidRPr="00E53E86" w:rsidRDefault="00DD002E" w:rsidP="00632A30">
            <w:pPr>
              <w:pStyle w:val="PBACTableText"/>
            </w:pPr>
            <w:r w:rsidRPr="00E53E86">
              <w:t>Coverage rate not consistent with Kabir et al, 2021: may be an overestimate. See Para 4.4.</w:t>
            </w:r>
          </w:p>
        </w:tc>
      </w:tr>
      <w:tr w:rsidR="00DD002E" w14:paraId="3628AE41" w14:textId="77777777" w:rsidTr="00632A30">
        <w:tc>
          <w:tcPr>
            <w:tcW w:w="1043" w:type="pct"/>
          </w:tcPr>
          <w:p w14:paraId="0DE59426" w14:textId="77777777" w:rsidR="00DD002E" w:rsidRDefault="00DD002E" w:rsidP="00632A30">
            <w:pPr>
              <w:pStyle w:val="PBACTableText"/>
            </w:pPr>
            <w:r>
              <w:t>M</w:t>
            </w:r>
            <w:r w:rsidRPr="009F294D">
              <w:t>edically at-risk 12 months to 18 years</w:t>
            </w:r>
          </w:p>
        </w:tc>
        <w:tc>
          <w:tcPr>
            <w:tcW w:w="981" w:type="pct"/>
          </w:tcPr>
          <w:p w14:paraId="3B712D8D" w14:textId="77777777" w:rsidR="00DD002E" w:rsidRDefault="00DD002E" w:rsidP="00632A30">
            <w:pPr>
              <w:pStyle w:val="PBACTableText"/>
            </w:pPr>
            <w:r>
              <w:t>Incidence rate per 100,000 from various sources</w:t>
            </w:r>
          </w:p>
        </w:tc>
        <w:tc>
          <w:tcPr>
            <w:tcW w:w="1014" w:type="pct"/>
          </w:tcPr>
          <w:p w14:paraId="7FED5974" w14:textId="77777777" w:rsidR="00DD002E" w:rsidRDefault="00DD002E" w:rsidP="00632A30">
            <w:pPr>
              <w:pStyle w:val="PBACTableText"/>
            </w:pPr>
            <w:r>
              <w:t>94.18%</w:t>
            </w:r>
          </w:p>
        </w:tc>
        <w:tc>
          <w:tcPr>
            <w:tcW w:w="946" w:type="pct"/>
          </w:tcPr>
          <w:p w14:paraId="4F8DB22C" w14:textId="77777777" w:rsidR="00DD002E" w:rsidRPr="00E53E86" w:rsidRDefault="00DD002E" w:rsidP="00632A30">
            <w:pPr>
              <w:pStyle w:val="PBACTableText"/>
            </w:pPr>
            <w:r w:rsidRPr="00E53E86">
              <w:t>Single dose</w:t>
            </w:r>
          </w:p>
        </w:tc>
        <w:tc>
          <w:tcPr>
            <w:tcW w:w="1017" w:type="pct"/>
          </w:tcPr>
          <w:p w14:paraId="09F925B8" w14:textId="77777777" w:rsidR="00DD002E" w:rsidRPr="00E53E86" w:rsidRDefault="00DD002E" w:rsidP="00632A30">
            <w:pPr>
              <w:pStyle w:val="PBACTableText"/>
            </w:pPr>
            <w:r w:rsidRPr="00E53E86">
              <w:t>May be reasonable</w:t>
            </w:r>
          </w:p>
        </w:tc>
      </w:tr>
      <w:tr w:rsidR="00DD002E" w14:paraId="738ABC90" w14:textId="77777777" w:rsidTr="00632A30">
        <w:tc>
          <w:tcPr>
            <w:tcW w:w="1043" w:type="pct"/>
          </w:tcPr>
          <w:p w14:paraId="51B1C61C" w14:textId="77777777" w:rsidR="00DD002E" w:rsidRPr="009F294D" w:rsidRDefault="00DD002E" w:rsidP="00632A30">
            <w:pPr>
              <w:pStyle w:val="PBACTableText"/>
            </w:pPr>
            <w:r>
              <w:t>H</w:t>
            </w:r>
            <w:r w:rsidRPr="00B25F8C">
              <w:t xml:space="preserve">aematopoietic </w:t>
            </w:r>
            <w:r>
              <w:t>s</w:t>
            </w:r>
            <w:r w:rsidRPr="00B25F8C">
              <w:t xml:space="preserve">tem </w:t>
            </w:r>
            <w:r>
              <w:t>c</w:t>
            </w:r>
            <w:r w:rsidRPr="00B25F8C">
              <w:t xml:space="preserve">ell </w:t>
            </w:r>
            <w:r>
              <w:t>t</w:t>
            </w:r>
            <w:r w:rsidRPr="00B25F8C">
              <w:t>ransplant</w:t>
            </w:r>
            <w:r>
              <w:t xml:space="preserve"> patients up to 18 years</w:t>
            </w:r>
          </w:p>
        </w:tc>
        <w:tc>
          <w:tcPr>
            <w:tcW w:w="981" w:type="pct"/>
          </w:tcPr>
          <w:p w14:paraId="2C09F97D" w14:textId="77777777" w:rsidR="00DD002E" w:rsidRDefault="00DD002E" w:rsidP="00632A30">
            <w:pPr>
              <w:pStyle w:val="PBACTableText"/>
            </w:pPr>
            <w:r>
              <w:t>Calculated from proportion of population &lt;18 years applied to number of stem cell transplants per year in Australia (n=2,000)</w:t>
            </w:r>
          </w:p>
        </w:tc>
        <w:tc>
          <w:tcPr>
            <w:tcW w:w="1014" w:type="pct"/>
          </w:tcPr>
          <w:p w14:paraId="15B4F7AB" w14:textId="77777777" w:rsidR="00DD002E" w:rsidRDefault="00DD002E" w:rsidP="00632A30">
            <w:pPr>
              <w:pStyle w:val="PBACTableText"/>
            </w:pPr>
            <w:r>
              <w:t>100%</w:t>
            </w:r>
          </w:p>
        </w:tc>
        <w:tc>
          <w:tcPr>
            <w:tcW w:w="946" w:type="pct"/>
          </w:tcPr>
          <w:p w14:paraId="5A8E2AFE" w14:textId="77777777" w:rsidR="00DD002E" w:rsidRPr="00E53E86" w:rsidRDefault="00DD002E" w:rsidP="00632A30">
            <w:pPr>
              <w:pStyle w:val="PBACTableText"/>
            </w:pPr>
            <w:r w:rsidRPr="00E53E86">
              <w:t>3 doses</w:t>
            </w:r>
          </w:p>
        </w:tc>
        <w:tc>
          <w:tcPr>
            <w:tcW w:w="1017" w:type="pct"/>
          </w:tcPr>
          <w:p w14:paraId="1B14443E" w14:textId="77777777" w:rsidR="00DD002E" w:rsidRPr="00E53E86" w:rsidRDefault="00DD002E" w:rsidP="00632A30">
            <w:pPr>
              <w:pStyle w:val="PBACTableText"/>
            </w:pPr>
            <w:r w:rsidRPr="00E53E86">
              <w:t>Probably reasonable</w:t>
            </w:r>
          </w:p>
        </w:tc>
      </w:tr>
    </w:tbl>
    <w:p w14:paraId="2C70C970" w14:textId="77777777" w:rsidR="00DD002E" w:rsidRDefault="00DD002E" w:rsidP="00DD002E">
      <w:pPr>
        <w:pStyle w:val="TableFooter"/>
      </w:pPr>
      <w:r>
        <w:t>Source: text pp 207-8 of the submission.</w:t>
      </w:r>
    </w:p>
    <w:p w14:paraId="7DECA187" w14:textId="77777777" w:rsidR="00DD002E" w:rsidRDefault="00DD002E" w:rsidP="00DD002E">
      <w:pPr>
        <w:pStyle w:val="TableFooter"/>
        <w:spacing w:after="120"/>
      </w:pPr>
      <w:r>
        <w:t>ABS = Australian Bureau of Statistics.</w:t>
      </w:r>
    </w:p>
    <w:p w14:paraId="79FDC20F" w14:textId="0EF2DE28" w:rsidR="00DD002E" w:rsidRDefault="00DD002E" w:rsidP="00DD002E">
      <w:pPr>
        <w:pStyle w:val="3-BodyText"/>
      </w:pPr>
      <w:r>
        <w:t xml:space="preserve">The estimated total number of doses for the period 2024-2029 is shown in </w:t>
      </w:r>
      <w:r>
        <w:fldChar w:fldCharType="begin"/>
      </w:r>
      <w:r>
        <w:instrText xml:space="preserve"> REF _Ref119655808 \h </w:instrText>
      </w:r>
      <w:r>
        <w:fldChar w:fldCharType="separate"/>
      </w:r>
      <w:r w:rsidR="009E7289">
        <w:t xml:space="preserve">Table </w:t>
      </w:r>
      <w:r w:rsidR="009E7289">
        <w:rPr>
          <w:noProof/>
        </w:rPr>
        <w:t>10</w:t>
      </w:r>
      <w:r>
        <w:fldChar w:fldCharType="end"/>
      </w:r>
      <w:r>
        <w:t xml:space="preserve">.  The estimated extent of use and financial implications are shown in </w:t>
      </w:r>
      <w:r>
        <w:fldChar w:fldCharType="begin"/>
      </w:r>
      <w:r>
        <w:instrText xml:space="preserve"> REF _Ref124503939 \h </w:instrText>
      </w:r>
      <w:r>
        <w:fldChar w:fldCharType="separate"/>
      </w:r>
      <w:r w:rsidR="009E7289">
        <w:t xml:space="preserve">Table </w:t>
      </w:r>
      <w:r w:rsidR="009E7289">
        <w:rPr>
          <w:noProof/>
        </w:rPr>
        <w:t>11</w:t>
      </w:r>
      <w:r>
        <w:fldChar w:fldCharType="end"/>
      </w:r>
      <w:r>
        <w:t>.</w:t>
      </w:r>
    </w:p>
    <w:p w14:paraId="170AA9C5" w14:textId="563DC221" w:rsidR="00DD002E" w:rsidRPr="00FC51BD" w:rsidRDefault="00DD002E" w:rsidP="00DD002E">
      <w:pPr>
        <w:pStyle w:val="Caption"/>
      </w:pPr>
      <w:bookmarkStart w:id="55" w:name="_Ref119655808"/>
      <w:r>
        <w:lastRenderedPageBreak/>
        <w:t xml:space="preserve">Table </w:t>
      </w:r>
      <w:r w:rsidR="009E7289">
        <w:fldChar w:fldCharType="begin"/>
      </w:r>
      <w:r w:rsidR="009E7289">
        <w:instrText xml:space="preserve"> SEQ Table \* ARABIC </w:instrText>
      </w:r>
      <w:r w:rsidR="009E7289">
        <w:fldChar w:fldCharType="separate"/>
      </w:r>
      <w:r w:rsidR="009E7289">
        <w:rPr>
          <w:noProof/>
        </w:rPr>
        <w:t>10</w:t>
      </w:r>
      <w:r w:rsidR="009E7289">
        <w:rPr>
          <w:noProof/>
        </w:rPr>
        <w:fldChar w:fldCharType="end"/>
      </w:r>
      <w:bookmarkEnd w:id="55"/>
      <w:r>
        <w:t xml:space="preserve">: </w:t>
      </w:r>
      <w:r w:rsidRPr="00FC51BD">
        <w:t xml:space="preserve">Estimated </w:t>
      </w:r>
      <w:r>
        <w:t>n</w:t>
      </w:r>
      <w:r w:rsidRPr="00FC51BD">
        <w:t xml:space="preserve">umber of </w:t>
      </w:r>
      <w:r>
        <w:t>d</w:t>
      </w:r>
      <w:r w:rsidRPr="00FC51BD">
        <w:t xml:space="preserve">oses for </w:t>
      </w:r>
      <w:r>
        <w:t>15vPCV</w:t>
      </w:r>
    </w:p>
    <w:tbl>
      <w:tblPr>
        <w:tblStyle w:val="Summarybox2"/>
        <w:tblW w:w="5000" w:type="pct"/>
        <w:tblLook w:val="04A0" w:firstRow="1" w:lastRow="0" w:firstColumn="1" w:lastColumn="0" w:noHBand="0" w:noVBand="1"/>
      </w:tblPr>
      <w:tblGrid>
        <w:gridCol w:w="3346"/>
        <w:gridCol w:w="915"/>
        <w:gridCol w:w="915"/>
        <w:gridCol w:w="916"/>
        <w:gridCol w:w="911"/>
        <w:gridCol w:w="1042"/>
        <w:gridCol w:w="972"/>
      </w:tblGrid>
      <w:tr w:rsidR="00DD002E" w:rsidRPr="00FC51BD" w14:paraId="48E53820" w14:textId="77777777" w:rsidTr="00632A30">
        <w:trPr>
          <w:trHeight w:val="390"/>
        </w:trPr>
        <w:tc>
          <w:tcPr>
            <w:tcW w:w="1855" w:type="pct"/>
            <w:hideMark/>
          </w:tcPr>
          <w:p w14:paraId="0F1FA8D6" w14:textId="77777777" w:rsidR="00DD002E" w:rsidRPr="00401677" w:rsidRDefault="00DD002E" w:rsidP="00632A30">
            <w:pPr>
              <w:pStyle w:val="In-tableHeading"/>
              <w:rPr>
                <w:sz w:val="20"/>
                <w:szCs w:val="20"/>
              </w:rPr>
            </w:pPr>
          </w:p>
        </w:tc>
        <w:tc>
          <w:tcPr>
            <w:tcW w:w="507" w:type="pct"/>
            <w:hideMark/>
          </w:tcPr>
          <w:p w14:paraId="4C9CCB0B" w14:textId="77777777" w:rsidR="00DD002E" w:rsidRPr="00401677" w:rsidRDefault="00DD002E" w:rsidP="00632A30">
            <w:pPr>
              <w:pStyle w:val="In-tableHeading"/>
              <w:jc w:val="right"/>
              <w:rPr>
                <w:sz w:val="20"/>
                <w:szCs w:val="20"/>
              </w:rPr>
            </w:pPr>
            <w:r w:rsidRPr="00401677">
              <w:rPr>
                <w:sz w:val="20"/>
                <w:szCs w:val="20"/>
              </w:rPr>
              <w:t>Year 1 (2024)</w:t>
            </w:r>
          </w:p>
        </w:tc>
        <w:tc>
          <w:tcPr>
            <w:tcW w:w="507" w:type="pct"/>
            <w:hideMark/>
          </w:tcPr>
          <w:p w14:paraId="362652C4" w14:textId="77777777" w:rsidR="00DD002E" w:rsidRPr="00401677" w:rsidRDefault="00DD002E" w:rsidP="00632A30">
            <w:pPr>
              <w:pStyle w:val="In-tableHeading"/>
              <w:jc w:val="right"/>
              <w:rPr>
                <w:sz w:val="20"/>
                <w:szCs w:val="20"/>
              </w:rPr>
            </w:pPr>
            <w:r w:rsidRPr="00401677">
              <w:rPr>
                <w:sz w:val="20"/>
                <w:szCs w:val="20"/>
              </w:rPr>
              <w:t>Year 2 (2025)</w:t>
            </w:r>
          </w:p>
        </w:tc>
        <w:tc>
          <w:tcPr>
            <w:tcW w:w="508" w:type="pct"/>
            <w:hideMark/>
          </w:tcPr>
          <w:p w14:paraId="77420703" w14:textId="77777777" w:rsidR="00DD002E" w:rsidRPr="00401677" w:rsidRDefault="00DD002E" w:rsidP="00632A30">
            <w:pPr>
              <w:pStyle w:val="In-tableHeading"/>
              <w:jc w:val="right"/>
              <w:rPr>
                <w:sz w:val="20"/>
                <w:szCs w:val="20"/>
              </w:rPr>
            </w:pPr>
            <w:r w:rsidRPr="00401677">
              <w:rPr>
                <w:sz w:val="20"/>
                <w:szCs w:val="20"/>
              </w:rPr>
              <w:t>Year 3 (2026)</w:t>
            </w:r>
          </w:p>
        </w:tc>
        <w:tc>
          <w:tcPr>
            <w:tcW w:w="505" w:type="pct"/>
            <w:hideMark/>
          </w:tcPr>
          <w:p w14:paraId="3B13E7D0" w14:textId="77777777" w:rsidR="00DD002E" w:rsidRPr="00401677" w:rsidRDefault="00DD002E" w:rsidP="00632A30">
            <w:pPr>
              <w:pStyle w:val="In-tableHeading"/>
              <w:jc w:val="right"/>
              <w:rPr>
                <w:sz w:val="20"/>
                <w:szCs w:val="20"/>
              </w:rPr>
            </w:pPr>
            <w:r w:rsidRPr="00401677">
              <w:rPr>
                <w:sz w:val="20"/>
                <w:szCs w:val="20"/>
              </w:rPr>
              <w:t>Year 4 (2027)</w:t>
            </w:r>
          </w:p>
        </w:tc>
        <w:tc>
          <w:tcPr>
            <w:tcW w:w="578" w:type="pct"/>
            <w:hideMark/>
          </w:tcPr>
          <w:p w14:paraId="05B0FBCB" w14:textId="77777777" w:rsidR="00DD002E" w:rsidRPr="00401677" w:rsidRDefault="00DD002E" w:rsidP="00632A30">
            <w:pPr>
              <w:pStyle w:val="In-tableHeading"/>
              <w:jc w:val="right"/>
              <w:rPr>
                <w:sz w:val="20"/>
                <w:szCs w:val="20"/>
              </w:rPr>
            </w:pPr>
            <w:r w:rsidRPr="00401677">
              <w:rPr>
                <w:sz w:val="20"/>
                <w:szCs w:val="20"/>
              </w:rPr>
              <w:t>Year 5 (2028)</w:t>
            </w:r>
          </w:p>
        </w:tc>
        <w:tc>
          <w:tcPr>
            <w:tcW w:w="539" w:type="pct"/>
            <w:hideMark/>
          </w:tcPr>
          <w:p w14:paraId="71B85D6E" w14:textId="77777777" w:rsidR="00DD002E" w:rsidRPr="00401677" w:rsidRDefault="00DD002E" w:rsidP="00632A30">
            <w:pPr>
              <w:pStyle w:val="In-tableHeading"/>
              <w:jc w:val="right"/>
              <w:rPr>
                <w:sz w:val="20"/>
                <w:szCs w:val="20"/>
              </w:rPr>
            </w:pPr>
            <w:r w:rsidRPr="00401677">
              <w:rPr>
                <w:sz w:val="20"/>
                <w:szCs w:val="20"/>
              </w:rPr>
              <w:t>Year 6 (2029)</w:t>
            </w:r>
          </w:p>
        </w:tc>
      </w:tr>
      <w:tr w:rsidR="00DD002E" w:rsidRPr="00FC51BD" w14:paraId="161C2FF1" w14:textId="77777777" w:rsidTr="00632A30">
        <w:trPr>
          <w:trHeight w:val="765"/>
        </w:trPr>
        <w:tc>
          <w:tcPr>
            <w:tcW w:w="1855" w:type="pct"/>
            <w:hideMark/>
          </w:tcPr>
          <w:p w14:paraId="1CA70482" w14:textId="77777777" w:rsidR="00DD002E" w:rsidRPr="00FC51BD" w:rsidRDefault="00DD002E" w:rsidP="00632A30">
            <w:pPr>
              <w:pStyle w:val="PBACTableText"/>
              <w:keepNext/>
            </w:pPr>
            <w:r w:rsidRPr="00FC51BD">
              <w:t>Non-</w:t>
            </w:r>
            <w:r>
              <w:t>Indigenous</w:t>
            </w:r>
            <w:r w:rsidRPr="00FC51BD">
              <w:t xml:space="preserve"> babies and </w:t>
            </w:r>
            <w:r w:rsidRPr="005907A1">
              <w:t>Aboriginal and Torres Strait Islander</w:t>
            </w:r>
            <w:r w:rsidRPr="00FC51BD">
              <w:t xml:space="preserve"> </w:t>
            </w:r>
            <w:r>
              <w:t>infants</w:t>
            </w:r>
            <w:r w:rsidRPr="00FC51BD">
              <w:t xml:space="preserve"> born in ACT, NSW, Vic and Tas</w:t>
            </w:r>
          </w:p>
        </w:tc>
        <w:tc>
          <w:tcPr>
            <w:tcW w:w="507" w:type="pct"/>
            <w:hideMark/>
          </w:tcPr>
          <w:p w14:paraId="4E64C3BF" w14:textId="2C6CF40D"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12"/>
                <w14:textFill>
                  <w14:solidFill>
                    <w14:srgbClr w14:val="000000">
                      <w14:alpha w14:val="100000"/>
                    </w14:srgbClr>
                  </w14:solidFill>
                </w14:textFill>
              </w:rPr>
              <w:t>|||||</w:t>
            </w:r>
            <w:r w:rsidRPr="00466B8C">
              <w:rPr>
                <w:color w:val="000000"/>
                <w:spacing w:val="5"/>
                <w:shd w:val="solid" w:color="000000" w:fill="000000"/>
                <w:fitText w:val="490" w:id="-1236544512"/>
                <w14:textFill>
                  <w14:solidFill>
                    <w14:srgbClr w14:val="000000">
                      <w14:alpha w14:val="100000"/>
                    </w14:srgbClr>
                  </w14:solidFill>
                </w14:textFill>
              </w:rPr>
              <w:t>|</w:t>
            </w:r>
            <w:r w:rsidR="00ED3F67" w:rsidRPr="00ED3F67">
              <w:rPr>
                <w:vertAlign w:val="superscript"/>
              </w:rPr>
              <w:t>1</w:t>
            </w:r>
          </w:p>
        </w:tc>
        <w:tc>
          <w:tcPr>
            <w:tcW w:w="507" w:type="pct"/>
            <w:hideMark/>
          </w:tcPr>
          <w:p w14:paraId="0AB64C09" w14:textId="6F97D6B1"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11"/>
                <w14:textFill>
                  <w14:solidFill>
                    <w14:srgbClr w14:val="000000">
                      <w14:alpha w14:val="100000"/>
                    </w14:srgbClr>
                  </w14:solidFill>
                </w14:textFill>
              </w:rPr>
              <w:t>|||||</w:t>
            </w:r>
            <w:r w:rsidRPr="00466B8C">
              <w:rPr>
                <w:color w:val="000000"/>
                <w:spacing w:val="5"/>
                <w:shd w:val="solid" w:color="000000" w:fill="000000"/>
                <w:fitText w:val="490" w:id="-1236544511"/>
                <w14:textFill>
                  <w14:solidFill>
                    <w14:srgbClr w14:val="000000">
                      <w14:alpha w14:val="100000"/>
                    </w14:srgbClr>
                  </w14:solidFill>
                </w14:textFill>
              </w:rPr>
              <w:t>|</w:t>
            </w:r>
            <w:r w:rsidR="00ED3F67" w:rsidRPr="00ED3F67">
              <w:rPr>
                <w:vertAlign w:val="superscript"/>
              </w:rPr>
              <w:t>1</w:t>
            </w:r>
          </w:p>
        </w:tc>
        <w:tc>
          <w:tcPr>
            <w:tcW w:w="508" w:type="pct"/>
            <w:hideMark/>
          </w:tcPr>
          <w:p w14:paraId="0E8F99FD" w14:textId="79BE404A"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10"/>
                <w14:textFill>
                  <w14:solidFill>
                    <w14:srgbClr w14:val="000000">
                      <w14:alpha w14:val="100000"/>
                    </w14:srgbClr>
                  </w14:solidFill>
                </w14:textFill>
              </w:rPr>
              <w:t>|||||</w:t>
            </w:r>
            <w:r w:rsidRPr="00466B8C">
              <w:rPr>
                <w:color w:val="000000"/>
                <w:spacing w:val="5"/>
                <w:shd w:val="solid" w:color="000000" w:fill="000000"/>
                <w:fitText w:val="490" w:id="-1236544510"/>
                <w14:textFill>
                  <w14:solidFill>
                    <w14:srgbClr w14:val="000000">
                      <w14:alpha w14:val="100000"/>
                    </w14:srgbClr>
                  </w14:solidFill>
                </w14:textFill>
              </w:rPr>
              <w:t>|</w:t>
            </w:r>
            <w:r w:rsidR="00ED3F67" w:rsidRPr="00ED3F67">
              <w:rPr>
                <w:vertAlign w:val="superscript"/>
              </w:rPr>
              <w:t>1</w:t>
            </w:r>
          </w:p>
        </w:tc>
        <w:tc>
          <w:tcPr>
            <w:tcW w:w="505" w:type="pct"/>
            <w:hideMark/>
          </w:tcPr>
          <w:p w14:paraId="36133289" w14:textId="301302C5"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9"/>
                <w14:textFill>
                  <w14:solidFill>
                    <w14:srgbClr w14:val="000000">
                      <w14:alpha w14:val="100000"/>
                    </w14:srgbClr>
                  </w14:solidFill>
                </w14:textFill>
              </w:rPr>
              <w:t>|||||</w:t>
            </w:r>
            <w:r w:rsidRPr="00466B8C">
              <w:rPr>
                <w:color w:val="000000"/>
                <w:spacing w:val="5"/>
                <w:shd w:val="solid" w:color="000000" w:fill="000000"/>
                <w:fitText w:val="490" w:id="-1236544509"/>
                <w14:textFill>
                  <w14:solidFill>
                    <w14:srgbClr w14:val="000000">
                      <w14:alpha w14:val="100000"/>
                    </w14:srgbClr>
                  </w14:solidFill>
                </w14:textFill>
              </w:rPr>
              <w:t>|</w:t>
            </w:r>
            <w:r w:rsidR="00ED3F67" w:rsidRPr="00ED3F67">
              <w:rPr>
                <w:vertAlign w:val="superscript"/>
              </w:rPr>
              <w:t>1</w:t>
            </w:r>
          </w:p>
        </w:tc>
        <w:tc>
          <w:tcPr>
            <w:tcW w:w="578" w:type="pct"/>
            <w:hideMark/>
          </w:tcPr>
          <w:p w14:paraId="19869161" w14:textId="46AFB4CB"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8"/>
                <w14:textFill>
                  <w14:solidFill>
                    <w14:srgbClr w14:val="000000">
                      <w14:alpha w14:val="100000"/>
                    </w14:srgbClr>
                  </w14:solidFill>
                </w14:textFill>
              </w:rPr>
              <w:t>|||||</w:t>
            </w:r>
            <w:r w:rsidRPr="00466B8C">
              <w:rPr>
                <w:color w:val="000000"/>
                <w:spacing w:val="5"/>
                <w:shd w:val="solid" w:color="000000" w:fill="000000"/>
                <w:fitText w:val="440" w:id="-1236544508"/>
                <w14:textFill>
                  <w14:solidFill>
                    <w14:srgbClr w14:val="000000">
                      <w14:alpha w14:val="100000"/>
                    </w14:srgbClr>
                  </w14:solidFill>
                </w14:textFill>
              </w:rPr>
              <w:t>|</w:t>
            </w:r>
            <w:r w:rsidR="00ED3F67" w:rsidRPr="00ED3F67">
              <w:rPr>
                <w:vertAlign w:val="superscript"/>
              </w:rPr>
              <w:t>1</w:t>
            </w:r>
          </w:p>
        </w:tc>
        <w:tc>
          <w:tcPr>
            <w:tcW w:w="539" w:type="pct"/>
            <w:hideMark/>
          </w:tcPr>
          <w:p w14:paraId="5A840762" w14:textId="173BE55C"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7"/>
                <w14:textFill>
                  <w14:solidFill>
                    <w14:srgbClr w14:val="000000">
                      <w14:alpha w14:val="100000"/>
                    </w14:srgbClr>
                  </w14:solidFill>
                </w14:textFill>
              </w:rPr>
              <w:t>|||||</w:t>
            </w:r>
            <w:r w:rsidRPr="00466B8C">
              <w:rPr>
                <w:color w:val="000000"/>
                <w:spacing w:val="5"/>
                <w:shd w:val="solid" w:color="000000" w:fill="000000"/>
                <w:fitText w:val="490" w:id="-1236544507"/>
                <w14:textFill>
                  <w14:solidFill>
                    <w14:srgbClr w14:val="000000">
                      <w14:alpha w14:val="100000"/>
                    </w14:srgbClr>
                  </w14:solidFill>
                </w14:textFill>
              </w:rPr>
              <w:t>|</w:t>
            </w:r>
            <w:r w:rsidR="00ED3F67" w:rsidRPr="00ED3F67">
              <w:rPr>
                <w:vertAlign w:val="superscript"/>
              </w:rPr>
              <w:t>1</w:t>
            </w:r>
          </w:p>
        </w:tc>
      </w:tr>
      <w:tr w:rsidR="00DD002E" w:rsidRPr="00FC51BD" w14:paraId="450A3EAA" w14:textId="77777777" w:rsidTr="00632A30">
        <w:trPr>
          <w:trHeight w:val="255"/>
        </w:trPr>
        <w:tc>
          <w:tcPr>
            <w:tcW w:w="1855" w:type="pct"/>
            <w:hideMark/>
          </w:tcPr>
          <w:p w14:paraId="5267F542" w14:textId="77777777" w:rsidR="00DD002E" w:rsidRPr="00FC51BD" w:rsidRDefault="00DD002E" w:rsidP="00632A30">
            <w:pPr>
              <w:pStyle w:val="PBACTableText"/>
              <w:keepNext/>
            </w:pPr>
            <w:r w:rsidRPr="00FC51BD">
              <w:t xml:space="preserve">% uptake </w:t>
            </w:r>
            <w:r>
              <w:t>15vPCV</w:t>
            </w:r>
            <w:r w:rsidRPr="00FC51BD">
              <w:t xml:space="preserve"> - 94.18% June 2022</w:t>
            </w:r>
          </w:p>
        </w:tc>
        <w:tc>
          <w:tcPr>
            <w:tcW w:w="507" w:type="pct"/>
            <w:hideMark/>
          </w:tcPr>
          <w:p w14:paraId="7938D477" w14:textId="77777777" w:rsidR="00DD002E" w:rsidRPr="00ED3F67" w:rsidRDefault="00DD002E" w:rsidP="00632A30">
            <w:pPr>
              <w:pStyle w:val="PBACTableText"/>
              <w:keepNext/>
              <w:jc w:val="right"/>
            </w:pPr>
            <w:r w:rsidRPr="00ED3F67">
              <w:t>94.18%</w:t>
            </w:r>
          </w:p>
        </w:tc>
        <w:tc>
          <w:tcPr>
            <w:tcW w:w="507" w:type="pct"/>
            <w:hideMark/>
          </w:tcPr>
          <w:p w14:paraId="143BE43A" w14:textId="77777777" w:rsidR="00DD002E" w:rsidRPr="00ED3F67" w:rsidRDefault="00DD002E" w:rsidP="00632A30">
            <w:pPr>
              <w:pStyle w:val="PBACTableText"/>
              <w:keepNext/>
              <w:jc w:val="right"/>
            </w:pPr>
            <w:r w:rsidRPr="00ED3F67">
              <w:t>94.18%</w:t>
            </w:r>
          </w:p>
        </w:tc>
        <w:tc>
          <w:tcPr>
            <w:tcW w:w="508" w:type="pct"/>
            <w:hideMark/>
          </w:tcPr>
          <w:p w14:paraId="58AF3672" w14:textId="77777777" w:rsidR="00DD002E" w:rsidRPr="00ED3F67" w:rsidRDefault="00DD002E" w:rsidP="00632A30">
            <w:pPr>
              <w:pStyle w:val="PBACTableText"/>
              <w:keepNext/>
              <w:jc w:val="right"/>
            </w:pPr>
            <w:r w:rsidRPr="00ED3F67">
              <w:t>94.18%</w:t>
            </w:r>
          </w:p>
        </w:tc>
        <w:tc>
          <w:tcPr>
            <w:tcW w:w="505" w:type="pct"/>
            <w:hideMark/>
          </w:tcPr>
          <w:p w14:paraId="54C8A827" w14:textId="77777777" w:rsidR="00DD002E" w:rsidRPr="00ED3F67" w:rsidRDefault="00DD002E" w:rsidP="00632A30">
            <w:pPr>
              <w:pStyle w:val="PBACTableText"/>
              <w:keepNext/>
              <w:jc w:val="right"/>
            </w:pPr>
            <w:r w:rsidRPr="00ED3F67">
              <w:t>94.18%</w:t>
            </w:r>
          </w:p>
        </w:tc>
        <w:tc>
          <w:tcPr>
            <w:tcW w:w="578" w:type="pct"/>
            <w:hideMark/>
          </w:tcPr>
          <w:p w14:paraId="30E7B9DC" w14:textId="77777777" w:rsidR="00DD002E" w:rsidRPr="00ED3F67" w:rsidRDefault="00DD002E" w:rsidP="00632A30">
            <w:pPr>
              <w:pStyle w:val="PBACTableText"/>
              <w:keepNext/>
              <w:jc w:val="right"/>
            </w:pPr>
            <w:r w:rsidRPr="00ED3F67">
              <w:t>94.18%</w:t>
            </w:r>
          </w:p>
        </w:tc>
        <w:tc>
          <w:tcPr>
            <w:tcW w:w="539" w:type="pct"/>
            <w:hideMark/>
          </w:tcPr>
          <w:p w14:paraId="44D1F0A8" w14:textId="77777777" w:rsidR="00DD002E" w:rsidRPr="00ED3F67" w:rsidRDefault="00DD002E" w:rsidP="00632A30">
            <w:pPr>
              <w:pStyle w:val="PBACTableText"/>
              <w:keepNext/>
              <w:jc w:val="right"/>
            </w:pPr>
            <w:r w:rsidRPr="00ED3F67">
              <w:t>94.18%</w:t>
            </w:r>
          </w:p>
        </w:tc>
      </w:tr>
      <w:tr w:rsidR="00DD002E" w:rsidRPr="00FC51BD" w14:paraId="4E949D93" w14:textId="77777777" w:rsidTr="00632A30">
        <w:trPr>
          <w:trHeight w:val="255"/>
        </w:trPr>
        <w:tc>
          <w:tcPr>
            <w:tcW w:w="1855" w:type="pct"/>
            <w:hideMark/>
          </w:tcPr>
          <w:p w14:paraId="3512CD3C" w14:textId="77777777" w:rsidR="00DD002E" w:rsidRPr="00FC51BD" w:rsidRDefault="00DD002E" w:rsidP="00632A30">
            <w:pPr>
              <w:pStyle w:val="PBACTableText"/>
              <w:keepNext/>
            </w:pPr>
            <w:r w:rsidRPr="00FC51BD">
              <w:t xml:space="preserve">Population vaccinated with </w:t>
            </w:r>
            <w:r>
              <w:t>15vPCV</w:t>
            </w:r>
          </w:p>
        </w:tc>
        <w:tc>
          <w:tcPr>
            <w:tcW w:w="507" w:type="pct"/>
            <w:noWrap/>
            <w:hideMark/>
          </w:tcPr>
          <w:p w14:paraId="2D584998" w14:textId="2B7802CF"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6"/>
                <w14:textFill>
                  <w14:solidFill>
                    <w14:srgbClr w14:val="000000">
                      <w14:alpha w14:val="100000"/>
                    </w14:srgbClr>
                  </w14:solidFill>
                </w14:textFill>
              </w:rPr>
              <w:t>|||||</w:t>
            </w:r>
            <w:r w:rsidRPr="00466B8C">
              <w:rPr>
                <w:color w:val="000000"/>
                <w:spacing w:val="5"/>
                <w:shd w:val="solid" w:color="000000" w:fill="000000"/>
                <w:fitText w:val="490" w:id="-1236544506"/>
                <w14:textFill>
                  <w14:solidFill>
                    <w14:srgbClr w14:val="000000">
                      <w14:alpha w14:val="100000"/>
                    </w14:srgbClr>
                  </w14:solidFill>
                </w14:textFill>
              </w:rPr>
              <w:t>|</w:t>
            </w:r>
            <w:r w:rsidR="00ED3F67">
              <w:rPr>
                <w:vertAlign w:val="superscript"/>
              </w:rPr>
              <w:t>2</w:t>
            </w:r>
          </w:p>
        </w:tc>
        <w:tc>
          <w:tcPr>
            <w:tcW w:w="507" w:type="pct"/>
            <w:noWrap/>
            <w:hideMark/>
          </w:tcPr>
          <w:p w14:paraId="2F0C1B0B" w14:textId="16BC6FC2"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5"/>
                <w14:textFill>
                  <w14:solidFill>
                    <w14:srgbClr w14:val="000000">
                      <w14:alpha w14:val="100000"/>
                    </w14:srgbClr>
                  </w14:solidFill>
                </w14:textFill>
              </w:rPr>
              <w:t>|||||</w:t>
            </w:r>
            <w:r w:rsidRPr="00466B8C">
              <w:rPr>
                <w:color w:val="000000"/>
                <w:spacing w:val="5"/>
                <w:shd w:val="solid" w:color="000000" w:fill="000000"/>
                <w:fitText w:val="490" w:id="-1236544505"/>
                <w14:textFill>
                  <w14:solidFill>
                    <w14:srgbClr w14:val="000000">
                      <w14:alpha w14:val="100000"/>
                    </w14:srgbClr>
                  </w14:solidFill>
                </w14:textFill>
              </w:rPr>
              <w:t>|</w:t>
            </w:r>
            <w:r w:rsidR="00ED3F67" w:rsidRPr="00ED3F67">
              <w:rPr>
                <w:vertAlign w:val="superscript"/>
              </w:rPr>
              <w:t>1</w:t>
            </w:r>
          </w:p>
        </w:tc>
        <w:tc>
          <w:tcPr>
            <w:tcW w:w="508" w:type="pct"/>
            <w:noWrap/>
            <w:hideMark/>
          </w:tcPr>
          <w:p w14:paraId="7E765221" w14:textId="6B5B3A75"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4"/>
                <w14:textFill>
                  <w14:solidFill>
                    <w14:srgbClr w14:val="000000">
                      <w14:alpha w14:val="100000"/>
                    </w14:srgbClr>
                  </w14:solidFill>
                </w14:textFill>
              </w:rPr>
              <w:t>|||||</w:t>
            </w:r>
            <w:r w:rsidRPr="00466B8C">
              <w:rPr>
                <w:color w:val="000000"/>
                <w:spacing w:val="5"/>
                <w:shd w:val="solid" w:color="000000" w:fill="000000"/>
                <w:fitText w:val="490" w:id="-1236544504"/>
                <w14:textFill>
                  <w14:solidFill>
                    <w14:srgbClr w14:val="000000">
                      <w14:alpha w14:val="100000"/>
                    </w14:srgbClr>
                  </w14:solidFill>
                </w14:textFill>
              </w:rPr>
              <w:t>|</w:t>
            </w:r>
            <w:r w:rsidR="00ED3F67" w:rsidRPr="00ED3F67">
              <w:rPr>
                <w:vertAlign w:val="superscript"/>
              </w:rPr>
              <w:t>1</w:t>
            </w:r>
          </w:p>
        </w:tc>
        <w:tc>
          <w:tcPr>
            <w:tcW w:w="505" w:type="pct"/>
            <w:noWrap/>
            <w:hideMark/>
          </w:tcPr>
          <w:p w14:paraId="1C39B3BA" w14:textId="7354BEAC"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3"/>
                <w14:textFill>
                  <w14:solidFill>
                    <w14:srgbClr w14:val="000000">
                      <w14:alpha w14:val="100000"/>
                    </w14:srgbClr>
                  </w14:solidFill>
                </w14:textFill>
              </w:rPr>
              <w:t>|||||</w:t>
            </w:r>
            <w:r w:rsidRPr="00466B8C">
              <w:rPr>
                <w:color w:val="000000"/>
                <w:spacing w:val="5"/>
                <w:shd w:val="solid" w:color="000000" w:fill="000000"/>
                <w:fitText w:val="490" w:id="-1236544503"/>
                <w14:textFill>
                  <w14:solidFill>
                    <w14:srgbClr w14:val="000000">
                      <w14:alpha w14:val="100000"/>
                    </w14:srgbClr>
                  </w14:solidFill>
                </w14:textFill>
              </w:rPr>
              <w:t>|</w:t>
            </w:r>
            <w:r w:rsidR="00ED3F67" w:rsidRPr="00ED3F67">
              <w:rPr>
                <w:vertAlign w:val="superscript"/>
              </w:rPr>
              <w:t>1</w:t>
            </w:r>
          </w:p>
        </w:tc>
        <w:tc>
          <w:tcPr>
            <w:tcW w:w="578" w:type="pct"/>
            <w:noWrap/>
            <w:hideMark/>
          </w:tcPr>
          <w:p w14:paraId="6CB0A43C" w14:textId="3D33A62B"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2"/>
                <w14:textFill>
                  <w14:solidFill>
                    <w14:srgbClr w14:val="000000">
                      <w14:alpha w14:val="100000"/>
                    </w14:srgbClr>
                  </w14:solidFill>
                </w14:textFill>
              </w:rPr>
              <w:t>|||||</w:t>
            </w:r>
            <w:r w:rsidRPr="00466B8C">
              <w:rPr>
                <w:color w:val="000000"/>
                <w:spacing w:val="5"/>
                <w:shd w:val="solid" w:color="000000" w:fill="000000"/>
                <w:fitText w:val="440" w:id="-1236544502"/>
                <w14:textFill>
                  <w14:solidFill>
                    <w14:srgbClr w14:val="000000">
                      <w14:alpha w14:val="100000"/>
                    </w14:srgbClr>
                  </w14:solidFill>
                </w14:textFill>
              </w:rPr>
              <w:t>|</w:t>
            </w:r>
            <w:r w:rsidR="00ED3F67" w:rsidRPr="00ED3F67">
              <w:rPr>
                <w:vertAlign w:val="superscript"/>
              </w:rPr>
              <w:t>1</w:t>
            </w:r>
          </w:p>
        </w:tc>
        <w:tc>
          <w:tcPr>
            <w:tcW w:w="539" w:type="pct"/>
            <w:noWrap/>
            <w:hideMark/>
          </w:tcPr>
          <w:p w14:paraId="4F997E71" w14:textId="43A692CF"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1"/>
                <w14:textFill>
                  <w14:solidFill>
                    <w14:srgbClr w14:val="000000">
                      <w14:alpha w14:val="100000"/>
                    </w14:srgbClr>
                  </w14:solidFill>
                </w14:textFill>
              </w:rPr>
              <w:t>|||||</w:t>
            </w:r>
            <w:r w:rsidRPr="00466B8C">
              <w:rPr>
                <w:color w:val="000000"/>
                <w:spacing w:val="5"/>
                <w:shd w:val="solid" w:color="000000" w:fill="000000"/>
                <w:fitText w:val="490" w:id="-1236544501"/>
                <w14:textFill>
                  <w14:solidFill>
                    <w14:srgbClr w14:val="000000">
                      <w14:alpha w14:val="100000"/>
                    </w14:srgbClr>
                  </w14:solidFill>
                </w14:textFill>
              </w:rPr>
              <w:t>|</w:t>
            </w:r>
            <w:r w:rsidR="00ED3F67" w:rsidRPr="00ED3F67">
              <w:rPr>
                <w:vertAlign w:val="superscript"/>
              </w:rPr>
              <w:t>1</w:t>
            </w:r>
          </w:p>
        </w:tc>
      </w:tr>
      <w:tr w:rsidR="00DD002E" w:rsidRPr="00FC51BD" w14:paraId="25B94265" w14:textId="77777777" w:rsidTr="00632A30">
        <w:trPr>
          <w:trHeight w:val="270"/>
        </w:trPr>
        <w:tc>
          <w:tcPr>
            <w:tcW w:w="1855" w:type="pct"/>
            <w:hideMark/>
          </w:tcPr>
          <w:p w14:paraId="366DF927" w14:textId="77777777" w:rsidR="00DD002E" w:rsidRPr="00A57A80" w:rsidRDefault="00DD002E" w:rsidP="00632A30">
            <w:pPr>
              <w:pStyle w:val="PBACTableText"/>
              <w:keepNext/>
              <w:rPr>
                <w:b/>
                <w:bCs/>
              </w:rPr>
            </w:pPr>
            <w:r w:rsidRPr="00A57A80">
              <w:rPr>
                <w:b/>
                <w:bCs/>
              </w:rPr>
              <w:t>No. of doses of 15vPCV - 3 doses</w:t>
            </w:r>
          </w:p>
        </w:tc>
        <w:tc>
          <w:tcPr>
            <w:tcW w:w="507" w:type="pct"/>
            <w:hideMark/>
          </w:tcPr>
          <w:p w14:paraId="33FC2476" w14:textId="3167F973"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500"/>
                <w14:textFill>
                  <w14:solidFill>
                    <w14:srgbClr w14:val="000000">
                      <w14:alpha w14:val="100000"/>
                    </w14:srgbClr>
                  </w14:solidFill>
                </w14:textFill>
              </w:rPr>
              <w:t>|||||</w:t>
            </w:r>
            <w:r w:rsidRPr="00466B8C">
              <w:rPr>
                <w:b/>
                <w:bCs/>
                <w:color w:val="000000"/>
                <w:spacing w:val="5"/>
                <w:shd w:val="solid" w:color="000000" w:fill="000000"/>
                <w:fitText w:val="450" w:id="-1236544500"/>
                <w14:textFill>
                  <w14:solidFill>
                    <w14:srgbClr w14:val="000000">
                      <w14:alpha w14:val="100000"/>
                    </w14:srgbClr>
                  </w14:solidFill>
                </w14:textFill>
              </w:rPr>
              <w:t>|</w:t>
            </w:r>
            <w:r w:rsidR="00ED3F67">
              <w:rPr>
                <w:vertAlign w:val="superscript"/>
              </w:rPr>
              <w:t>3</w:t>
            </w:r>
          </w:p>
        </w:tc>
        <w:tc>
          <w:tcPr>
            <w:tcW w:w="507" w:type="pct"/>
            <w:hideMark/>
          </w:tcPr>
          <w:p w14:paraId="6B0F8DCB" w14:textId="76F937AB"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9"/>
                <w14:textFill>
                  <w14:solidFill>
                    <w14:srgbClr w14:val="000000">
                      <w14:alpha w14:val="100000"/>
                    </w14:srgbClr>
                  </w14:solidFill>
                </w14:textFill>
              </w:rPr>
              <w:t>|||||</w:t>
            </w:r>
            <w:r w:rsidRPr="00466B8C">
              <w:rPr>
                <w:b/>
                <w:bCs/>
                <w:color w:val="000000"/>
                <w:spacing w:val="5"/>
                <w:shd w:val="solid" w:color="000000" w:fill="000000"/>
                <w:fitText w:val="450" w:id="-1236544499"/>
                <w14:textFill>
                  <w14:solidFill>
                    <w14:srgbClr w14:val="000000">
                      <w14:alpha w14:val="100000"/>
                    </w14:srgbClr>
                  </w14:solidFill>
                </w14:textFill>
              </w:rPr>
              <w:t>|</w:t>
            </w:r>
            <w:r w:rsidR="005F6174">
              <w:rPr>
                <w:vertAlign w:val="superscript"/>
              </w:rPr>
              <w:t>7</w:t>
            </w:r>
          </w:p>
        </w:tc>
        <w:tc>
          <w:tcPr>
            <w:tcW w:w="508" w:type="pct"/>
            <w:hideMark/>
          </w:tcPr>
          <w:p w14:paraId="4EBF9729" w14:textId="045BD235"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8"/>
                <w14:textFill>
                  <w14:solidFill>
                    <w14:srgbClr w14:val="000000">
                      <w14:alpha w14:val="100000"/>
                    </w14:srgbClr>
                  </w14:solidFill>
                </w14:textFill>
              </w:rPr>
              <w:t>|||||</w:t>
            </w:r>
            <w:r w:rsidRPr="00466B8C">
              <w:rPr>
                <w:b/>
                <w:bCs/>
                <w:color w:val="000000"/>
                <w:spacing w:val="5"/>
                <w:shd w:val="solid" w:color="000000" w:fill="000000"/>
                <w:fitText w:val="450" w:id="-1236544498"/>
                <w14:textFill>
                  <w14:solidFill>
                    <w14:srgbClr w14:val="000000">
                      <w14:alpha w14:val="100000"/>
                    </w14:srgbClr>
                  </w14:solidFill>
                </w14:textFill>
              </w:rPr>
              <w:t>|</w:t>
            </w:r>
            <w:r w:rsidR="005F6174">
              <w:rPr>
                <w:vertAlign w:val="superscript"/>
              </w:rPr>
              <w:t>7</w:t>
            </w:r>
          </w:p>
        </w:tc>
        <w:tc>
          <w:tcPr>
            <w:tcW w:w="505" w:type="pct"/>
            <w:hideMark/>
          </w:tcPr>
          <w:p w14:paraId="2716E7D2" w14:textId="6245440C"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7"/>
                <w14:textFill>
                  <w14:solidFill>
                    <w14:srgbClr w14:val="000000">
                      <w14:alpha w14:val="100000"/>
                    </w14:srgbClr>
                  </w14:solidFill>
                </w14:textFill>
              </w:rPr>
              <w:t>|||||</w:t>
            </w:r>
            <w:r w:rsidRPr="00466B8C">
              <w:rPr>
                <w:b/>
                <w:bCs/>
                <w:color w:val="000000"/>
                <w:spacing w:val="5"/>
                <w:shd w:val="solid" w:color="000000" w:fill="000000"/>
                <w:fitText w:val="450" w:id="-1236544497"/>
                <w14:textFill>
                  <w14:solidFill>
                    <w14:srgbClr w14:val="000000">
                      <w14:alpha w14:val="100000"/>
                    </w14:srgbClr>
                  </w14:solidFill>
                </w14:textFill>
              </w:rPr>
              <w:t>|</w:t>
            </w:r>
            <w:r w:rsidR="005F6174">
              <w:rPr>
                <w:vertAlign w:val="superscript"/>
              </w:rPr>
              <w:t>7</w:t>
            </w:r>
          </w:p>
        </w:tc>
        <w:tc>
          <w:tcPr>
            <w:tcW w:w="578" w:type="pct"/>
            <w:hideMark/>
          </w:tcPr>
          <w:p w14:paraId="34C83AA8" w14:textId="3ECA72A6" w:rsidR="00DD002E" w:rsidRPr="00ED3F67" w:rsidRDefault="00466B8C" w:rsidP="00632A30">
            <w:pPr>
              <w:pStyle w:val="PBACTableText"/>
              <w:keepNext/>
              <w:jc w:val="right"/>
              <w:rPr>
                <w:b/>
                <w:bCs/>
                <w:highlight w:val="darkGray"/>
              </w:rPr>
            </w:pPr>
            <w:r w:rsidRPr="00466B8C">
              <w:rPr>
                <w:b/>
                <w:bCs/>
                <w:color w:val="000000"/>
                <w:spacing w:val="68"/>
                <w:shd w:val="solid" w:color="000000" w:fill="000000"/>
                <w:fitText w:val="390" w:id="-1236544496"/>
                <w14:textFill>
                  <w14:solidFill>
                    <w14:srgbClr w14:val="000000">
                      <w14:alpha w14:val="100000"/>
                    </w14:srgbClr>
                  </w14:solidFill>
                </w14:textFill>
              </w:rPr>
              <w:t>|||</w:t>
            </w:r>
            <w:r w:rsidRPr="00466B8C">
              <w:rPr>
                <w:b/>
                <w:bCs/>
                <w:color w:val="000000"/>
                <w:spacing w:val="2"/>
                <w:shd w:val="solid" w:color="000000" w:fill="000000"/>
                <w:fitText w:val="390" w:id="-1236544496"/>
                <w14:textFill>
                  <w14:solidFill>
                    <w14:srgbClr w14:val="000000">
                      <w14:alpha w14:val="100000"/>
                    </w14:srgbClr>
                  </w14:solidFill>
                </w14:textFill>
              </w:rPr>
              <w:t>|</w:t>
            </w:r>
            <w:r w:rsidR="005F6174">
              <w:rPr>
                <w:vertAlign w:val="superscript"/>
              </w:rPr>
              <w:t>7</w:t>
            </w:r>
          </w:p>
        </w:tc>
        <w:tc>
          <w:tcPr>
            <w:tcW w:w="539" w:type="pct"/>
            <w:hideMark/>
          </w:tcPr>
          <w:p w14:paraId="007F10EF" w14:textId="34B5EADA"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512"/>
                <w14:textFill>
                  <w14:solidFill>
                    <w14:srgbClr w14:val="000000">
                      <w14:alpha w14:val="100000"/>
                    </w14:srgbClr>
                  </w14:solidFill>
                </w14:textFill>
              </w:rPr>
              <w:t>|||||</w:t>
            </w:r>
            <w:r w:rsidRPr="00466B8C">
              <w:rPr>
                <w:b/>
                <w:bCs/>
                <w:color w:val="000000"/>
                <w:spacing w:val="5"/>
                <w:shd w:val="solid" w:color="000000" w:fill="000000"/>
                <w:fitText w:val="450" w:id="-1236544512"/>
                <w14:textFill>
                  <w14:solidFill>
                    <w14:srgbClr w14:val="000000">
                      <w14:alpha w14:val="100000"/>
                    </w14:srgbClr>
                  </w14:solidFill>
                </w14:textFill>
              </w:rPr>
              <w:t>|</w:t>
            </w:r>
            <w:r w:rsidR="005F6174">
              <w:rPr>
                <w:vertAlign w:val="superscript"/>
              </w:rPr>
              <w:t>7</w:t>
            </w:r>
          </w:p>
        </w:tc>
      </w:tr>
      <w:tr w:rsidR="00DD002E" w:rsidRPr="00FC51BD" w14:paraId="12824D6E" w14:textId="77777777" w:rsidTr="00632A30">
        <w:trPr>
          <w:trHeight w:val="765"/>
        </w:trPr>
        <w:tc>
          <w:tcPr>
            <w:tcW w:w="1855" w:type="pct"/>
            <w:hideMark/>
          </w:tcPr>
          <w:p w14:paraId="4F34DE8E" w14:textId="77777777" w:rsidR="00DD002E" w:rsidRPr="00FC51BD" w:rsidRDefault="00DD002E" w:rsidP="00632A30">
            <w:pPr>
              <w:pStyle w:val="PBACTableText"/>
              <w:keepNext/>
            </w:pPr>
            <w:r w:rsidRPr="005907A1">
              <w:t>Aboriginal and Torres Strait Islander</w:t>
            </w:r>
            <w:r w:rsidRPr="00FC51BD">
              <w:t xml:space="preserve"> </w:t>
            </w:r>
            <w:r>
              <w:t>infants</w:t>
            </w:r>
            <w:r w:rsidRPr="00FC51BD">
              <w:t xml:space="preserve"> in SA, WA, Qld and NT and </w:t>
            </w:r>
            <w:r>
              <w:t>infants</w:t>
            </w:r>
            <w:r w:rsidRPr="00FC51BD">
              <w:t xml:space="preserve"> with specified medical risk factors</w:t>
            </w:r>
          </w:p>
        </w:tc>
        <w:tc>
          <w:tcPr>
            <w:tcW w:w="507" w:type="pct"/>
            <w:hideMark/>
          </w:tcPr>
          <w:p w14:paraId="3A4AC5F7" w14:textId="224EA716"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11"/>
                <w14:textFill>
                  <w14:solidFill>
                    <w14:srgbClr w14:val="000000">
                      <w14:alpha w14:val="100000"/>
                    </w14:srgbClr>
                  </w14:solidFill>
                </w14:textFill>
              </w:rPr>
              <w:t>|||||</w:t>
            </w:r>
            <w:r w:rsidRPr="00466B8C">
              <w:rPr>
                <w:color w:val="000000"/>
                <w:spacing w:val="5"/>
                <w:shd w:val="solid" w:color="000000" w:fill="000000"/>
                <w:fitText w:val="490" w:id="-1236544511"/>
                <w14:textFill>
                  <w14:solidFill>
                    <w14:srgbClr w14:val="000000">
                      <w14:alpha w14:val="100000"/>
                    </w14:srgbClr>
                  </w14:solidFill>
                </w14:textFill>
              </w:rPr>
              <w:t>|</w:t>
            </w:r>
            <w:r w:rsidR="00ED3F67">
              <w:rPr>
                <w:vertAlign w:val="superscript"/>
              </w:rPr>
              <w:t>4</w:t>
            </w:r>
          </w:p>
        </w:tc>
        <w:tc>
          <w:tcPr>
            <w:tcW w:w="507" w:type="pct"/>
            <w:hideMark/>
          </w:tcPr>
          <w:p w14:paraId="619964C1" w14:textId="50E8E6E4"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10"/>
                <w14:textFill>
                  <w14:solidFill>
                    <w14:srgbClr w14:val="000000">
                      <w14:alpha w14:val="100000"/>
                    </w14:srgbClr>
                  </w14:solidFill>
                </w14:textFill>
              </w:rPr>
              <w:t>|||||</w:t>
            </w:r>
            <w:r w:rsidRPr="00466B8C">
              <w:rPr>
                <w:color w:val="000000"/>
                <w:spacing w:val="5"/>
                <w:shd w:val="solid" w:color="000000" w:fill="000000"/>
                <w:fitText w:val="490" w:id="-1236544510"/>
                <w14:textFill>
                  <w14:solidFill>
                    <w14:srgbClr w14:val="000000">
                      <w14:alpha w14:val="100000"/>
                    </w14:srgbClr>
                  </w14:solidFill>
                </w14:textFill>
              </w:rPr>
              <w:t>|</w:t>
            </w:r>
            <w:r w:rsidR="005F6174">
              <w:rPr>
                <w:vertAlign w:val="superscript"/>
              </w:rPr>
              <w:t>4</w:t>
            </w:r>
          </w:p>
        </w:tc>
        <w:tc>
          <w:tcPr>
            <w:tcW w:w="508" w:type="pct"/>
            <w:hideMark/>
          </w:tcPr>
          <w:p w14:paraId="54BB19A7" w14:textId="04273CEA"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9"/>
                <w14:textFill>
                  <w14:solidFill>
                    <w14:srgbClr w14:val="000000">
                      <w14:alpha w14:val="100000"/>
                    </w14:srgbClr>
                  </w14:solidFill>
                </w14:textFill>
              </w:rPr>
              <w:t>|||||</w:t>
            </w:r>
            <w:r w:rsidRPr="00466B8C">
              <w:rPr>
                <w:color w:val="000000"/>
                <w:spacing w:val="5"/>
                <w:shd w:val="solid" w:color="000000" w:fill="000000"/>
                <w:fitText w:val="490" w:id="-1236544509"/>
                <w14:textFill>
                  <w14:solidFill>
                    <w14:srgbClr w14:val="000000">
                      <w14:alpha w14:val="100000"/>
                    </w14:srgbClr>
                  </w14:solidFill>
                </w14:textFill>
              </w:rPr>
              <w:t>|</w:t>
            </w:r>
            <w:r w:rsidR="005F6174">
              <w:rPr>
                <w:vertAlign w:val="superscript"/>
              </w:rPr>
              <w:t>4</w:t>
            </w:r>
          </w:p>
        </w:tc>
        <w:tc>
          <w:tcPr>
            <w:tcW w:w="505" w:type="pct"/>
            <w:hideMark/>
          </w:tcPr>
          <w:p w14:paraId="28D3F7D5" w14:textId="73DBDB06"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8"/>
                <w14:textFill>
                  <w14:solidFill>
                    <w14:srgbClr w14:val="000000">
                      <w14:alpha w14:val="100000"/>
                    </w14:srgbClr>
                  </w14:solidFill>
                </w14:textFill>
              </w:rPr>
              <w:t>|||||</w:t>
            </w:r>
            <w:r w:rsidRPr="00466B8C">
              <w:rPr>
                <w:color w:val="000000"/>
                <w:spacing w:val="5"/>
                <w:shd w:val="solid" w:color="000000" w:fill="000000"/>
                <w:fitText w:val="490" w:id="-1236544508"/>
                <w14:textFill>
                  <w14:solidFill>
                    <w14:srgbClr w14:val="000000">
                      <w14:alpha w14:val="100000"/>
                    </w14:srgbClr>
                  </w14:solidFill>
                </w14:textFill>
              </w:rPr>
              <w:t>|</w:t>
            </w:r>
            <w:r w:rsidR="005F6174">
              <w:rPr>
                <w:vertAlign w:val="superscript"/>
              </w:rPr>
              <w:t>4</w:t>
            </w:r>
          </w:p>
        </w:tc>
        <w:tc>
          <w:tcPr>
            <w:tcW w:w="578" w:type="pct"/>
            <w:hideMark/>
          </w:tcPr>
          <w:p w14:paraId="66D769E3" w14:textId="35794459"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7"/>
                <w14:textFill>
                  <w14:solidFill>
                    <w14:srgbClr w14:val="000000">
                      <w14:alpha w14:val="100000"/>
                    </w14:srgbClr>
                  </w14:solidFill>
                </w14:textFill>
              </w:rPr>
              <w:t>|||||</w:t>
            </w:r>
            <w:r w:rsidRPr="00466B8C">
              <w:rPr>
                <w:color w:val="000000"/>
                <w:spacing w:val="5"/>
                <w:shd w:val="solid" w:color="000000" w:fill="000000"/>
                <w:fitText w:val="440" w:id="-1236544507"/>
                <w14:textFill>
                  <w14:solidFill>
                    <w14:srgbClr w14:val="000000">
                      <w14:alpha w14:val="100000"/>
                    </w14:srgbClr>
                  </w14:solidFill>
                </w14:textFill>
              </w:rPr>
              <w:t>|</w:t>
            </w:r>
            <w:r w:rsidR="005F6174">
              <w:rPr>
                <w:vertAlign w:val="superscript"/>
              </w:rPr>
              <w:t>4</w:t>
            </w:r>
          </w:p>
        </w:tc>
        <w:tc>
          <w:tcPr>
            <w:tcW w:w="539" w:type="pct"/>
            <w:hideMark/>
          </w:tcPr>
          <w:p w14:paraId="71061C8D" w14:textId="3546F0C5"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6"/>
                <w14:textFill>
                  <w14:solidFill>
                    <w14:srgbClr w14:val="000000">
                      <w14:alpha w14:val="100000"/>
                    </w14:srgbClr>
                  </w14:solidFill>
                </w14:textFill>
              </w:rPr>
              <w:t>|||||</w:t>
            </w:r>
            <w:r w:rsidRPr="00466B8C">
              <w:rPr>
                <w:color w:val="000000"/>
                <w:spacing w:val="5"/>
                <w:shd w:val="solid" w:color="000000" w:fill="000000"/>
                <w:fitText w:val="490" w:id="-1236544506"/>
                <w14:textFill>
                  <w14:solidFill>
                    <w14:srgbClr w14:val="000000">
                      <w14:alpha w14:val="100000"/>
                    </w14:srgbClr>
                  </w14:solidFill>
                </w14:textFill>
              </w:rPr>
              <w:t>|</w:t>
            </w:r>
            <w:r w:rsidR="005F6174">
              <w:rPr>
                <w:vertAlign w:val="superscript"/>
              </w:rPr>
              <w:t>4</w:t>
            </w:r>
          </w:p>
        </w:tc>
      </w:tr>
      <w:tr w:rsidR="00DD002E" w:rsidRPr="00FC51BD" w14:paraId="72E6F244" w14:textId="77777777" w:rsidTr="00632A30">
        <w:trPr>
          <w:trHeight w:val="255"/>
        </w:trPr>
        <w:tc>
          <w:tcPr>
            <w:tcW w:w="1855" w:type="pct"/>
            <w:hideMark/>
          </w:tcPr>
          <w:p w14:paraId="2BE12059" w14:textId="77777777" w:rsidR="00DD002E" w:rsidRPr="00FC51BD" w:rsidRDefault="00DD002E" w:rsidP="00632A30">
            <w:pPr>
              <w:pStyle w:val="PBACTableText"/>
              <w:keepNext/>
            </w:pPr>
            <w:r w:rsidRPr="00FC51BD">
              <w:t xml:space="preserve">% uptake </w:t>
            </w:r>
            <w:r>
              <w:t>15vPCV</w:t>
            </w:r>
            <w:r w:rsidRPr="00FC51BD">
              <w:t xml:space="preserve"> - 94.18% June 2022</w:t>
            </w:r>
          </w:p>
        </w:tc>
        <w:tc>
          <w:tcPr>
            <w:tcW w:w="507" w:type="pct"/>
            <w:hideMark/>
          </w:tcPr>
          <w:p w14:paraId="76A2B053" w14:textId="77777777" w:rsidR="00DD002E" w:rsidRPr="00ED3F67" w:rsidRDefault="00DD002E" w:rsidP="00632A30">
            <w:pPr>
              <w:pStyle w:val="PBACTableText"/>
              <w:keepNext/>
              <w:jc w:val="right"/>
            </w:pPr>
            <w:r w:rsidRPr="00ED3F67">
              <w:t>94.18%</w:t>
            </w:r>
          </w:p>
        </w:tc>
        <w:tc>
          <w:tcPr>
            <w:tcW w:w="507" w:type="pct"/>
            <w:hideMark/>
          </w:tcPr>
          <w:p w14:paraId="5A53509E" w14:textId="77777777" w:rsidR="00DD002E" w:rsidRPr="00ED3F67" w:rsidRDefault="00DD002E" w:rsidP="00632A30">
            <w:pPr>
              <w:pStyle w:val="PBACTableText"/>
              <w:keepNext/>
              <w:jc w:val="right"/>
            </w:pPr>
            <w:r w:rsidRPr="00ED3F67">
              <w:t>94.18%</w:t>
            </w:r>
          </w:p>
        </w:tc>
        <w:tc>
          <w:tcPr>
            <w:tcW w:w="508" w:type="pct"/>
            <w:hideMark/>
          </w:tcPr>
          <w:p w14:paraId="4948AFF7" w14:textId="77777777" w:rsidR="00DD002E" w:rsidRPr="00ED3F67" w:rsidRDefault="00DD002E" w:rsidP="00632A30">
            <w:pPr>
              <w:pStyle w:val="PBACTableText"/>
              <w:keepNext/>
              <w:jc w:val="right"/>
            </w:pPr>
            <w:r w:rsidRPr="00ED3F67">
              <w:t>94.18%</w:t>
            </w:r>
          </w:p>
        </w:tc>
        <w:tc>
          <w:tcPr>
            <w:tcW w:w="505" w:type="pct"/>
            <w:hideMark/>
          </w:tcPr>
          <w:p w14:paraId="04936629" w14:textId="77777777" w:rsidR="00DD002E" w:rsidRPr="00ED3F67" w:rsidRDefault="00DD002E" w:rsidP="00632A30">
            <w:pPr>
              <w:pStyle w:val="PBACTableText"/>
              <w:keepNext/>
              <w:jc w:val="right"/>
            </w:pPr>
            <w:r w:rsidRPr="00ED3F67">
              <w:t>94.18%</w:t>
            </w:r>
          </w:p>
        </w:tc>
        <w:tc>
          <w:tcPr>
            <w:tcW w:w="578" w:type="pct"/>
            <w:hideMark/>
          </w:tcPr>
          <w:p w14:paraId="25C2D4B0" w14:textId="77777777" w:rsidR="00DD002E" w:rsidRPr="00ED3F67" w:rsidRDefault="00DD002E" w:rsidP="00632A30">
            <w:pPr>
              <w:pStyle w:val="PBACTableText"/>
              <w:keepNext/>
              <w:jc w:val="right"/>
            </w:pPr>
            <w:r w:rsidRPr="00ED3F67">
              <w:t>94.18%</w:t>
            </w:r>
          </w:p>
        </w:tc>
        <w:tc>
          <w:tcPr>
            <w:tcW w:w="539" w:type="pct"/>
            <w:hideMark/>
          </w:tcPr>
          <w:p w14:paraId="3E663AB4" w14:textId="77777777" w:rsidR="00DD002E" w:rsidRPr="00ED3F67" w:rsidRDefault="00DD002E" w:rsidP="00632A30">
            <w:pPr>
              <w:pStyle w:val="PBACTableText"/>
              <w:keepNext/>
              <w:jc w:val="right"/>
            </w:pPr>
            <w:r w:rsidRPr="00ED3F67">
              <w:t>94.18%</w:t>
            </w:r>
          </w:p>
        </w:tc>
      </w:tr>
      <w:tr w:rsidR="00DD002E" w:rsidRPr="00FC51BD" w14:paraId="6851E75A" w14:textId="77777777" w:rsidTr="00632A30">
        <w:trPr>
          <w:trHeight w:val="255"/>
        </w:trPr>
        <w:tc>
          <w:tcPr>
            <w:tcW w:w="1855" w:type="pct"/>
            <w:hideMark/>
          </w:tcPr>
          <w:p w14:paraId="20E9039B" w14:textId="77777777" w:rsidR="00DD002E" w:rsidRPr="00FC51BD" w:rsidRDefault="00DD002E" w:rsidP="00632A30">
            <w:pPr>
              <w:pStyle w:val="PBACTableText"/>
              <w:keepNext/>
            </w:pPr>
            <w:r w:rsidRPr="00FC51BD">
              <w:t xml:space="preserve">Population vaccinated with </w:t>
            </w:r>
            <w:r>
              <w:t>15vPCV</w:t>
            </w:r>
          </w:p>
        </w:tc>
        <w:tc>
          <w:tcPr>
            <w:tcW w:w="507" w:type="pct"/>
            <w:noWrap/>
            <w:hideMark/>
          </w:tcPr>
          <w:p w14:paraId="263C102D" w14:textId="200EA260"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5"/>
                <w14:textFill>
                  <w14:solidFill>
                    <w14:srgbClr w14:val="000000">
                      <w14:alpha w14:val="100000"/>
                    </w14:srgbClr>
                  </w14:solidFill>
                </w14:textFill>
              </w:rPr>
              <w:t>|||||</w:t>
            </w:r>
            <w:r w:rsidRPr="00466B8C">
              <w:rPr>
                <w:color w:val="000000"/>
                <w:spacing w:val="5"/>
                <w:shd w:val="solid" w:color="000000" w:fill="000000"/>
                <w:fitText w:val="490" w:id="-1236544505"/>
                <w14:textFill>
                  <w14:solidFill>
                    <w14:srgbClr w14:val="000000">
                      <w14:alpha w14:val="100000"/>
                    </w14:srgbClr>
                  </w14:solidFill>
                </w14:textFill>
              </w:rPr>
              <w:t>|</w:t>
            </w:r>
            <w:r w:rsidR="005F6174">
              <w:rPr>
                <w:vertAlign w:val="superscript"/>
              </w:rPr>
              <w:t>4</w:t>
            </w:r>
          </w:p>
        </w:tc>
        <w:tc>
          <w:tcPr>
            <w:tcW w:w="507" w:type="pct"/>
            <w:noWrap/>
            <w:hideMark/>
          </w:tcPr>
          <w:p w14:paraId="69455108" w14:textId="30F4A486"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4"/>
                <w14:textFill>
                  <w14:solidFill>
                    <w14:srgbClr w14:val="000000">
                      <w14:alpha w14:val="100000"/>
                    </w14:srgbClr>
                  </w14:solidFill>
                </w14:textFill>
              </w:rPr>
              <w:t>|||||</w:t>
            </w:r>
            <w:r w:rsidRPr="00466B8C">
              <w:rPr>
                <w:color w:val="000000"/>
                <w:spacing w:val="5"/>
                <w:shd w:val="solid" w:color="000000" w:fill="000000"/>
                <w:fitText w:val="490" w:id="-1236544504"/>
                <w14:textFill>
                  <w14:solidFill>
                    <w14:srgbClr w14:val="000000">
                      <w14:alpha w14:val="100000"/>
                    </w14:srgbClr>
                  </w14:solidFill>
                </w14:textFill>
              </w:rPr>
              <w:t>|</w:t>
            </w:r>
            <w:r w:rsidR="005F6174">
              <w:rPr>
                <w:vertAlign w:val="superscript"/>
              </w:rPr>
              <w:t>4</w:t>
            </w:r>
          </w:p>
        </w:tc>
        <w:tc>
          <w:tcPr>
            <w:tcW w:w="508" w:type="pct"/>
            <w:noWrap/>
            <w:hideMark/>
          </w:tcPr>
          <w:p w14:paraId="23429313" w14:textId="31DFD3D7"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3"/>
                <w14:textFill>
                  <w14:solidFill>
                    <w14:srgbClr w14:val="000000">
                      <w14:alpha w14:val="100000"/>
                    </w14:srgbClr>
                  </w14:solidFill>
                </w14:textFill>
              </w:rPr>
              <w:t>|||||</w:t>
            </w:r>
            <w:r w:rsidRPr="00466B8C">
              <w:rPr>
                <w:color w:val="000000"/>
                <w:spacing w:val="5"/>
                <w:shd w:val="solid" w:color="000000" w:fill="000000"/>
                <w:fitText w:val="490" w:id="-1236544503"/>
                <w14:textFill>
                  <w14:solidFill>
                    <w14:srgbClr w14:val="000000">
                      <w14:alpha w14:val="100000"/>
                    </w14:srgbClr>
                  </w14:solidFill>
                </w14:textFill>
              </w:rPr>
              <w:t>|</w:t>
            </w:r>
            <w:r w:rsidR="005F6174">
              <w:rPr>
                <w:vertAlign w:val="superscript"/>
              </w:rPr>
              <w:t>4</w:t>
            </w:r>
          </w:p>
        </w:tc>
        <w:tc>
          <w:tcPr>
            <w:tcW w:w="505" w:type="pct"/>
            <w:noWrap/>
            <w:hideMark/>
          </w:tcPr>
          <w:p w14:paraId="4C10FA59" w14:textId="13F36E37"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2"/>
                <w14:textFill>
                  <w14:solidFill>
                    <w14:srgbClr w14:val="000000">
                      <w14:alpha w14:val="100000"/>
                    </w14:srgbClr>
                  </w14:solidFill>
                </w14:textFill>
              </w:rPr>
              <w:t>|||||</w:t>
            </w:r>
            <w:r w:rsidRPr="00466B8C">
              <w:rPr>
                <w:color w:val="000000"/>
                <w:spacing w:val="5"/>
                <w:shd w:val="solid" w:color="000000" w:fill="000000"/>
                <w:fitText w:val="490" w:id="-1236544502"/>
                <w14:textFill>
                  <w14:solidFill>
                    <w14:srgbClr w14:val="000000">
                      <w14:alpha w14:val="100000"/>
                    </w14:srgbClr>
                  </w14:solidFill>
                </w14:textFill>
              </w:rPr>
              <w:t>|</w:t>
            </w:r>
            <w:r w:rsidR="005F6174">
              <w:rPr>
                <w:vertAlign w:val="superscript"/>
              </w:rPr>
              <w:t>4</w:t>
            </w:r>
          </w:p>
        </w:tc>
        <w:tc>
          <w:tcPr>
            <w:tcW w:w="578" w:type="pct"/>
            <w:noWrap/>
            <w:hideMark/>
          </w:tcPr>
          <w:p w14:paraId="4260F5E2" w14:textId="39A03EC0"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1"/>
                <w14:textFill>
                  <w14:solidFill>
                    <w14:srgbClr w14:val="000000">
                      <w14:alpha w14:val="100000"/>
                    </w14:srgbClr>
                  </w14:solidFill>
                </w14:textFill>
              </w:rPr>
              <w:t>|||||</w:t>
            </w:r>
            <w:r w:rsidRPr="00466B8C">
              <w:rPr>
                <w:color w:val="000000"/>
                <w:spacing w:val="5"/>
                <w:shd w:val="solid" w:color="000000" w:fill="000000"/>
                <w:fitText w:val="440" w:id="-1236544501"/>
                <w14:textFill>
                  <w14:solidFill>
                    <w14:srgbClr w14:val="000000">
                      <w14:alpha w14:val="100000"/>
                    </w14:srgbClr>
                  </w14:solidFill>
                </w14:textFill>
              </w:rPr>
              <w:t>|</w:t>
            </w:r>
            <w:r w:rsidR="005F6174">
              <w:rPr>
                <w:vertAlign w:val="superscript"/>
              </w:rPr>
              <w:t>4</w:t>
            </w:r>
          </w:p>
        </w:tc>
        <w:tc>
          <w:tcPr>
            <w:tcW w:w="539" w:type="pct"/>
            <w:noWrap/>
            <w:hideMark/>
          </w:tcPr>
          <w:p w14:paraId="1CC5B8DE" w14:textId="6153A994"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0"/>
                <w14:textFill>
                  <w14:solidFill>
                    <w14:srgbClr w14:val="000000">
                      <w14:alpha w14:val="100000"/>
                    </w14:srgbClr>
                  </w14:solidFill>
                </w14:textFill>
              </w:rPr>
              <w:t>|||||</w:t>
            </w:r>
            <w:r w:rsidRPr="00466B8C">
              <w:rPr>
                <w:color w:val="000000"/>
                <w:spacing w:val="5"/>
                <w:shd w:val="solid" w:color="000000" w:fill="000000"/>
                <w:fitText w:val="490" w:id="-1236544500"/>
                <w14:textFill>
                  <w14:solidFill>
                    <w14:srgbClr w14:val="000000">
                      <w14:alpha w14:val="100000"/>
                    </w14:srgbClr>
                  </w14:solidFill>
                </w14:textFill>
              </w:rPr>
              <w:t>|</w:t>
            </w:r>
            <w:r w:rsidR="005F6174">
              <w:rPr>
                <w:vertAlign w:val="superscript"/>
              </w:rPr>
              <w:t>4</w:t>
            </w:r>
          </w:p>
        </w:tc>
      </w:tr>
      <w:tr w:rsidR="00DD002E" w:rsidRPr="00FC51BD" w14:paraId="4CB7EDE0" w14:textId="77777777" w:rsidTr="00632A30">
        <w:trPr>
          <w:trHeight w:val="270"/>
        </w:trPr>
        <w:tc>
          <w:tcPr>
            <w:tcW w:w="1855" w:type="pct"/>
            <w:hideMark/>
          </w:tcPr>
          <w:p w14:paraId="29254535" w14:textId="77777777" w:rsidR="00DD002E" w:rsidRPr="00A57A80" w:rsidRDefault="00DD002E" w:rsidP="00632A30">
            <w:pPr>
              <w:pStyle w:val="PBACTableText"/>
              <w:keepNext/>
              <w:rPr>
                <w:b/>
                <w:bCs/>
              </w:rPr>
            </w:pPr>
            <w:r w:rsidRPr="00A57A80">
              <w:rPr>
                <w:b/>
                <w:bCs/>
              </w:rPr>
              <w:t>No. of doses of 15vPCV - 4 doses</w:t>
            </w:r>
          </w:p>
        </w:tc>
        <w:tc>
          <w:tcPr>
            <w:tcW w:w="507" w:type="pct"/>
            <w:hideMark/>
          </w:tcPr>
          <w:p w14:paraId="15DCD01B" w14:textId="21201994"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9"/>
                <w14:textFill>
                  <w14:solidFill>
                    <w14:srgbClr w14:val="000000">
                      <w14:alpha w14:val="100000"/>
                    </w14:srgbClr>
                  </w14:solidFill>
                </w14:textFill>
              </w:rPr>
              <w:t>|||||</w:t>
            </w:r>
            <w:r w:rsidRPr="00466B8C">
              <w:rPr>
                <w:b/>
                <w:bCs/>
                <w:color w:val="000000"/>
                <w:spacing w:val="5"/>
                <w:shd w:val="solid" w:color="000000" w:fill="000000"/>
                <w:fitText w:val="450" w:id="-1236544499"/>
                <w14:textFill>
                  <w14:solidFill>
                    <w14:srgbClr w14:val="000000">
                      <w14:alpha w14:val="100000"/>
                    </w14:srgbClr>
                  </w14:solidFill>
                </w14:textFill>
              </w:rPr>
              <w:t>|</w:t>
            </w:r>
            <w:r w:rsidR="005F6174">
              <w:rPr>
                <w:vertAlign w:val="superscript"/>
              </w:rPr>
              <w:t>5</w:t>
            </w:r>
          </w:p>
        </w:tc>
        <w:tc>
          <w:tcPr>
            <w:tcW w:w="507" w:type="pct"/>
            <w:hideMark/>
          </w:tcPr>
          <w:p w14:paraId="53286B15" w14:textId="0C85FEE4"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8"/>
                <w14:textFill>
                  <w14:solidFill>
                    <w14:srgbClr w14:val="000000">
                      <w14:alpha w14:val="100000"/>
                    </w14:srgbClr>
                  </w14:solidFill>
                </w14:textFill>
              </w:rPr>
              <w:t>|||||</w:t>
            </w:r>
            <w:r w:rsidRPr="00466B8C">
              <w:rPr>
                <w:b/>
                <w:bCs/>
                <w:color w:val="000000"/>
                <w:spacing w:val="5"/>
                <w:shd w:val="solid" w:color="000000" w:fill="000000"/>
                <w:fitText w:val="450" w:id="-1236544498"/>
                <w14:textFill>
                  <w14:solidFill>
                    <w14:srgbClr w14:val="000000">
                      <w14:alpha w14:val="100000"/>
                    </w14:srgbClr>
                  </w14:solidFill>
                </w14:textFill>
              </w:rPr>
              <w:t>|</w:t>
            </w:r>
            <w:r w:rsidR="005F6174">
              <w:rPr>
                <w:vertAlign w:val="superscript"/>
              </w:rPr>
              <w:t>5</w:t>
            </w:r>
          </w:p>
        </w:tc>
        <w:tc>
          <w:tcPr>
            <w:tcW w:w="508" w:type="pct"/>
            <w:hideMark/>
          </w:tcPr>
          <w:p w14:paraId="50A0E536" w14:textId="22307E98"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7"/>
                <w14:textFill>
                  <w14:solidFill>
                    <w14:srgbClr w14:val="000000">
                      <w14:alpha w14:val="100000"/>
                    </w14:srgbClr>
                  </w14:solidFill>
                </w14:textFill>
              </w:rPr>
              <w:t>|||||</w:t>
            </w:r>
            <w:r w:rsidRPr="00466B8C">
              <w:rPr>
                <w:b/>
                <w:bCs/>
                <w:color w:val="000000"/>
                <w:spacing w:val="5"/>
                <w:shd w:val="solid" w:color="000000" w:fill="000000"/>
                <w:fitText w:val="450" w:id="-1236544497"/>
                <w14:textFill>
                  <w14:solidFill>
                    <w14:srgbClr w14:val="000000">
                      <w14:alpha w14:val="100000"/>
                    </w14:srgbClr>
                  </w14:solidFill>
                </w14:textFill>
              </w:rPr>
              <w:t>|</w:t>
            </w:r>
            <w:r w:rsidR="005F6174">
              <w:rPr>
                <w:vertAlign w:val="superscript"/>
              </w:rPr>
              <w:t>5</w:t>
            </w:r>
          </w:p>
        </w:tc>
        <w:tc>
          <w:tcPr>
            <w:tcW w:w="505" w:type="pct"/>
            <w:hideMark/>
          </w:tcPr>
          <w:p w14:paraId="478627A0" w14:textId="4282C89C"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6"/>
                <w14:textFill>
                  <w14:solidFill>
                    <w14:srgbClr w14:val="000000">
                      <w14:alpha w14:val="100000"/>
                    </w14:srgbClr>
                  </w14:solidFill>
                </w14:textFill>
              </w:rPr>
              <w:t>|||||</w:t>
            </w:r>
            <w:r w:rsidRPr="00466B8C">
              <w:rPr>
                <w:b/>
                <w:bCs/>
                <w:color w:val="000000"/>
                <w:spacing w:val="5"/>
                <w:shd w:val="solid" w:color="000000" w:fill="000000"/>
                <w:fitText w:val="450" w:id="-1236544496"/>
                <w14:textFill>
                  <w14:solidFill>
                    <w14:srgbClr w14:val="000000">
                      <w14:alpha w14:val="100000"/>
                    </w14:srgbClr>
                  </w14:solidFill>
                </w14:textFill>
              </w:rPr>
              <w:t>|</w:t>
            </w:r>
            <w:r w:rsidR="005F6174">
              <w:rPr>
                <w:vertAlign w:val="superscript"/>
              </w:rPr>
              <w:t>5</w:t>
            </w:r>
          </w:p>
        </w:tc>
        <w:tc>
          <w:tcPr>
            <w:tcW w:w="578" w:type="pct"/>
            <w:hideMark/>
          </w:tcPr>
          <w:p w14:paraId="00AB0B42" w14:textId="56AE8DF5" w:rsidR="00DD002E" w:rsidRPr="00ED3F67" w:rsidRDefault="00466B8C" w:rsidP="00632A30">
            <w:pPr>
              <w:pStyle w:val="PBACTableText"/>
              <w:keepNext/>
              <w:jc w:val="right"/>
              <w:rPr>
                <w:b/>
                <w:bCs/>
                <w:highlight w:val="darkGray"/>
              </w:rPr>
            </w:pPr>
            <w:r w:rsidRPr="00466B8C">
              <w:rPr>
                <w:b/>
                <w:bCs/>
                <w:color w:val="000000"/>
                <w:spacing w:val="68"/>
                <w:shd w:val="solid" w:color="000000" w:fill="000000"/>
                <w:fitText w:val="390" w:id="-1236544512"/>
                <w14:textFill>
                  <w14:solidFill>
                    <w14:srgbClr w14:val="000000">
                      <w14:alpha w14:val="100000"/>
                    </w14:srgbClr>
                  </w14:solidFill>
                </w14:textFill>
              </w:rPr>
              <w:t>|||</w:t>
            </w:r>
            <w:r w:rsidRPr="00466B8C">
              <w:rPr>
                <w:b/>
                <w:bCs/>
                <w:color w:val="000000"/>
                <w:spacing w:val="2"/>
                <w:shd w:val="solid" w:color="000000" w:fill="000000"/>
                <w:fitText w:val="390" w:id="-1236544512"/>
                <w14:textFill>
                  <w14:solidFill>
                    <w14:srgbClr w14:val="000000">
                      <w14:alpha w14:val="100000"/>
                    </w14:srgbClr>
                  </w14:solidFill>
                </w14:textFill>
              </w:rPr>
              <w:t>|</w:t>
            </w:r>
            <w:r w:rsidR="005F6174">
              <w:rPr>
                <w:vertAlign w:val="superscript"/>
              </w:rPr>
              <w:t>8</w:t>
            </w:r>
          </w:p>
        </w:tc>
        <w:tc>
          <w:tcPr>
            <w:tcW w:w="539" w:type="pct"/>
            <w:hideMark/>
          </w:tcPr>
          <w:p w14:paraId="3CDB8632" w14:textId="6C314B8D"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511"/>
                <w14:textFill>
                  <w14:solidFill>
                    <w14:srgbClr w14:val="000000">
                      <w14:alpha w14:val="100000"/>
                    </w14:srgbClr>
                  </w14:solidFill>
                </w14:textFill>
              </w:rPr>
              <w:t>|||||</w:t>
            </w:r>
            <w:r w:rsidRPr="00466B8C">
              <w:rPr>
                <w:b/>
                <w:bCs/>
                <w:color w:val="000000"/>
                <w:spacing w:val="5"/>
                <w:shd w:val="solid" w:color="000000" w:fill="000000"/>
                <w:fitText w:val="450" w:id="-1236544511"/>
                <w14:textFill>
                  <w14:solidFill>
                    <w14:srgbClr w14:val="000000">
                      <w14:alpha w14:val="100000"/>
                    </w14:srgbClr>
                  </w14:solidFill>
                </w14:textFill>
              </w:rPr>
              <w:t>|</w:t>
            </w:r>
            <w:r w:rsidR="005F6174">
              <w:rPr>
                <w:vertAlign w:val="superscript"/>
              </w:rPr>
              <w:t>8</w:t>
            </w:r>
          </w:p>
        </w:tc>
      </w:tr>
      <w:tr w:rsidR="00DD002E" w:rsidRPr="00FC51BD" w14:paraId="5FB5B163" w14:textId="77777777" w:rsidTr="00632A30">
        <w:trPr>
          <w:trHeight w:val="488"/>
        </w:trPr>
        <w:tc>
          <w:tcPr>
            <w:tcW w:w="1855" w:type="pct"/>
            <w:hideMark/>
          </w:tcPr>
          <w:p w14:paraId="472D9B24" w14:textId="77777777" w:rsidR="00DD002E" w:rsidRPr="00FC51BD" w:rsidRDefault="00DD002E" w:rsidP="00632A30">
            <w:pPr>
              <w:pStyle w:val="PBACTableText"/>
              <w:keepNext/>
            </w:pPr>
            <w:r w:rsidRPr="00FC51BD">
              <w:t>Children &gt;12 months and adolescents with specified medical risk factors</w:t>
            </w:r>
          </w:p>
        </w:tc>
        <w:tc>
          <w:tcPr>
            <w:tcW w:w="507" w:type="pct"/>
            <w:hideMark/>
          </w:tcPr>
          <w:p w14:paraId="3BA59C14" w14:textId="4AAE468F"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10"/>
                <w14:textFill>
                  <w14:solidFill>
                    <w14:srgbClr w14:val="000000">
                      <w14:alpha w14:val="100000"/>
                    </w14:srgbClr>
                  </w14:solidFill>
                </w14:textFill>
              </w:rPr>
              <w:t>|||||</w:t>
            </w:r>
            <w:r w:rsidRPr="00466B8C">
              <w:rPr>
                <w:color w:val="000000"/>
                <w:spacing w:val="5"/>
                <w:shd w:val="solid" w:color="000000" w:fill="000000"/>
                <w:fitText w:val="490" w:id="-1236544510"/>
                <w14:textFill>
                  <w14:solidFill>
                    <w14:srgbClr w14:val="000000">
                      <w14:alpha w14:val="100000"/>
                    </w14:srgbClr>
                  </w14:solidFill>
                </w14:textFill>
              </w:rPr>
              <w:t>|</w:t>
            </w:r>
            <w:r w:rsidR="005F6174">
              <w:rPr>
                <w:vertAlign w:val="superscript"/>
              </w:rPr>
              <w:t>6</w:t>
            </w:r>
          </w:p>
        </w:tc>
        <w:tc>
          <w:tcPr>
            <w:tcW w:w="507" w:type="pct"/>
            <w:hideMark/>
          </w:tcPr>
          <w:p w14:paraId="5B618999" w14:textId="39B92649"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9"/>
                <w14:textFill>
                  <w14:solidFill>
                    <w14:srgbClr w14:val="000000">
                      <w14:alpha w14:val="100000"/>
                    </w14:srgbClr>
                  </w14:solidFill>
                </w14:textFill>
              </w:rPr>
              <w:t>|||||</w:t>
            </w:r>
            <w:r w:rsidRPr="00466B8C">
              <w:rPr>
                <w:color w:val="000000"/>
                <w:spacing w:val="5"/>
                <w:shd w:val="solid" w:color="000000" w:fill="000000"/>
                <w:fitText w:val="490" w:id="-1236544509"/>
                <w14:textFill>
                  <w14:solidFill>
                    <w14:srgbClr w14:val="000000">
                      <w14:alpha w14:val="100000"/>
                    </w14:srgbClr>
                  </w14:solidFill>
                </w14:textFill>
              </w:rPr>
              <w:t>|</w:t>
            </w:r>
            <w:r w:rsidR="005F6174">
              <w:rPr>
                <w:vertAlign w:val="superscript"/>
              </w:rPr>
              <w:t>6</w:t>
            </w:r>
          </w:p>
        </w:tc>
        <w:tc>
          <w:tcPr>
            <w:tcW w:w="508" w:type="pct"/>
            <w:hideMark/>
          </w:tcPr>
          <w:p w14:paraId="47E8A6B9" w14:textId="0FAD4767"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8"/>
                <w14:textFill>
                  <w14:solidFill>
                    <w14:srgbClr w14:val="000000">
                      <w14:alpha w14:val="100000"/>
                    </w14:srgbClr>
                  </w14:solidFill>
                </w14:textFill>
              </w:rPr>
              <w:t>|||||</w:t>
            </w:r>
            <w:r w:rsidRPr="00466B8C">
              <w:rPr>
                <w:color w:val="000000"/>
                <w:spacing w:val="5"/>
                <w:shd w:val="solid" w:color="000000" w:fill="000000"/>
                <w:fitText w:val="490" w:id="-1236544508"/>
                <w14:textFill>
                  <w14:solidFill>
                    <w14:srgbClr w14:val="000000">
                      <w14:alpha w14:val="100000"/>
                    </w14:srgbClr>
                  </w14:solidFill>
                </w14:textFill>
              </w:rPr>
              <w:t>|</w:t>
            </w:r>
            <w:r w:rsidR="005F6174">
              <w:rPr>
                <w:vertAlign w:val="superscript"/>
              </w:rPr>
              <w:t>6</w:t>
            </w:r>
          </w:p>
        </w:tc>
        <w:tc>
          <w:tcPr>
            <w:tcW w:w="505" w:type="pct"/>
            <w:hideMark/>
          </w:tcPr>
          <w:p w14:paraId="4350CF83" w14:textId="5D966336"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7"/>
                <w14:textFill>
                  <w14:solidFill>
                    <w14:srgbClr w14:val="000000">
                      <w14:alpha w14:val="100000"/>
                    </w14:srgbClr>
                  </w14:solidFill>
                </w14:textFill>
              </w:rPr>
              <w:t>|||||</w:t>
            </w:r>
            <w:r w:rsidRPr="00466B8C">
              <w:rPr>
                <w:color w:val="000000"/>
                <w:spacing w:val="5"/>
                <w:shd w:val="solid" w:color="000000" w:fill="000000"/>
                <w:fitText w:val="490" w:id="-1236544507"/>
                <w14:textFill>
                  <w14:solidFill>
                    <w14:srgbClr w14:val="000000">
                      <w14:alpha w14:val="100000"/>
                    </w14:srgbClr>
                  </w14:solidFill>
                </w14:textFill>
              </w:rPr>
              <w:t>|</w:t>
            </w:r>
            <w:r w:rsidR="005F6174">
              <w:rPr>
                <w:vertAlign w:val="superscript"/>
              </w:rPr>
              <w:t>6</w:t>
            </w:r>
          </w:p>
        </w:tc>
        <w:tc>
          <w:tcPr>
            <w:tcW w:w="578" w:type="pct"/>
            <w:hideMark/>
          </w:tcPr>
          <w:p w14:paraId="0E35B94C" w14:textId="02EED191"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6"/>
                <w14:textFill>
                  <w14:solidFill>
                    <w14:srgbClr w14:val="000000">
                      <w14:alpha w14:val="100000"/>
                    </w14:srgbClr>
                  </w14:solidFill>
                </w14:textFill>
              </w:rPr>
              <w:t>|||||</w:t>
            </w:r>
            <w:r w:rsidRPr="00466B8C">
              <w:rPr>
                <w:color w:val="000000"/>
                <w:spacing w:val="5"/>
                <w:shd w:val="solid" w:color="000000" w:fill="000000"/>
                <w:fitText w:val="440" w:id="-1236544506"/>
                <w14:textFill>
                  <w14:solidFill>
                    <w14:srgbClr w14:val="000000">
                      <w14:alpha w14:val="100000"/>
                    </w14:srgbClr>
                  </w14:solidFill>
                </w14:textFill>
              </w:rPr>
              <w:t>|</w:t>
            </w:r>
            <w:r w:rsidR="005F6174">
              <w:rPr>
                <w:vertAlign w:val="superscript"/>
              </w:rPr>
              <w:t>6</w:t>
            </w:r>
          </w:p>
        </w:tc>
        <w:tc>
          <w:tcPr>
            <w:tcW w:w="539" w:type="pct"/>
            <w:hideMark/>
          </w:tcPr>
          <w:p w14:paraId="3E1250E2" w14:textId="16DA95D8"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5"/>
                <w14:textFill>
                  <w14:solidFill>
                    <w14:srgbClr w14:val="000000">
                      <w14:alpha w14:val="100000"/>
                    </w14:srgbClr>
                  </w14:solidFill>
                </w14:textFill>
              </w:rPr>
              <w:t>|||||</w:t>
            </w:r>
            <w:r w:rsidRPr="00466B8C">
              <w:rPr>
                <w:color w:val="000000"/>
                <w:spacing w:val="5"/>
                <w:shd w:val="solid" w:color="000000" w:fill="000000"/>
                <w:fitText w:val="490" w:id="-1236544505"/>
                <w14:textFill>
                  <w14:solidFill>
                    <w14:srgbClr w14:val="000000">
                      <w14:alpha w14:val="100000"/>
                    </w14:srgbClr>
                  </w14:solidFill>
                </w14:textFill>
              </w:rPr>
              <w:t>|</w:t>
            </w:r>
            <w:r w:rsidR="005F6174">
              <w:rPr>
                <w:vertAlign w:val="superscript"/>
              </w:rPr>
              <w:t>6</w:t>
            </w:r>
          </w:p>
        </w:tc>
      </w:tr>
      <w:tr w:rsidR="00DD002E" w:rsidRPr="00FC51BD" w14:paraId="133E0A12" w14:textId="77777777" w:rsidTr="00632A30">
        <w:trPr>
          <w:trHeight w:val="255"/>
        </w:trPr>
        <w:tc>
          <w:tcPr>
            <w:tcW w:w="1855" w:type="pct"/>
            <w:hideMark/>
          </w:tcPr>
          <w:p w14:paraId="58630126" w14:textId="77777777" w:rsidR="00DD002E" w:rsidRPr="00FC51BD" w:rsidRDefault="00DD002E" w:rsidP="00632A30">
            <w:pPr>
              <w:pStyle w:val="PBACTableText"/>
              <w:keepNext/>
            </w:pPr>
            <w:r w:rsidRPr="00FC51BD">
              <w:t xml:space="preserve">% uptake </w:t>
            </w:r>
            <w:r>
              <w:t>15vPCV</w:t>
            </w:r>
            <w:r w:rsidRPr="00FC51BD">
              <w:t xml:space="preserve"> - 94.18% June 2022</w:t>
            </w:r>
          </w:p>
        </w:tc>
        <w:tc>
          <w:tcPr>
            <w:tcW w:w="507" w:type="pct"/>
            <w:hideMark/>
          </w:tcPr>
          <w:p w14:paraId="692FF501" w14:textId="77777777" w:rsidR="00DD002E" w:rsidRPr="00ED3F67" w:rsidRDefault="00DD002E" w:rsidP="00632A30">
            <w:pPr>
              <w:pStyle w:val="PBACTableText"/>
              <w:keepNext/>
              <w:jc w:val="right"/>
            </w:pPr>
            <w:r w:rsidRPr="00ED3F67">
              <w:t>94.18%</w:t>
            </w:r>
          </w:p>
        </w:tc>
        <w:tc>
          <w:tcPr>
            <w:tcW w:w="507" w:type="pct"/>
            <w:hideMark/>
          </w:tcPr>
          <w:p w14:paraId="6FD71E46" w14:textId="77777777" w:rsidR="00DD002E" w:rsidRPr="00ED3F67" w:rsidRDefault="00DD002E" w:rsidP="00632A30">
            <w:pPr>
              <w:pStyle w:val="PBACTableText"/>
              <w:keepNext/>
              <w:jc w:val="right"/>
            </w:pPr>
            <w:r w:rsidRPr="00ED3F67">
              <w:t>94.18%</w:t>
            </w:r>
          </w:p>
        </w:tc>
        <w:tc>
          <w:tcPr>
            <w:tcW w:w="508" w:type="pct"/>
            <w:hideMark/>
          </w:tcPr>
          <w:p w14:paraId="2AB14763" w14:textId="77777777" w:rsidR="00DD002E" w:rsidRPr="00ED3F67" w:rsidRDefault="00DD002E" w:rsidP="00632A30">
            <w:pPr>
              <w:pStyle w:val="PBACTableText"/>
              <w:keepNext/>
              <w:jc w:val="right"/>
            </w:pPr>
            <w:r w:rsidRPr="00ED3F67">
              <w:t>94.18%</w:t>
            </w:r>
          </w:p>
        </w:tc>
        <w:tc>
          <w:tcPr>
            <w:tcW w:w="505" w:type="pct"/>
            <w:hideMark/>
          </w:tcPr>
          <w:p w14:paraId="6E0C606D" w14:textId="77777777" w:rsidR="00DD002E" w:rsidRPr="00ED3F67" w:rsidRDefault="00DD002E" w:rsidP="00632A30">
            <w:pPr>
              <w:pStyle w:val="PBACTableText"/>
              <w:keepNext/>
              <w:jc w:val="right"/>
            </w:pPr>
            <w:r w:rsidRPr="00ED3F67">
              <w:t>94.18%</w:t>
            </w:r>
          </w:p>
        </w:tc>
        <w:tc>
          <w:tcPr>
            <w:tcW w:w="578" w:type="pct"/>
            <w:hideMark/>
          </w:tcPr>
          <w:p w14:paraId="6BDC3007" w14:textId="77777777" w:rsidR="00DD002E" w:rsidRPr="00ED3F67" w:rsidRDefault="00DD002E" w:rsidP="00632A30">
            <w:pPr>
              <w:pStyle w:val="PBACTableText"/>
              <w:keepNext/>
              <w:jc w:val="right"/>
            </w:pPr>
            <w:r w:rsidRPr="00ED3F67">
              <w:t>94.18%</w:t>
            </w:r>
          </w:p>
        </w:tc>
        <w:tc>
          <w:tcPr>
            <w:tcW w:w="539" w:type="pct"/>
            <w:hideMark/>
          </w:tcPr>
          <w:p w14:paraId="792B7540" w14:textId="77777777" w:rsidR="00DD002E" w:rsidRPr="00ED3F67" w:rsidRDefault="00DD002E" w:rsidP="00632A30">
            <w:pPr>
              <w:pStyle w:val="PBACTableText"/>
              <w:keepNext/>
              <w:jc w:val="right"/>
            </w:pPr>
            <w:r w:rsidRPr="00ED3F67">
              <w:t>94.18%</w:t>
            </w:r>
          </w:p>
        </w:tc>
      </w:tr>
      <w:tr w:rsidR="00DD002E" w:rsidRPr="00FC51BD" w14:paraId="7E71591D" w14:textId="77777777" w:rsidTr="00632A30">
        <w:trPr>
          <w:trHeight w:val="255"/>
        </w:trPr>
        <w:tc>
          <w:tcPr>
            <w:tcW w:w="1855" w:type="pct"/>
            <w:hideMark/>
          </w:tcPr>
          <w:p w14:paraId="4E1504B8" w14:textId="77777777" w:rsidR="00DD002E" w:rsidRPr="00FC51BD" w:rsidRDefault="00DD002E" w:rsidP="00632A30">
            <w:pPr>
              <w:pStyle w:val="PBACTableText"/>
              <w:keepNext/>
            </w:pPr>
            <w:r w:rsidRPr="00FC51BD">
              <w:t xml:space="preserve">Population vaccinated with </w:t>
            </w:r>
            <w:r>
              <w:t>15vPCV</w:t>
            </w:r>
          </w:p>
        </w:tc>
        <w:tc>
          <w:tcPr>
            <w:tcW w:w="507" w:type="pct"/>
            <w:noWrap/>
            <w:hideMark/>
          </w:tcPr>
          <w:p w14:paraId="1762D8D1" w14:textId="093028A9"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4"/>
                <w14:textFill>
                  <w14:solidFill>
                    <w14:srgbClr w14:val="000000">
                      <w14:alpha w14:val="100000"/>
                    </w14:srgbClr>
                  </w14:solidFill>
                </w14:textFill>
              </w:rPr>
              <w:t>|||||</w:t>
            </w:r>
            <w:r w:rsidRPr="00466B8C">
              <w:rPr>
                <w:color w:val="000000"/>
                <w:spacing w:val="5"/>
                <w:shd w:val="solid" w:color="000000" w:fill="000000"/>
                <w:fitText w:val="490" w:id="-1236544504"/>
                <w14:textFill>
                  <w14:solidFill>
                    <w14:srgbClr w14:val="000000">
                      <w14:alpha w14:val="100000"/>
                    </w14:srgbClr>
                  </w14:solidFill>
                </w14:textFill>
              </w:rPr>
              <w:t>|</w:t>
            </w:r>
            <w:r w:rsidR="005F6174">
              <w:rPr>
                <w:vertAlign w:val="superscript"/>
              </w:rPr>
              <w:t>6</w:t>
            </w:r>
          </w:p>
        </w:tc>
        <w:tc>
          <w:tcPr>
            <w:tcW w:w="507" w:type="pct"/>
            <w:noWrap/>
            <w:hideMark/>
          </w:tcPr>
          <w:p w14:paraId="462498D3" w14:textId="4955B708"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3"/>
                <w14:textFill>
                  <w14:solidFill>
                    <w14:srgbClr w14:val="000000">
                      <w14:alpha w14:val="100000"/>
                    </w14:srgbClr>
                  </w14:solidFill>
                </w14:textFill>
              </w:rPr>
              <w:t>|||||</w:t>
            </w:r>
            <w:r w:rsidRPr="00466B8C">
              <w:rPr>
                <w:color w:val="000000"/>
                <w:spacing w:val="5"/>
                <w:shd w:val="solid" w:color="000000" w:fill="000000"/>
                <w:fitText w:val="490" w:id="-1236544503"/>
                <w14:textFill>
                  <w14:solidFill>
                    <w14:srgbClr w14:val="000000">
                      <w14:alpha w14:val="100000"/>
                    </w14:srgbClr>
                  </w14:solidFill>
                </w14:textFill>
              </w:rPr>
              <w:t>|</w:t>
            </w:r>
            <w:r w:rsidR="005F6174">
              <w:rPr>
                <w:vertAlign w:val="superscript"/>
              </w:rPr>
              <w:t>6</w:t>
            </w:r>
          </w:p>
        </w:tc>
        <w:tc>
          <w:tcPr>
            <w:tcW w:w="508" w:type="pct"/>
            <w:noWrap/>
            <w:hideMark/>
          </w:tcPr>
          <w:p w14:paraId="0507BAC3" w14:textId="0397A591"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2"/>
                <w14:textFill>
                  <w14:solidFill>
                    <w14:srgbClr w14:val="000000">
                      <w14:alpha w14:val="100000"/>
                    </w14:srgbClr>
                  </w14:solidFill>
                </w14:textFill>
              </w:rPr>
              <w:t>|||||</w:t>
            </w:r>
            <w:r w:rsidRPr="00466B8C">
              <w:rPr>
                <w:color w:val="000000"/>
                <w:spacing w:val="5"/>
                <w:shd w:val="solid" w:color="000000" w:fill="000000"/>
                <w:fitText w:val="490" w:id="-1236544502"/>
                <w14:textFill>
                  <w14:solidFill>
                    <w14:srgbClr w14:val="000000">
                      <w14:alpha w14:val="100000"/>
                    </w14:srgbClr>
                  </w14:solidFill>
                </w14:textFill>
              </w:rPr>
              <w:t>|</w:t>
            </w:r>
            <w:r w:rsidR="005F6174">
              <w:rPr>
                <w:vertAlign w:val="superscript"/>
              </w:rPr>
              <w:t>6</w:t>
            </w:r>
          </w:p>
        </w:tc>
        <w:tc>
          <w:tcPr>
            <w:tcW w:w="505" w:type="pct"/>
            <w:noWrap/>
            <w:hideMark/>
          </w:tcPr>
          <w:p w14:paraId="149471BB" w14:textId="4240443F"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1"/>
                <w14:textFill>
                  <w14:solidFill>
                    <w14:srgbClr w14:val="000000">
                      <w14:alpha w14:val="100000"/>
                    </w14:srgbClr>
                  </w14:solidFill>
                </w14:textFill>
              </w:rPr>
              <w:t>|||||</w:t>
            </w:r>
            <w:r w:rsidRPr="00466B8C">
              <w:rPr>
                <w:color w:val="000000"/>
                <w:spacing w:val="5"/>
                <w:shd w:val="solid" w:color="000000" w:fill="000000"/>
                <w:fitText w:val="490" w:id="-1236544501"/>
                <w14:textFill>
                  <w14:solidFill>
                    <w14:srgbClr w14:val="000000">
                      <w14:alpha w14:val="100000"/>
                    </w14:srgbClr>
                  </w14:solidFill>
                </w14:textFill>
              </w:rPr>
              <w:t>|</w:t>
            </w:r>
            <w:r w:rsidR="005F6174">
              <w:rPr>
                <w:vertAlign w:val="superscript"/>
              </w:rPr>
              <w:t>6</w:t>
            </w:r>
          </w:p>
        </w:tc>
        <w:tc>
          <w:tcPr>
            <w:tcW w:w="578" w:type="pct"/>
            <w:noWrap/>
            <w:hideMark/>
          </w:tcPr>
          <w:p w14:paraId="1DDBD0D4" w14:textId="3CDBB066"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0"/>
                <w14:textFill>
                  <w14:solidFill>
                    <w14:srgbClr w14:val="000000">
                      <w14:alpha w14:val="100000"/>
                    </w14:srgbClr>
                  </w14:solidFill>
                </w14:textFill>
              </w:rPr>
              <w:t>|||||</w:t>
            </w:r>
            <w:r w:rsidRPr="00466B8C">
              <w:rPr>
                <w:color w:val="000000"/>
                <w:spacing w:val="5"/>
                <w:shd w:val="solid" w:color="000000" w:fill="000000"/>
                <w:fitText w:val="440" w:id="-1236544500"/>
                <w14:textFill>
                  <w14:solidFill>
                    <w14:srgbClr w14:val="000000">
                      <w14:alpha w14:val="100000"/>
                    </w14:srgbClr>
                  </w14:solidFill>
                </w14:textFill>
              </w:rPr>
              <w:t>|</w:t>
            </w:r>
            <w:r w:rsidR="005F6174">
              <w:rPr>
                <w:vertAlign w:val="superscript"/>
              </w:rPr>
              <w:t>6</w:t>
            </w:r>
          </w:p>
        </w:tc>
        <w:tc>
          <w:tcPr>
            <w:tcW w:w="539" w:type="pct"/>
            <w:noWrap/>
            <w:hideMark/>
          </w:tcPr>
          <w:p w14:paraId="14E709D8" w14:textId="054C3715"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499"/>
                <w14:textFill>
                  <w14:solidFill>
                    <w14:srgbClr w14:val="000000">
                      <w14:alpha w14:val="100000"/>
                    </w14:srgbClr>
                  </w14:solidFill>
                </w14:textFill>
              </w:rPr>
              <w:t>|||||</w:t>
            </w:r>
            <w:r w:rsidRPr="00466B8C">
              <w:rPr>
                <w:color w:val="000000"/>
                <w:spacing w:val="5"/>
                <w:shd w:val="solid" w:color="000000" w:fill="000000"/>
                <w:fitText w:val="490" w:id="-1236544499"/>
                <w14:textFill>
                  <w14:solidFill>
                    <w14:srgbClr w14:val="000000">
                      <w14:alpha w14:val="100000"/>
                    </w14:srgbClr>
                  </w14:solidFill>
                </w14:textFill>
              </w:rPr>
              <w:t>|</w:t>
            </w:r>
            <w:r w:rsidR="005F6174">
              <w:rPr>
                <w:vertAlign w:val="superscript"/>
              </w:rPr>
              <w:t>6</w:t>
            </w:r>
          </w:p>
        </w:tc>
      </w:tr>
      <w:tr w:rsidR="00DD002E" w:rsidRPr="00FC51BD" w14:paraId="5A6B6AE9" w14:textId="77777777" w:rsidTr="00632A30">
        <w:trPr>
          <w:trHeight w:val="270"/>
        </w:trPr>
        <w:tc>
          <w:tcPr>
            <w:tcW w:w="1855" w:type="pct"/>
            <w:hideMark/>
          </w:tcPr>
          <w:p w14:paraId="5D74AFD6" w14:textId="77777777" w:rsidR="00DD002E" w:rsidRPr="00A57A80" w:rsidRDefault="00DD002E" w:rsidP="00632A30">
            <w:pPr>
              <w:pStyle w:val="PBACTableText"/>
              <w:keepNext/>
              <w:rPr>
                <w:b/>
                <w:bCs/>
              </w:rPr>
            </w:pPr>
            <w:r w:rsidRPr="00A57A80">
              <w:rPr>
                <w:b/>
                <w:bCs/>
              </w:rPr>
              <w:t>No. of doses of 15vPCV - 1 dose</w:t>
            </w:r>
          </w:p>
        </w:tc>
        <w:tc>
          <w:tcPr>
            <w:tcW w:w="507" w:type="pct"/>
            <w:hideMark/>
          </w:tcPr>
          <w:p w14:paraId="608A79C9" w14:textId="2EE0F245"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8"/>
                <w14:textFill>
                  <w14:solidFill>
                    <w14:srgbClr w14:val="000000">
                      <w14:alpha w14:val="100000"/>
                    </w14:srgbClr>
                  </w14:solidFill>
                </w14:textFill>
              </w:rPr>
              <w:t>|||||</w:t>
            </w:r>
            <w:r w:rsidRPr="00466B8C">
              <w:rPr>
                <w:b/>
                <w:bCs/>
                <w:color w:val="000000"/>
                <w:spacing w:val="5"/>
                <w:shd w:val="solid" w:color="000000" w:fill="000000"/>
                <w:fitText w:val="450" w:id="-1236544498"/>
                <w14:textFill>
                  <w14:solidFill>
                    <w14:srgbClr w14:val="000000">
                      <w14:alpha w14:val="100000"/>
                    </w14:srgbClr>
                  </w14:solidFill>
                </w14:textFill>
              </w:rPr>
              <w:t>|</w:t>
            </w:r>
            <w:r w:rsidR="005F6174">
              <w:rPr>
                <w:vertAlign w:val="superscript"/>
              </w:rPr>
              <w:t>6</w:t>
            </w:r>
          </w:p>
        </w:tc>
        <w:tc>
          <w:tcPr>
            <w:tcW w:w="507" w:type="pct"/>
            <w:hideMark/>
          </w:tcPr>
          <w:p w14:paraId="3B6EF414" w14:textId="588BB2BE"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7"/>
                <w14:textFill>
                  <w14:solidFill>
                    <w14:srgbClr w14:val="000000">
                      <w14:alpha w14:val="100000"/>
                    </w14:srgbClr>
                  </w14:solidFill>
                </w14:textFill>
              </w:rPr>
              <w:t>|||||</w:t>
            </w:r>
            <w:r w:rsidRPr="00466B8C">
              <w:rPr>
                <w:b/>
                <w:bCs/>
                <w:color w:val="000000"/>
                <w:spacing w:val="5"/>
                <w:shd w:val="solid" w:color="000000" w:fill="000000"/>
                <w:fitText w:val="450" w:id="-1236544497"/>
                <w14:textFill>
                  <w14:solidFill>
                    <w14:srgbClr w14:val="000000">
                      <w14:alpha w14:val="100000"/>
                    </w14:srgbClr>
                  </w14:solidFill>
                </w14:textFill>
              </w:rPr>
              <w:t>|</w:t>
            </w:r>
            <w:r w:rsidR="005F6174">
              <w:rPr>
                <w:vertAlign w:val="superscript"/>
              </w:rPr>
              <w:t>6</w:t>
            </w:r>
          </w:p>
        </w:tc>
        <w:tc>
          <w:tcPr>
            <w:tcW w:w="508" w:type="pct"/>
            <w:hideMark/>
          </w:tcPr>
          <w:p w14:paraId="2A9677DC" w14:textId="4BB8443F"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496"/>
                <w14:textFill>
                  <w14:solidFill>
                    <w14:srgbClr w14:val="000000">
                      <w14:alpha w14:val="100000"/>
                    </w14:srgbClr>
                  </w14:solidFill>
                </w14:textFill>
              </w:rPr>
              <w:t>|||||</w:t>
            </w:r>
            <w:r w:rsidRPr="00466B8C">
              <w:rPr>
                <w:b/>
                <w:bCs/>
                <w:color w:val="000000"/>
                <w:spacing w:val="5"/>
                <w:shd w:val="solid" w:color="000000" w:fill="000000"/>
                <w:fitText w:val="450" w:id="-1236544496"/>
                <w14:textFill>
                  <w14:solidFill>
                    <w14:srgbClr w14:val="000000">
                      <w14:alpha w14:val="100000"/>
                    </w14:srgbClr>
                  </w14:solidFill>
                </w14:textFill>
              </w:rPr>
              <w:t>|</w:t>
            </w:r>
            <w:r w:rsidR="005F6174">
              <w:rPr>
                <w:vertAlign w:val="superscript"/>
              </w:rPr>
              <w:t>6</w:t>
            </w:r>
          </w:p>
        </w:tc>
        <w:tc>
          <w:tcPr>
            <w:tcW w:w="505" w:type="pct"/>
            <w:hideMark/>
          </w:tcPr>
          <w:p w14:paraId="69810F88" w14:textId="126BCA4C"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512"/>
                <w14:textFill>
                  <w14:solidFill>
                    <w14:srgbClr w14:val="000000">
                      <w14:alpha w14:val="100000"/>
                    </w14:srgbClr>
                  </w14:solidFill>
                </w14:textFill>
              </w:rPr>
              <w:t>|||||</w:t>
            </w:r>
            <w:r w:rsidRPr="00466B8C">
              <w:rPr>
                <w:b/>
                <w:bCs/>
                <w:color w:val="000000"/>
                <w:spacing w:val="5"/>
                <w:shd w:val="solid" w:color="000000" w:fill="000000"/>
                <w:fitText w:val="450" w:id="-1236544512"/>
                <w14:textFill>
                  <w14:solidFill>
                    <w14:srgbClr w14:val="000000">
                      <w14:alpha w14:val="100000"/>
                    </w14:srgbClr>
                  </w14:solidFill>
                </w14:textFill>
              </w:rPr>
              <w:t>|</w:t>
            </w:r>
            <w:r w:rsidR="005F6174">
              <w:rPr>
                <w:vertAlign w:val="superscript"/>
              </w:rPr>
              <w:t>6</w:t>
            </w:r>
          </w:p>
        </w:tc>
        <w:tc>
          <w:tcPr>
            <w:tcW w:w="578" w:type="pct"/>
            <w:hideMark/>
          </w:tcPr>
          <w:p w14:paraId="173DC1BB" w14:textId="117E95C3" w:rsidR="00DD002E" w:rsidRPr="00ED3F67" w:rsidRDefault="00466B8C" w:rsidP="00632A30">
            <w:pPr>
              <w:pStyle w:val="PBACTableText"/>
              <w:keepNext/>
              <w:jc w:val="right"/>
              <w:rPr>
                <w:b/>
                <w:bCs/>
                <w:highlight w:val="darkGray"/>
              </w:rPr>
            </w:pPr>
            <w:r w:rsidRPr="00466B8C">
              <w:rPr>
                <w:b/>
                <w:bCs/>
                <w:color w:val="000000"/>
                <w:spacing w:val="68"/>
                <w:shd w:val="solid" w:color="000000" w:fill="000000"/>
                <w:fitText w:val="390" w:id="-1236544511"/>
                <w14:textFill>
                  <w14:solidFill>
                    <w14:srgbClr w14:val="000000">
                      <w14:alpha w14:val="100000"/>
                    </w14:srgbClr>
                  </w14:solidFill>
                </w14:textFill>
              </w:rPr>
              <w:t>|||</w:t>
            </w:r>
            <w:r w:rsidRPr="00466B8C">
              <w:rPr>
                <w:b/>
                <w:bCs/>
                <w:color w:val="000000"/>
                <w:spacing w:val="2"/>
                <w:shd w:val="solid" w:color="000000" w:fill="000000"/>
                <w:fitText w:val="390" w:id="-1236544511"/>
                <w14:textFill>
                  <w14:solidFill>
                    <w14:srgbClr w14:val="000000">
                      <w14:alpha w14:val="100000"/>
                    </w14:srgbClr>
                  </w14:solidFill>
                </w14:textFill>
              </w:rPr>
              <w:t>|</w:t>
            </w:r>
            <w:r w:rsidR="005F6174">
              <w:rPr>
                <w:vertAlign w:val="superscript"/>
              </w:rPr>
              <w:t>6</w:t>
            </w:r>
          </w:p>
        </w:tc>
        <w:tc>
          <w:tcPr>
            <w:tcW w:w="539" w:type="pct"/>
            <w:hideMark/>
          </w:tcPr>
          <w:p w14:paraId="373DD6EF" w14:textId="4343F8BA" w:rsidR="00DD002E" w:rsidRPr="00ED3F67" w:rsidRDefault="00466B8C" w:rsidP="00632A30">
            <w:pPr>
              <w:pStyle w:val="PBACTableText"/>
              <w:keepNext/>
              <w:jc w:val="right"/>
              <w:rPr>
                <w:b/>
                <w:bCs/>
                <w:highlight w:val="darkGray"/>
              </w:rPr>
            </w:pPr>
            <w:r w:rsidRPr="00466B8C">
              <w:rPr>
                <w:b/>
                <w:bCs/>
                <w:color w:val="000000"/>
                <w:spacing w:val="34"/>
                <w:shd w:val="solid" w:color="000000" w:fill="000000"/>
                <w:fitText w:val="450" w:id="-1236544510"/>
                <w14:textFill>
                  <w14:solidFill>
                    <w14:srgbClr w14:val="000000">
                      <w14:alpha w14:val="100000"/>
                    </w14:srgbClr>
                  </w14:solidFill>
                </w14:textFill>
              </w:rPr>
              <w:t>|||||</w:t>
            </w:r>
            <w:r w:rsidRPr="00466B8C">
              <w:rPr>
                <w:b/>
                <w:bCs/>
                <w:color w:val="000000"/>
                <w:spacing w:val="5"/>
                <w:shd w:val="solid" w:color="000000" w:fill="000000"/>
                <w:fitText w:val="450" w:id="-1236544510"/>
                <w14:textFill>
                  <w14:solidFill>
                    <w14:srgbClr w14:val="000000">
                      <w14:alpha w14:val="100000"/>
                    </w14:srgbClr>
                  </w14:solidFill>
                </w14:textFill>
              </w:rPr>
              <w:t>|</w:t>
            </w:r>
            <w:r w:rsidR="005F6174">
              <w:rPr>
                <w:vertAlign w:val="superscript"/>
              </w:rPr>
              <w:t>6</w:t>
            </w:r>
          </w:p>
        </w:tc>
      </w:tr>
      <w:tr w:rsidR="00DD002E" w:rsidRPr="00FC51BD" w14:paraId="4D25A403" w14:textId="77777777" w:rsidTr="00632A30">
        <w:trPr>
          <w:trHeight w:val="510"/>
        </w:trPr>
        <w:tc>
          <w:tcPr>
            <w:tcW w:w="1855" w:type="pct"/>
            <w:hideMark/>
          </w:tcPr>
          <w:p w14:paraId="65F14F8C" w14:textId="77777777" w:rsidR="00DD002E" w:rsidRPr="00FC51BD" w:rsidRDefault="00DD002E" w:rsidP="00632A30">
            <w:pPr>
              <w:pStyle w:val="PBACTableText"/>
              <w:keepNext/>
            </w:pPr>
            <w:r w:rsidRPr="00FC51BD">
              <w:t>Haematopoietic stem cell transplant patients</w:t>
            </w:r>
          </w:p>
        </w:tc>
        <w:tc>
          <w:tcPr>
            <w:tcW w:w="507" w:type="pct"/>
            <w:hideMark/>
          </w:tcPr>
          <w:p w14:paraId="7585A511" w14:textId="73C7CC91"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9"/>
                <w14:textFill>
                  <w14:solidFill>
                    <w14:srgbClr w14:val="000000">
                      <w14:alpha w14:val="100000"/>
                    </w14:srgbClr>
                  </w14:solidFill>
                </w14:textFill>
              </w:rPr>
              <w:t>|||||</w:t>
            </w:r>
            <w:r w:rsidRPr="00466B8C">
              <w:rPr>
                <w:color w:val="000000"/>
                <w:spacing w:val="5"/>
                <w:shd w:val="solid" w:color="000000" w:fill="000000"/>
                <w:fitText w:val="490" w:id="-1236544509"/>
                <w14:textFill>
                  <w14:solidFill>
                    <w14:srgbClr w14:val="000000">
                      <w14:alpha w14:val="100000"/>
                    </w14:srgbClr>
                  </w14:solidFill>
                </w14:textFill>
              </w:rPr>
              <w:t>|</w:t>
            </w:r>
            <w:r w:rsidR="005F6174">
              <w:rPr>
                <w:vertAlign w:val="superscript"/>
              </w:rPr>
              <w:t>6</w:t>
            </w:r>
          </w:p>
        </w:tc>
        <w:tc>
          <w:tcPr>
            <w:tcW w:w="507" w:type="pct"/>
            <w:hideMark/>
          </w:tcPr>
          <w:p w14:paraId="231A7D01" w14:textId="0B90662C"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8"/>
                <w14:textFill>
                  <w14:solidFill>
                    <w14:srgbClr w14:val="000000">
                      <w14:alpha w14:val="100000"/>
                    </w14:srgbClr>
                  </w14:solidFill>
                </w14:textFill>
              </w:rPr>
              <w:t>|||||</w:t>
            </w:r>
            <w:r w:rsidRPr="00466B8C">
              <w:rPr>
                <w:color w:val="000000"/>
                <w:spacing w:val="5"/>
                <w:shd w:val="solid" w:color="000000" w:fill="000000"/>
                <w:fitText w:val="490" w:id="-1236544508"/>
                <w14:textFill>
                  <w14:solidFill>
                    <w14:srgbClr w14:val="000000">
                      <w14:alpha w14:val="100000"/>
                    </w14:srgbClr>
                  </w14:solidFill>
                </w14:textFill>
              </w:rPr>
              <w:t>|</w:t>
            </w:r>
            <w:r w:rsidR="005F6174">
              <w:rPr>
                <w:vertAlign w:val="superscript"/>
              </w:rPr>
              <w:t>6</w:t>
            </w:r>
          </w:p>
        </w:tc>
        <w:tc>
          <w:tcPr>
            <w:tcW w:w="508" w:type="pct"/>
            <w:hideMark/>
          </w:tcPr>
          <w:p w14:paraId="4A3A64B5" w14:textId="1E2BE934"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7"/>
                <w14:textFill>
                  <w14:solidFill>
                    <w14:srgbClr w14:val="000000">
                      <w14:alpha w14:val="100000"/>
                    </w14:srgbClr>
                  </w14:solidFill>
                </w14:textFill>
              </w:rPr>
              <w:t>|||||</w:t>
            </w:r>
            <w:r w:rsidRPr="00466B8C">
              <w:rPr>
                <w:color w:val="000000"/>
                <w:spacing w:val="5"/>
                <w:shd w:val="solid" w:color="000000" w:fill="000000"/>
                <w:fitText w:val="490" w:id="-1236544507"/>
                <w14:textFill>
                  <w14:solidFill>
                    <w14:srgbClr w14:val="000000">
                      <w14:alpha w14:val="100000"/>
                    </w14:srgbClr>
                  </w14:solidFill>
                </w14:textFill>
              </w:rPr>
              <w:t>|</w:t>
            </w:r>
            <w:r w:rsidR="005F6174">
              <w:rPr>
                <w:vertAlign w:val="superscript"/>
              </w:rPr>
              <w:t>6</w:t>
            </w:r>
          </w:p>
        </w:tc>
        <w:tc>
          <w:tcPr>
            <w:tcW w:w="505" w:type="pct"/>
            <w:hideMark/>
          </w:tcPr>
          <w:p w14:paraId="3D364953" w14:textId="47315E95"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6"/>
                <w14:textFill>
                  <w14:solidFill>
                    <w14:srgbClr w14:val="000000">
                      <w14:alpha w14:val="100000"/>
                    </w14:srgbClr>
                  </w14:solidFill>
                </w14:textFill>
              </w:rPr>
              <w:t>|||||</w:t>
            </w:r>
            <w:r w:rsidRPr="00466B8C">
              <w:rPr>
                <w:color w:val="000000"/>
                <w:spacing w:val="5"/>
                <w:shd w:val="solid" w:color="000000" w:fill="000000"/>
                <w:fitText w:val="490" w:id="-1236544506"/>
                <w14:textFill>
                  <w14:solidFill>
                    <w14:srgbClr w14:val="000000">
                      <w14:alpha w14:val="100000"/>
                    </w14:srgbClr>
                  </w14:solidFill>
                </w14:textFill>
              </w:rPr>
              <w:t>|</w:t>
            </w:r>
            <w:r w:rsidR="005F6174">
              <w:rPr>
                <w:vertAlign w:val="superscript"/>
              </w:rPr>
              <w:t>6</w:t>
            </w:r>
          </w:p>
        </w:tc>
        <w:tc>
          <w:tcPr>
            <w:tcW w:w="578" w:type="pct"/>
            <w:hideMark/>
          </w:tcPr>
          <w:p w14:paraId="66A7B943" w14:textId="371C31EC" w:rsidR="00DD002E" w:rsidRPr="00ED3F67" w:rsidRDefault="00466B8C" w:rsidP="00632A30">
            <w:pPr>
              <w:pStyle w:val="PBACTableText"/>
              <w:keepNext/>
              <w:jc w:val="right"/>
              <w:rPr>
                <w:highlight w:val="darkGray"/>
              </w:rPr>
            </w:pPr>
            <w:r w:rsidRPr="00466B8C">
              <w:rPr>
                <w:color w:val="000000"/>
                <w:spacing w:val="36"/>
                <w:shd w:val="solid" w:color="000000" w:fill="000000"/>
                <w:fitText w:val="440" w:id="-1236544505"/>
                <w14:textFill>
                  <w14:solidFill>
                    <w14:srgbClr w14:val="000000">
                      <w14:alpha w14:val="100000"/>
                    </w14:srgbClr>
                  </w14:solidFill>
                </w14:textFill>
              </w:rPr>
              <w:t>|||||</w:t>
            </w:r>
            <w:r w:rsidRPr="00466B8C">
              <w:rPr>
                <w:color w:val="000000"/>
                <w:spacing w:val="5"/>
                <w:shd w:val="solid" w:color="000000" w:fill="000000"/>
                <w:fitText w:val="440" w:id="-1236544505"/>
                <w14:textFill>
                  <w14:solidFill>
                    <w14:srgbClr w14:val="000000">
                      <w14:alpha w14:val="100000"/>
                    </w14:srgbClr>
                  </w14:solidFill>
                </w14:textFill>
              </w:rPr>
              <w:t>|</w:t>
            </w:r>
            <w:r w:rsidR="005F6174">
              <w:rPr>
                <w:vertAlign w:val="superscript"/>
              </w:rPr>
              <w:t>6</w:t>
            </w:r>
          </w:p>
        </w:tc>
        <w:tc>
          <w:tcPr>
            <w:tcW w:w="539" w:type="pct"/>
            <w:hideMark/>
          </w:tcPr>
          <w:p w14:paraId="4B7B1D73" w14:textId="5D172ECE"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4"/>
                <w14:textFill>
                  <w14:solidFill>
                    <w14:srgbClr w14:val="000000">
                      <w14:alpha w14:val="100000"/>
                    </w14:srgbClr>
                  </w14:solidFill>
                </w14:textFill>
              </w:rPr>
              <w:t>|||||</w:t>
            </w:r>
            <w:r w:rsidRPr="00466B8C">
              <w:rPr>
                <w:color w:val="000000"/>
                <w:spacing w:val="5"/>
                <w:shd w:val="solid" w:color="000000" w:fill="000000"/>
                <w:fitText w:val="490" w:id="-1236544504"/>
                <w14:textFill>
                  <w14:solidFill>
                    <w14:srgbClr w14:val="000000">
                      <w14:alpha w14:val="100000"/>
                    </w14:srgbClr>
                  </w14:solidFill>
                </w14:textFill>
              </w:rPr>
              <w:t>|</w:t>
            </w:r>
            <w:r w:rsidR="005F6174">
              <w:rPr>
                <w:vertAlign w:val="superscript"/>
              </w:rPr>
              <w:t>6</w:t>
            </w:r>
          </w:p>
        </w:tc>
      </w:tr>
      <w:tr w:rsidR="00DD002E" w:rsidRPr="00FC51BD" w14:paraId="5197773C" w14:textId="77777777" w:rsidTr="00632A30">
        <w:trPr>
          <w:trHeight w:val="337"/>
        </w:trPr>
        <w:tc>
          <w:tcPr>
            <w:tcW w:w="1855" w:type="pct"/>
          </w:tcPr>
          <w:p w14:paraId="3811DBC2" w14:textId="77777777" w:rsidR="00DD002E" w:rsidRPr="00FC51BD" w:rsidRDefault="00DD002E" w:rsidP="00632A30">
            <w:pPr>
              <w:pStyle w:val="PBACTableText"/>
              <w:keepNext/>
            </w:pPr>
            <w:r>
              <w:t>% uptake</w:t>
            </w:r>
          </w:p>
        </w:tc>
        <w:tc>
          <w:tcPr>
            <w:tcW w:w="507" w:type="pct"/>
          </w:tcPr>
          <w:p w14:paraId="2028850F" w14:textId="77777777" w:rsidR="00DD002E" w:rsidRPr="00ED3F67" w:rsidRDefault="00DD002E" w:rsidP="00632A30">
            <w:pPr>
              <w:pStyle w:val="PBACTableText"/>
              <w:keepNext/>
              <w:jc w:val="right"/>
            </w:pPr>
            <w:r w:rsidRPr="00ED3F67">
              <w:t>100%</w:t>
            </w:r>
          </w:p>
        </w:tc>
        <w:tc>
          <w:tcPr>
            <w:tcW w:w="507" w:type="pct"/>
          </w:tcPr>
          <w:p w14:paraId="4D855349" w14:textId="77777777" w:rsidR="00DD002E" w:rsidRPr="00ED3F67" w:rsidRDefault="00DD002E" w:rsidP="00632A30">
            <w:pPr>
              <w:pStyle w:val="PBACTableText"/>
              <w:keepNext/>
              <w:jc w:val="right"/>
            </w:pPr>
            <w:r w:rsidRPr="00ED3F67">
              <w:t>100%</w:t>
            </w:r>
          </w:p>
        </w:tc>
        <w:tc>
          <w:tcPr>
            <w:tcW w:w="508" w:type="pct"/>
          </w:tcPr>
          <w:p w14:paraId="0ED8F243" w14:textId="77777777" w:rsidR="00DD002E" w:rsidRPr="00ED3F67" w:rsidRDefault="00DD002E" w:rsidP="00632A30">
            <w:pPr>
              <w:pStyle w:val="PBACTableText"/>
              <w:keepNext/>
              <w:jc w:val="right"/>
            </w:pPr>
            <w:r w:rsidRPr="00ED3F67">
              <w:t>100%</w:t>
            </w:r>
          </w:p>
        </w:tc>
        <w:tc>
          <w:tcPr>
            <w:tcW w:w="505" w:type="pct"/>
          </w:tcPr>
          <w:p w14:paraId="33D2A68B" w14:textId="77777777" w:rsidR="00DD002E" w:rsidRPr="00ED3F67" w:rsidRDefault="00DD002E" w:rsidP="00632A30">
            <w:pPr>
              <w:pStyle w:val="PBACTableText"/>
              <w:keepNext/>
              <w:jc w:val="right"/>
            </w:pPr>
            <w:r w:rsidRPr="00ED3F67">
              <w:t>100%</w:t>
            </w:r>
          </w:p>
        </w:tc>
        <w:tc>
          <w:tcPr>
            <w:tcW w:w="578" w:type="pct"/>
          </w:tcPr>
          <w:p w14:paraId="334BF0CC" w14:textId="77777777" w:rsidR="00DD002E" w:rsidRPr="00ED3F67" w:rsidRDefault="00DD002E" w:rsidP="00632A30">
            <w:pPr>
              <w:pStyle w:val="PBACTableText"/>
              <w:keepNext/>
              <w:jc w:val="right"/>
            </w:pPr>
            <w:r w:rsidRPr="00ED3F67">
              <w:t>100%</w:t>
            </w:r>
          </w:p>
        </w:tc>
        <w:tc>
          <w:tcPr>
            <w:tcW w:w="539" w:type="pct"/>
          </w:tcPr>
          <w:p w14:paraId="036194D6" w14:textId="77777777" w:rsidR="00DD002E" w:rsidRPr="00ED3F67" w:rsidRDefault="00DD002E" w:rsidP="00632A30">
            <w:pPr>
              <w:pStyle w:val="PBACTableText"/>
              <w:keepNext/>
              <w:jc w:val="right"/>
            </w:pPr>
            <w:r w:rsidRPr="00ED3F67">
              <w:t>100%</w:t>
            </w:r>
          </w:p>
        </w:tc>
      </w:tr>
      <w:tr w:rsidR="00DD002E" w:rsidRPr="00FC51BD" w14:paraId="4483FD95" w14:textId="77777777" w:rsidTr="00632A30">
        <w:trPr>
          <w:trHeight w:val="271"/>
        </w:trPr>
        <w:tc>
          <w:tcPr>
            <w:tcW w:w="1855" w:type="pct"/>
          </w:tcPr>
          <w:p w14:paraId="3AC61A0E" w14:textId="77777777" w:rsidR="00DD002E" w:rsidRPr="00FC51BD" w:rsidRDefault="00DD002E" w:rsidP="00632A30">
            <w:pPr>
              <w:pStyle w:val="PBACTableText"/>
              <w:keepNext/>
            </w:pPr>
            <w:r w:rsidRPr="00FC51BD">
              <w:t xml:space="preserve">Population vaccinated with </w:t>
            </w:r>
            <w:r>
              <w:t>15vPCV</w:t>
            </w:r>
          </w:p>
        </w:tc>
        <w:tc>
          <w:tcPr>
            <w:tcW w:w="507" w:type="pct"/>
          </w:tcPr>
          <w:p w14:paraId="5CE25C15" w14:textId="4BA99CE4"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3"/>
                <w14:textFill>
                  <w14:solidFill>
                    <w14:srgbClr w14:val="000000">
                      <w14:alpha w14:val="100000"/>
                    </w14:srgbClr>
                  </w14:solidFill>
                </w14:textFill>
              </w:rPr>
              <w:t>|||||</w:t>
            </w:r>
            <w:r w:rsidRPr="00466B8C">
              <w:rPr>
                <w:color w:val="000000"/>
                <w:spacing w:val="5"/>
                <w:shd w:val="solid" w:color="000000" w:fill="000000"/>
                <w:fitText w:val="490" w:id="-1236544503"/>
                <w14:textFill>
                  <w14:solidFill>
                    <w14:srgbClr w14:val="000000">
                      <w14:alpha w14:val="100000"/>
                    </w14:srgbClr>
                  </w14:solidFill>
                </w14:textFill>
              </w:rPr>
              <w:t>|</w:t>
            </w:r>
            <w:r w:rsidR="005F6174">
              <w:rPr>
                <w:vertAlign w:val="superscript"/>
              </w:rPr>
              <w:t>6</w:t>
            </w:r>
          </w:p>
        </w:tc>
        <w:tc>
          <w:tcPr>
            <w:tcW w:w="507" w:type="pct"/>
          </w:tcPr>
          <w:p w14:paraId="72F37907" w14:textId="336F8B3E"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2"/>
                <w14:textFill>
                  <w14:solidFill>
                    <w14:srgbClr w14:val="000000">
                      <w14:alpha w14:val="100000"/>
                    </w14:srgbClr>
                  </w14:solidFill>
                </w14:textFill>
              </w:rPr>
              <w:t>|||||</w:t>
            </w:r>
            <w:r w:rsidRPr="00466B8C">
              <w:rPr>
                <w:color w:val="000000"/>
                <w:spacing w:val="5"/>
                <w:shd w:val="solid" w:color="000000" w:fill="000000"/>
                <w:fitText w:val="490" w:id="-1236544502"/>
                <w14:textFill>
                  <w14:solidFill>
                    <w14:srgbClr w14:val="000000">
                      <w14:alpha w14:val="100000"/>
                    </w14:srgbClr>
                  </w14:solidFill>
                </w14:textFill>
              </w:rPr>
              <w:t>|</w:t>
            </w:r>
            <w:r w:rsidR="005F6174">
              <w:rPr>
                <w:vertAlign w:val="superscript"/>
              </w:rPr>
              <w:t>6</w:t>
            </w:r>
          </w:p>
        </w:tc>
        <w:tc>
          <w:tcPr>
            <w:tcW w:w="508" w:type="pct"/>
          </w:tcPr>
          <w:p w14:paraId="0176F4DD" w14:textId="0AEFF037"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1"/>
                <w14:textFill>
                  <w14:solidFill>
                    <w14:srgbClr w14:val="000000">
                      <w14:alpha w14:val="100000"/>
                    </w14:srgbClr>
                  </w14:solidFill>
                </w14:textFill>
              </w:rPr>
              <w:t>|||||</w:t>
            </w:r>
            <w:r w:rsidRPr="00466B8C">
              <w:rPr>
                <w:color w:val="000000"/>
                <w:spacing w:val="5"/>
                <w:shd w:val="solid" w:color="000000" w:fill="000000"/>
                <w:fitText w:val="490" w:id="-1236544501"/>
                <w14:textFill>
                  <w14:solidFill>
                    <w14:srgbClr w14:val="000000">
                      <w14:alpha w14:val="100000"/>
                    </w14:srgbClr>
                  </w14:solidFill>
                </w14:textFill>
              </w:rPr>
              <w:t>|</w:t>
            </w:r>
            <w:r w:rsidR="005F6174">
              <w:rPr>
                <w:vertAlign w:val="superscript"/>
              </w:rPr>
              <w:t>6</w:t>
            </w:r>
          </w:p>
        </w:tc>
        <w:tc>
          <w:tcPr>
            <w:tcW w:w="505" w:type="pct"/>
          </w:tcPr>
          <w:p w14:paraId="4B9C6461" w14:textId="2930516E" w:rsidR="00DD002E" w:rsidRPr="00ED3F67" w:rsidRDefault="00466B8C" w:rsidP="00632A30">
            <w:pPr>
              <w:pStyle w:val="PBACTableText"/>
              <w:keepNext/>
              <w:jc w:val="right"/>
              <w:rPr>
                <w:highlight w:val="darkGray"/>
              </w:rPr>
            </w:pPr>
            <w:r w:rsidRPr="00466B8C">
              <w:rPr>
                <w:color w:val="000000"/>
                <w:spacing w:val="46"/>
                <w:shd w:val="solid" w:color="000000" w:fill="000000"/>
                <w:fitText w:val="490" w:id="-1236544500"/>
                <w14:textFill>
                  <w14:solidFill>
                    <w14:srgbClr w14:val="000000">
                      <w14:alpha w14:val="100000"/>
                    </w14:srgbClr>
                  </w14:solidFill>
                </w14:textFill>
              </w:rPr>
              <w:t>|||||</w:t>
            </w:r>
            <w:r w:rsidRPr="00466B8C">
              <w:rPr>
                <w:color w:val="000000"/>
                <w:spacing w:val="5"/>
                <w:shd w:val="solid" w:color="000000" w:fill="000000"/>
                <w:fitText w:val="490" w:id="-1236544500"/>
                <w14:textFill>
                  <w14:solidFill>
                    <w14:srgbClr w14:val="000000">
                      <w14:alpha w14:val="100000"/>
                    </w14:srgbClr>
                  </w14:solidFill>
                </w14:textFill>
              </w:rPr>
              <w:t>|</w:t>
            </w:r>
            <w:r w:rsidR="005F6174">
              <w:rPr>
                <w:vertAlign w:val="superscript"/>
              </w:rPr>
              <w:t>6</w:t>
            </w:r>
          </w:p>
        </w:tc>
        <w:tc>
          <w:tcPr>
            <w:tcW w:w="578" w:type="pct"/>
          </w:tcPr>
          <w:p w14:paraId="49C3A984" w14:textId="38F9F15C" w:rsidR="00DD002E" w:rsidRPr="00ED3F67" w:rsidRDefault="00466B8C" w:rsidP="00632A30">
            <w:pPr>
              <w:pStyle w:val="PBACTableText"/>
              <w:keepNext/>
              <w:jc w:val="right"/>
              <w:rPr>
                <w:highlight w:val="darkGray"/>
              </w:rPr>
            </w:pPr>
            <w:r w:rsidRPr="00466B8C">
              <w:rPr>
                <w:color w:val="000000"/>
                <w:spacing w:val="72"/>
                <w:shd w:val="solid" w:color="000000" w:fill="000000"/>
                <w:fitText w:val="390" w:id="-1236544499"/>
                <w14:textFill>
                  <w14:solidFill>
                    <w14:srgbClr w14:val="000000">
                      <w14:alpha w14:val="100000"/>
                    </w14:srgbClr>
                  </w14:solidFill>
                </w14:textFill>
              </w:rPr>
              <w:t>|||</w:t>
            </w:r>
            <w:r w:rsidRPr="00466B8C">
              <w:rPr>
                <w:color w:val="000000"/>
                <w:spacing w:val="2"/>
                <w:shd w:val="solid" w:color="000000" w:fill="000000"/>
                <w:fitText w:val="390" w:id="-1236544499"/>
                <w14:textFill>
                  <w14:solidFill>
                    <w14:srgbClr w14:val="000000">
                      <w14:alpha w14:val="100000"/>
                    </w14:srgbClr>
                  </w14:solidFill>
                </w14:textFill>
              </w:rPr>
              <w:t>|</w:t>
            </w:r>
            <w:r w:rsidR="005F6174">
              <w:rPr>
                <w:vertAlign w:val="superscript"/>
              </w:rPr>
              <w:t>6</w:t>
            </w:r>
          </w:p>
        </w:tc>
        <w:tc>
          <w:tcPr>
            <w:tcW w:w="539" w:type="pct"/>
          </w:tcPr>
          <w:p w14:paraId="724B0ECF" w14:textId="2BBE63CD" w:rsidR="00DD002E" w:rsidRPr="00ED3F67" w:rsidRDefault="00466B8C" w:rsidP="00632A30">
            <w:pPr>
              <w:pStyle w:val="PBACTableText"/>
              <w:keepNext/>
              <w:jc w:val="right"/>
              <w:rPr>
                <w:highlight w:val="darkGray"/>
              </w:rPr>
            </w:pPr>
            <w:r w:rsidRPr="00466B8C">
              <w:rPr>
                <w:color w:val="000000"/>
                <w:spacing w:val="40"/>
                <w:shd w:val="solid" w:color="000000" w:fill="000000"/>
                <w:fitText w:val="460" w:id="-1236544498"/>
                <w14:textFill>
                  <w14:solidFill>
                    <w14:srgbClr w14:val="000000">
                      <w14:alpha w14:val="100000"/>
                    </w14:srgbClr>
                  </w14:solidFill>
                </w14:textFill>
              </w:rPr>
              <w:t>|||||</w:t>
            </w:r>
            <w:r w:rsidRPr="00466B8C">
              <w:rPr>
                <w:color w:val="000000"/>
                <w:spacing w:val="5"/>
                <w:shd w:val="solid" w:color="000000" w:fill="000000"/>
                <w:fitText w:val="460" w:id="-1236544498"/>
                <w14:textFill>
                  <w14:solidFill>
                    <w14:srgbClr w14:val="000000">
                      <w14:alpha w14:val="100000"/>
                    </w14:srgbClr>
                  </w14:solidFill>
                </w14:textFill>
              </w:rPr>
              <w:t>|</w:t>
            </w:r>
            <w:r w:rsidR="005F6174">
              <w:rPr>
                <w:vertAlign w:val="superscript"/>
              </w:rPr>
              <w:t>6</w:t>
            </w:r>
          </w:p>
        </w:tc>
      </w:tr>
      <w:tr w:rsidR="00DD002E" w:rsidRPr="00FC51BD" w14:paraId="66B051A9" w14:textId="77777777" w:rsidTr="00632A30">
        <w:trPr>
          <w:trHeight w:val="270"/>
        </w:trPr>
        <w:tc>
          <w:tcPr>
            <w:tcW w:w="1855" w:type="pct"/>
            <w:hideMark/>
          </w:tcPr>
          <w:p w14:paraId="16A403A4" w14:textId="77777777" w:rsidR="00DD002E" w:rsidRPr="00A57A80" w:rsidRDefault="00DD002E" w:rsidP="00632A30">
            <w:pPr>
              <w:pStyle w:val="PBACTableText"/>
              <w:keepNext/>
              <w:rPr>
                <w:b/>
                <w:bCs/>
              </w:rPr>
            </w:pPr>
            <w:r w:rsidRPr="00A57A80">
              <w:rPr>
                <w:b/>
                <w:bCs/>
              </w:rPr>
              <w:t>No. of doses of 15vPCV - 3 doses</w:t>
            </w:r>
          </w:p>
        </w:tc>
        <w:tc>
          <w:tcPr>
            <w:tcW w:w="507" w:type="pct"/>
            <w:hideMark/>
          </w:tcPr>
          <w:p w14:paraId="2D2C5B22" w14:textId="36694BCA"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497"/>
                <w14:textFill>
                  <w14:solidFill>
                    <w14:srgbClr w14:val="000000">
                      <w14:alpha w14:val="100000"/>
                    </w14:srgbClr>
                  </w14:solidFill>
                </w14:textFill>
              </w:rPr>
              <w:t>|||||</w:t>
            </w:r>
            <w:r w:rsidRPr="00466B8C">
              <w:rPr>
                <w:b/>
                <w:bCs/>
                <w:color w:val="000000"/>
                <w:spacing w:val="4"/>
                <w:shd w:val="solid" w:color="000000" w:fill="000000"/>
                <w:fitText w:val="470" w:id="-1236544497"/>
                <w14:textFill>
                  <w14:solidFill>
                    <w14:srgbClr w14:val="000000">
                      <w14:alpha w14:val="100000"/>
                    </w14:srgbClr>
                  </w14:solidFill>
                </w14:textFill>
              </w:rPr>
              <w:t>|</w:t>
            </w:r>
            <w:r w:rsidR="005F6174">
              <w:rPr>
                <w:vertAlign w:val="superscript"/>
              </w:rPr>
              <w:t>6</w:t>
            </w:r>
          </w:p>
        </w:tc>
        <w:tc>
          <w:tcPr>
            <w:tcW w:w="507" w:type="pct"/>
            <w:hideMark/>
          </w:tcPr>
          <w:p w14:paraId="19B0F5CE" w14:textId="23A8636C"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496"/>
                <w14:textFill>
                  <w14:solidFill>
                    <w14:srgbClr w14:val="000000">
                      <w14:alpha w14:val="100000"/>
                    </w14:srgbClr>
                  </w14:solidFill>
                </w14:textFill>
              </w:rPr>
              <w:t>|||||</w:t>
            </w:r>
            <w:r w:rsidRPr="00466B8C">
              <w:rPr>
                <w:b/>
                <w:bCs/>
                <w:color w:val="000000"/>
                <w:spacing w:val="4"/>
                <w:shd w:val="solid" w:color="000000" w:fill="000000"/>
                <w:fitText w:val="470" w:id="-1236544496"/>
                <w14:textFill>
                  <w14:solidFill>
                    <w14:srgbClr w14:val="000000">
                      <w14:alpha w14:val="100000"/>
                    </w14:srgbClr>
                  </w14:solidFill>
                </w14:textFill>
              </w:rPr>
              <w:t>|</w:t>
            </w:r>
            <w:r w:rsidR="005F6174">
              <w:rPr>
                <w:vertAlign w:val="superscript"/>
              </w:rPr>
              <w:t>6</w:t>
            </w:r>
          </w:p>
        </w:tc>
        <w:tc>
          <w:tcPr>
            <w:tcW w:w="508" w:type="pct"/>
            <w:hideMark/>
          </w:tcPr>
          <w:p w14:paraId="34D29A22" w14:textId="0C5A9F8D"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512"/>
                <w14:textFill>
                  <w14:solidFill>
                    <w14:srgbClr w14:val="000000">
                      <w14:alpha w14:val="100000"/>
                    </w14:srgbClr>
                  </w14:solidFill>
                </w14:textFill>
              </w:rPr>
              <w:t>|||||</w:t>
            </w:r>
            <w:r w:rsidRPr="00466B8C">
              <w:rPr>
                <w:b/>
                <w:bCs/>
                <w:color w:val="000000"/>
                <w:spacing w:val="4"/>
                <w:shd w:val="solid" w:color="000000" w:fill="000000"/>
                <w:fitText w:val="470" w:id="-1236544512"/>
                <w14:textFill>
                  <w14:solidFill>
                    <w14:srgbClr w14:val="000000">
                      <w14:alpha w14:val="100000"/>
                    </w14:srgbClr>
                  </w14:solidFill>
                </w14:textFill>
              </w:rPr>
              <w:t>|</w:t>
            </w:r>
            <w:r w:rsidR="005F6174">
              <w:rPr>
                <w:vertAlign w:val="superscript"/>
              </w:rPr>
              <w:t>6</w:t>
            </w:r>
          </w:p>
        </w:tc>
        <w:tc>
          <w:tcPr>
            <w:tcW w:w="505" w:type="pct"/>
            <w:hideMark/>
          </w:tcPr>
          <w:p w14:paraId="0E6FC9F8" w14:textId="3DFC7F90"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511"/>
                <w14:textFill>
                  <w14:solidFill>
                    <w14:srgbClr w14:val="000000">
                      <w14:alpha w14:val="100000"/>
                    </w14:srgbClr>
                  </w14:solidFill>
                </w14:textFill>
              </w:rPr>
              <w:t>|||||</w:t>
            </w:r>
            <w:r w:rsidRPr="00466B8C">
              <w:rPr>
                <w:b/>
                <w:bCs/>
                <w:color w:val="000000"/>
                <w:spacing w:val="4"/>
                <w:shd w:val="solid" w:color="000000" w:fill="000000"/>
                <w:fitText w:val="470" w:id="-1236544511"/>
                <w14:textFill>
                  <w14:solidFill>
                    <w14:srgbClr w14:val="000000">
                      <w14:alpha w14:val="100000"/>
                    </w14:srgbClr>
                  </w14:solidFill>
                </w14:textFill>
              </w:rPr>
              <w:t>|</w:t>
            </w:r>
            <w:r w:rsidR="005F6174">
              <w:rPr>
                <w:vertAlign w:val="superscript"/>
              </w:rPr>
              <w:t>6</w:t>
            </w:r>
          </w:p>
        </w:tc>
        <w:tc>
          <w:tcPr>
            <w:tcW w:w="578" w:type="pct"/>
            <w:hideMark/>
          </w:tcPr>
          <w:p w14:paraId="71A3EABC" w14:textId="768D0045" w:rsidR="00DD002E" w:rsidRPr="00ED3F67" w:rsidRDefault="00466B8C" w:rsidP="00632A30">
            <w:pPr>
              <w:pStyle w:val="PBACTableText"/>
              <w:keepNext/>
              <w:jc w:val="right"/>
              <w:rPr>
                <w:b/>
                <w:bCs/>
                <w:highlight w:val="darkGray"/>
              </w:rPr>
            </w:pPr>
            <w:r w:rsidRPr="00466B8C">
              <w:rPr>
                <w:b/>
                <w:bCs/>
                <w:color w:val="000000"/>
                <w:spacing w:val="58"/>
                <w:shd w:val="solid" w:color="000000" w:fill="000000"/>
                <w:fitText w:val="360" w:id="-1236544510"/>
                <w14:textFill>
                  <w14:solidFill>
                    <w14:srgbClr w14:val="000000">
                      <w14:alpha w14:val="100000"/>
                    </w14:srgbClr>
                  </w14:solidFill>
                </w14:textFill>
              </w:rPr>
              <w:t>|||</w:t>
            </w:r>
            <w:r w:rsidRPr="00466B8C">
              <w:rPr>
                <w:b/>
                <w:bCs/>
                <w:color w:val="000000"/>
                <w:spacing w:val="2"/>
                <w:shd w:val="solid" w:color="000000" w:fill="000000"/>
                <w:fitText w:val="360" w:id="-1236544510"/>
                <w14:textFill>
                  <w14:solidFill>
                    <w14:srgbClr w14:val="000000">
                      <w14:alpha w14:val="100000"/>
                    </w14:srgbClr>
                  </w14:solidFill>
                </w14:textFill>
              </w:rPr>
              <w:t>|</w:t>
            </w:r>
            <w:r w:rsidR="005F6174">
              <w:rPr>
                <w:vertAlign w:val="superscript"/>
              </w:rPr>
              <w:t>6</w:t>
            </w:r>
          </w:p>
        </w:tc>
        <w:tc>
          <w:tcPr>
            <w:tcW w:w="539" w:type="pct"/>
            <w:hideMark/>
          </w:tcPr>
          <w:p w14:paraId="38711E9D" w14:textId="54CC4F1C" w:rsidR="00DD002E" w:rsidRPr="00ED3F67" w:rsidRDefault="00466B8C" w:rsidP="00632A30">
            <w:pPr>
              <w:pStyle w:val="PBACTableText"/>
              <w:keepNext/>
              <w:jc w:val="right"/>
              <w:rPr>
                <w:b/>
                <w:bCs/>
                <w:highlight w:val="darkGray"/>
              </w:rPr>
            </w:pPr>
            <w:r w:rsidRPr="00466B8C">
              <w:rPr>
                <w:b/>
                <w:bCs/>
                <w:color w:val="000000"/>
                <w:spacing w:val="30"/>
                <w:shd w:val="solid" w:color="000000" w:fill="000000"/>
                <w:fitText w:val="430" w:id="-1236544509"/>
                <w14:textFill>
                  <w14:solidFill>
                    <w14:srgbClr w14:val="000000">
                      <w14:alpha w14:val="100000"/>
                    </w14:srgbClr>
                  </w14:solidFill>
                </w14:textFill>
              </w:rPr>
              <w:t>|||||</w:t>
            </w:r>
            <w:r w:rsidRPr="00466B8C">
              <w:rPr>
                <w:b/>
                <w:bCs/>
                <w:color w:val="000000"/>
                <w:spacing w:val="4"/>
                <w:shd w:val="solid" w:color="000000" w:fill="000000"/>
                <w:fitText w:val="430" w:id="-1236544509"/>
                <w14:textFill>
                  <w14:solidFill>
                    <w14:srgbClr w14:val="000000">
                      <w14:alpha w14:val="100000"/>
                    </w14:srgbClr>
                  </w14:solidFill>
                </w14:textFill>
              </w:rPr>
              <w:t>|</w:t>
            </w:r>
            <w:r w:rsidR="005F6174">
              <w:rPr>
                <w:vertAlign w:val="superscript"/>
              </w:rPr>
              <w:t>6</w:t>
            </w:r>
          </w:p>
        </w:tc>
      </w:tr>
      <w:tr w:rsidR="00DD002E" w:rsidRPr="00FC51BD" w14:paraId="36D59A30" w14:textId="77777777" w:rsidTr="00632A30">
        <w:trPr>
          <w:trHeight w:val="270"/>
        </w:trPr>
        <w:tc>
          <w:tcPr>
            <w:tcW w:w="1855" w:type="pct"/>
          </w:tcPr>
          <w:p w14:paraId="1539BE6D" w14:textId="77777777" w:rsidR="00DD002E" w:rsidRPr="00A57A80" w:rsidRDefault="00DD002E" w:rsidP="00632A30">
            <w:pPr>
              <w:pStyle w:val="PBACTableText"/>
              <w:keepNext/>
              <w:rPr>
                <w:b/>
                <w:bCs/>
              </w:rPr>
            </w:pPr>
            <w:r w:rsidRPr="00A57A80">
              <w:rPr>
                <w:b/>
                <w:bCs/>
              </w:rPr>
              <w:t>Total 15vPCV doses</w:t>
            </w:r>
          </w:p>
        </w:tc>
        <w:tc>
          <w:tcPr>
            <w:tcW w:w="507" w:type="pct"/>
          </w:tcPr>
          <w:p w14:paraId="634B2301" w14:textId="1896E9AF"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508"/>
                <w14:textFill>
                  <w14:solidFill>
                    <w14:srgbClr w14:val="000000">
                      <w14:alpha w14:val="100000"/>
                    </w14:srgbClr>
                  </w14:solidFill>
                </w14:textFill>
              </w:rPr>
              <w:t>|||||</w:t>
            </w:r>
            <w:r w:rsidRPr="00466B8C">
              <w:rPr>
                <w:b/>
                <w:bCs/>
                <w:color w:val="000000"/>
                <w:spacing w:val="4"/>
                <w:shd w:val="solid" w:color="000000" w:fill="000000"/>
                <w:fitText w:val="470" w:id="-1236544508"/>
                <w14:textFill>
                  <w14:solidFill>
                    <w14:srgbClr w14:val="000000">
                      <w14:alpha w14:val="100000"/>
                    </w14:srgbClr>
                  </w14:solidFill>
                </w14:textFill>
              </w:rPr>
              <w:t>|</w:t>
            </w:r>
            <w:r w:rsidR="005F6174">
              <w:rPr>
                <w:vertAlign w:val="superscript"/>
              </w:rPr>
              <w:t>7</w:t>
            </w:r>
          </w:p>
        </w:tc>
        <w:tc>
          <w:tcPr>
            <w:tcW w:w="507" w:type="pct"/>
          </w:tcPr>
          <w:p w14:paraId="548ABB2C" w14:textId="171E2782"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507"/>
                <w14:textFill>
                  <w14:solidFill>
                    <w14:srgbClr w14:val="000000">
                      <w14:alpha w14:val="100000"/>
                    </w14:srgbClr>
                  </w14:solidFill>
                </w14:textFill>
              </w:rPr>
              <w:t>|||||</w:t>
            </w:r>
            <w:r w:rsidRPr="00466B8C">
              <w:rPr>
                <w:b/>
                <w:bCs/>
                <w:color w:val="000000"/>
                <w:spacing w:val="4"/>
                <w:shd w:val="solid" w:color="000000" w:fill="000000"/>
                <w:fitText w:val="470" w:id="-1236544507"/>
                <w14:textFill>
                  <w14:solidFill>
                    <w14:srgbClr w14:val="000000">
                      <w14:alpha w14:val="100000"/>
                    </w14:srgbClr>
                  </w14:solidFill>
                </w14:textFill>
              </w:rPr>
              <w:t>|</w:t>
            </w:r>
            <w:r w:rsidR="005F6174">
              <w:rPr>
                <w:vertAlign w:val="superscript"/>
              </w:rPr>
              <w:t>7</w:t>
            </w:r>
          </w:p>
        </w:tc>
        <w:tc>
          <w:tcPr>
            <w:tcW w:w="508" w:type="pct"/>
          </w:tcPr>
          <w:p w14:paraId="693B70B5" w14:textId="6EC050B3"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506"/>
                <w14:textFill>
                  <w14:solidFill>
                    <w14:srgbClr w14:val="000000">
                      <w14:alpha w14:val="100000"/>
                    </w14:srgbClr>
                  </w14:solidFill>
                </w14:textFill>
              </w:rPr>
              <w:t>|||||</w:t>
            </w:r>
            <w:r w:rsidRPr="00466B8C">
              <w:rPr>
                <w:b/>
                <w:bCs/>
                <w:color w:val="000000"/>
                <w:spacing w:val="4"/>
                <w:shd w:val="solid" w:color="000000" w:fill="000000"/>
                <w:fitText w:val="470" w:id="-1236544506"/>
                <w14:textFill>
                  <w14:solidFill>
                    <w14:srgbClr w14:val="000000">
                      <w14:alpha w14:val="100000"/>
                    </w14:srgbClr>
                  </w14:solidFill>
                </w14:textFill>
              </w:rPr>
              <w:t>|</w:t>
            </w:r>
            <w:r w:rsidR="005F6174">
              <w:rPr>
                <w:vertAlign w:val="superscript"/>
              </w:rPr>
              <w:t>7</w:t>
            </w:r>
          </w:p>
        </w:tc>
        <w:tc>
          <w:tcPr>
            <w:tcW w:w="505" w:type="pct"/>
          </w:tcPr>
          <w:p w14:paraId="285FB4E9" w14:textId="00F7185A" w:rsidR="00DD002E" w:rsidRPr="00ED3F67" w:rsidRDefault="00466B8C" w:rsidP="00632A30">
            <w:pPr>
              <w:pStyle w:val="PBACTableText"/>
              <w:keepNext/>
              <w:jc w:val="right"/>
              <w:rPr>
                <w:b/>
                <w:bCs/>
                <w:highlight w:val="darkGray"/>
              </w:rPr>
            </w:pPr>
            <w:r w:rsidRPr="00466B8C">
              <w:rPr>
                <w:b/>
                <w:bCs/>
                <w:color w:val="000000"/>
                <w:spacing w:val="38"/>
                <w:shd w:val="solid" w:color="000000" w:fill="000000"/>
                <w:fitText w:val="470" w:id="-1236544505"/>
                <w14:textFill>
                  <w14:solidFill>
                    <w14:srgbClr w14:val="000000">
                      <w14:alpha w14:val="100000"/>
                    </w14:srgbClr>
                  </w14:solidFill>
                </w14:textFill>
              </w:rPr>
              <w:t>|||||</w:t>
            </w:r>
            <w:r w:rsidRPr="00466B8C">
              <w:rPr>
                <w:b/>
                <w:bCs/>
                <w:color w:val="000000"/>
                <w:spacing w:val="4"/>
                <w:shd w:val="solid" w:color="000000" w:fill="000000"/>
                <w:fitText w:val="470" w:id="-1236544505"/>
                <w14:textFill>
                  <w14:solidFill>
                    <w14:srgbClr w14:val="000000">
                      <w14:alpha w14:val="100000"/>
                    </w14:srgbClr>
                  </w14:solidFill>
                </w14:textFill>
              </w:rPr>
              <w:t>|</w:t>
            </w:r>
            <w:r w:rsidR="005F6174">
              <w:rPr>
                <w:vertAlign w:val="superscript"/>
              </w:rPr>
              <w:t>7</w:t>
            </w:r>
          </w:p>
        </w:tc>
        <w:tc>
          <w:tcPr>
            <w:tcW w:w="578" w:type="pct"/>
          </w:tcPr>
          <w:p w14:paraId="7AAC0A5C" w14:textId="3DC49672" w:rsidR="00DD002E" w:rsidRPr="00ED3F67" w:rsidRDefault="00466B8C" w:rsidP="00632A30">
            <w:pPr>
              <w:pStyle w:val="PBACTableText"/>
              <w:keepNext/>
              <w:jc w:val="right"/>
              <w:rPr>
                <w:b/>
                <w:bCs/>
                <w:highlight w:val="darkGray"/>
              </w:rPr>
            </w:pPr>
            <w:r w:rsidRPr="00466B8C">
              <w:rPr>
                <w:b/>
                <w:bCs/>
                <w:color w:val="000000"/>
                <w:spacing w:val="55"/>
                <w:shd w:val="solid" w:color="000000" w:fill="000000"/>
                <w:fitText w:val="350" w:id="-1236544504"/>
                <w14:textFill>
                  <w14:solidFill>
                    <w14:srgbClr w14:val="000000">
                      <w14:alpha w14:val="100000"/>
                    </w14:srgbClr>
                  </w14:solidFill>
                </w14:textFill>
              </w:rPr>
              <w:t>|||</w:t>
            </w:r>
            <w:r w:rsidRPr="00466B8C">
              <w:rPr>
                <w:b/>
                <w:bCs/>
                <w:color w:val="000000"/>
                <w:spacing w:val="1"/>
                <w:shd w:val="solid" w:color="000000" w:fill="000000"/>
                <w:fitText w:val="350" w:id="-1236544504"/>
                <w14:textFill>
                  <w14:solidFill>
                    <w14:srgbClr w14:val="000000">
                      <w14:alpha w14:val="100000"/>
                    </w14:srgbClr>
                  </w14:solidFill>
                </w14:textFill>
              </w:rPr>
              <w:t>|</w:t>
            </w:r>
            <w:r w:rsidR="005F6174">
              <w:rPr>
                <w:vertAlign w:val="superscript"/>
              </w:rPr>
              <w:t>9</w:t>
            </w:r>
          </w:p>
        </w:tc>
        <w:tc>
          <w:tcPr>
            <w:tcW w:w="539" w:type="pct"/>
          </w:tcPr>
          <w:p w14:paraId="351662B5" w14:textId="29020A4B" w:rsidR="00DD002E" w:rsidRPr="00ED3F67" w:rsidRDefault="00466B8C" w:rsidP="00632A30">
            <w:pPr>
              <w:pStyle w:val="PBACTableText"/>
              <w:keepNext/>
              <w:jc w:val="right"/>
              <w:rPr>
                <w:b/>
                <w:bCs/>
                <w:highlight w:val="darkGray"/>
              </w:rPr>
            </w:pPr>
            <w:r w:rsidRPr="00466B8C">
              <w:rPr>
                <w:b/>
                <w:bCs/>
                <w:color w:val="000000"/>
                <w:spacing w:val="28"/>
                <w:shd w:val="solid" w:color="000000" w:fill="000000"/>
                <w:fitText w:val="420" w:id="-1236544503"/>
                <w14:textFill>
                  <w14:solidFill>
                    <w14:srgbClr w14:val="000000">
                      <w14:alpha w14:val="100000"/>
                    </w14:srgbClr>
                  </w14:solidFill>
                </w14:textFill>
              </w:rPr>
              <w:t>|||||</w:t>
            </w:r>
            <w:r w:rsidRPr="00466B8C">
              <w:rPr>
                <w:b/>
                <w:bCs/>
                <w:color w:val="000000"/>
                <w:spacing w:val="4"/>
                <w:shd w:val="solid" w:color="000000" w:fill="000000"/>
                <w:fitText w:val="420" w:id="-1236544503"/>
                <w14:textFill>
                  <w14:solidFill>
                    <w14:srgbClr w14:val="000000">
                      <w14:alpha w14:val="100000"/>
                    </w14:srgbClr>
                  </w14:solidFill>
                </w14:textFill>
              </w:rPr>
              <w:t>|</w:t>
            </w:r>
            <w:r w:rsidR="005F6174">
              <w:rPr>
                <w:vertAlign w:val="superscript"/>
              </w:rPr>
              <w:t>9</w:t>
            </w:r>
          </w:p>
        </w:tc>
      </w:tr>
    </w:tbl>
    <w:p w14:paraId="3B88F483" w14:textId="77777777" w:rsidR="00DD002E" w:rsidRDefault="00DD002E" w:rsidP="00DD002E">
      <w:pPr>
        <w:pStyle w:val="TableFooter"/>
        <w:keepNext/>
      </w:pPr>
      <w:r w:rsidRPr="0055099C">
        <w:t>Source: Table 4.2.1, p208-9 of the submissio</w:t>
      </w:r>
      <w:r>
        <w:t>n.</w:t>
      </w:r>
      <w:bookmarkStart w:id="56" w:name="_Ref104805295"/>
    </w:p>
    <w:p w14:paraId="10190D99" w14:textId="77777777" w:rsidR="00DD002E" w:rsidRDefault="00DD002E" w:rsidP="00DD002E">
      <w:pPr>
        <w:pStyle w:val="TableFooter"/>
        <w:keepNext/>
      </w:pPr>
      <w:r>
        <w:t xml:space="preserve">15vPCV = </w:t>
      </w:r>
      <w:r w:rsidRPr="00EE67CF">
        <w:t>15-valent</w:t>
      </w:r>
      <w:r>
        <w:t xml:space="preserve"> </w:t>
      </w:r>
      <w:r w:rsidRPr="00EE67CF">
        <w:t>pneumococcal conjugate vaccine</w:t>
      </w:r>
      <w:r>
        <w:t>.</w:t>
      </w:r>
    </w:p>
    <w:p w14:paraId="11E5AC19" w14:textId="77777777" w:rsidR="005F6174" w:rsidRPr="009A6D58" w:rsidRDefault="005F6174" w:rsidP="005F617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307FD9F" w14:textId="1DEBDF02" w:rsidR="005F6174" w:rsidRPr="009A6D58" w:rsidRDefault="005F6174" w:rsidP="005F617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6174">
        <w:rPr>
          <w:rFonts w:ascii="Arial Narrow" w:hAnsi="Arial Narrow"/>
          <w:i/>
          <w:sz w:val="18"/>
          <w:szCs w:val="18"/>
        </w:rPr>
        <w:t>300,000 to &lt; 400,000</w:t>
      </w:r>
    </w:p>
    <w:p w14:paraId="54997BA0" w14:textId="66F6DE31" w:rsidR="005F6174" w:rsidRPr="009A6D58" w:rsidRDefault="005F6174" w:rsidP="005F617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F6174">
        <w:rPr>
          <w:rFonts w:ascii="Arial Narrow" w:hAnsi="Arial Narrow"/>
          <w:i/>
          <w:sz w:val="18"/>
          <w:szCs w:val="18"/>
        </w:rPr>
        <w:t>200,000 to &lt; 300,000</w:t>
      </w:r>
    </w:p>
    <w:p w14:paraId="1F28922D" w14:textId="75F0D327" w:rsidR="005F6174" w:rsidRDefault="005F6174" w:rsidP="005F617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F6174">
        <w:rPr>
          <w:rFonts w:ascii="Arial Narrow" w:hAnsi="Arial Narrow"/>
          <w:i/>
          <w:sz w:val="18"/>
          <w:szCs w:val="18"/>
        </w:rPr>
        <w:t>800,000 to &lt; 900,000</w:t>
      </w:r>
    </w:p>
    <w:p w14:paraId="727C9525" w14:textId="2ECEA85A" w:rsidR="005F6174" w:rsidRDefault="005F6174" w:rsidP="005F617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F6174">
        <w:rPr>
          <w:rFonts w:ascii="Arial Narrow" w:hAnsi="Arial Narrow"/>
          <w:i/>
          <w:sz w:val="18"/>
          <w:szCs w:val="18"/>
        </w:rPr>
        <w:t>10,000 to &lt; 20,000</w:t>
      </w:r>
    </w:p>
    <w:p w14:paraId="3072B39D" w14:textId="08BEE987" w:rsidR="005F6174" w:rsidRDefault="005F6174" w:rsidP="005F617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5F6174">
        <w:rPr>
          <w:rFonts w:ascii="Arial Narrow" w:hAnsi="Arial Narrow"/>
          <w:i/>
          <w:sz w:val="18"/>
          <w:szCs w:val="18"/>
        </w:rPr>
        <w:t>60,000 to &lt; 70,000</w:t>
      </w:r>
    </w:p>
    <w:p w14:paraId="3B615B96" w14:textId="01E4D601" w:rsidR="005F6174" w:rsidRDefault="005F6174" w:rsidP="005F617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5F6174">
        <w:rPr>
          <w:rFonts w:ascii="Arial Narrow" w:hAnsi="Arial Narrow"/>
          <w:i/>
          <w:sz w:val="18"/>
          <w:szCs w:val="18"/>
        </w:rPr>
        <w:t>500 to &lt; 5,000</w:t>
      </w:r>
    </w:p>
    <w:p w14:paraId="21036342" w14:textId="1EFEC38E" w:rsidR="005F6174" w:rsidRPr="009A6D58" w:rsidRDefault="005F6174" w:rsidP="005F6174">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5F6174">
        <w:rPr>
          <w:rFonts w:ascii="Arial Narrow" w:hAnsi="Arial Narrow"/>
          <w:i/>
          <w:sz w:val="18"/>
          <w:szCs w:val="18"/>
        </w:rPr>
        <w:t>900,000 to &lt; 1,000,000</w:t>
      </w:r>
    </w:p>
    <w:p w14:paraId="1A03A5AF" w14:textId="560E101E" w:rsidR="005F6174" w:rsidRPr="009A6D58" w:rsidRDefault="005F6174" w:rsidP="005F6174">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5F6174">
        <w:rPr>
          <w:rFonts w:ascii="Arial Narrow" w:hAnsi="Arial Narrow"/>
          <w:i/>
          <w:sz w:val="18"/>
          <w:szCs w:val="18"/>
        </w:rPr>
        <w:t>70,000 to &lt; 80,000</w:t>
      </w:r>
    </w:p>
    <w:p w14:paraId="18F7E1B9" w14:textId="3E6B4AAE" w:rsidR="005F6174" w:rsidRDefault="005F6174" w:rsidP="005F6174">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5F6174">
        <w:rPr>
          <w:rFonts w:ascii="Arial Narrow" w:hAnsi="Arial Narrow"/>
          <w:i/>
          <w:sz w:val="18"/>
          <w:szCs w:val="18"/>
        </w:rPr>
        <w:t>1,000,000 to &lt; 2,000,000</w:t>
      </w:r>
    </w:p>
    <w:p w14:paraId="195DFE44" w14:textId="418BECE7" w:rsidR="00DD002E" w:rsidRPr="00DF57E5" w:rsidRDefault="00DD002E" w:rsidP="00DD002E">
      <w:pPr>
        <w:pStyle w:val="Caption"/>
        <w:rPr>
          <w:szCs w:val="24"/>
        </w:rPr>
      </w:pPr>
      <w:bookmarkStart w:id="57" w:name="_Ref124503939"/>
      <w:bookmarkEnd w:id="56"/>
      <w:r>
        <w:lastRenderedPageBreak/>
        <w:t xml:space="preserve">Table </w:t>
      </w:r>
      <w:r w:rsidR="009E7289">
        <w:fldChar w:fldCharType="begin"/>
      </w:r>
      <w:r w:rsidR="009E7289">
        <w:instrText xml:space="preserve"> SEQ Table \* ARABIC </w:instrText>
      </w:r>
      <w:r w:rsidR="009E7289">
        <w:fldChar w:fldCharType="separate"/>
      </w:r>
      <w:r w:rsidR="009E7289">
        <w:rPr>
          <w:noProof/>
        </w:rPr>
        <w:t>11</w:t>
      </w:r>
      <w:r w:rsidR="009E7289">
        <w:rPr>
          <w:noProof/>
        </w:rPr>
        <w:fldChar w:fldCharType="end"/>
      </w:r>
      <w:bookmarkEnd w:id="57"/>
      <w:r>
        <w:t xml:space="preserve">: </w:t>
      </w:r>
      <w:r w:rsidRPr="00606FBA">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Estimated use and financial implications"/>
      </w:tblPr>
      <w:tblGrid>
        <w:gridCol w:w="2123"/>
        <w:gridCol w:w="1149"/>
        <w:gridCol w:w="1149"/>
        <w:gridCol w:w="1149"/>
        <w:gridCol w:w="1149"/>
        <w:gridCol w:w="1149"/>
        <w:gridCol w:w="1149"/>
      </w:tblGrid>
      <w:tr w:rsidR="00DD002E" w:rsidRPr="00D1078F" w14:paraId="295CB95D" w14:textId="77777777" w:rsidTr="00632A30">
        <w:trPr>
          <w:tblHeader/>
        </w:trPr>
        <w:tc>
          <w:tcPr>
            <w:tcW w:w="1178" w:type="pct"/>
            <w:shd w:val="clear" w:color="auto" w:fill="auto"/>
            <w:vAlign w:val="center"/>
          </w:tcPr>
          <w:p w14:paraId="45F0387D" w14:textId="77777777" w:rsidR="00DD002E" w:rsidRPr="003639A6" w:rsidRDefault="00DD002E" w:rsidP="00632A30">
            <w:pPr>
              <w:pStyle w:val="In-tableHeading"/>
              <w:jc w:val="center"/>
            </w:pPr>
          </w:p>
        </w:tc>
        <w:tc>
          <w:tcPr>
            <w:tcW w:w="637" w:type="pct"/>
            <w:shd w:val="clear" w:color="auto" w:fill="auto"/>
            <w:vAlign w:val="center"/>
          </w:tcPr>
          <w:p w14:paraId="2BB3FFAF" w14:textId="77777777" w:rsidR="00DD002E" w:rsidRPr="00D1078F" w:rsidRDefault="00DD002E" w:rsidP="00632A30">
            <w:pPr>
              <w:pStyle w:val="In-tableHeading"/>
              <w:ind w:left="-313" w:firstLine="313"/>
              <w:jc w:val="center"/>
            </w:pPr>
            <w:r w:rsidRPr="00D1078F">
              <w:t>Year 1</w:t>
            </w:r>
          </w:p>
        </w:tc>
        <w:tc>
          <w:tcPr>
            <w:tcW w:w="637" w:type="pct"/>
            <w:shd w:val="clear" w:color="auto" w:fill="auto"/>
            <w:vAlign w:val="center"/>
          </w:tcPr>
          <w:p w14:paraId="3364A21C" w14:textId="77777777" w:rsidR="00DD002E" w:rsidRPr="00D1078F" w:rsidRDefault="00DD002E" w:rsidP="00632A30">
            <w:pPr>
              <w:pStyle w:val="In-tableHeading"/>
              <w:jc w:val="center"/>
            </w:pPr>
            <w:r w:rsidRPr="00D1078F">
              <w:t>Year 2</w:t>
            </w:r>
          </w:p>
        </w:tc>
        <w:tc>
          <w:tcPr>
            <w:tcW w:w="637" w:type="pct"/>
            <w:shd w:val="clear" w:color="auto" w:fill="auto"/>
            <w:vAlign w:val="center"/>
          </w:tcPr>
          <w:p w14:paraId="36ABD53A" w14:textId="77777777" w:rsidR="00DD002E" w:rsidRPr="00D1078F" w:rsidRDefault="00DD002E" w:rsidP="00632A30">
            <w:pPr>
              <w:pStyle w:val="In-tableHeading"/>
              <w:jc w:val="center"/>
            </w:pPr>
            <w:r w:rsidRPr="00D1078F">
              <w:t>Year 3</w:t>
            </w:r>
          </w:p>
        </w:tc>
        <w:tc>
          <w:tcPr>
            <w:tcW w:w="637" w:type="pct"/>
            <w:shd w:val="clear" w:color="auto" w:fill="auto"/>
            <w:vAlign w:val="center"/>
          </w:tcPr>
          <w:p w14:paraId="791FEFBA" w14:textId="77777777" w:rsidR="00DD002E" w:rsidRPr="00D1078F" w:rsidRDefault="00DD002E" w:rsidP="00632A30">
            <w:pPr>
              <w:pStyle w:val="In-tableHeading"/>
              <w:jc w:val="center"/>
            </w:pPr>
            <w:r w:rsidRPr="00D1078F">
              <w:t>Year 4</w:t>
            </w:r>
          </w:p>
        </w:tc>
        <w:tc>
          <w:tcPr>
            <w:tcW w:w="637" w:type="pct"/>
            <w:shd w:val="clear" w:color="auto" w:fill="auto"/>
            <w:vAlign w:val="center"/>
          </w:tcPr>
          <w:p w14:paraId="593CB4B8" w14:textId="77777777" w:rsidR="00DD002E" w:rsidRPr="00D1078F" w:rsidRDefault="00DD002E" w:rsidP="00632A30">
            <w:pPr>
              <w:pStyle w:val="In-tableHeading"/>
              <w:jc w:val="center"/>
            </w:pPr>
            <w:r w:rsidRPr="00D1078F">
              <w:t>Year 5</w:t>
            </w:r>
          </w:p>
        </w:tc>
        <w:tc>
          <w:tcPr>
            <w:tcW w:w="637" w:type="pct"/>
          </w:tcPr>
          <w:p w14:paraId="08EDE451" w14:textId="77777777" w:rsidR="00DD002E" w:rsidRPr="00D1078F" w:rsidRDefault="00DD002E" w:rsidP="00632A30">
            <w:pPr>
              <w:pStyle w:val="In-tableHeading"/>
              <w:jc w:val="center"/>
            </w:pPr>
            <w:r w:rsidRPr="00D1078F">
              <w:t>Year 6</w:t>
            </w:r>
          </w:p>
        </w:tc>
      </w:tr>
      <w:tr w:rsidR="00DD002E" w:rsidRPr="00D1078F" w14:paraId="62321C24" w14:textId="77777777" w:rsidTr="00632A30">
        <w:tc>
          <w:tcPr>
            <w:tcW w:w="5000" w:type="pct"/>
            <w:gridSpan w:val="7"/>
            <w:shd w:val="clear" w:color="auto" w:fill="auto"/>
            <w:vAlign w:val="center"/>
          </w:tcPr>
          <w:p w14:paraId="653FF8A1" w14:textId="77777777" w:rsidR="00DD002E" w:rsidRPr="00D1078F" w:rsidRDefault="00DD002E" w:rsidP="00632A30">
            <w:pPr>
              <w:pStyle w:val="In-tableHeading"/>
              <w:rPr>
                <w:bCs/>
                <w:color w:val="000000"/>
              </w:rPr>
            </w:pPr>
            <w:r w:rsidRPr="00D1078F">
              <w:rPr>
                <w:bCs/>
                <w:color w:val="000000"/>
              </w:rPr>
              <w:t>Estimated extent of use</w:t>
            </w:r>
          </w:p>
        </w:tc>
      </w:tr>
      <w:tr w:rsidR="00DD002E" w:rsidRPr="003639A6" w14:paraId="71BCC2C4" w14:textId="77777777" w:rsidTr="00632A30">
        <w:tc>
          <w:tcPr>
            <w:tcW w:w="1178" w:type="pct"/>
            <w:shd w:val="clear" w:color="auto" w:fill="auto"/>
            <w:vAlign w:val="center"/>
          </w:tcPr>
          <w:p w14:paraId="376E813F" w14:textId="77777777" w:rsidR="00DD002E" w:rsidRPr="003639A6" w:rsidRDefault="00DD002E" w:rsidP="00632A30">
            <w:pPr>
              <w:pStyle w:val="TableText0"/>
              <w:rPr>
                <w:rFonts w:ascii="Times" w:hAnsi="Times"/>
              </w:rPr>
            </w:pPr>
            <w:r w:rsidRPr="003639A6">
              <w:t xml:space="preserve">Number of </w:t>
            </w:r>
            <w:r>
              <w:t xml:space="preserve">15vPCV doses </w:t>
            </w:r>
          </w:p>
        </w:tc>
        <w:tc>
          <w:tcPr>
            <w:tcW w:w="637" w:type="pct"/>
            <w:shd w:val="clear" w:color="auto" w:fill="auto"/>
            <w:vAlign w:val="center"/>
          </w:tcPr>
          <w:p w14:paraId="25612481" w14:textId="77777777" w:rsidR="00DD002E" w:rsidRPr="003639A6" w:rsidRDefault="00DD002E" w:rsidP="00632A30">
            <w:pPr>
              <w:pStyle w:val="TableText0"/>
              <w:jc w:val="center"/>
              <w:rPr>
                <w:color w:val="000000"/>
              </w:rPr>
            </w:pPr>
          </w:p>
        </w:tc>
        <w:tc>
          <w:tcPr>
            <w:tcW w:w="637" w:type="pct"/>
            <w:shd w:val="clear" w:color="auto" w:fill="auto"/>
            <w:vAlign w:val="center"/>
          </w:tcPr>
          <w:p w14:paraId="1AC241CE" w14:textId="77777777" w:rsidR="00DD002E" w:rsidRPr="003639A6" w:rsidRDefault="00DD002E" w:rsidP="00632A30">
            <w:pPr>
              <w:pStyle w:val="TableText0"/>
              <w:jc w:val="center"/>
              <w:rPr>
                <w:color w:val="000000"/>
              </w:rPr>
            </w:pPr>
          </w:p>
        </w:tc>
        <w:tc>
          <w:tcPr>
            <w:tcW w:w="637" w:type="pct"/>
            <w:shd w:val="clear" w:color="auto" w:fill="auto"/>
            <w:vAlign w:val="center"/>
          </w:tcPr>
          <w:p w14:paraId="2963469E" w14:textId="77777777" w:rsidR="00DD002E" w:rsidRPr="003639A6" w:rsidRDefault="00DD002E" w:rsidP="00632A30">
            <w:pPr>
              <w:pStyle w:val="TableText0"/>
              <w:jc w:val="center"/>
              <w:rPr>
                <w:color w:val="000000"/>
              </w:rPr>
            </w:pPr>
          </w:p>
        </w:tc>
        <w:tc>
          <w:tcPr>
            <w:tcW w:w="637" w:type="pct"/>
            <w:shd w:val="clear" w:color="auto" w:fill="auto"/>
            <w:vAlign w:val="center"/>
          </w:tcPr>
          <w:p w14:paraId="6098D983" w14:textId="77777777" w:rsidR="00DD002E" w:rsidRPr="003639A6" w:rsidRDefault="00DD002E" w:rsidP="00632A30">
            <w:pPr>
              <w:pStyle w:val="TableText0"/>
              <w:jc w:val="center"/>
              <w:rPr>
                <w:color w:val="000000"/>
              </w:rPr>
            </w:pPr>
          </w:p>
        </w:tc>
        <w:tc>
          <w:tcPr>
            <w:tcW w:w="637" w:type="pct"/>
            <w:shd w:val="clear" w:color="auto" w:fill="auto"/>
            <w:vAlign w:val="center"/>
          </w:tcPr>
          <w:p w14:paraId="62DD66AE" w14:textId="77777777" w:rsidR="00DD002E" w:rsidRPr="003639A6" w:rsidRDefault="00DD002E" w:rsidP="00632A30">
            <w:pPr>
              <w:pStyle w:val="TableText0"/>
              <w:jc w:val="center"/>
              <w:rPr>
                <w:color w:val="000000"/>
              </w:rPr>
            </w:pPr>
          </w:p>
        </w:tc>
        <w:tc>
          <w:tcPr>
            <w:tcW w:w="637" w:type="pct"/>
          </w:tcPr>
          <w:p w14:paraId="62B91739" w14:textId="77777777" w:rsidR="00DD002E" w:rsidRPr="003639A6" w:rsidRDefault="00DD002E" w:rsidP="00632A30">
            <w:pPr>
              <w:pStyle w:val="TableText0"/>
              <w:jc w:val="center"/>
              <w:rPr>
                <w:color w:val="000000"/>
              </w:rPr>
            </w:pPr>
          </w:p>
        </w:tc>
      </w:tr>
      <w:tr w:rsidR="00DD002E" w:rsidRPr="003639A6" w14:paraId="5C8FF445" w14:textId="77777777" w:rsidTr="00632A30">
        <w:tc>
          <w:tcPr>
            <w:tcW w:w="1178" w:type="pct"/>
            <w:shd w:val="clear" w:color="auto" w:fill="auto"/>
            <w:vAlign w:val="center"/>
          </w:tcPr>
          <w:p w14:paraId="7188C9F8" w14:textId="77777777" w:rsidR="00DD002E" w:rsidRPr="008A7843" w:rsidRDefault="00DD002E" w:rsidP="00632A30">
            <w:pPr>
              <w:pStyle w:val="PBACTableText"/>
              <w:keepNext/>
            </w:pPr>
            <w:r w:rsidRPr="00DF57E5">
              <w:t xml:space="preserve">Non-Indigenous babies and </w:t>
            </w:r>
            <w:r w:rsidRPr="005907A1">
              <w:t>Aboriginal and Torres Strait Islander</w:t>
            </w:r>
            <w:r w:rsidRPr="00DF57E5">
              <w:t xml:space="preserve"> </w:t>
            </w:r>
            <w:r>
              <w:t>infants</w:t>
            </w:r>
            <w:r w:rsidRPr="00DF57E5">
              <w:t xml:space="preserve"> born in ACT, NSW, Vic and Tas</w:t>
            </w:r>
          </w:p>
        </w:tc>
        <w:tc>
          <w:tcPr>
            <w:tcW w:w="637" w:type="pct"/>
            <w:shd w:val="clear" w:color="auto" w:fill="auto"/>
          </w:tcPr>
          <w:p w14:paraId="27B9172C" w14:textId="1E5E3C61"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2"/>
                <w14:textFill>
                  <w14:solidFill>
                    <w14:srgbClr w14:val="000000">
                      <w14:alpha w14:val="100000"/>
                    </w14:srgbClr>
                  </w14:solidFill>
                </w14:textFill>
              </w:rPr>
              <w:t>|||</w:t>
            </w:r>
            <w:r w:rsidRPr="00466B8C">
              <w:rPr>
                <w:color w:val="000000"/>
                <w:spacing w:val="3"/>
                <w:shd w:val="solid" w:color="000000" w:fill="000000"/>
                <w:fitText w:val="320" w:id="-1236544502"/>
                <w14:textFill>
                  <w14:solidFill>
                    <w14:srgbClr w14:val="000000">
                      <w14:alpha w14:val="100000"/>
                    </w14:srgbClr>
                  </w14:solidFill>
                </w14:textFill>
              </w:rPr>
              <w:t>|</w:t>
            </w:r>
            <w:r w:rsidR="005F6174" w:rsidRPr="005F6174">
              <w:rPr>
                <w:vertAlign w:val="superscript"/>
              </w:rPr>
              <w:t>1</w:t>
            </w:r>
          </w:p>
        </w:tc>
        <w:tc>
          <w:tcPr>
            <w:tcW w:w="637" w:type="pct"/>
            <w:shd w:val="clear" w:color="auto" w:fill="auto"/>
          </w:tcPr>
          <w:p w14:paraId="02BAB201" w14:textId="5BD2F5B2"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1"/>
                <w14:textFill>
                  <w14:solidFill>
                    <w14:srgbClr w14:val="000000">
                      <w14:alpha w14:val="100000"/>
                    </w14:srgbClr>
                  </w14:solidFill>
                </w14:textFill>
              </w:rPr>
              <w:t>|||</w:t>
            </w:r>
            <w:r w:rsidRPr="00466B8C">
              <w:rPr>
                <w:color w:val="000000"/>
                <w:spacing w:val="3"/>
                <w:shd w:val="solid" w:color="000000" w:fill="000000"/>
                <w:fitText w:val="320" w:id="-1236544501"/>
                <w14:textFill>
                  <w14:solidFill>
                    <w14:srgbClr w14:val="000000">
                      <w14:alpha w14:val="100000"/>
                    </w14:srgbClr>
                  </w14:solidFill>
                </w14:textFill>
              </w:rPr>
              <w:t>|</w:t>
            </w:r>
            <w:r w:rsidR="005F6174">
              <w:rPr>
                <w:vertAlign w:val="superscript"/>
              </w:rPr>
              <w:t>4</w:t>
            </w:r>
          </w:p>
        </w:tc>
        <w:tc>
          <w:tcPr>
            <w:tcW w:w="637" w:type="pct"/>
            <w:shd w:val="clear" w:color="auto" w:fill="auto"/>
          </w:tcPr>
          <w:p w14:paraId="4F4B7A9F" w14:textId="33B75DA7"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0"/>
                <w14:textFill>
                  <w14:solidFill>
                    <w14:srgbClr w14:val="000000">
                      <w14:alpha w14:val="100000"/>
                    </w14:srgbClr>
                  </w14:solidFill>
                </w14:textFill>
              </w:rPr>
              <w:t>|||</w:t>
            </w:r>
            <w:r w:rsidRPr="00466B8C">
              <w:rPr>
                <w:color w:val="000000"/>
                <w:spacing w:val="3"/>
                <w:shd w:val="solid" w:color="000000" w:fill="000000"/>
                <w:fitText w:val="320" w:id="-1236544500"/>
                <w14:textFill>
                  <w14:solidFill>
                    <w14:srgbClr w14:val="000000">
                      <w14:alpha w14:val="100000"/>
                    </w14:srgbClr>
                  </w14:solidFill>
                </w14:textFill>
              </w:rPr>
              <w:t>|</w:t>
            </w:r>
            <w:r w:rsidR="005F6174">
              <w:rPr>
                <w:vertAlign w:val="superscript"/>
              </w:rPr>
              <w:t>4</w:t>
            </w:r>
          </w:p>
        </w:tc>
        <w:tc>
          <w:tcPr>
            <w:tcW w:w="637" w:type="pct"/>
            <w:shd w:val="clear" w:color="auto" w:fill="auto"/>
          </w:tcPr>
          <w:p w14:paraId="1DAC10B0" w14:textId="46F48051"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499"/>
                <w14:textFill>
                  <w14:solidFill>
                    <w14:srgbClr w14:val="000000">
                      <w14:alpha w14:val="100000"/>
                    </w14:srgbClr>
                  </w14:solidFill>
                </w14:textFill>
              </w:rPr>
              <w:t>|||</w:t>
            </w:r>
            <w:r w:rsidRPr="00466B8C">
              <w:rPr>
                <w:color w:val="000000"/>
                <w:spacing w:val="3"/>
                <w:shd w:val="solid" w:color="000000" w:fill="000000"/>
                <w:fitText w:val="320" w:id="-1236544499"/>
                <w14:textFill>
                  <w14:solidFill>
                    <w14:srgbClr w14:val="000000">
                      <w14:alpha w14:val="100000"/>
                    </w14:srgbClr>
                  </w14:solidFill>
                </w14:textFill>
              </w:rPr>
              <w:t>|</w:t>
            </w:r>
            <w:r w:rsidR="005F6174">
              <w:rPr>
                <w:vertAlign w:val="superscript"/>
              </w:rPr>
              <w:t>4</w:t>
            </w:r>
          </w:p>
        </w:tc>
        <w:tc>
          <w:tcPr>
            <w:tcW w:w="637" w:type="pct"/>
            <w:shd w:val="clear" w:color="auto" w:fill="auto"/>
          </w:tcPr>
          <w:p w14:paraId="6D090222" w14:textId="40E4C353"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498"/>
                <w14:textFill>
                  <w14:solidFill>
                    <w14:srgbClr w14:val="000000">
                      <w14:alpha w14:val="100000"/>
                    </w14:srgbClr>
                  </w14:solidFill>
                </w14:textFill>
              </w:rPr>
              <w:t>|||</w:t>
            </w:r>
            <w:r w:rsidRPr="00466B8C">
              <w:rPr>
                <w:color w:val="000000"/>
                <w:spacing w:val="3"/>
                <w:shd w:val="solid" w:color="000000" w:fill="000000"/>
                <w:fitText w:val="320" w:id="-1236544498"/>
                <w14:textFill>
                  <w14:solidFill>
                    <w14:srgbClr w14:val="000000">
                      <w14:alpha w14:val="100000"/>
                    </w14:srgbClr>
                  </w14:solidFill>
                </w14:textFill>
              </w:rPr>
              <w:t>|</w:t>
            </w:r>
            <w:r w:rsidR="005F6174">
              <w:rPr>
                <w:vertAlign w:val="superscript"/>
              </w:rPr>
              <w:t>4</w:t>
            </w:r>
          </w:p>
        </w:tc>
        <w:tc>
          <w:tcPr>
            <w:tcW w:w="637" w:type="pct"/>
          </w:tcPr>
          <w:p w14:paraId="0DA3B629" w14:textId="5A1E1960"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497"/>
                <w14:textFill>
                  <w14:solidFill>
                    <w14:srgbClr w14:val="000000">
                      <w14:alpha w14:val="100000"/>
                    </w14:srgbClr>
                  </w14:solidFill>
                </w14:textFill>
              </w:rPr>
              <w:t>|||</w:t>
            </w:r>
            <w:r w:rsidRPr="00466B8C">
              <w:rPr>
                <w:color w:val="000000"/>
                <w:spacing w:val="3"/>
                <w:shd w:val="solid" w:color="000000" w:fill="000000"/>
                <w:fitText w:val="320" w:id="-1236544497"/>
                <w14:textFill>
                  <w14:solidFill>
                    <w14:srgbClr w14:val="000000">
                      <w14:alpha w14:val="100000"/>
                    </w14:srgbClr>
                  </w14:solidFill>
                </w14:textFill>
              </w:rPr>
              <w:t>|</w:t>
            </w:r>
            <w:r w:rsidR="005F6174">
              <w:rPr>
                <w:vertAlign w:val="superscript"/>
              </w:rPr>
              <w:t>4</w:t>
            </w:r>
          </w:p>
        </w:tc>
      </w:tr>
      <w:tr w:rsidR="00DD002E" w:rsidRPr="003639A6" w14:paraId="1A559BC8" w14:textId="77777777" w:rsidTr="00632A30">
        <w:tc>
          <w:tcPr>
            <w:tcW w:w="1178" w:type="pct"/>
            <w:shd w:val="clear" w:color="auto" w:fill="auto"/>
            <w:vAlign w:val="center"/>
          </w:tcPr>
          <w:p w14:paraId="199AEFCF" w14:textId="77777777" w:rsidR="00DD002E" w:rsidRPr="008A7843" w:rsidRDefault="00DD002E" w:rsidP="00632A30">
            <w:pPr>
              <w:pStyle w:val="TableText0"/>
            </w:pPr>
            <w:r w:rsidRPr="005907A1">
              <w:t>Aboriginal and Torres Strait Islander</w:t>
            </w:r>
            <w:r>
              <w:t xml:space="preserve"> infants </w:t>
            </w:r>
            <w:r w:rsidRPr="00FC51BD">
              <w:t xml:space="preserve">in SA, WA, Qld and NT and </w:t>
            </w:r>
            <w:r>
              <w:t>infants</w:t>
            </w:r>
            <w:r w:rsidRPr="00FC51BD">
              <w:t xml:space="preserve"> with specified medical risk factors</w:t>
            </w:r>
            <w:r>
              <w:t xml:space="preserve"> 4 doses per child)</w:t>
            </w:r>
          </w:p>
        </w:tc>
        <w:tc>
          <w:tcPr>
            <w:tcW w:w="637" w:type="pct"/>
            <w:shd w:val="clear" w:color="auto" w:fill="auto"/>
          </w:tcPr>
          <w:p w14:paraId="67EE8B86" w14:textId="1BCD6270"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496"/>
                <w14:textFill>
                  <w14:solidFill>
                    <w14:srgbClr w14:val="000000">
                      <w14:alpha w14:val="100000"/>
                    </w14:srgbClr>
                  </w14:solidFill>
                </w14:textFill>
              </w:rPr>
              <w:t>|||</w:t>
            </w:r>
            <w:r w:rsidRPr="00466B8C">
              <w:rPr>
                <w:color w:val="000000"/>
                <w:spacing w:val="3"/>
                <w:shd w:val="solid" w:color="000000" w:fill="000000"/>
                <w:fitText w:val="320" w:id="-1236544496"/>
                <w14:textFill>
                  <w14:solidFill>
                    <w14:srgbClr w14:val="000000">
                      <w14:alpha w14:val="100000"/>
                    </w14:srgbClr>
                  </w14:solidFill>
                </w14:textFill>
              </w:rPr>
              <w:t>|</w:t>
            </w:r>
            <w:r w:rsidR="005F6174">
              <w:rPr>
                <w:vertAlign w:val="superscript"/>
              </w:rPr>
              <w:t>2</w:t>
            </w:r>
          </w:p>
        </w:tc>
        <w:tc>
          <w:tcPr>
            <w:tcW w:w="637" w:type="pct"/>
            <w:shd w:val="clear" w:color="auto" w:fill="auto"/>
          </w:tcPr>
          <w:p w14:paraId="456B7DC7" w14:textId="5CE9BABA"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12"/>
                <w14:textFill>
                  <w14:solidFill>
                    <w14:srgbClr w14:val="000000">
                      <w14:alpha w14:val="100000"/>
                    </w14:srgbClr>
                  </w14:solidFill>
                </w14:textFill>
              </w:rPr>
              <w:t>|||</w:t>
            </w:r>
            <w:r w:rsidRPr="00466B8C">
              <w:rPr>
                <w:color w:val="000000"/>
                <w:spacing w:val="3"/>
                <w:shd w:val="solid" w:color="000000" w:fill="000000"/>
                <w:fitText w:val="320" w:id="-1236544512"/>
                <w14:textFill>
                  <w14:solidFill>
                    <w14:srgbClr w14:val="000000">
                      <w14:alpha w14:val="100000"/>
                    </w14:srgbClr>
                  </w14:solidFill>
                </w14:textFill>
              </w:rPr>
              <w:t>|</w:t>
            </w:r>
            <w:r w:rsidR="005F6174">
              <w:rPr>
                <w:vertAlign w:val="superscript"/>
              </w:rPr>
              <w:t>2</w:t>
            </w:r>
          </w:p>
        </w:tc>
        <w:tc>
          <w:tcPr>
            <w:tcW w:w="637" w:type="pct"/>
            <w:shd w:val="clear" w:color="auto" w:fill="auto"/>
          </w:tcPr>
          <w:p w14:paraId="47C51CED" w14:textId="01B02F84"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11"/>
                <w14:textFill>
                  <w14:solidFill>
                    <w14:srgbClr w14:val="000000">
                      <w14:alpha w14:val="100000"/>
                    </w14:srgbClr>
                  </w14:solidFill>
                </w14:textFill>
              </w:rPr>
              <w:t>|||</w:t>
            </w:r>
            <w:r w:rsidRPr="00466B8C">
              <w:rPr>
                <w:color w:val="000000"/>
                <w:spacing w:val="3"/>
                <w:shd w:val="solid" w:color="000000" w:fill="000000"/>
                <w:fitText w:val="320" w:id="-1236544511"/>
                <w14:textFill>
                  <w14:solidFill>
                    <w14:srgbClr w14:val="000000">
                      <w14:alpha w14:val="100000"/>
                    </w14:srgbClr>
                  </w14:solidFill>
                </w14:textFill>
              </w:rPr>
              <w:t>|</w:t>
            </w:r>
            <w:r w:rsidR="005F6174">
              <w:rPr>
                <w:vertAlign w:val="superscript"/>
              </w:rPr>
              <w:t>2</w:t>
            </w:r>
          </w:p>
        </w:tc>
        <w:tc>
          <w:tcPr>
            <w:tcW w:w="637" w:type="pct"/>
            <w:shd w:val="clear" w:color="auto" w:fill="auto"/>
          </w:tcPr>
          <w:p w14:paraId="6FF37D92" w14:textId="776CED5B"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10"/>
                <w14:textFill>
                  <w14:solidFill>
                    <w14:srgbClr w14:val="000000">
                      <w14:alpha w14:val="100000"/>
                    </w14:srgbClr>
                  </w14:solidFill>
                </w14:textFill>
              </w:rPr>
              <w:t>|||</w:t>
            </w:r>
            <w:r w:rsidRPr="00466B8C">
              <w:rPr>
                <w:color w:val="000000"/>
                <w:spacing w:val="3"/>
                <w:shd w:val="solid" w:color="000000" w:fill="000000"/>
                <w:fitText w:val="320" w:id="-1236544510"/>
                <w14:textFill>
                  <w14:solidFill>
                    <w14:srgbClr w14:val="000000">
                      <w14:alpha w14:val="100000"/>
                    </w14:srgbClr>
                  </w14:solidFill>
                </w14:textFill>
              </w:rPr>
              <w:t>|</w:t>
            </w:r>
            <w:r w:rsidR="005F6174">
              <w:rPr>
                <w:vertAlign w:val="superscript"/>
              </w:rPr>
              <w:t>2</w:t>
            </w:r>
          </w:p>
        </w:tc>
        <w:tc>
          <w:tcPr>
            <w:tcW w:w="637" w:type="pct"/>
            <w:shd w:val="clear" w:color="auto" w:fill="auto"/>
          </w:tcPr>
          <w:p w14:paraId="6B254332" w14:textId="433F9F9F"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9"/>
                <w14:textFill>
                  <w14:solidFill>
                    <w14:srgbClr w14:val="000000">
                      <w14:alpha w14:val="100000"/>
                    </w14:srgbClr>
                  </w14:solidFill>
                </w14:textFill>
              </w:rPr>
              <w:t>|||</w:t>
            </w:r>
            <w:r w:rsidRPr="00466B8C">
              <w:rPr>
                <w:color w:val="000000"/>
                <w:spacing w:val="3"/>
                <w:shd w:val="solid" w:color="000000" w:fill="000000"/>
                <w:fitText w:val="320" w:id="-1236544509"/>
                <w14:textFill>
                  <w14:solidFill>
                    <w14:srgbClr w14:val="000000">
                      <w14:alpha w14:val="100000"/>
                    </w14:srgbClr>
                  </w14:solidFill>
                </w14:textFill>
              </w:rPr>
              <w:t>|</w:t>
            </w:r>
            <w:r w:rsidR="005F6174">
              <w:rPr>
                <w:vertAlign w:val="superscript"/>
              </w:rPr>
              <w:t>8</w:t>
            </w:r>
          </w:p>
        </w:tc>
        <w:tc>
          <w:tcPr>
            <w:tcW w:w="637" w:type="pct"/>
          </w:tcPr>
          <w:p w14:paraId="0F8FCA6E" w14:textId="58785969"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8"/>
                <w14:textFill>
                  <w14:solidFill>
                    <w14:srgbClr w14:val="000000">
                      <w14:alpha w14:val="100000"/>
                    </w14:srgbClr>
                  </w14:solidFill>
                </w14:textFill>
              </w:rPr>
              <w:t>|||</w:t>
            </w:r>
            <w:r w:rsidRPr="00466B8C">
              <w:rPr>
                <w:color w:val="000000"/>
                <w:spacing w:val="3"/>
                <w:shd w:val="solid" w:color="000000" w:fill="000000"/>
                <w:fitText w:val="320" w:id="-1236544508"/>
                <w14:textFill>
                  <w14:solidFill>
                    <w14:srgbClr w14:val="000000">
                      <w14:alpha w14:val="100000"/>
                    </w14:srgbClr>
                  </w14:solidFill>
                </w14:textFill>
              </w:rPr>
              <w:t>|</w:t>
            </w:r>
            <w:r w:rsidR="005F6174">
              <w:rPr>
                <w:vertAlign w:val="superscript"/>
              </w:rPr>
              <w:t>8</w:t>
            </w:r>
          </w:p>
        </w:tc>
      </w:tr>
      <w:tr w:rsidR="00DD002E" w:rsidRPr="003639A6" w14:paraId="72959C1C" w14:textId="77777777" w:rsidTr="00632A30">
        <w:tc>
          <w:tcPr>
            <w:tcW w:w="1178" w:type="pct"/>
            <w:shd w:val="clear" w:color="auto" w:fill="auto"/>
            <w:vAlign w:val="center"/>
          </w:tcPr>
          <w:p w14:paraId="6145F583" w14:textId="77777777" w:rsidR="00DD002E" w:rsidRPr="008A7843" w:rsidRDefault="00DD002E" w:rsidP="00632A30">
            <w:pPr>
              <w:pStyle w:val="TableText0"/>
            </w:pPr>
            <w:r w:rsidRPr="00DF57E5">
              <w:t>Children &gt;12 months and adolescents with specified medical risk factors</w:t>
            </w:r>
          </w:p>
        </w:tc>
        <w:tc>
          <w:tcPr>
            <w:tcW w:w="637" w:type="pct"/>
            <w:shd w:val="clear" w:color="auto" w:fill="auto"/>
          </w:tcPr>
          <w:p w14:paraId="53E882B9" w14:textId="6456FB14"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7"/>
                <w14:textFill>
                  <w14:solidFill>
                    <w14:srgbClr w14:val="000000">
                      <w14:alpha w14:val="100000"/>
                    </w14:srgbClr>
                  </w14:solidFill>
                </w14:textFill>
              </w:rPr>
              <w:t>|||</w:t>
            </w:r>
            <w:r w:rsidRPr="00466B8C">
              <w:rPr>
                <w:color w:val="000000"/>
                <w:spacing w:val="3"/>
                <w:shd w:val="solid" w:color="000000" w:fill="000000"/>
                <w:fitText w:val="320" w:id="-1236544507"/>
                <w14:textFill>
                  <w14:solidFill>
                    <w14:srgbClr w14:val="000000">
                      <w14:alpha w14:val="100000"/>
                    </w14:srgbClr>
                  </w14:solidFill>
                </w14:textFill>
              </w:rPr>
              <w:t>|</w:t>
            </w:r>
            <w:r w:rsidR="005F6174">
              <w:rPr>
                <w:vertAlign w:val="superscript"/>
              </w:rPr>
              <w:t>3</w:t>
            </w:r>
          </w:p>
        </w:tc>
        <w:tc>
          <w:tcPr>
            <w:tcW w:w="637" w:type="pct"/>
            <w:shd w:val="clear" w:color="auto" w:fill="auto"/>
          </w:tcPr>
          <w:p w14:paraId="19EBCEC6" w14:textId="27E26774"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6"/>
                <w14:textFill>
                  <w14:solidFill>
                    <w14:srgbClr w14:val="000000">
                      <w14:alpha w14:val="100000"/>
                    </w14:srgbClr>
                  </w14:solidFill>
                </w14:textFill>
              </w:rPr>
              <w:t>|||</w:t>
            </w:r>
            <w:r w:rsidRPr="00466B8C">
              <w:rPr>
                <w:color w:val="000000"/>
                <w:spacing w:val="3"/>
                <w:shd w:val="solid" w:color="000000" w:fill="000000"/>
                <w:fitText w:val="320" w:id="-1236544506"/>
                <w14:textFill>
                  <w14:solidFill>
                    <w14:srgbClr w14:val="000000">
                      <w14:alpha w14:val="100000"/>
                    </w14:srgbClr>
                  </w14:solidFill>
                </w14:textFill>
              </w:rPr>
              <w:t>|</w:t>
            </w:r>
            <w:r w:rsidR="005F6174">
              <w:rPr>
                <w:vertAlign w:val="superscript"/>
              </w:rPr>
              <w:t>3</w:t>
            </w:r>
          </w:p>
        </w:tc>
        <w:tc>
          <w:tcPr>
            <w:tcW w:w="637" w:type="pct"/>
            <w:shd w:val="clear" w:color="auto" w:fill="auto"/>
          </w:tcPr>
          <w:p w14:paraId="06683410" w14:textId="0167B0E1"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5"/>
                <w14:textFill>
                  <w14:solidFill>
                    <w14:srgbClr w14:val="000000">
                      <w14:alpha w14:val="100000"/>
                    </w14:srgbClr>
                  </w14:solidFill>
                </w14:textFill>
              </w:rPr>
              <w:t>|||</w:t>
            </w:r>
            <w:r w:rsidRPr="00466B8C">
              <w:rPr>
                <w:color w:val="000000"/>
                <w:spacing w:val="3"/>
                <w:shd w:val="solid" w:color="000000" w:fill="000000"/>
                <w:fitText w:val="320" w:id="-1236544505"/>
                <w14:textFill>
                  <w14:solidFill>
                    <w14:srgbClr w14:val="000000">
                      <w14:alpha w14:val="100000"/>
                    </w14:srgbClr>
                  </w14:solidFill>
                </w14:textFill>
              </w:rPr>
              <w:t>|</w:t>
            </w:r>
            <w:r w:rsidR="005F6174">
              <w:rPr>
                <w:vertAlign w:val="superscript"/>
              </w:rPr>
              <w:t>3</w:t>
            </w:r>
          </w:p>
        </w:tc>
        <w:tc>
          <w:tcPr>
            <w:tcW w:w="637" w:type="pct"/>
            <w:shd w:val="clear" w:color="auto" w:fill="auto"/>
          </w:tcPr>
          <w:p w14:paraId="66A1EAC7" w14:textId="41EE5D8A"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4"/>
                <w14:textFill>
                  <w14:solidFill>
                    <w14:srgbClr w14:val="000000">
                      <w14:alpha w14:val="100000"/>
                    </w14:srgbClr>
                  </w14:solidFill>
                </w14:textFill>
              </w:rPr>
              <w:t>|||</w:t>
            </w:r>
            <w:r w:rsidRPr="00466B8C">
              <w:rPr>
                <w:color w:val="000000"/>
                <w:spacing w:val="3"/>
                <w:shd w:val="solid" w:color="000000" w:fill="000000"/>
                <w:fitText w:val="320" w:id="-1236544504"/>
                <w14:textFill>
                  <w14:solidFill>
                    <w14:srgbClr w14:val="000000">
                      <w14:alpha w14:val="100000"/>
                    </w14:srgbClr>
                  </w14:solidFill>
                </w14:textFill>
              </w:rPr>
              <w:t>|</w:t>
            </w:r>
            <w:r w:rsidR="005F6174">
              <w:rPr>
                <w:vertAlign w:val="superscript"/>
              </w:rPr>
              <w:t>3</w:t>
            </w:r>
          </w:p>
        </w:tc>
        <w:tc>
          <w:tcPr>
            <w:tcW w:w="637" w:type="pct"/>
            <w:shd w:val="clear" w:color="auto" w:fill="auto"/>
          </w:tcPr>
          <w:p w14:paraId="6CB8D17F" w14:textId="7B2542EA"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3"/>
                <w14:textFill>
                  <w14:solidFill>
                    <w14:srgbClr w14:val="000000">
                      <w14:alpha w14:val="100000"/>
                    </w14:srgbClr>
                  </w14:solidFill>
                </w14:textFill>
              </w:rPr>
              <w:t>|||</w:t>
            </w:r>
            <w:r w:rsidRPr="00466B8C">
              <w:rPr>
                <w:color w:val="000000"/>
                <w:spacing w:val="3"/>
                <w:shd w:val="solid" w:color="000000" w:fill="000000"/>
                <w:fitText w:val="320" w:id="-1236544503"/>
                <w14:textFill>
                  <w14:solidFill>
                    <w14:srgbClr w14:val="000000">
                      <w14:alpha w14:val="100000"/>
                    </w14:srgbClr>
                  </w14:solidFill>
                </w14:textFill>
              </w:rPr>
              <w:t>|</w:t>
            </w:r>
            <w:r w:rsidR="005F6174">
              <w:rPr>
                <w:vertAlign w:val="superscript"/>
              </w:rPr>
              <w:t>3</w:t>
            </w:r>
          </w:p>
        </w:tc>
        <w:tc>
          <w:tcPr>
            <w:tcW w:w="637" w:type="pct"/>
          </w:tcPr>
          <w:p w14:paraId="0949E2FC" w14:textId="54E004CD"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2"/>
                <w14:textFill>
                  <w14:solidFill>
                    <w14:srgbClr w14:val="000000">
                      <w14:alpha w14:val="100000"/>
                    </w14:srgbClr>
                  </w14:solidFill>
                </w14:textFill>
              </w:rPr>
              <w:t>|||</w:t>
            </w:r>
            <w:r w:rsidRPr="00466B8C">
              <w:rPr>
                <w:color w:val="000000"/>
                <w:spacing w:val="3"/>
                <w:shd w:val="solid" w:color="000000" w:fill="000000"/>
                <w:fitText w:val="320" w:id="-1236544502"/>
                <w14:textFill>
                  <w14:solidFill>
                    <w14:srgbClr w14:val="000000">
                      <w14:alpha w14:val="100000"/>
                    </w14:srgbClr>
                  </w14:solidFill>
                </w14:textFill>
              </w:rPr>
              <w:t>|</w:t>
            </w:r>
            <w:r w:rsidR="005F6174">
              <w:rPr>
                <w:vertAlign w:val="superscript"/>
              </w:rPr>
              <w:t>3</w:t>
            </w:r>
          </w:p>
        </w:tc>
      </w:tr>
      <w:tr w:rsidR="00DD002E" w:rsidRPr="003639A6" w14:paraId="29D2A67E" w14:textId="77777777" w:rsidTr="00632A30">
        <w:tc>
          <w:tcPr>
            <w:tcW w:w="1178" w:type="pct"/>
            <w:shd w:val="clear" w:color="auto" w:fill="auto"/>
            <w:vAlign w:val="center"/>
          </w:tcPr>
          <w:p w14:paraId="7092D1B5" w14:textId="77777777" w:rsidR="00DD002E" w:rsidRPr="00DF57E5" w:rsidRDefault="00DD002E" w:rsidP="00632A30">
            <w:pPr>
              <w:pStyle w:val="TableText0"/>
            </w:pPr>
            <w:r w:rsidRPr="00FC51BD">
              <w:t>Haematopoietic stem cell transplant patients</w:t>
            </w:r>
          </w:p>
        </w:tc>
        <w:tc>
          <w:tcPr>
            <w:tcW w:w="637" w:type="pct"/>
            <w:shd w:val="clear" w:color="auto" w:fill="auto"/>
          </w:tcPr>
          <w:p w14:paraId="4B84108D" w14:textId="70C7C98F"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1"/>
                <w14:textFill>
                  <w14:solidFill>
                    <w14:srgbClr w14:val="000000">
                      <w14:alpha w14:val="100000"/>
                    </w14:srgbClr>
                  </w14:solidFill>
                </w14:textFill>
              </w:rPr>
              <w:t>|||</w:t>
            </w:r>
            <w:r w:rsidRPr="00466B8C">
              <w:rPr>
                <w:color w:val="000000"/>
                <w:spacing w:val="3"/>
                <w:shd w:val="solid" w:color="000000" w:fill="000000"/>
                <w:fitText w:val="320" w:id="-1236544501"/>
                <w14:textFill>
                  <w14:solidFill>
                    <w14:srgbClr w14:val="000000">
                      <w14:alpha w14:val="100000"/>
                    </w14:srgbClr>
                  </w14:solidFill>
                </w14:textFill>
              </w:rPr>
              <w:t>|</w:t>
            </w:r>
            <w:r w:rsidR="005F6174">
              <w:rPr>
                <w:vertAlign w:val="superscript"/>
              </w:rPr>
              <w:t>3</w:t>
            </w:r>
          </w:p>
        </w:tc>
        <w:tc>
          <w:tcPr>
            <w:tcW w:w="637" w:type="pct"/>
            <w:shd w:val="clear" w:color="auto" w:fill="auto"/>
          </w:tcPr>
          <w:p w14:paraId="247BDE8C" w14:textId="0B7FC5BA"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0"/>
                <w14:textFill>
                  <w14:solidFill>
                    <w14:srgbClr w14:val="000000">
                      <w14:alpha w14:val="100000"/>
                    </w14:srgbClr>
                  </w14:solidFill>
                </w14:textFill>
              </w:rPr>
              <w:t>|||</w:t>
            </w:r>
            <w:r w:rsidRPr="00466B8C">
              <w:rPr>
                <w:color w:val="000000"/>
                <w:spacing w:val="3"/>
                <w:shd w:val="solid" w:color="000000" w:fill="000000"/>
                <w:fitText w:val="320" w:id="-1236544500"/>
                <w14:textFill>
                  <w14:solidFill>
                    <w14:srgbClr w14:val="000000">
                      <w14:alpha w14:val="100000"/>
                    </w14:srgbClr>
                  </w14:solidFill>
                </w14:textFill>
              </w:rPr>
              <w:t>|</w:t>
            </w:r>
            <w:r w:rsidR="005F6174">
              <w:rPr>
                <w:vertAlign w:val="superscript"/>
              </w:rPr>
              <w:t>3</w:t>
            </w:r>
          </w:p>
        </w:tc>
        <w:tc>
          <w:tcPr>
            <w:tcW w:w="637" w:type="pct"/>
            <w:shd w:val="clear" w:color="auto" w:fill="auto"/>
          </w:tcPr>
          <w:p w14:paraId="3F1554DC" w14:textId="4DACA661"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9"/>
                <w14:textFill>
                  <w14:solidFill>
                    <w14:srgbClr w14:val="000000">
                      <w14:alpha w14:val="100000"/>
                    </w14:srgbClr>
                  </w14:solidFill>
                </w14:textFill>
              </w:rPr>
              <w:t>|||</w:t>
            </w:r>
            <w:r w:rsidRPr="00466B8C">
              <w:rPr>
                <w:color w:val="000000"/>
                <w:spacing w:val="3"/>
                <w:shd w:val="solid" w:color="000000" w:fill="000000"/>
                <w:fitText w:val="320" w:id="-1236544499"/>
                <w14:textFill>
                  <w14:solidFill>
                    <w14:srgbClr w14:val="000000">
                      <w14:alpha w14:val="100000"/>
                    </w14:srgbClr>
                  </w14:solidFill>
                </w14:textFill>
              </w:rPr>
              <w:t>|</w:t>
            </w:r>
            <w:r w:rsidR="005F6174">
              <w:rPr>
                <w:vertAlign w:val="superscript"/>
              </w:rPr>
              <w:t>3</w:t>
            </w:r>
          </w:p>
        </w:tc>
        <w:tc>
          <w:tcPr>
            <w:tcW w:w="637" w:type="pct"/>
            <w:shd w:val="clear" w:color="auto" w:fill="auto"/>
          </w:tcPr>
          <w:p w14:paraId="30655803" w14:textId="2E166D63"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8"/>
                <w14:textFill>
                  <w14:solidFill>
                    <w14:srgbClr w14:val="000000">
                      <w14:alpha w14:val="100000"/>
                    </w14:srgbClr>
                  </w14:solidFill>
                </w14:textFill>
              </w:rPr>
              <w:t>|||</w:t>
            </w:r>
            <w:r w:rsidRPr="00466B8C">
              <w:rPr>
                <w:color w:val="000000"/>
                <w:spacing w:val="3"/>
                <w:shd w:val="solid" w:color="000000" w:fill="000000"/>
                <w:fitText w:val="320" w:id="-1236544498"/>
                <w14:textFill>
                  <w14:solidFill>
                    <w14:srgbClr w14:val="000000">
                      <w14:alpha w14:val="100000"/>
                    </w14:srgbClr>
                  </w14:solidFill>
                </w14:textFill>
              </w:rPr>
              <w:t>|</w:t>
            </w:r>
            <w:r w:rsidR="005F6174">
              <w:rPr>
                <w:vertAlign w:val="superscript"/>
              </w:rPr>
              <w:t>3</w:t>
            </w:r>
          </w:p>
        </w:tc>
        <w:tc>
          <w:tcPr>
            <w:tcW w:w="637" w:type="pct"/>
            <w:shd w:val="clear" w:color="auto" w:fill="auto"/>
          </w:tcPr>
          <w:p w14:paraId="3AEE27A2" w14:textId="6441A4A6"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7"/>
                <w14:textFill>
                  <w14:solidFill>
                    <w14:srgbClr w14:val="000000">
                      <w14:alpha w14:val="100000"/>
                    </w14:srgbClr>
                  </w14:solidFill>
                </w14:textFill>
              </w:rPr>
              <w:t>|||</w:t>
            </w:r>
            <w:r w:rsidRPr="00466B8C">
              <w:rPr>
                <w:color w:val="000000"/>
                <w:spacing w:val="3"/>
                <w:shd w:val="solid" w:color="000000" w:fill="000000"/>
                <w:fitText w:val="320" w:id="-1236544497"/>
                <w14:textFill>
                  <w14:solidFill>
                    <w14:srgbClr w14:val="000000">
                      <w14:alpha w14:val="100000"/>
                    </w14:srgbClr>
                  </w14:solidFill>
                </w14:textFill>
              </w:rPr>
              <w:t>|</w:t>
            </w:r>
            <w:r w:rsidR="005F6174">
              <w:rPr>
                <w:vertAlign w:val="superscript"/>
              </w:rPr>
              <w:t>3</w:t>
            </w:r>
          </w:p>
        </w:tc>
        <w:tc>
          <w:tcPr>
            <w:tcW w:w="637" w:type="pct"/>
          </w:tcPr>
          <w:p w14:paraId="5D7342B3" w14:textId="60FEF372"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6"/>
                <w14:textFill>
                  <w14:solidFill>
                    <w14:srgbClr w14:val="000000">
                      <w14:alpha w14:val="100000"/>
                    </w14:srgbClr>
                  </w14:solidFill>
                </w14:textFill>
              </w:rPr>
              <w:t>|||</w:t>
            </w:r>
            <w:r w:rsidRPr="00466B8C">
              <w:rPr>
                <w:color w:val="000000"/>
                <w:spacing w:val="3"/>
                <w:shd w:val="solid" w:color="000000" w:fill="000000"/>
                <w:fitText w:val="320" w:id="-1236544496"/>
                <w14:textFill>
                  <w14:solidFill>
                    <w14:srgbClr w14:val="000000">
                      <w14:alpha w14:val="100000"/>
                    </w14:srgbClr>
                  </w14:solidFill>
                </w14:textFill>
              </w:rPr>
              <w:t>|</w:t>
            </w:r>
            <w:r w:rsidR="005F6174">
              <w:rPr>
                <w:vertAlign w:val="superscript"/>
              </w:rPr>
              <w:t>3</w:t>
            </w:r>
          </w:p>
        </w:tc>
      </w:tr>
      <w:tr w:rsidR="00DD002E" w:rsidRPr="003639A6" w14:paraId="65B9B183" w14:textId="77777777" w:rsidTr="00632A30">
        <w:tc>
          <w:tcPr>
            <w:tcW w:w="1178" w:type="pct"/>
            <w:shd w:val="clear" w:color="auto" w:fill="auto"/>
            <w:vAlign w:val="center"/>
          </w:tcPr>
          <w:p w14:paraId="114A04F8" w14:textId="77777777" w:rsidR="00DD002E" w:rsidRPr="003639A6" w:rsidRDefault="00DD002E" w:rsidP="00632A30">
            <w:pPr>
              <w:pStyle w:val="TableText0"/>
            </w:pPr>
            <w:r>
              <w:t xml:space="preserve">   Total</w:t>
            </w:r>
          </w:p>
        </w:tc>
        <w:tc>
          <w:tcPr>
            <w:tcW w:w="637" w:type="pct"/>
            <w:shd w:val="clear" w:color="auto" w:fill="auto"/>
          </w:tcPr>
          <w:p w14:paraId="5FAD65B9" w14:textId="61DD6B10"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12"/>
                <w14:textFill>
                  <w14:solidFill>
                    <w14:srgbClr w14:val="000000">
                      <w14:alpha w14:val="100000"/>
                    </w14:srgbClr>
                  </w14:solidFill>
                </w14:textFill>
              </w:rPr>
              <w:t>|||</w:t>
            </w:r>
            <w:r w:rsidRPr="00466B8C">
              <w:rPr>
                <w:color w:val="000000"/>
                <w:spacing w:val="3"/>
                <w:shd w:val="solid" w:color="000000" w:fill="000000"/>
                <w:fitText w:val="320" w:id="-1236544512"/>
                <w14:textFill>
                  <w14:solidFill>
                    <w14:srgbClr w14:val="000000">
                      <w14:alpha w14:val="100000"/>
                    </w14:srgbClr>
                  </w14:solidFill>
                </w14:textFill>
              </w:rPr>
              <w:t>|</w:t>
            </w:r>
            <w:r w:rsidR="005F6174">
              <w:rPr>
                <w:vertAlign w:val="superscript"/>
              </w:rPr>
              <w:t>4</w:t>
            </w:r>
          </w:p>
        </w:tc>
        <w:tc>
          <w:tcPr>
            <w:tcW w:w="637" w:type="pct"/>
            <w:shd w:val="clear" w:color="auto" w:fill="auto"/>
          </w:tcPr>
          <w:p w14:paraId="1A245CED" w14:textId="683267B4"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11"/>
                <w14:textFill>
                  <w14:solidFill>
                    <w14:srgbClr w14:val="000000">
                      <w14:alpha w14:val="100000"/>
                    </w14:srgbClr>
                  </w14:solidFill>
                </w14:textFill>
              </w:rPr>
              <w:t>|||</w:t>
            </w:r>
            <w:r w:rsidRPr="00466B8C">
              <w:rPr>
                <w:color w:val="000000"/>
                <w:spacing w:val="3"/>
                <w:shd w:val="solid" w:color="000000" w:fill="000000"/>
                <w:fitText w:val="320" w:id="-1236544511"/>
                <w14:textFill>
                  <w14:solidFill>
                    <w14:srgbClr w14:val="000000">
                      <w14:alpha w14:val="100000"/>
                    </w14:srgbClr>
                  </w14:solidFill>
                </w14:textFill>
              </w:rPr>
              <w:t>|</w:t>
            </w:r>
            <w:r w:rsidR="005F6174">
              <w:rPr>
                <w:vertAlign w:val="superscript"/>
              </w:rPr>
              <w:t>4</w:t>
            </w:r>
          </w:p>
        </w:tc>
        <w:tc>
          <w:tcPr>
            <w:tcW w:w="637" w:type="pct"/>
            <w:shd w:val="clear" w:color="auto" w:fill="auto"/>
          </w:tcPr>
          <w:p w14:paraId="000DA719" w14:textId="1ABF1693"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10"/>
                <w14:textFill>
                  <w14:solidFill>
                    <w14:srgbClr w14:val="000000">
                      <w14:alpha w14:val="100000"/>
                    </w14:srgbClr>
                  </w14:solidFill>
                </w14:textFill>
              </w:rPr>
              <w:t>|||</w:t>
            </w:r>
            <w:r w:rsidRPr="00466B8C">
              <w:rPr>
                <w:color w:val="000000"/>
                <w:spacing w:val="3"/>
                <w:shd w:val="solid" w:color="000000" w:fill="000000"/>
                <w:fitText w:val="320" w:id="-1236544510"/>
                <w14:textFill>
                  <w14:solidFill>
                    <w14:srgbClr w14:val="000000">
                      <w14:alpha w14:val="100000"/>
                    </w14:srgbClr>
                  </w14:solidFill>
                </w14:textFill>
              </w:rPr>
              <w:t>|</w:t>
            </w:r>
            <w:r w:rsidR="005F6174">
              <w:rPr>
                <w:vertAlign w:val="superscript"/>
              </w:rPr>
              <w:t>4</w:t>
            </w:r>
          </w:p>
        </w:tc>
        <w:tc>
          <w:tcPr>
            <w:tcW w:w="637" w:type="pct"/>
            <w:shd w:val="clear" w:color="auto" w:fill="auto"/>
          </w:tcPr>
          <w:p w14:paraId="26D029FF" w14:textId="2AA53C5C"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9"/>
                <w14:textFill>
                  <w14:solidFill>
                    <w14:srgbClr w14:val="000000">
                      <w14:alpha w14:val="100000"/>
                    </w14:srgbClr>
                  </w14:solidFill>
                </w14:textFill>
              </w:rPr>
              <w:t>|||</w:t>
            </w:r>
            <w:r w:rsidRPr="00466B8C">
              <w:rPr>
                <w:color w:val="000000"/>
                <w:spacing w:val="3"/>
                <w:shd w:val="solid" w:color="000000" w:fill="000000"/>
                <w:fitText w:val="320" w:id="-1236544509"/>
                <w14:textFill>
                  <w14:solidFill>
                    <w14:srgbClr w14:val="000000">
                      <w14:alpha w14:val="100000"/>
                    </w14:srgbClr>
                  </w14:solidFill>
                </w14:textFill>
              </w:rPr>
              <w:t>|</w:t>
            </w:r>
            <w:r w:rsidR="005F6174">
              <w:rPr>
                <w:vertAlign w:val="superscript"/>
              </w:rPr>
              <w:t>4</w:t>
            </w:r>
          </w:p>
        </w:tc>
        <w:tc>
          <w:tcPr>
            <w:tcW w:w="637" w:type="pct"/>
            <w:shd w:val="clear" w:color="auto" w:fill="auto"/>
          </w:tcPr>
          <w:p w14:paraId="1AE7F328" w14:textId="79AA87BC"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8"/>
                <w14:textFill>
                  <w14:solidFill>
                    <w14:srgbClr w14:val="000000">
                      <w14:alpha w14:val="100000"/>
                    </w14:srgbClr>
                  </w14:solidFill>
                </w14:textFill>
              </w:rPr>
              <w:t>|||</w:t>
            </w:r>
            <w:r w:rsidRPr="00466B8C">
              <w:rPr>
                <w:color w:val="000000"/>
                <w:spacing w:val="3"/>
                <w:shd w:val="solid" w:color="000000" w:fill="000000"/>
                <w:fitText w:val="320" w:id="-1236544508"/>
                <w14:textFill>
                  <w14:solidFill>
                    <w14:srgbClr w14:val="000000">
                      <w14:alpha w14:val="100000"/>
                    </w14:srgbClr>
                  </w14:solidFill>
                </w14:textFill>
              </w:rPr>
              <w:t>|</w:t>
            </w:r>
            <w:r w:rsidR="005F6174">
              <w:rPr>
                <w:vertAlign w:val="superscript"/>
              </w:rPr>
              <w:t>9</w:t>
            </w:r>
          </w:p>
        </w:tc>
        <w:tc>
          <w:tcPr>
            <w:tcW w:w="637" w:type="pct"/>
          </w:tcPr>
          <w:p w14:paraId="4F680CA3" w14:textId="2990D6CD" w:rsidR="00DD002E" w:rsidRPr="00ED3F67" w:rsidRDefault="00466B8C" w:rsidP="00632A30">
            <w:pPr>
              <w:pStyle w:val="TableText0"/>
              <w:jc w:val="center"/>
              <w:rPr>
                <w:color w:val="000000"/>
                <w:highlight w:val="darkGray"/>
              </w:rPr>
            </w:pPr>
            <w:r w:rsidRPr="00466B8C">
              <w:rPr>
                <w:color w:val="000000"/>
                <w:spacing w:val="49"/>
                <w:shd w:val="solid" w:color="000000" w:fill="000000"/>
                <w:fitText w:val="320" w:id="-1236544507"/>
                <w14:textFill>
                  <w14:solidFill>
                    <w14:srgbClr w14:val="000000">
                      <w14:alpha w14:val="100000"/>
                    </w14:srgbClr>
                  </w14:solidFill>
                </w14:textFill>
              </w:rPr>
              <w:t>|||</w:t>
            </w:r>
            <w:r w:rsidRPr="00466B8C">
              <w:rPr>
                <w:color w:val="000000"/>
                <w:spacing w:val="3"/>
                <w:shd w:val="solid" w:color="000000" w:fill="000000"/>
                <w:fitText w:val="320" w:id="-1236544507"/>
                <w14:textFill>
                  <w14:solidFill>
                    <w14:srgbClr w14:val="000000">
                      <w14:alpha w14:val="100000"/>
                    </w14:srgbClr>
                  </w14:solidFill>
                </w14:textFill>
              </w:rPr>
              <w:t>|</w:t>
            </w:r>
            <w:r w:rsidR="005F6174">
              <w:rPr>
                <w:vertAlign w:val="superscript"/>
              </w:rPr>
              <w:t>9</w:t>
            </w:r>
          </w:p>
        </w:tc>
      </w:tr>
      <w:tr w:rsidR="00DD002E" w:rsidRPr="00D1078F" w14:paraId="527EBDC3" w14:textId="77777777" w:rsidTr="00632A30">
        <w:tc>
          <w:tcPr>
            <w:tcW w:w="5000" w:type="pct"/>
            <w:gridSpan w:val="7"/>
            <w:shd w:val="clear" w:color="auto" w:fill="auto"/>
            <w:vAlign w:val="center"/>
          </w:tcPr>
          <w:p w14:paraId="1FDBE8CD" w14:textId="77777777" w:rsidR="00DD002E" w:rsidRPr="00D1078F" w:rsidRDefault="00DD002E" w:rsidP="00632A30">
            <w:pPr>
              <w:pStyle w:val="In-tableHeading"/>
            </w:pPr>
            <w:r w:rsidRPr="00D1078F">
              <w:t xml:space="preserve">Estimated </w:t>
            </w:r>
            <w:r>
              <w:t>financial implications of 15vPCV</w:t>
            </w:r>
          </w:p>
        </w:tc>
      </w:tr>
      <w:tr w:rsidR="00DD002E" w:rsidRPr="003639A6" w14:paraId="2B938FC4" w14:textId="77777777" w:rsidTr="00632A30">
        <w:tc>
          <w:tcPr>
            <w:tcW w:w="1178" w:type="pct"/>
            <w:shd w:val="clear" w:color="auto" w:fill="auto"/>
            <w:vAlign w:val="center"/>
          </w:tcPr>
          <w:p w14:paraId="6342D201" w14:textId="083B9336" w:rsidR="00DD002E" w:rsidRDefault="00DD002E" w:rsidP="00632A30">
            <w:pPr>
              <w:pStyle w:val="TableText0"/>
              <w:rPr>
                <w:sz w:val="19"/>
                <w:szCs w:val="19"/>
              </w:rPr>
            </w:pPr>
            <w:r>
              <w:rPr>
                <w:sz w:val="19"/>
                <w:szCs w:val="19"/>
              </w:rPr>
              <w:t>Cost to NIP</w:t>
            </w:r>
            <w:r w:rsidR="00ED3F67">
              <w:rPr>
                <w:sz w:val="19"/>
                <w:szCs w:val="19"/>
              </w:rPr>
              <w:t xml:space="preserve"> ($)</w:t>
            </w:r>
          </w:p>
        </w:tc>
        <w:tc>
          <w:tcPr>
            <w:tcW w:w="637" w:type="pct"/>
            <w:shd w:val="clear" w:color="auto" w:fill="auto"/>
          </w:tcPr>
          <w:p w14:paraId="157F6D59" w14:textId="78ECAD10"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6"/>
                <w14:textFill>
                  <w14:solidFill>
                    <w14:srgbClr w14:val="000000">
                      <w14:alpha w14:val="100000"/>
                    </w14:srgbClr>
                  </w14:solidFill>
                </w14:textFill>
              </w:rPr>
              <w:t>|||</w:t>
            </w:r>
            <w:r w:rsidRPr="00466B8C">
              <w:rPr>
                <w:color w:val="000000"/>
                <w:spacing w:val="3"/>
                <w:shd w:val="solid" w:color="000000" w:fill="000000"/>
                <w:fitText w:val="320" w:id="-1236544506"/>
                <w14:textFill>
                  <w14:solidFill>
                    <w14:srgbClr w14:val="000000">
                      <w14:alpha w14:val="100000"/>
                    </w14:srgbClr>
                  </w14:solidFill>
                </w14:textFill>
              </w:rPr>
              <w:t>|</w:t>
            </w:r>
            <w:r w:rsidR="005F6174">
              <w:rPr>
                <w:vertAlign w:val="superscript"/>
              </w:rPr>
              <w:t>5</w:t>
            </w:r>
          </w:p>
        </w:tc>
        <w:tc>
          <w:tcPr>
            <w:tcW w:w="637" w:type="pct"/>
            <w:shd w:val="clear" w:color="auto" w:fill="auto"/>
          </w:tcPr>
          <w:p w14:paraId="5492A1E8" w14:textId="4AA5E78F"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5"/>
                <w14:textFill>
                  <w14:solidFill>
                    <w14:srgbClr w14:val="000000">
                      <w14:alpha w14:val="100000"/>
                    </w14:srgbClr>
                  </w14:solidFill>
                </w14:textFill>
              </w:rPr>
              <w:t>|||</w:t>
            </w:r>
            <w:r w:rsidRPr="00466B8C">
              <w:rPr>
                <w:color w:val="000000"/>
                <w:spacing w:val="3"/>
                <w:shd w:val="solid" w:color="000000" w:fill="000000"/>
                <w:fitText w:val="320" w:id="-1236544505"/>
                <w14:textFill>
                  <w14:solidFill>
                    <w14:srgbClr w14:val="000000">
                      <w14:alpha w14:val="100000"/>
                    </w14:srgbClr>
                  </w14:solidFill>
                </w14:textFill>
              </w:rPr>
              <w:t>|</w:t>
            </w:r>
            <w:r w:rsidR="005F6174">
              <w:rPr>
                <w:vertAlign w:val="superscript"/>
              </w:rPr>
              <w:t>5</w:t>
            </w:r>
          </w:p>
        </w:tc>
        <w:tc>
          <w:tcPr>
            <w:tcW w:w="637" w:type="pct"/>
            <w:shd w:val="clear" w:color="auto" w:fill="auto"/>
          </w:tcPr>
          <w:p w14:paraId="185A326D" w14:textId="2D9D178E"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4"/>
                <w14:textFill>
                  <w14:solidFill>
                    <w14:srgbClr w14:val="000000">
                      <w14:alpha w14:val="100000"/>
                    </w14:srgbClr>
                  </w14:solidFill>
                </w14:textFill>
              </w:rPr>
              <w:t>|||</w:t>
            </w:r>
            <w:r w:rsidRPr="00466B8C">
              <w:rPr>
                <w:color w:val="000000"/>
                <w:spacing w:val="3"/>
                <w:shd w:val="solid" w:color="000000" w:fill="000000"/>
                <w:fitText w:val="320" w:id="-1236544504"/>
                <w14:textFill>
                  <w14:solidFill>
                    <w14:srgbClr w14:val="000000">
                      <w14:alpha w14:val="100000"/>
                    </w14:srgbClr>
                  </w14:solidFill>
                </w14:textFill>
              </w:rPr>
              <w:t>|</w:t>
            </w:r>
            <w:r w:rsidR="005F6174">
              <w:rPr>
                <w:vertAlign w:val="superscript"/>
              </w:rPr>
              <w:t>5</w:t>
            </w:r>
          </w:p>
        </w:tc>
        <w:tc>
          <w:tcPr>
            <w:tcW w:w="637" w:type="pct"/>
            <w:shd w:val="clear" w:color="auto" w:fill="auto"/>
          </w:tcPr>
          <w:p w14:paraId="574D3DB6" w14:textId="40E7C6C0"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3"/>
                <w14:textFill>
                  <w14:solidFill>
                    <w14:srgbClr w14:val="000000">
                      <w14:alpha w14:val="100000"/>
                    </w14:srgbClr>
                  </w14:solidFill>
                </w14:textFill>
              </w:rPr>
              <w:t>|||</w:t>
            </w:r>
            <w:r w:rsidRPr="00466B8C">
              <w:rPr>
                <w:color w:val="000000"/>
                <w:spacing w:val="3"/>
                <w:shd w:val="solid" w:color="000000" w:fill="000000"/>
                <w:fitText w:val="320" w:id="-1236544503"/>
                <w14:textFill>
                  <w14:solidFill>
                    <w14:srgbClr w14:val="000000">
                      <w14:alpha w14:val="100000"/>
                    </w14:srgbClr>
                  </w14:solidFill>
                </w14:textFill>
              </w:rPr>
              <w:t>|</w:t>
            </w:r>
            <w:r w:rsidR="005F6174">
              <w:rPr>
                <w:vertAlign w:val="superscript"/>
              </w:rPr>
              <w:t>5</w:t>
            </w:r>
          </w:p>
        </w:tc>
        <w:tc>
          <w:tcPr>
            <w:tcW w:w="637" w:type="pct"/>
            <w:shd w:val="clear" w:color="auto" w:fill="auto"/>
          </w:tcPr>
          <w:p w14:paraId="49455F36" w14:textId="24A3D638"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2"/>
                <w14:textFill>
                  <w14:solidFill>
                    <w14:srgbClr w14:val="000000">
                      <w14:alpha w14:val="100000"/>
                    </w14:srgbClr>
                  </w14:solidFill>
                </w14:textFill>
              </w:rPr>
              <w:t>|||</w:t>
            </w:r>
            <w:r w:rsidRPr="00466B8C">
              <w:rPr>
                <w:color w:val="000000"/>
                <w:spacing w:val="3"/>
                <w:shd w:val="solid" w:color="000000" w:fill="000000"/>
                <w:fitText w:val="320" w:id="-1236544502"/>
                <w14:textFill>
                  <w14:solidFill>
                    <w14:srgbClr w14:val="000000">
                      <w14:alpha w14:val="100000"/>
                    </w14:srgbClr>
                  </w14:solidFill>
                </w14:textFill>
              </w:rPr>
              <w:t>|</w:t>
            </w:r>
            <w:r w:rsidR="005F6174">
              <w:rPr>
                <w:vertAlign w:val="superscript"/>
              </w:rPr>
              <w:t>5</w:t>
            </w:r>
          </w:p>
        </w:tc>
        <w:tc>
          <w:tcPr>
            <w:tcW w:w="637" w:type="pct"/>
          </w:tcPr>
          <w:p w14:paraId="05626A45" w14:textId="581A16BE"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1"/>
                <w14:textFill>
                  <w14:solidFill>
                    <w14:srgbClr w14:val="000000">
                      <w14:alpha w14:val="100000"/>
                    </w14:srgbClr>
                  </w14:solidFill>
                </w14:textFill>
              </w:rPr>
              <w:t>|||</w:t>
            </w:r>
            <w:r w:rsidRPr="00466B8C">
              <w:rPr>
                <w:color w:val="000000"/>
                <w:spacing w:val="3"/>
                <w:shd w:val="solid" w:color="000000" w:fill="000000"/>
                <w:fitText w:val="320" w:id="-1236544501"/>
                <w14:textFill>
                  <w14:solidFill>
                    <w14:srgbClr w14:val="000000">
                      <w14:alpha w14:val="100000"/>
                    </w14:srgbClr>
                  </w14:solidFill>
                </w14:textFill>
              </w:rPr>
              <w:t>|</w:t>
            </w:r>
            <w:r w:rsidR="005F6174">
              <w:rPr>
                <w:vertAlign w:val="superscript"/>
              </w:rPr>
              <w:t>5</w:t>
            </w:r>
          </w:p>
        </w:tc>
      </w:tr>
      <w:tr w:rsidR="00DD002E" w:rsidRPr="003639A6" w14:paraId="13F94E50" w14:textId="77777777" w:rsidTr="00632A30">
        <w:tc>
          <w:tcPr>
            <w:tcW w:w="5000" w:type="pct"/>
            <w:gridSpan w:val="7"/>
            <w:shd w:val="clear" w:color="auto" w:fill="auto"/>
            <w:vAlign w:val="center"/>
          </w:tcPr>
          <w:p w14:paraId="56FF1C9B" w14:textId="77777777" w:rsidR="00DD002E" w:rsidRPr="003639A6" w:rsidRDefault="00DD002E" w:rsidP="00632A30">
            <w:pPr>
              <w:pStyle w:val="TableText0"/>
            </w:pPr>
            <w:r w:rsidRPr="00D1078F">
              <w:t xml:space="preserve">Estimated </w:t>
            </w:r>
            <w:r>
              <w:t>financial implications for other medicines (13vPCV)</w:t>
            </w:r>
          </w:p>
        </w:tc>
      </w:tr>
      <w:tr w:rsidR="00DD002E" w:rsidRPr="003639A6" w14:paraId="2FB7D41D" w14:textId="77777777" w:rsidTr="00632A30">
        <w:tc>
          <w:tcPr>
            <w:tcW w:w="1178" w:type="pct"/>
            <w:shd w:val="clear" w:color="auto" w:fill="auto"/>
            <w:vAlign w:val="center"/>
          </w:tcPr>
          <w:p w14:paraId="5E3E0B08" w14:textId="50C21794" w:rsidR="00DD002E" w:rsidRDefault="00DD002E" w:rsidP="00632A30">
            <w:pPr>
              <w:pStyle w:val="TableText0"/>
              <w:rPr>
                <w:sz w:val="19"/>
                <w:szCs w:val="19"/>
              </w:rPr>
            </w:pPr>
            <w:r>
              <w:rPr>
                <w:sz w:val="19"/>
                <w:szCs w:val="19"/>
              </w:rPr>
              <w:t>Cost to NIP</w:t>
            </w:r>
            <w:r w:rsidR="00ED3F67">
              <w:rPr>
                <w:sz w:val="19"/>
                <w:szCs w:val="19"/>
              </w:rPr>
              <w:t xml:space="preserve"> ($)</w:t>
            </w:r>
          </w:p>
        </w:tc>
        <w:tc>
          <w:tcPr>
            <w:tcW w:w="637" w:type="pct"/>
            <w:shd w:val="clear" w:color="auto" w:fill="auto"/>
            <w:vAlign w:val="center"/>
          </w:tcPr>
          <w:p w14:paraId="0D3A260C" w14:textId="5DA79859"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0"/>
                <w14:textFill>
                  <w14:solidFill>
                    <w14:srgbClr w14:val="000000">
                      <w14:alpha w14:val="100000"/>
                    </w14:srgbClr>
                  </w14:solidFill>
                </w14:textFill>
              </w:rPr>
              <w:t>|||</w:t>
            </w:r>
            <w:r w:rsidRPr="00466B8C">
              <w:rPr>
                <w:color w:val="000000"/>
                <w:spacing w:val="3"/>
                <w:shd w:val="solid" w:color="000000" w:fill="000000"/>
                <w:fitText w:val="320" w:id="-1236544500"/>
                <w14:textFill>
                  <w14:solidFill>
                    <w14:srgbClr w14:val="000000">
                      <w14:alpha w14:val="100000"/>
                    </w14:srgbClr>
                  </w14:solidFill>
                </w14:textFill>
              </w:rPr>
              <w:t>|</w:t>
            </w:r>
            <w:r w:rsidR="005F6174">
              <w:rPr>
                <w:vertAlign w:val="superscript"/>
              </w:rPr>
              <w:t>6</w:t>
            </w:r>
          </w:p>
        </w:tc>
        <w:tc>
          <w:tcPr>
            <w:tcW w:w="637" w:type="pct"/>
            <w:shd w:val="clear" w:color="auto" w:fill="auto"/>
            <w:vAlign w:val="center"/>
          </w:tcPr>
          <w:p w14:paraId="0AD262AB" w14:textId="5A371A52"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9"/>
                <w14:textFill>
                  <w14:solidFill>
                    <w14:srgbClr w14:val="000000">
                      <w14:alpha w14:val="100000"/>
                    </w14:srgbClr>
                  </w14:solidFill>
                </w14:textFill>
              </w:rPr>
              <w:t>|||</w:t>
            </w:r>
            <w:r w:rsidRPr="00466B8C">
              <w:rPr>
                <w:color w:val="000000"/>
                <w:spacing w:val="3"/>
                <w:shd w:val="solid" w:color="000000" w:fill="000000"/>
                <w:fitText w:val="320" w:id="-1236544499"/>
                <w14:textFill>
                  <w14:solidFill>
                    <w14:srgbClr w14:val="000000">
                      <w14:alpha w14:val="100000"/>
                    </w14:srgbClr>
                  </w14:solidFill>
                </w14:textFill>
              </w:rPr>
              <w:t>|</w:t>
            </w:r>
            <w:r w:rsidR="005F6174">
              <w:rPr>
                <w:vertAlign w:val="superscript"/>
              </w:rPr>
              <w:t>6</w:t>
            </w:r>
          </w:p>
        </w:tc>
        <w:tc>
          <w:tcPr>
            <w:tcW w:w="637" w:type="pct"/>
            <w:shd w:val="clear" w:color="auto" w:fill="auto"/>
            <w:vAlign w:val="center"/>
          </w:tcPr>
          <w:p w14:paraId="441FF876" w14:textId="20238A78"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8"/>
                <w14:textFill>
                  <w14:solidFill>
                    <w14:srgbClr w14:val="000000">
                      <w14:alpha w14:val="100000"/>
                    </w14:srgbClr>
                  </w14:solidFill>
                </w14:textFill>
              </w:rPr>
              <w:t>|||</w:t>
            </w:r>
            <w:r w:rsidRPr="00466B8C">
              <w:rPr>
                <w:color w:val="000000"/>
                <w:spacing w:val="3"/>
                <w:shd w:val="solid" w:color="000000" w:fill="000000"/>
                <w:fitText w:val="320" w:id="-1236544498"/>
                <w14:textFill>
                  <w14:solidFill>
                    <w14:srgbClr w14:val="000000">
                      <w14:alpha w14:val="100000"/>
                    </w14:srgbClr>
                  </w14:solidFill>
                </w14:textFill>
              </w:rPr>
              <w:t>|</w:t>
            </w:r>
            <w:r w:rsidR="005F6174">
              <w:rPr>
                <w:vertAlign w:val="superscript"/>
              </w:rPr>
              <w:t>6</w:t>
            </w:r>
          </w:p>
        </w:tc>
        <w:tc>
          <w:tcPr>
            <w:tcW w:w="637" w:type="pct"/>
            <w:shd w:val="clear" w:color="auto" w:fill="auto"/>
            <w:vAlign w:val="center"/>
          </w:tcPr>
          <w:p w14:paraId="198BA581" w14:textId="5D83F373"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7"/>
                <w14:textFill>
                  <w14:solidFill>
                    <w14:srgbClr w14:val="000000">
                      <w14:alpha w14:val="100000"/>
                    </w14:srgbClr>
                  </w14:solidFill>
                </w14:textFill>
              </w:rPr>
              <w:t>|||</w:t>
            </w:r>
            <w:r w:rsidRPr="00466B8C">
              <w:rPr>
                <w:color w:val="000000"/>
                <w:spacing w:val="3"/>
                <w:shd w:val="solid" w:color="000000" w:fill="000000"/>
                <w:fitText w:val="320" w:id="-1236544497"/>
                <w14:textFill>
                  <w14:solidFill>
                    <w14:srgbClr w14:val="000000">
                      <w14:alpha w14:val="100000"/>
                    </w14:srgbClr>
                  </w14:solidFill>
                </w14:textFill>
              </w:rPr>
              <w:t>|</w:t>
            </w:r>
            <w:r w:rsidR="005F6174">
              <w:rPr>
                <w:vertAlign w:val="superscript"/>
              </w:rPr>
              <w:t>6</w:t>
            </w:r>
          </w:p>
        </w:tc>
        <w:tc>
          <w:tcPr>
            <w:tcW w:w="637" w:type="pct"/>
            <w:shd w:val="clear" w:color="auto" w:fill="auto"/>
            <w:vAlign w:val="center"/>
          </w:tcPr>
          <w:p w14:paraId="1D590927" w14:textId="3D4D9D9B" w:rsidR="00DD002E" w:rsidRPr="00ED3F67" w:rsidRDefault="00466B8C" w:rsidP="00632A30">
            <w:pPr>
              <w:pStyle w:val="TableText0"/>
              <w:jc w:val="center"/>
              <w:rPr>
                <w:highlight w:val="darkGray"/>
              </w:rPr>
            </w:pPr>
            <w:r w:rsidRPr="00466B8C">
              <w:rPr>
                <w:color w:val="000000"/>
                <w:spacing w:val="49"/>
                <w:shd w:val="solid" w:color="000000" w:fill="000000"/>
                <w:fitText w:val="320" w:id="-1236544496"/>
                <w14:textFill>
                  <w14:solidFill>
                    <w14:srgbClr w14:val="000000">
                      <w14:alpha w14:val="100000"/>
                    </w14:srgbClr>
                  </w14:solidFill>
                </w14:textFill>
              </w:rPr>
              <w:t>|||</w:t>
            </w:r>
            <w:r w:rsidRPr="00466B8C">
              <w:rPr>
                <w:color w:val="000000"/>
                <w:spacing w:val="3"/>
                <w:shd w:val="solid" w:color="000000" w:fill="000000"/>
                <w:fitText w:val="320" w:id="-1236544496"/>
                <w14:textFill>
                  <w14:solidFill>
                    <w14:srgbClr w14:val="000000">
                      <w14:alpha w14:val="100000"/>
                    </w14:srgbClr>
                  </w14:solidFill>
                </w14:textFill>
              </w:rPr>
              <w:t>|</w:t>
            </w:r>
            <w:r w:rsidR="005F6174">
              <w:rPr>
                <w:vertAlign w:val="superscript"/>
              </w:rPr>
              <w:t>6</w:t>
            </w:r>
          </w:p>
        </w:tc>
        <w:tc>
          <w:tcPr>
            <w:tcW w:w="637" w:type="pct"/>
            <w:vAlign w:val="center"/>
          </w:tcPr>
          <w:p w14:paraId="7BC0D4FC" w14:textId="0CBBB64F" w:rsidR="00DD002E" w:rsidRPr="00ED3F67" w:rsidRDefault="00466B8C" w:rsidP="00632A30">
            <w:pPr>
              <w:pStyle w:val="TableText0"/>
              <w:jc w:val="center"/>
              <w:rPr>
                <w:highlight w:val="darkGray"/>
              </w:rPr>
            </w:pPr>
            <w:r w:rsidRPr="00466B8C">
              <w:rPr>
                <w:color w:val="000000"/>
                <w:spacing w:val="49"/>
                <w:shd w:val="solid" w:color="000000" w:fill="000000"/>
                <w:fitText w:val="320" w:id="-1236544512"/>
                <w14:textFill>
                  <w14:solidFill>
                    <w14:srgbClr w14:val="000000">
                      <w14:alpha w14:val="100000"/>
                    </w14:srgbClr>
                  </w14:solidFill>
                </w14:textFill>
              </w:rPr>
              <w:t>|||</w:t>
            </w:r>
            <w:r w:rsidRPr="00466B8C">
              <w:rPr>
                <w:color w:val="000000"/>
                <w:spacing w:val="3"/>
                <w:shd w:val="solid" w:color="000000" w:fill="000000"/>
                <w:fitText w:val="320" w:id="-1236544512"/>
                <w14:textFill>
                  <w14:solidFill>
                    <w14:srgbClr w14:val="000000">
                      <w14:alpha w14:val="100000"/>
                    </w14:srgbClr>
                  </w14:solidFill>
                </w14:textFill>
              </w:rPr>
              <w:t>|</w:t>
            </w:r>
            <w:r w:rsidR="005F6174">
              <w:rPr>
                <w:vertAlign w:val="superscript"/>
              </w:rPr>
              <w:t>6</w:t>
            </w:r>
          </w:p>
        </w:tc>
      </w:tr>
      <w:tr w:rsidR="00DD002E" w:rsidRPr="00FC22AB" w14:paraId="573B6295" w14:textId="77777777" w:rsidTr="00632A30">
        <w:tc>
          <w:tcPr>
            <w:tcW w:w="5000" w:type="pct"/>
            <w:gridSpan w:val="7"/>
            <w:shd w:val="clear" w:color="auto" w:fill="auto"/>
            <w:vAlign w:val="center"/>
          </w:tcPr>
          <w:p w14:paraId="3A512D15" w14:textId="77777777" w:rsidR="00DD002E" w:rsidRPr="00FC22AB" w:rsidRDefault="00DD002E" w:rsidP="00632A30">
            <w:pPr>
              <w:pStyle w:val="In-tableHeading"/>
            </w:pPr>
            <w:r w:rsidRPr="00FC22AB">
              <w:t>Net financial implications</w:t>
            </w:r>
            <w:r w:rsidRPr="00FC22AB">
              <w:rPr>
                <w:color w:val="4BACC6" w:themeColor="accent5"/>
              </w:rPr>
              <w:t xml:space="preserve"> </w:t>
            </w:r>
          </w:p>
        </w:tc>
      </w:tr>
      <w:tr w:rsidR="00DD002E" w:rsidRPr="003639A6" w14:paraId="7FB7D699" w14:textId="77777777" w:rsidTr="00632A30">
        <w:tc>
          <w:tcPr>
            <w:tcW w:w="1178" w:type="pct"/>
            <w:shd w:val="clear" w:color="auto" w:fill="auto"/>
            <w:vAlign w:val="center"/>
          </w:tcPr>
          <w:p w14:paraId="1C41D3CF" w14:textId="388AB897" w:rsidR="00DD002E" w:rsidRDefault="00DD002E" w:rsidP="00632A30">
            <w:pPr>
              <w:pStyle w:val="TableText0"/>
              <w:rPr>
                <w:sz w:val="19"/>
                <w:szCs w:val="19"/>
              </w:rPr>
            </w:pPr>
            <w:r>
              <w:rPr>
                <w:sz w:val="19"/>
                <w:szCs w:val="19"/>
              </w:rPr>
              <w:t>Net cost to NIP</w:t>
            </w:r>
            <w:r w:rsidR="00ED3F67">
              <w:rPr>
                <w:sz w:val="19"/>
                <w:szCs w:val="19"/>
              </w:rPr>
              <w:t xml:space="preserve"> ($)</w:t>
            </w:r>
          </w:p>
        </w:tc>
        <w:tc>
          <w:tcPr>
            <w:tcW w:w="637" w:type="pct"/>
            <w:shd w:val="clear" w:color="auto" w:fill="auto"/>
            <w:vAlign w:val="center"/>
          </w:tcPr>
          <w:p w14:paraId="24677256" w14:textId="18DA15EE" w:rsidR="00DD002E" w:rsidRPr="00ED3F67" w:rsidRDefault="00466B8C" w:rsidP="00632A30">
            <w:pPr>
              <w:pStyle w:val="TableText0"/>
              <w:jc w:val="center"/>
              <w:rPr>
                <w:highlight w:val="darkGray"/>
              </w:rPr>
            </w:pPr>
            <w:r w:rsidRPr="00466B8C">
              <w:rPr>
                <w:color w:val="000000"/>
                <w:spacing w:val="49"/>
                <w:shd w:val="solid" w:color="000000" w:fill="000000"/>
                <w:fitText w:val="320" w:id="-1236544511"/>
                <w14:textFill>
                  <w14:solidFill>
                    <w14:srgbClr w14:val="000000">
                      <w14:alpha w14:val="100000"/>
                    </w14:srgbClr>
                  </w14:solidFill>
                </w14:textFill>
              </w:rPr>
              <w:t>|||</w:t>
            </w:r>
            <w:r w:rsidRPr="00466B8C">
              <w:rPr>
                <w:color w:val="000000"/>
                <w:spacing w:val="3"/>
                <w:shd w:val="solid" w:color="000000" w:fill="000000"/>
                <w:fitText w:val="320" w:id="-1236544511"/>
                <w14:textFill>
                  <w14:solidFill>
                    <w14:srgbClr w14:val="000000">
                      <w14:alpha w14:val="100000"/>
                    </w14:srgbClr>
                  </w14:solidFill>
                </w14:textFill>
              </w:rPr>
              <w:t>|</w:t>
            </w:r>
            <w:r w:rsidR="005F6174">
              <w:rPr>
                <w:vertAlign w:val="superscript"/>
              </w:rPr>
              <w:t>7</w:t>
            </w:r>
          </w:p>
        </w:tc>
        <w:tc>
          <w:tcPr>
            <w:tcW w:w="637" w:type="pct"/>
            <w:shd w:val="clear" w:color="auto" w:fill="auto"/>
            <w:vAlign w:val="center"/>
          </w:tcPr>
          <w:p w14:paraId="2F9A0152" w14:textId="12A9ADCA" w:rsidR="00DD002E" w:rsidRPr="00ED3F67" w:rsidRDefault="00466B8C" w:rsidP="00632A30">
            <w:pPr>
              <w:pStyle w:val="TableText0"/>
              <w:jc w:val="center"/>
              <w:rPr>
                <w:highlight w:val="darkGray"/>
              </w:rPr>
            </w:pPr>
            <w:r w:rsidRPr="00466B8C">
              <w:rPr>
                <w:color w:val="000000"/>
                <w:spacing w:val="49"/>
                <w:shd w:val="solid" w:color="000000" w:fill="000000"/>
                <w:fitText w:val="320" w:id="-1236544510"/>
                <w14:textFill>
                  <w14:solidFill>
                    <w14:srgbClr w14:val="000000">
                      <w14:alpha w14:val="100000"/>
                    </w14:srgbClr>
                  </w14:solidFill>
                </w14:textFill>
              </w:rPr>
              <w:t>|||</w:t>
            </w:r>
            <w:r w:rsidRPr="00466B8C">
              <w:rPr>
                <w:color w:val="000000"/>
                <w:spacing w:val="3"/>
                <w:shd w:val="solid" w:color="000000" w:fill="000000"/>
                <w:fitText w:val="320" w:id="-1236544510"/>
                <w14:textFill>
                  <w14:solidFill>
                    <w14:srgbClr w14:val="000000">
                      <w14:alpha w14:val="100000"/>
                    </w14:srgbClr>
                  </w14:solidFill>
                </w14:textFill>
              </w:rPr>
              <w:t>|</w:t>
            </w:r>
            <w:r w:rsidR="005F6174">
              <w:rPr>
                <w:vertAlign w:val="superscript"/>
              </w:rPr>
              <w:t>7</w:t>
            </w:r>
          </w:p>
        </w:tc>
        <w:tc>
          <w:tcPr>
            <w:tcW w:w="637" w:type="pct"/>
            <w:shd w:val="clear" w:color="auto" w:fill="auto"/>
            <w:vAlign w:val="center"/>
          </w:tcPr>
          <w:p w14:paraId="4231637B" w14:textId="722A3C4F"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9"/>
                <w14:textFill>
                  <w14:solidFill>
                    <w14:srgbClr w14:val="000000">
                      <w14:alpha w14:val="100000"/>
                    </w14:srgbClr>
                  </w14:solidFill>
                </w14:textFill>
              </w:rPr>
              <w:t>|||</w:t>
            </w:r>
            <w:r w:rsidRPr="00466B8C">
              <w:rPr>
                <w:color w:val="000000"/>
                <w:spacing w:val="3"/>
                <w:shd w:val="solid" w:color="000000" w:fill="000000"/>
                <w:fitText w:val="320" w:id="-1236544509"/>
                <w14:textFill>
                  <w14:solidFill>
                    <w14:srgbClr w14:val="000000">
                      <w14:alpha w14:val="100000"/>
                    </w14:srgbClr>
                  </w14:solidFill>
                </w14:textFill>
              </w:rPr>
              <w:t>|</w:t>
            </w:r>
            <w:r w:rsidR="005F6174">
              <w:rPr>
                <w:vertAlign w:val="superscript"/>
              </w:rPr>
              <w:t>7</w:t>
            </w:r>
          </w:p>
        </w:tc>
        <w:tc>
          <w:tcPr>
            <w:tcW w:w="637" w:type="pct"/>
            <w:shd w:val="clear" w:color="auto" w:fill="auto"/>
            <w:vAlign w:val="center"/>
          </w:tcPr>
          <w:p w14:paraId="7BC24477" w14:textId="02D61467"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8"/>
                <w14:textFill>
                  <w14:solidFill>
                    <w14:srgbClr w14:val="000000">
                      <w14:alpha w14:val="100000"/>
                    </w14:srgbClr>
                  </w14:solidFill>
                </w14:textFill>
              </w:rPr>
              <w:t>|||</w:t>
            </w:r>
            <w:r w:rsidRPr="00466B8C">
              <w:rPr>
                <w:color w:val="000000"/>
                <w:spacing w:val="3"/>
                <w:shd w:val="solid" w:color="000000" w:fill="000000"/>
                <w:fitText w:val="320" w:id="-1236544508"/>
                <w14:textFill>
                  <w14:solidFill>
                    <w14:srgbClr w14:val="000000">
                      <w14:alpha w14:val="100000"/>
                    </w14:srgbClr>
                  </w14:solidFill>
                </w14:textFill>
              </w:rPr>
              <w:t>|</w:t>
            </w:r>
            <w:r w:rsidR="005F6174">
              <w:rPr>
                <w:vertAlign w:val="superscript"/>
              </w:rPr>
              <w:t>7</w:t>
            </w:r>
          </w:p>
        </w:tc>
        <w:tc>
          <w:tcPr>
            <w:tcW w:w="637" w:type="pct"/>
            <w:shd w:val="clear" w:color="auto" w:fill="auto"/>
            <w:vAlign w:val="center"/>
          </w:tcPr>
          <w:p w14:paraId="66C980D0" w14:textId="225B42BA"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7"/>
                <w14:textFill>
                  <w14:solidFill>
                    <w14:srgbClr w14:val="000000">
                      <w14:alpha w14:val="100000"/>
                    </w14:srgbClr>
                  </w14:solidFill>
                </w14:textFill>
              </w:rPr>
              <w:t>|||</w:t>
            </w:r>
            <w:r w:rsidRPr="00466B8C">
              <w:rPr>
                <w:color w:val="000000"/>
                <w:spacing w:val="3"/>
                <w:shd w:val="solid" w:color="000000" w:fill="000000"/>
                <w:fitText w:val="320" w:id="-1236544507"/>
                <w14:textFill>
                  <w14:solidFill>
                    <w14:srgbClr w14:val="000000">
                      <w14:alpha w14:val="100000"/>
                    </w14:srgbClr>
                  </w14:solidFill>
                </w14:textFill>
              </w:rPr>
              <w:t>|</w:t>
            </w:r>
            <w:r w:rsidR="005F6174">
              <w:rPr>
                <w:vertAlign w:val="superscript"/>
              </w:rPr>
              <w:t>7</w:t>
            </w:r>
          </w:p>
        </w:tc>
        <w:tc>
          <w:tcPr>
            <w:tcW w:w="637" w:type="pct"/>
            <w:vAlign w:val="center"/>
          </w:tcPr>
          <w:p w14:paraId="5B5FA7DE" w14:textId="5197C0D0" w:rsidR="00DD002E" w:rsidRPr="00ED3F67" w:rsidRDefault="00466B8C" w:rsidP="00632A30">
            <w:pPr>
              <w:pStyle w:val="TableText0"/>
              <w:jc w:val="center"/>
              <w:rPr>
                <w:highlight w:val="darkGray"/>
              </w:rPr>
            </w:pPr>
            <w:r w:rsidRPr="00466B8C">
              <w:rPr>
                <w:color w:val="000000"/>
                <w:spacing w:val="49"/>
                <w:shd w:val="solid" w:color="000000" w:fill="000000"/>
                <w:fitText w:val="320" w:id="-1236544506"/>
                <w14:textFill>
                  <w14:solidFill>
                    <w14:srgbClr w14:val="000000">
                      <w14:alpha w14:val="100000"/>
                    </w14:srgbClr>
                  </w14:solidFill>
                </w14:textFill>
              </w:rPr>
              <w:t>|||</w:t>
            </w:r>
            <w:r w:rsidRPr="00466B8C">
              <w:rPr>
                <w:color w:val="000000"/>
                <w:spacing w:val="1"/>
                <w:shd w:val="solid" w:color="000000" w:fill="000000"/>
                <w:fitText w:val="320" w:id="-1236544506"/>
                <w14:textFill>
                  <w14:solidFill>
                    <w14:srgbClr w14:val="000000">
                      <w14:alpha w14:val="100000"/>
                    </w14:srgbClr>
                  </w14:solidFill>
                </w14:textFill>
              </w:rPr>
              <w:t>|</w:t>
            </w:r>
            <w:r w:rsidR="005F6174">
              <w:rPr>
                <w:vertAlign w:val="superscript"/>
              </w:rPr>
              <w:t>7</w:t>
            </w:r>
          </w:p>
        </w:tc>
      </w:tr>
    </w:tbl>
    <w:p w14:paraId="4AB09B73" w14:textId="77777777" w:rsidR="00DD002E" w:rsidRDefault="00DD002E" w:rsidP="00DD002E">
      <w:pPr>
        <w:pStyle w:val="TableFigureFooter"/>
        <w:keepNext/>
        <w:rPr>
          <w:rStyle w:val="CommentReference"/>
        </w:rPr>
      </w:pPr>
      <w:r>
        <w:t>Source:</w:t>
      </w:r>
      <w:r w:rsidRPr="000F1483">
        <w:t xml:space="preserve"> Table</w:t>
      </w:r>
      <w:r>
        <w:t>s</w:t>
      </w:r>
      <w:r w:rsidRPr="000F1483">
        <w:t xml:space="preserve"> </w:t>
      </w:r>
      <w:r>
        <w:t xml:space="preserve">4.2.1, 4.2.2, </w:t>
      </w:r>
      <w:r w:rsidRPr="000F1483">
        <w:t>4</w:t>
      </w:r>
      <w:r>
        <w:t>.3.1, 4.4.1</w:t>
      </w:r>
      <w:r w:rsidRPr="000F1483">
        <w:t>, p</w:t>
      </w:r>
      <w:r>
        <w:t xml:space="preserve">208-212 </w:t>
      </w:r>
      <w:r w:rsidRPr="000F1483">
        <w:t>of the submission</w:t>
      </w:r>
    </w:p>
    <w:p w14:paraId="74486BF5" w14:textId="5177AA68" w:rsidR="00DD002E" w:rsidRDefault="00DD002E" w:rsidP="005F6174">
      <w:pPr>
        <w:pStyle w:val="TableFigureFooter"/>
        <w:keepNext/>
        <w:spacing w:after="0"/>
      </w:pPr>
      <w:r>
        <w:rPr>
          <w:bCs/>
          <w:szCs w:val="18"/>
        </w:rPr>
        <w:t>NIP = National Immunisation Program</w:t>
      </w:r>
      <w:r>
        <w:rPr>
          <w:bCs/>
        </w:rPr>
        <w:t>; PCV</w:t>
      </w:r>
      <w:r w:rsidRPr="00940C4D">
        <w:rPr>
          <w:bCs/>
        </w:rPr>
        <w:t xml:space="preserve"> = </w:t>
      </w:r>
      <w:r>
        <w:rPr>
          <w:bCs/>
        </w:rPr>
        <w:t xml:space="preserve">pneumococcal conjugate vaccine; </w:t>
      </w:r>
      <w:r>
        <w:t>yrs = years</w:t>
      </w:r>
      <w:r w:rsidR="00362189">
        <w:t>.</w:t>
      </w:r>
    </w:p>
    <w:p w14:paraId="2A690ED7" w14:textId="77777777" w:rsidR="005F6174" w:rsidRPr="009A6D58" w:rsidRDefault="005F6174" w:rsidP="005F617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B6B2074" w14:textId="3668970F" w:rsidR="005F6174" w:rsidRPr="009A6D58" w:rsidRDefault="005F6174" w:rsidP="005F617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F6174">
        <w:rPr>
          <w:rFonts w:ascii="Arial Narrow" w:hAnsi="Arial Narrow"/>
          <w:i/>
          <w:sz w:val="18"/>
          <w:szCs w:val="18"/>
        </w:rPr>
        <w:t>800,000 to &lt; 900,000</w:t>
      </w:r>
    </w:p>
    <w:p w14:paraId="77C8CD84" w14:textId="1A7C1681" w:rsidR="005F6174" w:rsidRPr="009A6D58" w:rsidRDefault="005F6174" w:rsidP="005F617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5F6174">
        <w:rPr>
          <w:rFonts w:ascii="Arial Narrow" w:hAnsi="Arial Narrow"/>
          <w:i/>
          <w:sz w:val="18"/>
          <w:szCs w:val="18"/>
        </w:rPr>
        <w:t>60,000 to &lt; 70,000</w:t>
      </w:r>
    </w:p>
    <w:p w14:paraId="6D8136D0" w14:textId="08C09B35" w:rsidR="005F6174" w:rsidRDefault="005F6174" w:rsidP="005F617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5F6174">
        <w:rPr>
          <w:rFonts w:ascii="Arial Narrow" w:hAnsi="Arial Narrow"/>
          <w:i/>
          <w:sz w:val="18"/>
          <w:szCs w:val="18"/>
        </w:rPr>
        <w:t>500 to &lt; 5,000</w:t>
      </w:r>
    </w:p>
    <w:p w14:paraId="1120BF21" w14:textId="4C218110" w:rsidR="005F6174" w:rsidRDefault="005F6174" w:rsidP="005F617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5F6174">
        <w:rPr>
          <w:rFonts w:ascii="Arial Narrow" w:hAnsi="Arial Narrow"/>
          <w:i/>
          <w:sz w:val="18"/>
          <w:szCs w:val="18"/>
        </w:rPr>
        <w:t>900,000 to &lt; 1,000,000</w:t>
      </w:r>
    </w:p>
    <w:p w14:paraId="30510851" w14:textId="24C20FAA" w:rsidR="005F6174" w:rsidRDefault="005F6174" w:rsidP="005F6174">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5F6174">
        <w:rPr>
          <w:rFonts w:ascii="Arial Narrow" w:hAnsi="Arial Narrow"/>
          <w:i/>
          <w:sz w:val="18"/>
          <w:szCs w:val="18"/>
        </w:rPr>
        <w:t>$100 million to &lt; $200 million</w:t>
      </w:r>
    </w:p>
    <w:p w14:paraId="2FB8CF2A" w14:textId="28A367B9" w:rsidR="005F6174" w:rsidRDefault="005F6174" w:rsidP="005F6174">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5F6174">
        <w:rPr>
          <w:rFonts w:ascii="Arial Narrow" w:hAnsi="Arial Narrow"/>
          <w:i/>
          <w:sz w:val="18"/>
          <w:szCs w:val="18"/>
        </w:rPr>
        <w:t>net cost saving</w:t>
      </w:r>
    </w:p>
    <w:p w14:paraId="5FF03986" w14:textId="79CB56F4" w:rsidR="005F6174" w:rsidRPr="009A6D58" w:rsidRDefault="005F6174" w:rsidP="005F6174">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5F6174">
        <w:rPr>
          <w:rFonts w:ascii="Arial Narrow" w:hAnsi="Arial Narrow"/>
          <w:i/>
          <w:sz w:val="18"/>
          <w:szCs w:val="18"/>
        </w:rPr>
        <w:t>$0 to &lt; $10 million</w:t>
      </w:r>
    </w:p>
    <w:p w14:paraId="1DDBBD85" w14:textId="11D749DE" w:rsidR="005F6174" w:rsidRPr="009A6D58" w:rsidRDefault="005F6174" w:rsidP="005F6174">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5F6174">
        <w:rPr>
          <w:rFonts w:ascii="Arial Narrow" w:hAnsi="Arial Narrow"/>
          <w:i/>
          <w:sz w:val="18"/>
          <w:szCs w:val="18"/>
        </w:rPr>
        <w:t>70,000 to &lt; 80,000</w:t>
      </w:r>
    </w:p>
    <w:p w14:paraId="76D138BC" w14:textId="19C1DA30" w:rsidR="005F6174" w:rsidRPr="005F6174" w:rsidRDefault="005F6174" w:rsidP="005F6174">
      <w:pPr>
        <w:spacing w:after="120"/>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5F6174">
        <w:rPr>
          <w:rFonts w:ascii="Arial Narrow" w:hAnsi="Arial Narrow"/>
          <w:i/>
          <w:sz w:val="18"/>
          <w:szCs w:val="18"/>
        </w:rPr>
        <w:t>1,000,000 to &lt; 2,000,000</w:t>
      </w:r>
    </w:p>
    <w:p w14:paraId="19628666" w14:textId="40EBB7E7" w:rsidR="00DD002E" w:rsidRPr="00B313A0" w:rsidRDefault="00DD002E" w:rsidP="00DD002E">
      <w:pPr>
        <w:pStyle w:val="3-BodyText"/>
      </w:pPr>
      <w:r w:rsidRPr="00B313A0">
        <w:t xml:space="preserve">The submission presented a sensitivity analysis reducing the vaccine coverage rate in the medically at risk cohort </w:t>
      </w:r>
      <w:r w:rsidRPr="00ED3F67">
        <w:t>from 94.18%</w:t>
      </w:r>
      <w:r w:rsidRPr="00B313A0">
        <w:t xml:space="preserve"> </w:t>
      </w:r>
      <w:r w:rsidRPr="005F6174">
        <w:t>to 53%, as</w:t>
      </w:r>
      <w:r w:rsidRPr="00B313A0">
        <w:t xml:space="preserve"> stated in ATAGI Advice relating to paragraph 6.36, </w:t>
      </w:r>
      <w:r w:rsidR="00362189">
        <w:t>13v</w:t>
      </w:r>
      <w:r w:rsidRPr="00B313A0">
        <w:t>PCV PSD, November 2018. The submission stated that as this assumption affects the 13vPCV and 15vPCV costs equally, there would be no difference in the net cost to government.</w:t>
      </w:r>
    </w:p>
    <w:p w14:paraId="73CABC36" w14:textId="77777777" w:rsidR="00DD002E" w:rsidRPr="00C9624D" w:rsidRDefault="00DD002E" w:rsidP="00DD002E">
      <w:pPr>
        <w:pStyle w:val="4-SubsectionHeading"/>
      </w:pPr>
      <w:bookmarkStart w:id="58" w:name="_Toc22897648"/>
      <w:bookmarkStart w:id="59" w:name="_Toc124765900"/>
      <w:r w:rsidRPr="00C9624D">
        <w:t>Quality Use of Medicines</w:t>
      </w:r>
      <w:bookmarkEnd w:id="58"/>
      <w:bookmarkEnd w:id="59"/>
    </w:p>
    <w:p w14:paraId="43A3568F" w14:textId="77777777" w:rsidR="00DD002E" w:rsidRDefault="00DD002E" w:rsidP="00DD002E">
      <w:pPr>
        <w:pStyle w:val="3-BodyText"/>
      </w:pPr>
      <w:r w:rsidRPr="00C05FC5">
        <w:t xml:space="preserve">The submission stated that the sponsor will provide educational materials, including face to face sessions, to health professionals about </w:t>
      </w:r>
      <w:r>
        <w:t>15vPCV</w:t>
      </w:r>
      <w:r w:rsidRPr="00C05FC5">
        <w:t xml:space="preserve"> with input from peak bodies such as </w:t>
      </w:r>
      <w:r>
        <w:t xml:space="preserve">the </w:t>
      </w:r>
      <w:r w:rsidRPr="005B79E0">
        <w:t xml:space="preserve">Royal Australian College of General Practitioners </w:t>
      </w:r>
      <w:r>
        <w:t>(</w:t>
      </w:r>
      <w:r w:rsidRPr="00C05FC5">
        <w:t>RACGP</w:t>
      </w:r>
      <w:r>
        <w:t>)</w:t>
      </w:r>
      <w:r w:rsidRPr="00C05FC5">
        <w:t xml:space="preserve">, </w:t>
      </w:r>
      <w:r>
        <w:t xml:space="preserve">the </w:t>
      </w:r>
      <w:r w:rsidRPr="00C05FC5">
        <w:t>Au</w:t>
      </w:r>
      <w:r>
        <w:t>stralian College of Nursing (Au</w:t>
      </w:r>
      <w:r w:rsidRPr="00C05FC5">
        <w:t>CN</w:t>
      </w:r>
      <w:r>
        <w:t>)</w:t>
      </w:r>
      <w:r w:rsidRPr="00C05FC5">
        <w:t xml:space="preserve">, </w:t>
      </w:r>
      <w:r>
        <w:t xml:space="preserve">the </w:t>
      </w:r>
      <w:r w:rsidRPr="005B79E0">
        <w:t xml:space="preserve">Royal Australasian College of Physicians </w:t>
      </w:r>
      <w:r>
        <w:t>(</w:t>
      </w:r>
      <w:r w:rsidRPr="00C05FC5">
        <w:t>RACP</w:t>
      </w:r>
      <w:r>
        <w:t>)</w:t>
      </w:r>
      <w:r w:rsidRPr="00C05FC5">
        <w:t xml:space="preserve"> and vaccine safety surveillance bodies</w:t>
      </w:r>
      <w:r>
        <w:t>, for example</w:t>
      </w:r>
      <w:r w:rsidRPr="00C05FC5">
        <w:t xml:space="preserve"> AusVaxSafety.</w:t>
      </w:r>
      <w:r>
        <w:t xml:space="preserve"> The submission also stated that the existing 1800 medical information service will be able to provide information about the vaccine. </w:t>
      </w:r>
    </w:p>
    <w:p w14:paraId="01399EBF" w14:textId="6211A48F" w:rsidR="00DD002E" w:rsidRPr="005F6174" w:rsidRDefault="00DD002E" w:rsidP="005F6174">
      <w:pPr>
        <w:ind w:firstLine="709"/>
        <w:rPr>
          <w:rFonts w:asciiTheme="minorHAnsi" w:hAnsiTheme="minorHAnsi"/>
          <w:i/>
        </w:rPr>
      </w:pPr>
      <w:bookmarkStart w:id="60" w:name="_Hlk76375324"/>
      <w:r w:rsidRPr="00C33D30">
        <w:rPr>
          <w:rFonts w:asciiTheme="minorHAnsi" w:hAnsiTheme="minorHAnsi"/>
          <w:i/>
        </w:rPr>
        <w:lastRenderedPageBreak/>
        <w:t>For more detail on PBAC’s view, see section 7 PBAC outcome.</w:t>
      </w:r>
      <w:bookmarkEnd w:id="60"/>
    </w:p>
    <w:p w14:paraId="1A8BC2FB" w14:textId="77777777" w:rsidR="00DD002E" w:rsidRPr="0090150D" w:rsidRDefault="00DD002E" w:rsidP="00DD002E">
      <w:pPr>
        <w:pStyle w:val="2-SectionHeading"/>
        <w:numPr>
          <w:ilvl w:val="0"/>
          <w:numId w:val="1"/>
        </w:numPr>
      </w:pPr>
      <w:bookmarkStart w:id="61" w:name="_Hlk76381249"/>
      <w:bookmarkStart w:id="62" w:name="_Hlk76377955"/>
      <w:r w:rsidRPr="0090150D">
        <w:t>PBAC Outcome</w:t>
      </w:r>
    </w:p>
    <w:p w14:paraId="1C8BAC2A" w14:textId="77777777" w:rsidR="005C0CE0" w:rsidRDefault="005C0CE0" w:rsidP="005C0CE0">
      <w:pPr>
        <w:pStyle w:val="3-BodyText"/>
      </w:pPr>
      <w:bookmarkStart w:id="63" w:name="_Hlk87972578"/>
      <w:r>
        <w:t xml:space="preserve">The PBAC recommended that 15-valent pneumococcal conjugate vaccine (15vPCV, Vaxneuvance®) be a designated vaccine for the purposes of the </w:t>
      </w:r>
      <w:r>
        <w:rPr>
          <w:i/>
          <w:iCs/>
        </w:rPr>
        <w:t>National Health Act 1953</w:t>
      </w:r>
      <w:r>
        <w:t>, for the prevention of pneumococcal disease in the following paediatric populations:</w:t>
      </w:r>
    </w:p>
    <w:p w14:paraId="0934D06B" w14:textId="1EC1BA04" w:rsidR="005C0CE0" w:rsidRPr="005C0CE0" w:rsidRDefault="005C0CE0" w:rsidP="00F31F79">
      <w:pPr>
        <w:pStyle w:val="3-BodyText"/>
        <w:numPr>
          <w:ilvl w:val="0"/>
          <w:numId w:val="7"/>
        </w:numPr>
      </w:pPr>
      <w:r w:rsidRPr="005C0CE0">
        <w:t>Non-indigenous infants and Aboriginal and Torres Strait Islander infants living in ACT, NSW, Vic and Tas</w:t>
      </w:r>
      <w:r w:rsidR="000D2B4D">
        <w:t>: 3 doses at ages 2, 4 and 12 months (2+1 doses)</w:t>
      </w:r>
      <w:r w:rsidRPr="005C0CE0">
        <w:t>;​</w:t>
      </w:r>
    </w:p>
    <w:p w14:paraId="4A2C5C9B" w14:textId="4B7658C9" w:rsidR="005C0CE0" w:rsidRPr="005C0CE0" w:rsidRDefault="005C0CE0" w:rsidP="00F31F79">
      <w:pPr>
        <w:pStyle w:val="3-BodyText"/>
        <w:numPr>
          <w:ilvl w:val="0"/>
          <w:numId w:val="7"/>
        </w:numPr>
      </w:pPr>
      <w:r w:rsidRPr="005C0CE0">
        <w:t>Infants with specified medical risk conditions and Aboriginal and Torres Strait Islander infants living in WA, NT, SA and Qld</w:t>
      </w:r>
      <w:r w:rsidR="000D2B4D">
        <w:t>: 4 doses at ages 2, 4, 6 and 12 months (3+1 doses)</w:t>
      </w:r>
      <w:r w:rsidRPr="005C0CE0">
        <w:t>;​</w:t>
      </w:r>
    </w:p>
    <w:p w14:paraId="22E987F1" w14:textId="325B3A39" w:rsidR="005C0CE0" w:rsidRPr="005C0CE0" w:rsidRDefault="005C0CE0" w:rsidP="00F31F79">
      <w:pPr>
        <w:pStyle w:val="3-BodyText"/>
        <w:numPr>
          <w:ilvl w:val="0"/>
          <w:numId w:val="7"/>
        </w:numPr>
      </w:pPr>
      <w:r w:rsidRPr="005C0CE0">
        <w:t>Children and adolescents between 12 months and 18 years newly diagnosed with a specified medical risk condition</w:t>
      </w:r>
      <w:r w:rsidR="000D2B4D">
        <w:t xml:space="preserve"> (1 dose)</w:t>
      </w:r>
      <w:r w:rsidRPr="005C0CE0">
        <w:t>;​</w:t>
      </w:r>
    </w:p>
    <w:p w14:paraId="51183A8C" w14:textId="5B3C6EAC" w:rsidR="005C0CE0" w:rsidRPr="005C0CE0" w:rsidRDefault="005C0CE0" w:rsidP="00F31F79">
      <w:pPr>
        <w:pStyle w:val="3-BodyText"/>
        <w:numPr>
          <w:ilvl w:val="0"/>
          <w:numId w:val="7"/>
        </w:numPr>
      </w:pPr>
      <w:r>
        <w:t>H</w:t>
      </w:r>
      <w:r w:rsidRPr="005C0CE0">
        <w:t>aematopoietic stem cell transplant recipients aged 12 months to &lt;18 years</w:t>
      </w:r>
      <w:r w:rsidR="000D2B4D">
        <w:t>: 3 doses at 6, 8, and 12 months after HSCT (3 doses)</w:t>
      </w:r>
      <w:r w:rsidRPr="005C0CE0">
        <w:t>. ​</w:t>
      </w:r>
    </w:p>
    <w:p w14:paraId="391FE724" w14:textId="0C18127E" w:rsidR="005C0CE0" w:rsidRDefault="005C0CE0" w:rsidP="005C0CE0">
      <w:pPr>
        <w:pStyle w:val="3-BodyText"/>
        <w:numPr>
          <w:ilvl w:val="0"/>
          <w:numId w:val="0"/>
        </w:numPr>
        <w:ind w:left="720"/>
      </w:pPr>
      <w:r>
        <w:t xml:space="preserve">The PBAC’s recommendation for listing </w:t>
      </w:r>
      <w:r w:rsidR="00B60C54">
        <w:t>for</w:t>
      </w:r>
      <w:r>
        <w:t xml:space="preserve"> the existing NIP paediatric populations was based on, among other matters, its assessment that the cost-effectiveness of 15vPCV would be acceptable if it were cost-minimised against the nominated comparator, 13-valent pneumococcal conjugate vaccine (13vPCV).</w:t>
      </w:r>
      <w:bookmarkEnd w:id="63"/>
    </w:p>
    <w:p w14:paraId="5DF1250C" w14:textId="039F421D" w:rsidR="005C0CE0" w:rsidRPr="004451DF" w:rsidRDefault="005C0CE0" w:rsidP="005C0CE0">
      <w:pPr>
        <w:pStyle w:val="3-BodyText"/>
      </w:pPr>
      <w:r>
        <w:t>The PBAC considered that nomination of 13vPCV as the main comparator was appropriate</w:t>
      </w:r>
      <w:r>
        <w:rPr>
          <w:lang w:val="en-US"/>
        </w:rPr>
        <w:t xml:space="preserve">. </w:t>
      </w:r>
    </w:p>
    <w:p w14:paraId="0FB7FED2" w14:textId="307FFE76" w:rsidR="004451DF" w:rsidRPr="004B08CD" w:rsidRDefault="004451DF" w:rsidP="005C0CE0">
      <w:pPr>
        <w:pStyle w:val="3-BodyText"/>
      </w:pPr>
      <w:r w:rsidRPr="004B08CD">
        <w:rPr>
          <w:lang w:val="en-GB"/>
        </w:rPr>
        <w:t xml:space="preserve">The PBAC advised that the equi-effective doses were 1 x 0.5 mL </w:t>
      </w:r>
      <w:r w:rsidR="004B08CD" w:rsidRPr="004B08CD">
        <w:rPr>
          <w:lang w:val="en-GB"/>
        </w:rPr>
        <w:t>15vPCV</w:t>
      </w:r>
      <w:r w:rsidRPr="004B08CD">
        <w:rPr>
          <w:lang w:val="en-GB"/>
        </w:rPr>
        <w:t xml:space="preserve"> and 1 x 0.5</w:t>
      </w:r>
      <w:r w:rsidR="004B08CD">
        <w:rPr>
          <w:lang w:val="en-GB"/>
        </w:rPr>
        <w:t> </w:t>
      </w:r>
      <w:r w:rsidRPr="004B08CD">
        <w:rPr>
          <w:lang w:val="en-GB"/>
        </w:rPr>
        <w:t xml:space="preserve">mL </w:t>
      </w:r>
      <w:r w:rsidR="004B08CD" w:rsidRPr="004B08CD">
        <w:rPr>
          <w:lang w:val="en-GB"/>
        </w:rPr>
        <w:t>13vPCV</w:t>
      </w:r>
      <w:r w:rsidRPr="004B08CD">
        <w:rPr>
          <w:lang w:val="en-GB"/>
        </w:rPr>
        <w:t>.</w:t>
      </w:r>
    </w:p>
    <w:p w14:paraId="60BCAAB0" w14:textId="75434C1D" w:rsidR="0009113F" w:rsidRDefault="00EB58B7" w:rsidP="0009113F">
      <w:pPr>
        <w:pStyle w:val="3-BodyText"/>
      </w:pPr>
      <w:r>
        <w:rPr>
          <w:snapToGrid/>
          <w:lang w:val="en-US"/>
        </w:rPr>
        <w:t>The submission was based on eight phase III trials comparing 15vPCV to 13vPCV</w:t>
      </w:r>
      <w:r>
        <w:t xml:space="preserve">. </w:t>
      </w:r>
      <w:r w:rsidR="0009113F">
        <w:t>The PBAC noted that the assessment of comparative effectiveness was based on bridging immunogenicity data, such that i</w:t>
      </w:r>
      <w:r w:rsidR="0009113F" w:rsidRPr="00C85FC3">
        <w:t xml:space="preserve">mmunogenicity for </w:t>
      </w:r>
      <w:r w:rsidR="0009113F">
        <w:t>15vPCV</w:t>
      </w:r>
      <w:r w:rsidR="0009113F" w:rsidRPr="00C85FC3">
        <w:t xml:space="preserve"> </w:t>
      </w:r>
      <w:r w:rsidR="0009113F">
        <w:t>was</w:t>
      </w:r>
      <w:r w:rsidR="0009113F" w:rsidRPr="00C85FC3">
        <w:t xml:space="preserve"> compared to that of </w:t>
      </w:r>
      <w:r w:rsidR="0009113F">
        <w:t>13vPCV</w:t>
      </w:r>
      <w:r w:rsidR="0009113F" w:rsidRPr="00C85FC3">
        <w:t xml:space="preserve">, while </w:t>
      </w:r>
      <w:r w:rsidR="0009113F">
        <w:t>13vPCV</w:t>
      </w:r>
      <w:r w:rsidR="0009113F" w:rsidRPr="00C85FC3">
        <w:t xml:space="preserve"> immunogenicity was in turn previously compared to that of</w:t>
      </w:r>
      <w:r w:rsidR="0009113F">
        <w:t xml:space="preserve"> </w:t>
      </w:r>
      <w:r w:rsidR="0009113F" w:rsidRPr="00C85FC3">
        <w:t xml:space="preserve"> </w:t>
      </w:r>
      <w:r w:rsidR="00A06AC5">
        <w:t>7vPCV</w:t>
      </w:r>
      <w:r w:rsidR="0009113F" w:rsidRPr="00C85FC3">
        <w:t xml:space="preserve">, for which there </w:t>
      </w:r>
      <w:r w:rsidR="0009113F">
        <w:t>was</w:t>
      </w:r>
      <w:r w:rsidR="0009113F" w:rsidRPr="00C85FC3">
        <w:t xml:space="preserve"> clinical </w:t>
      </w:r>
      <w:r w:rsidR="0009113F" w:rsidRPr="00E53E86">
        <w:t xml:space="preserve">evidence. </w:t>
      </w:r>
      <w:r w:rsidR="0009113F">
        <w:t>The PBAC considered this appropriate for pae</w:t>
      </w:r>
      <w:r w:rsidR="0009113F">
        <w:rPr>
          <w:snapToGrid/>
          <w:lang w:val="en-US"/>
        </w:rPr>
        <w:t>diatric populations</w:t>
      </w:r>
      <w:r w:rsidR="00B60C54">
        <w:rPr>
          <w:snapToGrid/>
          <w:lang w:val="en-US"/>
        </w:rPr>
        <w:t>, noting other advisory bodies such as ATAGI and</w:t>
      </w:r>
      <w:r w:rsidR="00A06AC5">
        <w:rPr>
          <w:snapToGrid/>
          <w:lang w:val="en-US"/>
        </w:rPr>
        <w:t xml:space="preserve"> the</w:t>
      </w:r>
      <w:r w:rsidR="00B60C54">
        <w:rPr>
          <w:snapToGrid/>
          <w:lang w:val="en-US"/>
        </w:rPr>
        <w:t xml:space="preserve"> TGA had previousl</w:t>
      </w:r>
      <w:r w:rsidR="00A06AC5">
        <w:rPr>
          <w:snapToGrid/>
          <w:lang w:val="en-US"/>
        </w:rPr>
        <w:t>y</w:t>
      </w:r>
      <w:r w:rsidR="00B60C54">
        <w:rPr>
          <w:snapToGrid/>
          <w:lang w:val="en-US"/>
        </w:rPr>
        <w:t xml:space="preserve"> accepted this approach. </w:t>
      </w:r>
    </w:p>
    <w:p w14:paraId="63BCA4E5" w14:textId="618E97E3" w:rsidR="00F31F79" w:rsidRPr="004D1595" w:rsidRDefault="00F31F79" w:rsidP="004D1595">
      <w:pPr>
        <w:widowControl w:val="0"/>
        <w:numPr>
          <w:ilvl w:val="1"/>
          <w:numId w:val="1"/>
        </w:numPr>
        <w:spacing w:after="120"/>
        <w:rPr>
          <w:rFonts w:asciiTheme="minorHAnsi" w:hAnsiTheme="minorHAnsi"/>
          <w:snapToGrid w:val="0"/>
          <w:szCs w:val="20"/>
        </w:rPr>
      </w:pPr>
      <w:r>
        <w:t xml:space="preserve">The PBAC </w:t>
      </w:r>
      <w:r w:rsidR="004D1595">
        <w:t>noted the submission</w:t>
      </w:r>
      <w:r>
        <w:t xml:space="preserve"> claim</w:t>
      </w:r>
      <w:r w:rsidR="004D1595">
        <w:t>ed</w:t>
      </w:r>
      <w:r>
        <w:t xml:space="preserve"> non-inferiority </w:t>
      </w:r>
      <w:r w:rsidRPr="005C0CE0">
        <w:t>of 15vPCV to 13vPCV in 12 of the 13 shared serotypes, an increased immune response to serotype 3, and a superior immune response to 13vPCV for the unique serotypes 22F and 33F</w:t>
      </w:r>
      <w:r>
        <w:t xml:space="preserve">. The PBAC agreed with the </w:t>
      </w:r>
      <w:r w:rsidRPr="005C0CE0">
        <w:rPr>
          <w:rFonts w:eastAsia="Calibri"/>
        </w:rPr>
        <w:t>ESC that the</w:t>
      </w:r>
      <w:r w:rsidRPr="005C0CE0">
        <w:rPr>
          <w:rFonts w:eastAsia="Calibri"/>
          <w:lang w:val="en-GB"/>
        </w:rPr>
        <w:t xml:space="preserve"> claim for an increased immune response for specific serotypes is difficult to assess, as it is uncertain whether this would translate to meaningfully improved clinical protection.</w:t>
      </w:r>
      <w:r w:rsidR="004D1595">
        <w:rPr>
          <w:rFonts w:eastAsia="Calibri"/>
          <w:lang w:val="en-GB"/>
        </w:rPr>
        <w:t xml:space="preserve"> </w:t>
      </w:r>
      <w:r w:rsidR="004D1595" w:rsidRPr="00CE42B4">
        <w:rPr>
          <w:rFonts w:asciiTheme="minorHAnsi" w:hAnsiTheme="minorHAnsi"/>
          <w:iCs/>
          <w:snapToGrid w:val="0"/>
        </w:rPr>
        <w:t>The</w:t>
      </w:r>
      <w:r w:rsidR="004D1595" w:rsidRPr="00CE42B4">
        <w:rPr>
          <w:rFonts w:asciiTheme="minorHAnsi" w:hAnsiTheme="minorHAnsi"/>
          <w:snapToGrid w:val="0"/>
          <w:szCs w:val="20"/>
        </w:rPr>
        <w:t xml:space="preserve"> PBAC considered that the claim of non-inferior comparative effectiveness was reasonable.</w:t>
      </w:r>
    </w:p>
    <w:p w14:paraId="21E45AF9" w14:textId="191EAD40" w:rsidR="00DD002E" w:rsidRPr="00BA4CE2" w:rsidRDefault="00856B9E" w:rsidP="00DD002E">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While t</w:t>
      </w:r>
      <w:r w:rsidR="00F31F79">
        <w:rPr>
          <w:rFonts w:asciiTheme="minorHAnsi" w:hAnsiTheme="minorHAnsi"/>
          <w:snapToGrid w:val="0"/>
          <w:lang w:val="en-GB"/>
        </w:rPr>
        <w:t xml:space="preserve">he PBAC </w:t>
      </w:r>
      <w:r w:rsidR="00614ACB">
        <w:rPr>
          <w:rFonts w:asciiTheme="minorHAnsi" w:hAnsiTheme="minorHAnsi"/>
          <w:snapToGrid w:val="0"/>
          <w:lang w:val="en-GB"/>
        </w:rPr>
        <w:t>noted that</w:t>
      </w:r>
      <w:r w:rsidR="00F31F79" w:rsidRPr="005C0CE0">
        <w:rPr>
          <w:rFonts w:eastAsia="Calibri"/>
        </w:rPr>
        <w:t xml:space="preserve"> moderate and severe pain at the injection site was more frequent with 15vPCV</w:t>
      </w:r>
      <w:r w:rsidR="00614ACB">
        <w:rPr>
          <w:rFonts w:eastAsia="Calibri"/>
        </w:rPr>
        <w:t xml:space="preserve"> than 13vPCV</w:t>
      </w:r>
      <w:r w:rsidR="00F31F79" w:rsidRPr="005C0CE0">
        <w:rPr>
          <w:rFonts w:eastAsia="Calibri"/>
          <w:lang w:val="en-GB"/>
        </w:rPr>
        <w:t>,</w:t>
      </w:r>
      <w:r w:rsidR="00F31F79">
        <w:rPr>
          <w:rFonts w:eastAsia="Calibri"/>
          <w:lang w:val="en-GB"/>
        </w:rPr>
        <w:t xml:space="preserve"> </w:t>
      </w:r>
      <w:r w:rsidR="00F31F79" w:rsidRPr="005C0CE0">
        <w:rPr>
          <w:rFonts w:eastAsia="Calibri"/>
          <w:lang w:val="en-GB"/>
        </w:rPr>
        <w:t xml:space="preserve">it </w:t>
      </w:r>
      <w:r w:rsidR="00614ACB">
        <w:rPr>
          <w:rFonts w:eastAsia="Calibri"/>
          <w:lang w:val="en-GB"/>
        </w:rPr>
        <w:t>was uncertain</w:t>
      </w:r>
      <w:r w:rsidR="00F31F79" w:rsidRPr="005C0CE0">
        <w:rPr>
          <w:rFonts w:eastAsia="Calibri"/>
          <w:lang w:val="en-GB"/>
        </w:rPr>
        <w:t xml:space="preserve"> whether this would impact on tolerability/acceptability of the vaccine</w:t>
      </w:r>
      <w:r w:rsidR="00614ACB">
        <w:rPr>
          <w:rFonts w:eastAsia="Calibri"/>
          <w:lang w:val="en-GB"/>
        </w:rPr>
        <w:t xml:space="preserve"> and considered overall that </w:t>
      </w:r>
      <w:r w:rsidR="00614ACB" w:rsidRPr="00B85497">
        <w:rPr>
          <w:rFonts w:asciiTheme="minorHAnsi" w:hAnsiTheme="minorHAnsi"/>
          <w:snapToGrid w:val="0"/>
          <w:szCs w:val="20"/>
        </w:rPr>
        <w:t>the claim of noninferior comparative safety was reasonable</w:t>
      </w:r>
      <w:r w:rsidR="00F31F79" w:rsidRPr="005C0CE0">
        <w:rPr>
          <w:rFonts w:eastAsia="Calibri"/>
          <w:lang w:val="en-GB"/>
        </w:rPr>
        <w:t xml:space="preserve">. </w:t>
      </w:r>
    </w:p>
    <w:p w14:paraId="1980177F" w14:textId="6A89FA39" w:rsidR="00BA4CE2" w:rsidRPr="00CE42B4" w:rsidRDefault="00BA4CE2" w:rsidP="006E491E">
      <w:pPr>
        <w:pStyle w:val="3-BodyText"/>
        <w:rPr>
          <w:lang w:val="en-GB"/>
        </w:rPr>
      </w:pPr>
      <w:r w:rsidRPr="00836F75">
        <w:t xml:space="preserve">The PBAC </w:t>
      </w:r>
      <w:r w:rsidR="00D05F6A">
        <w:t>welcomed</w:t>
      </w:r>
      <w:r w:rsidR="00D05F6A" w:rsidRPr="00836F75">
        <w:t xml:space="preserve"> </w:t>
      </w:r>
      <w:r w:rsidRPr="00836F75">
        <w:t>input</w:t>
      </w:r>
      <w:r w:rsidR="00856B9E">
        <w:t xml:space="preserve"> from</w:t>
      </w:r>
      <w:r w:rsidRPr="00836F75">
        <w:t xml:space="preserve"> </w:t>
      </w:r>
      <w:r>
        <w:t>the Lung Foundation Australia</w:t>
      </w:r>
      <w:r w:rsidR="00D05F6A">
        <w:t xml:space="preserve"> that</w:t>
      </w:r>
      <w:r>
        <w:t xml:space="preserve"> </w:t>
      </w:r>
      <w:r w:rsidRPr="00836F75">
        <w:t xml:space="preserve">described a range of benefits </w:t>
      </w:r>
      <w:r>
        <w:t>that the listing of</w:t>
      </w:r>
      <w:r w:rsidRPr="00836F75">
        <w:t xml:space="preserve"> </w:t>
      </w:r>
      <w:r>
        <w:t>15vPCV for pa</w:t>
      </w:r>
      <w:r w:rsidR="00390AB3">
        <w:t>e</w:t>
      </w:r>
      <w:r>
        <w:t xml:space="preserve">diatric populations on the NIP will have on the Australian population. </w:t>
      </w:r>
    </w:p>
    <w:p w14:paraId="6BC9E9ED" w14:textId="792C7C92" w:rsidR="00F31F79" w:rsidRPr="00F31F79" w:rsidRDefault="00F31F79" w:rsidP="00F31F79">
      <w:pPr>
        <w:pStyle w:val="3-BodyText"/>
        <w:rPr>
          <w:lang w:val="en-GB"/>
        </w:rPr>
      </w:pPr>
      <w:r>
        <w:rPr>
          <w:lang w:val="en-GB"/>
        </w:rPr>
        <w:t xml:space="preserve">The PBAC noted that </w:t>
      </w:r>
      <w:r w:rsidR="004D1595">
        <w:rPr>
          <w:lang w:val="en-GB"/>
        </w:rPr>
        <w:t xml:space="preserve">15vPCV doses will replace </w:t>
      </w:r>
      <w:r w:rsidRPr="00F31F79">
        <w:rPr>
          <w:lang w:val="en-GB"/>
        </w:rPr>
        <w:t xml:space="preserve">13vPCV doses </w:t>
      </w:r>
      <w:r w:rsidR="004D1595">
        <w:rPr>
          <w:lang w:val="en-GB"/>
        </w:rPr>
        <w:t>and</w:t>
      </w:r>
      <w:r w:rsidR="00207CD8">
        <w:rPr>
          <w:lang w:val="en-GB"/>
        </w:rPr>
        <w:t>,</w:t>
      </w:r>
      <w:r w:rsidR="004D1595">
        <w:rPr>
          <w:lang w:val="en-GB"/>
        </w:rPr>
        <w:t xml:space="preserve"> </w:t>
      </w:r>
      <w:r w:rsidR="004D1595">
        <w:t>a</w:t>
      </w:r>
      <w:r>
        <w:t xml:space="preserve">s the submission stated it would accept a cost-minimsation to the nationally negotiated price of 13vPCV for children and infants, </w:t>
      </w:r>
      <w:r w:rsidR="00B60C54">
        <w:t>there</w:t>
      </w:r>
      <w:r>
        <w:t xml:space="preserve"> </w:t>
      </w:r>
      <w:r w:rsidR="00D05F6A">
        <w:t xml:space="preserve">would </w:t>
      </w:r>
      <w:r>
        <w:t xml:space="preserve">be no </w:t>
      </w:r>
      <w:r w:rsidRPr="00B313A0">
        <w:t>net cost to government.</w:t>
      </w:r>
      <w:r>
        <w:t xml:space="preserve"> </w:t>
      </w:r>
    </w:p>
    <w:p w14:paraId="2D3A7E51" w14:textId="50E1113F" w:rsidR="00BA4CE2" w:rsidRPr="00E53E86" w:rsidRDefault="00BA4CE2" w:rsidP="00BA4CE2">
      <w:pPr>
        <w:pStyle w:val="3-BodyText"/>
      </w:pPr>
      <w:r>
        <w:t>The PBAC noted that t</w:t>
      </w:r>
      <w:r w:rsidRPr="00E53E86">
        <w:t xml:space="preserve">he submission requested that ‘(b) a dose of the vaccine may be provided to a child: (i) who is about 6 months of age and is a member of a medical risk group’. The </w:t>
      </w:r>
      <w:r>
        <w:t xml:space="preserve">PBAC agreed with the Secretariat’s proposal to </w:t>
      </w:r>
      <w:r w:rsidRPr="00E53E86">
        <w:t>remove circumstance (b) from the requested listing</w:t>
      </w:r>
      <w:r>
        <w:t xml:space="preserve"> to be consistent with the 13vPCV listing.</w:t>
      </w:r>
      <w:r>
        <w:rPr>
          <w:i/>
          <w:iCs/>
        </w:rPr>
        <w:t xml:space="preserve"> </w:t>
      </w:r>
    </w:p>
    <w:p w14:paraId="15E66BD1" w14:textId="77777777" w:rsidR="009F4729" w:rsidRPr="00B76800" w:rsidRDefault="009F4729" w:rsidP="009F4729">
      <w:pPr>
        <w:pStyle w:val="3-BodyText"/>
      </w:pPr>
      <w:r>
        <w:t xml:space="preserve">The </w:t>
      </w:r>
      <w:r w:rsidRPr="00B76800">
        <w:t>PBAC noted that this submission is not eligible for an independent review as independent review is only relevant to requests for PBS listing.</w:t>
      </w:r>
    </w:p>
    <w:p w14:paraId="7C32C2F7" w14:textId="77777777" w:rsidR="00DD002E" w:rsidRPr="00525B39" w:rsidRDefault="00DD002E" w:rsidP="00DD002E">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16C87D2" w14:textId="05EA06A5" w:rsidR="00B72E66" w:rsidRPr="00554984" w:rsidRDefault="00DD002E" w:rsidP="00554984">
      <w:pPr>
        <w:rPr>
          <w:rFonts w:asciiTheme="minorHAnsi" w:hAnsiTheme="minorHAnsi"/>
          <w:bCs/>
          <w:snapToGrid w:val="0"/>
          <w:lang w:val="en-GB"/>
        </w:rPr>
      </w:pPr>
      <w:r w:rsidRPr="00525B39">
        <w:rPr>
          <w:rFonts w:asciiTheme="minorHAnsi" w:hAnsiTheme="minorHAnsi"/>
          <w:bCs/>
          <w:snapToGrid w:val="0"/>
          <w:lang w:val="en-GB"/>
        </w:rPr>
        <w:t>Recommended</w:t>
      </w:r>
    </w:p>
    <w:bookmarkEnd w:id="61"/>
    <w:p w14:paraId="42FC0A02" w14:textId="77777777" w:rsidR="00DD002E" w:rsidRPr="00885C22" w:rsidRDefault="00DD002E" w:rsidP="00ED3F67">
      <w:pPr>
        <w:pStyle w:val="2-SectionHeading"/>
        <w:keepNext w:val="0"/>
        <w:keepLines/>
        <w:numPr>
          <w:ilvl w:val="0"/>
          <w:numId w:val="1"/>
        </w:numPr>
      </w:pPr>
      <w:r w:rsidRPr="00885C22">
        <w:t>Recommended listing</w:t>
      </w:r>
    </w:p>
    <w:p w14:paraId="5A18D2C1" w14:textId="045BD3AC" w:rsidR="00DD002E" w:rsidRPr="009F4729" w:rsidRDefault="004C313A" w:rsidP="00ED3F67">
      <w:pPr>
        <w:keepLines/>
        <w:widowControl w:val="0"/>
        <w:numPr>
          <w:ilvl w:val="1"/>
          <w:numId w:val="1"/>
        </w:numPr>
        <w:spacing w:after="120"/>
        <w:contextualSpacing/>
        <w:rPr>
          <w:rFonts w:asciiTheme="minorHAnsi" w:hAnsiTheme="minorHAnsi"/>
          <w:b/>
          <w:bCs/>
          <w:snapToGrid w:val="0"/>
        </w:rPr>
      </w:pPr>
      <w:r>
        <w:rPr>
          <w:rFonts w:asciiTheme="minorHAnsi" w:hAnsiTheme="minorHAnsi"/>
          <w:bCs/>
          <w:snapToGrid w:val="0"/>
        </w:rPr>
        <w:t>Add new item</w:t>
      </w:r>
      <w:r w:rsidR="00DD002E" w:rsidRPr="00525B39">
        <w:rPr>
          <w:rFonts w:asciiTheme="minorHAnsi" w:hAnsiTheme="minorHAnsi"/>
          <w:bCs/>
          <w:snapToGrid w:val="0"/>
        </w:rPr>
        <w:t>:</w:t>
      </w:r>
    </w:p>
    <w:p w14:paraId="45646FA4" w14:textId="77777777" w:rsidR="009F4729" w:rsidRPr="009F4729" w:rsidRDefault="009F4729" w:rsidP="00ED3F67">
      <w:pPr>
        <w:keepLines/>
        <w:widowControl w:val="0"/>
        <w:spacing w:after="120"/>
        <w:contextualSpacing/>
        <w:rPr>
          <w:rFonts w:asciiTheme="minorHAnsi" w:hAnsiTheme="minorHAnsi"/>
          <w:b/>
          <w:bCs/>
          <w:snapToGrid w:val="0"/>
        </w:rPr>
      </w:pPr>
    </w:p>
    <w:tbl>
      <w:tblPr>
        <w:tblW w:w="5000" w:type="pct"/>
        <w:tblInd w:w="28" w:type="dxa"/>
        <w:tblCellMar>
          <w:left w:w="28" w:type="dxa"/>
          <w:right w:w="28" w:type="dxa"/>
        </w:tblCellMar>
        <w:tblLook w:val="0000" w:firstRow="0" w:lastRow="0" w:firstColumn="0" w:lastColumn="0" w:noHBand="0" w:noVBand="0"/>
      </w:tblPr>
      <w:tblGrid>
        <w:gridCol w:w="2084"/>
        <w:gridCol w:w="1053"/>
        <w:gridCol w:w="1225"/>
        <w:gridCol w:w="2691"/>
        <w:gridCol w:w="1964"/>
      </w:tblGrid>
      <w:tr w:rsidR="004C313A" w:rsidRPr="004C313A" w14:paraId="50301F23" w14:textId="77777777" w:rsidTr="00632A30">
        <w:trPr>
          <w:cantSplit/>
          <w:trHeight w:val="463"/>
        </w:trPr>
        <w:tc>
          <w:tcPr>
            <w:tcW w:w="1156" w:type="pct"/>
            <w:tcBorders>
              <w:top w:val="single" w:sz="4" w:space="0" w:color="auto"/>
              <w:left w:val="single" w:sz="4" w:space="0" w:color="auto"/>
              <w:bottom w:val="single" w:sz="4" w:space="0" w:color="auto"/>
              <w:right w:val="single" w:sz="4" w:space="0" w:color="auto"/>
            </w:tcBorders>
            <w:vAlign w:val="bottom"/>
          </w:tcPr>
          <w:p w14:paraId="4BCE605B" w14:textId="77777777" w:rsidR="004C313A" w:rsidRPr="004C313A" w:rsidRDefault="004C313A" w:rsidP="00ED3F67">
            <w:pPr>
              <w:keepLines/>
              <w:jc w:val="left"/>
              <w:rPr>
                <w:rFonts w:ascii="Arial Narrow" w:hAnsi="Arial Narrow"/>
                <w:b/>
                <w:sz w:val="20"/>
              </w:rPr>
            </w:pPr>
            <w:bookmarkStart w:id="64" w:name="_Hlk76377978"/>
            <w:bookmarkEnd w:id="62"/>
            <w:r w:rsidRPr="004C313A">
              <w:rPr>
                <w:rFonts w:ascii="Arial Narrow" w:hAnsi="Arial Narrow"/>
                <w:b/>
                <w:sz w:val="20"/>
              </w:rPr>
              <w:t>Vaccine and the circumstances in which vaccine may be provided</w:t>
            </w:r>
          </w:p>
        </w:tc>
        <w:tc>
          <w:tcPr>
            <w:tcW w:w="584" w:type="pct"/>
            <w:tcBorders>
              <w:top w:val="single" w:sz="4" w:space="0" w:color="auto"/>
              <w:left w:val="single" w:sz="4" w:space="0" w:color="auto"/>
              <w:bottom w:val="single" w:sz="4" w:space="0" w:color="auto"/>
              <w:right w:val="single" w:sz="4" w:space="0" w:color="auto"/>
            </w:tcBorders>
            <w:vAlign w:val="center"/>
          </w:tcPr>
          <w:p w14:paraId="47536F1B" w14:textId="77777777" w:rsidR="004C313A" w:rsidRPr="004C313A" w:rsidRDefault="004C313A" w:rsidP="00ED3F67">
            <w:pPr>
              <w:keepLines/>
              <w:jc w:val="center"/>
              <w:rPr>
                <w:rFonts w:ascii="Arial Narrow" w:hAnsi="Arial Narrow"/>
                <w:b/>
                <w:sz w:val="20"/>
              </w:rPr>
            </w:pPr>
            <w:r w:rsidRPr="004C313A">
              <w:rPr>
                <w:rFonts w:ascii="Arial Narrow" w:hAnsi="Arial Narrow"/>
                <w:b/>
                <w:sz w:val="20"/>
              </w:rPr>
              <w:t>Brand</w:t>
            </w:r>
          </w:p>
        </w:tc>
        <w:tc>
          <w:tcPr>
            <w:tcW w:w="679" w:type="pct"/>
            <w:tcBorders>
              <w:top w:val="single" w:sz="4" w:space="0" w:color="auto"/>
              <w:left w:val="single" w:sz="4" w:space="0" w:color="auto"/>
              <w:bottom w:val="single" w:sz="4" w:space="0" w:color="auto"/>
              <w:right w:val="single" w:sz="4" w:space="0" w:color="auto"/>
            </w:tcBorders>
            <w:vAlign w:val="center"/>
          </w:tcPr>
          <w:p w14:paraId="66DA35CC" w14:textId="77777777" w:rsidR="004C313A" w:rsidRPr="004C313A" w:rsidRDefault="004C313A" w:rsidP="00ED3F67">
            <w:pPr>
              <w:keepLines/>
              <w:jc w:val="center"/>
              <w:rPr>
                <w:rFonts w:ascii="Arial Narrow" w:hAnsi="Arial Narrow"/>
                <w:b/>
                <w:sz w:val="20"/>
              </w:rPr>
            </w:pPr>
            <w:r w:rsidRPr="004C313A">
              <w:rPr>
                <w:rFonts w:ascii="Arial Narrow" w:hAnsi="Arial Narrow"/>
                <w:b/>
                <w:sz w:val="20"/>
              </w:rPr>
              <w:t>Formulation</w:t>
            </w:r>
          </w:p>
        </w:tc>
        <w:tc>
          <w:tcPr>
            <w:tcW w:w="1492" w:type="pct"/>
            <w:tcBorders>
              <w:top w:val="single" w:sz="4" w:space="0" w:color="auto"/>
              <w:left w:val="single" w:sz="4" w:space="0" w:color="auto"/>
              <w:bottom w:val="single" w:sz="4" w:space="0" w:color="auto"/>
              <w:right w:val="single" w:sz="4" w:space="0" w:color="auto"/>
            </w:tcBorders>
            <w:vAlign w:val="center"/>
          </w:tcPr>
          <w:p w14:paraId="5C4ECEE4" w14:textId="77777777" w:rsidR="004C313A" w:rsidRPr="004C313A" w:rsidRDefault="004C313A" w:rsidP="00ED3F67">
            <w:pPr>
              <w:keepLines/>
              <w:jc w:val="center"/>
              <w:rPr>
                <w:rFonts w:ascii="Arial Narrow" w:hAnsi="Arial Narrow"/>
                <w:b/>
                <w:sz w:val="20"/>
              </w:rPr>
            </w:pPr>
            <w:r w:rsidRPr="004C313A">
              <w:rPr>
                <w:rFonts w:ascii="Arial Narrow" w:hAnsi="Arial Narrow"/>
                <w:b/>
                <w:sz w:val="20"/>
              </w:rPr>
              <w:t>Active ingredient and strength</w:t>
            </w:r>
          </w:p>
        </w:tc>
        <w:tc>
          <w:tcPr>
            <w:tcW w:w="1089" w:type="pct"/>
            <w:tcBorders>
              <w:top w:val="single" w:sz="4" w:space="0" w:color="auto"/>
              <w:left w:val="single" w:sz="4" w:space="0" w:color="auto"/>
              <w:bottom w:val="single" w:sz="4" w:space="0" w:color="auto"/>
              <w:right w:val="single" w:sz="4" w:space="0" w:color="auto"/>
            </w:tcBorders>
            <w:vAlign w:val="center"/>
          </w:tcPr>
          <w:p w14:paraId="5663DD5D" w14:textId="77777777" w:rsidR="004C313A" w:rsidRPr="004C313A" w:rsidRDefault="004C313A" w:rsidP="00ED3F67">
            <w:pPr>
              <w:keepLines/>
              <w:jc w:val="left"/>
              <w:rPr>
                <w:rFonts w:ascii="Arial Narrow" w:hAnsi="Arial Narrow"/>
                <w:b/>
                <w:sz w:val="20"/>
                <w:lang w:val="fr-FR"/>
              </w:rPr>
            </w:pPr>
            <w:r w:rsidRPr="004C313A">
              <w:rPr>
                <w:rFonts w:ascii="Arial Narrow" w:hAnsi="Arial Narrow"/>
                <w:b/>
                <w:sz w:val="20"/>
                <w:lang w:val="fr-FR"/>
              </w:rPr>
              <w:t>Number and timing of doses</w:t>
            </w:r>
          </w:p>
        </w:tc>
      </w:tr>
      <w:tr w:rsidR="004C313A" w:rsidRPr="004C313A" w14:paraId="30D5C36F" w14:textId="77777777" w:rsidTr="00632A30">
        <w:trPr>
          <w:cantSplit/>
          <w:trHeight w:val="567"/>
        </w:trPr>
        <w:tc>
          <w:tcPr>
            <w:tcW w:w="1156" w:type="pct"/>
            <w:tcBorders>
              <w:top w:val="single" w:sz="4" w:space="0" w:color="auto"/>
              <w:left w:val="single" w:sz="4" w:space="0" w:color="auto"/>
              <w:bottom w:val="single" w:sz="4" w:space="0" w:color="auto"/>
              <w:right w:val="single" w:sz="4" w:space="0" w:color="auto"/>
            </w:tcBorders>
            <w:vAlign w:val="center"/>
          </w:tcPr>
          <w:p w14:paraId="61276033" w14:textId="77777777" w:rsidR="004C313A" w:rsidRPr="004C313A" w:rsidRDefault="004C313A" w:rsidP="00ED3F67">
            <w:pPr>
              <w:keepLines/>
              <w:rPr>
                <w:rFonts w:ascii="Arial Narrow" w:hAnsi="Arial Narrow"/>
                <w:sz w:val="20"/>
              </w:rPr>
            </w:pPr>
            <w:r w:rsidRPr="004C313A">
              <w:rPr>
                <w:rFonts w:ascii="Arial Narrow" w:hAnsi="Arial Narrow"/>
                <w:sz w:val="20"/>
              </w:rPr>
              <w:t>Pneumococcal (conjugate, 15-valent)</w:t>
            </w:r>
          </w:p>
        </w:tc>
        <w:tc>
          <w:tcPr>
            <w:tcW w:w="584" w:type="pct"/>
            <w:tcBorders>
              <w:top w:val="single" w:sz="4" w:space="0" w:color="auto"/>
              <w:left w:val="single" w:sz="4" w:space="0" w:color="auto"/>
              <w:bottom w:val="single" w:sz="4" w:space="0" w:color="auto"/>
              <w:right w:val="single" w:sz="4" w:space="0" w:color="auto"/>
            </w:tcBorders>
            <w:vAlign w:val="center"/>
          </w:tcPr>
          <w:p w14:paraId="3EA2603D" w14:textId="77777777" w:rsidR="004C313A" w:rsidRPr="004C313A" w:rsidRDefault="004C313A" w:rsidP="00ED3F67">
            <w:pPr>
              <w:keepLines/>
              <w:jc w:val="center"/>
              <w:rPr>
                <w:rFonts w:ascii="Arial Narrow" w:hAnsi="Arial Narrow"/>
                <w:sz w:val="20"/>
              </w:rPr>
            </w:pPr>
            <w:r w:rsidRPr="004C313A">
              <w:rPr>
                <w:rFonts w:ascii="Arial Narrow" w:hAnsi="Arial Narrow"/>
                <w:sz w:val="20"/>
              </w:rPr>
              <w:t>Vaxneuvance</w:t>
            </w:r>
          </w:p>
        </w:tc>
        <w:tc>
          <w:tcPr>
            <w:tcW w:w="679" w:type="pct"/>
            <w:tcBorders>
              <w:top w:val="single" w:sz="4" w:space="0" w:color="auto"/>
              <w:left w:val="single" w:sz="4" w:space="0" w:color="auto"/>
              <w:bottom w:val="single" w:sz="4" w:space="0" w:color="auto"/>
              <w:right w:val="single" w:sz="4" w:space="0" w:color="auto"/>
            </w:tcBorders>
            <w:vAlign w:val="center"/>
          </w:tcPr>
          <w:p w14:paraId="7652EA96" w14:textId="77777777" w:rsidR="004C313A" w:rsidRPr="004C313A" w:rsidRDefault="004C313A" w:rsidP="00ED3F67">
            <w:pPr>
              <w:keepLines/>
              <w:jc w:val="center"/>
              <w:rPr>
                <w:rFonts w:ascii="Arial Narrow" w:hAnsi="Arial Narrow"/>
                <w:sz w:val="20"/>
              </w:rPr>
            </w:pPr>
            <w:r w:rsidRPr="004C313A">
              <w:rPr>
                <w:rFonts w:ascii="Arial Narrow" w:hAnsi="Arial Narrow"/>
                <w:sz w:val="20"/>
              </w:rPr>
              <w:t>Injection (0.5mL)</w:t>
            </w:r>
          </w:p>
        </w:tc>
        <w:tc>
          <w:tcPr>
            <w:tcW w:w="1492" w:type="pct"/>
            <w:tcBorders>
              <w:top w:val="single" w:sz="4" w:space="0" w:color="auto"/>
              <w:left w:val="single" w:sz="4" w:space="0" w:color="auto"/>
              <w:bottom w:val="single" w:sz="4" w:space="0" w:color="auto"/>
              <w:right w:val="single" w:sz="4" w:space="0" w:color="auto"/>
            </w:tcBorders>
            <w:vAlign w:val="center"/>
          </w:tcPr>
          <w:p w14:paraId="65FE61F1" w14:textId="77777777" w:rsidR="004C313A" w:rsidRPr="004C313A" w:rsidRDefault="004C313A" w:rsidP="00ED3F67">
            <w:pPr>
              <w:keepLines/>
              <w:jc w:val="left"/>
              <w:rPr>
                <w:rFonts w:ascii="Arial Narrow" w:hAnsi="Arial Narrow"/>
                <w:sz w:val="20"/>
              </w:rPr>
            </w:pPr>
            <w:r w:rsidRPr="004C313A">
              <w:rPr>
                <w:rFonts w:ascii="Arial Narrow" w:hAnsi="Arial Narrow"/>
                <w:sz w:val="20"/>
              </w:rPr>
              <w:t>Polysaccharides of the capsular antigens of S. pneumoniae serotypes 1, 3, 4, 5, 6A, 6B, 7F, 9V, 14, 18C, 19A, 19F, 22F, 23F, and 33F individually conjugated to CRM197.</w:t>
            </w:r>
          </w:p>
        </w:tc>
        <w:tc>
          <w:tcPr>
            <w:tcW w:w="1089" w:type="pct"/>
            <w:tcBorders>
              <w:top w:val="single" w:sz="4" w:space="0" w:color="auto"/>
              <w:left w:val="single" w:sz="4" w:space="0" w:color="auto"/>
              <w:bottom w:val="single" w:sz="4" w:space="0" w:color="auto"/>
              <w:right w:val="single" w:sz="4" w:space="0" w:color="auto"/>
            </w:tcBorders>
            <w:vAlign w:val="center"/>
          </w:tcPr>
          <w:p w14:paraId="6B0058A7" w14:textId="77777777" w:rsidR="004C313A" w:rsidRPr="004C313A" w:rsidRDefault="004C313A" w:rsidP="00ED3F67">
            <w:pPr>
              <w:keepLines/>
              <w:jc w:val="left"/>
              <w:rPr>
                <w:rFonts w:ascii="Arial Narrow" w:hAnsi="Arial Narrow"/>
                <w:sz w:val="20"/>
              </w:rPr>
            </w:pPr>
            <w:r w:rsidRPr="004C313A">
              <w:rPr>
                <w:rFonts w:ascii="Arial Narrow" w:hAnsi="Arial Narrow"/>
                <w:sz w:val="20"/>
              </w:rPr>
              <w:t>2 or 3 doses of a primary course plus a booster dose</w:t>
            </w:r>
          </w:p>
          <w:p w14:paraId="0755F369" w14:textId="77777777" w:rsidR="004C313A" w:rsidRPr="004C313A" w:rsidRDefault="004C313A" w:rsidP="00ED3F67">
            <w:pPr>
              <w:keepLines/>
              <w:jc w:val="left"/>
              <w:rPr>
                <w:rFonts w:ascii="Arial Narrow" w:hAnsi="Arial Narrow"/>
                <w:sz w:val="20"/>
              </w:rPr>
            </w:pPr>
          </w:p>
          <w:p w14:paraId="0767B6A0" w14:textId="77777777" w:rsidR="004C313A" w:rsidRPr="004C313A" w:rsidRDefault="004C313A" w:rsidP="00ED3F67">
            <w:pPr>
              <w:keepLines/>
              <w:jc w:val="left"/>
              <w:rPr>
                <w:rFonts w:ascii="Arial Narrow" w:hAnsi="Arial Narrow"/>
                <w:sz w:val="20"/>
              </w:rPr>
            </w:pPr>
            <w:r w:rsidRPr="004C313A">
              <w:rPr>
                <w:rFonts w:ascii="Arial Narrow" w:hAnsi="Arial Narrow"/>
                <w:sz w:val="20"/>
              </w:rPr>
              <w:t>or a single supplementary dose</w:t>
            </w:r>
          </w:p>
        </w:tc>
      </w:tr>
      <w:tr w:rsidR="004C313A" w:rsidRPr="004C313A" w14:paraId="60A51864" w14:textId="77777777" w:rsidTr="00632A30">
        <w:trPr>
          <w:cantSplit/>
          <w:trHeight w:val="567"/>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3B752B7" w14:textId="77777777" w:rsidR="004C313A" w:rsidRPr="004C313A" w:rsidRDefault="004C313A" w:rsidP="00ED3F67">
            <w:pPr>
              <w:keepLines/>
              <w:spacing w:before="120"/>
              <w:rPr>
                <w:rFonts w:ascii="Arial Narrow" w:hAnsi="Arial Narrow"/>
                <w:sz w:val="20"/>
              </w:rPr>
            </w:pPr>
            <w:r w:rsidRPr="004C313A">
              <w:rPr>
                <w:rFonts w:ascii="Arial Narrow" w:hAnsi="Arial Narrow"/>
                <w:sz w:val="20"/>
              </w:rPr>
              <w:t>Circumstances</w:t>
            </w:r>
          </w:p>
          <w:p w14:paraId="7AED04B4" w14:textId="77777777" w:rsidR="004C313A" w:rsidRPr="004C313A" w:rsidRDefault="004C313A" w:rsidP="00ED3F67">
            <w:pPr>
              <w:keepLines/>
              <w:rPr>
                <w:rFonts w:ascii="Arial Narrow" w:hAnsi="Arial Narrow"/>
                <w:sz w:val="20"/>
              </w:rPr>
            </w:pPr>
            <w:r w:rsidRPr="004C313A">
              <w:rPr>
                <w:rFonts w:ascii="Arial Narrow" w:hAnsi="Arial Narrow"/>
                <w:sz w:val="20"/>
              </w:rPr>
              <w:t>Vaccine may be provided:</w:t>
            </w:r>
          </w:p>
          <w:p w14:paraId="71DA5F81" w14:textId="77777777" w:rsidR="004C313A" w:rsidRPr="004C313A" w:rsidRDefault="004C313A" w:rsidP="00ED3F67">
            <w:pPr>
              <w:pStyle w:val="ListParagraph"/>
              <w:keepLines/>
              <w:numPr>
                <w:ilvl w:val="0"/>
                <w:numId w:val="14"/>
              </w:numPr>
              <w:spacing w:after="0"/>
              <w:contextualSpacing/>
              <w:jc w:val="left"/>
              <w:rPr>
                <w:rFonts w:ascii="Arial Narrow" w:hAnsi="Arial Narrow"/>
                <w:sz w:val="20"/>
              </w:rPr>
            </w:pPr>
            <w:r w:rsidRPr="004C313A">
              <w:rPr>
                <w:rFonts w:ascii="Arial Narrow" w:hAnsi="Arial Narrow"/>
                <w:sz w:val="20"/>
              </w:rPr>
              <w:t>to a child who is:</w:t>
            </w:r>
          </w:p>
          <w:p w14:paraId="618ECA47" w14:textId="77777777" w:rsidR="004C313A" w:rsidRPr="004C313A" w:rsidRDefault="004C313A" w:rsidP="00ED3F67">
            <w:pPr>
              <w:pStyle w:val="ListParagraph"/>
              <w:keepLines/>
              <w:numPr>
                <w:ilvl w:val="0"/>
                <w:numId w:val="11"/>
              </w:numPr>
              <w:spacing w:after="0"/>
              <w:contextualSpacing/>
              <w:jc w:val="left"/>
              <w:rPr>
                <w:rFonts w:ascii="Arial Narrow" w:hAnsi="Arial Narrow"/>
                <w:sz w:val="20"/>
              </w:rPr>
            </w:pPr>
            <w:r w:rsidRPr="004C313A">
              <w:rPr>
                <w:rFonts w:ascii="Arial Narrow" w:hAnsi="Arial Narrow"/>
                <w:sz w:val="20"/>
              </w:rPr>
              <w:t>about 2 months old, and</w:t>
            </w:r>
          </w:p>
          <w:p w14:paraId="3DF2EDB8" w14:textId="77777777" w:rsidR="004C313A" w:rsidRPr="004C313A" w:rsidRDefault="004C313A" w:rsidP="00ED3F67">
            <w:pPr>
              <w:pStyle w:val="ListParagraph"/>
              <w:keepLines/>
              <w:numPr>
                <w:ilvl w:val="0"/>
                <w:numId w:val="11"/>
              </w:numPr>
              <w:spacing w:after="0"/>
              <w:contextualSpacing/>
              <w:jc w:val="left"/>
              <w:rPr>
                <w:rFonts w:ascii="Arial Narrow" w:hAnsi="Arial Narrow"/>
                <w:sz w:val="20"/>
              </w:rPr>
            </w:pPr>
            <w:r w:rsidRPr="004C313A">
              <w:rPr>
                <w:rFonts w:ascii="Arial Narrow" w:hAnsi="Arial Narrow"/>
                <w:sz w:val="20"/>
              </w:rPr>
              <w:t xml:space="preserve">about 4 months old; </w:t>
            </w:r>
          </w:p>
          <w:p w14:paraId="2B968336" w14:textId="77777777" w:rsidR="004C313A" w:rsidRPr="004C313A" w:rsidRDefault="004C313A" w:rsidP="00ED3F67">
            <w:pPr>
              <w:pStyle w:val="ListParagraph"/>
              <w:keepLines/>
              <w:numPr>
                <w:ilvl w:val="0"/>
                <w:numId w:val="11"/>
              </w:numPr>
              <w:spacing w:after="0"/>
              <w:contextualSpacing/>
              <w:jc w:val="left"/>
              <w:rPr>
                <w:rFonts w:ascii="Arial Narrow" w:hAnsi="Arial Narrow"/>
                <w:sz w:val="20"/>
              </w:rPr>
            </w:pPr>
            <w:r w:rsidRPr="004C313A">
              <w:rPr>
                <w:rFonts w:ascii="Arial Narrow" w:hAnsi="Arial Narrow"/>
                <w:sz w:val="20"/>
              </w:rPr>
              <w:t xml:space="preserve">in their second year of life; and </w:t>
            </w:r>
          </w:p>
          <w:p w14:paraId="3EF53954" w14:textId="77777777" w:rsidR="004C313A" w:rsidRPr="004C313A" w:rsidRDefault="004C313A" w:rsidP="00ED3F67">
            <w:pPr>
              <w:pStyle w:val="ListParagraph"/>
              <w:keepLines/>
              <w:numPr>
                <w:ilvl w:val="0"/>
                <w:numId w:val="15"/>
              </w:numPr>
              <w:contextualSpacing/>
              <w:jc w:val="left"/>
              <w:rPr>
                <w:rFonts w:ascii="Arial Narrow" w:hAnsi="Arial Narrow"/>
                <w:sz w:val="20"/>
              </w:rPr>
            </w:pPr>
            <w:r w:rsidRPr="004C313A">
              <w:rPr>
                <w:rFonts w:ascii="Arial Narrow" w:hAnsi="Arial Narrow"/>
                <w:sz w:val="20"/>
              </w:rPr>
              <w:t>the vaccine may be provided in the circumstances set out in subsection 7 (1)</w:t>
            </w:r>
          </w:p>
        </w:tc>
      </w:tr>
    </w:tbl>
    <w:bookmarkEnd w:id="64"/>
    <w:p w14:paraId="7E5B6506" w14:textId="6776444F" w:rsidR="00D97D25" w:rsidRPr="00D97D25" w:rsidRDefault="00D97D25" w:rsidP="00D97D25">
      <w:pPr>
        <w:pStyle w:val="2-SectionHeading"/>
        <w:keepLines/>
        <w:numPr>
          <w:ilvl w:val="0"/>
          <w:numId w:val="1"/>
        </w:numPr>
      </w:pPr>
      <w:r w:rsidRPr="00C07617">
        <w:lastRenderedPageBreak/>
        <w:t>Context for Decision</w:t>
      </w:r>
    </w:p>
    <w:p w14:paraId="133F9224" w14:textId="77777777" w:rsidR="00D97D25" w:rsidRPr="007129F2" w:rsidRDefault="00D97D25" w:rsidP="00D97D25">
      <w:pPr>
        <w:keepNext/>
        <w:keepLines/>
        <w:widowControl w:val="0"/>
        <w:spacing w:after="120"/>
        <w:ind w:left="720"/>
        <w:contextualSpacing/>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D62568" w14:textId="5F0593C3" w:rsidR="00D97D25" w:rsidRPr="00C07617" w:rsidRDefault="00D97D25" w:rsidP="00D97D25">
      <w:pPr>
        <w:pStyle w:val="2-SectionHeading"/>
        <w:keepLines/>
        <w:numPr>
          <w:ilvl w:val="0"/>
          <w:numId w:val="1"/>
        </w:numPr>
        <w:rPr>
          <w:b w:val="0"/>
        </w:rPr>
      </w:pPr>
      <w:r>
        <w:t>Sponsor’s Comment</w:t>
      </w:r>
    </w:p>
    <w:p w14:paraId="5D140DED" w14:textId="77777777" w:rsidR="0077531F" w:rsidRPr="00714A86" w:rsidRDefault="0077531F" w:rsidP="0077531F">
      <w:pPr>
        <w:pStyle w:val="3-BodyText"/>
        <w:numPr>
          <w:ilvl w:val="0"/>
          <w:numId w:val="0"/>
        </w:numPr>
        <w:ind w:left="720"/>
        <w:rPr>
          <w:color w:val="000000"/>
          <w:sz w:val="20"/>
          <w:szCs w:val="20"/>
        </w:rPr>
      </w:pPr>
      <w:r w:rsidRPr="004C5942">
        <w:rPr>
          <w:lang w:val="en-GB"/>
        </w:rPr>
        <w:t xml:space="preserve">MSD is pleased that Vaxneuvance now has PBAC recommendations in paediatrics and adults and will therefore be eligible to enter into the National Immunisation Program.  As ATAGI have already noted, there is a clinical need for a new pneumococcal vaccine in Australia. This is especially pertinent given the </w:t>
      </w:r>
      <w:r>
        <w:rPr>
          <w:lang w:val="en-GB"/>
        </w:rPr>
        <w:t>high</w:t>
      </w:r>
      <w:r w:rsidRPr="004C5942">
        <w:rPr>
          <w:lang w:val="en-GB"/>
        </w:rPr>
        <w:t xml:space="preserve"> burden of Serotype 3 disease in children and adults. It is important therefore that there is opportunity for Vaxneuvance to address this need through the national tendering process.</w:t>
      </w:r>
    </w:p>
    <w:p w14:paraId="46EF28A2" w14:textId="259226ED" w:rsidR="00753B29" w:rsidRPr="00714A86" w:rsidRDefault="00753B29" w:rsidP="00BA4CE2">
      <w:pPr>
        <w:pStyle w:val="1-MainHeading"/>
        <w:ind w:left="0" w:firstLine="0"/>
        <w:outlineLvl w:val="9"/>
        <w:rPr>
          <w:color w:val="000000"/>
          <w:sz w:val="20"/>
          <w:szCs w:val="20"/>
        </w:rPr>
      </w:pPr>
    </w:p>
    <w:sectPr w:rsidR="00753B29" w:rsidRPr="00714A86"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D38F" w14:textId="77777777" w:rsidR="00680AAD" w:rsidRDefault="00680AAD" w:rsidP="00124A51">
      <w:r>
        <w:separator/>
      </w:r>
    </w:p>
    <w:p w14:paraId="76A0D1B7" w14:textId="77777777" w:rsidR="00680AAD" w:rsidRDefault="00680AAD"/>
  </w:endnote>
  <w:endnote w:type="continuationSeparator" w:id="0">
    <w:p w14:paraId="4278AE0C" w14:textId="77777777" w:rsidR="00680AAD" w:rsidRDefault="00680AAD" w:rsidP="00124A51">
      <w:r>
        <w:continuationSeparator/>
      </w:r>
    </w:p>
    <w:p w14:paraId="2AB9E69D" w14:textId="77777777" w:rsidR="00680AAD" w:rsidRDefault="00680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B2CC" w14:textId="77777777" w:rsidR="00A01BAF" w:rsidRDefault="00A0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009" w14:textId="77777777" w:rsidR="00460901" w:rsidRDefault="00460901" w:rsidP="00753B29">
    <w:pPr>
      <w:pStyle w:val="Footer"/>
      <w:jc w:val="center"/>
    </w:pPr>
  </w:p>
  <w:p w14:paraId="667EFE39" w14:textId="76E0C9D8" w:rsidR="0016703B" w:rsidRPr="00DD002E" w:rsidRDefault="009E7289" w:rsidP="00DD002E">
    <w:pPr>
      <w:pStyle w:val="Footer"/>
      <w:jc w:val="center"/>
      <w:rPr>
        <w:b/>
        <w:bCs/>
      </w:rPr>
    </w:pPr>
    <w:sdt>
      <w:sdtPr>
        <w:rPr>
          <w:b/>
          <w:bCs/>
        </w:rPr>
        <w:id w:val="-1723045917"/>
        <w:docPartObj>
          <w:docPartGallery w:val="Page Numbers (Bottom of Page)"/>
          <w:docPartUnique/>
        </w:docPartObj>
      </w:sdtPr>
      <w:sdtEndPr>
        <w:rPr>
          <w:noProof/>
        </w:rPr>
      </w:sdtEndPr>
      <w:sdtContent>
        <w:r w:rsidR="00460901" w:rsidRPr="00DD002E">
          <w:rPr>
            <w:b/>
            <w:bCs/>
          </w:rPr>
          <w:fldChar w:fldCharType="begin"/>
        </w:r>
        <w:r w:rsidR="00460901" w:rsidRPr="00DD002E">
          <w:rPr>
            <w:b/>
            <w:bCs/>
          </w:rPr>
          <w:instrText xml:space="preserve"> PAGE   \* MERGEFORMAT </w:instrText>
        </w:r>
        <w:r w:rsidR="00460901" w:rsidRPr="00DD002E">
          <w:rPr>
            <w:b/>
            <w:bCs/>
          </w:rPr>
          <w:fldChar w:fldCharType="separate"/>
        </w:r>
        <w:r w:rsidR="00460901" w:rsidRPr="00DD002E">
          <w:rPr>
            <w:b/>
            <w:bCs/>
            <w:noProof/>
          </w:rPr>
          <w:t>2</w:t>
        </w:r>
        <w:r w:rsidR="00460901" w:rsidRPr="00DD002E">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A8F5" w14:textId="77777777" w:rsidR="00A01BAF" w:rsidRDefault="00A0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8F09" w14:textId="77777777" w:rsidR="00680AAD" w:rsidRDefault="00680AAD" w:rsidP="00124A51">
      <w:r>
        <w:separator/>
      </w:r>
    </w:p>
    <w:p w14:paraId="5D5D0F2E" w14:textId="77777777" w:rsidR="00680AAD" w:rsidRDefault="00680AAD"/>
  </w:footnote>
  <w:footnote w:type="continuationSeparator" w:id="0">
    <w:p w14:paraId="13D39251" w14:textId="77777777" w:rsidR="00680AAD" w:rsidRDefault="00680AAD" w:rsidP="00124A51">
      <w:r>
        <w:continuationSeparator/>
      </w:r>
    </w:p>
    <w:p w14:paraId="36A0FC1A" w14:textId="77777777" w:rsidR="00680AAD" w:rsidRDefault="00680AAD"/>
  </w:footnote>
  <w:footnote w:id="1">
    <w:p w14:paraId="11243598" w14:textId="77777777" w:rsidR="00DD002E" w:rsidRDefault="00DD002E" w:rsidP="00DD002E">
      <w:pPr>
        <w:pStyle w:val="FootnoteText"/>
        <w:jc w:val="left"/>
      </w:pPr>
      <w:r>
        <w:rPr>
          <w:rStyle w:val="FootnoteReference"/>
        </w:rPr>
        <w:footnoteRef/>
      </w:r>
      <w:r>
        <w:t xml:space="preserve"> </w:t>
      </w:r>
      <w:hyperlink r:id="rId1" w:history="1">
        <w:r w:rsidRPr="002E7688">
          <w:rPr>
            <w:rStyle w:val="Hyperlink"/>
          </w:rPr>
          <w:t>https://www.health.gov.au/resources/publications/nndss-public-dataset-pneumococcal-disease-invasive</w:t>
        </w:r>
      </w:hyperlink>
      <w:r>
        <w:t>; accessed 15 November 2022.</w:t>
      </w:r>
    </w:p>
  </w:footnote>
  <w:footnote w:id="2">
    <w:p w14:paraId="3528BF4B" w14:textId="77777777" w:rsidR="00DD002E" w:rsidRPr="005536DF" w:rsidRDefault="00DD002E" w:rsidP="00DD002E">
      <w:pPr>
        <w:rPr>
          <w:rFonts w:cstheme="minorHAnsi"/>
          <w:sz w:val="20"/>
          <w:szCs w:val="20"/>
        </w:rPr>
      </w:pPr>
      <w:r w:rsidRPr="005536DF">
        <w:rPr>
          <w:rFonts w:cstheme="minorHAnsi"/>
          <w:b/>
          <w:sz w:val="20"/>
          <w:szCs w:val="20"/>
          <w:vertAlign w:val="superscript"/>
        </w:rPr>
        <w:footnoteRef/>
      </w:r>
      <w:r>
        <w:rPr>
          <w:rFonts w:cstheme="minorHAnsi"/>
          <w:b/>
          <w:sz w:val="20"/>
          <w:szCs w:val="20"/>
        </w:rPr>
        <w:t xml:space="preserve"> </w:t>
      </w:r>
      <w:r w:rsidRPr="005536DF">
        <w:rPr>
          <w:rFonts w:cstheme="minorHAnsi"/>
          <w:sz w:val="20"/>
          <w:szCs w:val="20"/>
        </w:rPr>
        <w:t xml:space="preserve">Kabir A, Newall AT, </w:t>
      </w:r>
      <w:r w:rsidRPr="005536DF">
        <w:rPr>
          <w:rFonts w:cstheme="minorHAnsi"/>
          <w:bCs/>
          <w:sz w:val="20"/>
          <w:szCs w:val="20"/>
        </w:rPr>
        <w:t>Randall D</w:t>
      </w:r>
      <w:r w:rsidRPr="005536DF">
        <w:rPr>
          <w:rFonts w:cstheme="minorHAnsi"/>
          <w:sz w:val="20"/>
          <w:szCs w:val="20"/>
        </w:rPr>
        <w:t>, et al</w:t>
      </w:r>
      <w:r w:rsidRPr="005536DF">
        <w:rPr>
          <w:rFonts w:cstheme="minorHAnsi"/>
          <w:color w:val="000000" w:themeColor="text1"/>
          <w:sz w:val="20"/>
          <w:szCs w:val="20"/>
        </w:rPr>
        <w:t>.</w:t>
      </w:r>
      <w:r w:rsidRPr="005536DF">
        <w:rPr>
          <w:rFonts w:cstheme="minorHAnsi"/>
          <w:b/>
          <w:color w:val="000000" w:themeColor="text1"/>
          <w:sz w:val="20"/>
          <w:szCs w:val="20"/>
        </w:rPr>
        <w:t xml:space="preserve"> </w:t>
      </w:r>
      <w:hyperlink r:id="rId2" w:history="1">
        <w:r w:rsidRPr="005536DF">
          <w:rPr>
            <w:rFonts w:cstheme="minorHAnsi"/>
            <w:color w:val="000000" w:themeColor="text1"/>
            <w:sz w:val="20"/>
            <w:szCs w:val="20"/>
          </w:rPr>
          <w:t>Estimating pneumococcal vaccine coverage among Australian Indigenous children and children with medically at-risk conditions using record linkage</w:t>
        </w:r>
      </w:hyperlink>
      <w:r>
        <w:rPr>
          <w:rFonts w:cstheme="minorHAnsi"/>
          <w:color w:val="000000" w:themeColor="text1"/>
          <w:sz w:val="20"/>
          <w:szCs w:val="20"/>
        </w:rPr>
        <w:t>.</w:t>
      </w:r>
      <w:r w:rsidRPr="005536DF">
        <w:rPr>
          <w:rFonts w:cstheme="minorHAnsi"/>
          <w:sz w:val="20"/>
          <w:szCs w:val="20"/>
        </w:rPr>
        <w:t xml:space="preserve"> </w:t>
      </w:r>
      <w:r w:rsidRPr="005536DF">
        <w:rPr>
          <w:rFonts w:cstheme="minorHAnsi"/>
          <w:i/>
          <w:sz w:val="20"/>
          <w:szCs w:val="20"/>
        </w:rPr>
        <w:t>Vaccine</w:t>
      </w:r>
      <w:r w:rsidRPr="005536DF">
        <w:rPr>
          <w:rFonts w:cstheme="minorHAnsi"/>
          <w:sz w:val="20"/>
          <w:szCs w:val="20"/>
        </w:rPr>
        <w:t xml:space="preserve"> 2021; 39:1727-1735. doi: 10.1016/j.vaccine.2021.02.015. Epub 2021 Feb 20.</w:t>
      </w:r>
    </w:p>
    <w:p w14:paraId="773F6720" w14:textId="77777777" w:rsidR="00DD002E" w:rsidRPr="00D37828" w:rsidRDefault="00DD002E" w:rsidP="00DD002E">
      <w:pPr>
        <w:pStyle w:val="FootnoteText"/>
        <w:rPr>
          <w:rFonts w:cstheme="minorHAnsi"/>
        </w:rPr>
      </w:pPr>
    </w:p>
  </w:footnote>
  <w:footnote w:id="3">
    <w:p w14:paraId="56643062" w14:textId="77777777" w:rsidR="00DD002E" w:rsidRDefault="00DD002E" w:rsidP="00DD002E">
      <w:pPr>
        <w:pStyle w:val="FootnoteText"/>
      </w:pPr>
      <w:r>
        <w:rPr>
          <w:rStyle w:val="FootnoteReference"/>
        </w:rPr>
        <w:footnoteRef/>
      </w:r>
      <w:r>
        <w:t xml:space="preserve"> Bonten MJM, Huijts SM, Bolkenbaas M, et al. Polysaccharide conjugate vaccine against pneumococcal pneumonia in adults. </w:t>
      </w:r>
      <w:r w:rsidRPr="00EF7C57">
        <w:rPr>
          <w:i/>
        </w:rPr>
        <w:t>New Engl J Med</w:t>
      </w:r>
      <w:r>
        <w:t xml:space="preserve"> 2015; 372:114-1125.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DD3F" w14:textId="77777777" w:rsidR="00A01BAF" w:rsidRDefault="00A0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771F" w14:textId="5A9A1856" w:rsidR="00B27AA7" w:rsidRPr="00B27AA7" w:rsidRDefault="00554984" w:rsidP="006F3043">
    <w:pPr>
      <w:pStyle w:val="Header"/>
      <w:rPr>
        <w:rFonts w:asciiTheme="minorHAnsi" w:hAnsiTheme="minorHAnsi"/>
        <w:i/>
      </w:rPr>
    </w:pPr>
    <w:r>
      <w:rPr>
        <w:rFonts w:asciiTheme="minorHAnsi" w:hAnsiTheme="minorHAnsi"/>
        <w:i/>
      </w:rPr>
      <w:t>Public Summary Document</w:t>
    </w:r>
    <w:r w:rsidR="00DD002E">
      <w:rPr>
        <w:rFonts w:asciiTheme="minorHAnsi" w:hAnsiTheme="minorHAnsi"/>
        <w:i/>
      </w:rPr>
      <w:t xml:space="preserve"> - </w:t>
    </w:r>
    <w:r w:rsidR="00460901" w:rsidRPr="00B27AA7">
      <w:rPr>
        <w:rFonts w:asciiTheme="minorHAnsi" w:hAnsiTheme="minorHAnsi"/>
        <w:i/>
      </w:rPr>
      <w:t>March 2023 PBAC Meeting</w:t>
    </w:r>
  </w:p>
  <w:p w14:paraId="58F7B5B0" w14:textId="77777777" w:rsidR="0016703B" w:rsidRDefault="001670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AB1F" w14:textId="77777777" w:rsidR="00A01BAF" w:rsidRDefault="00A0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4098"/>
    <w:multiLevelType w:val="hybridMultilevel"/>
    <w:tmpl w:val="AD0AE4F6"/>
    <w:lvl w:ilvl="0" w:tplc="97AACD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FF0641"/>
    <w:multiLevelType w:val="hybridMultilevel"/>
    <w:tmpl w:val="1EBED2FC"/>
    <w:lvl w:ilvl="0" w:tplc="5F165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540F88"/>
    <w:multiLevelType w:val="multilevel"/>
    <w:tmpl w:val="4562418C"/>
    <w:styleLink w:val="CurrentList1"/>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4B6943"/>
    <w:multiLevelType w:val="hybridMultilevel"/>
    <w:tmpl w:val="1EBED2FC"/>
    <w:lvl w:ilvl="0" w:tplc="5F165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E0E29"/>
    <w:multiLevelType w:val="hybridMultilevel"/>
    <w:tmpl w:val="D774FD24"/>
    <w:lvl w:ilvl="0" w:tplc="19C038F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C84D2A"/>
    <w:multiLevelType w:val="hybridMultilevel"/>
    <w:tmpl w:val="0BD09D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B81C9E"/>
    <w:multiLevelType w:val="hybridMultilevel"/>
    <w:tmpl w:val="232C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C369D3"/>
    <w:multiLevelType w:val="hybridMultilevel"/>
    <w:tmpl w:val="56E6263E"/>
    <w:lvl w:ilvl="0" w:tplc="49CEF64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FA1BBC"/>
    <w:multiLevelType w:val="hybridMultilevel"/>
    <w:tmpl w:val="4C84B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7"/>
  </w:num>
  <w:num w:numId="4">
    <w:abstractNumId w:val="0"/>
  </w:num>
  <w:num w:numId="5">
    <w:abstractNumId w:val="13"/>
  </w:num>
  <w:num w:numId="6">
    <w:abstractNumId w:val="12"/>
  </w:num>
  <w:num w:numId="7">
    <w:abstractNumId w:val="14"/>
  </w:num>
  <w:num w:numId="8">
    <w:abstractNumId w:val="4"/>
  </w:num>
  <w:num w:numId="9">
    <w:abstractNumId w:val="9"/>
  </w:num>
  <w:num w:numId="10">
    <w:abstractNumId w:val="2"/>
  </w:num>
  <w:num w:numId="11">
    <w:abstractNumId w:val="11"/>
  </w:num>
  <w:num w:numId="12">
    <w:abstractNumId w:val="1"/>
  </w:num>
  <w:num w:numId="13">
    <w:abstractNumId w:val="3"/>
  </w:num>
  <w:num w:numId="14">
    <w:abstractNumId w:val="5"/>
  </w:num>
  <w:num w:numId="15">
    <w:abstractNumId w:val="8"/>
  </w:num>
  <w:num w:numId="16">
    <w:abstractNumId w:val="10"/>
  </w:num>
  <w:num w:numId="17">
    <w:abstractNumId w:val="13"/>
  </w:num>
  <w:num w:numId="18">
    <w:abstractNumId w:val="13"/>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639A"/>
    <w:rsid w:val="000078A7"/>
    <w:rsid w:val="00013247"/>
    <w:rsid w:val="00015886"/>
    <w:rsid w:val="00015C32"/>
    <w:rsid w:val="000162EF"/>
    <w:rsid w:val="00017647"/>
    <w:rsid w:val="000207C9"/>
    <w:rsid w:val="00021712"/>
    <w:rsid w:val="0002225F"/>
    <w:rsid w:val="00022D5B"/>
    <w:rsid w:val="00023763"/>
    <w:rsid w:val="00024EB5"/>
    <w:rsid w:val="000274B4"/>
    <w:rsid w:val="000274B8"/>
    <w:rsid w:val="00033863"/>
    <w:rsid w:val="00033F6C"/>
    <w:rsid w:val="00035C97"/>
    <w:rsid w:val="00035DC0"/>
    <w:rsid w:val="00035EB6"/>
    <w:rsid w:val="00036829"/>
    <w:rsid w:val="00040895"/>
    <w:rsid w:val="000410A0"/>
    <w:rsid w:val="000435EE"/>
    <w:rsid w:val="00043C37"/>
    <w:rsid w:val="00045017"/>
    <w:rsid w:val="00045A2B"/>
    <w:rsid w:val="0004698F"/>
    <w:rsid w:val="00046D64"/>
    <w:rsid w:val="000508C2"/>
    <w:rsid w:val="0005349C"/>
    <w:rsid w:val="000539D0"/>
    <w:rsid w:val="00054621"/>
    <w:rsid w:val="000546D7"/>
    <w:rsid w:val="00054A8D"/>
    <w:rsid w:val="00056ECF"/>
    <w:rsid w:val="000604DF"/>
    <w:rsid w:val="00062324"/>
    <w:rsid w:val="000653B5"/>
    <w:rsid w:val="00066360"/>
    <w:rsid w:val="00066AF8"/>
    <w:rsid w:val="00071248"/>
    <w:rsid w:val="000720B9"/>
    <w:rsid w:val="000737F7"/>
    <w:rsid w:val="000742E9"/>
    <w:rsid w:val="0007672F"/>
    <w:rsid w:val="00076B54"/>
    <w:rsid w:val="000774F0"/>
    <w:rsid w:val="00080909"/>
    <w:rsid w:val="000812CA"/>
    <w:rsid w:val="00081E63"/>
    <w:rsid w:val="0008258D"/>
    <w:rsid w:val="00083E99"/>
    <w:rsid w:val="00084FA8"/>
    <w:rsid w:val="000856C5"/>
    <w:rsid w:val="00085C31"/>
    <w:rsid w:val="000902D9"/>
    <w:rsid w:val="00090C7E"/>
    <w:rsid w:val="0009113F"/>
    <w:rsid w:val="000911AC"/>
    <w:rsid w:val="00092600"/>
    <w:rsid w:val="0009262B"/>
    <w:rsid w:val="00093310"/>
    <w:rsid w:val="0009445C"/>
    <w:rsid w:val="00095200"/>
    <w:rsid w:val="00095FE5"/>
    <w:rsid w:val="00096284"/>
    <w:rsid w:val="000A0FCF"/>
    <w:rsid w:val="000A1BC0"/>
    <w:rsid w:val="000A2F9E"/>
    <w:rsid w:val="000A3E47"/>
    <w:rsid w:val="000A522B"/>
    <w:rsid w:val="000A563C"/>
    <w:rsid w:val="000A6039"/>
    <w:rsid w:val="000A7453"/>
    <w:rsid w:val="000A7D08"/>
    <w:rsid w:val="000B0121"/>
    <w:rsid w:val="000B0670"/>
    <w:rsid w:val="000B0E75"/>
    <w:rsid w:val="000B1E44"/>
    <w:rsid w:val="000B2DCB"/>
    <w:rsid w:val="000B5CE0"/>
    <w:rsid w:val="000B6CAC"/>
    <w:rsid w:val="000B7612"/>
    <w:rsid w:val="000B78AE"/>
    <w:rsid w:val="000C3DF9"/>
    <w:rsid w:val="000C4CF2"/>
    <w:rsid w:val="000C6713"/>
    <w:rsid w:val="000D0929"/>
    <w:rsid w:val="000D1BFC"/>
    <w:rsid w:val="000D1D5D"/>
    <w:rsid w:val="000D281A"/>
    <w:rsid w:val="000D2848"/>
    <w:rsid w:val="000D2B4D"/>
    <w:rsid w:val="000D326A"/>
    <w:rsid w:val="000D51FB"/>
    <w:rsid w:val="000D588A"/>
    <w:rsid w:val="000D6B6B"/>
    <w:rsid w:val="000E0640"/>
    <w:rsid w:val="000E135D"/>
    <w:rsid w:val="000E1CE8"/>
    <w:rsid w:val="000F00BA"/>
    <w:rsid w:val="000F316A"/>
    <w:rsid w:val="000F3C74"/>
    <w:rsid w:val="000F4BB8"/>
    <w:rsid w:val="000F4FA9"/>
    <w:rsid w:val="000F53FB"/>
    <w:rsid w:val="000F7127"/>
    <w:rsid w:val="000F7B54"/>
    <w:rsid w:val="000F7DF9"/>
    <w:rsid w:val="001000B3"/>
    <w:rsid w:val="00100F8A"/>
    <w:rsid w:val="0010452E"/>
    <w:rsid w:val="00104B39"/>
    <w:rsid w:val="00105AE2"/>
    <w:rsid w:val="001060C6"/>
    <w:rsid w:val="00106B80"/>
    <w:rsid w:val="0011032E"/>
    <w:rsid w:val="0011348B"/>
    <w:rsid w:val="00115982"/>
    <w:rsid w:val="00116C53"/>
    <w:rsid w:val="00121799"/>
    <w:rsid w:val="001222FC"/>
    <w:rsid w:val="00123902"/>
    <w:rsid w:val="00124A51"/>
    <w:rsid w:val="00126621"/>
    <w:rsid w:val="00126B1D"/>
    <w:rsid w:val="001273DD"/>
    <w:rsid w:val="001301E9"/>
    <w:rsid w:val="00131D82"/>
    <w:rsid w:val="00132B22"/>
    <w:rsid w:val="00133D36"/>
    <w:rsid w:val="00137645"/>
    <w:rsid w:val="0014015A"/>
    <w:rsid w:val="00140E99"/>
    <w:rsid w:val="00143F67"/>
    <w:rsid w:val="00145234"/>
    <w:rsid w:val="00145540"/>
    <w:rsid w:val="001456B0"/>
    <w:rsid w:val="00150BFD"/>
    <w:rsid w:val="0015311A"/>
    <w:rsid w:val="001547AB"/>
    <w:rsid w:val="00154D11"/>
    <w:rsid w:val="00156AB0"/>
    <w:rsid w:val="00156F8F"/>
    <w:rsid w:val="00157130"/>
    <w:rsid w:val="001576B1"/>
    <w:rsid w:val="00160228"/>
    <w:rsid w:val="0016047B"/>
    <w:rsid w:val="00160A4C"/>
    <w:rsid w:val="00161BB2"/>
    <w:rsid w:val="00162913"/>
    <w:rsid w:val="00163EFF"/>
    <w:rsid w:val="00163F66"/>
    <w:rsid w:val="0016478E"/>
    <w:rsid w:val="00165EC4"/>
    <w:rsid w:val="001661FB"/>
    <w:rsid w:val="0016703B"/>
    <w:rsid w:val="001671A0"/>
    <w:rsid w:val="0016767F"/>
    <w:rsid w:val="001726D2"/>
    <w:rsid w:val="00173565"/>
    <w:rsid w:val="00173B07"/>
    <w:rsid w:val="001751FA"/>
    <w:rsid w:val="00181C10"/>
    <w:rsid w:val="00181D9C"/>
    <w:rsid w:val="001837FF"/>
    <w:rsid w:val="00184B0E"/>
    <w:rsid w:val="0018752F"/>
    <w:rsid w:val="00193838"/>
    <w:rsid w:val="00194AD8"/>
    <w:rsid w:val="00195222"/>
    <w:rsid w:val="0019525B"/>
    <w:rsid w:val="00195452"/>
    <w:rsid w:val="00196968"/>
    <w:rsid w:val="001975D8"/>
    <w:rsid w:val="001A178E"/>
    <w:rsid w:val="001A43FA"/>
    <w:rsid w:val="001A47C5"/>
    <w:rsid w:val="001A59FB"/>
    <w:rsid w:val="001A5E9E"/>
    <w:rsid w:val="001A6354"/>
    <w:rsid w:val="001A6366"/>
    <w:rsid w:val="001A799D"/>
    <w:rsid w:val="001A7AE8"/>
    <w:rsid w:val="001B0D1D"/>
    <w:rsid w:val="001B1F5A"/>
    <w:rsid w:val="001B204E"/>
    <w:rsid w:val="001B2372"/>
    <w:rsid w:val="001B3443"/>
    <w:rsid w:val="001B3824"/>
    <w:rsid w:val="001B4D20"/>
    <w:rsid w:val="001B7F84"/>
    <w:rsid w:val="001C16B3"/>
    <w:rsid w:val="001C2A9B"/>
    <w:rsid w:val="001C3DD6"/>
    <w:rsid w:val="001C4299"/>
    <w:rsid w:val="001C4874"/>
    <w:rsid w:val="001C5F94"/>
    <w:rsid w:val="001C6E66"/>
    <w:rsid w:val="001D0592"/>
    <w:rsid w:val="001D065C"/>
    <w:rsid w:val="001D1100"/>
    <w:rsid w:val="001D1391"/>
    <w:rsid w:val="001D25D7"/>
    <w:rsid w:val="001D50B2"/>
    <w:rsid w:val="001D605E"/>
    <w:rsid w:val="001D71F4"/>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4081"/>
    <w:rsid w:val="001F7361"/>
    <w:rsid w:val="002011B0"/>
    <w:rsid w:val="00203181"/>
    <w:rsid w:val="00203783"/>
    <w:rsid w:val="0020385F"/>
    <w:rsid w:val="002068A0"/>
    <w:rsid w:val="00207021"/>
    <w:rsid w:val="0020732F"/>
    <w:rsid w:val="00207CD8"/>
    <w:rsid w:val="00207D00"/>
    <w:rsid w:val="002102A9"/>
    <w:rsid w:val="002105C1"/>
    <w:rsid w:val="002116FD"/>
    <w:rsid w:val="00213C6E"/>
    <w:rsid w:val="00213EF5"/>
    <w:rsid w:val="00216BF5"/>
    <w:rsid w:val="00223B49"/>
    <w:rsid w:val="00223D5A"/>
    <w:rsid w:val="00224DD4"/>
    <w:rsid w:val="00226EFA"/>
    <w:rsid w:val="002278A0"/>
    <w:rsid w:val="002309CC"/>
    <w:rsid w:val="00231BA9"/>
    <w:rsid w:val="0023209F"/>
    <w:rsid w:val="00233C01"/>
    <w:rsid w:val="0023413C"/>
    <w:rsid w:val="002346F0"/>
    <w:rsid w:val="0023629D"/>
    <w:rsid w:val="00237255"/>
    <w:rsid w:val="00240832"/>
    <w:rsid w:val="002424AF"/>
    <w:rsid w:val="00242D46"/>
    <w:rsid w:val="002439DC"/>
    <w:rsid w:val="002441D2"/>
    <w:rsid w:val="00244DC8"/>
    <w:rsid w:val="002458BA"/>
    <w:rsid w:val="00245CE9"/>
    <w:rsid w:val="0024636C"/>
    <w:rsid w:val="00247925"/>
    <w:rsid w:val="00251006"/>
    <w:rsid w:val="00251134"/>
    <w:rsid w:val="002524D5"/>
    <w:rsid w:val="00253B1D"/>
    <w:rsid w:val="00254DCF"/>
    <w:rsid w:val="0025534B"/>
    <w:rsid w:val="00255BB7"/>
    <w:rsid w:val="00257541"/>
    <w:rsid w:val="00257A39"/>
    <w:rsid w:val="00257AC4"/>
    <w:rsid w:val="00257BBE"/>
    <w:rsid w:val="00261EEF"/>
    <w:rsid w:val="00262A1A"/>
    <w:rsid w:val="00262A87"/>
    <w:rsid w:val="00264D26"/>
    <w:rsid w:val="00267642"/>
    <w:rsid w:val="00267AEA"/>
    <w:rsid w:val="002700E6"/>
    <w:rsid w:val="0027294B"/>
    <w:rsid w:val="00273EB4"/>
    <w:rsid w:val="00274682"/>
    <w:rsid w:val="00275158"/>
    <w:rsid w:val="00275C5A"/>
    <w:rsid w:val="00280510"/>
    <w:rsid w:val="00281014"/>
    <w:rsid w:val="00283767"/>
    <w:rsid w:val="00285BCE"/>
    <w:rsid w:val="0028665D"/>
    <w:rsid w:val="00293FB9"/>
    <w:rsid w:val="00294088"/>
    <w:rsid w:val="002A14AB"/>
    <w:rsid w:val="002A2ADE"/>
    <w:rsid w:val="002A2F50"/>
    <w:rsid w:val="002A7943"/>
    <w:rsid w:val="002B05A1"/>
    <w:rsid w:val="002B09A4"/>
    <w:rsid w:val="002B1C1F"/>
    <w:rsid w:val="002B3D23"/>
    <w:rsid w:val="002B432F"/>
    <w:rsid w:val="002B62B3"/>
    <w:rsid w:val="002B6754"/>
    <w:rsid w:val="002B6CCE"/>
    <w:rsid w:val="002B770B"/>
    <w:rsid w:val="002C2510"/>
    <w:rsid w:val="002C2775"/>
    <w:rsid w:val="002C27C1"/>
    <w:rsid w:val="002C36E3"/>
    <w:rsid w:val="002C3837"/>
    <w:rsid w:val="002C5099"/>
    <w:rsid w:val="002C5889"/>
    <w:rsid w:val="002C71CE"/>
    <w:rsid w:val="002C752E"/>
    <w:rsid w:val="002D08F8"/>
    <w:rsid w:val="002D1569"/>
    <w:rsid w:val="002D3981"/>
    <w:rsid w:val="002D4559"/>
    <w:rsid w:val="002D577C"/>
    <w:rsid w:val="002D5C59"/>
    <w:rsid w:val="002D7832"/>
    <w:rsid w:val="002D7A61"/>
    <w:rsid w:val="002E0F7A"/>
    <w:rsid w:val="002E1071"/>
    <w:rsid w:val="002E136A"/>
    <w:rsid w:val="002E15B9"/>
    <w:rsid w:val="002E2158"/>
    <w:rsid w:val="002E4F02"/>
    <w:rsid w:val="002E7722"/>
    <w:rsid w:val="002F07BA"/>
    <w:rsid w:val="002F0DA9"/>
    <w:rsid w:val="002F1014"/>
    <w:rsid w:val="002F1E3B"/>
    <w:rsid w:val="002F4280"/>
    <w:rsid w:val="002F643C"/>
    <w:rsid w:val="002F71C0"/>
    <w:rsid w:val="002F74F1"/>
    <w:rsid w:val="003008C6"/>
    <w:rsid w:val="00301017"/>
    <w:rsid w:val="0030155F"/>
    <w:rsid w:val="0030281A"/>
    <w:rsid w:val="0030587B"/>
    <w:rsid w:val="00306D98"/>
    <w:rsid w:val="0030786C"/>
    <w:rsid w:val="0031031A"/>
    <w:rsid w:val="00310981"/>
    <w:rsid w:val="00311D9B"/>
    <w:rsid w:val="003124D9"/>
    <w:rsid w:val="00312594"/>
    <w:rsid w:val="00313BA1"/>
    <w:rsid w:val="00313DC4"/>
    <w:rsid w:val="00315498"/>
    <w:rsid w:val="00316474"/>
    <w:rsid w:val="00322107"/>
    <w:rsid w:val="00322355"/>
    <w:rsid w:val="00322846"/>
    <w:rsid w:val="003228B0"/>
    <w:rsid w:val="003261FE"/>
    <w:rsid w:val="00326DA7"/>
    <w:rsid w:val="003270E4"/>
    <w:rsid w:val="00330DAA"/>
    <w:rsid w:val="00330F5C"/>
    <w:rsid w:val="00335383"/>
    <w:rsid w:val="003366C9"/>
    <w:rsid w:val="003371B0"/>
    <w:rsid w:val="00337C46"/>
    <w:rsid w:val="00340DF1"/>
    <w:rsid w:val="003414C1"/>
    <w:rsid w:val="003517F9"/>
    <w:rsid w:val="00351BA9"/>
    <w:rsid w:val="00354F64"/>
    <w:rsid w:val="0035620E"/>
    <w:rsid w:val="003575BE"/>
    <w:rsid w:val="00360345"/>
    <w:rsid w:val="003612B4"/>
    <w:rsid w:val="00361A05"/>
    <w:rsid w:val="00362189"/>
    <w:rsid w:val="003624C4"/>
    <w:rsid w:val="00363370"/>
    <w:rsid w:val="00363B00"/>
    <w:rsid w:val="003654AC"/>
    <w:rsid w:val="003710CF"/>
    <w:rsid w:val="003715E7"/>
    <w:rsid w:val="00372A4D"/>
    <w:rsid w:val="00372A5D"/>
    <w:rsid w:val="0037358A"/>
    <w:rsid w:val="00373A4C"/>
    <w:rsid w:val="003750F6"/>
    <w:rsid w:val="003760FC"/>
    <w:rsid w:val="0037795F"/>
    <w:rsid w:val="0038273C"/>
    <w:rsid w:val="0038365C"/>
    <w:rsid w:val="0038369B"/>
    <w:rsid w:val="00383B78"/>
    <w:rsid w:val="00385A9D"/>
    <w:rsid w:val="00387121"/>
    <w:rsid w:val="003902B1"/>
    <w:rsid w:val="00390AB3"/>
    <w:rsid w:val="0039179C"/>
    <w:rsid w:val="003920E6"/>
    <w:rsid w:val="00396896"/>
    <w:rsid w:val="00396D8F"/>
    <w:rsid w:val="00396FD0"/>
    <w:rsid w:val="003A1A7A"/>
    <w:rsid w:val="003A2392"/>
    <w:rsid w:val="003A2831"/>
    <w:rsid w:val="003A3CB6"/>
    <w:rsid w:val="003A3ED1"/>
    <w:rsid w:val="003A44DB"/>
    <w:rsid w:val="003A4C14"/>
    <w:rsid w:val="003B3971"/>
    <w:rsid w:val="003B55D1"/>
    <w:rsid w:val="003B5B61"/>
    <w:rsid w:val="003C1654"/>
    <w:rsid w:val="003C2D67"/>
    <w:rsid w:val="003C54AC"/>
    <w:rsid w:val="003C5542"/>
    <w:rsid w:val="003C7C15"/>
    <w:rsid w:val="003C7D19"/>
    <w:rsid w:val="003C7D2F"/>
    <w:rsid w:val="003D063C"/>
    <w:rsid w:val="003D0C5A"/>
    <w:rsid w:val="003D1828"/>
    <w:rsid w:val="003D1DE4"/>
    <w:rsid w:val="003D1E9A"/>
    <w:rsid w:val="003D2422"/>
    <w:rsid w:val="003D39A1"/>
    <w:rsid w:val="003D3FBF"/>
    <w:rsid w:val="003D4A30"/>
    <w:rsid w:val="003D7452"/>
    <w:rsid w:val="003D79BB"/>
    <w:rsid w:val="003D7C98"/>
    <w:rsid w:val="003D7D42"/>
    <w:rsid w:val="003D7D9D"/>
    <w:rsid w:val="003E0543"/>
    <w:rsid w:val="003E5603"/>
    <w:rsid w:val="003E749E"/>
    <w:rsid w:val="003F4156"/>
    <w:rsid w:val="003F4C98"/>
    <w:rsid w:val="003F5ADF"/>
    <w:rsid w:val="00400B29"/>
    <w:rsid w:val="00401677"/>
    <w:rsid w:val="00402812"/>
    <w:rsid w:val="0040504B"/>
    <w:rsid w:val="004059F4"/>
    <w:rsid w:val="0040661D"/>
    <w:rsid w:val="00407C51"/>
    <w:rsid w:val="00407FE5"/>
    <w:rsid w:val="004101B0"/>
    <w:rsid w:val="00410326"/>
    <w:rsid w:val="00410708"/>
    <w:rsid w:val="00410EC7"/>
    <w:rsid w:val="00411B39"/>
    <w:rsid w:val="004127A7"/>
    <w:rsid w:val="00413A1E"/>
    <w:rsid w:val="00413E4A"/>
    <w:rsid w:val="00414476"/>
    <w:rsid w:val="00414C2E"/>
    <w:rsid w:val="004151CF"/>
    <w:rsid w:val="00416364"/>
    <w:rsid w:val="00417D38"/>
    <w:rsid w:val="0042047F"/>
    <w:rsid w:val="00420AA6"/>
    <w:rsid w:val="00420B9F"/>
    <w:rsid w:val="0042192C"/>
    <w:rsid w:val="00422260"/>
    <w:rsid w:val="0042413F"/>
    <w:rsid w:val="004319F8"/>
    <w:rsid w:val="00431E55"/>
    <w:rsid w:val="004321F6"/>
    <w:rsid w:val="00433044"/>
    <w:rsid w:val="004337A5"/>
    <w:rsid w:val="00433C0A"/>
    <w:rsid w:val="00434088"/>
    <w:rsid w:val="004346C6"/>
    <w:rsid w:val="004375B9"/>
    <w:rsid w:val="00441A4E"/>
    <w:rsid w:val="004428D0"/>
    <w:rsid w:val="00444185"/>
    <w:rsid w:val="004443A7"/>
    <w:rsid w:val="0044442C"/>
    <w:rsid w:val="004451DF"/>
    <w:rsid w:val="00445941"/>
    <w:rsid w:val="004464EB"/>
    <w:rsid w:val="00447D26"/>
    <w:rsid w:val="00447DFC"/>
    <w:rsid w:val="00455D45"/>
    <w:rsid w:val="00460901"/>
    <w:rsid w:val="00464595"/>
    <w:rsid w:val="004658B5"/>
    <w:rsid w:val="00466B8C"/>
    <w:rsid w:val="00471EA5"/>
    <w:rsid w:val="00472A79"/>
    <w:rsid w:val="00473219"/>
    <w:rsid w:val="00473F19"/>
    <w:rsid w:val="00474DFE"/>
    <w:rsid w:val="00475E22"/>
    <w:rsid w:val="00477258"/>
    <w:rsid w:val="0048088E"/>
    <w:rsid w:val="00480F2B"/>
    <w:rsid w:val="0048133A"/>
    <w:rsid w:val="00482720"/>
    <w:rsid w:val="004835E7"/>
    <w:rsid w:val="004859E1"/>
    <w:rsid w:val="004867E2"/>
    <w:rsid w:val="00490864"/>
    <w:rsid w:val="00490B17"/>
    <w:rsid w:val="00491B3A"/>
    <w:rsid w:val="00492CFD"/>
    <w:rsid w:val="004935D0"/>
    <w:rsid w:val="00494207"/>
    <w:rsid w:val="00494DD5"/>
    <w:rsid w:val="004962D2"/>
    <w:rsid w:val="00497388"/>
    <w:rsid w:val="004A0DA1"/>
    <w:rsid w:val="004A13D6"/>
    <w:rsid w:val="004A52E9"/>
    <w:rsid w:val="004A6040"/>
    <w:rsid w:val="004A6597"/>
    <w:rsid w:val="004A7848"/>
    <w:rsid w:val="004A793B"/>
    <w:rsid w:val="004B08CD"/>
    <w:rsid w:val="004B1CB4"/>
    <w:rsid w:val="004B2F18"/>
    <w:rsid w:val="004B3DDB"/>
    <w:rsid w:val="004B3E62"/>
    <w:rsid w:val="004B44FD"/>
    <w:rsid w:val="004B5CFC"/>
    <w:rsid w:val="004B6F79"/>
    <w:rsid w:val="004B774D"/>
    <w:rsid w:val="004C052B"/>
    <w:rsid w:val="004C19D6"/>
    <w:rsid w:val="004C2AC2"/>
    <w:rsid w:val="004C313A"/>
    <w:rsid w:val="004C4AED"/>
    <w:rsid w:val="004D1595"/>
    <w:rsid w:val="004D2C2D"/>
    <w:rsid w:val="004D4956"/>
    <w:rsid w:val="004D69B5"/>
    <w:rsid w:val="004D6EC8"/>
    <w:rsid w:val="004D7227"/>
    <w:rsid w:val="004D7B5E"/>
    <w:rsid w:val="004E0E7F"/>
    <w:rsid w:val="004E0EB8"/>
    <w:rsid w:val="004E1751"/>
    <w:rsid w:val="004E18E9"/>
    <w:rsid w:val="004E2ADC"/>
    <w:rsid w:val="004E43B2"/>
    <w:rsid w:val="004F0950"/>
    <w:rsid w:val="004F18FE"/>
    <w:rsid w:val="004F1D02"/>
    <w:rsid w:val="004F2679"/>
    <w:rsid w:val="004F2F21"/>
    <w:rsid w:val="004F3DE5"/>
    <w:rsid w:val="004F6913"/>
    <w:rsid w:val="004F7865"/>
    <w:rsid w:val="0050174E"/>
    <w:rsid w:val="00501854"/>
    <w:rsid w:val="00501E4B"/>
    <w:rsid w:val="0050219B"/>
    <w:rsid w:val="00503F17"/>
    <w:rsid w:val="00503F3A"/>
    <w:rsid w:val="00506928"/>
    <w:rsid w:val="005077EF"/>
    <w:rsid w:val="00510BD1"/>
    <w:rsid w:val="00511AD5"/>
    <w:rsid w:val="00511DC7"/>
    <w:rsid w:val="00511F91"/>
    <w:rsid w:val="0051209E"/>
    <w:rsid w:val="005128DE"/>
    <w:rsid w:val="005134DF"/>
    <w:rsid w:val="005142C5"/>
    <w:rsid w:val="0051501B"/>
    <w:rsid w:val="005152B5"/>
    <w:rsid w:val="00515886"/>
    <w:rsid w:val="0052123C"/>
    <w:rsid w:val="00521319"/>
    <w:rsid w:val="0052144C"/>
    <w:rsid w:val="00522BC8"/>
    <w:rsid w:val="00523C28"/>
    <w:rsid w:val="0053176B"/>
    <w:rsid w:val="00533041"/>
    <w:rsid w:val="005341B3"/>
    <w:rsid w:val="00536F42"/>
    <w:rsid w:val="0053702D"/>
    <w:rsid w:val="00537182"/>
    <w:rsid w:val="00541AFD"/>
    <w:rsid w:val="00541EDD"/>
    <w:rsid w:val="00542743"/>
    <w:rsid w:val="00542C2D"/>
    <w:rsid w:val="00544182"/>
    <w:rsid w:val="005478BD"/>
    <w:rsid w:val="005479E3"/>
    <w:rsid w:val="0055099C"/>
    <w:rsid w:val="00551985"/>
    <w:rsid w:val="005522A9"/>
    <w:rsid w:val="00552BD3"/>
    <w:rsid w:val="005532A0"/>
    <w:rsid w:val="00554984"/>
    <w:rsid w:val="00555109"/>
    <w:rsid w:val="00556227"/>
    <w:rsid w:val="00556B35"/>
    <w:rsid w:val="0055741A"/>
    <w:rsid w:val="005611B7"/>
    <w:rsid w:val="005618D4"/>
    <w:rsid w:val="005631B2"/>
    <w:rsid w:val="00564867"/>
    <w:rsid w:val="00564D36"/>
    <w:rsid w:val="00565C79"/>
    <w:rsid w:val="00565DF0"/>
    <w:rsid w:val="0056696F"/>
    <w:rsid w:val="00572269"/>
    <w:rsid w:val="0057244A"/>
    <w:rsid w:val="00572F26"/>
    <w:rsid w:val="005750C5"/>
    <w:rsid w:val="005752DE"/>
    <w:rsid w:val="005756F3"/>
    <w:rsid w:val="00575D60"/>
    <w:rsid w:val="00575D8D"/>
    <w:rsid w:val="00576972"/>
    <w:rsid w:val="00577248"/>
    <w:rsid w:val="005774DE"/>
    <w:rsid w:val="00581B5F"/>
    <w:rsid w:val="00583699"/>
    <w:rsid w:val="00585CDD"/>
    <w:rsid w:val="00587058"/>
    <w:rsid w:val="005907A1"/>
    <w:rsid w:val="00591239"/>
    <w:rsid w:val="00591957"/>
    <w:rsid w:val="00596C3A"/>
    <w:rsid w:val="00597BF9"/>
    <w:rsid w:val="00597D3D"/>
    <w:rsid w:val="005A0111"/>
    <w:rsid w:val="005A0C11"/>
    <w:rsid w:val="005A309A"/>
    <w:rsid w:val="005A373D"/>
    <w:rsid w:val="005B0B58"/>
    <w:rsid w:val="005B2320"/>
    <w:rsid w:val="005B4E53"/>
    <w:rsid w:val="005B5857"/>
    <w:rsid w:val="005B6FC9"/>
    <w:rsid w:val="005B79E0"/>
    <w:rsid w:val="005C0898"/>
    <w:rsid w:val="005C0CE0"/>
    <w:rsid w:val="005C19C4"/>
    <w:rsid w:val="005C1B83"/>
    <w:rsid w:val="005C25FF"/>
    <w:rsid w:val="005C2D55"/>
    <w:rsid w:val="005C346B"/>
    <w:rsid w:val="005C5ABC"/>
    <w:rsid w:val="005D009D"/>
    <w:rsid w:val="005D044D"/>
    <w:rsid w:val="005D0880"/>
    <w:rsid w:val="005D0ABD"/>
    <w:rsid w:val="005D18AD"/>
    <w:rsid w:val="005D26B4"/>
    <w:rsid w:val="005D7438"/>
    <w:rsid w:val="005E1995"/>
    <w:rsid w:val="005E2760"/>
    <w:rsid w:val="005E5A35"/>
    <w:rsid w:val="005E6CBC"/>
    <w:rsid w:val="005E72FF"/>
    <w:rsid w:val="005E73C0"/>
    <w:rsid w:val="005F07ED"/>
    <w:rsid w:val="005F0FBD"/>
    <w:rsid w:val="005F2706"/>
    <w:rsid w:val="005F4C4C"/>
    <w:rsid w:val="005F522F"/>
    <w:rsid w:val="005F6174"/>
    <w:rsid w:val="005F6A8F"/>
    <w:rsid w:val="005F6BB7"/>
    <w:rsid w:val="005F7588"/>
    <w:rsid w:val="00603DB9"/>
    <w:rsid w:val="00606FBA"/>
    <w:rsid w:val="00607669"/>
    <w:rsid w:val="006076F4"/>
    <w:rsid w:val="00607AFD"/>
    <w:rsid w:val="0061029F"/>
    <w:rsid w:val="0061130E"/>
    <w:rsid w:val="00611B12"/>
    <w:rsid w:val="00612F97"/>
    <w:rsid w:val="0061345D"/>
    <w:rsid w:val="00614ACB"/>
    <w:rsid w:val="0061549B"/>
    <w:rsid w:val="00616802"/>
    <w:rsid w:val="00616883"/>
    <w:rsid w:val="00617D8F"/>
    <w:rsid w:val="00617E12"/>
    <w:rsid w:val="00620C25"/>
    <w:rsid w:val="00621477"/>
    <w:rsid w:val="00621ADA"/>
    <w:rsid w:val="006225E0"/>
    <w:rsid w:val="00623222"/>
    <w:rsid w:val="00623F7B"/>
    <w:rsid w:val="00624BD4"/>
    <w:rsid w:val="00627D86"/>
    <w:rsid w:val="0063158F"/>
    <w:rsid w:val="00631D6B"/>
    <w:rsid w:val="00632183"/>
    <w:rsid w:val="006330A1"/>
    <w:rsid w:val="0063479F"/>
    <w:rsid w:val="006353F0"/>
    <w:rsid w:val="006357B5"/>
    <w:rsid w:val="006364A1"/>
    <w:rsid w:val="0063678E"/>
    <w:rsid w:val="00637BFD"/>
    <w:rsid w:val="00637C5C"/>
    <w:rsid w:val="00641C4E"/>
    <w:rsid w:val="00641CD4"/>
    <w:rsid w:val="00641FB3"/>
    <w:rsid w:val="006424CB"/>
    <w:rsid w:val="00642760"/>
    <w:rsid w:val="00643D8F"/>
    <w:rsid w:val="0064434C"/>
    <w:rsid w:val="006471CC"/>
    <w:rsid w:val="006472FE"/>
    <w:rsid w:val="00647A29"/>
    <w:rsid w:val="0065079F"/>
    <w:rsid w:val="00652A28"/>
    <w:rsid w:val="00653502"/>
    <w:rsid w:val="00653520"/>
    <w:rsid w:val="0065379F"/>
    <w:rsid w:val="00653CA9"/>
    <w:rsid w:val="00656188"/>
    <w:rsid w:val="00656E90"/>
    <w:rsid w:val="0065715A"/>
    <w:rsid w:val="0066027A"/>
    <w:rsid w:val="006610F1"/>
    <w:rsid w:val="00661C6B"/>
    <w:rsid w:val="00662D3E"/>
    <w:rsid w:val="00663190"/>
    <w:rsid w:val="0066322E"/>
    <w:rsid w:val="00667BE3"/>
    <w:rsid w:val="0067055E"/>
    <w:rsid w:val="00671004"/>
    <w:rsid w:val="00672646"/>
    <w:rsid w:val="00674E42"/>
    <w:rsid w:val="00676563"/>
    <w:rsid w:val="00680AAD"/>
    <w:rsid w:val="006813F8"/>
    <w:rsid w:val="0068179F"/>
    <w:rsid w:val="00681957"/>
    <w:rsid w:val="00682112"/>
    <w:rsid w:val="00682BA6"/>
    <w:rsid w:val="00686957"/>
    <w:rsid w:val="006872BA"/>
    <w:rsid w:val="00690795"/>
    <w:rsid w:val="00691648"/>
    <w:rsid w:val="006917D7"/>
    <w:rsid w:val="00692685"/>
    <w:rsid w:val="00693D05"/>
    <w:rsid w:val="0069434C"/>
    <w:rsid w:val="00694F44"/>
    <w:rsid w:val="00696EF9"/>
    <w:rsid w:val="00696F51"/>
    <w:rsid w:val="00697203"/>
    <w:rsid w:val="006979A5"/>
    <w:rsid w:val="006A016F"/>
    <w:rsid w:val="006A0DF7"/>
    <w:rsid w:val="006A4321"/>
    <w:rsid w:val="006A43D9"/>
    <w:rsid w:val="006A6B99"/>
    <w:rsid w:val="006A7E5F"/>
    <w:rsid w:val="006B261B"/>
    <w:rsid w:val="006B2C90"/>
    <w:rsid w:val="006B35E6"/>
    <w:rsid w:val="006B45C7"/>
    <w:rsid w:val="006B465A"/>
    <w:rsid w:val="006B5425"/>
    <w:rsid w:val="006B5F01"/>
    <w:rsid w:val="006B6DD0"/>
    <w:rsid w:val="006B7B5F"/>
    <w:rsid w:val="006C007A"/>
    <w:rsid w:val="006C0399"/>
    <w:rsid w:val="006C1813"/>
    <w:rsid w:val="006C2A8E"/>
    <w:rsid w:val="006C3255"/>
    <w:rsid w:val="006C3F26"/>
    <w:rsid w:val="006C6BD0"/>
    <w:rsid w:val="006D0D17"/>
    <w:rsid w:val="006D2492"/>
    <w:rsid w:val="006D2EE9"/>
    <w:rsid w:val="006D3C7D"/>
    <w:rsid w:val="006D4659"/>
    <w:rsid w:val="006D5D5F"/>
    <w:rsid w:val="006D68FB"/>
    <w:rsid w:val="006E2868"/>
    <w:rsid w:val="006E4520"/>
    <w:rsid w:val="006E4D94"/>
    <w:rsid w:val="006E4FB4"/>
    <w:rsid w:val="006E59E0"/>
    <w:rsid w:val="006F08B4"/>
    <w:rsid w:val="006F3043"/>
    <w:rsid w:val="006F306C"/>
    <w:rsid w:val="006F63A5"/>
    <w:rsid w:val="006F7FD1"/>
    <w:rsid w:val="00701241"/>
    <w:rsid w:val="0070142B"/>
    <w:rsid w:val="0070276E"/>
    <w:rsid w:val="00702F8F"/>
    <w:rsid w:val="007079FC"/>
    <w:rsid w:val="00710DF0"/>
    <w:rsid w:val="00711A36"/>
    <w:rsid w:val="007125D3"/>
    <w:rsid w:val="007132DC"/>
    <w:rsid w:val="00714A86"/>
    <w:rsid w:val="00714C26"/>
    <w:rsid w:val="0071529C"/>
    <w:rsid w:val="00716FA7"/>
    <w:rsid w:val="007170DA"/>
    <w:rsid w:val="007172AD"/>
    <w:rsid w:val="00717546"/>
    <w:rsid w:val="0072036F"/>
    <w:rsid w:val="00720801"/>
    <w:rsid w:val="00722B1B"/>
    <w:rsid w:val="0072416F"/>
    <w:rsid w:val="00727C94"/>
    <w:rsid w:val="00731B0A"/>
    <w:rsid w:val="00731EAE"/>
    <w:rsid w:val="00733073"/>
    <w:rsid w:val="00735033"/>
    <w:rsid w:val="00735328"/>
    <w:rsid w:val="0073685B"/>
    <w:rsid w:val="007421F8"/>
    <w:rsid w:val="007449BF"/>
    <w:rsid w:val="007463FE"/>
    <w:rsid w:val="00746924"/>
    <w:rsid w:val="00746BC0"/>
    <w:rsid w:val="007510B4"/>
    <w:rsid w:val="00751E97"/>
    <w:rsid w:val="00752142"/>
    <w:rsid w:val="007523F9"/>
    <w:rsid w:val="00753128"/>
    <w:rsid w:val="0075357E"/>
    <w:rsid w:val="00753B29"/>
    <w:rsid w:val="00756424"/>
    <w:rsid w:val="007573E8"/>
    <w:rsid w:val="007602C7"/>
    <w:rsid w:val="00760C4E"/>
    <w:rsid w:val="00760F9E"/>
    <w:rsid w:val="007616E6"/>
    <w:rsid w:val="007627BE"/>
    <w:rsid w:val="00764F03"/>
    <w:rsid w:val="00765584"/>
    <w:rsid w:val="00765B1A"/>
    <w:rsid w:val="00765DC1"/>
    <w:rsid w:val="0077531F"/>
    <w:rsid w:val="00777335"/>
    <w:rsid w:val="0078063E"/>
    <w:rsid w:val="007843F2"/>
    <w:rsid w:val="007846FA"/>
    <w:rsid w:val="00785A9F"/>
    <w:rsid w:val="007918E4"/>
    <w:rsid w:val="007925DF"/>
    <w:rsid w:val="007A08AA"/>
    <w:rsid w:val="007A0A12"/>
    <w:rsid w:val="007A132D"/>
    <w:rsid w:val="007A1345"/>
    <w:rsid w:val="007A2DDB"/>
    <w:rsid w:val="007A70BA"/>
    <w:rsid w:val="007B0D68"/>
    <w:rsid w:val="007B251D"/>
    <w:rsid w:val="007B27F3"/>
    <w:rsid w:val="007B3533"/>
    <w:rsid w:val="007B4F58"/>
    <w:rsid w:val="007B528D"/>
    <w:rsid w:val="007B63CA"/>
    <w:rsid w:val="007B77D1"/>
    <w:rsid w:val="007C04E9"/>
    <w:rsid w:val="007C07C7"/>
    <w:rsid w:val="007C1CD9"/>
    <w:rsid w:val="007C32EF"/>
    <w:rsid w:val="007C361D"/>
    <w:rsid w:val="007C4B84"/>
    <w:rsid w:val="007C6FCD"/>
    <w:rsid w:val="007C70FF"/>
    <w:rsid w:val="007C7C25"/>
    <w:rsid w:val="007D004F"/>
    <w:rsid w:val="007D035F"/>
    <w:rsid w:val="007D06B2"/>
    <w:rsid w:val="007D0B38"/>
    <w:rsid w:val="007D5440"/>
    <w:rsid w:val="007D69EB"/>
    <w:rsid w:val="007E128F"/>
    <w:rsid w:val="007E2298"/>
    <w:rsid w:val="007F1017"/>
    <w:rsid w:val="007F2B15"/>
    <w:rsid w:val="007F4A3F"/>
    <w:rsid w:val="007F4A61"/>
    <w:rsid w:val="007F5255"/>
    <w:rsid w:val="007F56CC"/>
    <w:rsid w:val="007F61C2"/>
    <w:rsid w:val="00805142"/>
    <w:rsid w:val="00805A61"/>
    <w:rsid w:val="00805FCE"/>
    <w:rsid w:val="00807A8B"/>
    <w:rsid w:val="00811383"/>
    <w:rsid w:val="00811EF4"/>
    <w:rsid w:val="00812149"/>
    <w:rsid w:val="00812CAC"/>
    <w:rsid w:val="00813012"/>
    <w:rsid w:val="00816361"/>
    <w:rsid w:val="008166EF"/>
    <w:rsid w:val="00816FEF"/>
    <w:rsid w:val="008175A2"/>
    <w:rsid w:val="0081766A"/>
    <w:rsid w:val="00820A8C"/>
    <w:rsid w:val="008215FB"/>
    <w:rsid w:val="008220CC"/>
    <w:rsid w:val="00823174"/>
    <w:rsid w:val="00825751"/>
    <w:rsid w:val="008264EB"/>
    <w:rsid w:val="00826862"/>
    <w:rsid w:val="008268CE"/>
    <w:rsid w:val="00827C23"/>
    <w:rsid w:val="00833B05"/>
    <w:rsid w:val="00835453"/>
    <w:rsid w:val="008362B4"/>
    <w:rsid w:val="00840CA2"/>
    <w:rsid w:val="0084374F"/>
    <w:rsid w:val="00844A22"/>
    <w:rsid w:val="00847703"/>
    <w:rsid w:val="00847DF5"/>
    <w:rsid w:val="0085309D"/>
    <w:rsid w:val="00856897"/>
    <w:rsid w:val="00856B9E"/>
    <w:rsid w:val="00856E9A"/>
    <w:rsid w:val="00857155"/>
    <w:rsid w:val="00857756"/>
    <w:rsid w:val="0086075D"/>
    <w:rsid w:val="00862502"/>
    <w:rsid w:val="00862CC1"/>
    <w:rsid w:val="00863232"/>
    <w:rsid w:val="008642A7"/>
    <w:rsid w:val="008660D4"/>
    <w:rsid w:val="00871FA9"/>
    <w:rsid w:val="008728E9"/>
    <w:rsid w:val="00873490"/>
    <w:rsid w:val="008734B5"/>
    <w:rsid w:val="00881C8E"/>
    <w:rsid w:val="00882874"/>
    <w:rsid w:val="00882E3C"/>
    <w:rsid w:val="0088308A"/>
    <w:rsid w:val="00883787"/>
    <w:rsid w:val="00884D7C"/>
    <w:rsid w:val="008855E4"/>
    <w:rsid w:val="00886CD2"/>
    <w:rsid w:val="00891E6F"/>
    <w:rsid w:val="0089275D"/>
    <w:rsid w:val="00892A36"/>
    <w:rsid w:val="00893239"/>
    <w:rsid w:val="00894489"/>
    <w:rsid w:val="00894CD6"/>
    <w:rsid w:val="008963A5"/>
    <w:rsid w:val="00896D5D"/>
    <w:rsid w:val="008A3158"/>
    <w:rsid w:val="008A3363"/>
    <w:rsid w:val="008A3371"/>
    <w:rsid w:val="008A3C3E"/>
    <w:rsid w:val="008A5850"/>
    <w:rsid w:val="008A79DE"/>
    <w:rsid w:val="008B1757"/>
    <w:rsid w:val="008B1C33"/>
    <w:rsid w:val="008B3E91"/>
    <w:rsid w:val="008B4B6F"/>
    <w:rsid w:val="008B699A"/>
    <w:rsid w:val="008B76CC"/>
    <w:rsid w:val="008B7992"/>
    <w:rsid w:val="008B7D7E"/>
    <w:rsid w:val="008C5610"/>
    <w:rsid w:val="008C5739"/>
    <w:rsid w:val="008C58D3"/>
    <w:rsid w:val="008C7282"/>
    <w:rsid w:val="008C7ECB"/>
    <w:rsid w:val="008D23FE"/>
    <w:rsid w:val="008D3B86"/>
    <w:rsid w:val="008D43FD"/>
    <w:rsid w:val="008D4755"/>
    <w:rsid w:val="008D4C3D"/>
    <w:rsid w:val="008D6714"/>
    <w:rsid w:val="008D743C"/>
    <w:rsid w:val="008E0D3C"/>
    <w:rsid w:val="008E1B9E"/>
    <w:rsid w:val="008E55AB"/>
    <w:rsid w:val="008F062F"/>
    <w:rsid w:val="008F120A"/>
    <w:rsid w:val="008F27E0"/>
    <w:rsid w:val="008F48EB"/>
    <w:rsid w:val="008F4F0B"/>
    <w:rsid w:val="008F68CD"/>
    <w:rsid w:val="008F701E"/>
    <w:rsid w:val="009046C4"/>
    <w:rsid w:val="009062A5"/>
    <w:rsid w:val="00907699"/>
    <w:rsid w:val="00910FA7"/>
    <w:rsid w:val="00911272"/>
    <w:rsid w:val="00911339"/>
    <w:rsid w:val="00911FCE"/>
    <w:rsid w:val="009135D6"/>
    <w:rsid w:val="00914C77"/>
    <w:rsid w:val="00921ACB"/>
    <w:rsid w:val="0092369B"/>
    <w:rsid w:val="00927F58"/>
    <w:rsid w:val="0093161D"/>
    <w:rsid w:val="00931656"/>
    <w:rsid w:val="00934988"/>
    <w:rsid w:val="00934FC4"/>
    <w:rsid w:val="00935262"/>
    <w:rsid w:val="00937089"/>
    <w:rsid w:val="009414A9"/>
    <w:rsid w:val="00942CA0"/>
    <w:rsid w:val="00944F8A"/>
    <w:rsid w:val="009501AE"/>
    <w:rsid w:val="009510A2"/>
    <w:rsid w:val="00953257"/>
    <w:rsid w:val="0095474C"/>
    <w:rsid w:val="00957D92"/>
    <w:rsid w:val="00960249"/>
    <w:rsid w:val="00962CB9"/>
    <w:rsid w:val="00964312"/>
    <w:rsid w:val="0096460B"/>
    <w:rsid w:val="00965B8A"/>
    <w:rsid w:val="0097071F"/>
    <w:rsid w:val="009717AC"/>
    <w:rsid w:val="009751C1"/>
    <w:rsid w:val="009811F1"/>
    <w:rsid w:val="00983E57"/>
    <w:rsid w:val="00983EBD"/>
    <w:rsid w:val="0098468B"/>
    <w:rsid w:val="00985DE2"/>
    <w:rsid w:val="0098675D"/>
    <w:rsid w:val="0098771E"/>
    <w:rsid w:val="00987BA4"/>
    <w:rsid w:val="009926E0"/>
    <w:rsid w:val="0099451E"/>
    <w:rsid w:val="00996B1A"/>
    <w:rsid w:val="009A18F6"/>
    <w:rsid w:val="009A2DCC"/>
    <w:rsid w:val="009A5046"/>
    <w:rsid w:val="009A5ABC"/>
    <w:rsid w:val="009A7F10"/>
    <w:rsid w:val="009B3E26"/>
    <w:rsid w:val="009B5291"/>
    <w:rsid w:val="009B6497"/>
    <w:rsid w:val="009C1271"/>
    <w:rsid w:val="009C3706"/>
    <w:rsid w:val="009C3A3A"/>
    <w:rsid w:val="009C4DFA"/>
    <w:rsid w:val="009C6451"/>
    <w:rsid w:val="009C6CEA"/>
    <w:rsid w:val="009C7B85"/>
    <w:rsid w:val="009D0254"/>
    <w:rsid w:val="009D1A64"/>
    <w:rsid w:val="009D586D"/>
    <w:rsid w:val="009D5B91"/>
    <w:rsid w:val="009D792E"/>
    <w:rsid w:val="009E0DFE"/>
    <w:rsid w:val="009E31F6"/>
    <w:rsid w:val="009E3FA8"/>
    <w:rsid w:val="009E4C07"/>
    <w:rsid w:val="009E6A67"/>
    <w:rsid w:val="009E7289"/>
    <w:rsid w:val="009E777F"/>
    <w:rsid w:val="009F294D"/>
    <w:rsid w:val="009F4729"/>
    <w:rsid w:val="009F6120"/>
    <w:rsid w:val="009F7A37"/>
    <w:rsid w:val="00A00D76"/>
    <w:rsid w:val="00A01184"/>
    <w:rsid w:val="00A01449"/>
    <w:rsid w:val="00A01BAF"/>
    <w:rsid w:val="00A037C2"/>
    <w:rsid w:val="00A03D43"/>
    <w:rsid w:val="00A04380"/>
    <w:rsid w:val="00A04786"/>
    <w:rsid w:val="00A05472"/>
    <w:rsid w:val="00A05669"/>
    <w:rsid w:val="00A05C32"/>
    <w:rsid w:val="00A0653F"/>
    <w:rsid w:val="00A06AC5"/>
    <w:rsid w:val="00A10930"/>
    <w:rsid w:val="00A11BB6"/>
    <w:rsid w:val="00A11CD0"/>
    <w:rsid w:val="00A13948"/>
    <w:rsid w:val="00A1555B"/>
    <w:rsid w:val="00A155C5"/>
    <w:rsid w:val="00A16AD8"/>
    <w:rsid w:val="00A176E8"/>
    <w:rsid w:val="00A2021E"/>
    <w:rsid w:val="00A21C95"/>
    <w:rsid w:val="00A21CF3"/>
    <w:rsid w:val="00A247D0"/>
    <w:rsid w:val="00A24813"/>
    <w:rsid w:val="00A26B12"/>
    <w:rsid w:val="00A27AEC"/>
    <w:rsid w:val="00A320DB"/>
    <w:rsid w:val="00A32F53"/>
    <w:rsid w:val="00A3466D"/>
    <w:rsid w:val="00A35D16"/>
    <w:rsid w:val="00A3649B"/>
    <w:rsid w:val="00A36C08"/>
    <w:rsid w:val="00A37BCD"/>
    <w:rsid w:val="00A41689"/>
    <w:rsid w:val="00A42592"/>
    <w:rsid w:val="00A43824"/>
    <w:rsid w:val="00A43C59"/>
    <w:rsid w:val="00A50ECD"/>
    <w:rsid w:val="00A518F3"/>
    <w:rsid w:val="00A52729"/>
    <w:rsid w:val="00A53538"/>
    <w:rsid w:val="00A53675"/>
    <w:rsid w:val="00A554C4"/>
    <w:rsid w:val="00A564D7"/>
    <w:rsid w:val="00A56B6A"/>
    <w:rsid w:val="00A578DC"/>
    <w:rsid w:val="00A57A80"/>
    <w:rsid w:val="00A57E05"/>
    <w:rsid w:val="00A640E2"/>
    <w:rsid w:val="00A64D65"/>
    <w:rsid w:val="00A65022"/>
    <w:rsid w:val="00A6725B"/>
    <w:rsid w:val="00A70605"/>
    <w:rsid w:val="00A7123C"/>
    <w:rsid w:val="00A73134"/>
    <w:rsid w:val="00A7365A"/>
    <w:rsid w:val="00A74E1C"/>
    <w:rsid w:val="00A76001"/>
    <w:rsid w:val="00A777B2"/>
    <w:rsid w:val="00A825D4"/>
    <w:rsid w:val="00A828F6"/>
    <w:rsid w:val="00A82B73"/>
    <w:rsid w:val="00A86C8B"/>
    <w:rsid w:val="00A86E8B"/>
    <w:rsid w:val="00A86E9B"/>
    <w:rsid w:val="00A87164"/>
    <w:rsid w:val="00A871A9"/>
    <w:rsid w:val="00A93072"/>
    <w:rsid w:val="00A938BD"/>
    <w:rsid w:val="00A93953"/>
    <w:rsid w:val="00A959D8"/>
    <w:rsid w:val="00A966AF"/>
    <w:rsid w:val="00AA113D"/>
    <w:rsid w:val="00AA120D"/>
    <w:rsid w:val="00AA5679"/>
    <w:rsid w:val="00AA6BD5"/>
    <w:rsid w:val="00AA6BD8"/>
    <w:rsid w:val="00AA6C7D"/>
    <w:rsid w:val="00AA74D8"/>
    <w:rsid w:val="00AA7FD6"/>
    <w:rsid w:val="00AB042A"/>
    <w:rsid w:val="00AB11AD"/>
    <w:rsid w:val="00AB19EF"/>
    <w:rsid w:val="00AB2495"/>
    <w:rsid w:val="00AB2D34"/>
    <w:rsid w:val="00AB3430"/>
    <w:rsid w:val="00AB37B9"/>
    <w:rsid w:val="00AB405D"/>
    <w:rsid w:val="00AB4AD1"/>
    <w:rsid w:val="00AB5E07"/>
    <w:rsid w:val="00AB7CFA"/>
    <w:rsid w:val="00AC0094"/>
    <w:rsid w:val="00AC3B14"/>
    <w:rsid w:val="00AC3B91"/>
    <w:rsid w:val="00AC5B42"/>
    <w:rsid w:val="00AC5B48"/>
    <w:rsid w:val="00AD1450"/>
    <w:rsid w:val="00AD15E8"/>
    <w:rsid w:val="00AD356D"/>
    <w:rsid w:val="00AD6502"/>
    <w:rsid w:val="00AE0695"/>
    <w:rsid w:val="00AE3E7E"/>
    <w:rsid w:val="00AE501B"/>
    <w:rsid w:val="00AE7E53"/>
    <w:rsid w:val="00AF0476"/>
    <w:rsid w:val="00AF1315"/>
    <w:rsid w:val="00AF19BF"/>
    <w:rsid w:val="00AF2DC3"/>
    <w:rsid w:val="00B00B8F"/>
    <w:rsid w:val="00B033E5"/>
    <w:rsid w:val="00B03A63"/>
    <w:rsid w:val="00B05DBA"/>
    <w:rsid w:val="00B07B98"/>
    <w:rsid w:val="00B129A4"/>
    <w:rsid w:val="00B201A4"/>
    <w:rsid w:val="00B201D1"/>
    <w:rsid w:val="00B204E4"/>
    <w:rsid w:val="00B213A6"/>
    <w:rsid w:val="00B232E6"/>
    <w:rsid w:val="00B235B0"/>
    <w:rsid w:val="00B23744"/>
    <w:rsid w:val="00B24DF6"/>
    <w:rsid w:val="00B25F8C"/>
    <w:rsid w:val="00B27A61"/>
    <w:rsid w:val="00B27AA7"/>
    <w:rsid w:val="00B313A0"/>
    <w:rsid w:val="00B34FE2"/>
    <w:rsid w:val="00B35166"/>
    <w:rsid w:val="00B357D8"/>
    <w:rsid w:val="00B360F4"/>
    <w:rsid w:val="00B36A00"/>
    <w:rsid w:val="00B36C45"/>
    <w:rsid w:val="00B3792B"/>
    <w:rsid w:val="00B37BFC"/>
    <w:rsid w:val="00B40358"/>
    <w:rsid w:val="00B41614"/>
    <w:rsid w:val="00B42851"/>
    <w:rsid w:val="00B42F80"/>
    <w:rsid w:val="00B435CB"/>
    <w:rsid w:val="00B465EC"/>
    <w:rsid w:val="00B46750"/>
    <w:rsid w:val="00B505C8"/>
    <w:rsid w:val="00B50DB8"/>
    <w:rsid w:val="00B51FA2"/>
    <w:rsid w:val="00B53654"/>
    <w:rsid w:val="00B53905"/>
    <w:rsid w:val="00B546DB"/>
    <w:rsid w:val="00B54B5B"/>
    <w:rsid w:val="00B5562E"/>
    <w:rsid w:val="00B55862"/>
    <w:rsid w:val="00B55D65"/>
    <w:rsid w:val="00B56305"/>
    <w:rsid w:val="00B57000"/>
    <w:rsid w:val="00B60939"/>
    <w:rsid w:val="00B60AFD"/>
    <w:rsid w:val="00B60C54"/>
    <w:rsid w:val="00B62715"/>
    <w:rsid w:val="00B64B73"/>
    <w:rsid w:val="00B65611"/>
    <w:rsid w:val="00B66C72"/>
    <w:rsid w:val="00B67367"/>
    <w:rsid w:val="00B703D2"/>
    <w:rsid w:val="00B70E8E"/>
    <w:rsid w:val="00B72E66"/>
    <w:rsid w:val="00B745C5"/>
    <w:rsid w:val="00B76C92"/>
    <w:rsid w:val="00B80EFD"/>
    <w:rsid w:val="00B818A4"/>
    <w:rsid w:val="00B82BBB"/>
    <w:rsid w:val="00B83739"/>
    <w:rsid w:val="00B84117"/>
    <w:rsid w:val="00B84224"/>
    <w:rsid w:val="00B858F0"/>
    <w:rsid w:val="00B85AA2"/>
    <w:rsid w:val="00B8649C"/>
    <w:rsid w:val="00B8695D"/>
    <w:rsid w:val="00B87F0A"/>
    <w:rsid w:val="00B92D0B"/>
    <w:rsid w:val="00B947B4"/>
    <w:rsid w:val="00B94945"/>
    <w:rsid w:val="00B94DD6"/>
    <w:rsid w:val="00B9583F"/>
    <w:rsid w:val="00B97226"/>
    <w:rsid w:val="00BA322D"/>
    <w:rsid w:val="00BA4CE2"/>
    <w:rsid w:val="00BA63FA"/>
    <w:rsid w:val="00BB00B3"/>
    <w:rsid w:val="00BB0BDD"/>
    <w:rsid w:val="00BB176C"/>
    <w:rsid w:val="00BB2A73"/>
    <w:rsid w:val="00BB38D6"/>
    <w:rsid w:val="00BB3A45"/>
    <w:rsid w:val="00BB4ACC"/>
    <w:rsid w:val="00BB703E"/>
    <w:rsid w:val="00BB732D"/>
    <w:rsid w:val="00BB7405"/>
    <w:rsid w:val="00BC169D"/>
    <w:rsid w:val="00BC28C4"/>
    <w:rsid w:val="00BC3631"/>
    <w:rsid w:val="00BC591F"/>
    <w:rsid w:val="00BC73CC"/>
    <w:rsid w:val="00BC7D6D"/>
    <w:rsid w:val="00BD1630"/>
    <w:rsid w:val="00BD2108"/>
    <w:rsid w:val="00BD68A3"/>
    <w:rsid w:val="00BD6938"/>
    <w:rsid w:val="00BD6CF3"/>
    <w:rsid w:val="00BD7F72"/>
    <w:rsid w:val="00BE0C4E"/>
    <w:rsid w:val="00BE0ECA"/>
    <w:rsid w:val="00BE2180"/>
    <w:rsid w:val="00BE21F2"/>
    <w:rsid w:val="00BE4275"/>
    <w:rsid w:val="00BE62FA"/>
    <w:rsid w:val="00BF06AE"/>
    <w:rsid w:val="00BF0F95"/>
    <w:rsid w:val="00BF18A7"/>
    <w:rsid w:val="00BF1E80"/>
    <w:rsid w:val="00BF21DB"/>
    <w:rsid w:val="00BF2433"/>
    <w:rsid w:val="00BF2E6E"/>
    <w:rsid w:val="00BF4651"/>
    <w:rsid w:val="00BF61C9"/>
    <w:rsid w:val="00BF6C94"/>
    <w:rsid w:val="00C00424"/>
    <w:rsid w:val="00C00BB0"/>
    <w:rsid w:val="00C02A31"/>
    <w:rsid w:val="00C05FC5"/>
    <w:rsid w:val="00C1179F"/>
    <w:rsid w:val="00C127B9"/>
    <w:rsid w:val="00C128FA"/>
    <w:rsid w:val="00C12C14"/>
    <w:rsid w:val="00C15F04"/>
    <w:rsid w:val="00C179B3"/>
    <w:rsid w:val="00C17E3F"/>
    <w:rsid w:val="00C200AA"/>
    <w:rsid w:val="00C237ED"/>
    <w:rsid w:val="00C24632"/>
    <w:rsid w:val="00C25418"/>
    <w:rsid w:val="00C25D9C"/>
    <w:rsid w:val="00C26138"/>
    <w:rsid w:val="00C2778B"/>
    <w:rsid w:val="00C31649"/>
    <w:rsid w:val="00C3434C"/>
    <w:rsid w:val="00C40385"/>
    <w:rsid w:val="00C41768"/>
    <w:rsid w:val="00C4364D"/>
    <w:rsid w:val="00C475AA"/>
    <w:rsid w:val="00C527C7"/>
    <w:rsid w:val="00C529BB"/>
    <w:rsid w:val="00C53C98"/>
    <w:rsid w:val="00C56FCF"/>
    <w:rsid w:val="00C57B6C"/>
    <w:rsid w:val="00C61A59"/>
    <w:rsid w:val="00C628A6"/>
    <w:rsid w:val="00C64344"/>
    <w:rsid w:val="00C643BA"/>
    <w:rsid w:val="00C65108"/>
    <w:rsid w:val="00C65576"/>
    <w:rsid w:val="00C66165"/>
    <w:rsid w:val="00C667F1"/>
    <w:rsid w:val="00C7060A"/>
    <w:rsid w:val="00C7151A"/>
    <w:rsid w:val="00C717E3"/>
    <w:rsid w:val="00C71F60"/>
    <w:rsid w:val="00C72241"/>
    <w:rsid w:val="00C72B5F"/>
    <w:rsid w:val="00C750C8"/>
    <w:rsid w:val="00C7560F"/>
    <w:rsid w:val="00C80A0E"/>
    <w:rsid w:val="00C8213F"/>
    <w:rsid w:val="00C8303F"/>
    <w:rsid w:val="00C85154"/>
    <w:rsid w:val="00C85A70"/>
    <w:rsid w:val="00C85FC3"/>
    <w:rsid w:val="00C86239"/>
    <w:rsid w:val="00C86A26"/>
    <w:rsid w:val="00C8797A"/>
    <w:rsid w:val="00C900B8"/>
    <w:rsid w:val="00C90197"/>
    <w:rsid w:val="00C90C71"/>
    <w:rsid w:val="00C91FD1"/>
    <w:rsid w:val="00C931CF"/>
    <w:rsid w:val="00C938CF"/>
    <w:rsid w:val="00C94053"/>
    <w:rsid w:val="00C9624D"/>
    <w:rsid w:val="00C969DA"/>
    <w:rsid w:val="00CA2C77"/>
    <w:rsid w:val="00CA2D66"/>
    <w:rsid w:val="00CA444F"/>
    <w:rsid w:val="00CA5245"/>
    <w:rsid w:val="00CA5477"/>
    <w:rsid w:val="00CA71F4"/>
    <w:rsid w:val="00CA7B09"/>
    <w:rsid w:val="00CB12A5"/>
    <w:rsid w:val="00CB1CAC"/>
    <w:rsid w:val="00CB2F2A"/>
    <w:rsid w:val="00CB5B1A"/>
    <w:rsid w:val="00CB6B22"/>
    <w:rsid w:val="00CB7F5F"/>
    <w:rsid w:val="00CC1B39"/>
    <w:rsid w:val="00CC1BFA"/>
    <w:rsid w:val="00CC2E9F"/>
    <w:rsid w:val="00CC35EA"/>
    <w:rsid w:val="00CC3848"/>
    <w:rsid w:val="00CC4E5E"/>
    <w:rsid w:val="00CC6D5E"/>
    <w:rsid w:val="00CD0200"/>
    <w:rsid w:val="00CD0C88"/>
    <w:rsid w:val="00CD125A"/>
    <w:rsid w:val="00CD3F77"/>
    <w:rsid w:val="00CD6ADC"/>
    <w:rsid w:val="00CD7193"/>
    <w:rsid w:val="00CE38C8"/>
    <w:rsid w:val="00CE524F"/>
    <w:rsid w:val="00CE58CC"/>
    <w:rsid w:val="00CE6274"/>
    <w:rsid w:val="00CE77B6"/>
    <w:rsid w:val="00CF2B8D"/>
    <w:rsid w:val="00CF3A1B"/>
    <w:rsid w:val="00CF4323"/>
    <w:rsid w:val="00CF456B"/>
    <w:rsid w:val="00CF5A22"/>
    <w:rsid w:val="00D00249"/>
    <w:rsid w:val="00D0262E"/>
    <w:rsid w:val="00D03679"/>
    <w:rsid w:val="00D05E3D"/>
    <w:rsid w:val="00D05F6A"/>
    <w:rsid w:val="00D06139"/>
    <w:rsid w:val="00D10753"/>
    <w:rsid w:val="00D110BD"/>
    <w:rsid w:val="00D13675"/>
    <w:rsid w:val="00D141E1"/>
    <w:rsid w:val="00D15314"/>
    <w:rsid w:val="00D15B48"/>
    <w:rsid w:val="00D17D6C"/>
    <w:rsid w:val="00D2155B"/>
    <w:rsid w:val="00D23D11"/>
    <w:rsid w:val="00D244B6"/>
    <w:rsid w:val="00D2754D"/>
    <w:rsid w:val="00D27B27"/>
    <w:rsid w:val="00D30843"/>
    <w:rsid w:val="00D30AE8"/>
    <w:rsid w:val="00D30D5B"/>
    <w:rsid w:val="00D33BE9"/>
    <w:rsid w:val="00D33F93"/>
    <w:rsid w:val="00D357FF"/>
    <w:rsid w:val="00D37061"/>
    <w:rsid w:val="00D418F5"/>
    <w:rsid w:val="00D424C7"/>
    <w:rsid w:val="00D43B2A"/>
    <w:rsid w:val="00D43CF1"/>
    <w:rsid w:val="00D43D83"/>
    <w:rsid w:val="00D47575"/>
    <w:rsid w:val="00D5243B"/>
    <w:rsid w:val="00D533EC"/>
    <w:rsid w:val="00D56A95"/>
    <w:rsid w:val="00D6076E"/>
    <w:rsid w:val="00D70612"/>
    <w:rsid w:val="00D70F16"/>
    <w:rsid w:val="00D72617"/>
    <w:rsid w:val="00D72F57"/>
    <w:rsid w:val="00D73613"/>
    <w:rsid w:val="00D743A5"/>
    <w:rsid w:val="00D752D7"/>
    <w:rsid w:val="00D76A44"/>
    <w:rsid w:val="00D8007D"/>
    <w:rsid w:val="00D815EF"/>
    <w:rsid w:val="00D81949"/>
    <w:rsid w:val="00D81F26"/>
    <w:rsid w:val="00D822E2"/>
    <w:rsid w:val="00D843F2"/>
    <w:rsid w:val="00D86231"/>
    <w:rsid w:val="00D912AB"/>
    <w:rsid w:val="00D91923"/>
    <w:rsid w:val="00D93753"/>
    <w:rsid w:val="00D97D25"/>
    <w:rsid w:val="00DA3167"/>
    <w:rsid w:val="00DA4DC3"/>
    <w:rsid w:val="00DA5144"/>
    <w:rsid w:val="00DA77A5"/>
    <w:rsid w:val="00DB0E36"/>
    <w:rsid w:val="00DB3DBF"/>
    <w:rsid w:val="00DB484F"/>
    <w:rsid w:val="00DB6F71"/>
    <w:rsid w:val="00DB7B00"/>
    <w:rsid w:val="00DC04F6"/>
    <w:rsid w:val="00DC0690"/>
    <w:rsid w:val="00DC1D65"/>
    <w:rsid w:val="00DC25CE"/>
    <w:rsid w:val="00DC3B3B"/>
    <w:rsid w:val="00DC3C57"/>
    <w:rsid w:val="00DC5501"/>
    <w:rsid w:val="00DC5DE4"/>
    <w:rsid w:val="00DC7154"/>
    <w:rsid w:val="00DC7E8A"/>
    <w:rsid w:val="00DD002E"/>
    <w:rsid w:val="00DD048E"/>
    <w:rsid w:val="00DD0F78"/>
    <w:rsid w:val="00DD273C"/>
    <w:rsid w:val="00DD3F28"/>
    <w:rsid w:val="00DD4446"/>
    <w:rsid w:val="00DD4537"/>
    <w:rsid w:val="00DD4E15"/>
    <w:rsid w:val="00DD60FF"/>
    <w:rsid w:val="00DE22CE"/>
    <w:rsid w:val="00DE2304"/>
    <w:rsid w:val="00DE3138"/>
    <w:rsid w:val="00DE37F8"/>
    <w:rsid w:val="00DE4273"/>
    <w:rsid w:val="00DE4FCB"/>
    <w:rsid w:val="00DE5B7E"/>
    <w:rsid w:val="00DE5D07"/>
    <w:rsid w:val="00DE72A7"/>
    <w:rsid w:val="00DE7624"/>
    <w:rsid w:val="00DE7832"/>
    <w:rsid w:val="00DF18FC"/>
    <w:rsid w:val="00DF4D9C"/>
    <w:rsid w:val="00DF57E5"/>
    <w:rsid w:val="00DF5D2B"/>
    <w:rsid w:val="00DF6341"/>
    <w:rsid w:val="00E00E8E"/>
    <w:rsid w:val="00E05630"/>
    <w:rsid w:val="00E06DBB"/>
    <w:rsid w:val="00E10149"/>
    <w:rsid w:val="00E11340"/>
    <w:rsid w:val="00E122A1"/>
    <w:rsid w:val="00E16372"/>
    <w:rsid w:val="00E16AD8"/>
    <w:rsid w:val="00E17FFA"/>
    <w:rsid w:val="00E20E4D"/>
    <w:rsid w:val="00E20ED6"/>
    <w:rsid w:val="00E21358"/>
    <w:rsid w:val="00E2249B"/>
    <w:rsid w:val="00E22775"/>
    <w:rsid w:val="00E22A0D"/>
    <w:rsid w:val="00E240F2"/>
    <w:rsid w:val="00E244F6"/>
    <w:rsid w:val="00E248C3"/>
    <w:rsid w:val="00E258DB"/>
    <w:rsid w:val="00E2771E"/>
    <w:rsid w:val="00E311EF"/>
    <w:rsid w:val="00E32180"/>
    <w:rsid w:val="00E334CA"/>
    <w:rsid w:val="00E34948"/>
    <w:rsid w:val="00E35A27"/>
    <w:rsid w:val="00E37542"/>
    <w:rsid w:val="00E37569"/>
    <w:rsid w:val="00E401B2"/>
    <w:rsid w:val="00E41E30"/>
    <w:rsid w:val="00E42F73"/>
    <w:rsid w:val="00E43D70"/>
    <w:rsid w:val="00E4541F"/>
    <w:rsid w:val="00E466F3"/>
    <w:rsid w:val="00E46E9E"/>
    <w:rsid w:val="00E47B2C"/>
    <w:rsid w:val="00E51560"/>
    <w:rsid w:val="00E51821"/>
    <w:rsid w:val="00E53E86"/>
    <w:rsid w:val="00E53FC8"/>
    <w:rsid w:val="00E54347"/>
    <w:rsid w:val="00E55424"/>
    <w:rsid w:val="00E55915"/>
    <w:rsid w:val="00E55BB5"/>
    <w:rsid w:val="00E611DF"/>
    <w:rsid w:val="00E65E79"/>
    <w:rsid w:val="00E664EA"/>
    <w:rsid w:val="00E66BA2"/>
    <w:rsid w:val="00E67416"/>
    <w:rsid w:val="00E718B6"/>
    <w:rsid w:val="00E723BA"/>
    <w:rsid w:val="00E73581"/>
    <w:rsid w:val="00E833F7"/>
    <w:rsid w:val="00E83BBF"/>
    <w:rsid w:val="00E83BDF"/>
    <w:rsid w:val="00E86FCC"/>
    <w:rsid w:val="00E87A1D"/>
    <w:rsid w:val="00E9094A"/>
    <w:rsid w:val="00E91D35"/>
    <w:rsid w:val="00E926A5"/>
    <w:rsid w:val="00E9444F"/>
    <w:rsid w:val="00E95986"/>
    <w:rsid w:val="00E95AEC"/>
    <w:rsid w:val="00E962B0"/>
    <w:rsid w:val="00E962CC"/>
    <w:rsid w:val="00EA17C3"/>
    <w:rsid w:val="00EA2CAA"/>
    <w:rsid w:val="00EA3864"/>
    <w:rsid w:val="00EA691E"/>
    <w:rsid w:val="00EA7F1C"/>
    <w:rsid w:val="00EB15B6"/>
    <w:rsid w:val="00EB3D06"/>
    <w:rsid w:val="00EB4916"/>
    <w:rsid w:val="00EB58B7"/>
    <w:rsid w:val="00EB6551"/>
    <w:rsid w:val="00EC00C9"/>
    <w:rsid w:val="00EC0DD9"/>
    <w:rsid w:val="00EC2649"/>
    <w:rsid w:val="00EC31ED"/>
    <w:rsid w:val="00EC5836"/>
    <w:rsid w:val="00EC688C"/>
    <w:rsid w:val="00ED12E3"/>
    <w:rsid w:val="00ED3F67"/>
    <w:rsid w:val="00ED4B04"/>
    <w:rsid w:val="00ED57EA"/>
    <w:rsid w:val="00ED5BD4"/>
    <w:rsid w:val="00EE0611"/>
    <w:rsid w:val="00EE07D3"/>
    <w:rsid w:val="00EE096E"/>
    <w:rsid w:val="00EE1996"/>
    <w:rsid w:val="00EE1C01"/>
    <w:rsid w:val="00EE22AF"/>
    <w:rsid w:val="00EE6088"/>
    <w:rsid w:val="00EE67CF"/>
    <w:rsid w:val="00EF0171"/>
    <w:rsid w:val="00EF124E"/>
    <w:rsid w:val="00EF1B25"/>
    <w:rsid w:val="00EF1DA0"/>
    <w:rsid w:val="00EF2698"/>
    <w:rsid w:val="00EF4747"/>
    <w:rsid w:val="00EF4BF8"/>
    <w:rsid w:val="00EF7C57"/>
    <w:rsid w:val="00F02253"/>
    <w:rsid w:val="00F0267C"/>
    <w:rsid w:val="00F03C2E"/>
    <w:rsid w:val="00F04909"/>
    <w:rsid w:val="00F04A66"/>
    <w:rsid w:val="00F04B4B"/>
    <w:rsid w:val="00F04E8C"/>
    <w:rsid w:val="00F0516C"/>
    <w:rsid w:val="00F067A2"/>
    <w:rsid w:val="00F07B9E"/>
    <w:rsid w:val="00F1116F"/>
    <w:rsid w:val="00F1263A"/>
    <w:rsid w:val="00F139C5"/>
    <w:rsid w:val="00F14EAE"/>
    <w:rsid w:val="00F15B77"/>
    <w:rsid w:val="00F21236"/>
    <w:rsid w:val="00F239DF"/>
    <w:rsid w:val="00F24837"/>
    <w:rsid w:val="00F2575F"/>
    <w:rsid w:val="00F27565"/>
    <w:rsid w:val="00F310D4"/>
    <w:rsid w:val="00F31D5A"/>
    <w:rsid w:val="00F31DCF"/>
    <w:rsid w:val="00F31F79"/>
    <w:rsid w:val="00F33975"/>
    <w:rsid w:val="00F33DE9"/>
    <w:rsid w:val="00F349DE"/>
    <w:rsid w:val="00F35E6D"/>
    <w:rsid w:val="00F3619A"/>
    <w:rsid w:val="00F40AAA"/>
    <w:rsid w:val="00F40BA7"/>
    <w:rsid w:val="00F40F9D"/>
    <w:rsid w:val="00F41ACD"/>
    <w:rsid w:val="00F45278"/>
    <w:rsid w:val="00F46CB6"/>
    <w:rsid w:val="00F4756D"/>
    <w:rsid w:val="00F47DE8"/>
    <w:rsid w:val="00F51933"/>
    <w:rsid w:val="00F519AC"/>
    <w:rsid w:val="00F51BD3"/>
    <w:rsid w:val="00F53F3F"/>
    <w:rsid w:val="00F542C1"/>
    <w:rsid w:val="00F550E3"/>
    <w:rsid w:val="00F55E73"/>
    <w:rsid w:val="00F55EDA"/>
    <w:rsid w:val="00F56C80"/>
    <w:rsid w:val="00F57DB9"/>
    <w:rsid w:val="00F60092"/>
    <w:rsid w:val="00F61C18"/>
    <w:rsid w:val="00F63B63"/>
    <w:rsid w:val="00F65F4B"/>
    <w:rsid w:val="00F67A69"/>
    <w:rsid w:val="00F67E56"/>
    <w:rsid w:val="00F70BFF"/>
    <w:rsid w:val="00F70C9D"/>
    <w:rsid w:val="00F73E08"/>
    <w:rsid w:val="00F748B5"/>
    <w:rsid w:val="00F74CD9"/>
    <w:rsid w:val="00F759D4"/>
    <w:rsid w:val="00F80A7B"/>
    <w:rsid w:val="00F80E5D"/>
    <w:rsid w:val="00F81E78"/>
    <w:rsid w:val="00F82D63"/>
    <w:rsid w:val="00F83916"/>
    <w:rsid w:val="00F851CE"/>
    <w:rsid w:val="00F91219"/>
    <w:rsid w:val="00F92444"/>
    <w:rsid w:val="00F9393E"/>
    <w:rsid w:val="00F96771"/>
    <w:rsid w:val="00F96FD0"/>
    <w:rsid w:val="00F97A78"/>
    <w:rsid w:val="00FA00A9"/>
    <w:rsid w:val="00FA0B20"/>
    <w:rsid w:val="00FA24E7"/>
    <w:rsid w:val="00FA5EE6"/>
    <w:rsid w:val="00FA7956"/>
    <w:rsid w:val="00FB0824"/>
    <w:rsid w:val="00FB0D8D"/>
    <w:rsid w:val="00FB2FCB"/>
    <w:rsid w:val="00FB4C9C"/>
    <w:rsid w:val="00FB7C55"/>
    <w:rsid w:val="00FC1074"/>
    <w:rsid w:val="00FC1884"/>
    <w:rsid w:val="00FC371D"/>
    <w:rsid w:val="00FC5F0B"/>
    <w:rsid w:val="00FC66A4"/>
    <w:rsid w:val="00FD03C5"/>
    <w:rsid w:val="00FD2100"/>
    <w:rsid w:val="00FD436C"/>
    <w:rsid w:val="00FD446D"/>
    <w:rsid w:val="00FD4F2C"/>
    <w:rsid w:val="00FD6394"/>
    <w:rsid w:val="00FE0E6C"/>
    <w:rsid w:val="00FE1CDC"/>
    <w:rsid w:val="00FE223E"/>
    <w:rsid w:val="00FE4273"/>
    <w:rsid w:val="00FE70C3"/>
    <w:rsid w:val="00FF1A8B"/>
    <w:rsid w:val="00FF1FE4"/>
    <w:rsid w:val="00FF217C"/>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4"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 H17"/>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 H17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9F7A37"/>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qFormat/>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C16B3"/>
    <w:rPr>
      <w:rFonts w:cs="Times New Roman"/>
      <w:sz w:val="20"/>
      <w:szCs w:val="20"/>
      <w:lang w:eastAsia="en-GB"/>
    </w:rPr>
  </w:style>
  <w:style w:type="character" w:customStyle="1" w:styleId="FootnoteTextChar">
    <w:name w:val="Footnote Text Char"/>
    <w:basedOn w:val="DefaultParagraphFont"/>
    <w:link w:val="FootnoteText"/>
    <w:uiPriority w:val="99"/>
    <w:semiHidden/>
    <w:rsid w:val="001C16B3"/>
    <w:rPr>
      <w:rFonts w:ascii="Calibri" w:hAnsi="Calibri"/>
      <w:lang w:eastAsia="en-GB"/>
    </w:rPr>
  </w:style>
  <w:style w:type="character" w:styleId="FootnoteReference">
    <w:name w:val="footnote reference"/>
    <w:basedOn w:val="DefaultParagraphFont"/>
    <w:uiPriority w:val="99"/>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paragraph" w:customStyle="1" w:styleId="Level3Heading">
    <w:name w:val="Level 3 Heading"/>
    <w:basedOn w:val="Heading3"/>
    <w:next w:val="BodyText"/>
    <w:link w:val="Level3HeadingChar"/>
    <w:qFormat/>
    <w:rsid w:val="0072036F"/>
    <w:pPr>
      <w:keepNext/>
      <w:tabs>
        <w:tab w:val="num" w:pos="1418"/>
      </w:tabs>
      <w:spacing w:before="120" w:after="120" w:line="360" w:lineRule="auto"/>
      <w:jc w:val="left"/>
    </w:pPr>
    <w:rPr>
      <w:rFonts w:ascii="Arial" w:hAnsi="Arial"/>
      <w:b/>
      <w:bCs/>
      <w:u w:val="none"/>
      <w:lang w:eastAsia="en-GB"/>
    </w:rPr>
  </w:style>
  <w:style w:type="character" w:customStyle="1" w:styleId="Level3HeadingChar">
    <w:name w:val="Level 3 Heading Char"/>
    <w:link w:val="Level3Heading"/>
    <w:locked/>
    <w:rsid w:val="0072036F"/>
    <w:rPr>
      <w:rFonts w:ascii="Arial" w:hAnsi="Arial" w:cs="Arial"/>
      <w:b/>
      <w:bCs/>
      <w:sz w:val="24"/>
      <w:szCs w:val="24"/>
      <w:lang w:eastAsia="en-GB"/>
    </w:rPr>
  </w:style>
  <w:style w:type="paragraph" w:customStyle="1" w:styleId="TableHeading-H56">
    <w:name w:val="Table Heading - H56"/>
    <w:basedOn w:val="Heading4"/>
    <w:uiPriority w:val="99"/>
    <w:qFormat/>
    <w:rsid w:val="0072036F"/>
    <w:pPr>
      <w:tabs>
        <w:tab w:val="left" w:pos="1440"/>
        <w:tab w:val="num" w:pos="1560"/>
      </w:tabs>
      <w:spacing w:before="80" w:after="40"/>
      <w:jc w:val="left"/>
      <w:outlineLvl w:val="9"/>
    </w:pPr>
    <w:rPr>
      <w:rFonts w:ascii="Arial" w:eastAsia="Arial Unicode MS" w:hAnsi="Arial" w:cs="Times New Roman"/>
      <w:bCs w:val="0"/>
      <w:i w:val="0"/>
      <w:color w:val="1F497D" w:themeColor="text2"/>
      <w:sz w:val="16"/>
      <w:szCs w:val="44"/>
      <w:lang w:val="en-GB" w:eastAsia="en-US"/>
    </w:rPr>
  </w:style>
  <w:style w:type="table" w:styleId="TableGridLight">
    <w:name w:val="Grid Table Light"/>
    <w:basedOn w:val="TableNormal"/>
    <w:uiPriority w:val="40"/>
    <w:rsid w:val="00433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locked/>
    <w:rsid w:val="0055099C"/>
    <w:rPr>
      <w:rFonts w:ascii="Arial" w:eastAsiaTheme="minorHAnsi" w:hAnsi="Arial"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
    <w:name w:val="Source"/>
    <w:basedOn w:val="Normal"/>
    <w:uiPriority w:val="35"/>
    <w:qFormat/>
    <w:rsid w:val="00DE22CE"/>
    <w:pPr>
      <w:tabs>
        <w:tab w:val="left" w:pos="284"/>
      </w:tabs>
      <w:spacing w:before="60" w:after="240" w:line="360" w:lineRule="auto"/>
      <w:ind w:left="720" w:hanging="720"/>
      <w:contextualSpacing/>
      <w:jc w:val="left"/>
    </w:pPr>
    <w:rPr>
      <w:rFonts w:ascii="Arial" w:eastAsiaTheme="minorHAnsi" w:hAnsi="Arial" w:cstheme="minorBidi"/>
      <w:sz w:val="18"/>
      <w:szCs w:val="20"/>
      <w:lang w:eastAsia="en-US"/>
    </w:rPr>
  </w:style>
  <w:style w:type="paragraph" w:customStyle="1" w:styleId="TableFigureFooter">
    <w:name w:val="Table/Figure Footer"/>
    <w:basedOn w:val="Normal"/>
    <w:link w:val="TableFigureFooterChar"/>
    <w:qFormat/>
    <w:rsid w:val="00DF57E5"/>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DF57E5"/>
    <w:rPr>
      <w:rFonts w:ascii="Arial Narrow" w:hAnsi="Arial Narrow" w:cs="Arial"/>
      <w:snapToGrid w:val="0"/>
      <w:sz w:val="18"/>
      <w:szCs w:val="22"/>
    </w:rPr>
  </w:style>
  <w:style w:type="numbering" w:customStyle="1" w:styleId="CurrentList1">
    <w:name w:val="Current List1"/>
    <w:uiPriority w:val="99"/>
    <w:rsid w:val="003261FE"/>
    <w:pPr>
      <w:numPr>
        <w:numId w:val="8"/>
      </w:numPr>
    </w:pPr>
  </w:style>
  <w:style w:type="character" w:customStyle="1" w:styleId="normaltextrun">
    <w:name w:val="normaltextrun"/>
    <w:basedOn w:val="DefaultParagraphFont"/>
    <w:rsid w:val="006B5F01"/>
  </w:style>
  <w:style w:type="character" w:styleId="UnresolvedMention">
    <w:name w:val="Unresolved Mention"/>
    <w:basedOn w:val="DefaultParagraphFont"/>
    <w:uiPriority w:val="99"/>
    <w:semiHidden/>
    <w:unhideWhenUsed/>
    <w:rsid w:val="00AA120D"/>
    <w:rPr>
      <w:color w:val="605E5C"/>
      <w:shd w:val="clear" w:color="auto" w:fill="E1DFDD"/>
    </w:rPr>
  </w:style>
  <w:style w:type="paragraph" w:customStyle="1" w:styleId="zr1">
    <w:name w:val="zr1"/>
    <w:basedOn w:val="Normal"/>
    <w:rsid w:val="00714A86"/>
    <w:pPr>
      <w:spacing w:before="100" w:beforeAutospacing="1" w:after="100" w:afterAutospacing="1"/>
      <w:jc w:val="left"/>
    </w:pPr>
    <w:rPr>
      <w:rFonts w:ascii="Times New Roman" w:hAnsi="Times New Roman" w:cs="Times New Roman"/>
    </w:rPr>
  </w:style>
  <w:style w:type="paragraph" w:customStyle="1" w:styleId="p2">
    <w:name w:val="p2"/>
    <w:basedOn w:val="Normal"/>
    <w:rsid w:val="00714A86"/>
    <w:pPr>
      <w:spacing w:before="100" w:beforeAutospacing="1" w:after="100" w:afterAutospacing="1"/>
      <w:jc w:val="left"/>
    </w:pPr>
    <w:rPr>
      <w:rFonts w:ascii="Times New Roman" w:hAnsi="Times New Roman" w:cs="Times New Roman"/>
    </w:rPr>
  </w:style>
  <w:style w:type="paragraph" w:customStyle="1" w:styleId="p3">
    <w:name w:val="p3"/>
    <w:basedOn w:val="Normal"/>
    <w:rsid w:val="00714A86"/>
    <w:pPr>
      <w:spacing w:before="100" w:beforeAutospacing="1" w:after="100" w:afterAutospacing="1"/>
      <w:jc w:val="left"/>
    </w:pPr>
    <w:rPr>
      <w:rFonts w:ascii="Times New Roman" w:hAnsi="Times New Roman" w:cs="Times New Roman"/>
    </w:rPr>
  </w:style>
  <w:style w:type="paragraph" w:customStyle="1" w:styleId="zp1">
    <w:name w:val="zp1"/>
    <w:basedOn w:val="Normal"/>
    <w:rsid w:val="00714A86"/>
    <w:pPr>
      <w:spacing w:before="100" w:beforeAutospacing="1" w:after="100" w:afterAutospacing="1"/>
      <w:jc w:val="left"/>
    </w:pPr>
    <w:rPr>
      <w:rFonts w:ascii="Times New Roman" w:hAnsi="Times New Roman" w:cs="Times New Roman"/>
    </w:rPr>
  </w:style>
  <w:style w:type="paragraph" w:customStyle="1" w:styleId="secnum">
    <w:name w:val="secnum"/>
    <w:basedOn w:val="Normal"/>
    <w:rsid w:val="00714A86"/>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DD002E"/>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D002E"/>
    <w:rPr>
      <w:rFonts w:asciiTheme="minorHAnsi" w:eastAsiaTheme="majorEastAsia" w:hAnsiTheme="minorHAnsi" w:cstheme="majorBidi"/>
      <w:b/>
      <w:i/>
      <w:snapToGrid/>
      <w:spacing w:val="5"/>
      <w:kern w:val="28"/>
      <w:sz w:val="28"/>
      <w:szCs w:val="36"/>
      <w:lang w:eastAsia="en-US"/>
    </w:rPr>
  </w:style>
  <w:style w:type="paragraph" w:customStyle="1" w:styleId="paragraph">
    <w:name w:val="paragraph"/>
    <w:basedOn w:val="Normal"/>
    <w:rsid w:val="005C0CE0"/>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5C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90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235422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8085308">
      <w:bodyDiv w:val="1"/>
      <w:marLeft w:val="0"/>
      <w:marRight w:val="0"/>
      <w:marTop w:val="0"/>
      <w:marBottom w:val="0"/>
      <w:divBdr>
        <w:top w:val="none" w:sz="0" w:space="0" w:color="auto"/>
        <w:left w:val="none" w:sz="0" w:space="0" w:color="auto"/>
        <w:bottom w:val="none" w:sz="0" w:space="0" w:color="auto"/>
        <w:right w:val="none" w:sz="0" w:space="0" w:color="auto"/>
      </w:divBdr>
    </w:div>
    <w:div w:id="562449019">
      <w:bodyDiv w:val="1"/>
      <w:marLeft w:val="0"/>
      <w:marRight w:val="0"/>
      <w:marTop w:val="0"/>
      <w:marBottom w:val="0"/>
      <w:divBdr>
        <w:top w:val="none" w:sz="0" w:space="0" w:color="auto"/>
        <w:left w:val="none" w:sz="0" w:space="0" w:color="auto"/>
        <w:bottom w:val="none" w:sz="0" w:space="0" w:color="auto"/>
        <w:right w:val="none" w:sz="0" w:space="0" w:color="auto"/>
      </w:divBdr>
      <w:divsChild>
        <w:div w:id="357899045">
          <w:marLeft w:val="1080"/>
          <w:marRight w:val="0"/>
          <w:marTop w:val="100"/>
          <w:marBottom w:val="0"/>
          <w:divBdr>
            <w:top w:val="none" w:sz="0" w:space="0" w:color="auto"/>
            <w:left w:val="none" w:sz="0" w:space="0" w:color="auto"/>
            <w:bottom w:val="none" w:sz="0" w:space="0" w:color="auto"/>
            <w:right w:val="none" w:sz="0" w:space="0" w:color="auto"/>
          </w:divBdr>
        </w:div>
        <w:div w:id="334916253">
          <w:marLeft w:val="1080"/>
          <w:marRight w:val="0"/>
          <w:marTop w:val="1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85230655">
      <w:bodyDiv w:val="1"/>
      <w:marLeft w:val="0"/>
      <w:marRight w:val="0"/>
      <w:marTop w:val="0"/>
      <w:marBottom w:val="0"/>
      <w:divBdr>
        <w:top w:val="none" w:sz="0" w:space="0" w:color="auto"/>
        <w:left w:val="none" w:sz="0" w:space="0" w:color="auto"/>
        <w:bottom w:val="none" w:sz="0" w:space="0" w:color="auto"/>
        <w:right w:val="none" w:sz="0" w:space="0" w:color="auto"/>
      </w:divBdr>
    </w:div>
    <w:div w:id="1316450534">
      <w:bodyDiv w:val="1"/>
      <w:marLeft w:val="0"/>
      <w:marRight w:val="0"/>
      <w:marTop w:val="0"/>
      <w:marBottom w:val="0"/>
      <w:divBdr>
        <w:top w:val="none" w:sz="0" w:space="0" w:color="auto"/>
        <w:left w:val="none" w:sz="0" w:space="0" w:color="auto"/>
        <w:bottom w:val="none" w:sz="0" w:space="0" w:color="auto"/>
        <w:right w:val="none" w:sz="0" w:space="0" w:color="auto"/>
      </w:divBdr>
      <w:divsChild>
        <w:div w:id="1454322463">
          <w:marLeft w:val="1080"/>
          <w:marRight w:val="0"/>
          <w:marTop w:val="100"/>
          <w:marBottom w:val="0"/>
          <w:divBdr>
            <w:top w:val="none" w:sz="0" w:space="0" w:color="auto"/>
            <w:left w:val="none" w:sz="0" w:space="0" w:color="auto"/>
            <w:bottom w:val="none" w:sz="0" w:space="0" w:color="auto"/>
            <w:right w:val="none" w:sz="0" w:space="0" w:color="auto"/>
          </w:divBdr>
        </w:div>
      </w:divsChild>
    </w:div>
    <w:div w:id="1671134397">
      <w:bodyDiv w:val="1"/>
      <w:marLeft w:val="0"/>
      <w:marRight w:val="0"/>
      <w:marTop w:val="0"/>
      <w:marBottom w:val="0"/>
      <w:divBdr>
        <w:top w:val="none" w:sz="0" w:space="0" w:color="auto"/>
        <w:left w:val="none" w:sz="0" w:space="0" w:color="auto"/>
        <w:bottom w:val="none" w:sz="0" w:space="0" w:color="auto"/>
        <w:right w:val="none" w:sz="0" w:space="0" w:color="auto"/>
      </w:divBdr>
    </w:div>
    <w:div w:id="1725327504">
      <w:bodyDiv w:val="1"/>
      <w:marLeft w:val="0"/>
      <w:marRight w:val="0"/>
      <w:marTop w:val="0"/>
      <w:marBottom w:val="0"/>
      <w:divBdr>
        <w:top w:val="none" w:sz="0" w:space="0" w:color="auto"/>
        <w:left w:val="none" w:sz="0" w:space="0" w:color="auto"/>
        <w:bottom w:val="none" w:sz="0" w:space="0" w:color="auto"/>
        <w:right w:val="none" w:sz="0" w:space="0" w:color="auto"/>
      </w:divBdr>
    </w:div>
    <w:div w:id="1935478666">
      <w:bodyDiv w:val="1"/>
      <w:marLeft w:val="0"/>
      <w:marRight w:val="0"/>
      <w:marTop w:val="0"/>
      <w:marBottom w:val="0"/>
      <w:divBdr>
        <w:top w:val="none" w:sz="0" w:space="0" w:color="auto"/>
        <w:left w:val="none" w:sz="0" w:space="0" w:color="auto"/>
        <w:bottom w:val="none" w:sz="0" w:space="0" w:color="auto"/>
        <w:right w:val="none" w:sz="0" w:space="0" w:color="auto"/>
      </w:divBdr>
    </w:div>
    <w:div w:id="19490040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16167947">
      <w:bodyDiv w:val="1"/>
      <w:marLeft w:val="0"/>
      <w:marRight w:val="0"/>
      <w:marTop w:val="0"/>
      <w:marBottom w:val="0"/>
      <w:divBdr>
        <w:top w:val="none" w:sz="0" w:space="0" w:color="auto"/>
        <w:left w:val="none" w:sz="0" w:space="0" w:color="auto"/>
        <w:bottom w:val="none" w:sz="0" w:space="0" w:color="auto"/>
        <w:right w:val="none" w:sz="0" w:space="0" w:color="auto"/>
      </w:divBdr>
      <w:divsChild>
        <w:div w:id="95867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33622589/" TargetMode="External"/><Relationship Id="rId1" Type="http://schemas.openxmlformats.org/officeDocument/2006/relationships/hyperlink" Target="https://www.health.gov.au/resources/publications/nndss-public-dataset-pneumococcal-disease-inva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B8F96-3C9E-D740-99AE-F5C332C5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7880</Words>
  <Characters>41364</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2023-06-23T05:11:00Z</dcterms:created>
  <dcterms:modified xsi:type="dcterms:W3CDTF">2023-06-23T05:12:00Z</dcterms:modified>
</cp:coreProperties>
</file>