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DB627" w14:textId="522C2FC4" w:rsidR="00872E8F" w:rsidRPr="007A5C88" w:rsidRDefault="000A35F6" w:rsidP="007A5C88">
      <w:pPr>
        <w:pStyle w:val="1MainTitle"/>
        <w:jc w:val="left"/>
      </w:pPr>
      <w:r>
        <w:t>6.21</w:t>
      </w:r>
      <w:r w:rsidR="00872E8F">
        <w:tab/>
      </w:r>
      <w:r>
        <w:t>TILDRAKIZUMAB</w:t>
      </w:r>
      <w:r w:rsidR="70971A32">
        <w:t>,</w:t>
      </w:r>
      <w:r w:rsidR="00872E8F">
        <w:br/>
      </w:r>
      <w:r w:rsidR="00A922E4">
        <w:t>Injection 100 mg in 1 mL single dose pre-filled syringe</w:t>
      </w:r>
      <w:r w:rsidR="70971A32">
        <w:t>,</w:t>
      </w:r>
      <w:r w:rsidR="00872E8F">
        <w:br/>
      </w:r>
      <w:r w:rsidR="00A922E4">
        <w:t>Ilumya</w:t>
      </w:r>
      <w:r w:rsidR="70971A32">
        <w:t>®,</w:t>
      </w:r>
      <w:r w:rsidR="00872E8F">
        <w:br/>
      </w:r>
      <w:r w:rsidR="00A922E4">
        <w:t>Sun Pharma ANZ Pty Ltd</w:t>
      </w:r>
    </w:p>
    <w:p w14:paraId="5F4D54C1" w14:textId="529787BA" w:rsidR="00E11F44" w:rsidRPr="00E11F44" w:rsidRDefault="007E490F" w:rsidP="00CD6257">
      <w:pPr>
        <w:pStyle w:val="2-SectionHeading"/>
        <w:rPr>
          <w:rFonts w:cstheme="minorHAnsi"/>
          <w:color w:val="FF0000"/>
        </w:rPr>
      </w:pPr>
      <w:r w:rsidRPr="0033263D">
        <w:t xml:space="preserve">Purpose of </w:t>
      </w:r>
      <w:r w:rsidR="00FA0B04">
        <w:t>Submission</w:t>
      </w:r>
      <w:r>
        <w:t xml:space="preserve"> </w:t>
      </w:r>
    </w:p>
    <w:p w14:paraId="50FAB4A3" w14:textId="30E84381" w:rsidR="007E490F" w:rsidRPr="00C73AEF" w:rsidRDefault="006C6C10" w:rsidP="008E3089">
      <w:pPr>
        <w:pStyle w:val="3Bodytext"/>
        <w:jc w:val="both"/>
        <w:rPr>
          <w:rFonts w:cstheme="minorHAnsi"/>
          <w:szCs w:val="24"/>
        </w:rPr>
      </w:pPr>
      <w:r w:rsidRPr="00EF4580">
        <w:rPr>
          <w:rFonts w:cstheme="minorHAnsi"/>
          <w:szCs w:val="24"/>
        </w:rPr>
        <w:t xml:space="preserve">The </w:t>
      </w:r>
      <w:r w:rsidRPr="00D77412">
        <w:rPr>
          <w:rFonts w:cstheme="minorHAnsi"/>
          <w:szCs w:val="24"/>
        </w:rPr>
        <w:t xml:space="preserve">Category </w:t>
      </w:r>
      <w:r w:rsidR="00D77412" w:rsidRPr="00D77412">
        <w:rPr>
          <w:rFonts w:cstheme="minorHAnsi"/>
          <w:szCs w:val="24"/>
        </w:rPr>
        <w:t>3</w:t>
      </w:r>
      <w:r w:rsidRPr="00D77412">
        <w:rPr>
          <w:rFonts w:cstheme="minorHAnsi"/>
          <w:szCs w:val="24"/>
        </w:rPr>
        <w:t xml:space="preserve"> submission </w:t>
      </w:r>
      <w:r w:rsidR="00244BEC">
        <w:rPr>
          <w:rFonts w:cstheme="minorHAnsi"/>
          <w:szCs w:val="24"/>
        </w:rPr>
        <w:t>requested</w:t>
      </w:r>
      <w:r w:rsidRPr="00EF4580">
        <w:rPr>
          <w:rFonts w:cstheme="minorHAnsi"/>
          <w:szCs w:val="24"/>
        </w:rPr>
        <w:t xml:space="preserve"> </w:t>
      </w:r>
      <w:r w:rsidR="00D955DB">
        <w:rPr>
          <w:rFonts w:cstheme="minorHAnsi"/>
          <w:szCs w:val="24"/>
        </w:rPr>
        <w:t>adding a grandfathering restriction to the existing</w:t>
      </w:r>
      <w:r w:rsidR="006C4C1B">
        <w:rPr>
          <w:rFonts w:cstheme="minorHAnsi"/>
          <w:szCs w:val="24"/>
        </w:rPr>
        <w:t xml:space="preserve"> Pharmaceutical Benefits Scheme</w:t>
      </w:r>
      <w:r w:rsidR="00D955DB">
        <w:rPr>
          <w:rFonts w:cstheme="minorHAnsi"/>
          <w:szCs w:val="24"/>
        </w:rPr>
        <w:t xml:space="preserve"> </w:t>
      </w:r>
      <w:r w:rsidR="006C4C1B">
        <w:rPr>
          <w:rFonts w:cstheme="minorHAnsi"/>
          <w:szCs w:val="24"/>
        </w:rPr>
        <w:t>(</w:t>
      </w:r>
      <w:r w:rsidR="00D955DB">
        <w:rPr>
          <w:rFonts w:cstheme="minorHAnsi"/>
          <w:szCs w:val="24"/>
        </w:rPr>
        <w:t>PBS</w:t>
      </w:r>
      <w:r w:rsidR="00F919A9">
        <w:rPr>
          <w:rFonts w:cstheme="minorHAnsi"/>
          <w:szCs w:val="24"/>
        </w:rPr>
        <w:t>)</w:t>
      </w:r>
      <w:r w:rsidR="00D955DB">
        <w:rPr>
          <w:rFonts w:cstheme="minorHAnsi"/>
          <w:szCs w:val="24"/>
        </w:rPr>
        <w:t xml:space="preserve"> listing for </w:t>
      </w:r>
      <w:bookmarkStart w:id="0" w:name="_Hlk130910607"/>
      <w:r w:rsidR="00D955DB">
        <w:rPr>
          <w:rFonts w:cstheme="minorHAnsi"/>
          <w:szCs w:val="24"/>
        </w:rPr>
        <w:t>tildrakizumab injection 100 mg in 1 mL</w:t>
      </w:r>
      <w:r w:rsidR="00D365EA">
        <w:rPr>
          <w:rFonts w:cstheme="minorHAnsi"/>
          <w:szCs w:val="24"/>
        </w:rPr>
        <w:t xml:space="preserve"> single dose</w:t>
      </w:r>
      <w:r w:rsidR="00D955DB">
        <w:rPr>
          <w:rFonts w:cstheme="minorHAnsi"/>
          <w:szCs w:val="24"/>
        </w:rPr>
        <w:t xml:space="preserve"> pre-filled syringe </w:t>
      </w:r>
      <w:bookmarkEnd w:id="0"/>
      <w:r w:rsidR="00D955DB">
        <w:rPr>
          <w:rFonts w:cstheme="minorHAnsi"/>
          <w:szCs w:val="24"/>
        </w:rPr>
        <w:t>(herein referred to as tildrakizumab) (Ilumya®) for the treatment of severe chronic plaque psoriasis</w:t>
      </w:r>
      <w:r w:rsidR="00B13DE0">
        <w:rPr>
          <w:rFonts w:cstheme="minorHAnsi"/>
          <w:szCs w:val="24"/>
        </w:rPr>
        <w:t xml:space="preserve"> (CPP)</w:t>
      </w:r>
      <w:r w:rsidR="00D955DB">
        <w:rPr>
          <w:rFonts w:cstheme="minorHAnsi"/>
          <w:szCs w:val="24"/>
        </w:rPr>
        <w:t xml:space="preserve"> to allow </w:t>
      </w:r>
      <w:r w:rsidR="00363AAC">
        <w:rPr>
          <w:rFonts w:cstheme="minorHAnsi"/>
          <w:szCs w:val="24"/>
        </w:rPr>
        <w:t>PBS</w:t>
      </w:r>
      <w:r w:rsidR="00E55411">
        <w:rPr>
          <w:rFonts w:cstheme="minorHAnsi"/>
          <w:szCs w:val="24"/>
        </w:rPr>
        <w:t xml:space="preserve"> </w:t>
      </w:r>
      <w:r w:rsidR="00D955DB">
        <w:rPr>
          <w:rFonts w:cstheme="minorHAnsi"/>
          <w:szCs w:val="24"/>
        </w:rPr>
        <w:t>access to patients enrolled in two new clinical trials</w:t>
      </w:r>
      <w:r w:rsidR="00363AAC">
        <w:rPr>
          <w:rFonts w:cstheme="minorHAnsi"/>
          <w:szCs w:val="24"/>
        </w:rPr>
        <w:t>.</w:t>
      </w:r>
      <w:r w:rsidR="00D955DB">
        <w:rPr>
          <w:rFonts w:cstheme="minorHAnsi"/>
          <w:szCs w:val="24"/>
        </w:rPr>
        <w:t xml:space="preserve"> </w:t>
      </w:r>
    </w:p>
    <w:p w14:paraId="3D1D4320" w14:textId="77777777" w:rsidR="007E490F" w:rsidRPr="00FD6D8E" w:rsidRDefault="007E490F" w:rsidP="008E3089">
      <w:pPr>
        <w:pStyle w:val="2-SectionHeading"/>
        <w:numPr>
          <w:ilvl w:val="0"/>
          <w:numId w:val="2"/>
        </w:numPr>
        <w:jc w:val="both"/>
      </w:pPr>
      <w:r w:rsidRPr="009E2E8E">
        <w:t>Background</w:t>
      </w:r>
      <w:r>
        <w:t xml:space="preserve"> </w:t>
      </w:r>
    </w:p>
    <w:p w14:paraId="196FAD9C" w14:textId="4183B0C2" w:rsidR="001F2311" w:rsidRPr="00F73A7E" w:rsidRDefault="00F73A7E" w:rsidP="008E3089">
      <w:pPr>
        <w:pStyle w:val="3Bodytext"/>
        <w:jc w:val="both"/>
        <w:rPr>
          <w:color w:val="000000" w:themeColor="text1"/>
        </w:rPr>
      </w:pPr>
      <w:r w:rsidRPr="00F73A7E">
        <w:t>Tildrakizumab</w:t>
      </w:r>
      <w:r w:rsidR="001F2311" w:rsidRPr="00F73A7E">
        <w:t xml:space="preserve"> is currently </w:t>
      </w:r>
      <w:r w:rsidR="001F2311" w:rsidRPr="00F26CC6">
        <w:rPr>
          <w:color w:val="000000" w:themeColor="text1"/>
        </w:rPr>
        <w:t xml:space="preserve">listed on the PBS as an </w:t>
      </w:r>
      <w:r w:rsidR="001F2311" w:rsidRPr="00F73A7E">
        <w:t>Authority Required (</w:t>
      </w:r>
      <w:r w:rsidR="009152B8">
        <w:t>W</w:t>
      </w:r>
      <w:r w:rsidRPr="00F73A7E">
        <w:t>ritten</w:t>
      </w:r>
      <w:r w:rsidR="001F2311" w:rsidRPr="00F73A7E">
        <w:t xml:space="preserve">) </w:t>
      </w:r>
      <w:r w:rsidR="001F2311" w:rsidRPr="00F26CC6">
        <w:rPr>
          <w:color w:val="000000" w:themeColor="text1"/>
        </w:rPr>
        <w:t xml:space="preserve">listing </w:t>
      </w:r>
      <w:r w:rsidR="001F2311" w:rsidRPr="00F73A7E">
        <w:t>for</w:t>
      </w:r>
      <w:r w:rsidRPr="00F73A7E">
        <w:t xml:space="preserve"> severe </w:t>
      </w:r>
      <w:r>
        <w:t>CPP</w:t>
      </w:r>
      <w:r w:rsidR="001F2311" w:rsidRPr="00F73A7E">
        <w:t xml:space="preserve">. </w:t>
      </w:r>
    </w:p>
    <w:p w14:paraId="33C2C319" w14:textId="66DF215F" w:rsidR="007E490F" w:rsidRDefault="007E490F" w:rsidP="008E3089">
      <w:pPr>
        <w:pStyle w:val="4-SubsectionHeading"/>
      </w:pPr>
      <w:r>
        <w:t>Registration</w:t>
      </w:r>
      <w:r w:rsidRPr="009324A6">
        <w:t xml:space="preserve"> status</w:t>
      </w:r>
    </w:p>
    <w:p w14:paraId="0F456A9E" w14:textId="0950C053" w:rsidR="00BC04B1" w:rsidRDefault="00C73AEF" w:rsidP="008E3089">
      <w:pPr>
        <w:pStyle w:val="3Bodytext"/>
        <w:jc w:val="both"/>
      </w:pPr>
      <w:r w:rsidRPr="0030178B">
        <w:t>Tildrakizumab</w:t>
      </w:r>
      <w:r w:rsidR="007E490F" w:rsidRPr="0030178B">
        <w:t xml:space="preserve"> was</w:t>
      </w:r>
      <w:r w:rsidR="00F919A9">
        <w:t xml:space="preserve"> Therapeutic Goods Administration</w:t>
      </w:r>
      <w:r w:rsidR="007E490F" w:rsidRPr="0030178B">
        <w:t xml:space="preserve"> </w:t>
      </w:r>
      <w:r w:rsidR="00F919A9">
        <w:t>(</w:t>
      </w:r>
      <w:r w:rsidR="007E490F" w:rsidRPr="0030178B">
        <w:t>TGA</w:t>
      </w:r>
      <w:r w:rsidR="00F919A9">
        <w:t>)</w:t>
      </w:r>
      <w:r w:rsidR="007E490F" w:rsidRPr="0030178B">
        <w:t xml:space="preserve"> registered on </w:t>
      </w:r>
      <w:r w:rsidR="0030178B" w:rsidRPr="0030178B">
        <w:t>10</w:t>
      </w:r>
      <w:r w:rsidR="00F919A9">
        <w:t> </w:t>
      </w:r>
      <w:r w:rsidR="0030178B" w:rsidRPr="0030178B">
        <w:t>September</w:t>
      </w:r>
      <w:r w:rsidR="00F919A9">
        <w:t> </w:t>
      </w:r>
      <w:r w:rsidR="0030178B" w:rsidRPr="0030178B">
        <w:t>2018</w:t>
      </w:r>
      <w:r w:rsidR="007E490F" w:rsidRPr="0030178B">
        <w:t xml:space="preserve"> for</w:t>
      </w:r>
      <w:r w:rsidR="007E490F" w:rsidRPr="0030178B" w:rsidDel="009A61CA">
        <w:t xml:space="preserve"> </w:t>
      </w:r>
      <w:r w:rsidR="0030178B" w:rsidRPr="0030178B">
        <w:t>the treatment of adults with moderate-to-severe plaque psoriasis who are candidates for systemic therapy.</w:t>
      </w:r>
    </w:p>
    <w:p w14:paraId="0094486E" w14:textId="77777777" w:rsidR="007E490F" w:rsidRDefault="007E490F" w:rsidP="008E3089">
      <w:pPr>
        <w:pStyle w:val="4-SubsectionHeading"/>
      </w:pPr>
      <w:r w:rsidRPr="0012749D">
        <w:t xml:space="preserve">Previous PBAC consideration </w:t>
      </w:r>
    </w:p>
    <w:p w14:paraId="00C17C4D" w14:textId="64736A95" w:rsidR="0049219A" w:rsidRPr="00C57529" w:rsidRDefault="00B13DE0" w:rsidP="008E3089">
      <w:pPr>
        <w:pStyle w:val="3Bodytext"/>
        <w:jc w:val="both"/>
        <w:rPr>
          <w:color w:val="000000" w:themeColor="text1"/>
        </w:rPr>
      </w:pPr>
      <w:bookmarkStart w:id="1" w:name="_Hlk123728060"/>
      <w:r>
        <w:t>A</w:t>
      </w:r>
      <w:r w:rsidR="0030178B">
        <w:t>t its July 2018 meeting</w:t>
      </w:r>
      <w:r>
        <w:t>, the PBAC recommended tildrakizumab</w:t>
      </w:r>
      <w:r w:rsidR="0030178B">
        <w:t xml:space="preserve"> for the treatment of severe CPP. It was subsequently listed on the PBS on 1 February 2019</w:t>
      </w:r>
      <w:r w:rsidR="007713AE">
        <w:t>.</w:t>
      </w:r>
      <w:r w:rsidR="0030178B">
        <w:t xml:space="preserve"> </w:t>
      </w:r>
    </w:p>
    <w:p w14:paraId="6016C71A" w14:textId="69F11BEC" w:rsidR="0063630E" w:rsidRPr="00C57529" w:rsidRDefault="00733E9D" w:rsidP="008E3089">
      <w:pPr>
        <w:pStyle w:val="3Bodytext"/>
        <w:jc w:val="both"/>
        <w:rPr>
          <w:color w:val="000000" w:themeColor="text1"/>
        </w:rPr>
      </w:pPr>
      <w:r w:rsidRPr="00731BFA">
        <w:t>In the July 2018 submission, it was</w:t>
      </w:r>
      <w:r w:rsidRPr="00EE5E8F">
        <w:t xml:space="preserve"> </w:t>
      </w:r>
      <w:r w:rsidRPr="00731BFA">
        <w:t>‘proposed that a grandfather clause be incorporated in the listing, to allow approximately 250-350 patients in a TIL</w:t>
      </w:r>
      <w:r w:rsidR="0049219A" w:rsidRPr="00731BFA">
        <w:t xml:space="preserve"> (tildrakizumab)</w:t>
      </w:r>
      <w:r w:rsidRPr="00731BFA">
        <w:t xml:space="preserve"> Patient Familiarisation Program (PFP) to transition to PBS subsidised TIL. Furthermore, the submission stated that 58 patients currently enrolled in clinical trials would need to be grandfathered across to PBS supply’ (paragraph 2.3, tildrakizumab, </w:t>
      </w:r>
      <w:r w:rsidR="00E85F55">
        <w:t>Public Summary Document (</w:t>
      </w:r>
      <w:r w:rsidRPr="00731BFA">
        <w:t>PSD</w:t>
      </w:r>
      <w:r w:rsidR="00E85F55">
        <w:t>)</w:t>
      </w:r>
      <w:r w:rsidRPr="00731BFA">
        <w:t>, July 2018 PBAC Meeting).</w:t>
      </w:r>
      <w:r w:rsidR="0049219A" w:rsidRPr="0049219A">
        <w:rPr>
          <w:i/>
          <w:iCs/>
        </w:rPr>
        <w:t xml:space="preserve"> </w:t>
      </w:r>
    </w:p>
    <w:p w14:paraId="46CDEBB9" w14:textId="57476101" w:rsidR="00E81DBC" w:rsidRPr="008300C3" w:rsidRDefault="008300C3" w:rsidP="008E3089">
      <w:pPr>
        <w:pStyle w:val="3Bodytext"/>
        <w:jc w:val="both"/>
        <w:rPr>
          <w:color w:val="000000" w:themeColor="text1"/>
        </w:rPr>
      </w:pPr>
      <w:r>
        <w:t>In July 2018, t</w:t>
      </w:r>
      <w:r w:rsidRPr="00731BFA">
        <w:t xml:space="preserve">he </w:t>
      </w:r>
      <w:r w:rsidR="00E81DBC" w:rsidRPr="00731BFA">
        <w:t>PBAC considered that it would be appropriate to provide grandfathered PBS supply to patients receiving tildrakizumab who had met initial treatment criteria at the time of entering the clinical trials or the PFP, and that the grandfather provision should be removed from the listing after 12 months (paragraph 7.4, tildrakizumab PSD, July 2018 PBAC Meeting).</w:t>
      </w:r>
    </w:p>
    <w:p w14:paraId="0D53859E" w14:textId="14CD70A8" w:rsidR="0030178B" w:rsidRPr="0030178B" w:rsidRDefault="0030178B" w:rsidP="008E3089">
      <w:pPr>
        <w:pStyle w:val="3Bodytext"/>
        <w:jc w:val="both"/>
        <w:rPr>
          <w:color w:val="000000" w:themeColor="text1"/>
        </w:rPr>
      </w:pPr>
      <w:bookmarkStart w:id="2" w:name="_Hlk123728097"/>
      <w:bookmarkEnd w:id="1"/>
      <w:r>
        <w:t>The</w:t>
      </w:r>
      <w:r w:rsidR="009B5127">
        <w:t xml:space="preserve"> current</w:t>
      </w:r>
      <w:r>
        <w:t xml:space="preserve"> submission stated that the sponsor previously agreed that the grandfather restrictions were no longer required, however </w:t>
      </w:r>
      <w:r w:rsidR="009B5127">
        <w:t xml:space="preserve">the sponsor did </w:t>
      </w:r>
      <w:r>
        <w:t xml:space="preserve">not </w:t>
      </w:r>
      <w:r w:rsidR="009B5127">
        <w:t xml:space="preserve">realise </w:t>
      </w:r>
      <w:r>
        <w:lastRenderedPageBreak/>
        <w:t xml:space="preserve">that removal of the grandfathering restriction </w:t>
      </w:r>
      <w:r w:rsidR="00BF1B79">
        <w:t>may prevent access to subsidised treatment</w:t>
      </w:r>
      <w:r>
        <w:t xml:space="preserve"> for </w:t>
      </w:r>
      <w:r w:rsidR="00BF1B79">
        <w:t xml:space="preserve">patients participating in </w:t>
      </w:r>
      <w:r>
        <w:t>new and ongoing clinical trials.</w:t>
      </w:r>
    </w:p>
    <w:bookmarkEnd w:id="2"/>
    <w:p w14:paraId="707B5290" w14:textId="11614B7C" w:rsidR="00057A1E" w:rsidRDefault="0030178B" w:rsidP="008E3089">
      <w:pPr>
        <w:pStyle w:val="3Bodytext"/>
        <w:jc w:val="both"/>
      </w:pPr>
      <w:r>
        <w:t xml:space="preserve">The submission noted the PBAC recommended </w:t>
      </w:r>
      <w:r w:rsidR="00EF59FB">
        <w:t xml:space="preserve">at its March 2022 meeting </w:t>
      </w:r>
      <w:r>
        <w:t>the extension of a grandfathered listing for risankizumab</w:t>
      </w:r>
      <w:r w:rsidR="006406E3">
        <w:t xml:space="preserve"> (RIS)</w:t>
      </w:r>
      <w:r>
        <w:t xml:space="preserve"> beyond 12 months for severe CPP to allow patients to transition </w:t>
      </w:r>
      <w:r w:rsidR="006406E3">
        <w:t>to PBS-subsidised treatment from a clinical trial that finished after the standard grandfathering period elapsed</w:t>
      </w:r>
      <w:r w:rsidR="00057A1E">
        <w:t>.</w:t>
      </w:r>
    </w:p>
    <w:p w14:paraId="5919AB5C" w14:textId="01E03516" w:rsidR="00057A1E" w:rsidRPr="00983C07" w:rsidRDefault="006406E3" w:rsidP="008E3089">
      <w:pPr>
        <w:pStyle w:val="3Bodytext"/>
        <w:numPr>
          <w:ilvl w:val="0"/>
          <w:numId w:val="28"/>
        </w:numPr>
        <w:jc w:val="both"/>
      </w:pPr>
      <w:r w:rsidRPr="005A7E46">
        <w:t xml:space="preserve">In July 2019 the PBAC recommended PBS-listing of RIS for severe CPP, ‘including the requested grandfather restriction…. The PBAC advised that grandfathered patients will be required to meet the PBS eligibility criteria and that the grandfather restriction be removed from the listing after 12 months in line with standard procedure. The PBAC noted a number of clinical trial patients are expected to transition to PBS-subsidised RIS in January 2022. The PBAC were supportive of allowing the clinical trial patients to transition to PBS-subsidised treatment but advised that an additional submission would be required closer to the date of trial completion to extend the grandfathering clause’ (paragraph 7.8, risankizumab, PSD, July 2019 PBAC Meeting). </w:t>
      </w:r>
    </w:p>
    <w:p w14:paraId="33FBB0FF" w14:textId="4861C055" w:rsidR="00414321" w:rsidRDefault="001F556E" w:rsidP="008E3089">
      <w:pPr>
        <w:pStyle w:val="3Bodytext"/>
        <w:numPr>
          <w:ilvl w:val="0"/>
          <w:numId w:val="28"/>
        </w:numPr>
        <w:jc w:val="both"/>
      </w:pPr>
      <w:r w:rsidRPr="005A7E46">
        <w:t>At its March 2022 meeting, the PBAC recommended the extension of the listing of</w:t>
      </w:r>
      <w:r w:rsidR="006406E3" w:rsidRPr="005A7E46">
        <w:t xml:space="preserve"> RIS</w:t>
      </w:r>
      <w:r w:rsidRPr="005A7E46">
        <w:t xml:space="preserve"> for severe CPP to allow access for patients enrolled in </w:t>
      </w:r>
      <w:r w:rsidR="006406E3" w:rsidRPr="005A7E46">
        <w:t>the RIS open label extension</w:t>
      </w:r>
      <w:r w:rsidRPr="005A7E46">
        <w:t xml:space="preserve"> trial to be grandfathered on to PBS-subsidised </w:t>
      </w:r>
      <w:r w:rsidR="006406E3" w:rsidRPr="005A7E46">
        <w:t>RIS</w:t>
      </w:r>
      <w:r w:rsidRPr="005A7E46">
        <w:t xml:space="preserve"> (paragraph 5.1, risankizumab, PSD, March 2022 PBAC Meeting). </w:t>
      </w:r>
    </w:p>
    <w:p w14:paraId="1B8790B6" w14:textId="77777777" w:rsidR="00964A9F" w:rsidRDefault="00964A9F" w:rsidP="008E3089">
      <w:pPr>
        <w:pStyle w:val="2-SectionHeading"/>
        <w:jc w:val="both"/>
      </w:pPr>
      <w:r w:rsidRPr="009D507A">
        <w:t xml:space="preserve">Requested listing </w:t>
      </w:r>
    </w:p>
    <w:p w14:paraId="754FF25B" w14:textId="6E13795F" w:rsidR="00964A9F" w:rsidRPr="00E0207E" w:rsidRDefault="00964A9F" w:rsidP="008E3089">
      <w:pPr>
        <w:pStyle w:val="3Bodytext"/>
        <w:jc w:val="both"/>
      </w:pPr>
      <w:r w:rsidRPr="00E0207E">
        <w:t xml:space="preserve">The submission requested the following </w:t>
      </w:r>
      <w:r w:rsidRPr="006D7C31">
        <w:t xml:space="preserve">new </w:t>
      </w:r>
      <w:r w:rsidR="00EF59FB">
        <w:t xml:space="preserve">grandfather </w:t>
      </w:r>
      <w:r w:rsidRPr="006D7C31">
        <w:t>restriction</w:t>
      </w:r>
      <w:r w:rsidR="00EF59FB">
        <w:t>s be added</w:t>
      </w:r>
      <w:r w:rsidRPr="006D7C31">
        <w:t xml:space="preserve"> to </w:t>
      </w:r>
      <w:r w:rsidRPr="00E0207E">
        <w:t>the existing listing</w:t>
      </w:r>
      <w:r w:rsidR="006D7C31">
        <w:t>:</w:t>
      </w:r>
    </w:p>
    <w:p w14:paraId="17118911" w14:textId="2FA27622" w:rsidR="00964A9F" w:rsidRPr="00D25130" w:rsidRDefault="00964A9F" w:rsidP="008E3089">
      <w:pPr>
        <w:spacing w:after="120"/>
        <w:rPr>
          <w:rFonts w:asciiTheme="minorHAnsi" w:hAnsiTheme="minorHAnsi" w:cstheme="minorHAnsi"/>
          <w:iCs/>
        </w:rPr>
      </w:pPr>
      <w:r w:rsidRPr="00A3107E">
        <w:rPr>
          <w:rFonts w:asciiTheme="minorHAnsi" w:hAnsiTheme="minorHAnsi" w:cstheme="minorHAnsi"/>
          <w:iCs/>
        </w:rPr>
        <w:t xml:space="preserve">Add new </w:t>
      </w:r>
      <w:r w:rsidR="006D7C31" w:rsidRPr="00A3107E">
        <w:rPr>
          <w:rFonts w:asciiTheme="minorHAnsi" w:hAnsiTheme="minorHAnsi" w:cstheme="minorHAnsi"/>
          <w:iCs/>
        </w:rPr>
        <w:t>restriction</w:t>
      </w:r>
      <w:r w:rsidRPr="00A3107E">
        <w:rPr>
          <w:rFonts w:asciiTheme="minorHAnsi" w:hAnsiTheme="minorHAnsi" w:cstheme="minorHAnsi"/>
          <w:iCs/>
        </w:rPr>
        <w:t xml:space="preserve"> as follows:</w:t>
      </w:r>
    </w:p>
    <w:p w14:paraId="216C7005" w14:textId="46EDF707" w:rsidR="002C0763" w:rsidRPr="002452BA" w:rsidRDefault="00964A9F" w:rsidP="008E3089">
      <w:pPr>
        <w:pStyle w:val="3Bodytext"/>
        <w:jc w:val="both"/>
      </w:pPr>
      <w:r w:rsidRPr="00120A12">
        <w:t xml:space="preserve">Suggested additions are in </w:t>
      </w:r>
      <w:r w:rsidRPr="00292392">
        <w:rPr>
          <w:iCs/>
        </w:rPr>
        <w:t>italics</w:t>
      </w:r>
      <w:r w:rsidRPr="00120A12">
        <w:t xml:space="preserve"> and deletions are in </w:t>
      </w:r>
      <w:r w:rsidRPr="009D507A">
        <w:t>strikethrough.</w:t>
      </w:r>
      <w:r w:rsidR="00B76765">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709"/>
        <w:gridCol w:w="2668"/>
        <w:gridCol w:w="811"/>
        <w:gridCol w:w="812"/>
        <w:gridCol w:w="811"/>
        <w:gridCol w:w="812"/>
        <w:gridCol w:w="1831"/>
      </w:tblGrid>
      <w:tr w:rsidR="00842DC5" w:rsidRPr="001428E9" w14:paraId="027B20AA" w14:textId="77777777" w:rsidTr="003A7CE7">
        <w:trPr>
          <w:cantSplit/>
          <w:trHeight w:val="20"/>
        </w:trPr>
        <w:tc>
          <w:tcPr>
            <w:tcW w:w="3939" w:type="dxa"/>
            <w:gridSpan w:val="3"/>
            <w:vAlign w:val="center"/>
          </w:tcPr>
          <w:p w14:paraId="64637EC0" w14:textId="77777777" w:rsidR="00842DC5" w:rsidRPr="001428E9" w:rsidRDefault="00842DC5" w:rsidP="003A7CE7">
            <w:pPr>
              <w:keepLines/>
              <w:rPr>
                <w:rFonts w:ascii="Arial Narrow" w:hAnsi="Arial Narrow" w:cs="Arial"/>
                <w:b/>
                <w:bCs/>
                <w:sz w:val="20"/>
                <w:szCs w:val="20"/>
              </w:rPr>
            </w:pPr>
            <w:r w:rsidRPr="001428E9">
              <w:rPr>
                <w:rFonts w:ascii="Arial Narrow" w:hAnsi="Arial Narrow" w:cs="Arial"/>
                <w:b/>
                <w:bCs/>
                <w:sz w:val="20"/>
                <w:szCs w:val="20"/>
              </w:rPr>
              <w:t>MEDICINAL PRODUCT</w:t>
            </w:r>
          </w:p>
          <w:p w14:paraId="580269A2" w14:textId="77777777" w:rsidR="00842DC5" w:rsidRPr="001428E9" w:rsidRDefault="00842DC5" w:rsidP="003A7CE7">
            <w:pPr>
              <w:keepLines/>
              <w:rPr>
                <w:rFonts w:ascii="Arial Narrow" w:hAnsi="Arial Narrow" w:cs="Arial"/>
                <w:b/>
                <w:sz w:val="20"/>
                <w:szCs w:val="20"/>
              </w:rPr>
            </w:pPr>
            <w:r w:rsidRPr="001428E9">
              <w:rPr>
                <w:rFonts w:ascii="Arial Narrow" w:hAnsi="Arial Narrow" w:cs="Arial"/>
                <w:b/>
                <w:bCs/>
                <w:sz w:val="20"/>
                <w:szCs w:val="20"/>
              </w:rPr>
              <w:t>medicinal product pack</w:t>
            </w:r>
          </w:p>
        </w:tc>
        <w:tc>
          <w:tcPr>
            <w:tcW w:w="811" w:type="dxa"/>
            <w:vAlign w:val="center"/>
          </w:tcPr>
          <w:p w14:paraId="6F9B5C8B" w14:textId="77777777" w:rsidR="00842DC5" w:rsidRPr="001428E9" w:rsidRDefault="00842DC5" w:rsidP="003A7CE7">
            <w:pPr>
              <w:keepLines/>
              <w:jc w:val="center"/>
              <w:rPr>
                <w:rFonts w:ascii="Arial Narrow" w:hAnsi="Arial Narrow" w:cs="Arial"/>
                <w:b/>
                <w:sz w:val="20"/>
                <w:szCs w:val="20"/>
              </w:rPr>
            </w:pPr>
            <w:r w:rsidRPr="001428E9">
              <w:rPr>
                <w:rFonts w:ascii="Arial Narrow" w:hAnsi="Arial Narrow" w:cs="Arial"/>
                <w:b/>
                <w:sz w:val="20"/>
                <w:szCs w:val="20"/>
              </w:rPr>
              <w:t>PBS item code</w:t>
            </w:r>
          </w:p>
        </w:tc>
        <w:tc>
          <w:tcPr>
            <w:tcW w:w="812" w:type="dxa"/>
            <w:vAlign w:val="center"/>
          </w:tcPr>
          <w:p w14:paraId="363A2187" w14:textId="77777777" w:rsidR="00842DC5" w:rsidRPr="001428E9" w:rsidRDefault="00842DC5" w:rsidP="003A7CE7">
            <w:pPr>
              <w:keepLines/>
              <w:jc w:val="center"/>
              <w:rPr>
                <w:rFonts w:ascii="Arial Narrow" w:hAnsi="Arial Narrow" w:cs="Arial"/>
                <w:b/>
                <w:sz w:val="20"/>
                <w:szCs w:val="20"/>
              </w:rPr>
            </w:pPr>
            <w:r w:rsidRPr="001428E9">
              <w:rPr>
                <w:rFonts w:ascii="Arial Narrow" w:hAnsi="Arial Narrow" w:cs="Arial"/>
                <w:b/>
                <w:sz w:val="20"/>
                <w:szCs w:val="20"/>
              </w:rPr>
              <w:t>Max. qty packs</w:t>
            </w:r>
          </w:p>
        </w:tc>
        <w:tc>
          <w:tcPr>
            <w:tcW w:w="811" w:type="dxa"/>
            <w:vAlign w:val="center"/>
          </w:tcPr>
          <w:p w14:paraId="6F251A92" w14:textId="77777777" w:rsidR="00842DC5" w:rsidRPr="001428E9" w:rsidRDefault="00842DC5" w:rsidP="003A7CE7">
            <w:pPr>
              <w:keepLines/>
              <w:jc w:val="center"/>
              <w:rPr>
                <w:rFonts w:ascii="Arial Narrow" w:hAnsi="Arial Narrow" w:cs="Arial"/>
                <w:b/>
                <w:sz w:val="20"/>
                <w:szCs w:val="20"/>
              </w:rPr>
            </w:pPr>
            <w:r w:rsidRPr="001428E9">
              <w:rPr>
                <w:rFonts w:ascii="Arial Narrow" w:hAnsi="Arial Narrow" w:cs="Arial"/>
                <w:b/>
                <w:sz w:val="20"/>
                <w:szCs w:val="20"/>
              </w:rPr>
              <w:t>Max. qty units</w:t>
            </w:r>
          </w:p>
        </w:tc>
        <w:tc>
          <w:tcPr>
            <w:tcW w:w="812" w:type="dxa"/>
            <w:vAlign w:val="center"/>
          </w:tcPr>
          <w:p w14:paraId="7D794DC5" w14:textId="77777777" w:rsidR="00842DC5" w:rsidRPr="001428E9" w:rsidRDefault="00842DC5" w:rsidP="003A7CE7">
            <w:pPr>
              <w:keepLines/>
              <w:jc w:val="center"/>
              <w:rPr>
                <w:rFonts w:ascii="Arial Narrow" w:hAnsi="Arial Narrow" w:cs="Arial"/>
                <w:b/>
                <w:sz w:val="20"/>
                <w:szCs w:val="20"/>
              </w:rPr>
            </w:pPr>
            <w:r w:rsidRPr="001428E9">
              <w:rPr>
                <w:rFonts w:ascii="Arial Narrow" w:hAnsi="Arial Narrow" w:cs="Arial"/>
                <w:b/>
                <w:sz w:val="20"/>
                <w:szCs w:val="20"/>
              </w:rPr>
              <w:t>№.of</w:t>
            </w:r>
          </w:p>
          <w:p w14:paraId="31A96CCA" w14:textId="77777777" w:rsidR="00842DC5" w:rsidRPr="001428E9" w:rsidRDefault="00842DC5" w:rsidP="003A7CE7">
            <w:pPr>
              <w:keepLines/>
              <w:jc w:val="center"/>
              <w:rPr>
                <w:rFonts w:ascii="Arial Narrow" w:hAnsi="Arial Narrow" w:cs="Arial"/>
                <w:b/>
                <w:sz w:val="20"/>
                <w:szCs w:val="20"/>
              </w:rPr>
            </w:pPr>
            <w:r w:rsidRPr="001428E9">
              <w:rPr>
                <w:rFonts w:ascii="Arial Narrow" w:hAnsi="Arial Narrow" w:cs="Arial"/>
                <w:b/>
                <w:sz w:val="20"/>
                <w:szCs w:val="20"/>
              </w:rPr>
              <w:t>Rpts</w:t>
            </w:r>
          </w:p>
        </w:tc>
        <w:tc>
          <w:tcPr>
            <w:tcW w:w="1831" w:type="dxa"/>
            <w:vAlign w:val="center"/>
          </w:tcPr>
          <w:p w14:paraId="4BBF3C5A" w14:textId="77777777" w:rsidR="00842DC5" w:rsidRPr="001428E9" w:rsidRDefault="00842DC5" w:rsidP="003A7CE7">
            <w:pPr>
              <w:keepLines/>
              <w:rPr>
                <w:rFonts w:ascii="Arial Narrow" w:hAnsi="Arial Narrow" w:cs="Arial"/>
                <w:b/>
                <w:sz w:val="20"/>
                <w:szCs w:val="20"/>
                <w:lang w:val="fr-FR"/>
              </w:rPr>
            </w:pPr>
            <w:r w:rsidRPr="001428E9">
              <w:rPr>
                <w:rFonts w:ascii="Arial Narrow" w:hAnsi="Arial Narrow" w:cs="Arial"/>
                <w:b/>
                <w:sz w:val="20"/>
                <w:szCs w:val="20"/>
              </w:rPr>
              <w:t>Available brands</w:t>
            </w:r>
          </w:p>
        </w:tc>
      </w:tr>
      <w:tr w:rsidR="00842DC5" w:rsidRPr="001428E9" w14:paraId="5D58782D" w14:textId="77777777" w:rsidTr="003A7CE7">
        <w:trPr>
          <w:cantSplit/>
          <w:trHeight w:val="20"/>
        </w:trPr>
        <w:tc>
          <w:tcPr>
            <w:tcW w:w="9016" w:type="dxa"/>
            <w:gridSpan w:val="8"/>
            <w:vAlign w:val="center"/>
          </w:tcPr>
          <w:p w14:paraId="48A0D6AD" w14:textId="7E5787D3" w:rsidR="00842DC5" w:rsidRPr="001428E9" w:rsidRDefault="00842DC5" w:rsidP="003A7CE7">
            <w:pPr>
              <w:keepLines/>
              <w:rPr>
                <w:rFonts w:ascii="Arial Narrow" w:hAnsi="Arial Narrow" w:cs="Arial"/>
                <w:sz w:val="20"/>
                <w:szCs w:val="20"/>
              </w:rPr>
            </w:pPr>
            <w:r w:rsidRPr="00040E8E">
              <w:rPr>
                <w:rFonts w:ascii="Arial Narrow" w:eastAsiaTheme="majorEastAsia" w:hAnsi="Arial Narrow" w:cs="Arial"/>
                <w:bCs/>
                <w:sz w:val="20"/>
                <w:szCs w:val="20"/>
              </w:rPr>
              <w:t>TILDRAKIZUMAB</w:t>
            </w:r>
          </w:p>
        </w:tc>
      </w:tr>
      <w:tr w:rsidR="00842DC5" w:rsidRPr="001428E9" w14:paraId="7DCE181A" w14:textId="77777777" w:rsidTr="003A7CE7">
        <w:trPr>
          <w:cantSplit/>
          <w:trHeight w:val="20"/>
        </w:trPr>
        <w:tc>
          <w:tcPr>
            <w:tcW w:w="3939" w:type="dxa"/>
            <w:gridSpan w:val="3"/>
            <w:vAlign w:val="center"/>
          </w:tcPr>
          <w:p w14:paraId="26073236" w14:textId="40B7598D" w:rsidR="00842DC5" w:rsidRPr="006270A2" w:rsidRDefault="00842DC5" w:rsidP="003A7CE7">
            <w:pPr>
              <w:keepLines/>
              <w:rPr>
                <w:rFonts w:ascii="Arial Narrow" w:hAnsi="Arial Narrow" w:cs="Arial"/>
                <w:i/>
                <w:iCs/>
                <w:sz w:val="20"/>
                <w:szCs w:val="20"/>
              </w:rPr>
            </w:pPr>
            <w:r w:rsidRPr="006270A2">
              <w:rPr>
                <w:rFonts w:ascii="Arial Narrow" w:eastAsiaTheme="majorEastAsia" w:hAnsi="Arial Narrow" w:cstheme="majorBidi"/>
                <w:bCs/>
                <w:i/>
                <w:iCs/>
                <w:sz w:val="20"/>
              </w:rPr>
              <w:t xml:space="preserve">tildrakizumab 100 mg/mL injection, 1 mL syringe </w:t>
            </w:r>
            <w:r w:rsidRPr="006270A2">
              <w:rPr>
                <w:rFonts w:ascii="Arial Narrow" w:hAnsi="Arial Narrow" w:cs="Arial"/>
                <w:i/>
                <w:iCs/>
                <w:color w:val="0066FF"/>
                <w:sz w:val="20"/>
                <w:szCs w:val="20"/>
              </w:rPr>
              <w:t xml:space="preserve"> </w:t>
            </w:r>
          </w:p>
        </w:tc>
        <w:tc>
          <w:tcPr>
            <w:tcW w:w="811" w:type="dxa"/>
            <w:vAlign w:val="center"/>
          </w:tcPr>
          <w:p w14:paraId="7D1E0F9D" w14:textId="54F35335" w:rsidR="00842DC5" w:rsidRPr="006270A2" w:rsidRDefault="00842DC5" w:rsidP="003A7CE7">
            <w:pPr>
              <w:keepLines/>
              <w:jc w:val="center"/>
              <w:rPr>
                <w:rFonts w:ascii="Arial Narrow" w:hAnsi="Arial Narrow" w:cs="Arial"/>
                <w:i/>
                <w:iCs/>
                <w:sz w:val="20"/>
                <w:szCs w:val="20"/>
              </w:rPr>
            </w:pPr>
            <w:r w:rsidRPr="006270A2">
              <w:rPr>
                <w:rFonts w:ascii="Arial Narrow" w:hAnsi="Arial Narrow" w:cs="Arial"/>
                <w:i/>
                <w:iCs/>
                <w:sz w:val="20"/>
                <w:szCs w:val="20"/>
              </w:rPr>
              <w:t>NEW</w:t>
            </w:r>
          </w:p>
        </w:tc>
        <w:tc>
          <w:tcPr>
            <w:tcW w:w="812" w:type="dxa"/>
            <w:vAlign w:val="center"/>
          </w:tcPr>
          <w:p w14:paraId="0549FD9D" w14:textId="77777777" w:rsidR="00842DC5" w:rsidRPr="006270A2" w:rsidRDefault="00842DC5" w:rsidP="003A7CE7">
            <w:pPr>
              <w:keepLines/>
              <w:jc w:val="center"/>
              <w:rPr>
                <w:rFonts w:ascii="Arial Narrow" w:hAnsi="Arial Narrow" w:cs="Arial"/>
                <w:i/>
                <w:iCs/>
                <w:sz w:val="20"/>
                <w:szCs w:val="20"/>
              </w:rPr>
            </w:pPr>
            <w:r w:rsidRPr="006270A2">
              <w:rPr>
                <w:rFonts w:ascii="Arial Narrow" w:hAnsi="Arial Narrow" w:cs="Arial"/>
                <w:i/>
                <w:iCs/>
                <w:sz w:val="20"/>
                <w:szCs w:val="20"/>
              </w:rPr>
              <w:t>1</w:t>
            </w:r>
          </w:p>
        </w:tc>
        <w:tc>
          <w:tcPr>
            <w:tcW w:w="811" w:type="dxa"/>
            <w:vAlign w:val="center"/>
          </w:tcPr>
          <w:p w14:paraId="02932204" w14:textId="4E7798D8" w:rsidR="00842DC5" w:rsidRPr="006270A2" w:rsidRDefault="00842DC5" w:rsidP="003A7CE7">
            <w:pPr>
              <w:keepLines/>
              <w:jc w:val="center"/>
              <w:rPr>
                <w:rFonts w:ascii="Arial Narrow" w:hAnsi="Arial Narrow" w:cs="Arial"/>
                <w:i/>
                <w:iCs/>
                <w:sz w:val="20"/>
                <w:szCs w:val="20"/>
              </w:rPr>
            </w:pPr>
            <w:r w:rsidRPr="006270A2">
              <w:rPr>
                <w:rFonts w:ascii="Arial Narrow" w:hAnsi="Arial Narrow" w:cs="Arial"/>
                <w:i/>
                <w:iCs/>
                <w:sz w:val="20"/>
                <w:szCs w:val="20"/>
              </w:rPr>
              <w:t>1</w:t>
            </w:r>
          </w:p>
        </w:tc>
        <w:tc>
          <w:tcPr>
            <w:tcW w:w="812" w:type="dxa"/>
            <w:vAlign w:val="center"/>
          </w:tcPr>
          <w:p w14:paraId="618CACD9" w14:textId="00927143" w:rsidR="00842DC5" w:rsidRPr="006270A2" w:rsidRDefault="00842DC5" w:rsidP="003A7CE7">
            <w:pPr>
              <w:keepLines/>
              <w:jc w:val="center"/>
              <w:rPr>
                <w:rFonts w:ascii="Arial Narrow" w:hAnsi="Arial Narrow" w:cs="Arial"/>
                <w:i/>
                <w:iCs/>
                <w:sz w:val="20"/>
                <w:szCs w:val="20"/>
              </w:rPr>
            </w:pPr>
            <w:r w:rsidRPr="006270A2">
              <w:rPr>
                <w:rFonts w:ascii="Arial Narrow" w:hAnsi="Arial Narrow" w:cs="Arial"/>
                <w:i/>
                <w:iCs/>
                <w:sz w:val="20"/>
                <w:szCs w:val="20"/>
              </w:rPr>
              <w:t>1</w:t>
            </w:r>
          </w:p>
        </w:tc>
        <w:tc>
          <w:tcPr>
            <w:tcW w:w="1831" w:type="dxa"/>
            <w:vAlign w:val="center"/>
          </w:tcPr>
          <w:p w14:paraId="6CCFDFEA" w14:textId="18A984D2" w:rsidR="00842DC5" w:rsidRPr="006270A2" w:rsidRDefault="00842DC5" w:rsidP="003A7CE7">
            <w:pPr>
              <w:keepLines/>
              <w:rPr>
                <w:rFonts w:ascii="Arial Narrow" w:hAnsi="Arial Narrow" w:cs="Arial"/>
                <w:i/>
                <w:iCs/>
                <w:sz w:val="20"/>
                <w:szCs w:val="20"/>
              </w:rPr>
            </w:pPr>
            <w:r w:rsidRPr="006270A2">
              <w:rPr>
                <w:rFonts w:ascii="Arial Narrow" w:hAnsi="Arial Narrow" w:cs="Arial"/>
                <w:i/>
                <w:iCs/>
                <w:sz w:val="20"/>
                <w:szCs w:val="20"/>
              </w:rPr>
              <w:t>Ilumya</w:t>
            </w:r>
          </w:p>
        </w:tc>
      </w:tr>
      <w:tr w:rsidR="00842DC5" w:rsidRPr="001428E9" w14:paraId="39A71455" w14:textId="77777777" w:rsidTr="003A7CE7">
        <w:tblPrEx>
          <w:tblCellMar>
            <w:top w:w="15" w:type="dxa"/>
            <w:bottom w:w="15" w:type="dxa"/>
          </w:tblCellMar>
          <w:tblLook w:val="04A0" w:firstRow="1" w:lastRow="0" w:firstColumn="1" w:lastColumn="0" w:noHBand="0" w:noVBand="1"/>
        </w:tblPrEx>
        <w:trPr>
          <w:trHeight w:val="20"/>
        </w:trPr>
        <w:tc>
          <w:tcPr>
            <w:tcW w:w="9016" w:type="dxa"/>
            <w:gridSpan w:val="8"/>
            <w:tcBorders>
              <w:top w:val="single" w:sz="4" w:space="0" w:color="auto"/>
              <w:left w:val="single" w:sz="4" w:space="0" w:color="auto"/>
              <w:right w:val="single" w:sz="4" w:space="0" w:color="auto"/>
            </w:tcBorders>
            <w:vAlign w:val="center"/>
          </w:tcPr>
          <w:p w14:paraId="60BFD04D" w14:textId="223EBD28" w:rsidR="00842DC5" w:rsidRPr="001428E9" w:rsidRDefault="00842DC5" w:rsidP="003A7CE7">
            <w:pPr>
              <w:rPr>
                <w:rFonts w:ascii="Arial Narrow" w:hAnsi="Arial Narrow" w:cs="Arial"/>
                <w:sz w:val="20"/>
                <w:szCs w:val="20"/>
              </w:rPr>
            </w:pPr>
          </w:p>
        </w:tc>
      </w:tr>
      <w:tr w:rsidR="00842DC5" w:rsidRPr="001428E9" w14:paraId="477A0FBC" w14:textId="77777777" w:rsidTr="003A7CE7">
        <w:tblPrEx>
          <w:tblCellMar>
            <w:top w:w="15" w:type="dxa"/>
            <w:bottom w:w="15" w:type="dxa"/>
          </w:tblCellMar>
          <w:tblLook w:val="04A0" w:firstRow="1" w:lastRow="0" w:firstColumn="1" w:lastColumn="0" w:noHBand="0" w:noVBand="1"/>
        </w:tblPrEx>
        <w:trPr>
          <w:trHeight w:val="20"/>
        </w:trPr>
        <w:tc>
          <w:tcPr>
            <w:tcW w:w="9016" w:type="dxa"/>
            <w:gridSpan w:val="8"/>
            <w:tcBorders>
              <w:top w:val="single" w:sz="4" w:space="0" w:color="auto"/>
              <w:left w:val="single" w:sz="4" w:space="0" w:color="auto"/>
              <w:right w:val="single" w:sz="4" w:space="0" w:color="auto"/>
            </w:tcBorders>
            <w:vAlign w:val="center"/>
          </w:tcPr>
          <w:p w14:paraId="59C3CC1B" w14:textId="1D0DB6FB" w:rsidR="00842DC5" w:rsidRPr="001428E9" w:rsidRDefault="00842DC5" w:rsidP="003A7CE7">
            <w:pPr>
              <w:keepLines/>
              <w:rPr>
                <w:rFonts w:ascii="Arial Narrow" w:hAnsi="Arial Narrow" w:cs="Arial"/>
                <w:b/>
                <w:sz w:val="20"/>
                <w:szCs w:val="20"/>
              </w:rPr>
            </w:pPr>
            <w:r w:rsidRPr="001428E9">
              <w:rPr>
                <w:rFonts w:ascii="Arial Narrow" w:hAnsi="Arial Narrow"/>
                <w:b/>
                <w:sz w:val="20"/>
                <w:szCs w:val="20"/>
              </w:rPr>
              <w:t xml:space="preserve">Restriction Summary [new] / Treatment of Concept: [new] </w:t>
            </w:r>
          </w:p>
        </w:tc>
      </w:tr>
      <w:tr w:rsidR="00842DC5" w:rsidRPr="001428E9" w14:paraId="65F78791" w14:textId="77777777" w:rsidTr="003A7CE7">
        <w:tblPrEx>
          <w:tblCellMar>
            <w:top w:w="15" w:type="dxa"/>
            <w:bottom w:w="15" w:type="dxa"/>
          </w:tblCellMar>
          <w:tblLook w:val="04A0" w:firstRow="1" w:lastRow="0" w:firstColumn="1" w:lastColumn="0" w:noHBand="0" w:noVBand="1"/>
        </w:tblPrEx>
        <w:trPr>
          <w:trHeight w:val="20"/>
        </w:trPr>
        <w:tc>
          <w:tcPr>
            <w:tcW w:w="1271" w:type="dxa"/>
            <w:gridSpan w:val="2"/>
            <w:vMerge w:val="restart"/>
            <w:tcBorders>
              <w:top w:val="single" w:sz="4" w:space="0" w:color="auto"/>
              <w:left w:val="single" w:sz="4" w:space="0" w:color="auto"/>
              <w:right w:val="single" w:sz="4" w:space="0" w:color="auto"/>
            </w:tcBorders>
          </w:tcPr>
          <w:p w14:paraId="30BA76AA" w14:textId="77777777" w:rsidR="00842DC5" w:rsidRPr="001428E9" w:rsidRDefault="00842DC5" w:rsidP="003A7CE7">
            <w:pPr>
              <w:jc w:val="center"/>
              <w:rPr>
                <w:rFonts w:ascii="Arial Narrow" w:hAnsi="Arial Narrow" w:cs="Arial"/>
                <w:b/>
                <w:sz w:val="20"/>
                <w:szCs w:val="20"/>
              </w:rPr>
            </w:pPr>
            <w:r w:rsidRPr="001428E9">
              <w:rPr>
                <w:rFonts w:ascii="Arial Narrow" w:hAnsi="Arial Narrow" w:cs="Arial"/>
                <w:b/>
                <w:sz w:val="20"/>
                <w:szCs w:val="20"/>
              </w:rPr>
              <w:t>Concept ID</w:t>
            </w:r>
            <w:r>
              <w:rPr>
                <w:rFonts w:ascii="Arial Narrow" w:hAnsi="Arial Narrow" w:cs="Arial"/>
                <w:b/>
                <w:sz w:val="20"/>
                <w:szCs w:val="20"/>
              </w:rPr>
              <w:t xml:space="preserve"> </w:t>
            </w:r>
            <w:r w:rsidRPr="001428E9">
              <w:rPr>
                <w:rFonts w:ascii="Arial Narrow" w:hAnsi="Arial Narrow" w:cs="Arial"/>
                <w:sz w:val="20"/>
                <w:szCs w:val="20"/>
              </w:rPr>
              <w:t>(for internal Dept. use)</w:t>
            </w: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4E8F2E7E" w14:textId="6C6751CF" w:rsidR="00842DC5" w:rsidRPr="001428E9" w:rsidRDefault="00842DC5" w:rsidP="003A7CE7">
            <w:pPr>
              <w:keepLines/>
              <w:rPr>
                <w:rFonts w:ascii="Arial Narrow" w:hAnsi="Arial Narrow" w:cs="Arial"/>
                <w:sz w:val="20"/>
                <w:szCs w:val="20"/>
              </w:rPr>
            </w:pPr>
            <w:r w:rsidRPr="001428E9">
              <w:rPr>
                <w:rFonts w:ascii="Arial Narrow" w:hAnsi="Arial Narrow" w:cs="Arial"/>
                <w:b/>
                <w:sz w:val="20"/>
                <w:szCs w:val="20"/>
              </w:rPr>
              <w:t xml:space="preserve">Category / Program: </w:t>
            </w:r>
            <w:r w:rsidRPr="001428E9">
              <w:rPr>
                <w:rFonts w:ascii="Arial Narrow" w:hAnsi="Arial Narrow" w:cs="Arial"/>
                <w:sz w:val="20"/>
                <w:szCs w:val="20"/>
              </w:rPr>
              <w:t>GENERAL – General Schedule (Code GE)</w:t>
            </w:r>
            <w:r w:rsidRPr="001428E9">
              <w:rPr>
                <w:rFonts w:ascii="Arial Narrow" w:hAnsi="Arial Narrow" w:cs="Arial"/>
                <w:color w:val="FF0000"/>
                <w:sz w:val="20"/>
                <w:szCs w:val="20"/>
              </w:rPr>
              <w:t xml:space="preserve"> </w:t>
            </w:r>
          </w:p>
        </w:tc>
      </w:tr>
      <w:tr w:rsidR="00842DC5" w:rsidRPr="001428E9" w14:paraId="6B83E713" w14:textId="77777777" w:rsidTr="003A7CE7">
        <w:tblPrEx>
          <w:tblCellMar>
            <w:top w:w="15" w:type="dxa"/>
            <w:bottom w:w="15" w:type="dxa"/>
          </w:tblCellMar>
          <w:tblLook w:val="04A0" w:firstRow="1" w:lastRow="0" w:firstColumn="1" w:lastColumn="0" w:noHBand="0" w:noVBand="1"/>
        </w:tblPrEx>
        <w:trPr>
          <w:trHeight w:val="20"/>
        </w:trPr>
        <w:tc>
          <w:tcPr>
            <w:tcW w:w="1271" w:type="dxa"/>
            <w:gridSpan w:val="2"/>
            <w:vMerge/>
            <w:tcBorders>
              <w:left w:val="single" w:sz="4" w:space="0" w:color="auto"/>
              <w:right w:val="single" w:sz="4" w:space="0" w:color="auto"/>
            </w:tcBorders>
          </w:tcPr>
          <w:p w14:paraId="64189FD0" w14:textId="77777777" w:rsidR="00842DC5" w:rsidRPr="001428E9" w:rsidRDefault="00842DC5" w:rsidP="003A7CE7">
            <w:pPr>
              <w:rPr>
                <w:rFonts w:ascii="Arial Narrow" w:hAnsi="Arial Narrow" w:cs="Arial"/>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1FB7DC1C" w14:textId="654CA19E" w:rsidR="00842DC5" w:rsidRPr="001428E9" w:rsidRDefault="00842DC5" w:rsidP="003A7CE7">
            <w:pPr>
              <w:keepLines/>
              <w:rPr>
                <w:rFonts w:ascii="Arial Narrow" w:hAnsi="Arial Narrow" w:cs="Arial"/>
                <w:b/>
                <w:sz w:val="20"/>
                <w:szCs w:val="20"/>
              </w:rPr>
            </w:pPr>
            <w:r w:rsidRPr="001428E9">
              <w:rPr>
                <w:rFonts w:ascii="Arial Narrow" w:hAnsi="Arial Narrow" w:cs="Arial"/>
                <w:b/>
                <w:sz w:val="20"/>
                <w:szCs w:val="20"/>
              </w:rPr>
              <w:t xml:space="preserve">Prescriber type: </w:t>
            </w: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9D0A8D">
              <w:rPr>
                <w:rFonts w:ascii="Arial Narrow" w:hAnsi="Arial Narrow" w:cs="Arial"/>
                <w:sz w:val="20"/>
                <w:szCs w:val="20"/>
              </w:rPr>
            </w:r>
            <w:r w:rsidR="009D0A8D">
              <w:rPr>
                <w:rFonts w:ascii="Arial Narrow" w:hAnsi="Arial Narrow" w:cs="Arial"/>
                <w:sz w:val="20"/>
                <w:szCs w:val="20"/>
              </w:rPr>
              <w:fldChar w:fldCharType="separate"/>
            </w:r>
            <w:r>
              <w:rPr>
                <w:rFonts w:ascii="Arial Narrow" w:hAnsi="Arial Narrow" w:cs="Arial"/>
                <w:sz w:val="20"/>
                <w:szCs w:val="20"/>
              </w:rPr>
              <w:fldChar w:fldCharType="end"/>
            </w:r>
            <w:r w:rsidRPr="001428E9">
              <w:rPr>
                <w:rFonts w:ascii="Arial Narrow" w:hAnsi="Arial Narrow" w:cs="Arial"/>
                <w:sz w:val="20"/>
                <w:szCs w:val="20"/>
              </w:rPr>
              <w:t xml:space="preserve">Medical Practitioners </w:t>
            </w:r>
          </w:p>
        </w:tc>
      </w:tr>
      <w:tr w:rsidR="00842DC5" w:rsidRPr="00D56F94" w14:paraId="6FBCDCE7" w14:textId="77777777" w:rsidTr="003A7CE7">
        <w:tblPrEx>
          <w:tblCellMar>
            <w:top w:w="15" w:type="dxa"/>
            <w:bottom w:w="15" w:type="dxa"/>
          </w:tblCellMar>
          <w:tblLook w:val="04A0" w:firstRow="1" w:lastRow="0" w:firstColumn="1" w:lastColumn="0" w:noHBand="0" w:noVBand="1"/>
        </w:tblPrEx>
        <w:trPr>
          <w:trHeight w:val="20"/>
        </w:trPr>
        <w:tc>
          <w:tcPr>
            <w:tcW w:w="1271" w:type="dxa"/>
            <w:gridSpan w:val="2"/>
            <w:vMerge/>
            <w:tcBorders>
              <w:left w:val="single" w:sz="4" w:space="0" w:color="auto"/>
              <w:bottom w:val="single" w:sz="4" w:space="0" w:color="auto"/>
              <w:right w:val="single" w:sz="4" w:space="0" w:color="auto"/>
            </w:tcBorders>
          </w:tcPr>
          <w:p w14:paraId="3E44B9FD" w14:textId="77777777" w:rsidR="00842DC5" w:rsidRPr="001428E9" w:rsidRDefault="00842DC5" w:rsidP="003A7CE7">
            <w:pPr>
              <w:rPr>
                <w:rFonts w:ascii="Arial Narrow" w:hAnsi="Arial Narrow" w:cs="Arial"/>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2E9D9DD6" w14:textId="0A1A21F0" w:rsidR="00842DC5" w:rsidRPr="00D56F94" w:rsidRDefault="00842DC5" w:rsidP="003A7CE7">
            <w:pPr>
              <w:keepLines/>
              <w:rPr>
                <w:rFonts w:ascii="Arial Narrow" w:eastAsia="Calibri" w:hAnsi="Arial Narrow" w:cs="Arial"/>
                <w:color w:val="FF0000"/>
                <w:sz w:val="20"/>
                <w:szCs w:val="20"/>
              </w:rPr>
            </w:pPr>
            <w:r w:rsidRPr="001428E9">
              <w:rPr>
                <w:rFonts w:ascii="Arial Narrow" w:hAnsi="Arial Narrow" w:cs="Arial"/>
                <w:b/>
                <w:sz w:val="20"/>
                <w:szCs w:val="20"/>
              </w:rPr>
              <w:t>Restriction type:</w:t>
            </w:r>
            <w:r w:rsidR="00E56DE2" w:rsidRPr="001428E9">
              <w:rPr>
                <w:rFonts w:ascii="Arial Narrow" w:eastAsia="Calibri" w:hAnsi="Arial Narrow" w:cs="Arial"/>
                <w:sz w:val="20"/>
                <w:szCs w:val="20"/>
              </w:rPr>
              <w:t xml:space="preserve"> </w:t>
            </w:r>
            <w:r w:rsidR="00E56DE2">
              <w:rPr>
                <w:rFonts w:ascii="Arial Narrow" w:eastAsia="Calibri" w:hAnsi="Arial Narrow" w:cs="Arial"/>
                <w:sz w:val="20"/>
                <w:szCs w:val="20"/>
              </w:rPr>
              <w:fldChar w:fldCharType="begin">
                <w:ffData>
                  <w:name w:val=""/>
                  <w:enabled/>
                  <w:calcOnExit w:val="0"/>
                  <w:checkBox>
                    <w:sizeAuto/>
                    <w:default w:val="1"/>
                  </w:checkBox>
                </w:ffData>
              </w:fldChar>
            </w:r>
            <w:r w:rsidR="00E56DE2">
              <w:rPr>
                <w:rFonts w:ascii="Arial Narrow" w:eastAsia="Calibri" w:hAnsi="Arial Narrow" w:cs="Arial"/>
                <w:sz w:val="20"/>
                <w:szCs w:val="20"/>
              </w:rPr>
              <w:instrText xml:space="preserve"> FORMCHECKBOX </w:instrText>
            </w:r>
            <w:r w:rsidR="009D0A8D">
              <w:rPr>
                <w:rFonts w:ascii="Arial Narrow" w:eastAsia="Calibri" w:hAnsi="Arial Narrow" w:cs="Arial"/>
                <w:sz w:val="20"/>
                <w:szCs w:val="20"/>
              </w:rPr>
            </w:r>
            <w:r w:rsidR="009D0A8D">
              <w:rPr>
                <w:rFonts w:ascii="Arial Narrow" w:eastAsia="Calibri" w:hAnsi="Arial Narrow" w:cs="Arial"/>
                <w:sz w:val="20"/>
                <w:szCs w:val="20"/>
              </w:rPr>
              <w:fldChar w:fldCharType="separate"/>
            </w:r>
            <w:r w:rsidR="00E56DE2">
              <w:rPr>
                <w:rFonts w:ascii="Arial Narrow" w:eastAsia="Calibri" w:hAnsi="Arial Narrow" w:cs="Arial"/>
                <w:sz w:val="20"/>
                <w:szCs w:val="20"/>
              </w:rPr>
              <w:fldChar w:fldCharType="end"/>
            </w:r>
            <w:r w:rsidR="00E56DE2" w:rsidRPr="001428E9">
              <w:rPr>
                <w:rFonts w:ascii="Arial Narrow" w:eastAsia="Calibri" w:hAnsi="Arial Narrow" w:cs="Arial"/>
                <w:sz w:val="20"/>
                <w:szCs w:val="20"/>
              </w:rPr>
              <w:t xml:space="preserve">Authority Required (in writing only via post/HPOS upload) </w:t>
            </w:r>
            <w:r w:rsidRPr="001428E9">
              <w:rPr>
                <w:rFonts w:ascii="Arial Narrow" w:hAnsi="Arial Narrow" w:cs="Arial"/>
                <w:b/>
                <w:sz w:val="20"/>
                <w:szCs w:val="20"/>
              </w:rPr>
              <w:t xml:space="preserve"> </w:t>
            </w:r>
          </w:p>
        </w:tc>
      </w:tr>
      <w:tr w:rsidR="00F94B5F" w:rsidRPr="001428E9" w14:paraId="4F87D8E0" w14:textId="77777777" w:rsidTr="00A3107E">
        <w:tblPrEx>
          <w:tblCellMar>
            <w:top w:w="15" w:type="dxa"/>
            <w:bottom w:w="15" w:type="dxa"/>
          </w:tblCellMar>
        </w:tblPrEx>
        <w:trPr>
          <w:trHeight w:val="20"/>
        </w:trPr>
        <w:tc>
          <w:tcPr>
            <w:tcW w:w="562" w:type="dxa"/>
            <w:vAlign w:val="center"/>
          </w:tcPr>
          <w:p w14:paraId="0CDED9E7" w14:textId="27EA23A7" w:rsidR="00F94B5F" w:rsidRPr="001428E9" w:rsidRDefault="00F94B5F" w:rsidP="00F94B5F">
            <w:pPr>
              <w:keepLines/>
              <w:jc w:val="center"/>
              <w:rPr>
                <w:rFonts w:ascii="Arial Narrow" w:hAnsi="Arial Narrow"/>
                <w:color w:val="333333"/>
                <w:sz w:val="20"/>
                <w:szCs w:val="20"/>
              </w:rPr>
            </w:pPr>
            <w:r>
              <w:rPr>
                <w:rFonts w:ascii="Arial Narrow" w:hAnsi="Arial Narrow"/>
                <w:color w:val="333333"/>
                <w:sz w:val="20"/>
                <w:szCs w:val="20"/>
              </w:rPr>
              <w:t>PR level</w:t>
            </w:r>
          </w:p>
        </w:tc>
        <w:tc>
          <w:tcPr>
            <w:tcW w:w="709" w:type="dxa"/>
          </w:tcPr>
          <w:p w14:paraId="5DEB1343" w14:textId="47866DE8" w:rsidR="00F94B5F" w:rsidRPr="001428E9" w:rsidRDefault="00F94B5F" w:rsidP="00F94B5F">
            <w:pPr>
              <w:keepLines/>
              <w:jc w:val="center"/>
              <w:rPr>
                <w:rFonts w:ascii="Arial Narrow" w:hAnsi="Arial Narrow"/>
                <w:color w:val="333333"/>
                <w:sz w:val="20"/>
                <w:szCs w:val="20"/>
              </w:rPr>
            </w:pPr>
          </w:p>
        </w:tc>
        <w:tc>
          <w:tcPr>
            <w:tcW w:w="7745" w:type="dxa"/>
            <w:gridSpan w:val="6"/>
          </w:tcPr>
          <w:p w14:paraId="42AFF4B0" w14:textId="77777777" w:rsidR="00F94B5F" w:rsidRPr="00E5138C" w:rsidRDefault="00F94B5F" w:rsidP="00F94B5F">
            <w:pPr>
              <w:pStyle w:val="NormalWeb"/>
              <w:spacing w:before="0" w:beforeAutospacing="0" w:after="0" w:afterAutospacing="0"/>
              <w:textAlignment w:val="baseline"/>
              <w:rPr>
                <w:rFonts w:ascii="Arial Narrow" w:hAnsi="Arial Narrow" w:cs="Open Sans"/>
                <w:color w:val="333333"/>
                <w:sz w:val="20"/>
                <w:szCs w:val="20"/>
              </w:rPr>
            </w:pPr>
            <w:r w:rsidRPr="00E5138C">
              <w:rPr>
                <w:rStyle w:val="Strong"/>
                <w:rFonts w:ascii="Arial Narrow" w:hAnsi="Arial Narrow" w:cs="Open Sans"/>
                <w:color w:val="333333"/>
                <w:sz w:val="20"/>
                <w:szCs w:val="20"/>
                <w:bdr w:val="none" w:sz="0" w:space="0" w:color="auto" w:frame="1"/>
              </w:rPr>
              <w:t>Administrative Advice:</w:t>
            </w:r>
          </w:p>
          <w:p w14:paraId="734ADA8D" w14:textId="77777777" w:rsidR="00F94B5F" w:rsidRPr="00E5138C" w:rsidRDefault="00F94B5F" w:rsidP="00F94B5F">
            <w:pPr>
              <w:pStyle w:val="NormalWeb"/>
              <w:spacing w:before="0" w:beforeAutospacing="0" w:after="0" w:afterAutospacing="0"/>
              <w:textAlignment w:val="baseline"/>
              <w:rPr>
                <w:rFonts w:ascii="Arial Narrow" w:hAnsi="Arial Narrow" w:cs="Open Sans"/>
                <w:color w:val="333333"/>
                <w:sz w:val="20"/>
                <w:szCs w:val="20"/>
              </w:rPr>
            </w:pPr>
            <w:r w:rsidRPr="00E5138C">
              <w:rPr>
                <w:rFonts w:ascii="Arial Narrow" w:hAnsi="Arial Narrow" w:cs="Open Sans"/>
                <w:b/>
                <w:bCs/>
                <w:color w:val="333333"/>
                <w:sz w:val="20"/>
                <w:szCs w:val="20"/>
                <w:bdr w:val="none" w:sz="0" w:space="0" w:color="auto" w:frame="1"/>
              </w:rPr>
              <w:t>TREATMENT OF ADULT PATIENTS WITH SEVERE CHRONIC PLAQUE PSORIASIS</w:t>
            </w:r>
          </w:p>
          <w:p w14:paraId="19AF5287" w14:textId="77777777" w:rsidR="00F94B5F" w:rsidRPr="00E5138C" w:rsidRDefault="00F94B5F" w:rsidP="00F94B5F">
            <w:pPr>
              <w:pStyle w:val="NormalWeb"/>
              <w:spacing w:before="0" w:beforeAutospacing="0" w:after="0" w:afterAutospacing="0"/>
              <w:textAlignment w:val="baseline"/>
              <w:rPr>
                <w:rFonts w:ascii="Arial Narrow" w:hAnsi="Arial Narrow" w:cs="Open Sans"/>
                <w:color w:val="333333"/>
                <w:sz w:val="20"/>
                <w:szCs w:val="20"/>
              </w:rPr>
            </w:pPr>
            <w:r w:rsidRPr="00E5138C">
              <w:rPr>
                <w:rFonts w:ascii="Arial Narrow" w:hAnsi="Arial Narrow" w:cs="Open Sans"/>
                <w:color w:val="333333"/>
                <w:sz w:val="20"/>
                <w:szCs w:val="20"/>
              </w:rPr>
              <w:t xml:space="preserve">The following information applies to the prescribing under the Pharmaceutical Benefits Scheme (PBS) of the biological medicines adalimumab, etanercept, guselkumab, infliximab, ixekizumab, risankizumab, secukinumab, tildrakizumab and ustekinumab for adult patients with severe chronic plaque psoriasis. Therefore, where the term 'biological medicines' appears in notes and restrictions, it refers to </w:t>
            </w:r>
            <w:r w:rsidRPr="00E5138C">
              <w:rPr>
                <w:rFonts w:ascii="Arial Narrow" w:hAnsi="Arial Narrow" w:cs="Open Sans"/>
                <w:color w:val="333333"/>
                <w:sz w:val="20"/>
                <w:szCs w:val="20"/>
              </w:rPr>
              <w:lastRenderedPageBreak/>
              <w:t>adalimumab, etanercept, guselkumab, infliximab, ixekizumab, risankizumab, secukinumab, tildrakizumab, and ustekinumab only.</w:t>
            </w:r>
          </w:p>
          <w:p w14:paraId="75FDCFE5" w14:textId="77777777" w:rsidR="00F94B5F" w:rsidRPr="00E5138C" w:rsidRDefault="00F94B5F" w:rsidP="00F94B5F">
            <w:pPr>
              <w:pStyle w:val="NormalWeb"/>
              <w:spacing w:before="0" w:beforeAutospacing="0" w:after="0" w:afterAutospacing="0"/>
              <w:textAlignment w:val="baseline"/>
              <w:rPr>
                <w:rFonts w:ascii="Arial Narrow" w:hAnsi="Arial Narrow" w:cs="Open Sans"/>
                <w:color w:val="333333"/>
                <w:sz w:val="20"/>
                <w:szCs w:val="20"/>
              </w:rPr>
            </w:pPr>
            <w:r w:rsidRPr="00E5138C">
              <w:rPr>
                <w:rFonts w:ascii="Arial Narrow" w:hAnsi="Arial Narrow" w:cs="Open Sans"/>
                <w:color w:val="333333"/>
                <w:sz w:val="20"/>
                <w:szCs w:val="20"/>
              </w:rPr>
              <w:t>A patient is eligible for PBS-subsidised treatment with only 1 of the above biological medicines at any 1 time.</w:t>
            </w:r>
          </w:p>
          <w:p w14:paraId="251D6FA4" w14:textId="77777777" w:rsidR="00F94B5F" w:rsidRPr="00E5138C" w:rsidRDefault="00F94B5F" w:rsidP="00F94B5F">
            <w:pPr>
              <w:pStyle w:val="NormalWeb"/>
              <w:spacing w:before="0" w:beforeAutospacing="0" w:after="0" w:afterAutospacing="0"/>
              <w:textAlignment w:val="baseline"/>
              <w:rPr>
                <w:rFonts w:ascii="Arial Narrow" w:hAnsi="Arial Narrow" w:cs="Open Sans"/>
                <w:color w:val="333333"/>
                <w:sz w:val="20"/>
                <w:szCs w:val="20"/>
              </w:rPr>
            </w:pPr>
            <w:r w:rsidRPr="00E5138C">
              <w:rPr>
                <w:rFonts w:ascii="Arial Narrow" w:hAnsi="Arial Narrow" w:cs="Open Sans"/>
                <w:color w:val="333333"/>
                <w:sz w:val="20"/>
                <w:szCs w:val="20"/>
              </w:rPr>
              <w:t>A patient who received PBS-subsidised adalimumab, etanercept, guselkumab, infliximab, ixekizumab, risankizumab, secukinumab, tildrakizumab, and ustekinumab treatment prior to 1 February 2019 is considered to start their first cycle as of 1 February 2019.</w:t>
            </w:r>
          </w:p>
          <w:p w14:paraId="7550AC55" w14:textId="77777777" w:rsidR="00F94B5F" w:rsidRPr="00E5138C" w:rsidRDefault="00F94B5F" w:rsidP="00F94B5F">
            <w:pPr>
              <w:pStyle w:val="NormalWeb"/>
              <w:spacing w:before="0" w:beforeAutospacing="0" w:after="0" w:afterAutospacing="0"/>
              <w:textAlignment w:val="baseline"/>
              <w:rPr>
                <w:rFonts w:ascii="Arial Narrow" w:hAnsi="Arial Narrow" w:cs="Open Sans"/>
                <w:color w:val="333333"/>
                <w:sz w:val="20"/>
                <w:szCs w:val="20"/>
              </w:rPr>
            </w:pPr>
            <w:r w:rsidRPr="00E5138C">
              <w:rPr>
                <w:rFonts w:ascii="Arial Narrow" w:hAnsi="Arial Narrow" w:cs="Open Sans"/>
                <w:color w:val="333333"/>
                <w:sz w:val="20"/>
                <w:szCs w:val="20"/>
              </w:rPr>
              <w:t>A patient receiving PBS-subsidised treatment for chronic plaque psoriasis is able to commence a 'treatment cycle', where they may trial biological medicines without having to experience a disease flare, when swapping to an alternate biological medicine. Under these arrangements, within a single cycle, a patient may receive long-term treatment with a biological medicine as long as they sustain a response to therapy.</w:t>
            </w:r>
          </w:p>
          <w:p w14:paraId="32F03D34" w14:textId="77777777" w:rsidR="00F94B5F" w:rsidRPr="00E5138C" w:rsidRDefault="00F94B5F" w:rsidP="00F94B5F">
            <w:pPr>
              <w:pStyle w:val="NormalWeb"/>
              <w:spacing w:before="0" w:beforeAutospacing="0" w:after="0" w:afterAutospacing="0"/>
              <w:textAlignment w:val="baseline"/>
              <w:rPr>
                <w:rFonts w:ascii="Arial Narrow" w:hAnsi="Arial Narrow" w:cs="Open Sans"/>
                <w:color w:val="333333"/>
                <w:sz w:val="20"/>
                <w:szCs w:val="20"/>
              </w:rPr>
            </w:pPr>
            <w:r w:rsidRPr="00E5138C">
              <w:rPr>
                <w:rFonts w:ascii="Arial Narrow" w:hAnsi="Arial Narrow" w:cs="Open Sans"/>
                <w:color w:val="333333"/>
                <w:sz w:val="20"/>
                <w:szCs w:val="20"/>
              </w:rPr>
              <w:t>Within the same treatment cycle, a patient cannot trial and fail, or cease to respond to, the same PBS-subsidised biological medicine more than once. Therefore, once a patient fails to meet the response criteria for a PBS-subsidised biological medicine, they must change to an alternate biological medicine if they wish to continue PBS-subsidised biological treatment.</w:t>
            </w:r>
          </w:p>
          <w:p w14:paraId="4568C556" w14:textId="77777777" w:rsidR="00F94B5F" w:rsidRPr="00E5138C" w:rsidRDefault="00F94B5F" w:rsidP="00F94B5F">
            <w:pPr>
              <w:pStyle w:val="NormalWeb"/>
              <w:spacing w:before="0" w:beforeAutospacing="0" w:after="0" w:afterAutospacing="0"/>
              <w:textAlignment w:val="baseline"/>
              <w:rPr>
                <w:rFonts w:ascii="Arial Narrow" w:hAnsi="Arial Narrow" w:cs="Open Sans"/>
                <w:color w:val="333333"/>
                <w:sz w:val="20"/>
                <w:szCs w:val="20"/>
              </w:rPr>
            </w:pPr>
            <w:r w:rsidRPr="00E5138C">
              <w:rPr>
                <w:rFonts w:ascii="Arial Narrow" w:hAnsi="Arial Narrow" w:cs="Open Sans"/>
                <w:color w:val="333333"/>
                <w:sz w:val="20"/>
                <w:szCs w:val="20"/>
              </w:rPr>
              <w:t>Serious adverse reaction of a severity resulting in the necessity for permanent withdrawal of treatment, including serious infusion or injection related reactions, Steven's Johnson Syndrome, development of a demyelinating lesion, progressive multifocal leukoencephalopathy and malignancy related to treatment with the biological medicine, is not considered as a treatment failure.</w:t>
            </w:r>
          </w:p>
          <w:p w14:paraId="5F675F17" w14:textId="77777777" w:rsidR="00F94B5F" w:rsidRPr="00E5138C" w:rsidRDefault="00F94B5F" w:rsidP="00F94B5F">
            <w:pPr>
              <w:pStyle w:val="NormalWeb"/>
              <w:spacing w:before="0" w:beforeAutospacing="0" w:after="0" w:afterAutospacing="0"/>
              <w:textAlignment w:val="baseline"/>
              <w:rPr>
                <w:rFonts w:ascii="Arial Narrow" w:hAnsi="Arial Narrow" w:cs="Open Sans"/>
                <w:color w:val="333333"/>
                <w:sz w:val="20"/>
                <w:szCs w:val="20"/>
              </w:rPr>
            </w:pPr>
            <w:r w:rsidRPr="00E5138C">
              <w:rPr>
                <w:rFonts w:ascii="Arial Narrow" w:hAnsi="Arial Narrow" w:cs="Open Sans"/>
                <w:color w:val="333333"/>
                <w:sz w:val="20"/>
                <w:szCs w:val="20"/>
              </w:rPr>
              <w:t>A patient must be assessed for response to each course of treatment according to the criteria included in the relevant continuing treatment restriction.</w:t>
            </w:r>
          </w:p>
          <w:p w14:paraId="1BB7CFF2" w14:textId="77777777" w:rsidR="00F94B5F" w:rsidRPr="00E5138C" w:rsidRDefault="00F94B5F" w:rsidP="00F94B5F">
            <w:pPr>
              <w:pStyle w:val="NormalWeb"/>
              <w:spacing w:before="0" w:beforeAutospacing="0" w:after="0" w:afterAutospacing="0"/>
              <w:textAlignment w:val="baseline"/>
              <w:rPr>
                <w:rFonts w:ascii="Arial Narrow" w:hAnsi="Arial Narrow" w:cs="Open Sans"/>
                <w:color w:val="333333"/>
                <w:sz w:val="20"/>
                <w:szCs w:val="20"/>
              </w:rPr>
            </w:pPr>
            <w:r w:rsidRPr="00E5138C">
              <w:rPr>
                <w:rFonts w:ascii="Arial Narrow" w:hAnsi="Arial Narrow" w:cs="Open Sans"/>
                <w:color w:val="333333"/>
                <w:sz w:val="20"/>
                <w:szCs w:val="20"/>
              </w:rPr>
              <w:t>Once a patient has either failed or ceased to sustain a response to treatment 3 times, they are deemed to have completed a treatment cycle and they must have, at a minimum, a 5-year break in PBS-subsidised biological medicine therapy before they are eligible to commence the next cycle.</w:t>
            </w:r>
          </w:p>
          <w:p w14:paraId="75B1418A" w14:textId="77777777" w:rsidR="00F94B5F" w:rsidRPr="00E5138C" w:rsidRDefault="00F94B5F" w:rsidP="00F94B5F">
            <w:pPr>
              <w:pStyle w:val="NormalWeb"/>
              <w:spacing w:before="0" w:beforeAutospacing="0" w:after="0" w:afterAutospacing="0"/>
              <w:textAlignment w:val="baseline"/>
              <w:rPr>
                <w:rFonts w:ascii="Arial Narrow" w:hAnsi="Arial Narrow" w:cs="Open Sans"/>
                <w:color w:val="333333"/>
                <w:sz w:val="20"/>
                <w:szCs w:val="20"/>
              </w:rPr>
            </w:pPr>
            <w:r w:rsidRPr="00E5138C">
              <w:rPr>
                <w:rFonts w:ascii="Arial Narrow" w:hAnsi="Arial Narrow" w:cs="Open Sans"/>
                <w:color w:val="333333"/>
                <w:sz w:val="20"/>
                <w:szCs w:val="20"/>
              </w:rPr>
              <w:t>The duration of the break in therapy will be measured from the date the last prescription for PBS-subsidised treatment was approved in the most recent cycle to the date of the first application for initial treatment with a biological medicine under the new cycle.</w:t>
            </w:r>
          </w:p>
          <w:p w14:paraId="2C2C480A" w14:textId="77777777" w:rsidR="00F94B5F" w:rsidRPr="00E5138C" w:rsidRDefault="00F94B5F" w:rsidP="00F94B5F">
            <w:pPr>
              <w:pStyle w:val="NormalWeb"/>
              <w:spacing w:before="0" w:beforeAutospacing="0" w:after="0" w:afterAutospacing="0"/>
              <w:textAlignment w:val="baseline"/>
              <w:rPr>
                <w:rFonts w:ascii="Arial Narrow" w:hAnsi="Arial Narrow" w:cs="Open Sans"/>
                <w:color w:val="333333"/>
                <w:sz w:val="20"/>
                <w:szCs w:val="20"/>
              </w:rPr>
            </w:pPr>
            <w:r w:rsidRPr="00E5138C">
              <w:rPr>
                <w:rFonts w:ascii="Arial Narrow" w:hAnsi="Arial Narrow" w:cs="Open Sans"/>
                <w:color w:val="333333"/>
                <w:sz w:val="20"/>
                <w:szCs w:val="20"/>
              </w:rPr>
              <w:t>A patient who has failed fewer than 3 biological medicines in a treatment cycle and who has a break in therapy of more than 5 years may commence a new treatment cycle under Initial 3 treatment restriction.</w:t>
            </w:r>
          </w:p>
          <w:p w14:paraId="39D479AE" w14:textId="77777777" w:rsidR="00F94B5F" w:rsidRPr="00E5138C" w:rsidRDefault="00F94B5F" w:rsidP="00F94B5F">
            <w:pPr>
              <w:pStyle w:val="NormalWeb"/>
              <w:spacing w:before="0" w:beforeAutospacing="0" w:after="0" w:afterAutospacing="0"/>
              <w:textAlignment w:val="baseline"/>
              <w:rPr>
                <w:rFonts w:ascii="Arial Narrow" w:hAnsi="Arial Narrow" w:cs="Open Sans"/>
                <w:color w:val="333333"/>
                <w:sz w:val="20"/>
                <w:szCs w:val="20"/>
              </w:rPr>
            </w:pPr>
            <w:r w:rsidRPr="00E5138C">
              <w:rPr>
                <w:rFonts w:ascii="Arial Narrow" w:hAnsi="Arial Narrow" w:cs="Open Sans"/>
                <w:color w:val="333333"/>
                <w:sz w:val="20"/>
                <w:szCs w:val="20"/>
              </w:rPr>
              <w:t>A patient who has failed fewer than 3 biological medicines in a treatment cycle and who has a break in therapy of less than 5 years may commence a further course of treatment within the same treatment cycle under Initial 2 treatment restriction.</w:t>
            </w:r>
          </w:p>
          <w:p w14:paraId="274CDE15" w14:textId="77777777" w:rsidR="00F94B5F" w:rsidRPr="00E5138C" w:rsidRDefault="00F94B5F" w:rsidP="00F94B5F">
            <w:pPr>
              <w:pStyle w:val="NormalWeb"/>
              <w:spacing w:before="0" w:beforeAutospacing="0" w:after="0" w:afterAutospacing="0"/>
              <w:textAlignment w:val="baseline"/>
              <w:rPr>
                <w:rFonts w:ascii="Arial Narrow" w:hAnsi="Arial Narrow" w:cs="Open Sans"/>
                <w:color w:val="333333"/>
                <w:sz w:val="20"/>
                <w:szCs w:val="20"/>
              </w:rPr>
            </w:pPr>
            <w:r w:rsidRPr="00E5138C">
              <w:rPr>
                <w:rFonts w:ascii="Arial Narrow" w:hAnsi="Arial Narrow" w:cs="Open Sans"/>
                <w:color w:val="333333"/>
                <w:sz w:val="20"/>
                <w:szCs w:val="20"/>
              </w:rPr>
              <w:t>There is no limit to the number of treatment cycles a patient may undertake in their lifetime.</w:t>
            </w:r>
          </w:p>
          <w:p w14:paraId="4AF08540" w14:textId="77777777" w:rsidR="00F94B5F" w:rsidRPr="00E5138C" w:rsidRDefault="00F94B5F" w:rsidP="00F94B5F">
            <w:pPr>
              <w:pStyle w:val="NormalWeb"/>
              <w:spacing w:before="0" w:beforeAutospacing="0" w:after="0" w:afterAutospacing="0"/>
              <w:textAlignment w:val="baseline"/>
              <w:rPr>
                <w:rFonts w:ascii="Arial Narrow" w:hAnsi="Arial Narrow" w:cs="Open Sans"/>
                <w:color w:val="333333"/>
                <w:sz w:val="20"/>
                <w:szCs w:val="20"/>
              </w:rPr>
            </w:pPr>
            <w:r w:rsidRPr="00E5138C">
              <w:rPr>
                <w:rFonts w:ascii="Arial Narrow" w:hAnsi="Arial Narrow" w:cs="Open Sans"/>
                <w:color w:val="333333"/>
                <w:sz w:val="20"/>
                <w:szCs w:val="20"/>
              </w:rPr>
              <w:t>How to prescribe PBS-subsidised biological medicine treatment for severe chronic plaque psoriasis.</w:t>
            </w:r>
          </w:p>
          <w:p w14:paraId="0834B5E1" w14:textId="77777777" w:rsidR="00F94B5F" w:rsidRPr="00E5138C" w:rsidRDefault="00F94B5F" w:rsidP="00F94B5F">
            <w:pPr>
              <w:pStyle w:val="NormalWeb"/>
              <w:spacing w:before="0" w:beforeAutospacing="0" w:after="0" w:afterAutospacing="0"/>
              <w:textAlignment w:val="baseline"/>
              <w:rPr>
                <w:rFonts w:ascii="Arial Narrow" w:hAnsi="Arial Narrow" w:cs="Open Sans"/>
                <w:color w:val="333333"/>
                <w:sz w:val="20"/>
                <w:szCs w:val="20"/>
              </w:rPr>
            </w:pPr>
            <w:r w:rsidRPr="00E5138C">
              <w:rPr>
                <w:rFonts w:ascii="Arial Narrow" w:hAnsi="Arial Narrow" w:cs="Open Sans"/>
                <w:color w:val="333333"/>
                <w:sz w:val="20"/>
                <w:szCs w:val="20"/>
              </w:rPr>
              <w:t>There are separate restrictions for both the initial and continuing treatment for psoriasis affecting the whole body, versus psoriasis affecting the face, hands and feet.</w:t>
            </w:r>
          </w:p>
          <w:p w14:paraId="6932331B" w14:textId="77777777" w:rsidR="00F94B5F" w:rsidRPr="00E5138C" w:rsidRDefault="00F94B5F" w:rsidP="00F94B5F">
            <w:pPr>
              <w:pStyle w:val="NormalWeb"/>
              <w:spacing w:before="0" w:beforeAutospacing="0" w:after="0" w:afterAutospacing="0"/>
              <w:textAlignment w:val="baseline"/>
              <w:rPr>
                <w:rFonts w:ascii="Arial Narrow" w:hAnsi="Arial Narrow" w:cs="Open Sans"/>
                <w:color w:val="333333"/>
                <w:sz w:val="20"/>
                <w:szCs w:val="20"/>
              </w:rPr>
            </w:pPr>
            <w:r w:rsidRPr="00E5138C">
              <w:rPr>
                <w:rFonts w:ascii="Arial Narrow" w:hAnsi="Arial Narrow" w:cs="Open Sans"/>
                <w:color w:val="333333"/>
                <w:sz w:val="20"/>
                <w:szCs w:val="20"/>
              </w:rPr>
              <w:t>(1) Initial treatment.</w:t>
            </w:r>
          </w:p>
          <w:p w14:paraId="45DF7FC1" w14:textId="77777777" w:rsidR="00F94B5F" w:rsidRPr="00E5138C" w:rsidRDefault="00F94B5F" w:rsidP="00F94B5F">
            <w:pPr>
              <w:pStyle w:val="NormalWeb"/>
              <w:spacing w:before="0" w:beforeAutospacing="0" w:after="0" w:afterAutospacing="0"/>
              <w:textAlignment w:val="baseline"/>
              <w:rPr>
                <w:rFonts w:ascii="Arial Narrow" w:hAnsi="Arial Narrow" w:cs="Open Sans"/>
                <w:color w:val="333333"/>
                <w:sz w:val="20"/>
                <w:szCs w:val="20"/>
              </w:rPr>
            </w:pPr>
            <w:r w:rsidRPr="00E5138C">
              <w:rPr>
                <w:rFonts w:ascii="Arial Narrow" w:hAnsi="Arial Narrow" w:cs="Open Sans"/>
                <w:color w:val="333333"/>
                <w:sz w:val="20"/>
                <w:szCs w:val="20"/>
              </w:rPr>
              <w:t>An application for initial treatment should be made where:</w:t>
            </w:r>
          </w:p>
          <w:p w14:paraId="2A34ED00" w14:textId="77777777" w:rsidR="00F94B5F" w:rsidRPr="00E5138C" w:rsidRDefault="00F94B5F" w:rsidP="00F94B5F">
            <w:pPr>
              <w:pStyle w:val="NormalWeb"/>
              <w:spacing w:before="0" w:beforeAutospacing="0" w:after="0" w:afterAutospacing="0"/>
              <w:textAlignment w:val="baseline"/>
              <w:rPr>
                <w:rFonts w:ascii="Arial Narrow" w:hAnsi="Arial Narrow" w:cs="Open Sans"/>
                <w:color w:val="333333"/>
                <w:sz w:val="20"/>
                <w:szCs w:val="20"/>
              </w:rPr>
            </w:pPr>
            <w:r w:rsidRPr="00E5138C">
              <w:rPr>
                <w:rFonts w:ascii="Arial Narrow" w:hAnsi="Arial Narrow" w:cs="Open Sans"/>
                <w:color w:val="333333"/>
                <w:sz w:val="20"/>
                <w:szCs w:val="20"/>
              </w:rPr>
              <w:t>(i) a patient has not received prior PBS-subsidised biological medicine treatment for this condition and wishes to commence such therapy (Initial 1 - New patient); or</w:t>
            </w:r>
          </w:p>
          <w:p w14:paraId="4B74E354" w14:textId="77777777" w:rsidR="00F94B5F" w:rsidRPr="00E5138C" w:rsidRDefault="00F94B5F" w:rsidP="00F94B5F">
            <w:pPr>
              <w:pStyle w:val="NormalWeb"/>
              <w:spacing w:before="0" w:beforeAutospacing="0" w:after="0" w:afterAutospacing="0"/>
              <w:textAlignment w:val="baseline"/>
              <w:rPr>
                <w:rFonts w:ascii="Arial Narrow" w:hAnsi="Arial Narrow" w:cs="Open Sans"/>
                <w:color w:val="333333"/>
                <w:sz w:val="20"/>
                <w:szCs w:val="20"/>
              </w:rPr>
            </w:pPr>
            <w:r w:rsidRPr="00E5138C">
              <w:rPr>
                <w:rFonts w:ascii="Arial Narrow" w:hAnsi="Arial Narrow" w:cs="Open Sans"/>
                <w:color w:val="333333"/>
                <w:sz w:val="20"/>
                <w:szCs w:val="20"/>
              </w:rPr>
              <w:t>(ii) a patient who has received prior PBS-subsidised biological medicine therapy for this condition (initial or continuing) and wishes to trial an alternate biological medicine (Initial 2 - Change or Recommencement of treatment after a break in biological medicine of less than 5 years) [further details are under (4) 'Swapping therapy' below]; or</w:t>
            </w:r>
          </w:p>
          <w:p w14:paraId="5E41EE8C" w14:textId="77777777" w:rsidR="00F94B5F" w:rsidRPr="00E5138C" w:rsidRDefault="00F94B5F" w:rsidP="00F94B5F">
            <w:pPr>
              <w:pStyle w:val="NormalWeb"/>
              <w:spacing w:before="0" w:beforeAutospacing="0" w:after="0" w:afterAutospacing="0"/>
              <w:textAlignment w:val="baseline"/>
              <w:rPr>
                <w:rFonts w:ascii="Arial Narrow" w:hAnsi="Arial Narrow" w:cs="Open Sans"/>
                <w:color w:val="333333"/>
                <w:sz w:val="20"/>
                <w:szCs w:val="20"/>
              </w:rPr>
            </w:pPr>
            <w:r w:rsidRPr="00E5138C">
              <w:rPr>
                <w:rFonts w:ascii="Arial Narrow" w:hAnsi="Arial Narrow" w:cs="Open Sans"/>
                <w:color w:val="333333"/>
                <w:sz w:val="20"/>
                <w:szCs w:val="20"/>
              </w:rPr>
              <w:t>(iii) a patient wishes to recommence treatment with a specific biological medicine following a break in PBS-subsidised therapy of less than 5 years with the same medicine (Initial 2 - Change or Recommencement of treatment after a break in biological medicine of less than 5 years).</w:t>
            </w:r>
          </w:p>
          <w:p w14:paraId="22695351" w14:textId="77777777" w:rsidR="00F94B5F" w:rsidRPr="00E5138C" w:rsidRDefault="00F94B5F" w:rsidP="00F94B5F">
            <w:pPr>
              <w:pStyle w:val="NormalWeb"/>
              <w:spacing w:before="0" w:beforeAutospacing="0" w:after="0" w:afterAutospacing="0"/>
              <w:textAlignment w:val="baseline"/>
              <w:rPr>
                <w:rFonts w:ascii="Arial Narrow" w:hAnsi="Arial Narrow" w:cs="Open Sans"/>
                <w:color w:val="333333"/>
                <w:sz w:val="20"/>
                <w:szCs w:val="20"/>
              </w:rPr>
            </w:pPr>
            <w:r w:rsidRPr="00E5138C">
              <w:rPr>
                <w:rFonts w:ascii="Arial Narrow" w:hAnsi="Arial Narrow" w:cs="Open Sans"/>
                <w:color w:val="333333"/>
                <w:sz w:val="20"/>
                <w:szCs w:val="20"/>
              </w:rPr>
              <w:t>(iv) a patient wishes to recommence treatment with a biological medicine following a break in PBS-subsidised therapy of more than 5 years (Initial 3 - Recommencement of treatment after a break in biological medicine of more than 5 years).</w:t>
            </w:r>
          </w:p>
          <w:p w14:paraId="3DAE17D4" w14:textId="77777777" w:rsidR="00F94B5F" w:rsidRPr="00E5138C" w:rsidRDefault="00F94B5F" w:rsidP="00F94B5F">
            <w:pPr>
              <w:pStyle w:val="NormalWeb"/>
              <w:spacing w:before="0" w:beforeAutospacing="0" w:after="0" w:afterAutospacing="0"/>
              <w:textAlignment w:val="baseline"/>
              <w:rPr>
                <w:rFonts w:ascii="Arial Narrow" w:hAnsi="Arial Narrow" w:cs="Open Sans"/>
                <w:color w:val="333333"/>
                <w:sz w:val="20"/>
                <w:szCs w:val="20"/>
              </w:rPr>
            </w:pPr>
            <w:r w:rsidRPr="00E5138C">
              <w:rPr>
                <w:rFonts w:ascii="Arial Narrow" w:hAnsi="Arial Narrow" w:cs="Open Sans"/>
                <w:color w:val="333333"/>
                <w:sz w:val="20"/>
                <w:szCs w:val="20"/>
              </w:rPr>
              <w:t>An application for initial treatment will be limited to provide for a maximum of 16 weeks of therapy for adalimumab, etanercept, ixekizumab, and secukinumab, 20 weeks of therapy for guselkumab, 22 weeks of therapy for infliximab and 28 weeks of therapy for risankizumab, tildrakizumab and ustekinumab.</w:t>
            </w:r>
          </w:p>
          <w:p w14:paraId="5AD4EBD7" w14:textId="77777777" w:rsidR="00F94B5F" w:rsidRPr="00E5138C" w:rsidRDefault="00F94B5F" w:rsidP="00F94B5F">
            <w:pPr>
              <w:pStyle w:val="NormalWeb"/>
              <w:spacing w:before="0" w:beforeAutospacing="0" w:after="0" w:afterAutospacing="0"/>
              <w:textAlignment w:val="baseline"/>
              <w:rPr>
                <w:rFonts w:ascii="Arial Narrow" w:hAnsi="Arial Narrow" w:cs="Open Sans"/>
                <w:color w:val="333333"/>
                <w:sz w:val="20"/>
                <w:szCs w:val="20"/>
              </w:rPr>
            </w:pPr>
            <w:r w:rsidRPr="00E5138C">
              <w:rPr>
                <w:rFonts w:ascii="Arial Narrow" w:hAnsi="Arial Narrow" w:cs="Open Sans"/>
                <w:color w:val="333333"/>
                <w:sz w:val="20"/>
                <w:szCs w:val="20"/>
              </w:rPr>
              <w:lastRenderedPageBreak/>
              <w:t>It is recommended that a patient is reviewed for response following a minimum of 12 weeks of therapy and no later than 4 weeks from the completion of their course of initial treatment to ensure uninterrupted biological medicine supply.</w:t>
            </w:r>
          </w:p>
          <w:p w14:paraId="3568906A" w14:textId="77777777" w:rsidR="00F94B5F" w:rsidRPr="00E5138C" w:rsidRDefault="00F94B5F" w:rsidP="00F94B5F">
            <w:pPr>
              <w:pStyle w:val="NormalWeb"/>
              <w:spacing w:before="0" w:beforeAutospacing="0" w:after="0" w:afterAutospacing="0"/>
              <w:textAlignment w:val="baseline"/>
              <w:rPr>
                <w:rFonts w:ascii="Arial Narrow" w:hAnsi="Arial Narrow" w:cs="Open Sans"/>
                <w:color w:val="333333"/>
                <w:sz w:val="20"/>
                <w:szCs w:val="20"/>
              </w:rPr>
            </w:pPr>
            <w:r w:rsidRPr="00E5138C">
              <w:rPr>
                <w:rFonts w:ascii="Arial Narrow" w:hAnsi="Arial Narrow" w:cs="Open Sans"/>
                <w:color w:val="333333"/>
                <w:sz w:val="20"/>
                <w:szCs w:val="20"/>
              </w:rPr>
              <w:t>Grandfather patients (risankizumab</w:t>
            </w:r>
            <w:r>
              <w:rPr>
                <w:rFonts w:ascii="Arial Narrow" w:hAnsi="Arial Narrow" w:cs="Open Sans"/>
                <w:color w:val="333333"/>
                <w:sz w:val="20"/>
                <w:szCs w:val="20"/>
              </w:rPr>
              <w:t xml:space="preserve"> and</w:t>
            </w:r>
            <w:r w:rsidRPr="003D6B22">
              <w:rPr>
                <w:rFonts w:ascii="Arial Narrow" w:hAnsi="Arial Narrow" w:cs="Open Sans"/>
                <w:i/>
                <w:iCs/>
                <w:color w:val="333333"/>
                <w:sz w:val="20"/>
                <w:szCs w:val="20"/>
              </w:rPr>
              <w:t xml:space="preserve"> tildrakizumab</w:t>
            </w:r>
            <w:r w:rsidRPr="00E5138C">
              <w:rPr>
                <w:rFonts w:ascii="Arial Narrow" w:hAnsi="Arial Narrow" w:cs="Open Sans"/>
                <w:color w:val="333333"/>
                <w:sz w:val="20"/>
                <w:szCs w:val="20"/>
              </w:rPr>
              <w:t xml:space="preserve"> only).</w:t>
            </w:r>
          </w:p>
          <w:p w14:paraId="07790F46" w14:textId="0ED3F5A0" w:rsidR="00F94B5F" w:rsidRPr="00E5138C" w:rsidRDefault="00F94B5F" w:rsidP="00F94B5F">
            <w:pPr>
              <w:pStyle w:val="NormalWeb"/>
              <w:spacing w:before="0" w:beforeAutospacing="0" w:after="0" w:afterAutospacing="0"/>
              <w:textAlignment w:val="baseline"/>
              <w:rPr>
                <w:rFonts w:ascii="Arial Narrow" w:hAnsi="Arial Narrow" w:cs="Open Sans"/>
                <w:color w:val="333333"/>
                <w:sz w:val="20"/>
                <w:szCs w:val="20"/>
              </w:rPr>
            </w:pPr>
            <w:r w:rsidRPr="00E5138C">
              <w:rPr>
                <w:rFonts w:ascii="Arial Narrow" w:hAnsi="Arial Narrow" w:cs="Open Sans"/>
                <w:color w:val="333333"/>
                <w:sz w:val="20"/>
                <w:szCs w:val="20"/>
              </w:rPr>
              <w:t>A patient who commenced treatment with risankizumab for chronic plaque psoriasis prior to 1 August 2022</w:t>
            </w:r>
            <w:r w:rsidR="005A3690">
              <w:rPr>
                <w:rFonts w:ascii="Arial Narrow" w:hAnsi="Arial Narrow" w:cs="Open Sans"/>
                <w:color w:val="333333"/>
                <w:sz w:val="20"/>
                <w:szCs w:val="20"/>
              </w:rPr>
              <w:t xml:space="preserve">, </w:t>
            </w:r>
            <w:r w:rsidR="005A3690" w:rsidRPr="00AA4300">
              <w:rPr>
                <w:rFonts w:ascii="Arial Narrow" w:hAnsi="Arial Narrow" w:cs="Open Sans"/>
                <w:i/>
                <w:iCs/>
                <w:color w:val="333333"/>
                <w:sz w:val="20"/>
                <w:szCs w:val="20"/>
              </w:rPr>
              <w:t>or tildrakizumab</w:t>
            </w:r>
            <w:r w:rsidR="005A3690">
              <w:rPr>
                <w:rFonts w:ascii="Arial Narrow" w:hAnsi="Arial Narrow" w:cs="Open Sans"/>
                <w:color w:val="333333"/>
                <w:sz w:val="20"/>
                <w:szCs w:val="20"/>
              </w:rPr>
              <w:t xml:space="preserve"> </w:t>
            </w:r>
            <w:r w:rsidR="005A3690">
              <w:rPr>
                <w:rFonts w:ascii="Arial Narrow" w:hAnsi="Arial Narrow" w:cs="Open Sans"/>
                <w:i/>
                <w:iCs/>
                <w:color w:val="333333"/>
                <w:sz w:val="20"/>
                <w:szCs w:val="20"/>
              </w:rPr>
              <w:t>prior to [date of listing],</w:t>
            </w:r>
            <w:r w:rsidRPr="00E5138C">
              <w:rPr>
                <w:rFonts w:ascii="Arial Narrow" w:hAnsi="Arial Narrow" w:cs="Open Sans"/>
                <w:color w:val="333333"/>
                <w:sz w:val="20"/>
                <w:szCs w:val="20"/>
              </w:rPr>
              <w:t xml:space="preserve"> and who continues to receive treatment at the time of application, may qualify for treatment under the Initial treatment Grandfather treatment restriction.</w:t>
            </w:r>
          </w:p>
          <w:p w14:paraId="4A4B9EF6" w14:textId="77777777" w:rsidR="00F94B5F" w:rsidRPr="00E5138C" w:rsidRDefault="00F94B5F" w:rsidP="00F94B5F">
            <w:pPr>
              <w:pStyle w:val="NormalWeb"/>
              <w:spacing w:before="0" w:beforeAutospacing="0" w:after="0" w:afterAutospacing="0"/>
              <w:textAlignment w:val="baseline"/>
              <w:rPr>
                <w:rFonts w:ascii="Arial Narrow" w:hAnsi="Arial Narrow" w:cs="Open Sans"/>
                <w:color w:val="333333"/>
                <w:sz w:val="20"/>
                <w:szCs w:val="20"/>
              </w:rPr>
            </w:pPr>
            <w:r w:rsidRPr="00E5138C">
              <w:rPr>
                <w:rFonts w:ascii="Arial Narrow" w:hAnsi="Arial Narrow" w:cs="Open Sans"/>
                <w:color w:val="333333"/>
                <w:sz w:val="20"/>
                <w:szCs w:val="20"/>
              </w:rPr>
              <w:t>(2) Assessment of response to initial treatment.</w:t>
            </w:r>
          </w:p>
          <w:p w14:paraId="521E157D" w14:textId="77777777" w:rsidR="00F94B5F" w:rsidRPr="00E5138C" w:rsidRDefault="00F94B5F" w:rsidP="00F94B5F">
            <w:pPr>
              <w:pStyle w:val="NormalWeb"/>
              <w:spacing w:before="0" w:beforeAutospacing="0" w:after="0" w:afterAutospacing="0"/>
              <w:textAlignment w:val="baseline"/>
              <w:rPr>
                <w:rFonts w:ascii="Arial Narrow" w:hAnsi="Arial Narrow" w:cs="Open Sans"/>
                <w:color w:val="333333"/>
                <w:sz w:val="20"/>
                <w:szCs w:val="20"/>
              </w:rPr>
            </w:pPr>
            <w:r w:rsidRPr="00E5138C">
              <w:rPr>
                <w:rFonts w:ascii="Arial Narrow" w:hAnsi="Arial Narrow" w:cs="Open Sans"/>
                <w:color w:val="333333"/>
                <w:sz w:val="20"/>
                <w:szCs w:val="20"/>
              </w:rPr>
              <w:t>When prescribing initial treatment with a biological medicine, it is recommended that a PASI assessment is conducted after at least 12 weeks of treatment and no later than 4 weeks from the completion of this initial treatment course.</w:t>
            </w:r>
          </w:p>
          <w:p w14:paraId="672B393F" w14:textId="77777777" w:rsidR="00F94B5F" w:rsidRPr="00E5138C" w:rsidRDefault="00F94B5F" w:rsidP="00F94B5F">
            <w:pPr>
              <w:pStyle w:val="NormalWeb"/>
              <w:spacing w:before="0" w:beforeAutospacing="0" w:after="0" w:afterAutospacing="0"/>
              <w:textAlignment w:val="baseline"/>
              <w:rPr>
                <w:rFonts w:ascii="Arial Narrow" w:hAnsi="Arial Narrow" w:cs="Open Sans"/>
                <w:color w:val="333333"/>
                <w:sz w:val="20"/>
                <w:szCs w:val="20"/>
              </w:rPr>
            </w:pPr>
            <w:r w:rsidRPr="00E5138C">
              <w:rPr>
                <w:rFonts w:ascii="Arial Narrow" w:hAnsi="Arial Narrow" w:cs="Open Sans"/>
                <w:color w:val="333333"/>
                <w:sz w:val="20"/>
                <w:szCs w:val="20"/>
              </w:rPr>
              <w:t>The PASI assessment for continuing treatment must be performed on the same affected area as assessed at baseline.</w:t>
            </w:r>
          </w:p>
          <w:p w14:paraId="004001C1" w14:textId="77777777" w:rsidR="00F94B5F" w:rsidRPr="00E5138C" w:rsidRDefault="00F94B5F" w:rsidP="00F94B5F">
            <w:pPr>
              <w:pStyle w:val="NormalWeb"/>
              <w:spacing w:before="0" w:beforeAutospacing="0" w:after="0" w:afterAutospacing="0"/>
              <w:textAlignment w:val="baseline"/>
              <w:rPr>
                <w:rFonts w:ascii="Arial Narrow" w:hAnsi="Arial Narrow" w:cs="Open Sans"/>
                <w:color w:val="333333"/>
                <w:sz w:val="20"/>
                <w:szCs w:val="20"/>
              </w:rPr>
            </w:pPr>
            <w:r w:rsidRPr="00E5138C">
              <w:rPr>
                <w:rFonts w:ascii="Arial Narrow" w:hAnsi="Arial Narrow" w:cs="Open Sans"/>
                <w:color w:val="333333"/>
                <w:sz w:val="20"/>
                <w:szCs w:val="20"/>
              </w:rPr>
              <w:t>(3) Continuing treatment.</w:t>
            </w:r>
          </w:p>
          <w:p w14:paraId="328FF0C0" w14:textId="77777777" w:rsidR="00F94B5F" w:rsidRPr="00E5138C" w:rsidRDefault="00F94B5F" w:rsidP="00F94B5F">
            <w:pPr>
              <w:pStyle w:val="NormalWeb"/>
              <w:spacing w:before="0" w:beforeAutospacing="0" w:after="0" w:afterAutospacing="0"/>
              <w:textAlignment w:val="baseline"/>
              <w:rPr>
                <w:rFonts w:ascii="Arial Narrow" w:hAnsi="Arial Narrow" w:cs="Open Sans"/>
                <w:color w:val="333333"/>
                <w:sz w:val="20"/>
                <w:szCs w:val="20"/>
              </w:rPr>
            </w:pPr>
            <w:r w:rsidRPr="00E5138C">
              <w:rPr>
                <w:rFonts w:ascii="Arial Narrow" w:hAnsi="Arial Narrow" w:cs="Open Sans"/>
                <w:color w:val="333333"/>
                <w:sz w:val="20"/>
                <w:szCs w:val="20"/>
              </w:rPr>
              <w:t>Following the completion of an initial treatment course with a specific biological medicine, a patient may qualify to receive up to 24 weeks of continuing treatment with that drug providing they have demonstrated an adequate response to treatment. The patient remains eligible to receive continuing biological medicine treatment with the same drug in courses of up to 24 weeks providing they continue to sustain the response. It is recommended that a patient is reviewed for response following a minimum of 12 weeks of therapy and no later than 4 weeks from the completion of the most recent course of treatment.</w:t>
            </w:r>
          </w:p>
          <w:p w14:paraId="5713D2F6" w14:textId="77777777" w:rsidR="00F94B5F" w:rsidRPr="00E5138C" w:rsidRDefault="00F94B5F" w:rsidP="00F94B5F">
            <w:pPr>
              <w:pStyle w:val="NormalWeb"/>
              <w:spacing w:before="0" w:beforeAutospacing="0" w:after="0" w:afterAutospacing="0"/>
              <w:textAlignment w:val="baseline"/>
              <w:rPr>
                <w:rFonts w:ascii="Arial Narrow" w:hAnsi="Arial Narrow" w:cs="Open Sans"/>
                <w:color w:val="333333"/>
                <w:sz w:val="20"/>
                <w:szCs w:val="20"/>
              </w:rPr>
            </w:pPr>
            <w:r w:rsidRPr="00E5138C">
              <w:rPr>
                <w:rFonts w:ascii="Arial Narrow" w:hAnsi="Arial Narrow" w:cs="Open Sans"/>
                <w:color w:val="333333"/>
                <w:sz w:val="20"/>
                <w:szCs w:val="20"/>
              </w:rPr>
              <w:t>A patient must be assessed for response to a course of continuing therapy, and the assessment must be submitted to Services Australia where applicable. Where a response assessment is not submitted where applicable, the patient will be deemed to have failed to respond to treatment with that biological medicine, unless the patient has experienced a serious adverse reaction of a severity resulting in the necessity for permanent withdrawal of treatment.</w:t>
            </w:r>
          </w:p>
          <w:p w14:paraId="2E910E18" w14:textId="77777777" w:rsidR="00F94B5F" w:rsidRPr="00E5138C" w:rsidRDefault="00F94B5F" w:rsidP="00F94B5F">
            <w:pPr>
              <w:pStyle w:val="NormalWeb"/>
              <w:spacing w:before="0" w:beforeAutospacing="0" w:after="0" w:afterAutospacing="0"/>
              <w:textAlignment w:val="baseline"/>
              <w:rPr>
                <w:rFonts w:ascii="Arial Narrow" w:hAnsi="Arial Narrow" w:cs="Open Sans"/>
                <w:color w:val="333333"/>
                <w:sz w:val="20"/>
                <w:szCs w:val="20"/>
              </w:rPr>
            </w:pPr>
            <w:r w:rsidRPr="00E5138C">
              <w:rPr>
                <w:rFonts w:ascii="Arial Narrow" w:hAnsi="Arial Narrow" w:cs="Open Sans"/>
                <w:color w:val="333333"/>
                <w:sz w:val="20"/>
                <w:szCs w:val="20"/>
              </w:rPr>
              <w:t>Infliximab, adalimumab and etanercept only:</w:t>
            </w:r>
          </w:p>
          <w:p w14:paraId="0DD689AF" w14:textId="77777777" w:rsidR="00F94B5F" w:rsidRPr="00E5138C" w:rsidRDefault="00F94B5F" w:rsidP="00F94B5F">
            <w:pPr>
              <w:pStyle w:val="NormalWeb"/>
              <w:spacing w:before="0" w:beforeAutospacing="0" w:after="0" w:afterAutospacing="0"/>
              <w:textAlignment w:val="baseline"/>
              <w:rPr>
                <w:rFonts w:ascii="Arial Narrow" w:hAnsi="Arial Narrow" w:cs="Open Sans"/>
                <w:color w:val="333333"/>
                <w:sz w:val="20"/>
                <w:szCs w:val="20"/>
              </w:rPr>
            </w:pPr>
            <w:r w:rsidRPr="00E5138C">
              <w:rPr>
                <w:rFonts w:ascii="Arial Narrow" w:hAnsi="Arial Narrow" w:cs="Open Sans"/>
                <w:color w:val="333333"/>
                <w:sz w:val="20"/>
                <w:szCs w:val="20"/>
              </w:rPr>
              <w:t>For the first continuing treatment course of PBS-subsidised biological medicine treatment, it is recommended that a patient is reviewed for response following a minimum of 12 weeks of therapy under the Initial 1 or Initial 2 treatment restrictions.</w:t>
            </w:r>
          </w:p>
          <w:p w14:paraId="7A6CC5AE" w14:textId="77777777" w:rsidR="00F94B5F" w:rsidRPr="00E5138C" w:rsidRDefault="00F94B5F" w:rsidP="00F94B5F">
            <w:pPr>
              <w:pStyle w:val="NormalWeb"/>
              <w:spacing w:before="0" w:beforeAutospacing="0" w:after="0" w:afterAutospacing="0"/>
              <w:textAlignment w:val="baseline"/>
              <w:rPr>
                <w:rFonts w:ascii="Arial Narrow" w:hAnsi="Arial Narrow" w:cs="Open Sans"/>
                <w:color w:val="333333"/>
                <w:sz w:val="20"/>
                <w:szCs w:val="20"/>
              </w:rPr>
            </w:pPr>
            <w:r w:rsidRPr="00E5138C">
              <w:rPr>
                <w:rFonts w:ascii="Arial Narrow" w:hAnsi="Arial Narrow" w:cs="Open Sans"/>
                <w:color w:val="333333"/>
                <w:sz w:val="20"/>
                <w:szCs w:val="20"/>
              </w:rPr>
              <w:t>For second and subsequent continuing courses of PBS-subsidised biological medicine treatment, it is recommended that a patient is reviewed for response following a minimum of 12 weeks of therapy and no later than 4 weeks from the completion of the most recent course of treatment.</w:t>
            </w:r>
          </w:p>
          <w:p w14:paraId="39E88C83" w14:textId="77777777" w:rsidR="00F94B5F" w:rsidRPr="00E5138C" w:rsidRDefault="00F94B5F" w:rsidP="00F94B5F">
            <w:pPr>
              <w:pStyle w:val="NormalWeb"/>
              <w:spacing w:before="0" w:beforeAutospacing="0" w:after="0" w:afterAutospacing="0"/>
              <w:textAlignment w:val="baseline"/>
              <w:rPr>
                <w:rFonts w:ascii="Arial Narrow" w:hAnsi="Arial Narrow" w:cs="Open Sans"/>
                <w:color w:val="333333"/>
                <w:sz w:val="20"/>
                <w:szCs w:val="20"/>
              </w:rPr>
            </w:pPr>
            <w:r w:rsidRPr="00E5138C">
              <w:rPr>
                <w:rFonts w:ascii="Arial Narrow" w:hAnsi="Arial Narrow" w:cs="Open Sans"/>
                <w:color w:val="333333"/>
                <w:sz w:val="20"/>
                <w:szCs w:val="20"/>
              </w:rPr>
              <w:t>(4) Swapping therapy.</w:t>
            </w:r>
          </w:p>
          <w:p w14:paraId="29635170" w14:textId="77777777" w:rsidR="00F94B5F" w:rsidRPr="00E5138C" w:rsidRDefault="00F94B5F" w:rsidP="00F94B5F">
            <w:pPr>
              <w:pStyle w:val="NormalWeb"/>
              <w:spacing w:before="0" w:beforeAutospacing="0" w:after="0" w:afterAutospacing="0"/>
              <w:textAlignment w:val="baseline"/>
              <w:rPr>
                <w:rFonts w:ascii="Arial Narrow" w:hAnsi="Arial Narrow" w:cs="Open Sans"/>
                <w:color w:val="333333"/>
                <w:sz w:val="20"/>
                <w:szCs w:val="20"/>
              </w:rPr>
            </w:pPr>
            <w:r w:rsidRPr="00E5138C">
              <w:rPr>
                <w:rFonts w:ascii="Arial Narrow" w:hAnsi="Arial Narrow" w:cs="Open Sans"/>
                <w:color w:val="333333"/>
                <w:sz w:val="20"/>
                <w:szCs w:val="20"/>
              </w:rPr>
              <w:t>Once initial treatment with the first PBS-subsidised biological medicine is approved, a patient may swap to an alternate biological medicine without having to requalify with respect to the indices of disease severity (i.e. a PASI score of greater than 15), or the prior non-biological therapy requirements, except if the patient has had a break in therapy of more than 5 years who would need to requalify with respect to the indices of disease severity.</w:t>
            </w:r>
          </w:p>
          <w:p w14:paraId="6237F2FA" w14:textId="77777777" w:rsidR="00F94B5F" w:rsidRPr="00E5138C" w:rsidRDefault="00F94B5F" w:rsidP="00F94B5F">
            <w:pPr>
              <w:pStyle w:val="NormalWeb"/>
              <w:spacing w:before="0" w:beforeAutospacing="0" w:after="0" w:afterAutospacing="0"/>
              <w:textAlignment w:val="baseline"/>
              <w:rPr>
                <w:rFonts w:ascii="Arial Narrow" w:hAnsi="Arial Narrow" w:cs="Open Sans"/>
                <w:color w:val="333333"/>
                <w:sz w:val="20"/>
                <w:szCs w:val="20"/>
              </w:rPr>
            </w:pPr>
            <w:r w:rsidRPr="00E5138C">
              <w:rPr>
                <w:rFonts w:ascii="Arial Narrow" w:hAnsi="Arial Narrow" w:cs="Open Sans"/>
                <w:color w:val="333333"/>
                <w:sz w:val="20"/>
                <w:szCs w:val="20"/>
              </w:rPr>
              <w:t>A patient who is not able to complete a minimum of 12 weeks of an initial treatment course will be deemed to have failed treatment with that biological medicine unless the patient has experienced a serious adverse reaction of a severity resulting in the necessity for permanent withdrawal of treatment.</w:t>
            </w:r>
          </w:p>
          <w:p w14:paraId="177150FE" w14:textId="77777777" w:rsidR="00F94B5F" w:rsidRPr="00E5138C" w:rsidRDefault="00F94B5F" w:rsidP="00F94B5F">
            <w:pPr>
              <w:pStyle w:val="NormalWeb"/>
              <w:spacing w:before="0" w:beforeAutospacing="0" w:after="0" w:afterAutospacing="0"/>
              <w:textAlignment w:val="baseline"/>
              <w:rPr>
                <w:rFonts w:ascii="Arial Narrow" w:hAnsi="Arial Narrow" w:cs="Open Sans"/>
                <w:color w:val="333333"/>
                <w:sz w:val="20"/>
                <w:szCs w:val="20"/>
              </w:rPr>
            </w:pPr>
            <w:r w:rsidRPr="00E5138C">
              <w:rPr>
                <w:rFonts w:ascii="Arial Narrow" w:hAnsi="Arial Narrow" w:cs="Open Sans"/>
                <w:color w:val="333333"/>
                <w:sz w:val="20"/>
                <w:szCs w:val="20"/>
              </w:rPr>
              <w:t>A patient may trial an alternate biological medicine at any time, regardless of whether they are receiving therapy (initial or continuing) with a biological medicine at the time of the application. However, they cannot swap to a particular biological medicine if they have failed to respond to prior treatment with that particular biological medicine within the same cycle or have experienced treatment failure with that particular biological medicine that required permanent treatment withdrawal.</w:t>
            </w:r>
          </w:p>
          <w:p w14:paraId="713CD086" w14:textId="77777777" w:rsidR="00F94B5F" w:rsidRPr="00E5138C" w:rsidRDefault="00F94B5F" w:rsidP="00F94B5F">
            <w:pPr>
              <w:pStyle w:val="NormalWeb"/>
              <w:spacing w:before="0" w:beforeAutospacing="0" w:after="0" w:afterAutospacing="0"/>
              <w:textAlignment w:val="baseline"/>
              <w:rPr>
                <w:rFonts w:ascii="Arial Narrow" w:hAnsi="Arial Narrow" w:cs="Open Sans"/>
                <w:color w:val="333333"/>
                <w:sz w:val="20"/>
                <w:szCs w:val="20"/>
              </w:rPr>
            </w:pPr>
            <w:r w:rsidRPr="00E5138C">
              <w:rPr>
                <w:rFonts w:ascii="Arial Narrow" w:hAnsi="Arial Narrow" w:cs="Open Sans"/>
                <w:color w:val="333333"/>
                <w:sz w:val="20"/>
                <w:szCs w:val="20"/>
              </w:rPr>
              <w:t>To ensure a patient receives the maximum treatment opportunities allowed under these arrangements, it is important that they are assessed for response to every course of treatment.</w:t>
            </w:r>
          </w:p>
          <w:p w14:paraId="4518A3FC" w14:textId="77777777" w:rsidR="00F94B5F" w:rsidRPr="00E5138C" w:rsidRDefault="00F94B5F" w:rsidP="00F94B5F">
            <w:pPr>
              <w:pStyle w:val="NormalWeb"/>
              <w:spacing w:before="0" w:beforeAutospacing="0" w:after="0" w:afterAutospacing="0"/>
              <w:textAlignment w:val="baseline"/>
              <w:rPr>
                <w:rFonts w:ascii="Arial Narrow" w:hAnsi="Arial Narrow" w:cs="Open Sans"/>
                <w:color w:val="333333"/>
                <w:sz w:val="20"/>
                <w:szCs w:val="20"/>
              </w:rPr>
            </w:pPr>
            <w:r w:rsidRPr="00E5138C">
              <w:rPr>
                <w:rFonts w:ascii="Arial Narrow" w:hAnsi="Arial Narrow" w:cs="Open Sans"/>
                <w:color w:val="333333"/>
                <w:sz w:val="20"/>
                <w:szCs w:val="20"/>
              </w:rPr>
              <w:t>(5) Baseline measurements to determine response.</w:t>
            </w:r>
          </w:p>
          <w:p w14:paraId="5D57C566" w14:textId="77777777" w:rsidR="00F94B5F" w:rsidRPr="00E5138C" w:rsidRDefault="00F94B5F" w:rsidP="00F94B5F">
            <w:pPr>
              <w:pStyle w:val="NormalWeb"/>
              <w:spacing w:before="0" w:beforeAutospacing="0" w:after="0" w:afterAutospacing="0"/>
              <w:textAlignment w:val="baseline"/>
              <w:rPr>
                <w:rFonts w:ascii="Arial Narrow" w:hAnsi="Arial Narrow" w:cs="Open Sans"/>
                <w:color w:val="333333"/>
                <w:sz w:val="20"/>
                <w:szCs w:val="20"/>
              </w:rPr>
            </w:pPr>
            <w:r w:rsidRPr="00E5138C">
              <w:rPr>
                <w:rFonts w:ascii="Arial Narrow" w:hAnsi="Arial Narrow" w:cs="Open Sans"/>
                <w:color w:val="333333"/>
                <w:sz w:val="20"/>
                <w:szCs w:val="20"/>
              </w:rPr>
              <w:t xml:space="preserve">A response to treatment is to be determined by comparison of current disease activity measurements relative to the baseline PASI assessment submitted with the first authority application for a biological medicine. However, prescribers may provide new baseline PASI assessments any time that an initial or change or recommencement treatment application is submitted within a treatment cycle and this </w:t>
            </w:r>
            <w:r w:rsidRPr="00E5138C">
              <w:rPr>
                <w:rFonts w:ascii="Arial Narrow" w:hAnsi="Arial Narrow" w:cs="Open Sans"/>
                <w:color w:val="333333"/>
                <w:sz w:val="20"/>
                <w:szCs w:val="20"/>
              </w:rPr>
              <w:lastRenderedPageBreak/>
              <w:t>revised baseline PASI score will be used to assess the patient's response to the PBS-subsidised treatment.</w:t>
            </w:r>
          </w:p>
          <w:p w14:paraId="0B3CC581" w14:textId="77777777" w:rsidR="00F94B5F" w:rsidRPr="00E5138C" w:rsidRDefault="00F94B5F" w:rsidP="00F94B5F">
            <w:pPr>
              <w:pStyle w:val="NormalWeb"/>
              <w:spacing w:before="0" w:beforeAutospacing="0" w:after="0" w:afterAutospacing="0"/>
              <w:textAlignment w:val="baseline"/>
              <w:rPr>
                <w:rFonts w:ascii="Arial Narrow" w:hAnsi="Arial Narrow" w:cs="Open Sans"/>
                <w:color w:val="333333"/>
                <w:sz w:val="20"/>
                <w:szCs w:val="20"/>
              </w:rPr>
            </w:pPr>
            <w:r w:rsidRPr="00E5138C">
              <w:rPr>
                <w:rFonts w:ascii="Arial Narrow" w:hAnsi="Arial Narrow" w:cs="Open Sans"/>
                <w:color w:val="333333"/>
                <w:sz w:val="20"/>
                <w:szCs w:val="20"/>
              </w:rPr>
              <w:t>To ensure consistency in determining response, the same body area assessed at the baseline PASI assessment must be assessed for demonstration of response to treatment for the purposes of all continuing treatments.</w:t>
            </w:r>
          </w:p>
          <w:p w14:paraId="3571AB79" w14:textId="77777777" w:rsidR="00F94B5F" w:rsidRPr="00E5138C" w:rsidRDefault="00F94B5F" w:rsidP="00F94B5F">
            <w:pPr>
              <w:pStyle w:val="NormalWeb"/>
              <w:spacing w:before="0" w:beforeAutospacing="0" w:after="0" w:afterAutospacing="0"/>
              <w:textAlignment w:val="baseline"/>
              <w:rPr>
                <w:rFonts w:ascii="Arial Narrow" w:hAnsi="Arial Narrow" w:cs="Open Sans"/>
                <w:color w:val="333333"/>
                <w:sz w:val="20"/>
                <w:szCs w:val="20"/>
              </w:rPr>
            </w:pPr>
            <w:r w:rsidRPr="00E5138C">
              <w:rPr>
                <w:rFonts w:ascii="Arial Narrow" w:hAnsi="Arial Narrow" w:cs="Open Sans"/>
                <w:color w:val="333333"/>
                <w:sz w:val="20"/>
                <w:szCs w:val="20"/>
              </w:rPr>
              <w:t>(6) Recommencement of treatment after a 5-year break in PBS-subsidised therapy.</w:t>
            </w:r>
          </w:p>
          <w:p w14:paraId="1E4EC928" w14:textId="64CC10FB" w:rsidR="00F94B5F" w:rsidRPr="001428E9" w:rsidRDefault="00F94B5F" w:rsidP="00F94B5F">
            <w:pPr>
              <w:keepLines/>
              <w:rPr>
                <w:rFonts w:ascii="Arial Narrow" w:hAnsi="Arial Narrow"/>
                <w:b/>
                <w:bCs/>
                <w:color w:val="333333"/>
                <w:sz w:val="20"/>
                <w:szCs w:val="20"/>
              </w:rPr>
            </w:pPr>
            <w:r w:rsidRPr="00E5138C">
              <w:rPr>
                <w:rFonts w:ascii="Arial Narrow" w:hAnsi="Arial Narrow" w:cs="Open Sans"/>
                <w:color w:val="333333"/>
                <w:sz w:val="20"/>
                <w:szCs w:val="20"/>
              </w:rPr>
              <w:t>A patient who wishes to trial a second or subsequent treatment cycle following a break in PBS-subsidised biological therapy of at least 5 years, must qualify under Initial 3 treatment according to the criteria of the relevant restriction and index of disease severity. A PASI assessment must be conducted prior to application and patient must have a PASI score of greater than 15 for whole body. For the face, hand, foot at least 2 of the 3 PASI symptom subscores for erythema, thickness and scaling are rated as severe or very severe; or the skin area affected is 30% or more of the face, palm of a hand or sole of a foot. The PASI assessment must be no older than 4 weeks at the time of application.</w:t>
            </w:r>
          </w:p>
        </w:tc>
      </w:tr>
      <w:tr w:rsidR="00F94B5F" w:rsidRPr="001428E9" w14:paraId="68E3521F" w14:textId="77777777" w:rsidTr="005A7E46">
        <w:tblPrEx>
          <w:tblCellMar>
            <w:top w:w="15" w:type="dxa"/>
            <w:bottom w:w="15" w:type="dxa"/>
          </w:tblCellMar>
        </w:tblPrEx>
        <w:trPr>
          <w:cantSplit/>
          <w:trHeight w:val="20"/>
        </w:trPr>
        <w:tc>
          <w:tcPr>
            <w:tcW w:w="562" w:type="dxa"/>
            <w:vMerge w:val="restart"/>
            <w:vAlign w:val="center"/>
          </w:tcPr>
          <w:p w14:paraId="79EF2CDB" w14:textId="2889A3C8" w:rsidR="00F94B5F" w:rsidRPr="001428E9" w:rsidRDefault="00F94B5F" w:rsidP="00F94B5F">
            <w:pPr>
              <w:keepLines/>
              <w:jc w:val="center"/>
              <w:rPr>
                <w:rFonts w:ascii="Arial Narrow" w:hAnsi="Arial Narrow"/>
                <w:color w:val="333333"/>
                <w:sz w:val="20"/>
                <w:szCs w:val="20"/>
              </w:rPr>
            </w:pPr>
            <w:r>
              <w:rPr>
                <w:rFonts w:ascii="Arial Narrow" w:hAnsi="Arial Narrow"/>
                <w:color w:val="333333"/>
                <w:sz w:val="20"/>
                <w:szCs w:val="20"/>
              </w:rPr>
              <w:lastRenderedPageBreak/>
              <w:t>PR level</w:t>
            </w:r>
          </w:p>
        </w:tc>
        <w:tc>
          <w:tcPr>
            <w:tcW w:w="709" w:type="dxa"/>
          </w:tcPr>
          <w:p w14:paraId="5B0B86F9" w14:textId="0B333E3E" w:rsidR="00F94B5F" w:rsidRPr="001428E9" w:rsidRDefault="00F94B5F" w:rsidP="00F94B5F">
            <w:pPr>
              <w:keepLines/>
              <w:jc w:val="center"/>
              <w:rPr>
                <w:rFonts w:ascii="Arial Narrow" w:hAnsi="Arial Narrow"/>
                <w:color w:val="333333"/>
                <w:sz w:val="20"/>
                <w:szCs w:val="20"/>
              </w:rPr>
            </w:pPr>
          </w:p>
        </w:tc>
        <w:tc>
          <w:tcPr>
            <w:tcW w:w="7745" w:type="dxa"/>
            <w:gridSpan w:val="6"/>
          </w:tcPr>
          <w:p w14:paraId="39301706" w14:textId="77777777" w:rsidR="00F94B5F" w:rsidRPr="00E5138C" w:rsidRDefault="00F94B5F" w:rsidP="00F94B5F">
            <w:pPr>
              <w:pStyle w:val="NormalWeb"/>
              <w:spacing w:before="0" w:beforeAutospacing="0" w:after="0" w:afterAutospacing="0"/>
              <w:textAlignment w:val="baseline"/>
              <w:rPr>
                <w:rFonts w:ascii="Arial Narrow" w:hAnsi="Arial Narrow" w:cs="Open Sans"/>
                <w:color w:val="333333"/>
                <w:sz w:val="20"/>
                <w:szCs w:val="20"/>
              </w:rPr>
            </w:pPr>
            <w:r w:rsidRPr="00E5138C">
              <w:rPr>
                <w:rStyle w:val="Strong"/>
                <w:rFonts w:ascii="Arial Narrow" w:hAnsi="Arial Narrow" w:cs="Open Sans"/>
                <w:color w:val="333333"/>
                <w:sz w:val="20"/>
                <w:szCs w:val="20"/>
                <w:bdr w:val="none" w:sz="0" w:space="0" w:color="auto" w:frame="1"/>
              </w:rPr>
              <w:t>Administrative Advice:</w:t>
            </w:r>
          </w:p>
          <w:p w14:paraId="6445E807" w14:textId="04F00DE9" w:rsidR="00F94B5F" w:rsidRPr="001428E9" w:rsidRDefault="00F94B5F" w:rsidP="00F94B5F">
            <w:pPr>
              <w:keepLines/>
              <w:rPr>
                <w:rFonts w:ascii="Arial Narrow" w:hAnsi="Arial Narrow"/>
                <w:b/>
                <w:bCs/>
                <w:color w:val="333333"/>
                <w:sz w:val="20"/>
                <w:szCs w:val="20"/>
              </w:rPr>
            </w:pPr>
            <w:r w:rsidRPr="00E5138C">
              <w:rPr>
                <w:rFonts w:ascii="Arial Narrow" w:hAnsi="Arial Narrow" w:cs="Open Sans"/>
                <w:color w:val="333333"/>
                <w:sz w:val="20"/>
                <w:szCs w:val="20"/>
              </w:rPr>
              <w:t>No increase in the maximum quantity or number of units may be authorised.</w:t>
            </w:r>
          </w:p>
        </w:tc>
      </w:tr>
      <w:tr w:rsidR="00F94B5F" w:rsidRPr="001428E9" w14:paraId="291F162C" w14:textId="77777777" w:rsidTr="005A7E46">
        <w:tblPrEx>
          <w:tblCellMar>
            <w:top w:w="15" w:type="dxa"/>
            <w:bottom w:w="15" w:type="dxa"/>
          </w:tblCellMar>
        </w:tblPrEx>
        <w:trPr>
          <w:cantSplit/>
          <w:trHeight w:val="20"/>
        </w:trPr>
        <w:tc>
          <w:tcPr>
            <w:tcW w:w="562" w:type="dxa"/>
            <w:vMerge/>
            <w:vAlign w:val="center"/>
          </w:tcPr>
          <w:p w14:paraId="7B91786F" w14:textId="77777777" w:rsidR="00F94B5F" w:rsidRPr="001428E9" w:rsidRDefault="00F94B5F" w:rsidP="00F94B5F">
            <w:pPr>
              <w:keepLines/>
              <w:jc w:val="center"/>
              <w:rPr>
                <w:rFonts w:ascii="Arial Narrow" w:hAnsi="Arial Narrow"/>
                <w:color w:val="333333"/>
                <w:sz w:val="20"/>
                <w:szCs w:val="20"/>
              </w:rPr>
            </w:pPr>
          </w:p>
        </w:tc>
        <w:tc>
          <w:tcPr>
            <w:tcW w:w="709" w:type="dxa"/>
          </w:tcPr>
          <w:p w14:paraId="33131D15" w14:textId="47E785A6" w:rsidR="00F94B5F" w:rsidRPr="001428E9" w:rsidRDefault="00F94B5F" w:rsidP="00F94B5F">
            <w:pPr>
              <w:keepLines/>
              <w:jc w:val="center"/>
              <w:rPr>
                <w:rFonts w:ascii="Arial Narrow" w:hAnsi="Arial Narrow"/>
                <w:color w:val="333333"/>
                <w:sz w:val="20"/>
                <w:szCs w:val="20"/>
              </w:rPr>
            </w:pPr>
          </w:p>
        </w:tc>
        <w:tc>
          <w:tcPr>
            <w:tcW w:w="7745" w:type="dxa"/>
            <w:gridSpan w:val="6"/>
          </w:tcPr>
          <w:p w14:paraId="59E511EF" w14:textId="77777777" w:rsidR="00F94B5F" w:rsidRPr="00E5138C" w:rsidRDefault="00F94B5F" w:rsidP="00F94B5F">
            <w:pPr>
              <w:pStyle w:val="NormalWeb"/>
              <w:spacing w:before="0" w:beforeAutospacing="0" w:after="0" w:afterAutospacing="0"/>
              <w:textAlignment w:val="baseline"/>
              <w:rPr>
                <w:rFonts w:ascii="Arial Narrow" w:hAnsi="Arial Narrow" w:cs="Open Sans"/>
                <w:color w:val="333333"/>
                <w:sz w:val="20"/>
                <w:szCs w:val="20"/>
              </w:rPr>
            </w:pPr>
            <w:r w:rsidRPr="00E5138C">
              <w:rPr>
                <w:rStyle w:val="Strong"/>
                <w:rFonts w:ascii="Arial Narrow" w:hAnsi="Arial Narrow" w:cs="Open Sans"/>
                <w:color w:val="333333"/>
                <w:sz w:val="20"/>
                <w:szCs w:val="20"/>
                <w:bdr w:val="none" w:sz="0" w:space="0" w:color="auto" w:frame="1"/>
              </w:rPr>
              <w:t>Administrative Advice:</w:t>
            </w:r>
          </w:p>
          <w:p w14:paraId="7F4F87F1" w14:textId="43EDD737" w:rsidR="00F94B5F" w:rsidRPr="001428E9" w:rsidRDefault="00F94B5F" w:rsidP="00F94B5F">
            <w:pPr>
              <w:keepLines/>
              <w:rPr>
                <w:rFonts w:ascii="Arial Narrow" w:hAnsi="Arial Narrow"/>
                <w:b/>
                <w:bCs/>
                <w:color w:val="333333"/>
                <w:sz w:val="20"/>
                <w:szCs w:val="20"/>
              </w:rPr>
            </w:pPr>
            <w:r w:rsidRPr="00E5138C">
              <w:rPr>
                <w:rFonts w:ascii="Arial Narrow" w:hAnsi="Arial Narrow" w:cs="Open Sans"/>
                <w:color w:val="333333"/>
                <w:sz w:val="20"/>
                <w:szCs w:val="20"/>
              </w:rPr>
              <w:t>No increase in the maximum number of repeats may be authorised.</w:t>
            </w:r>
          </w:p>
        </w:tc>
      </w:tr>
      <w:tr w:rsidR="00F94B5F" w:rsidRPr="001428E9" w14:paraId="624FFB91" w14:textId="77777777" w:rsidTr="005A7E46">
        <w:tblPrEx>
          <w:tblCellMar>
            <w:top w:w="15" w:type="dxa"/>
            <w:bottom w:w="15" w:type="dxa"/>
          </w:tblCellMar>
        </w:tblPrEx>
        <w:trPr>
          <w:cantSplit/>
          <w:trHeight w:val="20"/>
        </w:trPr>
        <w:tc>
          <w:tcPr>
            <w:tcW w:w="562" w:type="dxa"/>
            <w:vMerge/>
            <w:vAlign w:val="center"/>
          </w:tcPr>
          <w:p w14:paraId="11C92208" w14:textId="77777777" w:rsidR="00F94B5F" w:rsidRPr="001428E9" w:rsidRDefault="00F94B5F" w:rsidP="00F94B5F">
            <w:pPr>
              <w:keepLines/>
              <w:jc w:val="center"/>
              <w:rPr>
                <w:rFonts w:ascii="Arial Narrow" w:hAnsi="Arial Narrow"/>
                <w:color w:val="333333"/>
                <w:sz w:val="20"/>
                <w:szCs w:val="20"/>
              </w:rPr>
            </w:pPr>
          </w:p>
        </w:tc>
        <w:tc>
          <w:tcPr>
            <w:tcW w:w="709" w:type="dxa"/>
          </w:tcPr>
          <w:p w14:paraId="2C30FA4B" w14:textId="17FF02D4" w:rsidR="00F94B5F" w:rsidRPr="001428E9" w:rsidRDefault="00F94B5F" w:rsidP="00F94B5F">
            <w:pPr>
              <w:keepLines/>
              <w:jc w:val="center"/>
              <w:rPr>
                <w:rFonts w:ascii="Arial Narrow" w:hAnsi="Arial Narrow"/>
                <w:color w:val="333333"/>
                <w:sz w:val="20"/>
                <w:szCs w:val="20"/>
              </w:rPr>
            </w:pPr>
          </w:p>
        </w:tc>
        <w:tc>
          <w:tcPr>
            <w:tcW w:w="7745" w:type="dxa"/>
            <w:gridSpan w:val="6"/>
          </w:tcPr>
          <w:p w14:paraId="67FAE801" w14:textId="77777777" w:rsidR="00F94B5F" w:rsidRPr="00E5138C" w:rsidRDefault="00F94B5F" w:rsidP="00F94B5F">
            <w:pPr>
              <w:pStyle w:val="NormalWeb"/>
              <w:spacing w:before="0" w:beforeAutospacing="0" w:after="0" w:afterAutospacing="0"/>
              <w:textAlignment w:val="baseline"/>
              <w:rPr>
                <w:rFonts w:ascii="Arial Narrow" w:hAnsi="Arial Narrow" w:cs="Open Sans"/>
                <w:color w:val="333333"/>
                <w:sz w:val="20"/>
                <w:szCs w:val="20"/>
              </w:rPr>
            </w:pPr>
            <w:r w:rsidRPr="00E5138C">
              <w:rPr>
                <w:rStyle w:val="Strong"/>
                <w:rFonts w:ascii="Arial Narrow" w:hAnsi="Arial Narrow" w:cs="Open Sans"/>
                <w:color w:val="333333"/>
                <w:sz w:val="20"/>
                <w:szCs w:val="20"/>
                <w:bdr w:val="none" w:sz="0" w:space="0" w:color="auto" w:frame="1"/>
              </w:rPr>
              <w:t>Administrative Advice:</w:t>
            </w:r>
          </w:p>
          <w:p w14:paraId="6DFEC81D" w14:textId="1FA360B5" w:rsidR="00F94B5F" w:rsidRPr="001428E9" w:rsidRDefault="00F94B5F" w:rsidP="00F94B5F">
            <w:pPr>
              <w:keepLines/>
              <w:rPr>
                <w:rFonts w:ascii="Arial Narrow" w:hAnsi="Arial Narrow"/>
                <w:b/>
                <w:bCs/>
                <w:color w:val="333333"/>
                <w:sz w:val="20"/>
                <w:szCs w:val="20"/>
              </w:rPr>
            </w:pPr>
            <w:r w:rsidRPr="00E5138C">
              <w:rPr>
                <w:rFonts w:ascii="Arial Narrow" w:hAnsi="Arial Narrow" w:cs="Open Sans"/>
                <w:color w:val="333333"/>
                <w:sz w:val="20"/>
                <w:szCs w:val="20"/>
              </w:rPr>
              <w:t>Special Pricing Arrangements apply.</w:t>
            </w:r>
          </w:p>
        </w:tc>
      </w:tr>
      <w:tr w:rsidR="00842DC5" w:rsidRPr="001428E9" w14:paraId="220C696A" w14:textId="77777777" w:rsidTr="008E3089">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323A4553" w14:textId="2D1C4A78" w:rsidR="00842DC5" w:rsidRPr="001428E9" w:rsidRDefault="00842DC5" w:rsidP="003A7CE7">
            <w:pPr>
              <w:keepLines/>
              <w:jc w:val="center"/>
              <w:rPr>
                <w:rFonts w:ascii="Arial Narrow" w:hAnsi="Arial Narrow"/>
                <w:color w:val="333333"/>
                <w:sz w:val="20"/>
                <w:szCs w:val="20"/>
              </w:rPr>
            </w:pPr>
          </w:p>
        </w:tc>
        <w:tc>
          <w:tcPr>
            <w:tcW w:w="7745" w:type="dxa"/>
            <w:gridSpan w:val="6"/>
            <w:vAlign w:val="center"/>
            <w:hideMark/>
          </w:tcPr>
          <w:p w14:paraId="00824E8F" w14:textId="2145740A" w:rsidR="00842DC5" w:rsidRPr="001428E9" w:rsidRDefault="00842DC5" w:rsidP="003A7CE7">
            <w:pPr>
              <w:keepLines/>
              <w:rPr>
                <w:rFonts w:ascii="Arial Narrow" w:hAnsi="Arial Narrow"/>
                <w:color w:val="333333"/>
                <w:sz w:val="20"/>
                <w:szCs w:val="20"/>
              </w:rPr>
            </w:pPr>
            <w:r w:rsidRPr="001428E9">
              <w:rPr>
                <w:rFonts w:ascii="Arial Narrow" w:hAnsi="Arial Narrow"/>
                <w:b/>
                <w:bCs/>
                <w:color w:val="333333"/>
                <w:sz w:val="20"/>
                <w:szCs w:val="20"/>
              </w:rPr>
              <w:t>Indication:</w:t>
            </w:r>
            <w:r w:rsidRPr="001428E9">
              <w:rPr>
                <w:rFonts w:ascii="Arial Narrow" w:hAnsi="Arial Narrow"/>
                <w:color w:val="333333"/>
                <w:sz w:val="20"/>
                <w:szCs w:val="20"/>
              </w:rPr>
              <w:t xml:space="preserve"> </w:t>
            </w:r>
            <w:r w:rsidR="00E56DE2">
              <w:rPr>
                <w:rFonts w:ascii="Arial Narrow" w:hAnsi="Arial Narrow"/>
                <w:color w:val="333333"/>
                <w:sz w:val="20"/>
                <w:szCs w:val="20"/>
              </w:rPr>
              <w:t>Severe chronic plaque psoriasis</w:t>
            </w:r>
          </w:p>
        </w:tc>
      </w:tr>
      <w:tr w:rsidR="00842DC5" w:rsidRPr="001428E9" w14:paraId="618A5EEC" w14:textId="77777777" w:rsidTr="008E3089">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5134DA74" w14:textId="77777777" w:rsidR="00842DC5" w:rsidRPr="001428E9" w:rsidRDefault="00842DC5" w:rsidP="003A7CE7">
            <w:pPr>
              <w:jc w:val="center"/>
              <w:rPr>
                <w:rFonts w:ascii="Arial Narrow" w:hAnsi="Arial Narrow"/>
                <w:color w:val="333333"/>
                <w:sz w:val="20"/>
                <w:szCs w:val="20"/>
              </w:rPr>
            </w:pPr>
          </w:p>
        </w:tc>
        <w:tc>
          <w:tcPr>
            <w:tcW w:w="7745" w:type="dxa"/>
            <w:gridSpan w:val="6"/>
            <w:vAlign w:val="center"/>
            <w:hideMark/>
          </w:tcPr>
          <w:p w14:paraId="73AD7C67" w14:textId="0BD00269" w:rsidR="00842DC5" w:rsidRPr="001428E9" w:rsidRDefault="00842DC5" w:rsidP="003A7CE7">
            <w:pPr>
              <w:rPr>
                <w:rFonts w:ascii="Arial Narrow" w:hAnsi="Arial Narrow"/>
                <w:sz w:val="20"/>
                <w:szCs w:val="20"/>
              </w:rPr>
            </w:pPr>
            <w:r w:rsidRPr="001428E9">
              <w:rPr>
                <w:rFonts w:ascii="Arial Narrow" w:hAnsi="Arial Narrow"/>
                <w:b/>
                <w:bCs/>
                <w:color w:val="333333"/>
                <w:sz w:val="20"/>
                <w:szCs w:val="20"/>
              </w:rPr>
              <w:t>Treatment Phase:</w:t>
            </w:r>
            <w:r w:rsidRPr="001428E9">
              <w:rPr>
                <w:rFonts w:ascii="Arial Narrow" w:hAnsi="Arial Narrow"/>
                <w:color w:val="FF0000"/>
                <w:sz w:val="20"/>
                <w:szCs w:val="20"/>
              </w:rPr>
              <w:t xml:space="preserve"> </w:t>
            </w:r>
            <w:r w:rsidR="00E56DE2" w:rsidRPr="00E56DE2">
              <w:rPr>
                <w:rFonts w:ascii="Arial Narrow" w:hAnsi="Arial Narrow"/>
                <w:i/>
                <w:iCs/>
                <w:color w:val="333333"/>
                <w:sz w:val="20"/>
                <w:szCs w:val="20"/>
              </w:rPr>
              <w:t>Grandfather treatment, Whole body (initial PBS-subsidised supply for continuing treatment in a patient commenced on non-PBS-subsidised therapy)</w:t>
            </w:r>
          </w:p>
        </w:tc>
      </w:tr>
      <w:tr w:rsidR="00842DC5" w:rsidRPr="001428E9" w14:paraId="3ADDFE2F" w14:textId="77777777" w:rsidTr="008E3089">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041C9398" w14:textId="3161B410" w:rsidR="00842DC5" w:rsidRPr="001428E9" w:rsidRDefault="00842DC5" w:rsidP="00F94B5F">
            <w:pPr>
              <w:jc w:val="center"/>
              <w:rPr>
                <w:rFonts w:ascii="Arial Narrow" w:hAnsi="Arial Narrow"/>
                <w:color w:val="333333"/>
                <w:sz w:val="20"/>
                <w:szCs w:val="20"/>
              </w:rPr>
            </w:pPr>
          </w:p>
        </w:tc>
        <w:tc>
          <w:tcPr>
            <w:tcW w:w="7745" w:type="dxa"/>
            <w:gridSpan w:val="6"/>
            <w:vAlign w:val="center"/>
            <w:hideMark/>
          </w:tcPr>
          <w:p w14:paraId="5756E00C" w14:textId="7685A49B" w:rsidR="00842DC5" w:rsidRPr="001428E9" w:rsidRDefault="00842DC5" w:rsidP="003A7CE7">
            <w:pPr>
              <w:rPr>
                <w:rFonts w:ascii="Arial Narrow" w:hAnsi="Arial Narrow"/>
                <w:sz w:val="20"/>
                <w:szCs w:val="20"/>
              </w:rPr>
            </w:pPr>
            <w:r w:rsidRPr="001428E9">
              <w:rPr>
                <w:rFonts w:ascii="Arial Narrow" w:hAnsi="Arial Narrow"/>
                <w:b/>
                <w:bCs/>
                <w:color w:val="333333"/>
                <w:sz w:val="20"/>
                <w:szCs w:val="20"/>
              </w:rPr>
              <w:t xml:space="preserve">Clinical criteria: </w:t>
            </w:r>
          </w:p>
        </w:tc>
      </w:tr>
      <w:tr w:rsidR="00F94B5F" w:rsidRPr="001428E9" w14:paraId="6744CC0A" w14:textId="77777777" w:rsidTr="003A7CE7">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56FD8205" w14:textId="14D51914" w:rsidR="00F94B5F" w:rsidRPr="001428E9" w:rsidRDefault="00F94B5F" w:rsidP="003A7CE7">
            <w:pPr>
              <w:jc w:val="center"/>
              <w:rPr>
                <w:rFonts w:ascii="Arial Narrow" w:hAnsi="Arial Narrow"/>
                <w:color w:val="333333"/>
                <w:sz w:val="20"/>
                <w:szCs w:val="20"/>
              </w:rPr>
            </w:pPr>
          </w:p>
        </w:tc>
        <w:tc>
          <w:tcPr>
            <w:tcW w:w="7745" w:type="dxa"/>
            <w:gridSpan w:val="6"/>
            <w:vAlign w:val="center"/>
          </w:tcPr>
          <w:p w14:paraId="5671CFFC" w14:textId="44706214" w:rsidR="00F94B5F" w:rsidRPr="001428E9" w:rsidRDefault="00F94B5F" w:rsidP="003A7CE7">
            <w:pPr>
              <w:rPr>
                <w:rFonts w:ascii="Arial Narrow" w:hAnsi="Arial Narrow"/>
                <w:b/>
                <w:bCs/>
                <w:color w:val="333333"/>
                <w:sz w:val="20"/>
                <w:szCs w:val="20"/>
              </w:rPr>
            </w:pPr>
            <w:r w:rsidRPr="00AB243F">
              <w:rPr>
                <w:rFonts w:ascii="Arial Narrow" w:hAnsi="Arial Narrow" w:cs="Open Sans"/>
                <w:sz w:val="20"/>
                <w:szCs w:val="20"/>
              </w:rPr>
              <w:t>Patient must have severe chronic plaque psoriasis where lesions had been present for at least 6 months from the time of initial diagnosis prior to initiating non-PBS-subsidised treatment</w:t>
            </w:r>
          </w:p>
        </w:tc>
      </w:tr>
      <w:tr w:rsidR="00842DC5" w:rsidRPr="001428E9" w14:paraId="7395D94B" w14:textId="77777777" w:rsidTr="008E3089">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441D9253" w14:textId="77777777" w:rsidR="00842DC5" w:rsidRPr="001428E9" w:rsidRDefault="00842DC5" w:rsidP="003A7CE7">
            <w:pPr>
              <w:jc w:val="center"/>
              <w:rPr>
                <w:rFonts w:ascii="Arial Narrow" w:hAnsi="Arial Narrow"/>
                <w:color w:val="333333"/>
                <w:sz w:val="20"/>
                <w:szCs w:val="20"/>
              </w:rPr>
            </w:pPr>
          </w:p>
        </w:tc>
        <w:tc>
          <w:tcPr>
            <w:tcW w:w="7745" w:type="dxa"/>
            <w:gridSpan w:val="6"/>
            <w:vAlign w:val="center"/>
            <w:hideMark/>
          </w:tcPr>
          <w:p w14:paraId="3D835D0F" w14:textId="77777777" w:rsidR="00842DC5" w:rsidRPr="001428E9" w:rsidRDefault="00842DC5" w:rsidP="003A7CE7">
            <w:pPr>
              <w:rPr>
                <w:rFonts w:ascii="Arial Narrow" w:hAnsi="Arial Narrow"/>
                <w:color w:val="333333"/>
                <w:sz w:val="20"/>
                <w:szCs w:val="20"/>
              </w:rPr>
            </w:pPr>
            <w:r w:rsidRPr="001428E9">
              <w:rPr>
                <w:rFonts w:ascii="Arial Narrow" w:hAnsi="Arial Narrow"/>
                <w:b/>
                <w:bCs/>
                <w:color w:val="333333"/>
                <w:sz w:val="20"/>
                <w:szCs w:val="20"/>
              </w:rPr>
              <w:t>AND</w:t>
            </w:r>
          </w:p>
        </w:tc>
      </w:tr>
      <w:tr w:rsidR="00842DC5" w:rsidRPr="001428E9" w14:paraId="20229E75" w14:textId="77777777" w:rsidTr="003A7CE7">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56BE1213" w14:textId="0C4594D2" w:rsidR="00842DC5" w:rsidRPr="001428E9" w:rsidRDefault="00842DC5" w:rsidP="003A7CE7">
            <w:pPr>
              <w:jc w:val="center"/>
              <w:rPr>
                <w:rFonts w:ascii="Arial Narrow" w:hAnsi="Arial Narrow"/>
                <w:color w:val="333333"/>
                <w:sz w:val="20"/>
                <w:szCs w:val="20"/>
              </w:rPr>
            </w:pPr>
          </w:p>
        </w:tc>
        <w:tc>
          <w:tcPr>
            <w:tcW w:w="7745" w:type="dxa"/>
            <w:gridSpan w:val="6"/>
            <w:vAlign w:val="center"/>
            <w:hideMark/>
          </w:tcPr>
          <w:p w14:paraId="54C8383F" w14:textId="7BD8D524" w:rsidR="00842DC5" w:rsidRPr="001428E9" w:rsidRDefault="00842DC5" w:rsidP="003A7CE7">
            <w:pPr>
              <w:rPr>
                <w:rFonts w:ascii="Arial Narrow" w:hAnsi="Arial Narrow"/>
                <w:color w:val="333333"/>
                <w:sz w:val="20"/>
                <w:szCs w:val="20"/>
              </w:rPr>
            </w:pPr>
            <w:r w:rsidRPr="001428E9">
              <w:rPr>
                <w:rFonts w:ascii="Arial Narrow" w:hAnsi="Arial Narrow"/>
                <w:b/>
                <w:bCs/>
                <w:color w:val="333333"/>
                <w:sz w:val="20"/>
                <w:szCs w:val="20"/>
              </w:rPr>
              <w:t>Clinical criteria:</w:t>
            </w:r>
            <w:r w:rsidR="00E56DE2">
              <w:rPr>
                <w:rFonts w:ascii="Arial Narrow" w:hAnsi="Arial Narrow"/>
                <w:b/>
                <w:bCs/>
                <w:color w:val="333333"/>
                <w:sz w:val="20"/>
                <w:szCs w:val="20"/>
              </w:rPr>
              <w:t xml:space="preserve"> </w:t>
            </w:r>
          </w:p>
        </w:tc>
      </w:tr>
      <w:tr w:rsidR="00F94B5F" w:rsidRPr="001428E9" w14:paraId="5875BE5B" w14:textId="77777777" w:rsidTr="003A7CE7">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73AEDEF2" w14:textId="77777777" w:rsidR="00F94B5F" w:rsidRPr="001428E9" w:rsidRDefault="00F94B5F" w:rsidP="003A7CE7">
            <w:pPr>
              <w:jc w:val="center"/>
              <w:rPr>
                <w:rFonts w:ascii="Arial Narrow" w:hAnsi="Arial Narrow"/>
                <w:color w:val="333333"/>
                <w:sz w:val="20"/>
                <w:szCs w:val="20"/>
              </w:rPr>
            </w:pPr>
          </w:p>
        </w:tc>
        <w:tc>
          <w:tcPr>
            <w:tcW w:w="7745" w:type="dxa"/>
            <w:gridSpan w:val="6"/>
            <w:vAlign w:val="center"/>
          </w:tcPr>
          <w:p w14:paraId="16ABD0CB" w14:textId="339078AC" w:rsidR="00F94B5F" w:rsidRPr="001428E9" w:rsidRDefault="00F94B5F" w:rsidP="003A7CE7">
            <w:pPr>
              <w:rPr>
                <w:rFonts w:ascii="Arial Narrow" w:hAnsi="Arial Narrow"/>
                <w:b/>
                <w:bCs/>
                <w:color w:val="333333"/>
                <w:sz w:val="20"/>
                <w:szCs w:val="20"/>
              </w:rPr>
            </w:pPr>
            <w:r w:rsidRPr="00AB243F">
              <w:rPr>
                <w:rFonts w:ascii="Arial Narrow" w:hAnsi="Arial Narrow" w:cs="Open Sans"/>
                <w:sz w:val="20"/>
                <w:szCs w:val="20"/>
              </w:rPr>
              <w:t>Patient must have received non-PBS-subsidised treatment with this drug for this PBS indication prior to [insert date of listing]</w:t>
            </w:r>
          </w:p>
        </w:tc>
      </w:tr>
      <w:tr w:rsidR="00842DC5" w:rsidRPr="001428E9" w14:paraId="4E6F43AE" w14:textId="77777777" w:rsidTr="003A7CE7">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76840A83" w14:textId="77777777" w:rsidR="00842DC5" w:rsidRPr="001428E9" w:rsidRDefault="00842DC5" w:rsidP="003A7CE7">
            <w:pPr>
              <w:jc w:val="center"/>
              <w:rPr>
                <w:rFonts w:ascii="Arial Narrow" w:hAnsi="Arial Narrow"/>
                <w:color w:val="333333"/>
                <w:sz w:val="20"/>
                <w:szCs w:val="20"/>
              </w:rPr>
            </w:pPr>
          </w:p>
        </w:tc>
        <w:tc>
          <w:tcPr>
            <w:tcW w:w="7745" w:type="dxa"/>
            <w:gridSpan w:val="6"/>
            <w:vAlign w:val="center"/>
            <w:hideMark/>
          </w:tcPr>
          <w:p w14:paraId="42944D88" w14:textId="77777777" w:rsidR="00842DC5" w:rsidRPr="001428E9" w:rsidRDefault="00842DC5" w:rsidP="003A7CE7">
            <w:pPr>
              <w:rPr>
                <w:rFonts w:ascii="Arial Narrow" w:hAnsi="Arial Narrow"/>
                <w:color w:val="333333"/>
                <w:sz w:val="20"/>
                <w:szCs w:val="20"/>
              </w:rPr>
            </w:pPr>
            <w:r w:rsidRPr="001428E9">
              <w:rPr>
                <w:rFonts w:ascii="Arial Narrow" w:hAnsi="Arial Narrow"/>
                <w:b/>
                <w:bCs/>
                <w:color w:val="333333"/>
                <w:sz w:val="20"/>
                <w:szCs w:val="20"/>
              </w:rPr>
              <w:t>AND</w:t>
            </w:r>
          </w:p>
        </w:tc>
      </w:tr>
      <w:tr w:rsidR="00842DC5" w:rsidRPr="001428E9" w14:paraId="6A800299" w14:textId="77777777" w:rsidTr="003A7CE7">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1D844BEB" w14:textId="63FB6462" w:rsidR="00842DC5" w:rsidRPr="001428E9" w:rsidRDefault="00842DC5" w:rsidP="003A7CE7">
            <w:pPr>
              <w:jc w:val="center"/>
              <w:rPr>
                <w:rFonts w:ascii="Arial Narrow" w:hAnsi="Arial Narrow"/>
                <w:color w:val="333333"/>
                <w:sz w:val="20"/>
                <w:szCs w:val="20"/>
              </w:rPr>
            </w:pPr>
          </w:p>
        </w:tc>
        <w:tc>
          <w:tcPr>
            <w:tcW w:w="7745" w:type="dxa"/>
            <w:gridSpan w:val="6"/>
            <w:vAlign w:val="center"/>
            <w:hideMark/>
          </w:tcPr>
          <w:p w14:paraId="77614AD0" w14:textId="77777777" w:rsidR="00842DC5" w:rsidRPr="001428E9" w:rsidRDefault="00842DC5" w:rsidP="003A7CE7">
            <w:pPr>
              <w:rPr>
                <w:rFonts w:ascii="Arial Narrow" w:hAnsi="Arial Narrow"/>
                <w:color w:val="333333"/>
                <w:sz w:val="20"/>
                <w:szCs w:val="20"/>
              </w:rPr>
            </w:pPr>
            <w:r w:rsidRPr="001428E9">
              <w:rPr>
                <w:rFonts w:ascii="Arial Narrow" w:hAnsi="Arial Narrow"/>
                <w:b/>
                <w:bCs/>
                <w:color w:val="333333"/>
                <w:sz w:val="20"/>
                <w:szCs w:val="20"/>
              </w:rPr>
              <w:t>Clinical criteria:</w:t>
            </w:r>
          </w:p>
        </w:tc>
      </w:tr>
      <w:tr w:rsidR="00842DC5" w:rsidRPr="001428E9" w14:paraId="3DE4AE24" w14:textId="77777777" w:rsidTr="003A7CE7">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68CF2DCB" w14:textId="646AE8F2" w:rsidR="00842DC5" w:rsidRPr="001428E9" w:rsidRDefault="00842DC5" w:rsidP="003A7CE7">
            <w:pPr>
              <w:jc w:val="center"/>
              <w:rPr>
                <w:rFonts w:ascii="Arial Narrow" w:hAnsi="Arial Narrow"/>
                <w:color w:val="333333"/>
                <w:sz w:val="20"/>
                <w:szCs w:val="20"/>
              </w:rPr>
            </w:pPr>
          </w:p>
        </w:tc>
        <w:tc>
          <w:tcPr>
            <w:tcW w:w="7745" w:type="dxa"/>
            <w:gridSpan w:val="6"/>
            <w:vAlign w:val="center"/>
            <w:hideMark/>
          </w:tcPr>
          <w:p w14:paraId="6F1CC5FF" w14:textId="09CDD5A8" w:rsidR="00842DC5" w:rsidRPr="006270A2" w:rsidRDefault="00E56DE2" w:rsidP="003A7CE7">
            <w:pPr>
              <w:rPr>
                <w:rFonts w:ascii="Arial Narrow" w:hAnsi="Arial Narrow"/>
                <w:i/>
                <w:iCs/>
                <w:color w:val="333333"/>
                <w:sz w:val="20"/>
                <w:szCs w:val="20"/>
              </w:rPr>
            </w:pPr>
            <w:r w:rsidRPr="006270A2">
              <w:rPr>
                <w:rFonts w:ascii="Arial Narrow" w:hAnsi="Arial Narrow"/>
                <w:i/>
                <w:iCs/>
                <w:color w:val="333333"/>
                <w:sz w:val="20"/>
                <w:szCs w:val="20"/>
              </w:rPr>
              <w:t>Patient must have had a documented history of a Psoriasis Area and Severity Index (PASI) score of greater than 15 prior to commencing non-PBS- subsidised treatment with this drug,</w:t>
            </w:r>
          </w:p>
        </w:tc>
      </w:tr>
      <w:tr w:rsidR="00E56DE2" w:rsidRPr="001428E9" w14:paraId="11A0412B" w14:textId="77777777" w:rsidTr="003A7CE7">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0B545BE7" w14:textId="77777777" w:rsidR="00E56DE2" w:rsidRPr="001428E9" w:rsidRDefault="00E56DE2" w:rsidP="00E56DE2">
            <w:pPr>
              <w:jc w:val="center"/>
              <w:rPr>
                <w:rFonts w:ascii="Arial Narrow" w:hAnsi="Arial Narrow"/>
                <w:color w:val="333333"/>
                <w:sz w:val="20"/>
                <w:szCs w:val="20"/>
              </w:rPr>
            </w:pPr>
          </w:p>
        </w:tc>
        <w:tc>
          <w:tcPr>
            <w:tcW w:w="7745" w:type="dxa"/>
            <w:gridSpan w:val="6"/>
            <w:vAlign w:val="center"/>
          </w:tcPr>
          <w:p w14:paraId="3E5658FA" w14:textId="3ADCF0F3" w:rsidR="00E56DE2" w:rsidRPr="001428E9" w:rsidRDefault="00E56DE2" w:rsidP="00E56DE2">
            <w:pPr>
              <w:rPr>
                <w:rFonts w:ascii="Arial Narrow" w:hAnsi="Arial Narrow"/>
                <w:color w:val="333333"/>
                <w:sz w:val="20"/>
                <w:szCs w:val="20"/>
              </w:rPr>
            </w:pPr>
            <w:r w:rsidRPr="001428E9">
              <w:rPr>
                <w:rFonts w:ascii="Arial Narrow" w:hAnsi="Arial Narrow"/>
                <w:b/>
                <w:bCs/>
                <w:color w:val="333333"/>
                <w:sz w:val="20"/>
                <w:szCs w:val="20"/>
              </w:rPr>
              <w:t>AND</w:t>
            </w:r>
          </w:p>
        </w:tc>
      </w:tr>
      <w:tr w:rsidR="00E56DE2" w:rsidRPr="001428E9" w14:paraId="680732E4" w14:textId="77777777" w:rsidTr="003A7CE7">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6C8E5A9F" w14:textId="7CFA5117" w:rsidR="00E56DE2" w:rsidRPr="001428E9" w:rsidRDefault="00E56DE2" w:rsidP="00E56DE2">
            <w:pPr>
              <w:jc w:val="center"/>
              <w:rPr>
                <w:rFonts w:ascii="Arial Narrow" w:hAnsi="Arial Narrow"/>
                <w:color w:val="333333"/>
                <w:sz w:val="20"/>
                <w:szCs w:val="20"/>
              </w:rPr>
            </w:pPr>
          </w:p>
        </w:tc>
        <w:tc>
          <w:tcPr>
            <w:tcW w:w="7745" w:type="dxa"/>
            <w:gridSpan w:val="6"/>
            <w:vAlign w:val="center"/>
          </w:tcPr>
          <w:p w14:paraId="2C377EC6" w14:textId="31F3A658" w:rsidR="00E56DE2" w:rsidRPr="001428E9" w:rsidRDefault="00E56DE2" w:rsidP="00E56DE2">
            <w:pPr>
              <w:rPr>
                <w:rFonts w:ascii="Arial Narrow" w:hAnsi="Arial Narrow"/>
                <w:color w:val="333333"/>
                <w:sz w:val="20"/>
                <w:szCs w:val="20"/>
              </w:rPr>
            </w:pPr>
            <w:r w:rsidRPr="001428E9">
              <w:rPr>
                <w:rFonts w:ascii="Arial Narrow" w:hAnsi="Arial Narrow"/>
                <w:b/>
                <w:bCs/>
                <w:color w:val="333333"/>
                <w:sz w:val="20"/>
                <w:szCs w:val="20"/>
              </w:rPr>
              <w:t>Clinical criteria:</w:t>
            </w:r>
          </w:p>
        </w:tc>
      </w:tr>
      <w:tr w:rsidR="00E56DE2" w:rsidRPr="001428E9" w14:paraId="164F6B57" w14:textId="77777777" w:rsidTr="003A7CE7">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79EA9B33" w14:textId="74776FA4" w:rsidR="00E56DE2" w:rsidRPr="001428E9" w:rsidRDefault="00E56DE2" w:rsidP="00E56DE2">
            <w:pPr>
              <w:jc w:val="center"/>
              <w:rPr>
                <w:rFonts w:ascii="Arial Narrow" w:hAnsi="Arial Narrow"/>
                <w:color w:val="333333"/>
                <w:sz w:val="20"/>
                <w:szCs w:val="20"/>
              </w:rPr>
            </w:pPr>
          </w:p>
        </w:tc>
        <w:tc>
          <w:tcPr>
            <w:tcW w:w="7745" w:type="dxa"/>
            <w:gridSpan w:val="6"/>
            <w:vAlign w:val="center"/>
          </w:tcPr>
          <w:p w14:paraId="3850FEE5" w14:textId="6F1F7249" w:rsidR="00E56DE2" w:rsidRPr="006270A2" w:rsidRDefault="00E56DE2" w:rsidP="00E56DE2">
            <w:pPr>
              <w:rPr>
                <w:rFonts w:ascii="Arial Narrow" w:hAnsi="Arial Narrow"/>
                <w:i/>
                <w:iCs/>
                <w:color w:val="333333"/>
                <w:sz w:val="20"/>
                <w:szCs w:val="20"/>
              </w:rPr>
            </w:pPr>
            <w:r w:rsidRPr="006270A2">
              <w:rPr>
                <w:rFonts w:ascii="Arial Narrow" w:hAnsi="Arial Narrow"/>
                <w:i/>
                <w:iCs/>
                <w:color w:val="333333"/>
                <w:sz w:val="20"/>
                <w:szCs w:val="20"/>
              </w:rPr>
              <w:t>Patient must have demonstrated an adequate response to their most recent course of non-PBS-subsidised treatment with this drug,</w:t>
            </w:r>
          </w:p>
        </w:tc>
      </w:tr>
      <w:tr w:rsidR="00E56DE2" w:rsidRPr="001428E9" w14:paraId="6A1C0AD3" w14:textId="77777777" w:rsidTr="003A7CE7">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0DBD7097" w14:textId="77777777" w:rsidR="00E56DE2" w:rsidRPr="001428E9" w:rsidRDefault="00E56DE2" w:rsidP="00E56DE2">
            <w:pPr>
              <w:jc w:val="center"/>
              <w:rPr>
                <w:rFonts w:ascii="Arial Narrow" w:hAnsi="Arial Narrow"/>
                <w:color w:val="333333"/>
                <w:sz w:val="20"/>
                <w:szCs w:val="20"/>
              </w:rPr>
            </w:pPr>
          </w:p>
        </w:tc>
        <w:tc>
          <w:tcPr>
            <w:tcW w:w="7745" w:type="dxa"/>
            <w:gridSpan w:val="6"/>
            <w:vAlign w:val="center"/>
          </w:tcPr>
          <w:p w14:paraId="3794FF89" w14:textId="7C03A71C" w:rsidR="00E56DE2" w:rsidRPr="001428E9" w:rsidRDefault="00E56DE2" w:rsidP="00E56DE2">
            <w:pPr>
              <w:rPr>
                <w:rFonts w:ascii="Arial Narrow" w:hAnsi="Arial Narrow"/>
                <w:color w:val="333333"/>
                <w:sz w:val="20"/>
                <w:szCs w:val="20"/>
              </w:rPr>
            </w:pPr>
            <w:r w:rsidRPr="001428E9">
              <w:rPr>
                <w:rFonts w:ascii="Arial Narrow" w:hAnsi="Arial Narrow"/>
                <w:b/>
                <w:bCs/>
                <w:color w:val="333333"/>
                <w:sz w:val="20"/>
                <w:szCs w:val="20"/>
              </w:rPr>
              <w:t>AND</w:t>
            </w:r>
          </w:p>
        </w:tc>
      </w:tr>
      <w:tr w:rsidR="00E56DE2" w:rsidRPr="001428E9" w14:paraId="63DE7ACF" w14:textId="77777777" w:rsidTr="003A7CE7">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7AA53379" w14:textId="2502DDB7" w:rsidR="00E56DE2" w:rsidRPr="001428E9" w:rsidRDefault="00E56DE2" w:rsidP="00E56DE2">
            <w:pPr>
              <w:jc w:val="center"/>
              <w:rPr>
                <w:rFonts w:ascii="Arial Narrow" w:hAnsi="Arial Narrow"/>
                <w:color w:val="333333"/>
                <w:sz w:val="20"/>
                <w:szCs w:val="20"/>
              </w:rPr>
            </w:pPr>
          </w:p>
        </w:tc>
        <w:tc>
          <w:tcPr>
            <w:tcW w:w="7745" w:type="dxa"/>
            <w:gridSpan w:val="6"/>
            <w:vAlign w:val="center"/>
          </w:tcPr>
          <w:p w14:paraId="2EB4A9AF" w14:textId="24E1A0CD" w:rsidR="00E56DE2" w:rsidRPr="001428E9" w:rsidRDefault="00E56DE2" w:rsidP="00E56DE2">
            <w:pPr>
              <w:rPr>
                <w:rFonts w:ascii="Arial Narrow" w:hAnsi="Arial Narrow"/>
                <w:color w:val="333333"/>
                <w:sz w:val="20"/>
                <w:szCs w:val="20"/>
              </w:rPr>
            </w:pPr>
            <w:r w:rsidRPr="001428E9">
              <w:rPr>
                <w:rFonts w:ascii="Arial Narrow" w:hAnsi="Arial Narrow"/>
                <w:b/>
                <w:bCs/>
                <w:color w:val="333333"/>
                <w:sz w:val="20"/>
                <w:szCs w:val="20"/>
              </w:rPr>
              <w:t>Clinical criteria:</w:t>
            </w:r>
          </w:p>
        </w:tc>
      </w:tr>
      <w:tr w:rsidR="00E56DE2" w:rsidRPr="001428E9" w14:paraId="0193A426" w14:textId="77777777" w:rsidTr="003A7CE7">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38806C29" w14:textId="7A008820" w:rsidR="00E56DE2" w:rsidRPr="001428E9" w:rsidRDefault="00E56DE2" w:rsidP="007F44C7">
            <w:pPr>
              <w:jc w:val="center"/>
              <w:rPr>
                <w:rFonts w:ascii="Arial Narrow" w:hAnsi="Arial Narrow"/>
                <w:color w:val="333333"/>
                <w:sz w:val="20"/>
                <w:szCs w:val="20"/>
              </w:rPr>
            </w:pPr>
          </w:p>
        </w:tc>
        <w:tc>
          <w:tcPr>
            <w:tcW w:w="7745" w:type="dxa"/>
            <w:gridSpan w:val="6"/>
            <w:vAlign w:val="center"/>
          </w:tcPr>
          <w:p w14:paraId="31C22F0C" w14:textId="504188FE" w:rsidR="00E56DE2" w:rsidRPr="00E56DE2" w:rsidRDefault="00E56DE2" w:rsidP="00E56DE2">
            <w:pPr>
              <w:rPr>
                <w:rFonts w:ascii="Arial Narrow" w:hAnsi="Arial Narrow"/>
                <w:color w:val="333333"/>
                <w:sz w:val="20"/>
                <w:szCs w:val="20"/>
              </w:rPr>
            </w:pPr>
            <w:r w:rsidRPr="00E56DE2">
              <w:rPr>
                <w:rFonts w:ascii="Arial Narrow" w:hAnsi="Arial Narrow"/>
                <w:color w:val="333333"/>
                <w:sz w:val="20"/>
                <w:szCs w:val="20"/>
              </w:rPr>
              <w:t>The treatment must be as systemic monotherapy (other than methotrexate),</w:t>
            </w:r>
          </w:p>
        </w:tc>
      </w:tr>
      <w:tr w:rsidR="00E56DE2" w:rsidRPr="001428E9" w14:paraId="5A1643C0" w14:textId="77777777" w:rsidTr="003A7CE7">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58AC4458" w14:textId="77777777" w:rsidR="00E56DE2" w:rsidRPr="001428E9" w:rsidRDefault="00E56DE2" w:rsidP="00E56DE2">
            <w:pPr>
              <w:jc w:val="center"/>
              <w:rPr>
                <w:rFonts w:ascii="Arial Narrow" w:hAnsi="Arial Narrow"/>
                <w:color w:val="333333"/>
                <w:sz w:val="20"/>
                <w:szCs w:val="20"/>
              </w:rPr>
            </w:pPr>
          </w:p>
        </w:tc>
        <w:tc>
          <w:tcPr>
            <w:tcW w:w="7745" w:type="dxa"/>
            <w:gridSpan w:val="6"/>
            <w:vAlign w:val="center"/>
          </w:tcPr>
          <w:p w14:paraId="63C6BB8F" w14:textId="16D429D4" w:rsidR="00E56DE2" w:rsidRPr="00E56DE2" w:rsidRDefault="00E56DE2" w:rsidP="00E56DE2">
            <w:pPr>
              <w:rPr>
                <w:rFonts w:ascii="Arial Narrow" w:hAnsi="Arial Narrow"/>
                <w:color w:val="333333"/>
                <w:sz w:val="20"/>
                <w:szCs w:val="20"/>
              </w:rPr>
            </w:pPr>
            <w:r w:rsidRPr="001428E9">
              <w:rPr>
                <w:rFonts w:ascii="Arial Narrow" w:hAnsi="Arial Narrow"/>
                <w:b/>
                <w:bCs/>
                <w:color w:val="333333"/>
                <w:sz w:val="20"/>
                <w:szCs w:val="20"/>
              </w:rPr>
              <w:t>AND</w:t>
            </w:r>
          </w:p>
        </w:tc>
      </w:tr>
      <w:tr w:rsidR="00E56DE2" w:rsidRPr="001428E9" w14:paraId="08903CD5" w14:textId="77777777" w:rsidTr="003A7CE7">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4E7A50A0" w14:textId="01731AE1" w:rsidR="00E56DE2" w:rsidRPr="001428E9" w:rsidRDefault="00E56DE2" w:rsidP="00E56DE2">
            <w:pPr>
              <w:jc w:val="center"/>
              <w:rPr>
                <w:rFonts w:ascii="Arial Narrow" w:hAnsi="Arial Narrow"/>
                <w:color w:val="333333"/>
                <w:sz w:val="20"/>
                <w:szCs w:val="20"/>
              </w:rPr>
            </w:pPr>
          </w:p>
        </w:tc>
        <w:tc>
          <w:tcPr>
            <w:tcW w:w="7745" w:type="dxa"/>
            <w:gridSpan w:val="6"/>
            <w:vAlign w:val="center"/>
          </w:tcPr>
          <w:p w14:paraId="4573DA73" w14:textId="3C773F59" w:rsidR="00E56DE2" w:rsidRPr="00E56DE2" w:rsidRDefault="00E56DE2" w:rsidP="00E56DE2">
            <w:pPr>
              <w:rPr>
                <w:rFonts w:ascii="Arial Narrow" w:hAnsi="Arial Narrow"/>
                <w:color w:val="333333"/>
                <w:sz w:val="20"/>
                <w:szCs w:val="20"/>
              </w:rPr>
            </w:pPr>
            <w:r w:rsidRPr="001428E9">
              <w:rPr>
                <w:rFonts w:ascii="Arial Narrow" w:hAnsi="Arial Narrow"/>
                <w:b/>
                <w:bCs/>
                <w:color w:val="333333"/>
                <w:sz w:val="20"/>
                <w:szCs w:val="20"/>
              </w:rPr>
              <w:t>Clinical criteria:</w:t>
            </w:r>
          </w:p>
        </w:tc>
      </w:tr>
      <w:tr w:rsidR="00E56DE2" w:rsidRPr="001428E9" w14:paraId="5164A7C0" w14:textId="77777777" w:rsidTr="003A7CE7">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4D3EF47D" w14:textId="37DAE8E7" w:rsidR="00E56DE2" w:rsidRPr="001428E9" w:rsidRDefault="00E56DE2" w:rsidP="00E56DE2">
            <w:pPr>
              <w:jc w:val="center"/>
              <w:rPr>
                <w:rFonts w:ascii="Arial Narrow" w:hAnsi="Arial Narrow"/>
                <w:color w:val="333333"/>
                <w:sz w:val="20"/>
                <w:szCs w:val="20"/>
              </w:rPr>
            </w:pPr>
          </w:p>
        </w:tc>
        <w:tc>
          <w:tcPr>
            <w:tcW w:w="7745" w:type="dxa"/>
            <w:gridSpan w:val="6"/>
            <w:vAlign w:val="center"/>
          </w:tcPr>
          <w:p w14:paraId="0336338F" w14:textId="5294964F" w:rsidR="00E56DE2" w:rsidRPr="00E56DE2" w:rsidRDefault="00E56DE2" w:rsidP="00E56DE2">
            <w:pPr>
              <w:rPr>
                <w:rFonts w:ascii="Arial Narrow" w:hAnsi="Arial Narrow"/>
                <w:color w:val="333333"/>
                <w:sz w:val="20"/>
                <w:szCs w:val="20"/>
              </w:rPr>
            </w:pPr>
            <w:r w:rsidRPr="00E56DE2">
              <w:rPr>
                <w:rFonts w:ascii="Arial Narrow" w:hAnsi="Arial Narrow"/>
                <w:color w:val="333333"/>
                <w:sz w:val="20"/>
                <w:szCs w:val="20"/>
              </w:rPr>
              <w:t xml:space="preserve">Patient must not receive more than </w:t>
            </w:r>
            <w:r w:rsidRPr="00057A1E">
              <w:rPr>
                <w:rFonts w:ascii="Arial Narrow" w:hAnsi="Arial Narrow"/>
                <w:color w:val="333333"/>
                <w:sz w:val="20"/>
                <w:szCs w:val="20"/>
              </w:rPr>
              <w:t xml:space="preserve">24 </w:t>
            </w:r>
            <w:r w:rsidRPr="00E56DE2">
              <w:rPr>
                <w:rFonts w:ascii="Arial Narrow" w:hAnsi="Arial Narrow"/>
                <w:color w:val="333333"/>
                <w:sz w:val="20"/>
                <w:szCs w:val="20"/>
              </w:rPr>
              <w:t>weeks of treatment under this restriction</w:t>
            </w:r>
            <w:r w:rsidRPr="00E56DE2">
              <w:rPr>
                <w:rFonts w:ascii="Arial Narrow" w:hAnsi="Arial Narrow"/>
                <w:b/>
                <w:bCs/>
                <w:color w:val="333333"/>
                <w:sz w:val="20"/>
                <w:szCs w:val="20"/>
              </w:rPr>
              <w:t>.</w:t>
            </w:r>
          </w:p>
        </w:tc>
      </w:tr>
      <w:tr w:rsidR="00842DC5" w:rsidRPr="001428E9" w14:paraId="26BAA541" w14:textId="77777777" w:rsidTr="003A7CE7">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08F96124" w14:textId="6425C47A" w:rsidR="00842DC5" w:rsidRPr="001428E9" w:rsidRDefault="00842DC5" w:rsidP="003A7CE7">
            <w:pPr>
              <w:keepNext/>
              <w:jc w:val="center"/>
              <w:rPr>
                <w:rFonts w:ascii="Arial Narrow" w:hAnsi="Arial Narrow"/>
                <w:color w:val="333333"/>
                <w:sz w:val="20"/>
                <w:szCs w:val="20"/>
              </w:rPr>
            </w:pPr>
          </w:p>
        </w:tc>
        <w:tc>
          <w:tcPr>
            <w:tcW w:w="7745" w:type="dxa"/>
            <w:gridSpan w:val="6"/>
            <w:vAlign w:val="center"/>
            <w:hideMark/>
          </w:tcPr>
          <w:p w14:paraId="62104F2F" w14:textId="77777777" w:rsidR="00842DC5" w:rsidRPr="001428E9" w:rsidRDefault="00842DC5" w:rsidP="003A7CE7">
            <w:pPr>
              <w:keepNext/>
              <w:rPr>
                <w:rFonts w:ascii="Arial Narrow" w:hAnsi="Arial Narrow"/>
                <w:color w:val="333333"/>
                <w:sz w:val="20"/>
                <w:szCs w:val="20"/>
              </w:rPr>
            </w:pPr>
            <w:r w:rsidRPr="001428E9">
              <w:rPr>
                <w:rFonts w:ascii="Arial Narrow" w:hAnsi="Arial Narrow"/>
                <w:b/>
                <w:bCs/>
                <w:color w:val="333333"/>
                <w:sz w:val="20"/>
                <w:szCs w:val="20"/>
              </w:rPr>
              <w:t>Treatment criteria:</w:t>
            </w:r>
          </w:p>
        </w:tc>
      </w:tr>
      <w:tr w:rsidR="00842DC5" w:rsidRPr="001428E9" w14:paraId="41D0F5FC" w14:textId="77777777" w:rsidTr="003A7CE7">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17093624" w14:textId="17EF6A78" w:rsidR="00842DC5" w:rsidRPr="001428E9" w:rsidRDefault="00842DC5" w:rsidP="003A7CE7">
            <w:pPr>
              <w:jc w:val="center"/>
              <w:rPr>
                <w:rFonts w:ascii="Arial Narrow" w:hAnsi="Arial Narrow"/>
                <w:color w:val="333333"/>
                <w:sz w:val="20"/>
                <w:szCs w:val="20"/>
              </w:rPr>
            </w:pPr>
          </w:p>
        </w:tc>
        <w:tc>
          <w:tcPr>
            <w:tcW w:w="7745" w:type="dxa"/>
            <w:gridSpan w:val="6"/>
            <w:vAlign w:val="center"/>
            <w:hideMark/>
          </w:tcPr>
          <w:p w14:paraId="4FDF3A6B" w14:textId="55B5A2AD" w:rsidR="00842DC5" w:rsidRPr="00E56DE2" w:rsidRDefault="00E56DE2" w:rsidP="003A7CE7">
            <w:pPr>
              <w:autoSpaceDE w:val="0"/>
              <w:autoSpaceDN w:val="0"/>
              <w:adjustRightInd w:val="0"/>
              <w:rPr>
                <w:rFonts w:ascii="Arial Narrow" w:hAnsi="Arial Narrow" w:cs="Arial Narrow"/>
                <w:i/>
                <w:iCs/>
                <w:sz w:val="20"/>
                <w:szCs w:val="20"/>
              </w:rPr>
            </w:pPr>
            <w:r w:rsidRPr="00E56DE2">
              <w:rPr>
                <w:rFonts w:ascii="Arial Narrow" w:eastAsia="Calibri" w:hAnsi="Arial Narrow" w:cs="Arial Narrow"/>
                <w:sz w:val="20"/>
                <w:szCs w:val="20"/>
              </w:rPr>
              <w:t>Must be treated by a dermatologist</w:t>
            </w:r>
            <w:r w:rsidRPr="00E56DE2">
              <w:rPr>
                <w:rFonts w:ascii="Arial Narrow" w:eastAsia="Calibri" w:hAnsi="Arial Narrow" w:cs="Arial Narrow"/>
                <w:i/>
                <w:iCs/>
                <w:sz w:val="20"/>
                <w:szCs w:val="20"/>
              </w:rPr>
              <w:t>.</w:t>
            </w:r>
          </w:p>
        </w:tc>
      </w:tr>
      <w:tr w:rsidR="00842DC5" w:rsidRPr="001428E9" w14:paraId="015B8C5C" w14:textId="77777777" w:rsidTr="003A7CE7">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34195497" w14:textId="56D43185" w:rsidR="00842DC5" w:rsidRPr="001428E9" w:rsidRDefault="00842DC5" w:rsidP="003A7CE7">
            <w:pPr>
              <w:jc w:val="center"/>
              <w:rPr>
                <w:rFonts w:ascii="Arial Narrow" w:hAnsi="Arial Narrow"/>
                <w:color w:val="333333"/>
                <w:sz w:val="20"/>
                <w:szCs w:val="20"/>
              </w:rPr>
            </w:pPr>
          </w:p>
        </w:tc>
        <w:tc>
          <w:tcPr>
            <w:tcW w:w="7745" w:type="dxa"/>
            <w:gridSpan w:val="6"/>
            <w:vAlign w:val="center"/>
            <w:hideMark/>
          </w:tcPr>
          <w:p w14:paraId="4ACEFA0C" w14:textId="77777777" w:rsidR="00842DC5" w:rsidRPr="001428E9" w:rsidRDefault="00842DC5" w:rsidP="003A7CE7">
            <w:pPr>
              <w:rPr>
                <w:rFonts w:ascii="Arial Narrow" w:hAnsi="Arial Narrow"/>
                <w:color w:val="333333"/>
                <w:sz w:val="20"/>
                <w:szCs w:val="20"/>
              </w:rPr>
            </w:pPr>
            <w:r w:rsidRPr="001428E9">
              <w:rPr>
                <w:rFonts w:ascii="Arial Narrow" w:hAnsi="Arial Narrow"/>
                <w:b/>
                <w:bCs/>
                <w:color w:val="333333"/>
                <w:sz w:val="20"/>
                <w:szCs w:val="20"/>
              </w:rPr>
              <w:t>Population criteria:</w:t>
            </w:r>
          </w:p>
        </w:tc>
      </w:tr>
      <w:tr w:rsidR="00842DC5" w:rsidRPr="001428E9" w14:paraId="23AACC14" w14:textId="77777777" w:rsidTr="008E3089">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7B6DD881" w14:textId="257C9070" w:rsidR="00842DC5" w:rsidRPr="001428E9" w:rsidRDefault="00842DC5" w:rsidP="003A7CE7">
            <w:pPr>
              <w:jc w:val="center"/>
              <w:rPr>
                <w:rFonts w:ascii="Arial Narrow" w:hAnsi="Arial Narrow"/>
                <w:color w:val="333333"/>
                <w:sz w:val="20"/>
                <w:szCs w:val="20"/>
              </w:rPr>
            </w:pPr>
          </w:p>
        </w:tc>
        <w:tc>
          <w:tcPr>
            <w:tcW w:w="7745" w:type="dxa"/>
            <w:gridSpan w:val="6"/>
            <w:vAlign w:val="center"/>
            <w:hideMark/>
          </w:tcPr>
          <w:p w14:paraId="69F97FDA" w14:textId="46BB79AC" w:rsidR="00842DC5" w:rsidRPr="00E56DE2" w:rsidRDefault="007F44C7" w:rsidP="003A7CE7">
            <w:pPr>
              <w:rPr>
                <w:rFonts w:ascii="Arial Narrow" w:hAnsi="Arial Narrow"/>
                <w:color w:val="333333"/>
                <w:sz w:val="20"/>
                <w:szCs w:val="20"/>
              </w:rPr>
            </w:pPr>
            <w:r w:rsidRPr="00AB243F">
              <w:rPr>
                <w:rFonts w:ascii="Arial Narrow" w:hAnsi="Arial Narrow" w:cs="Open Sans"/>
                <w:sz w:val="20"/>
                <w:szCs w:val="20"/>
                <w:shd w:val="clear" w:color="auto" w:fill="FFFFFF"/>
              </w:rPr>
              <w:t>Patient must be at least 18 years of age</w:t>
            </w:r>
          </w:p>
        </w:tc>
      </w:tr>
      <w:tr w:rsidR="007F44C7" w:rsidRPr="001428E9" w14:paraId="2B8228F3" w14:textId="77777777" w:rsidTr="003A7CE7">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23D00C4A" w14:textId="36BDD95A" w:rsidR="007F44C7" w:rsidRPr="001428E9" w:rsidDel="007F44C7" w:rsidRDefault="007F44C7" w:rsidP="003A7CE7">
            <w:pPr>
              <w:jc w:val="center"/>
              <w:rPr>
                <w:rFonts w:ascii="Arial Narrow" w:hAnsi="Arial Narrow"/>
                <w:color w:val="333333"/>
                <w:sz w:val="20"/>
                <w:szCs w:val="20"/>
              </w:rPr>
            </w:pPr>
          </w:p>
        </w:tc>
        <w:tc>
          <w:tcPr>
            <w:tcW w:w="7745" w:type="dxa"/>
            <w:gridSpan w:val="6"/>
            <w:vAlign w:val="center"/>
          </w:tcPr>
          <w:p w14:paraId="26B6E937" w14:textId="77777777" w:rsidR="007F44C7" w:rsidRPr="00DC6311" w:rsidRDefault="007F44C7" w:rsidP="007F44C7">
            <w:pPr>
              <w:pStyle w:val="NormalWeb"/>
              <w:spacing w:before="0" w:beforeAutospacing="0" w:after="0" w:afterAutospacing="0"/>
              <w:textAlignment w:val="baseline"/>
              <w:rPr>
                <w:rFonts w:ascii="Arial Narrow" w:hAnsi="Arial Narrow" w:cs="Open Sans"/>
                <w:color w:val="333333"/>
                <w:sz w:val="20"/>
                <w:szCs w:val="20"/>
              </w:rPr>
            </w:pPr>
            <w:r w:rsidRPr="00DC6311">
              <w:rPr>
                <w:rStyle w:val="Strong"/>
                <w:rFonts w:ascii="Arial Narrow" w:hAnsi="Arial Narrow" w:cs="Open Sans"/>
                <w:color w:val="333333"/>
                <w:sz w:val="20"/>
                <w:szCs w:val="20"/>
                <w:bdr w:val="none" w:sz="0" w:space="0" w:color="auto" w:frame="1"/>
              </w:rPr>
              <w:t>Prescribing Instructions:</w:t>
            </w:r>
          </w:p>
          <w:p w14:paraId="521D9FE5" w14:textId="77777777" w:rsidR="007F44C7" w:rsidRPr="00DC6311" w:rsidRDefault="007F44C7" w:rsidP="007F44C7">
            <w:pPr>
              <w:pStyle w:val="NormalWeb"/>
              <w:spacing w:before="0" w:beforeAutospacing="0" w:after="0" w:afterAutospacing="0"/>
              <w:textAlignment w:val="baseline"/>
              <w:rPr>
                <w:rFonts w:ascii="Arial Narrow" w:hAnsi="Arial Narrow" w:cs="Open Sans"/>
                <w:color w:val="333333"/>
                <w:sz w:val="20"/>
                <w:szCs w:val="20"/>
              </w:rPr>
            </w:pPr>
            <w:r w:rsidRPr="00DC6311">
              <w:rPr>
                <w:rFonts w:ascii="Arial Narrow" w:hAnsi="Arial Narrow" w:cs="Open Sans"/>
                <w:color w:val="333333"/>
                <w:sz w:val="20"/>
                <w:szCs w:val="20"/>
              </w:rPr>
              <w:t>An adequate response to treatment is defined as:</w:t>
            </w:r>
          </w:p>
          <w:p w14:paraId="7F744B85" w14:textId="50DA2BF4" w:rsidR="007F44C7" w:rsidRPr="00E56DE2" w:rsidDel="007F44C7" w:rsidRDefault="007F44C7" w:rsidP="007F44C7">
            <w:pPr>
              <w:rPr>
                <w:rFonts w:ascii="Arial Narrow" w:hAnsi="Arial Narrow"/>
                <w:color w:val="333333"/>
                <w:sz w:val="20"/>
                <w:szCs w:val="20"/>
              </w:rPr>
            </w:pPr>
            <w:r w:rsidRPr="00DC6311">
              <w:rPr>
                <w:rFonts w:ascii="Arial Narrow" w:hAnsi="Arial Narrow" w:cs="Open Sans"/>
                <w:color w:val="333333"/>
                <w:sz w:val="20"/>
                <w:szCs w:val="20"/>
              </w:rPr>
              <w:t>A Psoriasis Area and Severity Index (PASI) score which is reduced by 75% or more, or is sustained at this level, when compared with the baseline value</w:t>
            </w:r>
            <w:r>
              <w:rPr>
                <w:rFonts w:ascii="Arial Narrow" w:hAnsi="Arial Narrow" w:cs="Open Sans"/>
                <w:color w:val="333333"/>
                <w:sz w:val="20"/>
                <w:szCs w:val="20"/>
              </w:rPr>
              <w:t xml:space="preserve"> taken prior to receiving non-PBS-subsidised treatment</w:t>
            </w:r>
            <w:r w:rsidR="009C1E6C">
              <w:rPr>
                <w:rFonts w:ascii="Arial Narrow" w:hAnsi="Arial Narrow" w:cs="Open Sans"/>
                <w:color w:val="333333"/>
                <w:sz w:val="20"/>
                <w:szCs w:val="20"/>
              </w:rPr>
              <w:t>.</w:t>
            </w:r>
          </w:p>
        </w:tc>
      </w:tr>
      <w:tr w:rsidR="009C1E6C" w:rsidRPr="00C02D56" w14:paraId="6A833BC7" w14:textId="77777777" w:rsidTr="003A7CE7">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0D8A1CB7" w14:textId="2C48222B" w:rsidR="009C1E6C" w:rsidRPr="001428E9" w:rsidRDefault="009C1E6C" w:rsidP="003A7CE7">
            <w:pPr>
              <w:jc w:val="center"/>
              <w:rPr>
                <w:rFonts w:ascii="Arial Narrow" w:hAnsi="Arial Narrow"/>
                <w:color w:val="333333"/>
                <w:sz w:val="20"/>
                <w:szCs w:val="20"/>
              </w:rPr>
            </w:pPr>
          </w:p>
        </w:tc>
        <w:tc>
          <w:tcPr>
            <w:tcW w:w="7745" w:type="dxa"/>
            <w:gridSpan w:val="6"/>
            <w:vAlign w:val="center"/>
          </w:tcPr>
          <w:p w14:paraId="34562F92" w14:textId="77777777" w:rsidR="009C1E6C" w:rsidRPr="00680F08" w:rsidRDefault="009C1E6C" w:rsidP="009C1E6C">
            <w:pPr>
              <w:pStyle w:val="NormalWeb"/>
              <w:spacing w:before="0" w:beforeAutospacing="0" w:after="0" w:afterAutospacing="0"/>
              <w:textAlignment w:val="baseline"/>
              <w:rPr>
                <w:rFonts w:ascii="Arial Narrow" w:hAnsi="Arial Narrow" w:cs="Open Sans"/>
                <w:color w:val="333333"/>
                <w:sz w:val="20"/>
                <w:szCs w:val="20"/>
              </w:rPr>
            </w:pPr>
            <w:r w:rsidRPr="00680F08">
              <w:rPr>
                <w:rStyle w:val="Strong"/>
                <w:rFonts w:ascii="Arial Narrow" w:hAnsi="Arial Narrow" w:cs="Open Sans"/>
                <w:color w:val="333333"/>
                <w:sz w:val="20"/>
                <w:szCs w:val="20"/>
                <w:bdr w:val="none" w:sz="0" w:space="0" w:color="auto" w:frame="1"/>
              </w:rPr>
              <w:t>Prescribing Instructions:</w:t>
            </w:r>
          </w:p>
          <w:p w14:paraId="696BC915" w14:textId="77777777" w:rsidR="009C1E6C" w:rsidRPr="00262EB8" w:rsidRDefault="009C1E6C" w:rsidP="009C1E6C">
            <w:pPr>
              <w:shd w:val="clear" w:color="auto" w:fill="FFFFFF"/>
              <w:textAlignment w:val="baseline"/>
              <w:rPr>
                <w:rFonts w:ascii="Arial Narrow" w:hAnsi="Arial Narrow" w:cs="Open Sans"/>
                <w:color w:val="333333"/>
                <w:sz w:val="20"/>
                <w:szCs w:val="20"/>
              </w:rPr>
            </w:pPr>
            <w:r w:rsidRPr="00262EB8">
              <w:rPr>
                <w:rFonts w:ascii="Arial Narrow" w:hAnsi="Arial Narrow" w:cs="Open Sans"/>
                <w:color w:val="333333"/>
                <w:sz w:val="20"/>
                <w:szCs w:val="20"/>
              </w:rPr>
              <w:t>The authority application must be made in writing and must include:</w:t>
            </w:r>
          </w:p>
          <w:p w14:paraId="670E0AAF" w14:textId="77777777" w:rsidR="009C1E6C" w:rsidRPr="00262EB8" w:rsidRDefault="009C1E6C" w:rsidP="009C1E6C">
            <w:pPr>
              <w:shd w:val="clear" w:color="auto" w:fill="FFFFFF"/>
              <w:textAlignment w:val="baseline"/>
              <w:rPr>
                <w:rFonts w:ascii="Arial Narrow" w:hAnsi="Arial Narrow" w:cs="Open Sans"/>
                <w:color w:val="333333"/>
                <w:sz w:val="20"/>
                <w:szCs w:val="20"/>
              </w:rPr>
            </w:pPr>
            <w:r w:rsidRPr="00262EB8">
              <w:rPr>
                <w:rFonts w:ascii="Arial Narrow" w:hAnsi="Arial Narrow" w:cs="Open Sans"/>
                <w:color w:val="333333"/>
                <w:sz w:val="20"/>
                <w:szCs w:val="20"/>
              </w:rPr>
              <w:t>(1) a completed authority prescription form(s); and</w:t>
            </w:r>
          </w:p>
          <w:p w14:paraId="20BCD689" w14:textId="77777777" w:rsidR="009C1E6C" w:rsidRPr="00262EB8" w:rsidRDefault="009C1E6C" w:rsidP="009C1E6C">
            <w:pPr>
              <w:shd w:val="clear" w:color="auto" w:fill="FFFFFF"/>
              <w:textAlignment w:val="baseline"/>
              <w:rPr>
                <w:rFonts w:ascii="Arial Narrow" w:hAnsi="Arial Narrow" w:cs="Open Sans"/>
                <w:color w:val="333333"/>
                <w:sz w:val="20"/>
                <w:szCs w:val="20"/>
              </w:rPr>
            </w:pPr>
            <w:r w:rsidRPr="00262EB8">
              <w:rPr>
                <w:rFonts w:ascii="Arial Narrow" w:hAnsi="Arial Narrow" w:cs="Open Sans"/>
                <w:color w:val="333333"/>
                <w:sz w:val="20"/>
                <w:szCs w:val="20"/>
              </w:rPr>
              <w:t>(2) a completed authority application form relevant to the indication and treatment phase (the latest version is located on the website specified in the Administrative Advice) which includes the following:</w:t>
            </w:r>
          </w:p>
          <w:p w14:paraId="077EFC05" w14:textId="77777777" w:rsidR="009C1E6C" w:rsidRPr="00262EB8" w:rsidRDefault="009C1E6C" w:rsidP="009C1E6C">
            <w:pPr>
              <w:shd w:val="clear" w:color="auto" w:fill="FFFFFF"/>
              <w:textAlignment w:val="baseline"/>
              <w:rPr>
                <w:rFonts w:ascii="Arial Narrow" w:hAnsi="Arial Narrow" w:cs="Open Sans"/>
                <w:color w:val="333333"/>
                <w:sz w:val="20"/>
                <w:szCs w:val="20"/>
              </w:rPr>
            </w:pPr>
            <w:r w:rsidRPr="00262EB8">
              <w:rPr>
                <w:rFonts w:ascii="Arial Narrow" w:hAnsi="Arial Narrow" w:cs="Open Sans"/>
                <w:color w:val="333333"/>
                <w:sz w:val="20"/>
                <w:szCs w:val="20"/>
              </w:rPr>
              <w:t>(i) the completed current and previous Psoriasis Area and Severity Index (PASI) calculation sheets including the dates of assessment of the patient's condition</w:t>
            </w:r>
            <w:r>
              <w:rPr>
                <w:rFonts w:ascii="Arial Narrow" w:hAnsi="Arial Narrow" w:cs="Open Sans"/>
                <w:color w:val="333333"/>
                <w:sz w:val="20"/>
                <w:szCs w:val="20"/>
              </w:rPr>
              <w:t xml:space="preserve"> at baseline </w:t>
            </w:r>
            <w:r w:rsidRPr="005E12EE">
              <w:rPr>
                <w:rFonts w:ascii="Arial Narrow" w:hAnsi="Arial Narrow" w:cs="Open Sans"/>
                <w:color w:val="333333"/>
                <w:sz w:val="20"/>
                <w:szCs w:val="20"/>
              </w:rPr>
              <w:t>(prior to initiation of non-PBS-subsidised therapy with this drug) and the most recent PASI assessment</w:t>
            </w:r>
            <w:r w:rsidRPr="00262EB8">
              <w:rPr>
                <w:rFonts w:ascii="Arial Narrow" w:hAnsi="Arial Narrow" w:cs="Open Sans"/>
                <w:color w:val="333333"/>
                <w:sz w:val="20"/>
                <w:szCs w:val="20"/>
              </w:rPr>
              <w:t>; and</w:t>
            </w:r>
          </w:p>
          <w:p w14:paraId="067C52DA" w14:textId="7DC6C51C" w:rsidR="009C1E6C" w:rsidRPr="00AB243F" w:rsidDel="009C1E6C" w:rsidRDefault="009C1E6C" w:rsidP="00AB243F">
            <w:pPr>
              <w:shd w:val="clear" w:color="auto" w:fill="FFFFFF"/>
              <w:textAlignment w:val="baseline"/>
              <w:rPr>
                <w:rFonts w:ascii="Arial Narrow" w:hAnsi="Arial Narrow" w:cs="Open Sans"/>
                <w:color w:val="333333"/>
                <w:sz w:val="20"/>
                <w:szCs w:val="20"/>
              </w:rPr>
            </w:pPr>
            <w:r w:rsidRPr="00262EB8">
              <w:rPr>
                <w:rFonts w:ascii="Arial Narrow" w:hAnsi="Arial Narrow" w:cs="Open Sans"/>
                <w:color w:val="333333"/>
                <w:sz w:val="20"/>
                <w:szCs w:val="20"/>
              </w:rPr>
              <w:t>(ii) details of previous phototherapy and systemic drug therapy [dosage (where applicable), date of commencement and duration of therapy].</w:t>
            </w:r>
          </w:p>
        </w:tc>
      </w:tr>
      <w:tr w:rsidR="009C1E6C" w:rsidRPr="00C02D56" w14:paraId="770032F2" w14:textId="77777777" w:rsidTr="003A7CE7">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0944D149" w14:textId="6653A89B" w:rsidR="009C1E6C" w:rsidRDefault="009C1E6C" w:rsidP="003A7CE7">
            <w:pPr>
              <w:jc w:val="center"/>
              <w:rPr>
                <w:rFonts w:ascii="Arial Narrow" w:hAnsi="Arial Narrow"/>
                <w:color w:val="333333"/>
                <w:sz w:val="20"/>
                <w:szCs w:val="20"/>
              </w:rPr>
            </w:pPr>
          </w:p>
        </w:tc>
        <w:tc>
          <w:tcPr>
            <w:tcW w:w="7745" w:type="dxa"/>
            <w:gridSpan w:val="6"/>
            <w:vAlign w:val="center"/>
          </w:tcPr>
          <w:p w14:paraId="14E3DB54" w14:textId="77777777" w:rsidR="009C1E6C" w:rsidRPr="003D6B22" w:rsidRDefault="009C1E6C" w:rsidP="009C1E6C">
            <w:pPr>
              <w:pStyle w:val="NormalWeb"/>
              <w:spacing w:before="0" w:beforeAutospacing="0" w:after="0" w:afterAutospacing="0"/>
              <w:textAlignment w:val="baseline"/>
              <w:rPr>
                <w:rFonts w:ascii="Arial Narrow" w:hAnsi="Arial Narrow" w:cs="Open Sans"/>
                <w:color w:val="333333"/>
                <w:sz w:val="20"/>
                <w:szCs w:val="20"/>
              </w:rPr>
            </w:pPr>
            <w:r w:rsidRPr="003D6B22">
              <w:rPr>
                <w:rStyle w:val="Strong"/>
                <w:rFonts w:ascii="Arial Narrow" w:hAnsi="Arial Narrow" w:cs="Open Sans"/>
                <w:color w:val="333333"/>
                <w:sz w:val="20"/>
                <w:szCs w:val="20"/>
                <w:bdr w:val="none" w:sz="0" w:space="0" w:color="auto" w:frame="1"/>
              </w:rPr>
              <w:t>Prescribing Instructions:</w:t>
            </w:r>
          </w:p>
          <w:p w14:paraId="301D8190" w14:textId="0461D46D" w:rsidR="009C1E6C" w:rsidRPr="00680F08" w:rsidRDefault="009C1E6C" w:rsidP="009C1E6C">
            <w:pPr>
              <w:pStyle w:val="NormalWeb"/>
              <w:spacing w:before="0" w:beforeAutospacing="0" w:after="0" w:afterAutospacing="0"/>
              <w:textAlignment w:val="baseline"/>
              <w:rPr>
                <w:rStyle w:val="Strong"/>
                <w:rFonts w:ascii="Arial Narrow" w:hAnsi="Arial Narrow" w:cs="Open Sans"/>
                <w:color w:val="333333"/>
                <w:sz w:val="20"/>
                <w:szCs w:val="20"/>
                <w:bdr w:val="none" w:sz="0" w:space="0" w:color="auto" w:frame="1"/>
              </w:rPr>
            </w:pPr>
            <w:r w:rsidRPr="003D6B22">
              <w:rPr>
                <w:rFonts w:ascii="Arial Narrow" w:hAnsi="Arial Narrow" w:cs="Open Sans"/>
                <w:color w:val="333333"/>
                <w:sz w:val="20"/>
                <w:szCs w:val="20"/>
              </w:rPr>
              <w:t>The most recent PASI assessment must be no more than 4 weeks old at the time of application.</w:t>
            </w:r>
          </w:p>
        </w:tc>
      </w:tr>
      <w:tr w:rsidR="009C1E6C" w:rsidRPr="00C02D56" w14:paraId="72525784" w14:textId="77777777" w:rsidTr="00AB243F">
        <w:tblPrEx>
          <w:tblCellMar>
            <w:top w:w="15" w:type="dxa"/>
            <w:bottom w:w="15" w:type="dxa"/>
          </w:tblCellMar>
        </w:tblPrEx>
        <w:trPr>
          <w:cantSplit/>
          <w:trHeight w:val="20"/>
        </w:trPr>
        <w:tc>
          <w:tcPr>
            <w:tcW w:w="1271" w:type="dxa"/>
            <w:gridSpan w:val="2"/>
          </w:tcPr>
          <w:p w14:paraId="78F91A50" w14:textId="32782C1C" w:rsidR="009C1E6C" w:rsidRDefault="009C1E6C" w:rsidP="009C1E6C">
            <w:pPr>
              <w:jc w:val="center"/>
              <w:rPr>
                <w:rFonts w:ascii="Arial Narrow" w:hAnsi="Arial Narrow"/>
                <w:color w:val="333333"/>
                <w:sz w:val="20"/>
                <w:szCs w:val="20"/>
              </w:rPr>
            </w:pPr>
          </w:p>
        </w:tc>
        <w:tc>
          <w:tcPr>
            <w:tcW w:w="7745" w:type="dxa"/>
            <w:gridSpan w:val="6"/>
          </w:tcPr>
          <w:p w14:paraId="2479ABAD" w14:textId="77777777" w:rsidR="009C1E6C" w:rsidRPr="00680F08" w:rsidRDefault="009C1E6C" w:rsidP="009C1E6C">
            <w:pPr>
              <w:pStyle w:val="NormalWeb"/>
              <w:spacing w:before="0" w:beforeAutospacing="0" w:after="0" w:afterAutospacing="0"/>
              <w:textAlignment w:val="baseline"/>
              <w:rPr>
                <w:rFonts w:ascii="Arial Narrow" w:hAnsi="Arial Narrow" w:cs="Open Sans"/>
                <w:color w:val="333333"/>
                <w:sz w:val="20"/>
                <w:szCs w:val="20"/>
              </w:rPr>
            </w:pPr>
            <w:r w:rsidRPr="00680F08">
              <w:rPr>
                <w:rStyle w:val="Strong"/>
                <w:rFonts w:ascii="Arial Narrow" w:hAnsi="Arial Narrow" w:cs="Open Sans"/>
                <w:color w:val="333333"/>
                <w:sz w:val="20"/>
                <w:szCs w:val="20"/>
                <w:bdr w:val="none" w:sz="0" w:space="0" w:color="auto" w:frame="1"/>
              </w:rPr>
              <w:t>Prescribing Instructions:</w:t>
            </w:r>
          </w:p>
          <w:p w14:paraId="07736E12" w14:textId="49CE5A95" w:rsidR="009C1E6C" w:rsidRPr="003D6B22" w:rsidRDefault="009C1E6C" w:rsidP="009C1E6C">
            <w:pPr>
              <w:pStyle w:val="NormalWeb"/>
              <w:spacing w:before="0" w:beforeAutospacing="0" w:after="0" w:afterAutospacing="0"/>
              <w:textAlignment w:val="baseline"/>
              <w:rPr>
                <w:rStyle w:val="Strong"/>
                <w:rFonts w:ascii="Arial Narrow" w:hAnsi="Arial Narrow" w:cs="Open Sans"/>
                <w:color w:val="333333"/>
                <w:sz w:val="20"/>
                <w:szCs w:val="20"/>
                <w:bdr w:val="none" w:sz="0" w:space="0" w:color="auto" w:frame="1"/>
              </w:rPr>
            </w:pPr>
            <w:r w:rsidRPr="00680F08">
              <w:rPr>
                <w:rFonts w:ascii="Arial Narrow" w:hAnsi="Arial Narrow" w:cs="Open Sans"/>
                <w:color w:val="333333"/>
                <w:sz w:val="20"/>
                <w:szCs w:val="20"/>
              </w:rPr>
              <w:t>If a patient fails to demonstrate a response to treatment with this drug under this restriction they will not be eligible to receive further PBS-subsidised treatment with this drug for this condition.</w:t>
            </w:r>
          </w:p>
        </w:tc>
      </w:tr>
      <w:tr w:rsidR="009C1E6C" w:rsidRPr="00C02D56" w14:paraId="25771CA9" w14:textId="77777777" w:rsidTr="00F72134">
        <w:tblPrEx>
          <w:tblCellMar>
            <w:top w:w="15" w:type="dxa"/>
            <w:bottom w:w="15" w:type="dxa"/>
          </w:tblCellMar>
          <w:tblLook w:val="04A0" w:firstRow="1" w:lastRow="0" w:firstColumn="1" w:lastColumn="0" w:noHBand="0" w:noVBand="1"/>
        </w:tblPrEx>
        <w:trPr>
          <w:cantSplit/>
          <w:trHeight w:val="20"/>
        </w:trPr>
        <w:tc>
          <w:tcPr>
            <w:tcW w:w="1271" w:type="dxa"/>
            <w:gridSpan w:val="2"/>
          </w:tcPr>
          <w:p w14:paraId="4C315854" w14:textId="4740F3EE" w:rsidR="009C1E6C" w:rsidRPr="00680F08" w:rsidRDefault="009C1E6C" w:rsidP="009C1E6C">
            <w:pPr>
              <w:jc w:val="center"/>
              <w:rPr>
                <w:rFonts w:ascii="Arial Narrow" w:hAnsi="Arial Narrow" w:cs="Open Sans"/>
                <w:color w:val="333333"/>
                <w:sz w:val="20"/>
                <w:szCs w:val="20"/>
              </w:rPr>
            </w:pPr>
          </w:p>
        </w:tc>
        <w:tc>
          <w:tcPr>
            <w:tcW w:w="7745" w:type="dxa"/>
            <w:gridSpan w:val="6"/>
          </w:tcPr>
          <w:p w14:paraId="47FE0AE5" w14:textId="77777777" w:rsidR="009C1E6C" w:rsidRPr="00E2654D" w:rsidRDefault="009C1E6C" w:rsidP="009C1E6C">
            <w:pPr>
              <w:pStyle w:val="NormalWeb"/>
              <w:spacing w:before="0" w:beforeAutospacing="0" w:after="0" w:afterAutospacing="0"/>
              <w:textAlignment w:val="baseline"/>
              <w:rPr>
                <w:rFonts w:ascii="Arial Narrow" w:hAnsi="Arial Narrow" w:cs="Open Sans"/>
                <w:color w:val="333333"/>
                <w:sz w:val="20"/>
                <w:szCs w:val="20"/>
              </w:rPr>
            </w:pPr>
            <w:r w:rsidRPr="00E2654D">
              <w:rPr>
                <w:rStyle w:val="Strong"/>
                <w:rFonts w:ascii="Arial Narrow" w:hAnsi="Arial Narrow" w:cs="Open Sans"/>
                <w:color w:val="333333"/>
                <w:sz w:val="20"/>
                <w:szCs w:val="20"/>
                <w:bdr w:val="none" w:sz="0" w:space="0" w:color="auto" w:frame="1"/>
              </w:rPr>
              <w:t>Administrative Advice:</w:t>
            </w:r>
          </w:p>
          <w:p w14:paraId="1C167AF0" w14:textId="77F4DDF6" w:rsidR="009C1E6C" w:rsidRPr="00680F08" w:rsidRDefault="009C1E6C" w:rsidP="009C1E6C">
            <w:pPr>
              <w:pStyle w:val="NormalWeb"/>
              <w:spacing w:before="0" w:beforeAutospacing="0" w:after="0" w:afterAutospacing="0"/>
              <w:textAlignment w:val="baseline"/>
              <w:rPr>
                <w:rStyle w:val="Strong"/>
                <w:rFonts w:ascii="Arial Narrow" w:hAnsi="Arial Narrow" w:cs="Open Sans"/>
                <w:color w:val="333333"/>
                <w:sz w:val="20"/>
                <w:szCs w:val="20"/>
                <w:bdr w:val="none" w:sz="0" w:space="0" w:color="auto" w:frame="1"/>
              </w:rPr>
            </w:pPr>
            <w:r w:rsidRPr="00E2654D">
              <w:rPr>
                <w:rFonts w:ascii="Arial Narrow" w:hAnsi="Arial Narrow" w:cs="Open Sans"/>
                <w:color w:val="333333"/>
                <w:sz w:val="20"/>
                <w:szCs w:val="20"/>
              </w:rPr>
              <w:t>A Grandfathered patient may qualify for PBS-subsidised treatment under this restriction once only. For continuing PBS-subsidised treatment, a Grandfathered patient must qualify under the continuing treatment criteria.</w:t>
            </w:r>
          </w:p>
        </w:tc>
      </w:tr>
      <w:tr w:rsidR="009C1E6C" w:rsidRPr="00C02D56" w14:paraId="7FC19264" w14:textId="77777777" w:rsidTr="00F72134">
        <w:tblPrEx>
          <w:tblCellMar>
            <w:top w:w="15" w:type="dxa"/>
            <w:bottom w:w="15" w:type="dxa"/>
          </w:tblCellMar>
          <w:tblLook w:val="04A0" w:firstRow="1" w:lastRow="0" w:firstColumn="1" w:lastColumn="0" w:noHBand="0" w:noVBand="1"/>
        </w:tblPrEx>
        <w:trPr>
          <w:cantSplit/>
          <w:trHeight w:val="20"/>
        </w:trPr>
        <w:tc>
          <w:tcPr>
            <w:tcW w:w="1271" w:type="dxa"/>
            <w:gridSpan w:val="2"/>
          </w:tcPr>
          <w:p w14:paraId="45CA72C2" w14:textId="21DACF6C" w:rsidR="009C1E6C" w:rsidRPr="00E2654D" w:rsidRDefault="009C1E6C" w:rsidP="009C1E6C">
            <w:pPr>
              <w:jc w:val="center"/>
              <w:rPr>
                <w:rFonts w:ascii="Arial Narrow" w:hAnsi="Arial Narrow" w:cs="Open Sans"/>
                <w:color w:val="333333"/>
                <w:sz w:val="20"/>
                <w:szCs w:val="20"/>
              </w:rPr>
            </w:pPr>
          </w:p>
        </w:tc>
        <w:tc>
          <w:tcPr>
            <w:tcW w:w="7745" w:type="dxa"/>
            <w:gridSpan w:val="6"/>
          </w:tcPr>
          <w:p w14:paraId="4A6636F8" w14:textId="77777777" w:rsidR="009C1E6C" w:rsidRPr="00E2654D" w:rsidRDefault="009C1E6C" w:rsidP="009C1E6C">
            <w:pPr>
              <w:pStyle w:val="NormalWeb"/>
              <w:spacing w:before="0" w:beforeAutospacing="0" w:after="0" w:afterAutospacing="0"/>
              <w:textAlignment w:val="baseline"/>
              <w:rPr>
                <w:rFonts w:ascii="Arial Narrow" w:hAnsi="Arial Narrow" w:cs="Open Sans"/>
                <w:color w:val="333333"/>
                <w:sz w:val="20"/>
                <w:szCs w:val="20"/>
              </w:rPr>
            </w:pPr>
            <w:r w:rsidRPr="00E2654D">
              <w:rPr>
                <w:rStyle w:val="Strong"/>
                <w:rFonts w:ascii="Arial Narrow" w:hAnsi="Arial Narrow" w:cs="Open Sans"/>
                <w:color w:val="333333"/>
                <w:sz w:val="20"/>
                <w:szCs w:val="20"/>
                <w:bdr w:val="none" w:sz="0" w:space="0" w:color="auto" w:frame="1"/>
              </w:rPr>
              <w:t>Administrative Advice:</w:t>
            </w:r>
          </w:p>
          <w:p w14:paraId="02A14430" w14:textId="4E57B4F7" w:rsidR="009C1E6C" w:rsidRPr="00E2654D" w:rsidRDefault="009C1E6C" w:rsidP="009C1E6C">
            <w:pPr>
              <w:pStyle w:val="NormalWeb"/>
              <w:spacing w:before="0" w:beforeAutospacing="0" w:after="0" w:afterAutospacing="0"/>
              <w:textAlignment w:val="baseline"/>
              <w:rPr>
                <w:rStyle w:val="Strong"/>
                <w:rFonts w:ascii="Arial Narrow" w:hAnsi="Arial Narrow" w:cs="Open Sans"/>
                <w:color w:val="333333"/>
                <w:sz w:val="20"/>
                <w:szCs w:val="20"/>
                <w:bdr w:val="none" w:sz="0" w:space="0" w:color="auto" w:frame="1"/>
              </w:rPr>
            </w:pPr>
            <w:r w:rsidRPr="00E2654D">
              <w:rPr>
                <w:rFonts w:ascii="Arial Narrow" w:hAnsi="Arial Narrow" w:cs="Open Sans"/>
                <w:color w:val="333333"/>
                <w:sz w:val="20"/>
                <w:szCs w:val="20"/>
              </w:rPr>
              <w:t>This grandfather restriction will cease to operate from 1</w:t>
            </w:r>
            <w:r>
              <w:rPr>
                <w:rFonts w:ascii="Arial Narrow" w:hAnsi="Arial Narrow" w:cs="Open Sans"/>
                <w:color w:val="333333"/>
                <w:sz w:val="20"/>
                <w:szCs w:val="20"/>
              </w:rPr>
              <w:t>2</w:t>
            </w:r>
            <w:r w:rsidRPr="00E2654D">
              <w:rPr>
                <w:rFonts w:ascii="Arial Narrow" w:hAnsi="Arial Narrow" w:cs="Open Sans"/>
                <w:color w:val="333333"/>
                <w:sz w:val="20"/>
                <w:szCs w:val="20"/>
              </w:rPr>
              <w:t xml:space="preserve"> months after the date specified in the clinical criteria.</w:t>
            </w:r>
          </w:p>
        </w:tc>
      </w:tr>
      <w:tr w:rsidR="009C1E6C" w:rsidRPr="001428E9" w14:paraId="4FBD2D67" w14:textId="77777777" w:rsidTr="0061412E">
        <w:tblPrEx>
          <w:tblCellMar>
            <w:top w:w="15" w:type="dxa"/>
            <w:bottom w:w="15" w:type="dxa"/>
          </w:tblCellMar>
        </w:tblPrEx>
        <w:trPr>
          <w:trHeight w:val="20"/>
        </w:trPr>
        <w:tc>
          <w:tcPr>
            <w:tcW w:w="1271" w:type="dxa"/>
            <w:gridSpan w:val="2"/>
          </w:tcPr>
          <w:p w14:paraId="0317D988" w14:textId="62543388" w:rsidR="009C1E6C" w:rsidRPr="001428E9" w:rsidDel="009C1E6C" w:rsidRDefault="009C1E6C" w:rsidP="009C1E6C">
            <w:pPr>
              <w:jc w:val="center"/>
              <w:rPr>
                <w:rFonts w:ascii="Arial Narrow" w:hAnsi="Arial Narrow"/>
                <w:color w:val="333333"/>
                <w:sz w:val="20"/>
                <w:szCs w:val="20"/>
              </w:rPr>
            </w:pPr>
          </w:p>
        </w:tc>
        <w:tc>
          <w:tcPr>
            <w:tcW w:w="7745" w:type="dxa"/>
            <w:gridSpan w:val="6"/>
          </w:tcPr>
          <w:p w14:paraId="215F54EF" w14:textId="77777777" w:rsidR="009C1E6C" w:rsidRPr="00680F08" w:rsidRDefault="009C1E6C" w:rsidP="009C1E6C">
            <w:pPr>
              <w:pStyle w:val="NormalWeb"/>
              <w:spacing w:before="0" w:beforeAutospacing="0" w:after="0" w:afterAutospacing="0"/>
              <w:textAlignment w:val="baseline"/>
              <w:rPr>
                <w:rFonts w:ascii="Arial Narrow" w:hAnsi="Arial Narrow" w:cs="Open Sans"/>
                <w:color w:val="333333"/>
                <w:sz w:val="20"/>
                <w:szCs w:val="20"/>
              </w:rPr>
            </w:pPr>
            <w:r w:rsidRPr="00680F08">
              <w:rPr>
                <w:rStyle w:val="Strong"/>
                <w:rFonts w:ascii="Arial Narrow" w:hAnsi="Arial Narrow" w:cs="Open Sans"/>
                <w:color w:val="333333"/>
                <w:sz w:val="20"/>
                <w:szCs w:val="20"/>
                <w:bdr w:val="none" w:sz="0" w:space="0" w:color="auto" w:frame="1"/>
              </w:rPr>
              <w:t>Administrative Advice:</w:t>
            </w:r>
          </w:p>
          <w:p w14:paraId="614A1A22" w14:textId="77777777" w:rsidR="009C1E6C" w:rsidRPr="00680F08" w:rsidRDefault="009C1E6C" w:rsidP="009C1E6C">
            <w:pPr>
              <w:pStyle w:val="NormalWeb"/>
              <w:shd w:val="clear" w:color="auto" w:fill="FFFFFF"/>
              <w:spacing w:before="0" w:beforeAutospacing="0" w:after="0" w:afterAutospacing="0"/>
              <w:textAlignment w:val="baseline"/>
              <w:rPr>
                <w:rFonts w:ascii="Arial Narrow" w:hAnsi="Arial Narrow" w:cs="Open Sans"/>
                <w:color w:val="333333"/>
                <w:sz w:val="20"/>
                <w:szCs w:val="20"/>
              </w:rPr>
            </w:pPr>
            <w:r w:rsidRPr="00680F08">
              <w:rPr>
                <w:rFonts w:ascii="Arial Narrow" w:hAnsi="Arial Narrow" w:cs="Open Sans"/>
                <w:color w:val="333333"/>
                <w:sz w:val="20"/>
                <w:szCs w:val="20"/>
              </w:rPr>
              <w:t>Any queries concerning the arrangements to prescribe may be directed to Services Australia on 1800 700 270 (hours of operation 8 a.m. to 5 p.m. Monday to Friday).</w:t>
            </w:r>
          </w:p>
          <w:p w14:paraId="72D964DD" w14:textId="77777777" w:rsidR="009C1E6C" w:rsidRPr="00680F08" w:rsidRDefault="009C1E6C" w:rsidP="009C1E6C">
            <w:pPr>
              <w:pStyle w:val="NormalWeb"/>
              <w:shd w:val="clear" w:color="auto" w:fill="FFFFFF"/>
              <w:spacing w:before="0" w:beforeAutospacing="0" w:after="0" w:afterAutospacing="0"/>
              <w:textAlignment w:val="baseline"/>
              <w:rPr>
                <w:rFonts w:ascii="Arial Narrow" w:hAnsi="Arial Narrow" w:cs="Open Sans"/>
                <w:color w:val="333333"/>
                <w:sz w:val="20"/>
                <w:szCs w:val="20"/>
              </w:rPr>
            </w:pPr>
            <w:r w:rsidRPr="00680F08">
              <w:rPr>
                <w:rFonts w:ascii="Arial Narrow" w:hAnsi="Arial Narrow" w:cs="Open Sans"/>
                <w:color w:val="333333"/>
                <w:sz w:val="20"/>
                <w:szCs w:val="20"/>
              </w:rPr>
              <w:t>Prescribing information (including Authority Application forms and other relevant documentation as applicable) is available on the Services Australia website at www.servicesaustralia.gov.au</w:t>
            </w:r>
          </w:p>
          <w:p w14:paraId="18FF5C50" w14:textId="77777777" w:rsidR="009C1E6C" w:rsidRPr="00680F08" w:rsidRDefault="009C1E6C" w:rsidP="009C1E6C">
            <w:pPr>
              <w:pStyle w:val="NormalWeb"/>
              <w:shd w:val="clear" w:color="auto" w:fill="FFFFFF"/>
              <w:spacing w:before="0" w:beforeAutospacing="0" w:after="0" w:afterAutospacing="0"/>
              <w:textAlignment w:val="baseline"/>
              <w:rPr>
                <w:rFonts w:ascii="Arial Narrow" w:hAnsi="Arial Narrow" w:cs="Open Sans"/>
                <w:color w:val="333333"/>
                <w:sz w:val="20"/>
                <w:szCs w:val="20"/>
              </w:rPr>
            </w:pPr>
            <w:r w:rsidRPr="00680F08">
              <w:rPr>
                <w:rFonts w:ascii="Arial Narrow" w:hAnsi="Arial Narrow" w:cs="Open Sans"/>
                <w:color w:val="333333"/>
                <w:sz w:val="20"/>
                <w:szCs w:val="20"/>
              </w:rPr>
              <w:t>Applications for authority to prescribe should be submitted online using the form upload facility in Health Professional Online Services (HPOS) at www.servicesaustralia.gov.au/hpos</w:t>
            </w:r>
          </w:p>
          <w:p w14:paraId="17851D71" w14:textId="77777777" w:rsidR="009C1E6C" w:rsidRPr="00680F08" w:rsidRDefault="009C1E6C" w:rsidP="009C1E6C">
            <w:pPr>
              <w:pStyle w:val="NormalWeb"/>
              <w:shd w:val="clear" w:color="auto" w:fill="FFFFFF"/>
              <w:spacing w:before="0" w:beforeAutospacing="0" w:after="0" w:afterAutospacing="0"/>
              <w:textAlignment w:val="baseline"/>
              <w:rPr>
                <w:rFonts w:ascii="Arial Narrow" w:hAnsi="Arial Narrow" w:cs="Open Sans"/>
                <w:color w:val="333333"/>
                <w:sz w:val="20"/>
                <w:szCs w:val="20"/>
              </w:rPr>
            </w:pPr>
            <w:r w:rsidRPr="00680F08">
              <w:rPr>
                <w:rFonts w:ascii="Arial Narrow" w:hAnsi="Arial Narrow" w:cs="Open Sans"/>
                <w:color w:val="333333"/>
                <w:sz w:val="20"/>
                <w:szCs w:val="20"/>
              </w:rPr>
              <w:t>Or mailed to:</w:t>
            </w:r>
          </w:p>
          <w:p w14:paraId="68C72A40" w14:textId="77777777" w:rsidR="009C1E6C" w:rsidRPr="00680F08" w:rsidRDefault="009C1E6C" w:rsidP="009C1E6C">
            <w:pPr>
              <w:pStyle w:val="NormalWeb"/>
              <w:shd w:val="clear" w:color="auto" w:fill="FFFFFF"/>
              <w:spacing w:before="0" w:beforeAutospacing="0" w:after="0" w:afterAutospacing="0"/>
              <w:textAlignment w:val="baseline"/>
              <w:rPr>
                <w:rFonts w:ascii="Arial Narrow" w:hAnsi="Arial Narrow" w:cs="Open Sans"/>
                <w:color w:val="333333"/>
                <w:sz w:val="20"/>
                <w:szCs w:val="20"/>
              </w:rPr>
            </w:pPr>
            <w:r w:rsidRPr="00680F08">
              <w:rPr>
                <w:rFonts w:ascii="Arial Narrow" w:hAnsi="Arial Narrow" w:cs="Open Sans"/>
                <w:color w:val="333333"/>
                <w:sz w:val="20"/>
                <w:szCs w:val="20"/>
              </w:rPr>
              <w:t>Services Australia</w:t>
            </w:r>
          </w:p>
          <w:p w14:paraId="3BACCDEA" w14:textId="77777777" w:rsidR="009C1E6C" w:rsidRPr="00680F08" w:rsidRDefault="009C1E6C" w:rsidP="009C1E6C">
            <w:pPr>
              <w:pStyle w:val="NormalWeb"/>
              <w:shd w:val="clear" w:color="auto" w:fill="FFFFFF"/>
              <w:spacing w:before="0" w:beforeAutospacing="0" w:after="0" w:afterAutospacing="0"/>
              <w:textAlignment w:val="baseline"/>
              <w:rPr>
                <w:rFonts w:ascii="Arial Narrow" w:hAnsi="Arial Narrow" w:cs="Open Sans"/>
                <w:color w:val="333333"/>
                <w:sz w:val="20"/>
                <w:szCs w:val="20"/>
              </w:rPr>
            </w:pPr>
            <w:r w:rsidRPr="00680F08">
              <w:rPr>
                <w:rFonts w:ascii="Arial Narrow" w:hAnsi="Arial Narrow" w:cs="Open Sans"/>
                <w:color w:val="333333"/>
                <w:sz w:val="20"/>
                <w:szCs w:val="20"/>
              </w:rPr>
              <w:t>Complex Drugs</w:t>
            </w:r>
          </w:p>
          <w:p w14:paraId="6F645CBA" w14:textId="77777777" w:rsidR="009C1E6C" w:rsidRPr="00680F08" w:rsidRDefault="009C1E6C" w:rsidP="009C1E6C">
            <w:pPr>
              <w:pStyle w:val="NormalWeb"/>
              <w:shd w:val="clear" w:color="auto" w:fill="FFFFFF"/>
              <w:spacing w:before="0" w:beforeAutospacing="0" w:after="0" w:afterAutospacing="0"/>
              <w:textAlignment w:val="baseline"/>
              <w:rPr>
                <w:rFonts w:ascii="Arial Narrow" w:hAnsi="Arial Narrow" w:cs="Open Sans"/>
                <w:color w:val="333333"/>
                <w:sz w:val="20"/>
                <w:szCs w:val="20"/>
              </w:rPr>
            </w:pPr>
            <w:r w:rsidRPr="00680F08">
              <w:rPr>
                <w:rFonts w:ascii="Arial Narrow" w:hAnsi="Arial Narrow" w:cs="Open Sans"/>
                <w:color w:val="333333"/>
                <w:sz w:val="20"/>
                <w:szCs w:val="20"/>
              </w:rPr>
              <w:t>Reply Paid 9826</w:t>
            </w:r>
          </w:p>
          <w:p w14:paraId="4500EE27" w14:textId="784639C9" w:rsidR="009C1E6C" w:rsidRPr="001428E9" w:rsidDel="009C1E6C" w:rsidRDefault="009C1E6C" w:rsidP="009C1E6C">
            <w:pPr>
              <w:rPr>
                <w:rFonts w:ascii="Arial Narrow" w:hAnsi="Arial Narrow"/>
                <w:b/>
                <w:bCs/>
                <w:color w:val="333333"/>
                <w:sz w:val="20"/>
                <w:szCs w:val="20"/>
              </w:rPr>
            </w:pPr>
            <w:r w:rsidRPr="00680F08">
              <w:rPr>
                <w:rFonts w:ascii="Arial Narrow" w:hAnsi="Arial Narrow" w:cs="Open Sans"/>
                <w:color w:val="333333"/>
                <w:sz w:val="20"/>
                <w:szCs w:val="20"/>
              </w:rPr>
              <w:t>HOBART TAS 7001</w:t>
            </w:r>
          </w:p>
        </w:tc>
      </w:tr>
      <w:tr w:rsidR="00842DC5" w:rsidRPr="001428E9" w14:paraId="2B282C5C" w14:textId="77777777" w:rsidTr="003A7CE7">
        <w:tblPrEx>
          <w:tblCellMar>
            <w:top w:w="15" w:type="dxa"/>
            <w:bottom w:w="15" w:type="dxa"/>
          </w:tblCellMar>
          <w:tblLook w:val="04A0" w:firstRow="1" w:lastRow="0" w:firstColumn="1" w:lastColumn="0" w:noHBand="0" w:noVBand="1"/>
        </w:tblPrEx>
        <w:trPr>
          <w:cantSplit/>
          <w:trHeight w:val="20"/>
        </w:trPr>
        <w:tc>
          <w:tcPr>
            <w:tcW w:w="9016" w:type="dxa"/>
            <w:gridSpan w:val="8"/>
            <w:vAlign w:val="center"/>
          </w:tcPr>
          <w:p w14:paraId="526901C9" w14:textId="77777777" w:rsidR="00842DC5" w:rsidRDefault="00842DC5" w:rsidP="003A7CE7">
            <w:pPr>
              <w:rPr>
                <w:rFonts w:ascii="Arial Narrow" w:hAnsi="Arial Narrow"/>
                <w:bCs/>
                <w:color w:val="FF0000"/>
                <w:sz w:val="20"/>
                <w:szCs w:val="20"/>
              </w:rPr>
            </w:pPr>
          </w:p>
          <w:p w14:paraId="03353468" w14:textId="4B1A7E38" w:rsidR="00722C1C" w:rsidRPr="001428E9" w:rsidRDefault="00722C1C" w:rsidP="003A7CE7">
            <w:pPr>
              <w:rPr>
                <w:rFonts w:ascii="Arial Narrow" w:hAnsi="Arial Narrow"/>
                <w:bCs/>
                <w:color w:val="FF0000"/>
                <w:sz w:val="20"/>
                <w:szCs w:val="20"/>
              </w:rPr>
            </w:pPr>
          </w:p>
        </w:tc>
      </w:tr>
      <w:tr w:rsidR="00842DC5" w:rsidRPr="001428E9" w14:paraId="44BAF002" w14:textId="77777777" w:rsidTr="003A7CE7">
        <w:tblPrEx>
          <w:tblCellMar>
            <w:top w:w="15" w:type="dxa"/>
            <w:bottom w:w="15" w:type="dxa"/>
          </w:tblCellMar>
          <w:tblLook w:val="04A0" w:firstRow="1" w:lastRow="0" w:firstColumn="1" w:lastColumn="0" w:noHBand="0" w:noVBand="1"/>
        </w:tblPrEx>
        <w:trPr>
          <w:cantSplit/>
          <w:trHeight w:val="20"/>
        </w:trPr>
        <w:tc>
          <w:tcPr>
            <w:tcW w:w="9016" w:type="dxa"/>
            <w:gridSpan w:val="8"/>
            <w:vAlign w:val="center"/>
          </w:tcPr>
          <w:p w14:paraId="3F3A9034" w14:textId="474417CC" w:rsidR="00842DC5" w:rsidRPr="001428E9" w:rsidRDefault="00842DC5" w:rsidP="003A7CE7">
            <w:pPr>
              <w:keepNext/>
              <w:keepLines/>
              <w:rPr>
                <w:rFonts w:ascii="Arial Narrow" w:hAnsi="Arial Narrow"/>
                <w:b/>
                <w:bCs/>
                <w:color w:val="333333"/>
                <w:sz w:val="20"/>
                <w:szCs w:val="20"/>
              </w:rPr>
            </w:pPr>
            <w:r w:rsidRPr="001428E9">
              <w:rPr>
                <w:rFonts w:ascii="Arial Narrow" w:hAnsi="Arial Narrow"/>
                <w:b/>
                <w:bCs/>
                <w:color w:val="333333"/>
                <w:sz w:val="20"/>
                <w:szCs w:val="20"/>
              </w:rPr>
              <w:t xml:space="preserve">Restriction Summary [new] / Treatment of Concept: [new] </w:t>
            </w:r>
          </w:p>
        </w:tc>
      </w:tr>
      <w:tr w:rsidR="00842DC5" w:rsidRPr="001428E9" w14:paraId="09BCB7CC" w14:textId="77777777" w:rsidTr="003A7CE7">
        <w:tblPrEx>
          <w:tblCellMar>
            <w:top w:w="15" w:type="dxa"/>
            <w:bottom w:w="15" w:type="dxa"/>
          </w:tblCellMar>
          <w:tblLook w:val="04A0" w:firstRow="1" w:lastRow="0" w:firstColumn="1" w:lastColumn="0" w:noHBand="0" w:noVBand="1"/>
        </w:tblPrEx>
        <w:trPr>
          <w:cantSplit/>
          <w:trHeight w:val="20"/>
        </w:trPr>
        <w:tc>
          <w:tcPr>
            <w:tcW w:w="1271" w:type="dxa"/>
            <w:gridSpan w:val="2"/>
            <w:vMerge w:val="restart"/>
            <w:tcBorders>
              <w:top w:val="single" w:sz="4" w:space="0" w:color="auto"/>
              <w:left w:val="single" w:sz="4" w:space="0" w:color="auto"/>
              <w:right w:val="single" w:sz="4" w:space="0" w:color="auto"/>
            </w:tcBorders>
          </w:tcPr>
          <w:p w14:paraId="529663C1" w14:textId="77777777" w:rsidR="00842DC5" w:rsidRPr="001428E9" w:rsidRDefault="00842DC5" w:rsidP="003A7CE7">
            <w:pPr>
              <w:jc w:val="center"/>
              <w:rPr>
                <w:rFonts w:ascii="Arial Narrow" w:hAnsi="Arial Narrow" w:cs="Arial"/>
                <w:b/>
                <w:sz w:val="20"/>
                <w:szCs w:val="20"/>
              </w:rPr>
            </w:pPr>
            <w:r w:rsidRPr="001428E9">
              <w:rPr>
                <w:rFonts w:ascii="Arial Narrow" w:hAnsi="Arial Narrow" w:cs="Arial"/>
                <w:b/>
                <w:sz w:val="20"/>
                <w:szCs w:val="20"/>
              </w:rPr>
              <w:t>Concept ID</w:t>
            </w:r>
            <w:r>
              <w:rPr>
                <w:rFonts w:ascii="Arial Narrow" w:hAnsi="Arial Narrow" w:cs="Arial"/>
                <w:b/>
                <w:sz w:val="20"/>
                <w:szCs w:val="20"/>
              </w:rPr>
              <w:br/>
            </w:r>
            <w:r w:rsidRPr="001428E9">
              <w:rPr>
                <w:rFonts w:ascii="Arial Narrow" w:hAnsi="Arial Narrow" w:cs="Arial"/>
                <w:sz w:val="20"/>
                <w:szCs w:val="20"/>
              </w:rPr>
              <w:t>(for internal Dept. use)</w:t>
            </w: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163EFEAC" w14:textId="01D0FB84" w:rsidR="00842DC5" w:rsidRPr="001428E9" w:rsidRDefault="00842DC5" w:rsidP="003A7CE7">
            <w:pPr>
              <w:keepNext/>
              <w:keepLines/>
              <w:rPr>
                <w:rFonts w:ascii="Arial Narrow" w:hAnsi="Arial Narrow" w:cs="Arial"/>
                <w:sz w:val="20"/>
                <w:szCs w:val="20"/>
              </w:rPr>
            </w:pPr>
            <w:r w:rsidRPr="001428E9">
              <w:rPr>
                <w:rFonts w:ascii="Arial Narrow" w:hAnsi="Arial Narrow" w:cs="Arial"/>
                <w:b/>
                <w:sz w:val="20"/>
                <w:szCs w:val="20"/>
              </w:rPr>
              <w:t xml:space="preserve">Category / Program: </w:t>
            </w:r>
            <w:r w:rsidRPr="001428E9">
              <w:rPr>
                <w:rFonts w:ascii="Arial Narrow" w:hAnsi="Arial Narrow" w:cs="Arial"/>
                <w:sz w:val="20"/>
                <w:szCs w:val="20"/>
              </w:rPr>
              <w:t>GENERAL – General Schedule (Code GE)</w:t>
            </w:r>
            <w:r w:rsidRPr="001428E9">
              <w:rPr>
                <w:rFonts w:ascii="Arial Narrow" w:hAnsi="Arial Narrow" w:cs="Arial"/>
                <w:color w:val="FF0000"/>
                <w:sz w:val="20"/>
                <w:szCs w:val="20"/>
              </w:rPr>
              <w:t xml:space="preserve"> </w:t>
            </w:r>
          </w:p>
        </w:tc>
      </w:tr>
      <w:tr w:rsidR="00842DC5" w:rsidRPr="001428E9" w14:paraId="5519054D" w14:textId="77777777" w:rsidTr="003A7CE7">
        <w:tblPrEx>
          <w:tblCellMar>
            <w:top w:w="15" w:type="dxa"/>
            <w:bottom w:w="15" w:type="dxa"/>
          </w:tblCellMar>
          <w:tblLook w:val="04A0" w:firstRow="1" w:lastRow="0" w:firstColumn="1" w:lastColumn="0" w:noHBand="0" w:noVBand="1"/>
        </w:tblPrEx>
        <w:trPr>
          <w:cantSplit/>
          <w:trHeight w:val="20"/>
        </w:trPr>
        <w:tc>
          <w:tcPr>
            <w:tcW w:w="1271" w:type="dxa"/>
            <w:gridSpan w:val="2"/>
            <w:vMerge/>
            <w:tcBorders>
              <w:left w:val="single" w:sz="4" w:space="0" w:color="auto"/>
              <w:right w:val="single" w:sz="4" w:space="0" w:color="auto"/>
            </w:tcBorders>
          </w:tcPr>
          <w:p w14:paraId="27E3C023" w14:textId="77777777" w:rsidR="00842DC5" w:rsidRPr="001428E9" w:rsidRDefault="00842DC5" w:rsidP="003A7CE7">
            <w:pPr>
              <w:rPr>
                <w:rFonts w:ascii="Arial Narrow" w:hAnsi="Arial Narrow" w:cs="Arial"/>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674ECCF0" w14:textId="1DF49BD4" w:rsidR="00842DC5" w:rsidRPr="001428E9" w:rsidRDefault="00842DC5" w:rsidP="003A7CE7">
            <w:pPr>
              <w:keepNext/>
              <w:keepLines/>
              <w:rPr>
                <w:rFonts w:ascii="Arial Narrow" w:hAnsi="Arial Narrow" w:cs="Arial"/>
                <w:b/>
                <w:sz w:val="20"/>
                <w:szCs w:val="20"/>
              </w:rPr>
            </w:pPr>
            <w:r w:rsidRPr="001428E9">
              <w:rPr>
                <w:rFonts w:ascii="Arial Narrow" w:hAnsi="Arial Narrow" w:cs="Arial"/>
                <w:b/>
                <w:sz w:val="20"/>
                <w:szCs w:val="20"/>
              </w:rPr>
              <w:t xml:space="preserve">Prescriber type: </w:t>
            </w:r>
            <w:r w:rsidR="00722C1C">
              <w:rPr>
                <w:rFonts w:ascii="Arial Narrow" w:hAnsi="Arial Narrow" w:cs="Arial"/>
                <w:sz w:val="20"/>
                <w:szCs w:val="20"/>
              </w:rPr>
              <w:fldChar w:fldCharType="begin">
                <w:ffData>
                  <w:name w:val=""/>
                  <w:enabled/>
                  <w:calcOnExit w:val="0"/>
                  <w:checkBox>
                    <w:sizeAuto/>
                    <w:default w:val="1"/>
                  </w:checkBox>
                </w:ffData>
              </w:fldChar>
            </w:r>
            <w:r w:rsidR="00722C1C">
              <w:rPr>
                <w:rFonts w:ascii="Arial Narrow" w:hAnsi="Arial Narrow" w:cs="Arial"/>
                <w:sz w:val="20"/>
                <w:szCs w:val="20"/>
              </w:rPr>
              <w:instrText xml:space="preserve"> FORMCHECKBOX </w:instrText>
            </w:r>
            <w:r w:rsidR="009D0A8D">
              <w:rPr>
                <w:rFonts w:ascii="Arial Narrow" w:hAnsi="Arial Narrow" w:cs="Arial"/>
                <w:sz w:val="20"/>
                <w:szCs w:val="20"/>
              </w:rPr>
            </w:r>
            <w:r w:rsidR="009D0A8D">
              <w:rPr>
                <w:rFonts w:ascii="Arial Narrow" w:hAnsi="Arial Narrow" w:cs="Arial"/>
                <w:sz w:val="20"/>
                <w:szCs w:val="20"/>
              </w:rPr>
              <w:fldChar w:fldCharType="separate"/>
            </w:r>
            <w:r w:rsidR="00722C1C">
              <w:rPr>
                <w:rFonts w:ascii="Arial Narrow" w:hAnsi="Arial Narrow" w:cs="Arial"/>
                <w:sz w:val="20"/>
                <w:szCs w:val="20"/>
              </w:rPr>
              <w:fldChar w:fldCharType="end"/>
            </w:r>
            <w:r w:rsidRPr="001428E9">
              <w:rPr>
                <w:rFonts w:ascii="Arial Narrow" w:hAnsi="Arial Narrow" w:cs="Arial"/>
                <w:sz w:val="20"/>
                <w:szCs w:val="20"/>
              </w:rPr>
              <w:t xml:space="preserve">Medical Practitioners </w:t>
            </w:r>
          </w:p>
        </w:tc>
      </w:tr>
      <w:tr w:rsidR="00842DC5" w:rsidRPr="00C02D56" w14:paraId="5631D66F" w14:textId="77777777" w:rsidTr="003A7CE7">
        <w:tblPrEx>
          <w:tblCellMar>
            <w:top w:w="15" w:type="dxa"/>
            <w:bottom w:w="15" w:type="dxa"/>
          </w:tblCellMar>
          <w:tblLook w:val="04A0" w:firstRow="1" w:lastRow="0" w:firstColumn="1" w:lastColumn="0" w:noHBand="0" w:noVBand="1"/>
        </w:tblPrEx>
        <w:trPr>
          <w:cantSplit/>
          <w:trHeight w:val="20"/>
        </w:trPr>
        <w:tc>
          <w:tcPr>
            <w:tcW w:w="1271" w:type="dxa"/>
            <w:gridSpan w:val="2"/>
            <w:vMerge/>
            <w:tcBorders>
              <w:left w:val="single" w:sz="4" w:space="0" w:color="auto"/>
              <w:bottom w:val="single" w:sz="4" w:space="0" w:color="auto"/>
              <w:right w:val="single" w:sz="4" w:space="0" w:color="auto"/>
            </w:tcBorders>
          </w:tcPr>
          <w:p w14:paraId="3BED4D50" w14:textId="77777777" w:rsidR="00842DC5" w:rsidRPr="001428E9" w:rsidRDefault="00842DC5" w:rsidP="003A7CE7">
            <w:pPr>
              <w:rPr>
                <w:rFonts w:ascii="Arial Narrow" w:hAnsi="Arial Narrow" w:cs="Arial"/>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19BBD6F3" w14:textId="0EC55B3B" w:rsidR="00842DC5" w:rsidRPr="00C02D56" w:rsidRDefault="00842DC5" w:rsidP="003A7CE7">
            <w:pPr>
              <w:keepNext/>
              <w:keepLines/>
              <w:rPr>
                <w:rFonts w:ascii="Arial Narrow" w:eastAsia="Calibri" w:hAnsi="Arial Narrow" w:cs="Arial"/>
                <w:sz w:val="20"/>
                <w:szCs w:val="20"/>
              </w:rPr>
            </w:pPr>
            <w:r w:rsidRPr="001428E9">
              <w:rPr>
                <w:rFonts w:ascii="Arial Narrow" w:hAnsi="Arial Narrow" w:cs="Arial"/>
                <w:b/>
                <w:sz w:val="20"/>
                <w:szCs w:val="20"/>
              </w:rPr>
              <w:t>Restriction type:</w:t>
            </w:r>
            <w:r w:rsidR="00722C1C" w:rsidRPr="001428E9">
              <w:rPr>
                <w:rFonts w:ascii="Arial Narrow" w:eastAsia="Calibri" w:hAnsi="Arial Narrow" w:cs="Arial"/>
                <w:sz w:val="20"/>
                <w:szCs w:val="20"/>
              </w:rPr>
              <w:t xml:space="preserve"> </w:t>
            </w:r>
            <w:r w:rsidR="00722C1C">
              <w:rPr>
                <w:rFonts w:ascii="Arial Narrow" w:eastAsia="Calibri" w:hAnsi="Arial Narrow" w:cs="Arial"/>
                <w:sz w:val="20"/>
                <w:szCs w:val="20"/>
              </w:rPr>
              <w:fldChar w:fldCharType="begin">
                <w:ffData>
                  <w:name w:val=""/>
                  <w:enabled/>
                  <w:calcOnExit w:val="0"/>
                  <w:checkBox>
                    <w:sizeAuto/>
                    <w:default w:val="1"/>
                  </w:checkBox>
                </w:ffData>
              </w:fldChar>
            </w:r>
            <w:r w:rsidR="00722C1C">
              <w:rPr>
                <w:rFonts w:ascii="Arial Narrow" w:eastAsia="Calibri" w:hAnsi="Arial Narrow" w:cs="Arial"/>
                <w:sz w:val="20"/>
                <w:szCs w:val="20"/>
              </w:rPr>
              <w:instrText xml:space="preserve"> FORMCHECKBOX </w:instrText>
            </w:r>
            <w:r w:rsidR="009D0A8D">
              <w:rPr>
                <w:rFonts w:ascii="Arial Narrow" w:eastAsia="Calibri" w:hAnsi="Arial Narrow" w:cs="Arial"/>
                <w:sz w:val="20"/>
                <w:szCs w:val="20"/>
              </w:rPr>
            </w:r>
            <w:r w:rsidR="009D0A8D">
              <w:rPr>
                <w:rFonts w:ascii="Arial Narrow" w:eastAsia="Calibri" w:hAnsi="Arial Narrow" w:cs="Arial"/>
                <w:sz w:val="20"/>
                <w:szCs w:val="20"/>
              </w:rPr>
              <w:fldChar w:fldCharType="separate"/>
            </w:r>
            <w:r w:rsidR="00722C1C">
              <w:rPr>
                <w:rFonts w:ascii="Arial Narrow" w:eastAsia="Calibri" w:hAnsi="Arial Narrow" w:cs="Arial"/>
                <w:sz w:val="20"/>
                <w:szCs w:val="20"/>
              </w:rPr>
              <w:fldChar w:fldCharType="end"/>
            </w:r>
            <w:r w:rsidR="00722C1C" w:rsidRPr="001428E9">
              <w:rPr>
                <w:rFonts w:ascii="Arial Narrow" w:eastAsia="Calibri" w:hAnsi="Arial Narrow" w:cs="Arial"/>
                <w:sz w:val="20"/>
                <w:szCs w:val="20"/>
              </w:rPr>
              <w:t xml:space="preserve">Authority Required (in writing only via post/HPOS upload) </w:t>
            </w:r>
            <w:r w:rsidRPr="001428E9">
              <w:rPr>
                <w:rFonts w:ascii="Arial Narrow" w:hAnsi="Arial Narrow" w:cs="Arial"/>
                <w:b/>
                <w:sz w:val="20"/>
                <w:szCs w:val="20"/>
              </w:rPr>
              <w:t xml:space="preserve"> </w:t>
            </w:r>
          </w:p>
        </w:tc>
      </w:tr>
      <w:tr w:rsidR="00593623" w:rsidRPr="00C02D56" w14:paraId="66349E9B" w14:textId="77777777" w:rsidTr="00A3107E">
        <w:tblPrEx>
          <w:tblCellMar>
            <w:top w:w="15" w:type="dxa"/>
            <w:bottom w:w="15" w:type="dxa"/>
          </w:tblCellMar>
        </w:tblPrEx>
        <w:trPr>
          <w:trHeight w:val="20"/>
        </w:trPr>
        <w:tc>
          <w:tcPr>
            <w:tcW w:w="562" w:type="dxa"/>
            <w:tcBorders>
              <w:left w:val="single" w:sz="4" w:space="0" w:color="auto"/>
              <w:bottom w:val="single" w:sz="4" w:space="0" w:color="auto"/>
              <w:right w:val="single" w:sz="4" w:space="0" w:color="auto"/>
            </w:tcBorders>
            <w:vAlign w:val="center"/>
          </w:tcPr>
          <w:p w14:paraId="33FA4978" w14:textId="1E5EF668" w:rsidR="00593623" w:rsidRPr="001428E9" w:rsidRDefault="00593623" w:rsidP="00593623">
            <w:pPr>
              <w:rPr>
                <w:rFonts w:ascii="Arial Narrow" w:hAnsi="Arial Narrow" w:cs="Arial"/>
                <w:sz w:val="20"/>
                <w:szCs w:val="20"/>
              </w:rPr>
            </w:pPr>
            <w:r>
              <w:rPr>
                <w:rFonts w:ascii="Arial Narrow" w:hAnsi="Arial Narrow"/>
                <w:color w:val="333333"/>
                <w:sz w:val="20"/>
                <w:szCs w:val="20"/>
              </w:rPr>
              <w:t>PR level</w:t>
            </w:r>
          </w:p>
        </w:tc>
        <w:tc>
          <w:tcPr>
            <w:tcW w:w="709" w:type="dxa"/>
            <w:tcBorders>
              <w:left w:val="single" w:sz="4" w:space="0" w:color="auto"/>
              <w:bottom w:val="single" w:sz="4" w:space="0" w:color="auto"/>
              <w:right w:val="single" w:sz="4" w:space="0" w:color="auto"/>
            </w:tcBorders>
          </w:tcPr>
          <w:p w14:paraId="0D3D9171" w14:textId="5349C551" w:rsidR="00593623" w:rsidRPr="001428E9" w:rsidRDefault="00593623" w:rsidP="00593623">
            <w:pPr>
              <w:rPr>
                <w:rFonts w:ascii="Arial Narrow" w:hAnsi="Arial Narrow" w:cs="Arial"/>
                <w:sz w:val="20"/>
                <w:szCs w:val="20"/>
              </w:rPr>
            </w:pPr>
          </w:p>
        </w:tc>
        <w:tc>
          <w:tcPr>
            <w:tcW w:w="7745" w:type="dxa"/>
            <w:gridSpan w:val="6"/>
            <w:tcBorders>
              <w:top w:val="single" w:sz="4" w:space="0" w:color="auto"/>
              <w:left w:val="single" w:sz="4" w:space="0" w:color="auto"/>
              <w:bottom w:val="single" w:sz="4" w:space="0" w:color="auto"/>
              <w:right w:val="single" w:sz="4" w:space="0" w:color="auto"/>
            </w:tcBorders>
          </w:tcPr>
          <w:p w14:paraId="581A60FF" w14:textId="77777777" w:rsidR="00593623" w:rsidRPr="00E5138C" w:rsidRDefault="00593623" w:rsidP="00593623">
            <w:pPr>
              <w:pStyle w:val="NormalWeb"/>
              <w:spacing w:before="0" w:beforeAutospacing="0" w:after="0" w:afterAutospacing="0"/>
              <w:textAlignment w:val="baseline"/>
              <w:rPr>
                <w:rFonts w:ascii="Arial Narrow" w:hAnsi="Arial Narrow" w:cs="Open Sans"/>
                <w:color w:val="333333"/>
                <w:sz w:val="20"/>
                <w:szCs w:val="20"/>
              </w:rPr>
            </w:pPr>
            <w:r w:rsidRPr="00E5138C">
              <w:rPr>
                <w:rStyle w:val="Strong"/>
                <w:rFonts w:ascii="Arial Narrow" w:hAnsi="Arial Narrow" w:cs="Open Sans"/>
                <w:color w:val="333333"/>
                <w:sz w:val="20"/>
                <w:szCs w:val="20"/>
                <w:bdr w:val="none" w:sz="0" w:space="0" w:color="auto" w:frame="1"/>
              </w:rPr>
              <w:t>Administrative Advice:</w:t>
            </w:r>
          </w:p>
          <w:p w14:paraId="0707ED2F" w14:textId="77777777" w:rsidR="00593623" w:rsidRPr="00E5138C" w:rsidRDefault="00593623" w:rsidP="00593623">
            <w:pPr>
              <w:pStyle w:val="NormalWeb"/>
              <w:spacing w:before="0" w:beforeAutospacing="0" w:after="0" w:afterAutospacing="0"/>
              <w:textAlignment w:val="baseline"/>
              <w:rPr>
                <w:rFonts w:ascii="Arial Narrow" w:hAnsi="Arial Narrow" w:cs="Open Sans"/>
                <w:color w:val="333333"/>
                <w:sz w:val="20"/>
                <w:szCs w:val="20"/>
              </w:rPr>
            </w:pPr>
            <w:r w:rsidRPr="00E5138C">
              <w:rPr>
                <w:rFonts w:ascii="Arial Narrow" w:hAnsi="Arial Narrow" w:cs="Open Sans"/>
                <w:b/>
                <w:bCs/>
                <w:color w:val="333333"/>
                <w:sz w:val="20"/>
                <w:szCs w:val="20"/>
                <w:bdr w:val="none" w:sz="0" w:space="0" w:color="auto" w:frame="1"/>
              </w:rPr>
              <w:t>TREATMENT OF ADULT PATIENTS WITH SEVERE CHRONIC PLAQUE PSORIASIS</w:t>
            </w:r>
          </w:p>
          <w:p w14:paraId="5622CFAE" w14:textId="77777777" w:rsidR="00593623" w:rsidRPr="00E5138C" w:rsidRDefault="00593623" w:rsidP="00593623">
            <w:pPr>
              <w:pStyle w:val="NormalWeb"/>
              <w:spacing w:before="0" w:beforeAutospacing="0" w:after="0" w:afterAutospacing="0"/>
              <w:textAlignment w:val="baseline"/>
              <w:rPr>
                <w:rFonts w:ascii="Arial Narrow" w:hAnsi="Arial Narrow" w:cs="Open Sans"/>
                <w:color w:val="333333"/>
                <w:sz w:val="20"/>
                <w:szCs w:val="20"/>
              </w:rPr>
            </w:pPr>
            <w:r w:rsidRPr="00E5138C">
              <w:rPr>
                <w:rFonts w:ascii="Arial Narrow" w:hAnsi="Arial Narrow" w:cs="Open Sans"/>
                <w:color w:val="333333"/>
                <w:sz w:val="20"/>
                <w:szCs w:val="20"/>
              </w:rPr>
              <w:t>The following information applies to the prescribing under the Pharmaceutical Benefits Scheme (PBS) of the biological medicines adalimumab, etanercept, guselkumab, infliximab, ixekizumab, risankizumab, secukinumab, tildrakizumab and ustekinumab for adult patients with severe chronic plaque psoriasis. Therefore, where the term 'biological medicines' appears in notes and restrictions, it refers to adalimumab, etanercept, guselkumab, infliximab, ixekizumab, risankizumab, secukinumab, tildrakizumab, and ustekinumab only.</w:t>
            </w:r>
          </w:p>
          <w:p w14:paraId="10863B7A" w14:textId="77777777" w:rsidR="00593623" w:rsidRPr="00E5138C" w:rsidRDefault="00593623" w:rsidP="00593623">
            <w:pPr>
              <w:pStyle w:val="NormalWeb"/>
              <w:spacing w:before="0" w:beforeAutospacing="0" w:after="0" w:afterAutospacing="0"/>
              <w:textAlignment w:val="baseline"/>
              <w:rPr>
                <w:rFonts w:ascii="Arial Narrow" w:hAnsi="Arial Narrow" w:cs="Open Sans"/>
                <w:color w:val="333333"/>
                <w:sz w:val="20"/>
                <w:szCs w:val="20"/>
              </w:rPr>
            </w:pPr>
            <w:r w:rsidRPr="00E5138C">
              <w:rPr>
                <w:rFonts w:ascii="Arial Narrow" w:hAnsi="Arial Narrow" w:cs="Open Sans"/>
                <w:color w:val="333333"/>
                <w:sz w:val="20"/>
                <w:szCs w:val="20"/>
              </w:rPr>
              <w:lastRenderedPageBreak/>
              <w:t>A patient is eligible for PBS-subsidised treatment with only 1 of the above biological medicines at any 1 time.</w:t>
            </w:r>
          </w:p>
          <w:p w14:paraId="08A47511" w14:textId="77777777" w:rsidR="00593623" w:rsidRPr="00E5138C" w:rsidRDefault="00593623" w:rsidP="00593623">
            <w:pPr>
              <w:pStyle w:val="NormalWeb"/>
              <w:spacing w:before="0" w:beforeAutospacing="0" w:after="0" w:afterAutospacing="0"/>
              <w:textAlignment w:val="baseline"/>
              <w:rPr>
                <w:rFonts w:ascii="Arial Narrow" w:hAnsi="Arial Narrow" w:cs="Open Sans"/>
                <w:color w:val="333333"/>
                <w:sz w:val="20"/>
                <w:szCs w:val="20"/>
              </w:rPr>
            </w:pPr>
            <w:r w:rsidRPr="00E5138C">
              <w:rPr>
                <w:rFonts w:ascii="Arial Narrow" w:hAnsi="Arial Narrow" w:cs="Open Sans"/>
                <w:color w:val="333333"/>
                <w:sz w:val="20"/>
                <w:szCs w:val="20"/>
              </w:rPr>
              <w:t>A patient who received PBS-subsidised adalimumab, etanercept, guselkumab, infliximab, ixekizumab, risankizumab, secukinumab, tildrakizumab, and ustekinumab treatment prior to 1 February 2019 is considered to start their first cycle as of 1 February 2019.</w:t>
            </w:r>
          </w:p>
          <w:p w14:paraId="282BB411" w14:textId="77777777" w:rsidR="00593623" w:rsidRPr="00E5138C" w:rsidRDefault="00593623" w:rsidP="00593623">
            <w:pPr>
              <w:pStyle w:val="NormalWeb"/>
              <w:spacing w:before="0" w:beforeAutospacing="0" w:after="0" w:afterAutospacing="0"/>
              <w:textAlignment w:val="baseline"/>
              <w:rPr>
                <w:rFonts w:ascii="Arial Narrow" w:hAnsi="Arial Narrow" w:cs="Open Sans"/>
                <w:color w:val="333333"/>
                <w:sz w:val="20"/>
                <w:szCs w:val="20"/>
              </w:rPr>
            </w:pPr>
            <w:r w:rsidRPr="00E5138C">
              <w:rPr>
                <w:rFonts w:ascii="Arial Narrow" w:hAnsi="Arial Narrow" w:cs="Open Sans"/>
                <w:color w:val="333333"/>
                <w:sz w:val="20"/>
                <w:szCs w:val="20"/>
              </w:rPr>
              <w:t>A patient receiving PBS-subsidised treatment for chronic plaque psoriasis is able to commence a 'treatment cycle', where they may trial biological medicines without having to experience a disease flare, when swapping to an alternate biological medicine. Under these arrangements, within a single cycle, a patient may receive long-term treatment with a biological medicine as long as they sustain a response to therapy.</w:t>
            </w:r>
          </w:p>
          <w:p w14:paraId="2FA7AE11" w14:textId="77777777" w:rsidR="00593623" w:rsidRPr="00E5138C" w:rsidRDefault="00593623" w:rsidP="00593623">
            <w:pPr>
              <w:pStyle w:val="NormalWeb"/>
              <w:spacing w:before="0" w:beforeAutospacing="0" w:after="0" w:afterAutospacing="0"/>
              <w:textAlignment w:val="baseline"/>
              <w:rPr>
                <w:rFonts w:ascii="Arial Narrow" w:hAnsi="Arial Narrow" w:cs="Open Sans"/>
                <w:color w:val="333333"/>
                <w:sz w:val="20"/>
                <w:szCs w:val="20"/>
              </w:rPr>
            </w:pPr>
            <w:r w:rsidRPr="00E5138C">
              <w:rPr>
                <w:rFonts w:ascii="Arial Narrow" w:hAnsi="Arial Narrow" w:cs="Open Sans"/>
                <w:color w:val="333333"/>
                <w:sz w:val="20"/>
                <w:szCs w:val="20"/>
              </w:rPr>
              <w:t>Within the same treatment cycle, a patient cannot trial and fail, or cease to respond to, the same PBS-subsidised biological medicine more than once. Therefore, once a patient fails to meet the response criteria for a PBS-subsidised biological medicine, they must change to an alternate biological medicine if they wish to continue PBS-subsidised biological treatment.</w:t>
            </w:r>
          </w:p>
          <w:p w14:paraId="4ECD9D5D" w14:textId="77777777" w:rsidR="00593623" w:rsidRPr="00E5138C" w:rsidRDefault="00593623" w:rsidP="00593623">
            <w:pPr>
              <w:pStyle w:val="NormalWeb"/>
              <w:spacing w:before="0" w:beforeAutospacing="0" w:after="0" w:afterAutospacing="0"/>
              <w:textAlignment w:val="baseline"/>
              <w:rPr>
                <w:rFonts w:ascii="Arial Narrow" w:hAnsi="Arial Narrow" w:cs="Open Sans"/>
                <w:color w:val="333333"/>
                <w:sz w:val="20"/>
                <w:szCs w:val="20"/>
              </w:rPr>
            </w:pPr>
            <w:r w:rsidRPr="00E5138C">
              <w:rPr>
                <w:rFonts w:ascii="Arial Narrow" w:hAnsi="Arial Narrow" w:cs="Open Sans"/>
                <w:color w:val="333333"/>
                <w:sz w:val="20"/>
                <w:szCs w:val="20"/>
              </w:rPr>
              <w:t>Serious adverse reaction of a severity resulting in the necessity for permanent withdrawal of treatment, including serious infusion or injection related reactions, Steven's Johnson Syndrome, development of a demyelinating lesion, progressive multifocal leukoencephalopathy and malignancy related to treatment with the biological medicine, is not considered as a treatment failure.</w:t>
            </w:r>
          </w:p>
          <w:p w14:paraId="411AD4CC" w14:textId="77777777" w:rsidR="00593623" w:rsidRPr="00E5138C" w:rsidRDefault="00593623" w:rsidP="00593623">
            <w:pPr>
              <w:pStyle w:val="NormalWeb"/>
              <w:spacing w:before="0" w:beforeAutospacing="0" w:after="0" w:afterAutospacing="0"/>
              <w:textAlignment w:val="baseline"/>
              <w:rPr>
                <w:rFonts w:ascii="Arial Narrow" w:hAnsi="Arial Narrow" w:cs="Open Sans"/>
                <w:color w:val="333333"/>
                <w:sz w:val="20"/>
                <w:szCs w:val="20"/>
              </w:rPr>
            </w:pPr>
            <w:r w:rsidRPr="00E5138C">
              <w:rPr>
                <w:rFonts w:ascii="Arial Narrow" w:hAnsi="Arial Narrow" w:cs="Open Sans"/>
                <w:color w:val="333333"/>
                <w:sz w:val="20"/>
                <w:szCs w:val="20"/>
              </w:rPr>
              <w:t>A patient must be assessed for response to each course of treatment according to the criteria included in the relevant continuing treatment restriction.</w:t>
            </w:r>
          </w:p>
          <w:p w14:paraId="3D62720C" w14:textId="77777777" w:rsidR="00593623" w:rsidRPr="00E5138C" w:rsidRDefault="00593623" w:rsidP="00593623">
            <w:pPr>
              <w:pStyle w:val="NormalWeb"/>
              <w:spacing w:before="0" w:beforeAutospacing="0" w:after="0" w:afterAutospacing="0"/>
              <w:textAlignment w:val="baseline"/>
              <w:rPr>
                <w:rFonts w:ascii="Arial Narrow" w:hAnsi="Arial Narrow" w:cs="Open Sans"/>
                <w:color w:val="333333"/>
                <w:sz w:val="20"/>
                <w:szCs w:val="20"/>
              </w:rPr>
            </w:pPr>
            <w:r w:rsidRPr="00E5138C">
              <w:rPr>
                <w:rFonts w:ascii="Arial Narrow" w:hAnsi="Arial Narrow" w:cs="Open Sans"/>
                <w:color w:val="333333"/>
                <w:sz w:val="20"/>
                <w:szCs w:val="20"/>
              </w:rPr>
              <w:t>Once a patient has either failed or ceased to sustain a response to treatment 3 times, they are deemed to have completed a treatment cycle and they must have, at a minimum, a 5-year break in PBS-subsidised biological medicine therapy before they are eligible to commence the next cycle.</w:t>
            </w:r>
          </w:p>
          <w:p w14:paraId="04BE0B55" w14:textId="77777777" w:rsidR="00593623" w:rsidRPr="00E5138C" w:rsidRDefault="00593623" w:rsidP="00593623">
            <w:pPr>
              <w:pStyle w:val="NormalWeb"/>
              <w:spacing w:before="0" w:beforeAutospacing="0" w:after="0" w:afterAutospacing="0"/>
              <w:textAlignment w:val="baseline"/>
              <w:rPr>
                <w:rFonts w:ascii="Arial Narrow" w:hAnsi="Arial Narrow" w:cs="Open Sans"/>
                <w:color w:val="333333"/>
                <w:sz w:val="20"/>
                <w:szCs w:val="20"/>
              </w:rPr>
            </w:pPr>
            <w:r w:rsidRPr="00E5138C">
              <w:rPr>
                <w:rFonts w:ascii="Arial Narrow" w:hAnsi="Arial Narrow" w:cs="Open Sans"/>
                <w:color w:val="333333"/>
                <w:sz w:val="20"/>
                <w:szCs w:val="20"/>
              </w:rPr>
              <w:t>The duration of the break in therapy will be measured from the date the last prescription for PBS-subsidised treatment was approved in the most recent cycle to the date of the first application for initial treatment with a biological medicine under the new cycle.</w:t>
            </w:r>
          </w:p>
          <w:p w14:paraId="09C56E9C" w14:textId="77777777" w:rsidR="00593623" w:rsidRPr="00E5138C" w:rsidRDefault="00593623" w:rsidP="00593623">
            <w:pPr>
              <w:pStyle w:val="NormalWeb"/>
              <w:spacing w:before="0" w:beforeAutospacing="0" w:after="0" w:afterAutospacing="0"/>
              <w:textAlignment w:val="baseline"/>
              <w:rPr>
                <w:rFonts w:ascii="Arial Narrow" w:hAnsi="Arial Narrow" w:cs="Open Sans"/>
                <w:color w:val="333333"/>
                <w:sz w:val="20"/>
                <w:szCs w:val="20"/>
              </w:rPr>
            </w:pPr>
            <w:r w:rsidRPr="00E5138C">
              <w:rPr>
                <w:rFonts w:ascii="Arial Narrow" w:hAnsi="Arial Narrow" w:cs="Open Sans"/>
                <w:color w:val="333333"/>
                <w:sz w:val="20"/>
                <w:szCs w:val="20"/>
              </w:rPr>
              <w:t>A patient who has failed fewer than 3 biological medicines in a treatment cycle and who has a break in therapy of more than 5 years may commence a new treatment cycle under Initial 3 treatment restriction.</w:t>
            </w:r>
          </w:p>
          <w:p w14:paraId="76310905" w14:textId="77777777" w:rsidR="00593623" w:rsidRPr="00E5138C" w:rsidRDefault="00593623" w:rsidP="00593623">
            <w:pPr>
              <w:pStyle w:val="NormalWeb"/>
              <w:spacing w:before="0" w:beforeAutospacing="0" w:after="0" w:afterAutospacing="0"/>
              <w:textAlignment w:val="baseline"/>
              <w:rPr>
                <w:rFonts w:ascii="Arial Narrow" w:hAnsi="Arial Narrow" w:cs="Open Sans"/>
                <w:color w:val="333333"/>
                <w:sz w:val="20"/>
                <w:szCs w:val="20"/>
              </w:rPr>
            </w:pPr>
            <w:r w:rsidRPr="00E5138C">
              <w:rPr>
                <w:rFonts w:ascii="Arial Narrow" w:hAnsi="Arial Narrow" w:cs="Open Sans"/>
                <w:color w:val="333333"/>
                <w:sz w:val="20"/>
                <w:szCs w:val="20"/>
              </w:rPr>
              <w:t>A patient who has failed fewer than 3 biological medicines in a treatment cycle and who has a break in therapy of less than 5 years may commence a further course of treatment within the same treatment cycle under Initial 2 treatment restriction.</w:t>
            </w:r>
          </w:p>
          <w:p w14:paraId="5234076A" w14:textId="77777777" w:rsidR="00593623" w:rsidRPr="00E5138C" w:rsidRDefault="00593623" w:rsidP="00593623">
            <w:pPr>
              <w:pStyle w:val="NormalWeb"/>
              <w:spacing w:before="0" w:beforeAutospacing="0" w:after="0" w:afterAutospacing="0"/>
              <w:textAlignment w:val="baseline"/>
              <w:rPr>
                <w:rFonts w:ascii="Arial Narrow" w:hAnsi="Arial Narrow" w:cs="Open Sans"/>
                <w:color w:val="333333"/>
                <w:sz w:val="20"/>
                <w:szCs w:val="20"/>
              </w:rPr>
            </w:pPr>
            <w:r w:rsidRPr="00E5138C">
              <w:rPr>
                <w:rFonts w:ascii="Arial Narrow" w:hAnsi="Arial Narrow" w:cs="Open Sans"/>
                <w:color w:val="333333"/>
                <w:sz w:val="20"/>
                <w:szCs w:val="20"/>
              </w:rPr>
              <w:t>There is no limit to the number of treatment cycles a patient may undertake in their lifetime.</w:t>
            </w:r>
          </w:p>
          <w:p w14:paraId="310D5E6D" w14:textId="77777777" w:rsidR="00593623" w:rsidRPr="00E5138C" w:rsidRDefault="00593623" w:rsidP="00593623">
            <w:pPr>
              <w:pStyle w:val="NormalWeb"/>
              <w:spacing w:before="0" w:beforeAutospacing="0" w:after="0" w:afterAutospacing="0"/>
              <w:textAlignment w:val="baseline"/>
              <w:rPr>
                <w:rFonts w:ascii="Arial Narrow" w:hAnsi="Arial Narrow" w:cs="Open Sans"/>
                <w:color w:val="333333"/>
                <w:sz w:val="20"/>
                <w:szCs w:val="20"/>
              </w:rPr>
            </w:pPr>
            <w:r w:rsidRPr="00E5138C">
              <w:rPr>
                <w:rFonts w:ascii="Arial Narrow" w:hAnsi="Arial Narrow" w:cs="Open Sans"/>
                <w:color w:val="333333"/>
                <w:sz w:val="20"/>
                <w:szCs w:val="20"/>
              </w:rPr>
              <w:t>How to prescribe PBS-subsidised biological medicine treatment for severe chronic plaque psoriasis.</w:t>
            </w:r>
          </w:p>
          <w:p w14:paraId="68EC4B2B" w14:textId="77777777" w:rsidR="00593623" w:rsidRPr="00E5138C" w:rsidRDefault="00593623" w:rsidP="00593623">
            <w:pPr>
              <w:pStyle w:val="NormalWeb"/>
              <w:spacing w:before="0" w:beforeAutospacing="0" w:after="0" w:afterAutospacing="0"/>
              <w:textAlignment w:val="baseline"/>
              <w:rPr>
                <w:rFonts w:ascii="Arial Narrow" w:hAnsi="Arial Narrow" w:cs="Open Sans"/>
                <w:color w:val="333333"/>
                <w:sz w:val="20"/>
                <w:szCs w:val="20"/>
              </w:rPr>
            </w:pPr>
            <w:r w:rsidRPr="00E5138C">
              <w:rPr>
                <w:rFonts w:ascii="Arial Narrow" w:hAnsi="Arial Narrow" w:cs="Open Sans"/>
                <w:color w:val="333333"/>
                <w:sz w:val="20"/>
                <w:szCs w:val="20"/>
              </w:rPr>
              <w:t>There are separate restrictions for both the initial and continuing treatment for psoriasis affecting the whole body, versus psoriasis affecting the face, hands and feet.</w:t>
            </w:r>
          </w:p>
          <w:p w14:paraId="4C0CAD14" w14:textId="77777777" w:rsidR="00593623" w:rsidRPr="00E5138C" w:rsidRDefault="00593623" w:rsidP="00593623">
            <w:pPr>
              <w:pStyle w:val="NormalWeb"/>
              <w:spacing w:before="0" w:beforeAutospacing="0" w:after="0" w:afterAutospacing="0"/>
              <w:textAlignment w:val="baseline"/>
              <w:rPr>
                <w:rFonts w:ascii="Arial Narrow" w:hAnsi="Arial Narrow" w:cs="Open Sans"/>
                <w:color w:val="333333"/>
                <w:sz w:val="20"/>
                <w:szCs w:val="20"/>
              </w:rPr>
            </w:pPr>
            <w:r w:rsidRPr="00E5138C">
              <w:rPr>
                <w:rFonts w:ascii="Arial Narrow" w:hAnsi="Arial Narrow" w:cs="Open Sans"/>
                <w:color w:val="333333"/>
                <w:sz w:val="20"/>
                <w:szCs w:val="20"/>
              </w:rPr>
              <w:t>(1) Initial treatment.</w:t>
            </w:r>
          </w:p>
          <w:p w14:paraId="1D58A6CB" w14:textId="77777777" w:rsidR="00593623" w:rsidRPr="00E5138C" w:rsidRDefault="00593623" w:rsidP="00593623">
            <w:pPr>
              <w:pStyle w:val="NormalWeb"/>
              <w:spacing w:before="0" w:beforeAutospacing="0" w:after="0" w:afterAutospacing="0"/>
              <w:textAlignment w:val="baseline"/>
              <w:rPr>
                <w:rFonts w:ascii="Arial Narrow" w:hAnsi="Arial Narrow" w:cs="Open Sans"/>
                <w:color w:val="333333"/>
                <w:sz w:val="20"/>
                <w:szCs w:val="20"/>
              </w:rPr>
            </w:pPr>
            <w:r w:rsidRPr="00E5138C">
              <w:rPr>
                <w:rFonts w:ascii="Arial Narrow" w:hAnsi="Arial Narrow" w:cs="Open Sans"/>
                <w:color w:val="333333"/>
                <w:sz w:val="20"/>
                <w:szCs w:val="20"/>
              </w:rPr>
              <w:t>An application for initial treatment should be made where:</w:t>
            </w:r>
          </w:p>
          <w:p w14:paraId="6D037B02" w14:textId="77777777" w:rsidR="00593623" w:rsidRPr="00E5138C" w:rsidRDefault="00593623" w:rsidP="00593623">
            <w:pPr>
              <w:pStyle w:val="NormalWeb"/>
              <w:spacing w:before="0" w:beforeAutospacing="0" w:after="0" w:afterAutospacing="0"/>
              <w:textAlignment w:val="baseline"/>
              <w:rPr>
                <w:rFonts w:ascii="Arial Narrow" w:hAnsi="Arial Narrow" w:cs="Open Sans"/>
                <w:color w:val="333333"/>
                <w:sz w:val="20"/>
                <w:szCs w:val="20"/>
              </w:rPr>
            </w:pPr>
            <w:r w:rsidRPr="00E5138C">
              <w:rPr>
                <w:rFonts w:ascii="Arial Narrow" w:hAnsi="Arial Narrow" w:cs="Open Sans"/>
                <w:color w:val="333333"/>
                <w:sz w:val="20"/>
                <w:szCs w:val="20"/>
              </w:rPr>
              <w:t>(i) a patient has not received prior PBS-subsidised biological medicine treatment for this condition and wishes to commence such therapy (Initial 1 - New patient); or</w:t>
            </w:r>
          </w:p>
          <w:p w14:paraId="3992DD95" w14:textId="77777777" w:rsidR="00593623" w:rsidRPr="00E5138C" w:rsidRDefault="00593623" w:rsidP="00593623">
            <w:pPr>
              <w:pStyle w:val="NormalWeb"/>
              <w:spacing w:before="0" w:beforeAutospacing="0" w:after="0" w:afterAutospacing="0"/>
              <w:textAlignment w:val="baseline"/>
              <w:rPr>
                <w:rFonts w:ascii="Arial Narrow" w:hAnsi="Arial Narrow" w:cs="Open Sans"/>
                <w:color w:val="333333"/>
                <w:sz w:val="20"/>
                <w:szCs w:val="20"/>
              </w:rPr>
            </w:pPr>
            <w:r w:rsidRPr="00E5138C">
              <w:rPr>
                <w:rFonts w:ascii="Arial Narrow" w:hAnsi="Arial Narrow" w:cs="Open Sans"/>
                <w:color w:val="333333"/>
                <w:sz w:val="20"/>
                <w:szCs w:val="20"/>
              </w:rPr>
              <w:t>(ii) a patient who has received prior PBS-subsidised biological medicine therapy for this condition (initial or continuing) and wishes to trial an alternate biological medicine (Initial 2 - Change or Recommencement of treatment after a break in biological medicine of less than 5 years) [further details are under (4) 'Swapping therapy' below]; or</w:t>
            </w:r>
          </w:p>
          <w:p w14:paraId="524B7FA9" w14:textId="77777777" w:rsidR="00593623" w:rsidRPr="00E5138C" w:rsidRDefault="00593623" w:rsidP="00593623">
            <w:pPr>
              <w:pStyle w:val="NormalWeb"/>
              <w:spacing w:before="0" w:beforeAutospacing="0" w:after="0" w:afterAutospacing="0"/>
              <w:textAlignment w:val="baseline"/>
              <w:rPr>
                <w:rFonts w:ascii="Arial Narrow" w:hAnsi="Arial Narrow" w:cs="Open Sans"/>
                <w:color w:val="333333"/>
                <w:sz w:val="20"/>
                <w:szCs w:val="20"/>
              </w:rPr>
            </w:pPr>
            <w:r w:rsidRPr="00E5138C">
              <w:rPr>
                <w:rFonts w:ascii="Arial Narrow" w:hAnsi="Arial Narrow" w:cs="Open Sans"/>
                <w:color w:val="333333"/>
                <w:sz w:val="20"/>
                <w:szCs w:val="20"/>
              </w:rPr>
              <w:t>(iii) a patient wishes to recommence treatment with a specific biological medicine following a break in PBS-subsidised therapy of less than 5 years with the same medicine (Initial 2 - Change or Recommencement of treatment after a break in biological medicine of less than 5 years).</w:t>
            </w:r>
          </w:p>
          <w:p w14:paraId="356D4AC4" w14:textId="77777777" w:rsidR="00593623" w:rsidRPr="00E5138C" w:rsidRDefault="00593623" w:rsidP="00593623">
            <w:pPr>
              <w:pStyle w:val="NormalWeb"/>
              <w:spacing w:before="0" w:beforeAutospacing="0" w:after="0" w:afterAutospacing="0"/>
              <w:textAlignment w:val="baseline"/>
              <w:rPr>
                <w:rFonts w:ascii="Arial Narrow" w:hAnsi="Arial Narrow" w:cs="Open Sans"/>
                <w:color w:val="333333"/>
                <w:sz w:val="20"/>
                <w:szCs w:val="20"/>
              </w:rPr>
            </w:pPr>
            <w:r w:rsidRPr="00E5138C">
              <w:rPr>
                <w:rFonts w:ascii="Arial Narrow" w:hAnsi="Arial Narrow" w:cs="Open Sans"/>
                <w:color w:val="333333"/>
                <w:sz w:val="20"/>
                <w:szCs w:val="20"/>
              </w:rPr>
              <w:t>(iv) a patient wishes to recommence treatment with a biological medicine following a break in PBS-subsidised therapy of more than 5 years (Initial 3 - Recommencement of treatment after a break in biological medicine of more than 5 years).</w:t>
            </w:r>
          </w:p>
          <w:p w14:paraId="3CDA08E9" w14:textId="77777777" w:rsidR="00593623" w:rsidRPr="00E5138C" w:rsidRDefault="00593623" w:rsidP="00593623">
            <w:pPr>
              <w:pStyle w:val="NormalWeb"/>
              <w:spacing w:before="0" w:beforeAutospacing="0" w:after="0" w:afterAutospacing="0"/>
              <w:textAlignment w:val="baseline"/>
              <w:rPr>
                <w:rFonts w:ascii="Arial Narrow" w:hAnsi="Arial Narrow" w:cs="Open Sans"/>
                <w:color w:val="333333"/>
                <w:sz w:val="20"/>
                <w:szCs w:val="20"/>
              </w:rPr>
            </w:pPr>
            <w:r w:rsidRPr="00E5138C">
              <w:rPr>
                <w:rFonts w:ascii="Arial Narrow" w:hAnsi="Arial Narrow" w:cs="Open Sans"/>
                <w:color w:val="333333"/>
                <w:sz w:val="20"/>
                <w:szCs w:val="20"/>
              </w:rPr>
              <w:t>An application for initial treatment will be limited to provide for a maximum of 16 weeks of therapy for adalimumab, etanercept, ixekizumab, and secukinumab, 20 weeks of therapy for guselkumab, 22 weeks of therapy for infliximab and 28 weeks of therapy for risankizumab, tildrakizumab and ustekinumab.</w:t>
            </w:r>
          </w:p>
          <w:p w14:paraId="1394A5F8" w14:textId="77777777" w:rsidR="00593623" w:rsidRPr="00E5138C" w:rsidRDefault="00593623" w:rsidP="00593623">
            <w:pPr>
              <w:pStyle w:val="NormalWeb"/>
              <w:spacing w:before="0" w:beforeAutospacing="0" w:after="0" w:afterAutospacing="0"/>
              <w:textAlignment w:val="baseline"/>
              <w:rPr>
                <w:rFonts w:ascii="Arial Narrow" w:hAnsi="Arial Narrow" w:cs="Open Sans"/>
                <w:color w:val="333333"/>
                <w:sz w:val="20"/>
                <w:szCs w:val="20"/>
              </w:rPr>
            </w:pPr>
            <w:r w:rsidRPr="00E5138C">
              <w:rPr>
                <w:rFonts w:ascii="Arial Narrow" w:hAnsi="Arial Narrow" w:cs="Open Sans"/>
                <w:color w:val="333333"/>
                <w:sz w:val="20"/>
                <w:szCs w:val="20"/>
              </w:rPr>
              <w:lastRenderedPageBreak/>
              <w:t>It is recommended that a patient is reviewed for response following a minimum of 12 weeks of therapy and no later than 4 weeks from the completion of their course of initial treatment to ensure uninterrupted biological medicine supply.</w:t>
            </w:r>
          </w:p>
          <w:p w14:paraId="48AFCDF8" w14:textId="77777777" w:rsidR="00593623" w:rsidRPr="00E5138C" w:rsidRDefault="00593623" w:rsidP="00593623">
            <w:pPr>
              <w:pStyle w:val="NormalWeb"/>
              <w:spacing w:before="0" w:beforeAutospacing="0" w:after="0" w:afterAutospacing="0"/>
              <w:textAlignment w:val="baseline"/>
              <w:rPr>
                <w:rFonts w:ascii="Arial Narrow" w:hAnsi="Arial Narrow" w:cs="Open Sans"/>
                <w:color w:val="333333"/>
                <w:sz w:val="20"/>
                <w:szCs w:val="20"/>
              </w:rPr>
            </w:pPr>
            <w:r w:rsidRPr="00E5138C">
              <w:rPr>
                <w:rFonts w:ascii="Arial Narrow" w:hAnsi="Arial Narrow" w:cs="Open Sans"/>
                <w:color w:val="333333"/>
                <w:sz w:val="20"/>
                <w:szCs w:val="20"/>
              </w:rPr>
              <w:t>Grandfather patients (risankizumab</w:t>
            </w:r>
            <w:r>
              <w:rPr>
                <w:rFonts w:ascii="Arial Narrow" w:hAnsi="Arial Narrow" w:cs="Open Sans"/>
                <w:color w:val="333333"/>
                <w:sz w:val="20"/>
                <w:szCs w:val="20"/>
              </w:rPr>
              <w:t xml:space="preserve"> and</w:t>
            </w:r>
            <w:r w:rsidRPr="003D6B22">
              <w:rPr>
                <w:rFonts w:ascii="Arial Narrow" w:hAnsi="Arial Narrow" w:cs="Open Sans"/>
                <w:i/>
                <w:iCs/>
                <w:color w:val="333333"/>
                <w:sz w:val="20"/>
                <w:szCs w:val="20"/>
              </w:rPr>
              <w:t xml:space="preserve"> tildrakizumab</w:t>
            </w:r>
            <w:r w:rsidRPr="00E5138C">
              <w:rPr>
                <w:rFonts w:ascii="Arial Narrow" w:hAnsi="Arial Narrow" w:cs="Open Sans"/>
                <w:color w:val="333333"/>
                <w:sz w:val="20"/>
                <w:szCs w:val="20"/>
              </w:rPr>
              <w:t xml:space="preserve"> only).</w:t>
            </w:r>
          </w:p>
          <w:p w14:paraId="1B7D89C0" w14:textId="77777777" w:rsidR="00593623" w:rsidRPr="00E5138C" w:rsidRDefault="00593623" w:rsidP="00593623">
            <w:pPr>
              <w:pStyle w:val="NormalWeb"/>
              <w:spacing w:before="0" w:beforeAutospacing="0" w:after="0" w:afterAutospacing="0"/>
              <w:textAlignment w:val="baseline"/>
              <w:rPr>
                <w:rFonts w:ascii="Arial Narrow" w:hAnsi="Arial Narrow" w:cs="Open Sans"/>
                <w:color w:val="333333"/>
                <w:sz w:val="20"/>
                <w:szCs w:val="20"/>
              </w:rPr>
            </w:pPr>
            <w:r w:rsidRPr="00E5138C">
              <w:rPr>
                <w:rFonts w:ascii="Arial Narrow" w:hAnsi="Arial Narrow" w:cs="Open Sans"/>
                <w:color w:val="333333"/>
                <w:sz w:val="20"/>
                <w:szCs w:val="20"/>
              </w:rPr>
              <w:t>A patient who commenced treatment with risankizumab for chronic plaque psoriasis prior to 1 August 2022</w:t>
            </w:r>
            <w:r>
              <w:rPr>
                <w:rFonts w:ascii="Arial Narrow" w:hAnsi="Arial Narrow" w:cs="Open Sans"/>
                <w:color w:val="333333"/>
                <w:sz w:val="20"/>
                <w:szCs w:val="20"/>
              </w:rPr>
              <w:t xml:space="preserve">, </w:t>
            </w:r>
            <w:r w:rsidRPr="001B1F80">
              <w:rPr>
                <w:rFonts w:ascii="Arial Narrow" w:hAnsi="Arial Narrow" w:cs="Open Sans"/>
                <w:i/>
                <w:iCs/>
                <w:color w:val="333333"/>
                <w:sz w:val="20"/>
                <w:szCs w:val="20"/>
              </w:rPr>
              <w:t>or tildrakizumab</w:t>
            </w:r>
            <w:r>
              <w:rPr>
                <w:rFonts w:ascii="Arial Narrow" w:hAnsi="Arial Narrow" w:cs="Open Sans"/>
                <w:color w:val="333333"/>
                <w:sz w:val="20"/>
                <w:szCs w:val="20"/>
              </w:rPr>
              <w:t xml:space="preserve"> </w:t>
            </w:r>
            <w:r>
              <w:rPr>
                <w:rFonts w:ascii="Arial Narrow" w:hAnsi="Arial Narrow" w:cs="Open Sans"/>
                <w:i/>
                <w:iCs/>
                <w:color w:val="333333"/>
                <w:sz w:val="20"/>
                <w:szCs w:val="20"/>
              </w:rPr>
              <w:t>prior to [date of listing],</w:t>
            </w:r>
            <w:r w:rsidRPr="00E5138C">
              <w:rPr>
                <w:rFonts w:ascii="Arial Narrow" w:hAnsi="Arial Narrow" w:cs="Open Sans"/>
                <w:color w:val="333333"/>
                <w:sz w:val="20"/>
                <w:szCs w:val="20"/>
              </w:rPr>
              <w:t xml:space="preserve"> and who continues to receive treatment at the time of application, may qualify for treatment under the Initial treatment Grandfather treatment restriction.</w:t>
            </w:r>
          </w:p>
          <w:p w14:paraId="3A1A3862" w14:textId="77777777" w:rsidR="00593623" w:rsidRPr="00E5138C" w:rsidRDefault="00593623" w:rsidP="00593623">
            <w:pPr>
              <w:pStyle w:val="NormalWeb"/>
              <w:spacing w:before="0" w:beforeAutospacing="0" w:after="0" w:afterAutospacing="0"/>
              <w:textAlignment w:val="baseline"/>
              <w:rPr>
                <w:rFonts w:ascii="Arial Narrow" w:hAnsi="Arial Narrow" w:cs="Open Sans"/>
                <w:color w:val="333333"/>
                <w:sz w:val="20"/>
                <w:szCs w:val="20"/>
              </w:rPr>
            </w:pPr>
            <w:r w:rsidRPr="00E5138C">
              <w:rPr>
                <w:rFonts w:ascii="Arial Narrow" w:hAnsi="Arial Narrow" w:cs="Open Sans"/>
                <w:color w:val="333333"/>
                <w:sz w:val="20"/>
                <w:szCs w:val="20"/>
              </w:rPr>
              <w:t>(2) Assessment of response to initial treatment.</w:t>
            </w:r>
          </w:p>
          <w:p w14:paraId="1AF1D2D5" w14:textId="77777777" w:rsidR="00593623" w:rsidRPr="00E5138C" w:rsidRDefault="00593623" w:rsidP="00593623">
            <w:pPr>
              <w:pStyle w:val="NormalWeb"/>
              <w:spacing w:before="0" w:beforeAutospacing="0" w:after="0" w:afterAutospacing="0"/>
              <w:textAlignment w:val="baseline"/>
              <w:rPr>
                <w:rFonts w:ascii="Arial Narrow" w:hAnsi="Arial Narrow" w:cs="Open Sans"/>
                <w:color w:val="333333"/>
                <w:sz w:val="20"/>
                <w:szCs w:val="20"/>
              </w:rPr>
            </w:pPr>
            <w:r w:rsidRPr="00E5138C">
              <w:rPr>
                <w:rFonts w:ascii="Arial Narrow" w:hAnsi="Arial Narrow" w:cs="Open Sans"/>
                <w:color w:val="333333"/>
                <w:sz w:val="20"/>
                <w:szCs w:val="20"/>
              </w:rPr>
              <w:t>When prescribing initial treatment with a biological medicine, it is recommended that a PASI assessment is conducted after at least 12 weeks of treatment and no later than 4 weeks from the completion of this initial treatment course.</w:t>
            </w:r>
          </w:p>
          <w:p w14:paraId="4A31F6F1" w14:textId="77777777" w:rsidR="00593623" w:rsidRPr="00E5138C" w:rsidRDefault="00593623" w:rsidP="00593623">
            <w:pPr>
              <w:pStyle w:val="NormalWeb"/>
              <w:spacing w:before="0" w:beforeAutospacing="0" w:after="0" w:afterAutospacing="0"/>
              <w:textAlignment w:val="baseline"/>
              <w:rPr>
                <w:rFonts w:ascii="Arial Narrow" w:hAnsi="Arial Narrow" w:cs="Open Sans"/>
                <w:color w:val="333333"/>
                <w:sz w:val="20"/>
                <w:szCs w:val="20"/>
              </w:rPr>
            </w:pPr>
            <w:r w:rsidRPr="00E5138C">
              <w:rPr>
                <w:rFonts w:ascii="Arial Narrow" w:hAnsi="Arial Narrow" w:cs="Open Sans"/>
                <w:color w:val="333333"/>
                <w:sz w:val="20"/>
                <w:szCs w:val="20"/>
              </w:rPr>
              <w:t>The PASI assessment for continuing treatment must be performed on the same affected area as assessed at baseline.</w:t>
            </w:r>
          </w:p>
          <w:p w14:paraId="79DB52EA" w14:textId="77777777" w:rsidR="00593623" w:rsidRPr="00E5138C" w:rsidRDefault="00593623" w:rsidP="00593623">
            <w:pPr>
              <w:pStyle w:val="NormalWeb"/>
              <w:spacing w:before="0" w:beforeAutospacing="0" w:after="0" w:afterAutospacing="0"/>
              <w:textAlignment w:val="baseline"/>
              <w:rPr>
                <w:rFonts w:ascii="Arial Narrow" w:hAnsi="Arial Narrow" w:cs="Open Sans"/>
                <w:color w:val="333333"/>
                <w:sz w:val="20"/>
                <w:szCs w:val="20"/>
              </w:rPr>
            </w:pPr>
            <w:r w:rsidRPr="00E5138C">
              <w:rPr>
                <w:rFonts w:ascii="Arial Narrow" w:hAnsi="Arial Narrow" w:cs="Open Sans"/>
                <w:color w:val="333333"/>
                <w:sz w:val="20"/>
                <w:szCs w:val="20"/>
              </w:rPr>
              <w:t>(3) Continuing treatment.</w:t>
            </w:r>
          </w:p>
          <w:p w14:paraId="6E08D344" w14:textId="77777777" w:rsidR="00593623" w:rsidRPr="00E5138C" w:rsidRDefault="00593623" w:rsidP="00593623">
            <w:pPr>
              <w:pStyle w:val="NormalWeb"/>
              <w:spacing w:before="0" w:beforeAutospacing="0" w:after="0" w:afterAutospacing="0"/>
              <w:textAlignment w:val="baseline"/>
              <w:rPr>
                <w:rFonts w:ascii="Arial Narrow" w:hAnsi="Arial Narrow" w:cs="Open Sans"/>
                <w:color w:val="333333"/>
                <w:sz w:val="20"/>
                <w:szCs w:val="20"/>
              </w:rPr>
            </w:pPr>
            <w:r w:rsidRPr="00E5138C">
              <w:rPr>
                <w:rFonts w:ascii="Arial Narrow" w:hAnsi="Arial Narrow" w:cs="Open Sans"/>
                <w:color w:val="333333"/>
                <w:sz w:val="20"/>
                <w:szCs w:val="20"/>
              </w:rPr>
              <w:t>Following the completion of an initial treatment course with a specific biological medicine, a patient may qualify to receive up to 24 weeks of continuing treatment with that drug providing they have demonstrated an adequate response to treatment. The patient remains eligible to receive continuing biological medicine treatment with the same drug in courses of up to 24 weeks providing they continue to sustain the response. It is recommended that a patient is reviewed for response following a minimum of 12 weeks of therapy and no later than 4 weeks from the completion of the most recent course of treatment.</w:t>
            </w:r>
          </w:p>
          <w:p w14:paraId="639DC612" w14:textId="77777777" w:rsidR="00593623" w:rsidRPr="00E5138C" w:rsidRDefault="00593623" w:rsidP="00593623">
            <w:pPr>
              <w:pStyle w:val="NormalWeb"/>
              <w:spacing w:before="0" w:beforeAutospacing="0" w:after="0" w:afterAutospacing="0"/>
              <w:textAlignment w:val="baseline"/>
              <w:rPr>
                <w:rFonts w:ascii="Arial Narrow" w:hAnsi="Arial Narrow" w:cs="Open Sans"/>
                <w:color w:val="333333"/>
                <w:sz w:val="20"/>
                <w:szCs w:val="20"/>
              </w:rPr>
            </w:pPr>
            <w:r w:rsidRPr="00E5138C">
              <w:rPr>
                <w:rFonts w:ascii="Arial Narrow" w:hAnsi="Arial Narrow" w:cs="Open Sans"/>
                <w:color w:val="333333"/>
                <w:sz w:val="20"/>
                <w:szCs w:val="20"/>
              </w:rPr>
              <w:t>A patient must be assessed for response to a course of continuing therapy, and the assessment must be submitted to Services Australia where applicable. Where a response assessment is not submitted where applicable, the patient will be deemed to have failed to respond to treatment with that biological medicine, unless the patient has experienced a serious adverse reaction of a severity resulting in the necessity for permanent withdrawal of treatment.</w:t>
            </w:r>
          </w:p>
          <w:p w14:paraId="36C48FCF" w14:textId="77777777" w:rsidR="00593623" w:rsidRPr="00E5138C" w:rsidRDefault="00593623" w:rsidP="00593623">
            <w:pPr>
              <w:pStyle w:val="NormalWeb"/>
              <w:spacing w:before="0" w:beforeAutospacing="0" w:after="0" w:afterAutospacing="0"/>
              <w:textAlignment w:val="baseline"/>
              <w:rPr>
                <w:rFonts w:ascii="Arial Narrow" w:hAnsi="Arial Narrow" w:cs="Open Sans"/>
                <w:color w:val="333333"/>
                <w:sz w:val="20"/>
                <w:szCs w:val="20"/>
              </w:rPr>
            </w:pPr>
            <w:r w:rsidRPr="00E5138C">
              <w:rPr>
                <w:rFonts w:ascii="Arial Narrow" w:hAnsi="Arial Narrow" w:cs="Open Sans"/>
                <w:color w:val="333333"/>
                <w:sz w:val="20"/>
                <w:szCs w:val="20"/>
              </w:rPr>
              <w:t>Infliximab, adalimumab and etanercept only:</w:t>
            </w:r>
          </w:p>
          <w:p w14:paraId="2DCDC7ED" w14:textId="77777777" w:rsidR="00593623" w:rsidRPr="00E5138C" w:rsidRDefault="00593623" w:rsidP="00593623">
            <w:pPr>
              <w:pStyle w:val="NormalWeb"/>
              <w:spacing w:before="0" w:beforeAutospacing="0" w:after="0" w:afterAutospacing="0"/>
              <w:textAlignment w:val="baseline"/>
              <w:rPr>
                <w:rFonts w:ascii="Arial Narrow" w:hAnsi="Arial Narrow" w:cs="Open Sans"/>
                <w:color w:val="333333"/>
                <w:sz w:val="20"/>
                <w:szCs w:val="20"/>
              </w:rPr>
            </w:pPr>
            <w:r w:rsidRPr="00E5138C">
              <w:rPr>
                <w:rFonts w:ascii="Arial Narrow" w:hAnsi="Arial Narrow" w:cs="Open Sans"/>
                <w:color w:val="333333"/>
                <w:sz w:val="20"/>
                <w:szCs w:val="20"/>
              </w:rPr>
              <w:t>For the first continuing treatment course of PBS-subsidised biological medicine treatment, it is recommended that a patient is reviewed for response following a minimum of 12 weeks of therapy under the Initial 1 or Initial 2 treatment restrictions.</w:t>
            </w:r>
          </w:p>
          <w:p w14:paraId="4A7B8CC3" w14:textId="77777777" w:rsidR="00593623" w:rsidRPr="00E5138C" w:rsidRDefault="00593623" w:rsidP="00593623">
            <w:pPr>
              <w:pStyle w:val="NormalWeb"/>
              <w:spacing w:before="0" w:beforeAutospacing="0" w:after="0" w:afterAutospacing="0"/>
              <w:textAlignment w:val="baseline"/>
              <w:rPr>
                <w:rFonts w:ascii="Arial Narrow" w:hAnsi="Arial Narrow" w:cs="Open Sans"/>
                <w:color w:val="333333"/>
                <w:sz w:val="20"/>
                <w:szCs w:val="20"/>
              </w:rPr>
            </w:pPr>
            <w:r w:rsidRPr="00E5138C">
              <w:rPr>
                <w:rFonts w:ascii="Arial Narrow" w:hAnsi="Arial Narrow" w:cs="Open Sans"/>
                <w:color w:val="333333"/>
                <w:sz w:val="20"/>
                <w:szCs w:val="20"/>
              </w:rPr>
              <w:t>For second and subsequent continuing courses of PBS-subsidised biological medicine treatment, it is recommended that a patient is reviewed for response following a minimum of 12 weeks of therapy and no later than 4 weeks from the completion of the most recent course of treatment.</w:t>
            </w:r>
          </w:p>
          <w:p w14:paraId="00D4017D" w14:textId="77777777" w:rsidR="00593623" w:rsidRPr="00E5138C" w:rsidRDefault="00593623" w:rsidP="00593623">
            <w:pPr>
              <w:pStyle w:val="NormalWeb"/>
              <w:spacing w:before="0" w:beforeAutospacing="0" w:after="0" w:afterAutospacing="0"/>
              <w:textAlignment w:val="baseline"/>
              <w:rPr>
                <w:rFonts w:ascii="Arial Narrow" w:hAnsi="Arial Narrow" w:cs="Open Sans"/>
                <w:color w:val="333333"/>
                <w:sz w:val="20"/>
                <w:szCs w:val="20"/>
              </w:rPr>
            </w:pPr>
            <w:r w:rsidRPr="00E5138C">
              <w:rPr>
                <w:rFonts w:ascii="Arial Narrow" w:hAnsi="Arial Narrow" w:cs="Open Sans"/>
                <w:color w:val="333333"/>
                <w:sz w:val="20"/>
                <w:szCs w:val="20"/>
              </w:rPr>
              <w:t>(4) Swapping therapy.</w:t>
            </w:r>
          </w:p>
          <w:p w14:paraId="6049DA6C" w14:textId="77777777" w:rsidR="00593623" w:rsidRPr="00E5138C" w:rsidRDefault="00593623" w:rsidP="00593623">
            <w:pPr>
              <w:pStyle w:val="NormalWeb"/>
              <w:spacing w:before="0" w:beforeAutospacing="0" w:after="0" w:afterAutospacing="0"/>
              <w:textAlignment w:val="baseline"/>
              <w:rPr>
                <w:rFonts w:ascii="Arial Narrow" w:hAnsi="Arial Narrow" w:cs="Open Sans"/>
                <w:color w:val="333333"/>
                <w:sz w:val="20"/>
                <w:szCs w:val="20"/>
              </w:rPr>
            </w:pPr>
            <w:r w:rsidRPr="00E5138C">
              <w:rPr>
                <w:rFonts w:ascii="Arial Narrow" w:hAnsi="Arial Narrow" w:cs="Open Sans"/>
                <w:color w:val="333333"/>
                <w:sz w:val="20"/>
                <w:szCs w:val="20"/>
              </w:rPr>
              <w:t>Once initial treatment with the first PBS-subsidised biological medicine is approved, a patient may swap to an alternate biological medicine without having to requalify with respect to the indices of disease severity (i.e. a PASI score of greater than 15), or the prior non-biological therapy requirements, except if the patient has had a break in therapy of more than 5 years who would need to requalify with respect to the indices of disease severity.</w:t>
            </w:r>
          </w:p>
          <w:p w14:paraId="0C4D3C0D" w14:textId="77777777" w:rsidR="00593623" w:rsidRPr="00E5138C" w:rsidRDefault="00593623" w:rsidP="00593623">
            <w:pPr>
              <w:pStyle w:val="NormalWeb"/>
              <w:spacing w:before="0" w:beforeAutospacing="0" w:after="0" w:afterAutospacing="0"/>
              <w:textAlignment w:val="baseline"/>
              <w:rPr>
                <w:rFonts w:ascii="Arial Narrow" w:hAnsi="Arial Narrow" w:cs="Open Sans"/>
                <w:color w:val="333333"/>
                <w:sz w:val="20"/>
                <w:szCs w:val="20"/>
              </w:rPr>
            </w:pPr>
            <w:r w:rsidRPr="00E5138C">
              <w:rPr>
                <w:rFonts w:ascii="Arial Narrow" w:hAnsi="Arial Narrow" w:cs="Open Sans"/>
                <w:color w:val="333333"/>
                <w:sz w:val="20"/>
                <w:szCs w:val="20"/>
              </w:rPr>
              <w:t>A patient who is not able to complete a minimum of 12 weeks of an initial treatment course will be deemed to have failed treatment with that biological medicine unless the patient has experienced a serious adverse reaction of a severity resulting in the necessity for permanent withdrawal of treatment.</w:t>
            </w:r>
          </w:p>
          <w:p w14:paraId="0A05835C" w14:textId="77777777" w:rsidR="00593623" w:rsidRPr="00E5138C" w:rsidRDefault="00593623" w:rsidP="00593623">
            <w:pPr>
              <w:pStyle w:val="NormalWeb"/>
              <w:spacing w:before="0" w:beforeAutospacing="0" w:after="0" w:afterAutospacing="0"/>
              <w:textAlignment w:val="baseline"/>
              <w:rPr>
                <w:rFonts w:ascii="Arial Narrow" w:hAnsi="Arial Narrow" w:cs="Open Sans"/>
                <w:color w:val="333333"/>
                <w:sz w:val="20"/>
                <w:szCs w:val="20"/>
              </w:rPr>
            </w:pPr>
            <w:r w:rsidRPr="00E5138C">
              <w:rPr>
                <w:rFonts w:ascii="Arial Narrow" w:hAnsi="Arial Narrow" w:cs="Open Sans"/>
                <w:color w:val="333333"/>
                <w:sz w:val="20"/>
                <w:szCs w:val="20"/>
              </w:rPr>
              <w:t>A patient may trial an alternate biological medicine at any time, regardless of whether they are receiving therapy (initial or continuing) with a biological medicine at the time of the application. However, they cannot swap to a particular biological medicine if they have failed to respond to prior treatment with that particular biological medicine within the same cycle or have experienced treatment failure with that particular biological medicine that required permanent treatment withdrawal.</w:t>
            </w:r>
          </w:p>
          <w:p w14:paraId="108D2296" w14:textId="77777777" w:rsidR="00593623" w:rsidRPr="00E5138C" w:rsidRDefault="00593623" w:rsidP="00593623">
            <w:pPr>
              <w:pStyle w:val="NormalWeb"/>
              <w:spacing w:before="0" w:beforeAutospacing="0" w:after="0" w:afterAutospacing="0"/>
              <w:textAlignment w:val="baseline"/>
              <w:rPr>
                <w:rFonts w:ascii="Arial Narrow" w:hAnsi="Arial Narrow" w:cs="Open Sans"/>
                <w:color w:val="333333"/>
                <w:sz w:val="20"/>
                <w:szCs w:val="20"/>
              </w:rPr>
            </w:pPr>
            <w:r w:rsidRPr="00E5138C">
              <w:rPr>
                <w:rFonts w:ascii="Arial Narrow" w:hAnsi="Arial Narrow" w:cs="Open Sans"/>
                <w:color w:val="333333"/>
                <w:sz w:val="20"/>
                <w:szCs w:val="20"/>
              </w:rPr>
              <w:t>To ensure a patient receives the maximum treatment opportunities allowed under these arrangements, it is important that they are assessed for response to every course of treatment.</w:t>
            </w:r>
          </w:p>
          <w:p w14:paraId="117496E2" w14:textId="77777777" w:rsidR="00593623" w:rsidRPr="00E5138C" w:rsidRDefault="00593623" w:rsidP="00593623">
            <w:pPr>
              <w:pStyle w:val="NormalWeb"/>
              <w:spacing w:before="0" w:beforeAutospacing="0" w:after="0" w:afterAutospacing="0"/>
              <w:textAlignment w:val="baseline"/>
              <w:rPr>
                <w:rFonts w:ascii="Arial Narrow" w:hAnsi="Arial Narrow" w:cs="Open Sans"/>
                <w:color w:val="333333"/>
                <w:sz w:val="20"/>
                <w:szCs w:val="20"/>
              </w:rPr>
            </w:pPr>
            <w:r w:rsidRPr="00E5138C">
              <w:rPr>
                <w:rFonts w:ascii="Arial Narrow" w:hAnsi="Arial Narrow" w:cs="Open Sans"/>
                <w:color w:val="333333"/>
                <w:sz w:val="20"/>
                <w:szCs w:val="20"/>
              </w:rPr>
              <w:t>(5) Baseline measurements to determine response.</w:t>
            </w:r>
          </w:p>
          <w:p w14:paraId="40CD0D08" w14:textId="77777777" w:rsidR="00593623" w:rsidRPr="00E5138C" w:rsidRDefault="00593623" w:rsidP="00593623">
            <w:pPr>
              <w:pStyle w:val="NormalWeb"/>
              <w:spacing w:before="0" w:beforeAutospacing="0" w:after="0" w:afterAutospacing="0"/>
              <w:textAlignment w:val="baseline"/>
              <w:rPr>
                <w:rFonts w:ascii="Arial Narrow" w:hAnsi="Arial Narrow" w:cs="Open Sans"/>
                <w:color w:val="333333"/>
                <w:sz w:val="20"/>
                <w:szCs w:val="20"/>
              </w:rPr>
            </w:pPr>
            <w:r w:rsidRPr="00E5138C">
              <w:rPr>
                <w:rFonts w:ascii="Arial Narrow" w:hAnsi="Arial Narrow" w:cs="Open Sans"/>
                <w:color w:val="333333"/>
                <w:sz w:val="20"/>
                <w:szCs w:val="20"/>
              </w:rPr>
              <w:t xml:space="preserve">A response to treatment is to be determined by comparison of current disease activity measurements relative to the baseline PASI assessment submitted with the first authority application for a biological medicine. However, prescribers may provide new baseline PASI assessments any time that an initial or change or recommencement treatment application is submitted within a treatment cycle and this </w:t>
            </w:r>
            <w:r w:rsidRPr="00E5138C">
              <w:rPr>
                <w:rFonts w:ascii="Arial Narrow" w:hAnsi="Arial Narrow" w:cs="Open Sans"/>
                <w:color w:val="333333"/>
                <w:sz w:val="20"/>
                <w:szCs w:val="20"/>
              </w:rPr>
              <w:lastRenderedPageBreak/>
              <w:t>revised baseline PASI score will be used to assess the patient's response to the PBS-subsidised treatment.</w:t>
            </w:r>
          </w:p>
          <w:p w14:paraId="1579B6D6" w14:textId="77777777" w:rsidR="00593623" w:rsidRPr="00E5138C" w:rsidRDefault="00593623" w:rsidP="00593623">
            <w:pPr>
              <w:pStyle w:val="NormalWeb"/>
              <w:spacing w:before="0" w:beforeAutospacing="0" w:after="0" w:afterAutospacing="0"/>
              <w:textAlignment w:val="baseline"/>
              <w:rPr>
                <w:rFonts w:ascii="Arial Narrow" w:hAnsi="Arial Narrow" w:cs="Open Sans"/>
                <w:color w:val="333333"/>
                <w:sz w:val="20"/>
                <w:szCs w:val="20"/>
              </w:rPr>
            </w:pPr>
            <w:r w:rsidRPr="00E5138C">
              <w:rPr>
                <w:rFonts w:ascii="Arial Narrow" w:hAnsi="Arial Narrow" w:cs="Open Sans"/>
                <w:color w:val="333333"/>
                <w:sz w:val="20"/>
                <w:szCs w:val="20"/>
              </w:rPr>
              <w:t>To ensure consistency in determining response, the same body area assessed at the baseline PASI assessment must be assessed for demonstration of response to treatment for the purposes of all continuing treatments.</w:t>
            </w:r>
          </w:p>
          <w:p w14:paraId="7967FBCB" w14:textId="77777777" w:rsidR="00593623" w:rsidRPr="00E5138C" w:rsidRDefault="00593623" w:rsidP="00593623">
            <w:pPr>
              <w:pStyle w:val="NormalWeb"/>
              <w:spacing w:before="0" w:beforeAutospacing="0" w:after="0" w:afterAutospacing="0"/>
              <w:textAlignment w:val="baseline"/>
              <w:rPr>
                <w:rFonts w:ascii="Arial Narrow" w:hAnsi="Arial Narrow" w:cs="Open Sans"/>
                <w:color w:val="333333"/>
                <w:sz w:val="20"/>
                <w:szCs w:val="20"/>
              </w:rPr>
            </w:pPr>
            <w:r w:rsidRPr="00E5138C">
              <w:rPr>
                <w:rFonts w:ascii="Arial Narrow" w:hAnsi="Arial Narrow" w:cs="Open Sans"/>
                <w:color w:val="333333"/>
                <w:sz w:val="20"/>
                <w:szCs w:val="20"/>
              </w:rPr>
              <w:t>(6) Recommencement of treatment after a 5-year break in PBS-subsidised therapy.</w:t>
            </w:r>
          </w:p>
          <w:p w14:paraId="0E0162B6" w14:textId="25338299" w:rsidR="00593623" w:rsidRPr="001428E9" w:rsidRDefault="00593623" w:rsidP="00593623">
            <w:pPr>
              <w:keepNext/>
              <w:keepLines/>
              <w:rPr>
                <w:rFonts w:ascii="Arial Narrow" w:hAnsi="Arial Narrow" w:cs="Arial"/>
                <w:b/>
                <w:sz w:val="20"/>
                <w:szCs w:val="20"/>
              </w:rPr>
            </w:pPr>
            <w:r w:rsidRPr="00E5138C">
              <w:rPr>
                <w:rFonts w:ascii="Arial Narrow" w:hAnsi="Arial Narrow" w:cs="Open Sans"/>
                <w:color w:val="333333"/>
                <w:sz w:val="20"/>
                <w:szCs w:val="20"/>
              </w:rPr>
              <w:t>A patient who wishes to trial a second or subsequent treatment cycle following a break in PBS-subsidised biological therapy of at least 5 years, must qualify under Initial 3 treatment according to the criteria of the relevant restriction and index of disease severity. A PASI assessment must be conducted prior to application and patient must have a PASI score of greater than 15 for whole body. For the face, hand, foot at least 2 of the 3 PASI symptom subscores for erythema, thickness and scaling are rated as severe or very severe; or the skin area affected is 30% or more of the face, palm of a hand or sole of a foot. The PASI assessment must be no older than 4 weeks at the time of application.</w:t>
            </w:r>
          </w:p>
        </w:tc>
      </w:tr>
      <w:tr w:rsidR="00593623" w:rsidRPr="00C02D56" w14:paraId="7D093814" w14:textId="77777777" w:rsidTr="0061412E">
        <w:tblPrEx>
          <w:tblCellMar>
            <w:top w:w="15" w:type="dxa"/>
            <w:bottom w:w="15" w:type="dxa"/>
          </w:tblCellMar>
        </w:tblPrEx>
        <w:trPr>
          <w:cantSplit/>
          <w:trHeight w:val="20"/>
        </w:trPr>
        <w:tc>
          <w:tcPr>
            <w:tcW w:w="562" w:type="dxa"/>
            <w:vMerge w:val="restart"/>
            <w:tcBorders>
              <w:left w:val="single" w:sz="4" w:space="0" w:color="auto"/>
              <w:right w:val="single" w:sz="4" w:space="0" w:color="auto"/>
            </w:tcBorders>
            <w:vAlign w:val="center"/>
          </w:tcPr>
          <w:p w14:paraId="49F44C8B" w14:textId="28311C3B" w:rsidR="00593623" w:rsidRPr="001428E9" w:rsidRDefault="00593623" w:rsidP="00593623">
            <w:pPr>
              <w:rPr>
                <w:rFonts w:ascii="Arial Narrow" w:hAnsi="Arial Narrow" w:cs="Arial"/>
                <w:sz w:val="20"/>
                <w:szCs w:val="20"/>
              </w:rPr>
            </w:pPr>
            <w:r>
              <w:rPr>
                <w:rFonts w:ascii="Arial Narrow" w:hAnsi="Arial Narrow"/>
                <w:color w:val="333333"/>
                <w:sz w:val="20"/>
                <w:szCs w:val="20"/>
              </w:rPr>
              <w:lastRenderedPageBreak/>
              <w:t>PR level</w:t>
            </w:r>
          </w:p>
        </w:tc>
        <w:tc>
          <w:tcPr>
            <w:tcW w:w="709" w:type="dxa"/>
            <w:tcBorders>
              <w:left w:val="single" w:sz="4" w:space="0" w:color="auto"/>
              <w:bottom w:val="single" w:sz="4" w:space="0" w:color="auto"/>
              <w:right w:val="single" w:sz="4" w:space="0" w:color="auto"/>
            </w:tcBorders>
          </w:tcPr>
          <w:p w14:paraId="46D3CB4C" w14:textId="50239741" w:rsidR="00593623" w:rsidRPr="001428E9" w:rsidRDefault="00593623" w:rsidP="00593623">
            <w:pPr>
              <w:rPr>
                <w:rFonts w:ascii="Arial Narrow" w:hAnsi="Arial Narrow" w:cs="Arial"/>
                <w:sz w:val="20"/>
                <w:szCs w:val="20"/>
              </w:rPr>
            </w:pPr>
          </w:p>
        </w:tc>
        <w:tc>
          <w:tcPr>
            <w:tcW w:w="7745" w:type="dxa"/>
            <w:gridSpan w:val="6"/>
            <w:tcBorders>
              <w:top w:val="single" w:sz="4" w:space="0" w:color="auto"/>
              <w:left w:val="single" w:sz="4" w:space="0" w:color="auto"/>
              <w:bottom w:val="single" w:sz="4" w:space="0" w:color="auto"/>
              <w:right w:val="single" w:sz="4" w:space="0" w:color="auto"/>
            </w:tcBorders>
          </w:tcPr>
          <w:p w14:paraId="5B8879FC" w14:textId="77777777" w:rsidR="00593623" w:rsidRPr="00E5138C" w:rsidRDefault="00593623" w:rsidP="00593623">
            <w:pPr>
              <w:pStyle w:val="NormalWeb"/>
              <w:spacing w:before="0" w:beforeAutospacing="0" w:after="0" w:afterAutospacing="0"/>
              <w:textAlignment w:val="baseline"/>
              <w:rPr>
                <w:rFonts w:ascii="Arial Narrow" w:hAnsi="Arial Narrow" w:cs="Open Sans"/>
                <w:color w:val="333333"/>
                <w:sz w:val="20"/>
                <w:szCs w:val="20"/>
              </w:rPr>
            </w:pPr>
            <w:r w:rsidRPr="00E5138C">
              <w:rPr>
                <w:rStyle w:val="Strong"/>
                <w:rFonts w:ascii="Arial Narrow" w:hAnsi="Arial Narrow" w:cs="Open Sans"/>
                <w:color w:val="333333"/>
                <w:sz w:val="20"/>
                <w:szCs w:val="20"/>
                <w:bdr w:val="none" w:sz="0" w:space="0" w:color="auto" w:frame="1"/>
              </w:rPr>
              <w:t>Administrative Advice:</w:t>
            </w:r>
          </w:p>
          <w:p w14:paraId="462B0FC8" w14:textId="1DBC977C" w:rsidR="00593623" w:rsidRPr="001428E9" w:rsidRDefault="00593623" w:rsidP="00593623">
            <w:pPr>
              <w:keepNext/>
              <w:keepLines/>
              <w:rPr>
                <w:rFonts w:ascii="Arial Narrow" w:hAnsi="Arial Narrow" w:cs="Arial"/>
                <w:b/>
                <w:sz w:val="20"/>
                <w:szCs w:val="20"/>
              </w:rPr>
            </w:pPr>
            <w:r w:rsidRPr="00E5138C">
              <w:rPr>
                <w:rFonts w:ascii="Arial Narrow" w:hAnsi="Arial Narrow" w:cs="Open Sans"/>
                <w:color w:val="333333"/>
                <w:sz w:val="20"/>
                <w:szCs w:val="20"/>
              </w:rPr>
              <w:t>No increase in the maximum quantity or number of units may be authorised.</w:t>
            </w:r>
          </w:p>
        </w:tc>
      </w:tr>
      <w:tr w:rsidR="00593623" w:rsidRPr="00C02D56" w14:paraId="4D18179A" w14:textId="77777777" w:rsidTr="0061412E">
        <w:tblPrEx>
          <w:tblCellMar>
            <w:top w:w="15" w:type="dxa"/>
            <w:bottom w:w="15" w:type="dxa"/>
          </w:tblCellMar>
        </w:tblPrEx>
        <w:trPr>
          <w:cantSplit/>
          <w:trHeight w:val="20"/>
        </w:trPr>
        <w:tc>
          <w:tcPr>
            <w:tcW w:w="562" w:type="dxa"/>
            <w:vMerge/>
            <w:tcBorders>
              <w:left w:val="single" w:sz="4" w:space="0" w:color="auto"/>
              <w:right w:val="single" w:sz="4" w:space="0" w:color="auto"/>
            </w:tcBorders>
            <w:vAlign w:val="center"/>
          </w:tcPr>
          <w:p w14:paraId="6815EDFF" w14:textId="77777777" w:rsidR="00593623" w:rsidRPr="001428E9" w:rsidRDefault="00593623" w:rsidP="00593623">
            <w:pPr>
              <w:rPr>
                <w:rFonts w:ascii="Arial Narrow" w:hAnsi="Arial Narrow" w:cs="Arial"/>
                <w:sz w:val="20"/>
                <w:szCs w:val="20"/>
              </w:rPr>
            </w:pPr>
          </w:p>
        </w:tc>
        <w:tc>
          <w:tcPr>
            <w:tcW w:w="709" w:type="dxa"/>
            <w:tcBorders>
              <w:left w:val="single" w:sz="4" w:space="0" w:color="auto"/>
              <w:bottom w:val="single" w:sz="4" w:space="0" w:color="auto"/>
              <w:right w:val="single" w:sz="4" w:space="0" w:color="auto"/>
            </w:tcBorders>
          </w:tcPr>
          <w:p w14:paraId="72FA9AA7" w14:textId="006E88DC" w:rsidR="00593623" w:rsidRPr="001428E9" w:rsidRDefault="00593623" w:rsidP="00593623">
            <w:pPr>
              <w:rPr>
                <w:rFonts w:ascii="Arial Narrow" w:hAnsi="Arial Narrow" w:cs="Arial"/>
                <w:sz w:val="20"/>
                <w:szCs w:val="20"/>
              </w:rPr>
            </w:pPr>
          </w:p>
        </w:tc>
        <w:tc>
          <w:tcPr>
            <w:tcW w:w="7745" w:type="dxa"/>
            <w:gridSpan w:val="6"/>
            <w:tcBorders>
              <w:top w:val="single" w:sz="4" w:space="0" w:color="auto"/>
              <w:left w:val="single" w:sz="4" w:space="0" w:color="auto"/>
              <w:bottom w:val="single" w:sz="4" w:space="0" w:color="auto"/>
              <w:right w:val="single" w:sz="4" w:space="0" w:color="auto"/>
            </w:tcBorders>
          </w:tcPr>
          <w:p w14:paraId="5887B42B" w14:textId="77777777" w:rsidR="00593623" w:rsidRPr="00E5138C" w:rsidRDefault="00593623" w:rsidP="00593623">
            <w:pPr>
              <w:pStyle w:val="NormalWeb"/>
              <w:spacing w:before="0" w:beforeAutospacing="0" w:after="0" w:afterAutospacing="0"/>
              <w:textAlignment w:val="baseline"/>
              <w:rPr>
                <w:rFonts w:ascii="Arial Narrow" w:hAnsi="Arial Narrow" w:cs="Open Sans"/>
                <w:color w:val="333333"/>
                <w:sz w:val="20"/>
                <w:szCs w:val="20"/>
              </w:rPr>
            </w:pPr>
            <w:r w:rsidRPr="00E5138C">
              <w:rPr>
                <w:rStyle w:val="Strong"/>
                <w:rFonts w:ascii="Arial Narrow" w:hAnsi="Arial Narrow" w:cs="Open Sans"/>
                <w:color w:val="333333"/>
                <w:sz w:val="20"/>
                <w:szCs w:val="20"/>
                <w:bdr w:val="none" w:sz="0" w:space="0" w:color="auto" w:frame="1"/>
              </w:rPr>
              <w:t>Administrative Advice:</w:t>
            </w:r>
          </w:p>
          <w:p w14:paraId="130BF73A" w14:textId="6917BD52" w:rsidR="00593623" w:rsidRPr="001428E9" w:rsidRDefault="00593623" w:rsidP="00593623">
            <w:pPr>
              <w:keepNext/>
              <w:keepLines/>
              <w:rPr>
                <w:rFonts w:ascii="Arial Narrow" w:hAnsi="Arial Narrow" w:cs="Arial"/>
                <w:b/>
                <w:sz w:val="20"/>
                <w:szCs w:val="20"/>
              </w:rPr>
            </w:pPr>
            <w:r w:rsidRPr="00E5138C">
              <w:rPr>
                <w:rFonts w:ascii="Arial Narrow" w:hAnsi="Arial Narrow" w:cs="Open Sans"/>
                <w:color w:val="333333"/>
                <w:sz w:val="20"/>
                <w:szCs w:val="20"/>
              </w:rPr>
              <w:t>No increase in the maximum number of repeats may be authorised.</w:t>
            </w:r>
          </w:p>
        </w:tc>
      </w:tr>
      <w:tr w:rsidR="00593623" w:rsidRPr="00C02D56" w14:paraId="1474A3F9" w14:textId="77777777" w:rsidTr="0061412E">
        <w:tblPrEx>
          <w:tblCellMar>
            <w:top w:w="15" w:type="dxa"/>
            <w:bottom w:w="15" w:type="dxa"/>
          </w:tblCellMar>
        </w:tblPrEx>
        <w:trPr>
          <w:cantSplit/>
          <w:trHeight w:val="20"/>
        </w:trPr>
        <w:tc>
          <w:tcPr>
            <w:tcW w:w="562" w:type="dxa"/>
            <w:vMerge/>
            <w:tcBorders>
              <w:left w:val="single" w:sz="4" w:space="0" w:color="auto"/>
              <w:bottom w:val="single" w:sz="4" w:space="0" w:color="auto"/>
              <w:right w:val="single" w:sz="4" w:space="0" w:color="auto"/>
            </w:tcBorders>
            <w:vAlign w:val="center"/>
          </w:tcPr>
          <w:p w14:paraId="60B30F90" w14:textId="77777777" w:rsidR="00593623" w:rsidRPr="001428E9" w:rsidRDefault="00593623" w:rsidP="00593623">
            <w:pPr>
              <w:rPr>
                <w:rFonts w:ascii="Arial Narrow" w:hAnsi="Arial Narrow" w:cs="Arial"/>
                <w:sz w:val="20"/>
                <w:szCs w:val="20"/>
              </w:rPr>
            </w:pPr>
          </w:p>
        </w:tc>
        <w:tc>
          <w:tcPr>
            <w:tcW w:w="709" w:type="dxa"/>
            <w:tcBorders>
              <w:left w:val="single" w:sz="4" w:space="0" w:color="auto"/>
              <w:bottom w:val="single" w:sz="4" w:space="0" w:color="auto"/>
              <w:right w:val="single" w:sz="4" w:space="0" w:color="auto"/>
            </w:tcBorders>
          </w:tcPr>
          <w:p w14:paraId="139CEB61" w14:textId="2B851725" w:rsidR="00593623" w:rsidRPr="001428E9" w:rsidRDefault="00593623" w:rsidP="00593623">
            <w:pPr>
              <w:rPr>
                <w:rFonts w:ascii="Arial Narrow" w:hAnsi="Arial Narrow" w:cs="Arial"/>
                <w:sz w:val="20"/>
                <w:szCs w:val="20"/>
              </w:rPr>
            </w:pPr>
          </w:p>
        </w:tc>
        <w:tc>
          <w:tcPr>
            <w:tcW w:w="7745" w:type="dxa"/>
            <w:gridSpan w:val="6"/>
            <w:tcBorders>
              <w:top w:val="single" w:sz="4" w:space="0" w:color="auto"/>
              <w:left w:val="single" w:sz="4" w:space="0" w:color="auto"/>
              <w:bottom w:val="single" w:sz="4" w:space="0" w:color="auto"/>
              <w:right w:val="single" w:sz="4" w:space="0" w:color="auto"/>
            </w:tcBorders>
          </w:tcPr>
          <w:p w14:paraId="3DE3F44C" w14:textId="77777777" w:rsidR="00593623" w:rsidRPr="00E5138C" w:rsidRDefault="00593623" w:rsidP="00593623">
            <w:pPr>
              <w:pStyle w:val="NormalWeb"/>
              <w:spacing w:before="0" w:beforeAutospacing="0" w:after="0" w:afterAutospacing="0"/>
              <w:textAlignment w:val="baseline"/>
              <w:rPr>
                <w:rFonts w:ascii="Arial Narrow" w:hAnsi="Arial Narrow" w:cs="Open Sans"/>
                <w:color w:val="333333"/>
                <w:sz w:val="20"/>
                <w:szCs w:val="20"/>
              </w:rPr>
            </w:pPr>
            <w:r w:rsidRPr="00E5138C">
              <w:rPr>
                <w:rStyle w:val="Strong"/>
                <w:rFonts w:ascii="Arial Narrow" w:hAnsi="Arial Narrow" w:cs="Open Sans"/>
                <w:color w:val="333333"/>
                <w:sz w:val="20"/>
                <w:szCs w:val="20"/>
                <w:bdr w:val="none" w:sz="0" w:space="0" w:color="auto" w:frame="1"/>
              </w:rPr>
              <w:t>Administrative Advice:</w:t>
            </w:r>
          </w:p>
          <w:p w14:paraId="05FEA10A" w14:textId="6D1FCE6A" w:rsidR="00593623" w:rsidRPr="001428E9" w:rsidRDefault="00593623" w:rsidP="00593623">
            <w:pPr>
              <w:keepNext/>
              <w:keepLines/>
              <w:rPr>
                <w:rFonts w:ascii="Arial Narrow" w:hAnsi="Arial Narrow" w:cs="Arial"/>
                <w:b/>
                <w:sz w:val="20"/>
                <w:szCs w:val="20"/>
              </w:rPr>
            </w:pPr>
            <w:r w:rsidRPr="00E5138C">
              <w:rPr>
                <w:rFonts w:ascii="Arial Narrow" w:hAnsi="Arial Narrow" w:cs="Open Sans"/>
                <w:color w:val="333333"/>
                <w:sz w:val="20"/>
                <w:szCs w:val="20"/>
              </w:rPr>
              <w:t>Special Pricing Arrangements apply.</w:t>
            </w:r>
          </w:p>
        </w:tc>
      </w:tr>
      <w:tr w:rsidR="00842DC5" w:rsidRPr="001428E9" w14:paraId="2877A324" w14:textId="77777777" w:rsidTr="008E3089">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76AF362B" w14:textId="2BD5BB43" w:rsidR="00593623" w:rsidRPr="001428E9" w:rsidRDefault="00593623" w:rsidP="003A7CE7">
            <w:pPr>
              <w:jc w:val="center"/>
              <w:rPr>
                <w:rFonts w:ascii="Arial Narrow" w:hAnsi="Arial Narrow"/>
                <w:color w:val="333333"/>
                <w:sz w:val="20"/>
                <w:szCs w:val="20"/>
              </w:rPr>
            </w:pPr>
          </w:p>
        </w:tc>
        <w:tc>
          <w:tcPr>
            <w:tcW w:w="7745" w:type="dxa"/>
            <w:gridSpan w:val="6"/>
            <w:vAlign w:val="center"/>
            <w:hideMark/>
          </w:tcPr>
          <w:p w14:paraId="3ABE0FF9" w14:textId="548F7E39" w:rsidR="00842DC5" w:rsidRPr="001428E9" w:rsidRDefault="00842DC5" w:rsidP="003A7CE7">
            <w:pPr>
              <w:rPr>
                <w:rFonts w:ascii="Arial Narrow" w:hAnsi="Arial Narrow"/>
                <w:color w:val="333333"/>
                <w:sz w:val="20"/>
                <w:szCs w:val="20"/>
              </w:rPr>
            </w:pPr>
            <w:r w:rsidRPr="001428E9">
              <w:rPr>
                <w:rFonts w:ascii="Arial Narrow" w:hAnsi="Arial Narrow"/>
                <w:b/>
                <w:bCs/>
                <w:color w:val="333333"/>
                <w:sz w:val="20"/>
                <w:szCs w:val="20"/>
              </w:rPr>
              <w:t>Indication:</w:t>
            </w:r>
            <w:r w:rsidRPr="001428E9">
              <w:rPr>
                <w:rFonts w:ascii="Arial Narrow" w:hAnsi="Arial Narrow"/>
                <w:color w:val="333333"/>
                <w:sz w:val="20"/>
                <w:szCs w:val="20"/>
              </w:rPr>
              <w:t xml:space="preserve"> </w:t>
            </w:r>
            <w:r w:rsidR="00722C1C">
              <w:rPr>
                <w:rFonts w:ascii="Arial Narrow" w:hAnsi="Arial Narrow"/>
                <w:color w:val="333333"/>
                <w:sz w:val="20"/>
                <w:szCs w:val="20"/>
              </w:rPr>
              <w:t>Severe chronic plaque psoriasis</w:t>
            </w:r>
          </w:p>
        </w:tc>
      </w:tr>
      <w:tr w:rsidR="00842DC5" w:rsidRPr="00C02D56" w14:paraId="4A4B1DE6" w14:textId="77777777" w:rsidTr="008E3089">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10BA7432" w14:textId="77777777" w:rsidR="00842DC5" w:rsidRPr="001428E9" w:rsidRDefault="00842DC5" w:rsidP="003A7CE7">
            <w:pPr>
              <w:jc w:val="center"/>
              <w:rPr>
                <w:rFonts w:ascii="Arial Narrow" w:hAnsi="Arial Narrow"/>
                <w:color w:val="333333"/>
                <w:sz w:val="20"/>
                <w:szCs w:val="20"/>
              </w:rPr>
            </w:pPr>
          </w:p>
        </w:tc>
        <w:tc>
          <w:tcPr>
            <w:tcW w:w="7745" w:type="dxa"/>
            <w:gridSpan w:val="6"/>
            <w:vAlign w:val="center"/>
            <w:hideMark/>
          </w:tcPr>
          <w:p w14:paraId="5C086D04" w14:textId="3939EB8B" w:rsidR="00842DC5" w:rsidRPr="00C02D56" w:rsidRDefault="00842DC5" w:rsidP="003A7CE7">
            <w:pPr>
              <w:rPr>
                <w:rFonts w:ascii="Arial Narrow" w:hAnsi="Arial Narrow"/>
                <w:sz w:val="20"/>
                <w:szCs w:val="20"/>
              </w:rPr>
            </w:pPr>
            <w:r w:rsidRPr="001428E9">
              <w:rPr>
                <w:rFonts w:ascii="Arial Narrow" w:hAnsi="Arial Narrow"/>
                <w:b/>
                <w:bCs/>
                <w:color w:val="333333"/>
                <w:sz w:val="20"/>
                <w:szCs w:val="20"/>
              </w:rPr>
              <w:t>Treatment Phase:</w:t>
            </w:r>
            <w:r w:rsidRPr="001428E9">
              <w:rPr>
                <w:rFonts w:ascii="Arial Narrow" w:hAnsi="Arial Narrow"/>
                <w:color w:val="FF0000"/>
                <w:sz w:val="20"/>
                <w:szCs w:val="20"/>
              </w:rPr>
              <w:t xml:space="preserve"> </w:t>
            </w:r>
            <w:r w:rsidR="00722C1C" w:rsidRPr="00FA2389">
              <w:rPr>
                <w:rFonts w:ascii="Arial Narrow" w:hAnsi="Arial Narrow"/>
                <w:i/>
                <w:iCs/>
                <w:color w:val="333333"/>
                <w:sz w:val="20"/>
                <w:szCs w:val="20"/>
              </w:rPr>
              <w:t>Grandfather treatment- Face, hand and foot (initial PBS-subsidised supply for continuing treatment in a patient commenced on non-PBS-subsidised therapy)</w:t>
            </w:r>
          </w:p>
        </w:tc>
      </w:tr>
      <w:tr w:rsidR="00FA2389" w:rsidRPr="00C02D56" w14:paraId="3F22B781" w14:textId="77777777" w:rsidTr="003A7CE7">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207BE1F9" w14:textId="417DCFFF" w:rsidR="00FA2389" w:rsidRPr="001428E9" w:rsidRDefault="00FA2389" w:rsidP="00FA2389">
            <w:pPr>
              <w:jc w:val="center"/>
              <w:rPr>
                <w:rFonts w:ascii="Arial Narrow" w:hAnsi="Arial Narrow"/>
                <w:color w:val="333333"/>
                <w:sz w:val="20"/>
                <w:szCs w:val="20"/>
              </w:rPr>
            </w:pPr>
          </w:p>
        </w:tc>
        <w:tc>
          <w:tcPr>
            <w:tcW w:w="7745" w:type="dxa"/>
            <w:gridSpan w:val="6"/>
            <w:vAlign w:val="center"/>
          </w:tcPr>
          <w:p w14:paraId="4B98C74D" w14:textId="18190086" w:rsidR="00FA2389" w:rsidRPr="001428E9" w:rsidRDefault="00FA2389" w:rsidP="00FA2389">
            <w:pPr>
              <w:rPr>
                <w:rFonts w:ascii="Arial Narrow" w:hAnsi="Arial Narrow"/>
                <w:b/>
                <w:bCs/>
                <w:color w:val="333333"/>
                <w:sz w:val="20"/>
                <w:szCs w:val="20"/>
              </w:rPr>
            </w:pPr>
            <w:r w:rsidRPr="001428E9">
              <w:rPr>
                <w:rFonts w:ascii="Arial Narrow" w:hAnsi="Arial Narrow"/>
                <w:b/>
                <w:bCs/>
                <w:color w:val="333333"/>
                <w:sz w:val="20"/>
                <w:szCs w:val="20"/>
              </w:rPr>
              <w:t xml:space="preserve">Clinical criteria: </w:t>
            </w:r>
          </w:p>
        </w:tc>
      </w:tr>
      <w:tr w:rsidR="00593623" w:rsidRPr="00C02D56" w14:paraId="1B84ACDB" w14:textId="77777777" w:rsidTr="003A7CE7">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0AF1B1FE" w14:textId="12A132E2" w:rsidR="00593623" w:rsidRPr="001428E9" w:rsidRDefault="00593623" w:rsidP="00FA2389">
            <w:pPr>
              <w:jc w:val="center"/>
              <w:rPr>
                <w:rFonts w:ascii="Arial Narrow" w:hAnsi="Arial Narrow"/>
                <w:color w:val="333333"/>
                <w:sz w:val="20"/>
                <w:szCs w:val="20"/>
              </w:rPr>
            </w:pPr>
          </w:p>
        </w:tc>
        <w:tc>
          <w:tcPr>
            <w:tcW w:w="7745" w:type="dxa"/>
            <w:gridSpan w:val="6"/>
            <w:vAlign w:val="center"/>
          </w:tcPr>
          <w:p w14:paraId="75460D99" w14:textId="264C6FBC" w:rsidR="00593623" w:rsidRPr="001428E9" w:rsidRDefault="00593623" w:rsidP="00FA2389">
            <w:pPr>
              <w:rPr>
                <w:rFonts w:ascii="Arial Narrow" w:hAnsi="Arial Narrow"/>
                <w:b/>
                <w:bCs/>
                <w:color w:val="333333"/>
                <w:sz w:val="20"/>
                <w:szCs w:val="20"/>
              </w:rPr>
            </w:pPr>
            <w:r w:rsidRPr="00FF3047">
              <w:rPr>
                <w:rFonts w:ascii="Arial Narrow" w:hAnsi="Arial Narrow" w:cs="Open Sans"/>
                <w:color w:val="333333"/>
                <w:sz w:val="20"/>
                <w:szCs w:val="20"/>
              </w:rPr>
              <w:t>Patient must have severe chronic plaque psoriasis of the face, or palm of a hand or sole of a foot, where lesions have been present for at least 6 months from the time of initial diagnosis prior to initiating non-PBS-subsidised treatment</w:t>
            </w:r>
          </w:p>
        </w:tc>
      </w:tr>
      <w:tr w:rsidR="00FA2389" w:rsidRPr="00C02D56" w14:paraId="388EDCCA" w14:textId="77777777" w:rsidTr="003A7CE7">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7E717D2E" w14:textId="77777777" w:rsidR="00FA2389" w:rsidRPr="001428E9" w:rsidRDefault="00FA2389" w:rsidP="00FA2389">
            <w:pPr>
              <w:jc w:val="center"/>
              <w:rPr>
                <w:rFonts w:ascii="Arial Narrow" w:hAnsi="Arial Narrow"/>
                <w:color w:val="333333"/>
                <w:sz w:val="20"/>
                <w:szCs w:val="20"/>
              </w:rPr>
            </w:pPr>
          </w:p>
        </w:tc>
        <w:tc>
          <w:tcPr>
            <w:tcW w:w="7745" w:type="dxa"/>
            <w:gridSpan w:val="6"/>
            <w:vAlign w:val="center"/>
          </w:tcPr>
          <w:p w14:paraId="62DC4D50" w14:textId="1B85C461" w:rsidR="00FA2389" w:rsidRPr="001428E9" w:rsidRDefault="00FA2389" w:rsidP="00FA2389">
            <w:pPr>
              <w:rPr>
                <w:rFonts w:ascii="Arial Narrow" w:hAnsi="Arial Narrow"/>
                <w:b/>
                <w:bCs/>
                <w:color w:val="333333"/>
                <w:sz w:val="20"/>
                <w:szCs w:val="20"/>
              </w:rPr>
            </w:pPr>
            <w:r w:rsidRPr="001428E9">
              <w:rPr>
                <w:rFonts w:ascii="Arial Narrow" w:hAnsi="Arial Narrow"/>
                <w:b/>
                <w:bCs/>
                <w:color w:val="333333"/>
                <w:sz w:val="20"/>
                <w:szCs w:val="20"/>
              </w:rPr>
              <w:t>AND</w:t>
            </w:r>
          </w:p>
        </w:tc>
      </w:tr>
      <w:tr w:rsidR="00FA2389" w:rsidRPr="00C02D56" w14:paraId="34F705C5" w14:textId="77777777" w:rsidTr="003A7CE7">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6A0EA5FC" w14:textId="4D29BD9A" w:rsidR="00FA2389" w:rsidRPr="001428E9" w:rsidRDefault="00FA2389" w:rsidP="00FA2389">
            <w:pPr>
              <w:jc w:val="center"/>
              <w:rPr>
                <w:rFonts w:ascii="Arial Narrow" w:hAnsi="Arial Narrow"/>
                <w:color w:val="333333"/>
                <w:sz w:val="20"/>
                <w:szCs w:val="20"/>
              </w:rPr>
            </w:pPr>
          </w:p>
        </w:tc>
        <w:tc>
          <w:tcPr>
            <w:tcW w:w="7745" w:type="dxa"/>
            <w:gridSpan w:val="6"/>
            <w:vAlign w:val="center"/>
          </w:tcPr>
          <w:p w14:paraId="4F02AEC1" w14:textId="13FC1E35" w:rsidR="00FA2389" w:rsidRPr="001428E9" w:rsidRDefault="00FA2389" w:rsidP="00FA2389">
            <w:pPr>
              <w:rPr>
                <w:rFonts w:ascii="Arial Narrow" w:hAnsi="Arial Narrow"/>
                <w:b/>
                <w:bCs/>
                <w:color w:val="333333"/>
                <w:sz w:val="20"/>
                <w:szCs w:val="20"/>
              </w:rPr>
            </w:pPr>
            <w:r w:rsidRPr="001428E9">
              <w:rPr>
                <w:rFonts w:ascii="Arial Narrow" w:hAnsi="Arial Narrow"/>
                <w:b/>
                <w:bCs/>
                <w:color w:val="333333"/>
                <w:sz w:val="20"/>
                <w:szCs w:val="20"/>
              </w:rPr>
              <w:t>Clinical criteria:</w:t>
            </w:r>
            <w:r>
              <w:rPr>
                <w:rFonts w:ascii="Arial Narrow" w:hAnsi="Arial Narrow"/>
                <w:b/>
                <w:bCs/>
                <w:color w:val="333333"/>
                <w:sz w:val="20"/>
                <w:szCs w:val="20"/>
              </w:rPr>
              <w:t xml:space="preserve"> </w:t>
            </w:r>
          </w:p>
        </w:tc>
      </w:tr>
      <w:tr w:rsidR="00593623" w:rsidRPr="00C02D56" w14:paraId="7460F6B0" w14:textId="77777777" w:rsidTr="003A7CE7">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2C7940F2" w14:textId="77777777" w:rsidR="00593623" w:rsidRPr="001428E9" w:rsidRDefault="00593623" w:rsidP="00FA2389">
            <w:pPr>
              <w:jc w:val="center"/>
              <w:rPr>
                <w:rFonts w:ascii="Arial Narrow" w:hAnsi="Arial Narrow"/>
                <w:color w:val="333333"/>
                <w:sz w:val="20"/>
                <w:szCs w:val="20"/>
              </w:rPr>
            </w:pPr>
          </w:p>
        </w:tc>
        <w:tc>
          <w:tcPr>
            <w:tcW w:w="7745" w:type="dxa"/>
            <w:gridSpan w:val="6"/>
            <w:vAlign w:val="center"/>
          </w:tcPr>
          <w:p w14:paraId="42BD5489" w14:textId="0F8A72C6" w:rsidR="00593623" w:rsidRPr="001428E9" w:rsidRDefault="00593623" w:rsidP="00FA2389">
            <w:pPr>
              <w:rPr>
                <w:rFonts w:ascii="Arial Narrow" w:hAnsi="Arial Narrow"/>
                <w:b/>
                <w:bCs/>
                <w:color w:val="333333"/>
                <w:sz w:val="20"/>
                <w:szCs w:val="20"/>
              </w:rPr>
            </w:pPr>
            <w:r w:rsidRPr="00911F26">
              <w:rPr>
                <w:rFonts w:ascii="Arial Narrow" w:hAnsi="Arial Narrow" w:cs="Open Sans"/>
                <w:sz w:val="20"/>
                <w:szCs w:val="20"/>
              </w:rPr>
              <w:t>Patient must have received non-PBS-subsidised treatment with this drug for this PBS indication prior to [insert date of listing]</w:t>
            </w:r>
          </w:p>
        </w:tc>
      </w:tr>
      <w:tr w:rsidR="00FA2389" w:rsidRPr="00C02D56" w14:paraId="07398283" w14:textId="77777777" w:rsidTr="003A7CE7">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1DFFD1EE" w14:textId="77777777" w:rsidR="00FA2389" w:rsidRPr="001428E9" w:rsidRDefault="00FA2389" w:rsidP="00FA2389">
            <w:pPr>
              <w:jc w:val="center"/>
              <w:rPr>
                <w:rFonts w:ascii="Arial Narrow" w:hAnsi="Arial Narrow"/>
                <w:color w:val="333333"/>
                <w:sz w:val="20"/>
                <w:szCs w:val="20"/>
              </w:rPr>
            </w:pPr>
          </w:p>
        </w:tc>
        <w:tc>
          <w:tcPr>
            <w:tcW w:w="7745" w:type="dxa"/>
            <w:gridSpan w:val="6"/>
            <w:vAlign w:val="center"/>
          </w:tcPr>
          <w:p w14:paraId="7A256250" w14:textId="6132AD67" w:rsidR="00FA2389" w:rsidRPr="001428E9" w:rsidRDefault="00FA2389" w:rsidP="00FA2389">
            <w:pPr>
              <w:rPr>
                <w:rFonts w:ascii="Arial Narrow" w:hAnsi="Arial Narrow"/>
                <w:b/>
                <w:bCs/>
                <w:color w:val="333333"/>
                <w:sz w:val="20"/>
                <w:szCs w:val="20"/>
              </w:rPr>
            </w:pPr>
            <w:r w:rsidRPr="001428E9">
              <w:rPr>
                <w:rFonts w:ascii="Arial Narrow" w:hAnsi="Arial Narrow"/>
                <w:b/>
                <w:bCs/>
                <w:color w:val="333333"/>
                <w:sz w:val="20"/>
                <w:szCs w:val="20"/>
              </w:rPr>
              <w:t>AND</w:t>
            </w:r>
          </w:p>
        </w:tc>
      </w:tr>
      <w:tr w:rsidR="00FA2389" w:rsidRPr="00C02D56" w14:paraId="2396389D" w14:textId="77777777" w:rsidTr="003A7CE7">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20805B8C" w14:textId="555B8AF2" w:rsidR="00FA2389" w:rsidRPr="001428E9" w:rsidRDefault="00FA2389" w:rsidP="00FA2389">
            <w:pPr>
              <w:jc w:val="center"/>
              <w:rPr>
                <w:rFonts w:ascii="Arial Narrow" w:hAnsi="Arial Narrow"/>
                <w:color w:val="333333"/>
                <w:sz w:val="20"/>
                <w:szCs w:val="20"/>
              </w:rPr>
            </w:pPr>
          </w:p>
        </w:tc>
        <w:tc>
          <w:tcPr>
            <w:tcW w:w="7745" w:type="dxa"/>
            <w:gridSpan w:val="6"/>
            <w:vAlign w:val="center"/>
          </w:tcPr>
          <w:p w14:paraId="7744C067" w14:textId="78A70240" w:rsidR="00FA2389" w:rsidRPr="001428E9" w:rsidRDefault="00FA2389" w:rsidP="00FA2389">
            <w:pPr>
              <w:rPr>
                <w:rFonts w:ascii="Arial Narrow" w:hAnsi="Arial Narrow"/>
                <w:b/>
                <w:bCs/>
                <w:color w:val="333333"/>
                <w:sz w:val="20"/>
                <w:szCs w:val="20"/>
              </w:rPr>
            </w:pPr>
            <w:r w:rsidRPr="001428E9">
              <w:rPr>
                <w:rFonts w:ascii="Arial Narrow" w:hAnsi="Arial Narrow"/>
                <w:b/>
                <w:bCs/>
                <w:color w:val="333333"/>
                <w:sz w:val="20"/>
                <w:szCs w:val="20"/>
              </w:rPr>
              <w:t>Clinical criteria:</w:t>
            </w:r>
          </w:p>
        </w:tc>
      </w:tr>
      <w:tr w:rsidR="00FA2389" w:rsidRPr="00C02D56" w14:paraId="4E03E337" w14:textId="77777777" w:rsidTr="003A7CE7">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0B6963EF" w14:textId="33EE4320" w:rsidR="00FA2389" w:rsidRPr="001428E9" w:rsidRDefault="00FA2389" w:rsidP="00FA2389">
            <w:pPr>
              <w:jc w:val="center"/>
              <w:rPr>
                <w:rFonts w:ascii="Arial Narrow" w:hAnsi="Arial Narrow"/>
                <w:color w:val="333333"/>
                <w:sz w:val="20"/>
                <w:szCs w:val="20"/>
              </w:rPr>
            </w:pPr>
          </w:p>
        </w:tc>
        <w:tc>
          <w:tcPr>
            <w:tcW w:w="7745" w:type="dxa"/>
            <w:gridSpan w:val="6"/>
            <w:vAlign w:val="center"/>
          </w:tcPr>
          <w:p w14:paraId="652B6D10" w14:textId="4AA33B79" w:rsidR="00FA2389" w:rsidRPr="006270A2" w:rsidRDefault="00FA2389" w:rsidP="00FA2389">
            <w:pPr>
              <w:rPr>
                <w:rFonts w:ascii="Arial Narrow" w:hAnsi="Arial Narrow"/>
                <w:b/>
                <w:bCs/>
                <w:color w:val="333333"/>
                <w:sz w:val="20"/>
                <w:szCs w:val="20"/>
              </w:rPr>
            </w:pPr>
            <w:r w:rsidRPr="006270A2">
              <w:rPr>
                <w:rFonts w:ascii="Arial Narrow" w:hAnsi="Arial Narrow"/>
                <w:color w:val="333333"/>
                <w:sz w:val="20"/>
                <w:szCs w:val="20"/>
              </w:rPr>
              <w:t xml:space="preserve">Patient must have had a documented history of disease, prior to commencing non-PBS- subsidised treatment with this drug, classified as severe due to a plaque or plaques on the face, palm of a hand or sole of a foot where: (i) at least 2 of the 3 Psoriasis Area and Severity Index (PASI) symptom subscores for erythema, thickness and scaling </w:t>
            </w:r>
            <w:r w:rsidR="00B46484">
              <w:rPr>
                <w:rFonts w:ascii="Arial Narrow" w:hAnsi="Arial Narrow"/>
                <w:i/>
                <w:iCs/>
                <w:color w:val="333333"/>
                <w:sz w:val="20"/>
                <w:szCs w:val="20"/>
              </w:rPr>
              <w:t xml:space="preserve">are </w:t>
            </w:r>
            <w:r w:rsidRPr="00B46484">
              <w:rPr>
                <w:rFonts w:ascii="Arial Narrow" w:hAnsi="Arial Narrow"/>
                <w:strike/>
                <w:color w:val="333333"/>
                <w:sz w:val="20"/>
                <w:szCs w:val="20"/>
              </w:rPr>
              <w:t>were</w:t>
            </w:r>
            <w:r w:rsidRPr="006270A2">
              <w:rPr>
                <w:rFonts w:ascii="Arial Narrow" w:hAnsi="Arial Narrow"/>
                <w:color w:val="333333"/>
                <w:sz w:val="20"/>
                <w:szCs w:val="20"/>
              </w:rPr>
              <w:t xml:space="preserve"> rated as severe or very severe; or (ii) the skin area affected </w:t>
            </w:r>
            <w:r w:rsidR="00280906">
              <w:rPr>
                <w:rFonts w:ascii="Arial Narrow" w:hAnsi="Arial Narrow"/>
                <w:i/>
                <w:iCs/>
                <w:color w:val="333333"/>
                <w:sz w:val="20"/>
                <w:szCs w:val="20"/>
              </w:rPr>
              <w:t xml:space="preserve">is </w:t>
            </w:r>
            <w:r w:rsidRPr="00280906">
              <w:rPr>
                <w:rFonts w:ascii="Arial Narrow" w:hAnsi="Arial Narrow"/>
                <w:strike/>
                <w:color w:val="333333"/>
                <w:sz w:val="20"/>
                <w:szCs w:val="20"/>
              </w:rPr>
              <w:t>was</w:t>
            </w:r>
            <w:r w:rsidRPr="006270A2">
              <w:rPr>
                <w:rFonts w:ascii="Arial Narrow" w:hAnsi="Arial Narrow"/>
                <w:color w:val="333333"/>
                <w:sz w:val="20"/>
                <w:szCs w:val="20"/>
              </w:rPr>
              <w:t xml:space="preserve"> 30% or more of the face, palm of a hand or sole of a foot,</w:t>
            </w:r>
          </w:p>
        </w:tc>
      </w:tr>
      <w:tr w:rsidR="00FA2389" w:rsidRPr="00C02D56" w14:paraId="72DB056A" w14:textId="77777777" w:rsidTr="003A7CE7">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14301B74" w14:textId="77777777" w:rsidR="00FA2389" w:rsidRPr="001428E9" w:rsidRDefault="00FA2389" w:rsidP="00FA2389">
            <w:pPr>
              <w:jc w:val="center"/>
              <w:rPr>
                <w:rFonts w:ascii="Arial Narrow" w:hAnsi="Arial Narrow"/>
                <w:color w:val="333333"/>
                <w:sz w:val="20"/>
                <w:szCs w:val="20"/>
              </w:rPr>
            </w:pPr>
          </w:p>
        </w:tc>
        <w:tc>
          <w:tcPr>
            <w:tcW w:w="7745" w:type="dxa"/>
            <w:gridSpan w:val="6"/>
            <w:vAlign w:val="center"/>
          </w:tcPr>
          <w:p w14:paraId="1499FF12" w14:textId="0A7F9A5D" w:rsidR="00FA2389" w:rsidRPr="001428E9" w:rsidRDefault="00FA2389" w:rsidP="00FA2389">
            <w:pPr>
              <w:rPr>
                <w:rFonts w:ascii="Arial Narrow" w:hAnsi="Arial Narrow"/>
                <w:b/>
                <w:bCs/>
                <w:color w:val="333333"/>
                <w:sz w:val="20"/>
                <w:szCs w:val="20"/>
              </w:rPr>
            </w:pPr>
            <w:r w:rsidRPr="001428E9">
              <w:rPr>
                <w:rFonts w:ascii="Arial Narrow" w:hAnsi="Arial Narrow"/>
                <w:b/>
                <w:bCs/>
                <w:color w:val="333333"/>
                <w:sz w:val="20"/>
                <w:szCs w:val="20"/>
              </w:rPr>
              <w:t>AND</w:t>
            </w:r>
          </w:p>
        </w:tc>
      </w:tr>
      <w:tr w:rsidR="00FA2389" w:rsidRPr="00C02D56" w14:paraId="24E6529B" w14:textId="77777777" w:rsidTr="003A7CE7">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33823EB0" w14:textId="5691FAF7" w:rsidR="00FA2389" w:rsidRPr="001428E9" w:rsidRDefault="00FA2389" w:rsidP="00FA2389">
            <w:pPr>
              <w:jc w:val="center"/>
              <w:rPr>
                <w:rFonts w:ascii="Arial Narrow" w:hAnsi="Arial Narrow"/>
                <w:color w:val="333333"/>
                <w:sz w:val="20"/>
                <w:szCs w:val="20"/>
              </w:rPr>
            </w:pPr>
          </w:p>
        </w:tc>
        <w:tc>
          <w:tcPr>
            <w:tcW w:w="7745" w:type="dxa"/>
            <w:gridSpan w:val="6"/>
            <w:vAlign w:val="center"/>
          </w:tcPr>
          <w:p w14:paraId="26ABB909" w14:textId="423C6CFA" w:rsidR="00FA2389" w:rsidRPr="001428E9" w:rsidRDefault="00FA2389" w:rsidP="00FA2389">
            <w:pPr>
              <w:rPr>
                <w:rFonts w:ascii="Arial Narrow" w:hAnsi="Arial Narrow"/>
                <w:b/>
                <w:bCs/>
                <w:color w:val="333333"/>
                <w:sz w:val="20"/>
                <w:szCs w:val="20"/>
              </w:rPr>
            </w:pPr>
            <w:r w:rsidRPr="001428E9">
              <w:rPr>
                <w:rFonts w:ascii="Arial Narrow" w:hAnsi="Arial Narrow"/>
                <w:b/>
                <w:bCs/>
                <w:color w:val="333333"/>
                <w:sz w:val="20"/>
                <w:szCs w:val="20"/>
              </w:rPr>
              <w:t>Clinical criteria:</w:t>
            </w:r>
          </w:p>
        </w:tc>
      </w:tr>
      <w:tr w:rsidR="00FA2389" w:rsidRPr="00C02D56" w14:paraId="6F81F050" w14:textId="77777777" w:rsidTr="003A7CE7">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7C8939F3" w14:textId="3955B57D" w:rsidR="00FA2389" w:rsidRPr="001428E9" w:rsidRDefault="00FA2389" w:rsidP="00FA2389">
            <w:pPr>
              <w:jc w:val="center"/>
              <w:rPr>
                <w:rFonts w:ascii="Arial Narrow" w:hAnsi="Arial Narrow"/>
                <w:color w:val="333333"/>
                <w:sz w:val="20"/>
                <w:szCs w:val="20"/>
              </w:rPr>
            </w:pPr>
          </w:p>
        </w:tc>
        <w:tc>
          <w:tcPr>
            <w:tcW w:w="7745" w:type="dxa"/>
            <w:gridSpan w:val="6"/>
            <w:vAlign w:val="center"/>
          </w:tcPr>
          <w:p w14:paraId="37811EA8" w14:textId="2C70CA5A" w:rsidR="00FA2389" w:rsidRPr="00280906" w:rsidRDefault="006270A2" w:rsidP="00FA2389">
            <w:pPr>
              <w:rPr>
                <w:rFonts w:ascii="Arial Narrow" w:hAnsi="Arial Narrow"/>
                <w:b/>
                <w:bCs/>
                <w:i/>
                <w:iCs/>
                <w:color w:val="333333"/>
                <w:sz w:val="20"/>
                <w:szCs w:val="20"/>
              </w:rPr>
            </w:pPr>
            <w:r w:rsidRPr="00280906">
              <w:rPr>
                <w:rFonts w:ascii="Arial Narrow" w:hAnsi="Arial Narrow"/>
                <w:i/>
                <w:iCs/>
                <w:color w:val="333333"/>
                <w:sz w:val="20"/>
                <w:szCs w:val="20"/>
              </w:rPr>
              <w:t>Patient must have demonstrated an adequate response to their most recent course of non-PBS-subsidised treatment with this drug (face, hand and foot),</w:t>
            </w:r>
          </w:p>
        </w:tc>
      </w:tr>
      <w:tr w:rsidR="006270A2" w:rsidRPr="00C02D56" w14:paraId="68DC35E4" w14:textId="77777777" w:rsidTr="003A7CE7">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52F171AD" w14:textId="77777777" w:rsidR="006270A2" w:rsidRPr="001428E9" w:rsidRDefault="006270A2" w:rsidP="006270A2">
            <w:pPr>
              <w:jc w:val="center"/>
              <w:rPr>
                <w:rFonts w:ascii="Arial Narrow" w:hAnsi="Arial Narrow"/>
                <w:color w:val="333333"/>
                <w:sz w:val="20"/>
                <w:szCs w:val="20"/>
              </w:rPr>
            </w:pPr>
          </w:p>
        </w:tc>
        <w:tc>
          <w:tcPr>
            <w:tcW w:w="7745" w:type="dxa"/>
            <w:gridSpan w:val="6"/>
            <w:vAlign w:val="center"/>
          </w:tcPr>
          <w:p w14:paraId="13A2D543" w14:textId="06342510" w:rsidR="006270A2" w:rsidRPr="006270A2" w:rsidRDefault="006270A2" w:rsidP="006270A2">
            <w:pPr>
              <w:rPr>
                <w:rFonts w:ascii="Arial Narrow" w:hAnsi="Arial Narrow"/>
                <w:color w:val="333333"/>
                <w:sz w:val="20"/>
                <w:szCs w:val="20"/>
              </w:rPr>
            </w:pPr>
            <w:r w:rsidRPr="001428E9">
              <w:rPr>
                <w:rFonts w:ascii="Arial Narrow" w:hAnsi="Arial Narrow"/>
                <w:b/>
                <w:bCs/>
                <w:color w:val="333333"/>
                <w:sz w:val="20"/>
                <w:szCs w:val="20"/>
              </w:rPr>
              <w:t>AND</w:t>
            </w:r>
          </w:p>
        </w:tc>
      </w:tr>
      <w:tr w:rsidR="006270A2" w:rsidRPr="00C02D56" w14:paraId="35DC77AD" w14:textId="77777777" w:rsidTr="003A7CE7">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04A09C23" w14:textId="28205B7F" w:rsidR="006270A2" w:rsidRPr="001428E9" w:rsidRDefault="006270A2" w:rsidP="006270A2">
            <w:pPr>
              <w:jc w:val="center"/>
              <w:rPr>
                <w:rFonts w:ascii="Arial Narrow" w:hAnsi="Arial Narrow"/>
                <w:color w:val="333333"/>
                <w:sz w:val="20"/>
                <w:szCs w:val="20"/>
              </w:rPr>
            </w:pPr>
          </w:p>
        </w:tc>
        <w:tc>
          <w:tcPr>
            <w:tcW w:w="7745" w:type="dxa"/>
            <w:gridSpan w:val="6"/>
            <w:vAlign w:val="center"/>
          </w:tcPr>
          <w:p w14:paraId="2092ABFB" w14:textId="290A2DD9" w:rsidR="006270A2" w:rsidRPr="006270A2" w:rsidRDefault="006270A2" w:rsidP="006270A2">
            <w:pPr>
              <w:rPr>
                <w:rFonts w:ascii="Arial Narrow" w:hAnsi="Arial Narrow"/>
                <w:color w:val="333333"/>
                <w:sz w:val="20"/>
                <w:szCs w:val="20"/>
              </w:rPr>
            </w:pPr>
            <w:r w:rsidRPr="001428E9">
              <w:rPr>
                <w:rFonts w:ascii="Arial Narrow" w:hAnsi="Arial Narrow"/>
                <w:b/>
                <w:bCs/>
                <w:color w:val="333333"/>
                <w:sz w:val="20"/>
                <w:szCs w:val="20"/>
              </w:rPr>
              <w:t>Clinical criteria:</w:t>
            </w:r>
          </w:p>
        </w:tc>
      </w:tr>
      <w:tr w:rsidR="006270A2" w:rsidRPr="00C02D56" w14:paraId="2D0B679A" w14:textId="77777777" w:rsidTr="003A7CE7">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6FE7F798" w14:textId="7C62DDDE" w:rsidR="006270A2" w:rsidRPr="001428E9" w:rsidRDefault="006270A2" w:rsidP="006270A2">
            <w:pPr>
              <w:jc w:val="center"/>
              <w:rPr>
                <w:rFonts w:ascii="Arial Narrow" w:hAnsi="Arial Narrow"/>
                <w:color w:val="333333"/>
                <w:sz w:val="20"/>
                <w:szCs w:val="20"/>
              </w:rPr>
            </w:pPr>
          </w:p>
        </w:tc>
        <w:tc>
          <w:tcPr>
            <w:tcW w:w="7745" w:type="dxa"/>
            <w:gridSpan w:val="6"/>
            <w:vAlign w:val="center"/>
          </w:tcPr>
          <w:p w14:paraId="31127B27" w14:textId="786F6591" w:rsidR="006270A2" w:rsidRPr="006270A2" w:rsidRDefault="006270A2" w:rsidP="006270A2">
            <w:pPr>
              <w:rPr>
                <w:rFonts w:ascii="Arial Narrow" w:hAnsi="Arial Narrow"/>
                <w:color w:val="333333"/>
                <w:sz w:val="20"/>
                <w:szCs w:val="20"/>
              </w:rPr>
            </w:pPr>
            <w:r w:rsidRPr="006270A2">
              <w:rPr>
                <w:rFonts w:ascii="Arial Narrow" w:hAnsi="Arial Narrow"/>
                <w:color w:val="333333"/>
                <w:sz w:val="20"/>
                <w:szCs w:val="20"/>
              </w:rPr>
              <w:t>The treatment must be as systemic monotherapy (other than methotrexate),</w:t>
            </w:r>
          </w:p>
        </w:tc>
      </w:tr>
      <w:tr w:rsidR="006270A2" w:rsidRPr="00C02D56" w14:paraId="40A53BA0" w14:textId="77777777" w:rsidTr="003A7CE7">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4A11427B" w14:textId="77777777" w:rsidR="006270A2" w:rsidRPr="001428E9" w:rsidRDefault="006270A2" w:rsidP="006270A2">
            <w:pPr>
              <w:jc w:val="center"/>
              <w:rPr>
                <w:rFonts w:ascii="Arial Narrow" w:hAnsi="Arial Narrow"/>
                <w:color w:val="333333"/>
                <w:sz w:val="20"/>
                <w:szCs w:val="20"/>
              </w:rPr>
            </w:pPr>
          </w:p>
        </w:tc>
        <w:tc>
          <w:tcPr>
            <w:tcW w:w="7745" w:type="dxa"/>
            <w:gridSpan w:val="6"/>
            <w:vAlign w:val="center"/>
          </w:tcPr>
          <w:p w14:paraId="133057CE" w14:textId="334A417F" w:rsidR="006270A2" w:rsidRPr="006270A2" w:rsidRDefault="006270A2" w:rsidP="006270A2">
            <w:pPr>
              <w:rPr>
                <w:rFonts w:ascii="Arial Narrow" w:hAnsi="Arial Narrow"/>
                <w:color w:val="333333"/>
                <w:sz w:val="20"/>
                <w:szCs w:val="20"/>
              </w:rPr>
            </w:pPr>
            <w:r w:rsidRPr="001428E9">
              <w:rPr>
                <w:rFonts w:ascii="Arial Narrow" w:hAnsi="Arial Narrow"/>
                <w:b/>
                <w:bCs/>
                <w:color w:val="333333"/>
                <w:sz w:val="20"/>
                <w:szCs w:val="20"/>
              </w:rPr>
              <w:t>AND</w:t>
            </w:r>
          </w:p>
        </w:tc>
      </w:tr>
      <w:tr w:rsidR="006270A2" w:rsidRPr="00C02D56" w14:paraId="24399333" w14:textId="77777777" w:rsidTr="003A7CE7">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33AD74E4" w14:textId="77E67978" w:rsidR="006270A2" w:rsidRPr="001428E9" w:rsidRDefault="006270A2" w:rsidP="006270A2">
            <w:pPr>
              <w:jc w:val="center"/>
              <w:rPr>
                <w:rFonts w:ascii="Arial Narrow" w:hAnsi="Arial Narrow"/>
                <w:color w:val="333333"/>
                <w:sz w:val="20"/>
                <w:szCs w:val="20"/>
              </w:rPr>
            </w:pPr>
          </w:p>
        </w:tc>
        <w:tc>
          <w:tcPr>
            <w:tcW w:w="7745" w:type="dxa"/>
            <w:gridSpan w:val="6"/>
            <w:vAlign w:val="center"/>
          </w:tcPr>
          <w:p w14:paraId="206A2C7E" w14:textId="485D0425" w:rsidR="006270A2" w:rsidRPr="006270A2" w:rsidRDefault="006270A2" w:rsidP="006270A2">
            <w:pPr>
              <w:rPr>
                <w:rFonts w:ascii="Arial Narrow" w:hAnsi="Arial Narrow"/>
                <w:color w:val="333333"/>
                <w:sz w:val="20"/>
                <w:szCs w:val="20"/>
              </w:rPr>
            </w:pPr>
            <w:r w:rsidRPr="001428E9">
              <w:rPr>
                <w:rFonts w:ascii="Arial Narrow" w:hAnsi="Arial Narrow"/>
                <w:b/>
                <w:bCs/>
                <w:color w:val="333333"/>
                <w:sz w:val="20"/>
                <w:szCs w:val="20"/>
              </w:rPr>
              <w:t>Clinical criteria:</w:t>
            </w:r>
          </w:p>
        </w:tc>
      </w:tr>
      <w:tr w:rsidR="006270A2" w:rsidRPr="00C02D56" w14:paraId="013538D4" w14:textId="77777777" w:rsidTr="003A7CE7">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12473720" w14:textId="5FCED91E" w:rsidR="006270A2" w:rsidRPr="001428E9" w:rsidRDefault="006270A2" w:rsidP="006270A2">
            <w:pPr>
              <w:jc w:val="center"/>
              <w:rPr>
                <w:rFonts w:ascii="Arial Narrow" w:hAnsi="Arial Narrow"/>
                <w:color w:val="333333"/>
                <w:sz w:val="20"/>
                <w:szCs w:val="20"/>
              </w:rPr>
            </w:pPr>
          </w:p>
        </w:tc>
        <w:tc>
          <w:tcPr>
            <w:tcW w:w="7745" w:type="dxa"/>
            <w:gridSpan w:val="6"/>
            <w:vAlign w:val="center"/>
          </w:tcPr>
          <w:p w14:paraId="511A838A" w14:textId="07F1AAC8" w:rsidR="006270A2" w:rsidRPr="006270A2" w:rsidRDefault="006270A2" w:rsidP="006270A2">
            <w:pPr>
              <w:rPr>
                <w:rFonts w:ascii="Arial Narrow" w:hAnsi="Arial Narrow"/>
                <w:color w:val="333333"/>
                <w:sz w:val="20"/>
                <w:szCs w:val="20"/>
              </w:rPr>
            </w:pPr>
            <w:r w:rsidRPr="006270A2">
              <w:rPr>
                <w:rFonts w:ascii="Arial Narrow" w:hAnsi="Arial Narrow"/>
                <w:color w:val="333333"/>
                <w:sz w:val="20"/>
                <w:szCs w:val="20"/>
              </w:rPr>
              <w:t>Patient must not receive more than</w:t>
            </w:r>
            <w:r w:rsidRPr="000C472D">
              <w:rPr>
                <w:rFonts w:ascii="Arial Narrow" w:hAnsi="Arial Narrow"/>
                <w:color w:val="333333"/>
                <w:sz w:val="20"/>
                <w:szCs w:val="20"/>
              </w:rPr>
              <w:t xml:space="preserve"> 24</w:t>
            </w:r>
            <w:r w:rsidRPr="006270A2">
              <w:rPr>
                <w:rFonts w:ascii="Arial Narrow" w:hAnsi="Arial Narrow"/>
                <w:color w:val="333333"/>
                <w:sz w:val="20"/>
                <w:szCs w:val="20"/>
              </w:rPr>
              <w:t xml:space="preserve"> weeks of treatment under this restriction</w:t>
            </w:r>
            <w:r w:rsidRPr="006270A2">
              <w:rPr>
                <w:rFonts w:ascii="Arial Narrow" w:hAnsi="Arial Narrow"/>
                <w:b/>
                <w:bCs/>
                <w:color w:val="333333"/>
                <w:sz w:val="20"/>
                <w:szCs w:val="20"/>
              </w:rPr>
              <w:t>.</w:t>
            </w:r>
          </w:p>
        </w:tc>
      </w:tr>
      <w:tr w:rsidR="006270A2" w:rsidRPr="00C02D56" w14:paraId="2CB25B69" w14:textId="77777777" w:rsidTr="003A7CE7">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017C7FF6" w14:textId="1D6C3CBA" w:rsidR="006270A2" w:rsidRPr="001428E9" w:rsidRDefault="006270A2" w:rsidP="006270A2">
            <w:pPr>
              <w:jc w:val="center"/>
              <w:rPr>
                <w:rFonts w:ascii="Arial Narrow" w:hAnsi="Arial Narrow"/>
                <w:color w:val="333333"/>
                <w:sz w:val="20"/>
                <w:szCs w:val="20"/>
              </w:rPr>
            </w:pPr>
          </w:p>
        </w:tc>
        <w:tc>
          <w:tcPr>
            <w:tcW w:w="7745" w:type="dxa"/>
            <w:gridSpan w:val="6"/>
            <w:vAlign w:val="center"/>
          </w:tcPr>
          <w:p w14:paraId="2045B15F" w14:textId="6ECD5412" w:rsidR="006270A2" w:rsidRPr="006270A2" w:rsidRDefault="006270A2" w:rsidP="006270A2">
            <w:pPr>
              <w:rPr>
                <w:rFonts w:ascii="Arial Narrow" w:hAnsi="Arial Narrow"/>
                <w:color w:val="333333"/>
                <w:sz w:val="20"/>
                <w:szCs w:val="20"/>
              </w:rPr>
            </w:pPr>
            <w:r w:rsidRPr="001428E9">
              <w:rPr>
                <w:rFonts w:ascii="Arial Narrow" w:hAnsi="Arial Narrow"/>
                <w:b/>
                <w:bCs/>
                <w:color w:val="333333"/>
                <w:sz w:val="20"/>
                <w:szCs w:val="20"/>
              </w:rPr>
              <w:t>Treatment criteria:</w:t>
            </w:r>
          </w:p>
        </w:tc>
      </w:tr>
      <w:tr w:rsidR="006270A2" w:rsidRPr="00C02D56" w14:paraId="56E0AB67" w14:textId="77777777" w:rsidTr="003A7CE7">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7014C51E" w14:textId="5C626377" w:rsidR="006270A2" w:rsidRPr="001428E9" w:rsidRDefault="006270A2" w:rsidP="00AE741B">
            <w:pPr>
              <w:jc w:val="center"/>
              <w:rPr>
                <w:rFonts w:ascii="Arial Narrow" w:hAnsi="Arial Narrow"/>
                <w:color w:val="333333"/>
                <w:sz w:val="20"/>
                <w:szCs w:val="20"/>
              </w:rPr>
            </w:pPr>
          </w:p>
        </w:tc>
        <w:tc>
          <w:tcPr>
            <w:tcW w:w="7745" w:type="dxa"/>
            <w:gridSpan w:val="6"/>
            <w:vAlign w:val="center"/>
          </w:tcPr>
          <w:p w14:paraId="67DAFB1E" w14:textId="1FBE9856" w:rsidR="006270A2" w:rsidRPr="006270A2" w:rsidRDefault="006270A2" w:rsidP="006270A2">
            <w:pPr>
              <w:rPr>
                <w:rFonts w:ascii="Arial Narrow" w:hAnsi="Arial Narrow"/>
                <w:color w:val="333333"/>
                <w:sz w:val="20"/>
                <w:szCs w:val="20"/>
              </w:rPr>
            </w:pPr>
            <w:r w:rsidRPr="00E56DE2">
              <w:rPr>
                <w:rFonts w:ascii="Arial Narrow" w:eastAsia="Calibri" w:hAnsi="Arial Narrow" w:cs="Arial Narrow"/>
                <w:sz w:val="20"/>
                <w:szCs w:val="20"/>
              </w:rPr>
              <w:t>Must be treated by a dermatologist</w:t>
            </w:r>
            <w:r w:rsidRPr="00E56DE2">
              <w:rPr>
                <w:rFonts w:ascii="Arial Narrow" w:eastAsia="Calibri" w:hAnsi="Arial Narrow" w:cs="Arial Narrow"/>
                <w:i/>
                <w:iCs/>
                <w:sz w:val="20"/>
                <w:szCs w:val="20"/>
              </w:rPr>
              <w:t>.</w:t>
            </w:r>
          </w:p>
        </w:tc>
      </w:tr>
      <w:tr w:rsidR="006270A2" w:rsidRPr="00C02D56" w14:paraId="0C82D272" w14:textId="77777777" w:rsidTr="003A7CE7">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5147AACF" w14:textId="458EB967" w:rsidR="006270A2" w:rsidRPr="001428E9" w:rsidRDefault="006270A2" w:rsidP="006270A2">
            <w:pPr>
              <w:jc w:val="center"/>
              <w:rPr>
                <w:rFonts w:ascii="Arial Narrow" w:hAnsi="Arial Narrow"/>
                <w:color w:val="333333"/>
                <w:sz w:val="20"/>
                <w:szCs w:val="20"/>
              </w:rPr>
            </w:pPr>
          </w:p>
        </w:tc>
        <w:tc>
          <w:tcPr>
            <w:tcW w:w="7745" w:type="dxa"/>
            <w:gridSpan w:val="6"/>
            <w:vAlign w:val="center"/>
          </w:tcPr>
          <w:p w14:paraId="45709EA4" w14:textId="4A337EEA" w:rsidR="006270A2" w:rsidRPr="006270A2" w:rsidRDefault="006270A2" w:rsidP="006270A2">
            <w:pPr>
              <w:rPr>
                <w:rFonts w:ascii="Arial Narrow" w:hAnsi="Arial Narrow"/>
                <w:color w:val="333333"/>
                <w:sz w:val="20"/>
                <w:szCs w:val="20"/>
              </w:rPr>
            </w:pPr>
            <w:r w:rsidRPr="001428E9">
              <w:rPr>
                <w:rFonts w:ascii="Arial Narrow" w:hAnsi="Arial Narrow"/>
                <w:b/>
                <w:bCs/>
                <w:color w:val="333333"/>
                <w:sz w:val="20"/>
                <w:szCs w:val="20"/>
              </w:rPr>
              <w:t>Population criteria:</w:t>
            </w:r>
          </w:p>
        </w:tc>
      </w:tr>
      <w:tr w:rsidR="00AE741B" w:rsidRPr="00C02D56" w14:paraId="5BC2C012" w14:textId="77777777" w:rsidTr="003A7CE7">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2314395A" w14:textId="0F6B70D9" w:rsidR="00AE741B" w:rsidRPr="001428E9" w:rsidRDefault="00AE741B" w:rsidP="00AE741B">
            <w:pPr>
              <w:jc w:val="center"/>
              <w:rPr>
                <w:rFonts w:ascii="Arial Narrow" w:hAnsi="Arial Narrow"/>
                <w:color w:val="333333"/>
                <w:sz w:val="20"/>
                <w:szCs w:val="20"/>
              </w:rPr>
            </w:pPr>
          </w:p>
        </w:tc>
        <w:tc>
          <w:tcPr>
            <w:tcW w:w="7745" w:type="dxa"/>
            <w:gridSpan w:val="6"/>
            <w:vAlign w:val="center"/>
          </w:tcPr>
          <w:p w14:paraId="59E9071D" w14:textId="07D60FAE" w:rsidR="00AE741B" w:rsidRPr="00911F26" w:rsidRDefault="00AE741B" w:rsidP="00AE741B">
            <w:pPr>
              <w:rPr>
                <w:rFonts w:ascii="Arial Narrow" w:hAnsi="Arial Narrow"/>
                <w:sz w:val="20"/>
                <w:szCs w:val="20"/>
              </w:rPr>
            </w:pPr>
            <w:r w:rsidRPr="00911F26">
              <w:rPr>
                <w:rFonts w:ascii="Arial Narrow" w:hAnsi="Arial Narrow" w:cs="Open Sans"/>
                <w:sz w:val="20"/>
                <w:szCs w:val="20"/>
                <w:shd w:val="clear" w:color="auto" w:fill="FFFFFF"/>
              </w:rPr>
              <w:t>Patient must be at least 18 years of age</w:t>
            </w:r>
          </w:p>
        </w:tc>
      </w:tr>
      <w:tr w:rsidR="00AE741B" w:rsidRPr="00C02D56" w14:paraId="0AC286DD" w14:textId="77777777" w:rsidTr="00911F26">
        <w:tblPrEx>
          <w:tblCellMar>
            <w:top w:w="15" w:type="dxa"/>
            <w:bottom w:w="15" w:type="dxa"/>
          </w:tblCellMar>
        </w:tblPrEx>
        <w:trPr>
          <w:cantSplit/>
          <w:trHeight w:val="20"/>
        </w:trPr>
        <w:tc>
          <w:tcPr>
            <w:tcW w:w="1271" w:type="dxa"/>
            <w:gridSpan w:val="2"/>
          </w:tcPr>
          <w:p w14:paraId="3C0D7446" w14:textId="27D4F2CD" w:rsidR="00AE741B" w:rsidRDefault="00AE741B" w:rsidP="00AE741B">
            <w:pPr>
              <w:jc w:val="center"/>
              <w:rPr>
                <w:rFonts w:ascii="Arial Narrow" w:hAnsi="Arial Narrow"/>
                <w:color w:val="333333"/>
                <w:sz w:val="20"/>
                <w:szCs w:val="20"/>
              </w:rPr>
            </w:pPr>
          </w:p>
        </w:tc>
        <w:tc>
          <w:tcPr>
            <w:tcW w:w="7745" w:type="dxa"/>
            <w:gridSpan w:val="6"/>
          </w:tcPr>
          <w:p w14:paraId="5F5498E1" w14:textId="77777777" w:rsidR="00AE741B" w:rsidRPr="000F0C0D" w:rsidRDefault="00AE741B" w:rsidP="00AE741B">
            <w:pPr>
              <w:pStyle w:val="NormalWeb"/>
              <w:spacing w:before="0" w:beforeAutospacing="0" w:after="0" w:afterAutospacing="0"/>
              <w:textAlignment w:val="baseline"/>
              <w:rPr>
                <w:rFonts w:ascii="Arial Narrow" w:hAnsi="Arial Narrow" w:cs="Open Sans"/>
                <w:color w:val="333333"/>
                <w:sz w:val="20"/>
                <w:szCs w:val="20"/>
              </w:rPr>
            </w:pPr>
            <w:bookmarkStart w:id="3" w:name="_Hlk127782071"/>
            <w:r w:rsidRPr="000F0C0D">
              <w:rPr>
                <w:rStyle w:val="Strong"/>
                <w:rFonts w:ascii="Arial Narrow" w:hAnsi="Arial Narrow" w:cs="Open Sans"/>
                <w:color w:val="333333"/>
                <w:sz w:val="20"/>
                <w:szCs w:val="20"/>
                <w:bdr w:val="none" w:sz="0" w:space="0" w:color="auto" w:frame="1"/>
              </w:rPr>
              <w:t>Prescribing Instructions:</w:t>
            </w:r>
          </w:p>
          <w:p w14:paraId="4B79CC46" w14:textId="77777777" w:rsidR="00AE741B" w:rsidRPr="000F0C0D" w:rsidRDefault="00AE741B" w:rsidP="00AE741B">
            <w:pPr>
              <w:pStyle w:val="NormalWeb"/>
              <w:spacing w:before="0" w:beforeAutospacing="0" w:after="0" w:afterAutospacing="0"/>
              <w:textAlignment w:val="baseline"/>
              <w:rPr>
                <w:rFonts w:ascii="Arial Narrow" w:hAnsi="Arial Narrow" w:cs="Open Sans"/>
                <w:color w:val="333333"/>
                <w:sz w:val="20"/>
                <w:szCs w:val="20"/>
              </w:rPr>
            </w:pPr>
            <w:r w:rsidRPr="000F0C0D">
              <w:rPr>
                <w:rFonts w:ascii="Arial Narrow" w:hAnsi="Arial Narrow" w:cs="Open Sans"/>
                <w:color w:val="333333"/>
                <w:sz w:val="20"/>
                <w:szCs w:val="20"/>
              </w:rPr>
              <w:t>An adequate response to treatment is defined as the plaque or plaques assessed prior to biological treatment showing:</w:t>
            </w:r>
          </w:p>
          <w:p w14:paraId="1A9E7FC9" w14:textId="77777777" w:rsidR="00AE741B" w:rsidRPr="000F0C0D" w:rsidRDefault="00AE741B" w:rsidP="00AE741B">
            <w:pPr>
              <w:pStyle w:val="NormalWeb"/>
              <w:spacing w:before="0" w:beforeAutospacing="0" w:after="0" w:afterAutospacing="0"/>
              <w:textAlignment w:val="baseline"/>
              <w:rPr>
                <w:rFonts w:ascii="Arial Narrow" w:hAnsi="Arial Narrow" w:cs="Open Sans"/>
                <w:color w:val="333333"/>
                <w:sz w:val="20"/>
                <w:szCs w:val="20"/>
              </w:rPr>
            </w:pPr>
            <w:r w:rsidRPr="000F0C0D">
              <w:rPr>
                <w:rFonts w:ascii="Arial Narrow" w:hAnsi="Arial Narrow" w:cs="Open Sans"/>
                <w:color w:val="333333"/>
                <w:sz w:val="20"/>
                <w:szCs w:val="20"/>
              </w:rPr>
              <w:t>(i) a reduction in the Psoriasis Area and Severity Index (PASI) symptom subscores for all 3 of erythema, thickness and scaling, to slight or better, or sustained at this level, as compared to the baseline values; or</w:t>
            </w:r>
          </w:p>
          <w:p w14:paraId="6B327BC1" w14:textId="4D98FA24" w:rsidR="00AE741B" w:rsidRPr="005E12EE" w:rsidRDefault="00AE741B" w:rsidP="00AE741B">
            <w:pPr>
              <w:rPr>
                <w:rFonts w:ascii="Arial Narrow" w:hAnsi="Arial Narrow" w:cs="Open Sans"/>
                <w:color w:val="F79646" w:themeColor="accent6"/>
                <w:sz w:val="20"/>
                <w:szCs w:val="20"/>
                <w:shd w:val="clear" w:color="auto" w:fill="FFFFFF"/>
              </w:rPr>
            </w:pPr>
            <w:r w:rsidRPr="000F0C0D">
              <w:rPr>
                <w:rFonts w:ascii="Arial Narrow" w:hAnsi="Arial Narrow" w:cs="Open Sans"/>
                <w:color w:val="333333"/>
                <w:sz w:val="20"/>
                <w:szCs w:val="20"/>
              </w:rPr>
              <w:t>(ii) a reduction by 75% or more in the skin area affected, or sustained at this level, as compared to the baseline value for this treatment cycle.</w:t>
            </w:r>
            <w:bookmarkEnd w:id="3"/>
          </w:p>
        </w:tc>
      </w:tr>
      <w:tr w:rsidR="00AE741B" w:rsidRPr="00C02D56" w14:paraId="1D31D59A" w14:textId="77777777" w:rsidTr="003A7CE7">
        <w:tblPrEx>
          <w:tblCellMar>
            <w:top w:w="15" w:type="dxa"/>
            <w:bottom w:w="15" w:type="dxa"/>
          </w:tblCellMar>
          <w:tblLook w:val="04A0" w:firstRow="1" w:lastRow="0" w:firstColumn="1" w:lastColumn="0" w:noHBand="0" w:noVBand="1"/>
        </w:tblPrEx>
        <w:trPr>
          <w:cantSplit/>
          <w:trHeight w:val="20"/>
        </w:trPr>
        <w:tc>
          <w:tcPr>
            <w:tcW w:w="1271" w:type="dxa"/>
            <w:gridSpan w:val="2"/>
            <w:vAlign w:val="center"/>
          </w:tcPr>
          <w:p w14:paraId="486B84CB" w14:textId="2F735E44" w:rsidR="004E2E0F" w:rsidRPr="001428E9" w:rsidRDefault="004E2E0F" w:rsidP="006270A2">
            <w:pPr>
              <w:jc w:val="center"/>
              <w:rPr>
                <w:rFonts w:ascii="Arial Narrow" w:hAnsi="Arial Narrow"/>
                <w:color w:val="333333"/>
                <w:sz w:val="20"/>
                <w:szCs w:val="20"/>
              </w:rPr>
            </w:pPr>
          </w:p>
        </w:tc>
        <w:tc>
          <w:tcPr>
            <w:tcW w:w="7745" w:type="dxa"/>
            <w:gridSpan w:val="6"/>
            <w:vAlign w:val="center"/>
          </w:tcPr>
          <w:p w14:paraId="5324D01B" w14:textId="77777777" w:rsidR="00AE741B" w:rsidRPr="00262EB8" w:rsidRDefault="00AE741B" w:rsidP="00AE741B">
            <w:pPr>
              <w:pStyle w:val="NormalWeb"/>
              <w:spacing w:before="0" w:beforeAutospacing="0" w:after="0" w:afterAutospacing="0"/>
              <w:textAlignment w:val="baseline"/>
              <w:rPr>
                <w:rFonts w:ascii="Arial Narrow" w:hAnsi="Arial Narrow" w:cs="Open Sans"/>
                <w:color w:val="333333"/>
                <w:sz w:val="20"/>
                <w:szCs w:val="20"/>
              </w:rPr>
            </w:pPr>
            <w:r w:rsidRPr="00262EB8">
              <w:rPr>
                <w:rStyle w:val="Strong"/>
                <w:rFonts w:ascii="Arial Narrow" w:hAnsi="Arial Narrow" w:cs="Open Sans"/>
                <w:color w:val="333333"/>
                <w:sz w:val="20"/>
                <w:szCs w:val="20"/>
                <w:bdr w:val="none" w:sz="0" w:space="0" w:color="auto" w:frame="1"/>
              </w:rPr>
              <w:t>Prescribing Instructions:</w:t>
            </w:r>
          </w:p>
          <w:p w14:paraId="4650878E" w14:textId="77777777" w:rsidR="00AE741B" w:rsidRPr="005263F9" w:rsidRDefault="00AE741B" w:rsidP="00AE741B">
            <w:pPr>
              <w:shd w:val="clear" w:color="auto" w:fill="FFFFFF"/>
              <w:textAlignment w:val="baseline"/>
              <w:rPr>
                <w:rFonts w:ascii="Arial Narrow" w:hAnsi="Arial Narrow" w:cs="Open Sans"/>
                <w:color w:val="333333"/>
                <w:sz w:val="20"/>
                <w:szCs w:val="20"/>
              </w:rPr>
            </w:pPr>
            <w:r w:rsidRPr="005263F9">
              <w:rPr>
                <w:rFonts w:ascii="Arial Narrow" w:hAnsi="Arial Narrow" w:cs="Open Sans"/>
                <w:color w:val="333333"/>
                <w:sz w:val="20"/>
                <w:szCs w:val="20"/>
              </w:rPr>
              <w:t>The authority application must be made in writing and must include:</w:t>
            </w:r>
          </w:p>
          <w:p w14:paraId="1A6D3412" w14:textId="77777777" w:rsidR="00AE741B" w:rsidRPr="005263F9" w:rsidRDefault="00AE741B" w:rsidP="00AE741B">
            <w:pPr>
              <w:shd w:val="clear" w:color="auto" w:fill="FFFFFF"/>
              <w:textAlignment w:val="baseline"/>
              <w:rPr>
                <w:rFonts w:ascii="Arial Narrow" w:hAnsi="Arial Narrow" w:cs="Open Sans"/>
                <w:color w:val="333333"/>
                <w:sz w:val="20"/>
                <w:szCs w:val="20"/>
              </w:rPr>
            </w:pPr>
            <w:r w:rsidRPr="005263F9">
              <w:rPr>
                <w:rFonts w:ascii="Arial Narrow" w:hAnsi="Arial Narrow" w:cs="Open Sans"/>
                <w:color w:val="333333"/>
                <w:sz w:val="20"/>
                <w:szCs w:val="20"/>
              </w:rPr>
              <w:t>(1) a completed authority prescription form(s); and</w:t>
            </w:r>
          </w:p>
          <w:p w14:paraId="6A735613" w14:textId="77777777" w:rsidR="00AE741B" w:rsidRPr="005263F9" w:rsidRDefault="00AE741B" w:rsidP="00AE741B">
            <w:pPr>
              <w:shd w:val="clear" w:color="auto" w:fill="FFFFFF"/>
              <w:textAlignment w:val="baseline"/>
              <w:rPr>
                <w:rFonts w:ascii="Arial Narrow" w:hAnsi="Arial Narrow" w:cs="Open Sans"/>
                <w:color w:val="333333"/>
                <w:sz w:val="20"/>
                <w:szCs w:val="20"/>
              </w:rPr>
            </w:pPr>
            <w:r w:rsidRPr="005263F9">
              <w:rPr>
                <w:rFonts w:ascii="Arial Narrow" w:hAnsi="Arial Narrow" w:cs="Open Sans"/>
                <w:color w:val="333333"/>
                <w:sz w:val="20"/>
                <w:szCs w:val="20"/>
              </w:rPr>
              <w:t>(2) a completed authority application form relevant to the indication and treatment phase (the latest version is located on the website specified in the Administrative Advice) which includes the following:</w:t>
            </w:r>
          </w:p>
          <w:p w14:paraId="65BA184D" w14:textId="77777777" w:rsidR="00AE741B" w:rsidRPr="005263F9" w:rsidRDefault="00AE741B" w:rsidP="00AE741B">
            <w:pPr>
              <w:shd w:val="clear" w:color="auto" w:fill="FFFFFF"/>
              <w:textAlignment w:val="baseline"/>
              <w:rPr>
                <w:rFonts w:ascii="Arial Narrow" w:hAnsi="Arial Narrow" w:cs="Open Sans"/>
                <w:color w:val="333333"/>
                <w:sz w:val="20"/>
                <w:szCs w:val="20"/>
              </w:rPr>
            </w:pPr>
            <w:r w:rsidRPr="005263F9">
              <w:rPr>
                <w:rFonts w:ascii="Arial Narrow" w:hAnsi="Arial Narrow" w:cs="Open Sans"/>
                <w:color w:val="333333"/>
                <w:sz w:val="20"/>
                <w:szCs w:val="20"/>
              </w:rPr>
              <w:t>(i) the completed current and previous Psoriasis Area and Severity Index (PASI) calculation sheets, and the face, hand, foot area diagrams including the dates of assessment of the patient's condition</w:t>
            </w:r>
            <w:r>
              <w:rPr>
                <w:rFonts w:ascii="Arial Narrow" w:hAnsi="Arial Narrow" w:cs="Open Sans"/>
                <w:color w:val="333333"/>
                <w:sz w:val="20"/>
                <w:szCs w:val="20"/>
              </w:rPr>
              <w:t xml:space="preserve"> </w:t>
            </w:r>
            <w:r w:rsidRPr="003B4B70">
              <w:rPr>
                <w:rFonts w:ascii="Arial Narrow" w:hAnsi="Arial Narrow" w:cs="Open Sans"/>
                <w:color w:val="333333"/>
                <w:sz w:val="20"/>
                <w:szCs w:val="20"/>
              </w:rPr>
              <w:t>at baseline (prior to initiation of therapy with this drug) and the most recent PASI assessment</w:t>
            </w:r>
            <w:r w:rsidRPr="005263F9">
              <w:rPr>
                <w:rFonts w:ascii="Arial Narrow" w:hAnsi="Arial Narrow" w:cs="Open Sans"/>
                <w:color w:val="333333"/>
                <w:sz w:val="20"/>
                <w:szCs w:val="20"/>
              </w:rPr>
              <w:t>; and</w:t>
            </w:r>
          </w:p>
          <w:p w14:paraId="5FD22DBF" w14:textId="498375AB" w:rsidR="00AE741B" w:rsidRPr="00EA4BA1" w:rsidRDefault="00AE741B" w:rsidP="00EA4BA1">
            <w:pPr>
              <w:shd w:val="clear" w:color="auto" w:fill="FFFFFF"/>
              <w:textAlignment w:val="baseline"/>
              <w:rPr>
                <w:rFonts w:ascii="Arial Narrow" w:hAnsi="Arial Narrow" w:cs="Open Sans"/>
                <w:strike/>
                <w:color w:val="333333"/>
                <w:sz w:val="20"/>
                <w:szCs w:val="20"/>
              </w:rPr>
            </w:pPr>
            <w:r w:rsidRPr="005263F9">
              <w:rPr>
                <w:rFonts w:ascii="Arial Narrow" w:hAnsi="Arial Narrow" w:cs="Open Sans"/>
                <w:color w:val="333333"/>
                <w:sz w:val="20"/>
                <w:szCs w:val="20"/>
              </w:rPr>
              <w:t>(ii) details of previous phototherapy and systemic drug therapy [dosage (where applicable), date of commencement and duration of therapy]</w:t>
            </w:r>
          </w:p>
        </w:tc>
      </w:tr>
      <w:tr w:rsidR="00AE741B" w:rsidRPr="00C02D56" w14:paraId="57A54AFE" w14:textId="77777777" w:rsidTr="005E6D8D">
        <w:tblPrEx>
          <w:tblCellMar>
            <w:top w:w="15" w:type="dxa"/>
            <w:bottom w:w="15" w:type="dxa"/>
          </w:tblCellMar>
          <w:tblLook w:val="04A0" w:firstRow="1" w:lastRow="0" w:firstColumn="1" w:lastColumn="0" w:noHBand="0" w:noVBand="1"/>
        </w:tblPrEx>
        <w:trPr>
          <w:cantSplit/>
          <w:trHeight w:val="20"/>
        </w:trPr>
        <w:tc>
          <w:tcPr>
            <w:tcW w:w="1271" w:type="dxa"/>
            <w:gridSpan w:val="2"/>
          </w:tcPr>
          <w:p w14:paraId="60324032" w14:textId="77F42E97" w:rsidR="00AE741B" w:rsidRPr="000F0C0D" w:rsidRDefault="00AE741B" w:rsidP="00AE741B">
            <w:pPr>
              <w:jc w:val="center"/>
              <w:rPr>
                <w:rFonts w:ascii="Arial Narrow" w:hAnsi="Arial Narrow" w:cs="Open Sans"/>
                <w:color w:val="333333"/>
                <w:sz w:val="20"/>
                <w:szCs w:val="20"/>
              </w:rPr>
            </w:pPr>
          </w:p>
        </w:tc>
        <w:tc>
          <w:tcPr>
            <w:tcW w:w="7745" w:type="dxa"/>
            <w:gridSpan w:val="6"/>
          </w:tcPr>
          <w:p w14:paraId="11C1F2EC" w14:textId="77777777" w:rsidR="00AE741B" w:rsidRPr="003D6B22" w:rsidRDefault="00AE741B" w:rsidP="00AE741B">
            <w:pPr>
              <w:pStyle w:val="NormalWeb"/>
              <w:spacing w:before="0" w:beforeAutospacing="0" w:after="0" w:afterAutospacing="0"/>
              <w:textAlignment w:val="baseline"/>
              <w:rPr>
                <w:rFonts w:ascii="Arial Narrow" w:hAnsi="Arial Narrow" w:cs="Open Sans"/>
                <w:color w:val="333333"/>
                <w:sz w:val="20"/>
                <w:szCs w:val="20"/>
              </w:rPr>
            </w:pPr>
            <w:r w:rsidRPr="003D6B22">
              <w:rPr>
                <w:rStyle w:val="Strong"/>
                <w:rFonts w:ascii="Arial Narrow" w:hAnsi="Arial Narrow" w:cs="Open Sans"/>
                <w:color w:val="333333"/>
                <w:sz w:val="20"/>
                <w:szCs w:val="20"/>
                <w:bdr w:val="none" w:sz="0" w:space="0" w:color="auto" w:frame="1"/>
              </w:rPr>
              <w:t>Prescribing Instructions:</w:t>
            </w:r>
          </w:p>
          <w:p w14:paraId="02D59AEE" w14:textId="5890F5F7" w:rsidR="00AE741B" w:rsidRPr="000F0C0D" w:rsidRDefault="00AE741B" w:rsidP="00AE741B">
            <w:pPr>
              <w:pStyle w:val="NormalWeb"/>
              <w:spacing w:before="0" w:beforeAutospacing="0" w:after="0" w:afterAutospacing="0"/>
              <w:textAlignment w:val="baseline"/>
              <w:rPr>
                <w:rStyle w:val="Strong"/>
                <w:rFonts w:ascii="Arial Narrow" w:hAnsi="Arial Narrow" w:cs="Open Sans"/>
                <w:color w:val="333333"/>
                <w:sz w:val="20"/>
                <w:szCs w:val="20"/>
                <w:bdr w:val="none" w:sz="0" w:space="0" w:color="auto" w:frame="1"/>
              </w:rPr>
            </w:pPr>
            <w:r w:rsidRPr="003D6B22">
              <w:rPr>
                <w:rFonts w:ascii="Arial Narrow" w:hAnsi="Arial Narrow" w:cs="Open Sans"/>
                <w:color w:val="333333"/>
                <w:sz w:val="20"/>
                <w:szCs w:val="20"/>
              </w:rPr>
              <w:t>The most recent PASI assessment must be no more than 4 weeks old at the time of application.</w:t>
            </w:r>
          </w:p>
        </w:tc>
      </w:tr>
      <w:tr w:rsidR="00AE741B" w:rsidRPr="00C02D56" w14:paraId="5D99CBE8" w14:textId="77777777" w:rsidTr="005E6D8D">
        <w:tblPrEx>
          <w:tblCellMar>
            <w:top w:w="15" w:type="dxa"/>
            <w:bottom w:w="15" w:type="dxa"/>
          </w:tblCellMar>
          <w:tblLook w:val="04A0" w:firstRow="1" w:lastRow="0" w:firstColumn="1" w:lastColumn="0" w:noHBand="0" w:noVBand="1"/>
        </w:tblPrEx>
        <w:trPr>
          <w:cantSplit/>
          <w:trHeight w:val="20"/>
        </w:trPr>
        <w:tc>
          <w:tcPr>
            <w:tcW w:w="1271" w:type="dxa"/>
            <w:gridSpan w:val="2"/>
          </w:tcPr>
          <w:p w14:paraId="2B905B69" w14:textId="6DAC5987" w:rsidR="00AE741B" w:rsidRPr="003D6B22" w:rsidRDefault="00AE741B" w:rsidP="00AE741B">
            <w:pPr>
              <w:jc w:val="center"/>
              <w:rPr>
                <w:rFonts w:ascii="Arial Narrow" w:hAnsi="Arial Narrow" w:cs="Open Sans"/>
                <w:color w:val="333333"/>
                <w:sz w:val="20"/>
                <w:szCs w:val="20"/>
              </w:rPr>
            </w:pPr>
          </w:p>
        </w:tc>
        <w:tc>
          <w:tcPr>
            <w:tcW w:w="7745" w:type="dxa"/>
            <w:gridSpan w:val="6"/>
          </w:tcPr>
          <w:p w14:paraId="55E28D70" w14:textId="77777777" w:rsidR="00AE741B" w:rsidRPr="00680F08" w:rsidRDefault="00AE741B" w:rsidP="00AE741B">
            <w:pPr>
              <w:pStyle w:val="NormalWeb"/>
              <w:spacing w:before="0" w:beforeAutospacing="0" w:after="0" w:afterAutospacing="0"/>
              <w:textAlignment w:val="baseline"/>
              <w:rPr>
                <w:rFonts w:ascii="Arial Narrow" w:hAnsi="Arial Narrow" w:cs="Open Sans"/>
                <w:color w:val="333333"/>
                <w:sz w:val="20"/>
                <w:szCs w:val="20"/>
              </w:rPr>
            </w:pPr>
            <w:r w:rsidRPr="00680F08">
              <w:rPr>
                <w:rStyle w:val="Strong"/>
                <w:rFonts w:ascii="Arial Narrow" w:hAnsi="Arial Narrow" w:cs="Open Sans"/>
                <w:color w:val="333333"/>
                <w:sz w:val="20"/>
                <w:szCs w:val="20"/>
                <w:bdr w:val="none" w:sz="0" w:space="0" w:color="auto" w:frame="1"/>
              </w:rPr>
              <w:t>Prescribing Instructions:</w:t>
            </w:r>
          </w:p>
          <w:p w14:paraId="5C0F9A28" w14:textId="6F58E869" w:rsidR="00AE741B" w:rsidRPr="003D6B22" w:rsidRDefault="00AE741B" w:rsidP="00AE741B">
            <w:pPr>
              <w:pStyle w:val="NormalWeb"/>
              <w:spacing w:before="0" w:beforeAutospacing="0" w:after="0" w:afterAutospacing="0"/>
              <w:textAlignment w:val="baseline"/>
              <w:rPr>
                <w:rStyle w:val="Strong"/>
                <w:rFonts w:ascii="Arial Narrow" w:hAnsi="Arial Narrow" w:cs="Open Sans"/>
                <w:color w:val="333333"/>
                <w:sz w:val="20"/>
                <w:szCs w:val="20"/>
                <w:bdr w:val="none" w:sz="0" w:space="0" w:color="auto" w:frame="1"/>
              </w:rPr>
            </w:pPr>
            <w:r w:rsidRPr="00680F08">
              <w:rPr>
                <w:rFonts w:ascii="Arial Narrow" w:hAnsi="Arial Narrow" w:cs="Open Sans"/>
                <w:color w:val="333333"/>
                <w:sz w:val="20"/>
                <w:szCs w:val="20"/>
              </w:rPr>
              <w:t>If a patient fails to demonstrate a response to treatment with this drug under this restriction they will not be eligible to receive further PBS-subsidised treatment with this drug for this condition within this treatment cycle.</w:t>
            </w:r>
          </w:p>
        </w:tc>
      </w:tr>
      <w:tr w:rsidR="00385152" w:rsidRPr="00C02D56" w14:paraId="263EB559" w14:textId="77777777" w:rsidTr="005E6D8D">
        <w:tblPrEx>
          <w:tblCellMar>
            <w:top w:w="15" w:type="dxa"/>
            <w:bottom w:w="15" w:type="dxa"/>
          </w:tblCellMar>
          <w:tblLook w:val="04A0" w:firstRow="1" w:lastRow="0" w:firstColumn="1" w:lastColumn="0" w:noHBand="0" w:noVBand="1"/>
        </w:tblPrEx>
        <w:trPr>
          <w:cantSplit/>
          <w:trHeight w:val="20"/>
        </w:trPr>
        <w:tc>
          <w:tcPr>
            <w:tcW w:w="1271" w:type="dxa"/>
            <w:gridSpan w:val="2"/>
          </w:tcPr>
          <w:p w14:paraId="278E6C5B" w14:textId="77777777" w:rsidR="00385152" w:rsidRPr="00680F08" w:rsidRDefault="00385152" w:rsidP="00AE741B">
            <w:pPr>
              <w:jc w:val="center"/>
              <w:rPr>
                <w:rFonts w:ascii="Arial Narrow" w:hAnsi="Arial Narrow" w:cs="Open Sans"/>
                <w:color w:val="333333"/>
                <w:sz w:val="20"/>
                <w:szCs w:val="20"/>
              </w:rPr>
            </w:pPr>
          </w:p>
        </w:tc>
        <w:tc>
          <w:tcPr>
            <w:tcW w:w="7745" w:type="dxa"/>
            <w:gridSpan w:val="6"/>
          </w:tcPr>
          <w:p w14:paraId="3ABCEE47" w14:textId="69D0AD71" w:rsidR="00385152" w:rsidRPr="008E2F36" w:rsidRDefault="00385152" w:rsidP="00385152">
            <w:pPr>
              <w:rPr>
                <w:rFonts w:ascii="Arial Narrow" w:hAnsi="Arial Narrow"/>
                <w:b/>
                <w:bCs/>
                <w:i/>
                <w:iCs/>
                <w:sz w:val="20"/>
                <w:szCs w:val="20"/>
              </w:rPr>
            </w:pPr>
            <w:r w:rsidRPr="008E2F36">
              <w:rPr>
                <w:rFonts w:ascii="Arial Narrow" w:hAnsi="Arial Narrow"/>
                <w:b/>
                <w:bCs/>
                <w:i/>
                <w:iCs/>
                <w:sz w:val="20"/>
                <w:szCs w:val="20"/>
              </w:rPr>
              <w:t>Administrative Advice:</w:t>
            </w:r>
          </w:p>
          <w:p w14:paraId="1DDF9AB4" w14:textId="22D4047D" w:rsidR="00385152" w:rsidRPr="008E2F36" w:rsidRDefault="00385152" w:rsidP="008E2F36">
            <w:pPr>
              <w:rPr>
                <w:rStyle w:val="Strong"/>
                <w:rFonts w:ascii="Arial Narrow" w:hAnsi="Arial Narrow"/>
                <w:b w:val="0"/>
                <w:bCs w:val="0"/>
                <w:i/>
                <w:iCs/>
                <w:sz w:val="20"/>
                <w:szCs w:val="20"/>
              </w:rPr>
            </w:pPr>
            <w:r w:rsidRPr="008E2F36">
              <w:rPr>
                <w:rFonts w:ascii="Arial Narrow" w:hAnsi="Arial Narrow"/>
                <w:i/>
                <w:iCs/>
                <w:sz w:val="20"/>
                <w:szCs w:val="20"/>
              </w:rPr>
              <w:t xml:space="preserve">Where treatment has been commenced via non-PBS supply, the current PASI score of greater than 15 in (a) refers to a PASI measurement taken prior to commencing non-PBS supply of a biological medicine with the PBS indication of severe chronic plaque psoriasis, but following the specified prior therapies (i.e. phototherapy, methotrexate, ciclosporin, acitretin, apremilast). As a result, the PASI score can be more than 4 weeks old at the time of this application in these circumstances. For continuing treatment after this application, continued PBS subsidy is to be through either the Continuing treatment phase listing, or, an Initial 2 treatment phase listing. </w:t>
            </w:r>
          </w:p>
        </w:tc>
      </w:tr>
      <w:tr w:rsidR="00AE741B" w:rsidRPr="00C02D56" w14:paraId="5BE5E94C" w14:textId="77777777" w:rsidTr="005E6D8D">
        <w:tblPrEx>
          <w:tblCellMar>
            <w:top w:w="15" w:type="dxa"/>
            <w:bottom w:w="15" w:type="dxa"/>
          </w:tblCellMar>
          <w:tblLook w:val="04A0" w:firstRow="1" w:lastRow="0" w:firstColumn="1" w:lastColumn="0" w:noHBand="0" w:noVBand="1"/>
        </w:tblPrEx>
        <w:trPr>
          <w:cantSplit/>
          <w:trHeight w:val="20"/>
        </w:trPr>
        <w:tc>
          <w:tcPr>
            <w:tcW w:w="1271" w:type="dxa"/>
            <w:gridSpan w:val="2"/>
          </w:tcPr>
          <w:p w14:paraId="69FB9FDA" w14:textId="07F387DB" w:rsidR="00AE741B" w:rsidRPr="00680F08" w:rsidRDefault="00AE741B" w:rsidP="00AE741B">
            <w:pPr>
              <w:jc w:val="center"/>
              <w:rPr>
                <w:rFonts w:ascii="Arial Narrow" w:hAnsi="Arial Narrow" w:cs="Open Sans"/>
                <w:color w:val="333333"/>
                <w:sz w:val="20"/>
                <w:szCs w:val="20"/>
              </w:rPr>
            </w:pPr>
          </w:p>
        </w:tc>
        <w:tc>
          <w:tcPr>
            <w:tcW w:w="7745" w:type="dxa"/>
            <w:gridSpan w:val="6"/>
          </w:tcPr>
          <w:p w14:paraId="3F6BE946" w14:textId="77777777" w:rsidR="00AE741B" w:rsidRPr="00E2654D" w:rsidRDefault="00AE741B" w:rsidP="00AE741B">
            <w:pPr>
              <w:pStyle w:val="NormalWeb"/>
              <w:spacing w:before="0" w:beforeAutospacing="0" w:after="0" w:afterAutospacing="0"/>
              <w:textAlignment w:val="baseline"/>
              <w:rPr>
                <w:rFonts w:ascii="Arial Narrow" w:hAnsi="Arial Narrow" w:cs="Open Sans"/>
                <w:color w:val="333333"/>
                <w:sz w:val="20"/>
                <w:szCs w:val="20"/>
              </w:rPr>
            </w:pPr>
            <w:r w:rsidRPr="00E2654D">
              <w:rPr>
                <w:rStyle w:val="Strong"/>
                <w:rFonts w:ascii="Arial Narrow" w:hAnsi="Arial Narrow" w:cs="Open Sans"/>
                <w:color w:val="333333"/>
                <w:sz w:val="20"/>
                <w:szCs w:val="20"/>
                <w:bdr w:val="none" w:sz="0" w:space="0" w:color="auto" w:frame="1"/>
              </w:rPr>
              <w:t>Administrative Advice:</w:t>
            </w:r>
          </w:p>
          <w:p w14:paraId="75306029" w14:textId="29E0EA70" w:rsidR="00AE741B" w:rsidRPr="00680F08" w:rsidRDefault="00AE741B" w:rsidP="00AE741B">
            <w:pPr>
              <w:pStyle w:val="NormalWeb"/>
              <w:spacing w:before="0" w:beforeAutospacing="0" w:after="0" w:afterAutospacing="0"/>
              <w:textAlignment w:val="baseline"/>
              <w:rPr>
                <w:rStyle w:val="Strong"/>
                <w:rFonts w:ascii="Arial Narrow" w:hAnsi="Arial Narrow" w:cs="Open Sans"/>
                <w:color w:val="333333"/>
                <w:sz w:val="20"/>
                <w:szCs w:val="20"/>
                <w:bdr w:val="none" w:sz="0" w:space="0" w:color="auto" w:frame="1"/>
              </w:rPr>
            </w:pPr>
            <w:r w:rsidRPr="00E2654D">
              <w:rPr>
                <w:rFonts w:ascii="Arial Narrow" w:hAnsi="Arial Narrow" w:cs="Open Sans"/>
                <w:color w:val="333333"/>
                <w:sz w:val="20"/>
                <w:szCs w:val="20"/>
              </w:rPr>
              <w:t>A Grandfathered patient may qualify for PBS-subsidised treatment under this restriction once only. For continuing PBS-subsidised treatment, a Grandfathered patient must qualify under the continuing treatment criteria.</w:t>
            </w:r>
          </w:p>
        </w:tc>
      </w:tr>
      <w:tr w:rsidR="00AE741B" w:rsidRPr="00C02D56" w14:paraId="40D812DC" w14:textId="77777777" w:rsidTr="005E6D8D">
        <w:tblPrEx>
          <w:tblCellMar>
            <w:top w:w="15" w:type="dxa"/>
            <w:bottom w:w="15" w:type="dxa"/>
          </w:tblCellMar>
          <w:tblLook w:val="04A0" w:firstRow="1" w:lastRow="0" w:firstColumn="1" w:lastColumn="0" w:noHBand="0" w:noVBand="1"/>
        </w:tblPrEx>
        <w:trPr>
          <w:cantSplit/>
          <w:trHeight w:val="20"/>
        </w:trPr>
        <w:tc>
          <w:tcPr>
            <w:tcW w:w="1271" w:type="dxa"/>
            <w:gridSpan w:val="2"/>
          </w:tcPr>
          <w:p w14:paraId="6DA9A1DC" w14:textId="24AFA11F" w:rsidR="00AE741B" w:rsidRPr="00680F08" w:rsidRDefault="00AE741B" w:rsidP="00AE741B">
            <w:pPr>
              <w:jc w:val="center"/>
              <w:rPr>
                <w:rFonts w:ascii="Arial Narrow" w:hAnsi="Arial Narrow" w:cs="Open Sans"/>
                <w:color w:val="333333"/>
                <w:sz w:val="20"/>
                <w:szCs w:val="20"/>
              </w:rPr>
            </w:pPr>
          </w:p>
        </w:tc>
        <w:tc>
          <w:tcPr>
            <w:tcW w:w="7745" w:type="dxa"/>
            <w:gridSpan w:val="6"/>
          </w:tcPr>
          <w:p w14:paraId="518C1838" w14:textId="77777777" w:rsidR="00AE741B" w:rsidRPr="00E2654D" w:rsidRDefault="00AE741B" w:rsidP="00AE741B">
            <w:pPr>
              <w:pStyle w:val="NormalWeb"/>
              <w:spacing w:before="0" w:beforeAutospacing="0" w:after="0" w:afterAutospacing="0"/>
              <w:textAlignment w:val="baseline"/>
              <w:rPr>
                <w:rFonts w:ascii="Arial Narrow" w:hAnsi="Arial Narrow" w:cs="Open Sans"/>
                <w:color w:val="333333"/>
                <w:sz w:val="20"/>
                <w:szCs w:val="20"/>
              </w:rPr>
            </w:pPr>
            <w:r w:rsidRPr="00E2654D">
              <w:rPr>
                <w:rStyle w:val="Strong"/>
                <w:rFonts w:ascii="Arial Narrow" w:hAnsi="Arial Narrow" w:cs="Open Sans"/>
                <w:color w:val="333333"/>
                <w:sz w:val="20"/>
                <w:szCs w:val="20"/>
                <w:bdr w:val="none" w:sz="0" w:space="0" w:color="auto" w:frame="1"/>
              </w:rPr>
              <w:t>Administrative Advice:</w:t>
            </w:r>
          </w:p>
          <w:p w14:paraId="1FB36936" w14:textId="0689EC72" w:rsidR="00AE741B" w:rsidRPr="00680F08" w:rsidRDefault="00AE741B" w:rsidP="00AE741B">
            <w:pPr>
              <w:pStyle w:val="NormalWeb"/>
              <w:spacing w:before="0" w:beforeAutospacing="0" w:after="0" w:afterAutospacing="0"/>
              <w:textAlignment w:val="baseline"/>
              <w:rPr>
                <w:rStyle w:val="Strong"/>
                <w:rFonts w:ascii="Arial Narrow" w:hAnsi="Arial Narrow" w:cs="Open Sans"/>
                <w:color w:val="333333"/>
                <w:sz w:val="20"/>
                <w:szCs w:val="20"/>
                <w:bdr w:val="none" w:sz="0" w:space="0" w:color="auto" w:frame="1"/>
              </w:rPr>
            </w:pPr>
            <w:r w:rsidRPr="00E2654D">
              <w:rPr>
                <w:rFonts w:ascii="Arial Narrow" w:hAnsi="Arial Narrow" w:cs="Open Sans"/>
                <w:color w:val="333333"/>
                <w:sz w:val="20"/>
                <w:szCs w:val="20"/>
              </w:rPr>
              <w:t>This grandfather restriction will cease to operate from 1</w:t>
            </w:r>
            <w:r>
              <w:rPr>
                <w:rFonts w:ascii="Arial Narrow" w:hAnsi="Arial Narrow" w:cs="Open Sans"/>
                <w:color w:val="333333"/>
                <w:sz w:val="20"/>
                <w:szCs w:val="20"/>
              </w:rPr>
              <w:t>2</w:t>
            </w:r>
            <w:r w:rsidRPr="00E2654D">
              <w:rPr>
                <w:rFonts w:ascii="Arial Narrow" w:hAnsi="Arial Narrow" w:cs="Open Sans"/>
                <w:color w:val="333333"/>
                <w:sz w:val="20"/>
                <w:szCs w:val="20"/>
              </w:rPr>
              <w:t xml:space="preserve"> months after the date specified in the clinical criteria.</w:t>
            </w:r>
          </w:p>
        </w:tc>
      </w:tr>
      <w:tr w:rsidR="00AE741B" w:rsidRPr="00C02D56" w14:paraId="3DE280FB" w14:textId="77777777" w:rsidTr="008E652B">
        <w:tblPrEx>
          <w:tblCellMar>
            <w:top w:w="15" w:type="dxa"/>
            <w:bottom w:w="15" w:type="dxa"/>
          </w:tblCellMar>
        </w:tblPrEx>
        <w:trPr>
          <w:trHeight w:val="20"/>
        </w:trPr>
        <w:tc>
          <w:tcPr>
            <w:tcW w:w="1271" w:type="dxa"/>
            <w:gridSpan w:val="2"/>
          </w:tcPr>
          <w:p w14:paraId="15A6AAF7" w14:textId="00C4DD76" w:rsidR="00AE741B" w:rsidRPr="001428E9" w:rsidDel="00AE741B" w:rsidRDefault="00AE741B" w:rsidP="00AE741B">
            <w:pPr>
              <w:jc w:val="center"/>
              <w:rPr>
                <w:rFonts w:ascii="Arial Narrow" w:hAnsi="Arial Narrow"/>
                <w:color w:val="333333"/>
                <w:sz w:val="20"/>
                <w:szCs w:val="20"/>
              </w:rPr>
            </w:pPr>
          </w:p>
        </w:tc>
        <w:tc>
          <w:tcPr>
            <w:tcW w:w="7745" w:type="dxa"/>
            <w:gridSpan w:val="6"/>
          </w:tcPr>
          <w:p w14:paraId="44D31247" w14:textId="77777777" w:rsidR="00AE741B" w:rsidRPr="00680F08" w:rsidRDefault="00AE741B" w:rsidP="00AE741B">
            <w:pPr>
              <w:pStyle w:val="NormalWeb"/>
              <w:spacing w:before="0" w:beforeAutospacing="0" w:after="0" w:afterAutospacing="0"/>
              <w:textAlignment w:val="baseline"/>
              <w:rPr>
                <w:rFonts w:ascii="Arial Narrow" w:hAnsi="Arial Narrow" w:cs="Open Sans"/>
                <w:color w:val="333333"/>
                <w:sz w:val="20"/>
                <w:szCs w:val="20"/>
              </w:rPr>
            </w:pPr>
            <w:r w:rsidRPr="00680F08">
              <w:rPr>
                <w:rStyle w:val="Strong"/>
                <w:rFonts w:ascii="Arial Narrow" w:hAnsi="Arial Narrow" w:cs="Open Sans"/>
                <w:color w:val="333333"/>
                <w:sz w:val="20"/>
                <w:szCs w:val="20"/>
                <w:bdr w:val="none" w:sz="0" w:space="0" w:color="auto" w:frame="1"/>
              </w:rPr>
              <w:t>Administrative Advice:</w:t>
            </w:r>
          </w:p>
          <w:p w14:paraId="7070FA24" w14:textId="77777777" w:rsidR="00AE741B" w:rsidRPr="00680F08" w:rsidRDefault="00AE741B" w:rsidP="00AE741B">
            <w:pPr>
              <w:pStyle w:val="NormalWeb"/>
              <w:shd w:val="clear" w:color="auto" w:fill="FFFFFF"/>
              <w:spacing w:before="0" w:beforeAutospacing="0" w:after="0" w:afterAutospacing="0"/>
              <w:textAlignment w:val="baseline"/>
              <w:rPr>
                <w:rFonts w:ascii="Arial Narrow" w:hAnsi="Arial Narrow" w:cs="Open Sans"/>
                <w:color w:val="333333"/>
                <w:sz w:val="20"/>
                <w:szCs w:val="20"/>
              </w:rPr>
            </w:pPr>
            <w:r w:rsidRPr="00680F08">
              <w:rPr>
                <w:rFonts w:ascii="Arial Narrow" w:hAnsi="Arial Narrow" w:cs="Open Sans"/>
                <w:color w:val="333333"/>
                <w:sz w:val="20"/>
                <w:szCs w:val="20"/>
              </w:rPr>
              <w:t>Any queries concerning the arrangements to prescribe may be directed to Services Australia on 1800 700 270 (hours of operation 8 a.m. to 5 p.m. Monday to Friday).</w:t>
            </w:r>
          </w:p>
          <w:p w14:paraId="39393ACE" w14:textId="77777777" w:rsidR="00AE741B" w:rsidRPr="00680F08" w:rsidRDefault="00AE741B" w:rsidP="00AE741B">
            <w:pPr>
              <w:pStyle w:val="NormalWeb"/>
              <w:shd w:val="clear" w:color="auto" w:fill="FFFFFF"/>
              <w:spacing w:before="0" w:beforeAutospacing="0" w:after="0" w:afterAutospacing="0"/>
              <w:textAlignment w:val="baseline"/>
              <w:rPr>
                <w:rFonts w:ascii="Arial Narrow" w:hAnsi="Arial Narrow" w:cs="Open Sans"/>
                <w:color w:val="333333"/>
                <w:sz w:val="20"/>
                <w:szCs w:val="20"/>
              </w:rPr>
            </w:pPr>
            <w:r w:rsidRPr="00680F08">
              <w:rPr>
                <w:rFonts w:ascii="Arial Narrow" w:hAnsi="Arial Narrow" w:cs="Open Sans"/>
                <w:color w:val="333333"/>
                <w:sz w:val="20"/>
                <w:szCs w:val="20"/>
              </w:rPr>
              <w:t>Prescribing information (including Authority Application forms and other relevant documentation as applicable) is available on the Services Australia website at www.servicesaustralia.gov.au</w:t>
            </w:r>
          </w:p>
          <w:p w14:paraId="6391B0E6" w14:textId="77777777" w:rsidR="00AE741B" w:rsidRPr="00680F08" w:rsidRDefault="00AE741B" w:rsidP="00AE741B">
            <w:pPr>
              <w:pStyle w:val="NormalWeb"/>
              <w:shd w:val="clear" w:color="auto" w:fill="FFFFFF"/>
              <w:spacing w:before="0" w:beforeAutospacing="0" w:after="0" w:afterAutospacing="0"/>
              <w:textAlignment w:val="baseline"/>
              <w:rPr>
                <w:rFonts w:ascii="Arial Narrow" w:hAnsi="Arial Narrow" w:cs="Open Sans"/>
                <w:color w:val="333333"/>
                <w:sz w:val="20"/>
                <w:szCs w:val="20"/>
              </w:rPr>
            </w:pPr>
            <w:r w:rsidRPr="00680F08">
              <w:rPr>
                <w:rFonts w:ascii="Arial Narrow" w:hAnsi="Arial Narrow" w:cs="Open Sans"/>
                <w:color w:val="333333"/>
                <w:sz w:val="20"/>
                <w:szCs w:val="20"/>
              </w:rPr>
              <w:t>Applications for authority to prescribe should be submitted online using the form upload facility in Health Professional Online Services (HPOS) at www.servicesaustralia.gov.au/hpos</w:t>
            </w:r>
          </w:p>
          <w:p w14:paraId="673C4D01" w14:textId="77777777" w:rsidR="00AE741B" w:rsidRPr="00680F08" w:rsidRDefault="00AE741B" w:rsidP="00AE741B">
            <w:pPr>
              <w:pStyle w:val="NormalWeb"/>
              <w:shd w:val="clear" w:color="auto" w:fill="FFFFFF"/>
              <w:spacing w:before="0" w:beforeAutospacing="0" w:after="0" w:afterAutospacing="0"/>
              <w:textAlignment w:val="baseline"/>
              <w:rPr>
                <w:rFonts w:ascii="Arial Narrow" w:hAnsi="Arial Narrow" w:cs="Open Sans"/>
                <w:color w:val="333333"/>
                <w:sz w:val="20"/>
                <w:szCs w:val="20"/>
              </w:rPr>
            </w:pPr>
            <w:r w:rsidRPr="00680F08">
              <w:rPr>
                <w:rFonts w:ascii="Arial Narrow" w:hAnsi="Arial Narrow" w:cs="Open Sans"/>
                <w:color w:val="333333"/>
                <w:sz w:val="20"/>
                <w:szCs w:val="20"/>
              </w:rPr>
              <w:t>Or mailed to:</w:t>
            </w:r>
          </w:p>
          <w:p w14:paraId="0F631D52" w14:textId="77777777" w:rsidR="00AE741B" w:rsidRPr="00680F08" w:rsidRDefault="00AE741B" w:rsidP="00AE741B">
            <w:pPr>
              <w:pStyle w:val="NormalWeb"/>
              <w:shd w:val="clear" w:color="auto" w:fill="FFFFFF"/>
              <w:spacing w:before="0" w:beforeAutospacing="0" w:after="0" w:afterAutospacing="0"/>
              <w:textAlignment w:val="baseline"/>
              <w:rPr>
                <w:rFonts w:ascii="Arial Narrow" w:hAnsi="Arial Narrow" w:cs="Open Sans"/>
                <w:color w:val="333333"/>
                <w:sz w:val="20"/>
                <w:szCs w:val="20"/>
              </w:rPr>
            </w:pPr>
            <w:r w:rsidRPr="00680F08">
              <w:rPr>
                <w:rFonts w:ascii="Arial Narrow" w:hAnsi="Arial Narrow" w:cs="Open Sans"/>
                <w:color w:val="333333"/>
                <w:sz w:val="20"/>
                <w:szCs w:val="20"/>
              </w:rPr>
              <w:t>Services Australia</w:t>
            </w:r>
          </w:p>
          <w:p w14:paraId="6868933A" w14:textId="77777777" w:rsidR="00AE741B" w:rsidRPr="00680F08" w:rsidRDefault="00AE741B" w:rsidP="00AE741B">
            <w:pPr>
              <w:pStyle w:val="NormalWeb"/>
              <w:shd w:val="clear" w:color="auto" w:fill="FFFFFF"/>
              <w:spacing w:before="0" w:beforeAutospacing="0" w:after="0" w:afterAutospacing="0"/>
              <w:textAlignment w:val="baseline"/>
              <w:rPr>
                <w:rFonts w:ascii="Arial Narrow" w:hAnsi="Arial Narrow" w:cs="Open Sans"/>
                <w:color w:val="333333"/>
                <w:sz w:val="20"/>
                <w:szCs w:val="20"/>
              </w:rPr>
            </w:pPr>
            <w:r w:rsidRPr="00680F08">
              <w:rPr>
                <w:rFonts w:ascii="Arial Narrow" w:hAnsi="Arial Narrow" w:cs="Open Sans"/>
                <w:color w:val="333333"/>
                <w:sz w:val="20"/>
                <w:szCs w:val="20"/>
              </w:rPr>
              <w:t>Complex Drugs</w:t>
            </w:r>
          </w:p>
          <w:p w14:paraId="0EE4FA01" w14:textId="77777777" w:rsidR="00AE741B" w:rsidRPr="00680F08" w:rsidRDefault="00AE741B" w:rsidP="00AE741B">
            <w:pPr>
              <w:pStyle w:val="NormalWeb"/>
              <w:shd w:val="clear" w:color="auto" w:fill="FFFFFF"/>
              <w:spacing w:before="0" w:beforeAutospacing="0" w:after="0" w:afterAutospacing="0"/>
              <w:textAlignment w:val="baseline"/>
              <w:rPr>
                <w:rFonts w:ascii="Arial Narrow" w:hAnsi="Arial Narrow" w:cs="Open Sans"/>
                <w:color w:val="333333"/>
                <w:sz w:val="20"/>
                <w:szCs w:val="20"/>
              </w:rPr>
            </w:pPr>
            <w:r w:rsidRPr="00680F08">
              <w:rPr>
                <w:rFonts w:ascii="Arial Narrow" w:hAnsi="Arial Narrow" w:cs="Open Sans"/>
                <w:color w:val="333333"/>
                <w:sz w:val="20"/>
                <w:szCs w:val="20"/>
              </w:rPr>
              <w:t>Reply Paid 9826</w:t>
            </w:r>
          </w:p>
          <w:p w14:paraId="35F973F6" w14:textId="0157BB5A" w:rsidR="00AE741B" w:rsidRPr="001428E9" w:rsidDel="00AE741B" w:rsidRDefault="00AE741B" w:rsidP="00AE741B">
            <w:pPr>
              <w:rPr>
                <w:rFonts w:ascii="Arial Narrow" w:hAnsi="Arial Narrow"/>
                <w:b/>
                <w:bCs/>
                <w:color w:val="333333"/>
                <w:sz w:val="20"/>
                <w:szCs w:val="20"/>
              </w:rPr>
            </w:pPr>
            <w:r w:rsidRPr="00680F08">
              <w:rPr>
                <w:rFonts w:ascii="Arial Narrow" w:hAnsi="Arial Narrow" w:cs="Open Sans"/>
                <w:color w:val="333333"/>
                <w:sz w:val="20"/>
                <w:szCs w:val="20"/>
              </w:rPr>
              <w:t>HOBART TAS 7001</w:t>
            </w:r>
          </w:p>
        </w:tc>
      </w:tr>
    </w:tbl>
    <w:p w14:paraId="5BC66026" w14:textId="77777777" w:rsidR="00842DC5" w:rsidRPr="00040E8E" w:rsidRDefault="00842DC5" w:rsidP="00040E8E">
      <w:pPr>
        <w:pStyle w:val="3Bodytext"/>
        <w:numPr>
          <w:ilvl w:val="0"/>
          <w:numId w:val="0"/>
        </w:numPr>
        <w:ind w:left="720" w:hanging="720"/>
        <w:rPr>
          <w:rFonts w:ascii="Arial Narrow" w:hAnsi="Arial Narrow" w:cstheme="minorHAnsi"/>
          <w:sz w:val="20"/>
          <w:szCs w:val="20"/>
        </w:rPr>
      </w:pPr>
    </w:p>
    <w:p w14:paraId="54518329" w14:textId="24B9625F" w:rsidR="007B6BA3" w:rsidRPr="008E652B" w:rsidRDefault="001F556E" w:rsidP="009F029A">
      <w:pPr>
        <w:pStyle w:val="3Bodytext"/>
        <w:jc w:val="both"/>
      </w:pPr>
      <w:r>
        <w:lastRenderedPageBreak/>
        <w:t xml:space="preserve">Grandfather restrictions </w:t>
      </w:r>
      <w:r w:rsidR="00337D75">
        <w:t xml:space="preserve">were </w:t>
      </w:r>
      <w:r>
        <w:t>requested for</w:t>
      </w:r>
      <w:r w:rsidR="00803340">
        <w:t xml:space="preserve"> patients participating in</w:t>
      </w:r>
      <w:r>
        <w:t xml:space="preserve"> two tildrakizumab clinical trials: TILD-18-20 (Clinicaltrials.gov NCT03897088) and TILD-18-19 (Clinicaltrials.gov NCT03897075).</w:t>
      </w:r>
      <w:r w:rsidR="003444F1">
        <w:t xml:space="preserve"> The submission estimated that </w:t>
      </w:r>
      <w:r w:rsidR="009F029A" w:rsidRPr="009F029A">
        <w:t>&lt; 500</w:t>
      </w:r>
      <w:r w:rsidR="003444F1">
        <w:t xml:space="preserve"> patients from TILD-18-20 and </w:t>
      </w:r>
      <w:r w:rsidR="009F029A" w:rsidRPr="009F029A">
        <w:t>&lt; 500</w:t>
      </w:r>
      <w:r w:rsidR="003444F1">
        <w:t xml:space="preserve"> patients from TILD-18-19 would require PBS access through the grandfathering restriction </w:t>
      </w:r>
      <w:r w:rsidR="003444F1" w:rsidRPr="00A3107E">
        <w:t>if recommended by the PBAC</w:t>
      </w:r>
      <w:r w:rsidR="003444F1" w:rsidRPr="00D25130">
        <w:t>.</w:t>
      </w:r>
      <w:r w:rsidR="003444F1">
        <w:t xml:space="preserve"> TILD-18-20 ha</w:t>
      </w:r>
      <w:r w:rsidR="00337D75">
        <w:t>d</w:t>
      </w:r>
      <w:r w:rsidR="003444F1">
        <w:t xml:space="preserve"> been completed (</w:t>
      </w:r>
      <w:r w:rsidR="00337D75">
        <w:t xml:space="preserve">with </w:t>
      </w:r>
      <w:r w:rsidR="003444F1">
        <w:t>patients receiving ongoing compassionate access through the sponsor). TILD-18-19 is an ongoing clinical trial and is expected to be completed in May 2024.</w:t>
      </w:r>
      <w:r w:rsidR="007B6BA3" w:rsidRPr="009F029A">
        <w:rPr>
          <w:i/>
          <w:iCs/>
        </w:rPr>
        <w:t xml:space="preserve"> </w:t>
      </w:r>
    </w:p>
    <w:p w14:paraId="13A158BA" w14:textId="61328CBB" w:rsidR="00A3107E" w:rsidRPr="009D1592" w:rsidRDefault="00B36831" w:rsidP="008E3089">
      <w:pPr>
        <w:pStyle w:val="3Bodytext"/>
        <w:jc w:val="both"/>
      </w:pPr>
      <w:r w:rsidRPr="0014517F">
        <w:rPr>
          <w:rFonts w:cs="Calibri"/>
          <w:iCs/>
        </w:rPr>
        <w:t xml:space="preserve">The </w:t>
      </w:r>
      <w:r w:rsidRPr="00DB16DF">
        <w:rPr>
          <w:rFonts w:cs="Calibri"/>
          <w:iCs/>
        </w:rPr>
        <w:t>submission</w:t>
      </w:r>
      <w:r w:rsidRPr="0014517F">
        <w:rPr>
          <w:rFonts w:cs="Calibri"/>
          <w:iCs/>
        </w:rPr>
        <w:t xml:space="preserve"> requested </w:t>
      </w:r>
      <w:r>
        <w:rPr>
          <w:rFonts w:cs="Calibri"/>
          <w:iCs/>
        </w:rPr>
        <w:t>a grandfather</w:t>
      </w:r>
      <w:r w:rsidRPr="0014517F">
        <w:rPr>
          <w:rFonts w:cs="Calibri"/>
          <w:iCs/>
        </w:rPr>
        <w:t xml:space="preserve"> criterion </w:t>
      </w:r>
      <w:r>
        <w:rPr>
          <w:rFonts w:cs="Calibri"/>
          <w:iCs/>
        </w:rPr>
        <w:t xml:space="preserve">for </w:t>
      </w:r>
      <w:r w:rsidRPr="0014517F">
        <w:rPr>
          <w:rFonts w:cs="Calibri"/>
          <w:iCs/>
        </w:rPr>
        <w:t xml:space="preserve">patients </w:t>
      </w:r>
      <w:r>
        <w:rPr>
          <w:rFonts w:cs="Calibri"/>
          <w:iCs/>
        </w:rPr>
        <w:t xml:space="preserve">who met the </w:t>
      </w:r>
      <w:r w:rsidRPr="0014517F">
        <w:rPr>
          <w:rFonts w:cs="Calibri"/>
          <w:iCs/>
        </w:rPr>
        <w:t>requir</w:t>
      </w:r>
      <w:r>
        <w:rPr>
          <w:rFonts w:cs="Calibri"/>
          <w:iCs/>
        </w:rPr>
        <w:t>ement of</w:t>
      </w:r>
      <w:r w:rsidRPr="0014517F">
        <w:rPr>
          <w:rFonts w:cs="Calibri"/>
          <w:iCs/>
        </w:rPr>
        <w:t xml:space="preserve"> a Psoriasis Area and Severity Index (PASI) score of &gt;15</w:t>
      </w:r>
      <w:r>
        <w:rPr>
          <w:rFonts w:cs="Calibri"/>
          <w:iCs/>
        </w:rPr>
        <w:t xml:space="preserve"> at baseline when</w:t>
      </w:r>
      <w:r w:rsidRPr="00DB16DF">
        <w:rPr>
          <w:rFonts w:cs="Calibri"/>
          <w:iCs/>
        </w:rPr>
        <w:t xml:space="preserve"> entering the clinical trials</w:t>
      </w:r>
      <w:r>
        <w:rPr>
          <w:rFonts w:cs="Calibri"/>
          <w:iCs/>
        </w:rPr>
        <w:t xml:space="preserve"> but would not satisfy this initial treatment criterion when transitioning from the clinical trial to PBS treatment.</w:t>
      </w:r>
      <w:r w:rsidRPr="00DB16DF">
        <w:rPr>
          <w:rFonts w:cs="Calibri"/>
          <w:iCs/>
        </w:rPr>
        <w:t xml:space="preserve"> </w:t>
      </w:r>
      <w:r w:rsidR="00337D75">
        <w:rPr>
          <w:rFonts w:cs="Calibri"/>
          <w:iCs/>
        </w:rPr>
        <w:t>The PBAC n</w:t>
      </w:r>
      <w:r>
        <w:rPr>
          <w:rFonts w:cs="Calibri"/>
          <w:iCs/>
        </w:rPr>
        <w:t>ote</w:t>
      </w:r>
      <w:r w:rsidR="00337D75">
        <w:rPr>
          <w:rFonts w:cs="Calibri"/>
          <w:iCs/>
        </w:rPr>
        <w:t>d</w:t>
      </w:r>
      <w:r>
        <w:rPr>
          <w:rFonts w:cs="Calibri"/>
          <w:iCs/>
        </w:rPr>
        <w:t xml:space="preserve"> t</w:t>
      </w:r>
      <w:r w:rsidRPr="00DB16DF">
        <w:rPr>
          <w:rFonts w:cs="Calibri"/>
          <w:iCs/>
        </w:rPr>
        <w:t>he clinical trials presented in both this submission and the July 2018 submission</w:t>
      </w:r>
      <w:r w:rsidRPr="0014517F">
        <w:rPr>
          <w:rFonts w:cs="Calibri"/>
          <w:iCs/>
        </w:rPr>
        <w:t xml:space="preserve"> ha</w:t>
      </w:r>
      <w:r>
        <w:rPr>
          <w:rFonts w:cs="Calibri"/>
          <w:iCs/>
        </w:rPr>
        <w:t>d</w:t>
      </w:r>
      <w:r w:rsidRPr="0014517F">
        <w:rPr>
          <w:rFonts w:cs="Calibri"/>
          <w:iCs/>
        </w:rPr>
        <w:t xml:space="preserve"> an inclusion criterion of PASI score &gt;12.</w:t>
      </w:r>
    </w:p>
    <w:p w14:paraId="7BEEE9E6" w14:textId="415F1413" w:rsidR="002A27BA" w:rsidRDefault="00C27C1C" w:rsidP="008E3089">
      <w:pPr>
        <w:pStyle w:val="Heading1"/>
        <w:keepLines/>
        <w:numPr>
          <w:ilvl w:val="0"/>
          <w:numId w:val="2"/>
        </w:numPr>
        <w:spacing w:before="240"/>
        <w:ind w:left="709" w:hanging="709"/>
        <w:jc w:val="both"/>
        <w:rPr>
          <w:sz w:val="32"/>
          <w:szCs w:val="32"/>
        </w:rPr>
      </w:pPr>
      <w:r w:rsidRPr="003C2FB5">
        <w:rPr>
          <w:sz w:val="32"/>
          <w:szCs w:val="32"/>
        </w:rPr>
        <w:t>Consideration of the evidence</w:t>
      </w:r>
    </w:p>
    <w:p w14:paraId="1DBE9B2F" w14:textId="04DF72B6" w:rsidR="002A27BA" w:rsidRDefault="002A27BA" w:rsidP="008E3089">
      <w:pPr>
        <w:pStyle w:val="4-SubsectionHeading"/>
        <w:rPr>
          <w:lang w:eastAsia="en-US"/>
        </w:rPr>
      </w:pPr>
      <w:r>
        <w:rPr>
          <w:lang w:eastAsia="en-US"/>
        </w:rPr>
        <w:t>Sponsor hearing</w:t>
      </w:r>
    </w:p>
    <w:p w14:paraId="0B4053B6" w14:textId="4C9629DF" w:rsidR="002A27BA" w:rsidRPr="002A27BA" w:rsidRDefault="002A27BA" w:rsidP="008E3089">
      <w:pPr>
        <w:pStyle w:val="3Bodytext"/>
        <w:jc w:val="both"/>
        <w:rPr>
          <w:lang w:eastAsia="en-US"/>
        </w:rPr>
      </w:pPr>
      <w:r>
        <w:rPr>
          <w:lang w:eastAsia="en-US"/>
        </w:rPr>
        <w:t>There was no hearing for this item.</w:t>
      </w:r>
    </w:p>
    <w:p w14:paraId="669B8CD7" w14:textId="07C6A677" w:rsidR="002A27BA" w:rsidRDefault="002A27BA" w:rsidP="008E3089">
      <w:pPr>
        <w:pStyle w:val="4-SubsectionHeading"/>
        <w:rPr>
          <w:lang w:eastAsia="en-US"/>
        </w:rPr>
      </w:pPr>
      <w:r>
        <w:rPr>
          <w:lang w:eastAsia="en-US"/>
        </w:rPr>
        <w:t>Consumer comments</w:t>
      </w:r>
    </w:p>
    <w:p w14:paraId="2A9937F0" w14:textId="21538F49" w:rsidR="001576BE" w:rsidRPr="001576BE" w:rsidRDefault="001576BE" w:rsidP="008E3089">
      <w:pPr>
        <w:widowControl w:val="0"/>
        <w:numPr>
          <w:ilvl w:val="1"/>
          <w:numId w:val="2"/>
        </w:numPr>
        <w:spacing w:after="120"/>
        <w:rPr>
          <w:rFonts w:asciiTheme="minorHAnsi" w:hAnsiTheme="minorHAnsi" w:cs="Arial"/>
          <w:bCs/>
          <w:snapToGrid w:val="0"/>
        </w:rPr>
      </w:pPr>
      <w:r>
        <w:rPr>
          <w:rFonts w:asciiTheme="minorHAnsi" w:hAnsiTheme="minorHAnsi" w:cs="Arial"/>
          <w:bCs/>
          <w:snapToGrid w:val="0"/>
        </w:rPr>
        <w:t>The PBAC noted and welcomed the input from The Australasian College of Dermatologists which stated that the addition of th</w:t>
      </w:r>
      <w:r w:rsidR="00F53731">
        <w:rPr>
          <w:rFonts w:asciiTheme="minorHAnsi" w:hAnsiTheme="minorHAnsi" w:cs="Arial"/>
          <w:bCs/>
          <w:snapToGrid w:val="0"/>
        </w:rPr>
        <w:t>e grandfathering</w:t>
      </w:r>
      <w:r>
        <w:rPr>
          <w:rFonts w:asciiTheme="minorHAnsi" w:hAnsiTheme="minorHAnsi" w:cs="Arial"/>
          <w:bCs/>
          <w:snapToGrid w:val="0"/>
        </w:rPr>
        <w:t xml:space="preserve"> restriction would enable patients to continue with timely, affordable and quality treatment.</w:t>
      </w:r>
    </w:p>
    <w:p w14:paraId="0EE68679" w14:textId="2E4D4D4F" w:rsidR="002A27BA" w:rsidRDefault="002A27BA" w:rsidP="008E3089">
      <w:pPr>
        <w:pStyle w:val="4-SubsectionHeading"/>
        <w:rPr>
          <w:lang w:eastAsia="en-US"/>
        </w:rPr>
      </w:pPr>
      <w:r>
        <w:rPr>
          <w:lang w:eastAsia="en-US"/>
        </w:rPr>
        <w:t xml:space="preserve">Clinical trials </w:t>
      </w:r>
    </w:p>
    <w:p w14:paraId="6DB949D8" w14:textId="5F568884" w:rsidR="003444F1" w:rsidRPr="00291A95" w:rsidRDefault="00BA25BE" w:rsidP="008E3089">
      <w:pPr>
        <w:pStyle w:val="3Bodytext"/>
        <w:jc w:val="both"/>
        <w:rPr>
          <w:i/>
          <w:iCs/>
        </w:rPr>
      </w:pPr>
      <w:r>
        <w:t>The submission included three clinical trials of tildrakizumab</w:t>
      </w:r>
      <w:r w:rsidR="00191FA7">
        <w:t xml:space="preserve">, </w:t>
      </w:r>
      <w:r w:rsidR="008E2F36">
        <w:t>comparing key eligibility criteria rather than outcomes</w:t>
      </w:r>
      <w:r>
        <w:t xml:space="preserve">. </w:t>
      </w:r>
      <w:r w:rsidRPr="00A3107E">
        <w:t xml:space="preserve">Two of the trials (Papp et al and Reich et al) were included in the submission considered by the PBAC in July 2018, and one was a new trial published in 2021. </w:t>
      </w:r>
      <w:r>
        <w:t>Details of the trials provided in the submission are presented in the table below.</w:t>
      </w:r>
    </w:p>
    <w:p w14:paraId="0998DBF2" w14:textId="6A5BBC35" w:rsidR="00BA25BE" w:rsidRPr="00291A95" w:rsidRDefault="00BA25BE" w:rsidP="00BA25BE">
      <w:pPr>
        <w:pStyle w:val="TableFigureHeading"/>
        <w:rPr>
          <w:rStyle w:val="CommentReference"/>
          <w:b w:val="0"/>
          <w:sz w:val="20"/>
          <w:szCs w:val="20"/>
        </w:rPr>
      </w:pPr>
      <w:bookmarkStart w:id="4" w:name="_Ref104803956"/>
      <w:r>
        <w:t xml:space="preserve">Table </w:t>
      </w:r>
      <w:bookmarkEnd w:id="4"/>
      <w:r>
        <w:t>1:</w:t>
      </w:r>
      <w:r w:rsidRPr="002E4F02">
        <w:rPr>
          <w:rStyle w:val="CommentReference"/>
        </w:rPr>
        <w:t xml:space="preserve"> </w:t>
      </w:r>
      <w:r w:rsidRPr="00291A95">
        <w:rPr>
          <w:rStyle w:val="CommentReference"/>
          <w:sz w:val="20"/>
          <w:szCs w:val="20"/>
        </w:rPr>
        <w:t xml:space="preserve">Trials </w:t>
      </w:r>
      <w:r w:rsidR="00326570">
        <w:rPr>
          <w:rStyle w:val="CommentReference"/>
          <w:sz w:val="20"/>
          <w:szCs w:val="20"/>
        </w:rPr>
        <w:t>provided</w:t>
      </w:r>
      <w:r w:rsidR="00326570" w:rsidRPr="00291A95">
        <w:rPr>
          <w:rStyle w:val="CommentReference"/>
          <w:sz w:val="20"/>
          <w:szCs w:val="20"/>
        </w:rPr>
        <w:t xml:space="preserve"> </w:t>
      </w:r>
      <w:r w:rsidRPr="00291A95">
        <w:rPr>
          <w:rStyle w:val="CommentReference"/>
          <w:sz w:val="20"/>
          <w:szCs w:val="20"/>
        </w:rPr>
        <w:t>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434"/>
        <w:gridCol w:w="5054"/>
        <w:gridCol w:w="2528"/>
      </w:tblGrid>
      <w:tr w:rsidR="00BA25BE" w:rsidRPr="00B41614" w14:paraId="11786D08" w14:textId="77777777" w:rsidTr="00A82A6B">
        <w:trPr>
          <w:cantSplit/>
          <w:tblHeader/>
        </w:trPr>
        <w:tc>
          <w:tcPr>
            <w:tcW w:w="795" w:type="pct"/>
            <w:vAlign w:val="center"/>
          </w:tcPr>
          <w:p w14:paraId="483A98AC" w14:textId="77777777" w:rsidR="00BA25BE" w:rsidRPr="00B41614" w:rsidRDefault="00BA25BE" w:rsidP="00A82A6B">
            <w:pPr>
              <w:pStyle w:val="In-tableHeading"/>
              <w:jc w:val="center"/>
            </w:pPr>
            <w:r w:rsidRPr="00B41614">
              <w:t>Trial ID</w:t>
            </w:r>
          </w:p>
        </w:tc>
        <w:tc>
          <w:tcPr>
            <w:tcW w:w="2803" w:type="pct"/>
            <w:vAlign w:val="center"/>
          </w:tcPr>
          <w:p w14:paraId="0AFFDC73" w14:textId="5C501A17" w:rsidR="00BA25BE" w:rsidRPr="00B41614" w:rsidRDefault="00BA25BE" w:rsidP="00A82A6B">
            <w:pPr>
              <w:pStyle w:val="In-tableHeading"/>
            </w:pPr>
            <w:r w:rsidRPr="00B41614">
              <w:t>Publication title</w:t>
            </w:r>
          </w:p>
        </w:tc>
        <w:tc>
          <w:tcPr>
            <w:tcW w:w="1402" w:type="pct"/>
            <w:vAlign w:val="center"/>
          </w:tcPr>
          <w:p w14:paraId="14B8D2B7" w14:textId="77777777" w:rsidR="00BA25BE" w:rsidRPr="00B41614" w:rsidRDefault="00BA25BE" w:rsidP="00A82A6B">
            <w:pPr>
              <w:pStyle w:val="In-tableHeading"/>
            </w:pPr>
            <w:r w:rsidRPr="00B41614">
              <w:t>Publication citation</w:t>
            </w:r>
          </w:p>
        </w:tc>
      </w:tr>
      <w:tr w:rsidR="00176336" w:rsidRPr="00CB38A8" w14:paraId="55884CFD" w14:textId="77777777" w:rsidTr="00291A95">
        <w:trPr>
          <w:cantSplit/>
          <w:trHeight w:val="708"/>
        </w:trPr>
        <w:tc>
          <w:tcPr>
            <w:tcW w:w="795" w:type="pct"/>
          </w:tcPr>
          <w:p w14:paraId="7087824D" w14:textId="36D15AE6" w:rsidR="00176336" w:rsidRDefault="00176336" w:rsidP="00176336">
            <w:pPr>
              <w:pStyle w:val="TableText0"/>
              <w:jc w:val="center"/>
            </w:pPr>
            <w:r w:rsidRPr="00424277">
              <w:t>reSURFACE 1 (TIL</w:t>
            </w:r>
            <w:r w:rsidRPr="00291A95">
              <w:rPr>
                <w:vertAlign w:val="subscript"/>
              </w:rPr>
              <w:t>1</w:t>
            </w:r>
            <w:r w:rsidRPr="00424277">
              <w:t>)</w:t>
            </w:r>
            <w:r w:rsidR="00326570">
              <w:t xml:space="preserve"> and reSURFACE 2 (TIL</w:t>
            </w:r>
            <w:r w:rsidR="00326570" w:rsidRPr="00291A95">
              <w:rPr>
                <w:vertAlign w:val="subscript"/>
              </w:rPr>
              <w:t>2</w:t>
            </w:r>
            <w:r w:rsidR="00326570">
              <w:t>)</w:t>
            </w:r>
          </w:p>
        </w:tc>
        <w:tc>
          <w:tcPr>
            <w:tcW w:w="2803" w:type="pct"/>
          </w:tcPr>
          <w:p w14:paraId="199EB7D1" w14:textId="01684DD4" w:rsidR="00176336" w:rsidRDefault="00176336" w:rsidP="00176336">
            <w:pPr>
              <w:pStyle w:val="TableText0"/>
            </w:pPr>
            <w:r w:rsidRPr="00424277">
              <w:t>Reich K, Papp K, Blauvelt A, et al. Tildrakizumab versus placebo or etanercept for chronic plaque psoriasis (reSURFACE 1 and reSURFACE 2): Results from two randomised controlled, phase 3 trials.</w:t>
            </w:r>
          </w:p>
        </w:tc>
        <w:tc>
          <w:tcPr>
            <w:tcW w:w="1402" w:type="pct"/>
          </w:tcPr>
          <w:p w14:paraId="78FE7981" w14:textId="197E7517" w:rsidR="00176336" w:rsidRDefault="00176336" w:rsidP="00176336">
            <w:pPr>
              <w:pStyle w:val="TableText0"/>
            </w:pPr>
            <w:r w:rsidRPr="00424277">
              <w:t>Lancet 2017; 390: 276-288</w:t>
            </w:r>
          </w:p>
        </w:tc>
      </w:tr>
      <w:tr w:rsidR="00F23B95" w:rsidRPr="00CB38A8" w14:paraId="498F8FDB" w14:textId="77777777" w:rsidTr="00D15732">
        <w:trPr>
          <w:cantSplit/>
          <w:trHeight w:val="708"/>
        </w:trPr>
        <w:tc>
          <w:tcPr>
            <w:tcW w:w="795" w:type="pct"/>
            <w:vAlign w:val="center"/>
          </w:tcPr>
          <w:p w14:paraId="73AB94C0" w14:textId="500CD969" w:rsidR="00F23B95" w:rsidRPr="00DF6341" w:rsidRDefault="00F23B95" w:rsidP="00A82A6B">
            <w:pPr>
              <w:pStyle w:val="TableText0"/>
              <w:jc w:val="center"/>
              <w:rPr>
                <w:szCs w:val="20"/>
              </w:rPr>
            </w:pPr>
            <w:r>
              <w:t>Phase IIb trial (TIL</w:t>
            </w:r>
            <w:r w:rsidRPr="00291A95">
              <w:rPr>
                <w:vertAlign w:val="subscript"/>
              </w:rPr>
              <w:t>3</w:t>
            </w:r>
            <w:r>
              <w:t>)</w:t>
            </w:r>
          </w:p>
        </w:tc>
        <w:tc>
          <w:tcPr>
            <w:tcW w:w="2803" w:type="pct"/>
            <w:vAlign w:val="center"/>
          </w:tcPr>
          <w:p w14:paraId="18768DB4" w14:textId="2960386D" w:rsidR="00F23B95" w:rsidRPr="00AB6248" w:rsidRDefault="00F23B95" w:rsidP="00A82A6B">
            <w:pPr>
              <w:pStyle w:val="TableText0"/>
            </w:pPr>
            <w:r>
              <w:t>Papp K, Thaci D, Reich K et al. Tildrakizumab (MK-3222), an anti-interleukin-23p19 monoclonal antibody, improves psoriasis in a phase IIb randomised placebo-controlled trial.</w:t>
            </w:r>
          </w:p>
        </w:tc>
        <w:tc>
          <w:tcPr>
            <w:tcW w:w="1402" w:type="pct"/>
            <w:vAlign w:val="center"/>
          </w:tcPr>
          <w:p w14:paraId="1726E0ED" w14:textId="3397E748" w:rsidR="00F23B95" w:rsidRPr="00CB38A8" w:rsidRDefault="00F23B95" w:rsidP="00A82A6B">
            <w:pPr>
              <w:pStyle w:val="TableText0"/>
              <w:rPr>
                <w:rFonts w:ascii="Times" w:hAnsi="Times"/>
              </w:rPr>
            </w:pPr>
            <w:r>
              <w:t>British Journal of Dermatology 2015; 173: 930-939</w:t>
            </w:r>
          </w:p>
        </w:tc>
      </w:tr>
      <w:tr w:rsidR="00F23B95" w:rsidRPr="00CB38A8" w14:paraId="187D9EC9" w14:textId="77777777" w:rsidTr="00BD457F">
        <w:trPr>
          <w:cantSplit/>
          <w:trHeight w:val="708"/>
        </w:trPr>
        <w:tc>
          <w:tcPr>
            <w:tcW w:w="795" w:type="pct"/>
            <w:vAlign w:val="center"/>
          </w:tcPr>
          <w:p w14:paraId="5A5C5A7C" w14:textId="46BBAA88" w:rsidR="00F23B95" w:rsidRPr="00291A95" w:rsidRDefault="00191FA7" w:rsidP="00A82A6B">
            <w:pPr>
              <w:pStyle w:val="TableText0"/>
              <w:jc w:val="center"/>
              <w:rPr>
                <w:szCs w:val="20"/>
              </w:rPr>
            </w:pPr>
            <w:r w:rsidRPr="00291A95">
              <w:rPr>
                <w:rFonts w:cs="AdvPSJOANNA"/>
                <w:szCs w:val="20"/>
              </w:rPr>
              <w:t>NCT01722331 and NCT01729754</w:t>
            </w:r>
          </w:p>
        </w:tc>
        <w:tc>
          <w:tcPr>
            <w:tcW w:w="2803" w:type="pct"/>
            <w:vAlign w:val="center"/>
          </w:tcPr>
          <w:p w14:paraId="24082F80" w14:textId="229AF2C4" w:rsidR="00F23B95" w:rsidRPr="00291A95" w:rsidRDefault="00176336" w:rsidP="00176336">
            <w:pPr>
              <w:pStyle w:val="TableText0"/>
            </w:pPr>
            <w:r>
              <w:t xml:space="preserve">Thaci D, Piaserico S, </w:t>
            </w:r>
            <w:r w:rsidR="008233CC">
              <w:t xml:space="preserve">Warren RB et al. </w:t>
            </w:r>
            <w:r w:rsidRPr="00291A95">
              <w:t>Five-year efficacy and safety of tildrakizumab in patients</w:t>
            </w:r>
            <w:r w:rsidR="008233CC">
              <w:t xml:space="preserve"> </w:t>
            </w:r>
            <w:r w:rsidRPr="00291A95">
              <w:t>with moderate-to-severe psoriasis who respond at week</w:t>
            </w:r>
            <w:r w:rsidR="008233CC">
              <w:t> </w:t>
            </w:r>
            <w:r w:rsidRPr="00291A95">
              <w:t>28: pooled analyses of two randomized phase III clinical</w:t>
            </w:r>
            <w:r w:rsidR="008233CC">
              <w:t xml:space="preserve"> </w:t>
            </w:r>
            <w:r w:rsidRPr="00291A95">
              <w:t>trials.</w:t>
            </w:r>
          </w:p>
        </w:tc>
        <w:tc>
          <w:tcPr>
            <w:tcW w:w="1402" w:type="pct"/>
            <w:vAlign w:val="center"/>
          </w:tcPr>
          <w:p w14:paraId="6912FCEA" w14:textId="7393B3FB" w:rsidR="00F23B95" w:rsidRPr="004A2558" w:rsidRDefault="00191FA7" w:rsidP="00A82A6B">
            <w:pPr>
              <w:pStyle w:val="TableText0"/>
            </w:pPr>
            <w:r>
              <w:t>British Journal of Dermatology 2021; 185: 323-334</w:t>
            </w:r>
          </w:p>
        </w:tc>
      </w:tr>
    </w:tbl>
    <w:p w14:paraId="24450BA4" w14:textId="77777777" w:rsidR="0083350C" w:rsidRDefault="0083350C" w:rsidP="009D1592">
      <w:pPr>
        <w:pStyle w:val="3Bodytext"/>
        <w:numPr>
          <w:ilvl w:val="0"/>
          <w:numId w:val="0"/>
        </w:numPr>
        <w:spacing w:after="0"/>
        <w:ind w:left="720"/>
      </w:pPr>
    </w:p>
    <w:p w14:paraId="45E13519" w14:textId="3F8C8508" w:rsidR="00A9182F" w:rsidRDefault="00A9182F" w:rsidP="008E3089">
      <w:pPr>
        <w:pStyle w:val="3Bodytext"/>
        <w:jc w:val="both"/>
      </w:pPr>
      <w:r>
        <w:lastRenderedPageBreak/>
        <w:t xml:space="preserve">The submission included details of the eligibility criteria for the three </w:t>
      </w:r>
      <w:r w:rsidR="007B6BA3">
        <w:t xml:space="preserve">published </w:t>
      </w:r>
      <w:r>
        <w:t>clinical trials</w:t>
      </w:r>
      <w:r w:rsidR="003422CC">
        <w:t xml:space="preserve"> presented in the 2018 submission</w:t>
      </w:r>
      <w:r>
        <w:t xml:space="preserve"> </w:t>
      </w:r>
      <w:r w:rsidR="007B6BA3">
        <w:t>and the</w:t>
      </w:r>
      <w:r w:rsidR="00B34EE7">
        <w:t xml:space="preserve"> two trials for which the new grandfathering restriction </w:t>
      </w:r>
      <w:r w:rsidR="0078507B">
        <w:t xml:space="preserve">was </w:t>
      </w:r>
      <w:r w:rsidR="00B34EE7">
        <w:t>requested</w:t>
      </w:r>
      <w:r>
        <w:t>.</w:t>
      </w:r>
    </w:p>
    <w:p w14:paraId="45D181E4" w14:textId="77777777" w:rsidR="00C27C1C" w:rsidRDefault="00C27C1C" w:rsidP="008E3089">
      <w:pPr>
        <w:pStyle w:val="4-SubsectionHeading"/>
        <w:rPr>
          <w:lang w:eastAsia="en-US"/>
        </w:rPr>
      </w:pPr>
      <w:bookmarkStart w:id="5" w:name="_Hlk129706372"/>
      <w:r w:rsidRPr="003C2FB5">
        <w:rPr>
          <w:lang w:eastAsia="en-US"/>
        </w:rPr>
        <w:t>Economic analysis</w:t>
      </w:r>
      <w:r>
        <w:rPr>
          <w:lang w:eastAsia="en-US"/>
        </w:rPr>
        <w:t xml:space="preserve"> </w:t>
      </w:r>
    </w:p>
    <w:bookmarkEnd w:id="5"/>
    <w:p w14:paraId="2F594F6E" w14:textId="32E5136C" w:rsidR="001206F9" w:rsidRPr="007C6F22" w:rsidRDefault="0059355C" w:rsidP="008E3089">
      <w:pPr>
        <w:pStyle w:val="3Bodytext"/>
        <w:jc w:val="both"/>
        <w:rPr>
          <w:rFonts w:cstheme="minorHAnsi"/>
          <w:i/>
          <w:szCs w:val="24"/>
        </w:rPr>
      </w:pPr>
      <w:r>
        <w:rPr>
          <w:rFonts w:cstheme="minorHAnsi"/>
          <w:iCs/>
          <w:szCs w:val="24"/>
        </w:rPr>
        <w:t xml:space="preserve">No changes to the price of tildrakizumab were proposed. </w:t>
      </w:r>
      <w:r w:rsidR="001206F9">
        <w:rPr>
          <w:rFonts w:cstheme="minorHAnsi"/>
          <w:iCs/>
          <w:szCs w:val="24"/>
        </w:rPr>
        <w:t xml:space="preserve">The submission stated that as tildrakizumab is currently listed on the PBS and the request </w:t>
      </w:r>
      <w:r w:rsidR="00603E03">
        <w:rPr>
          <w:rFonts w:cstheme="minorHAnsi"/>
          <w:iCs/>
          <w:szCs w:val="24"/>
        </w:rPr>
        <w:t xml:space="preserve">was </w:t>
      </w:r>
      <w:r w:rsidR="001206F9">
        <w:rPr>
          <w:rFonts w:cstheme="minorHAnsi"/>
          <w:iCs/>
          <w:szCs w:val="24"/>
        </w:rPr>
        <w:t xml:space="preserve">to reinstate the original grandfathering restriction, cost-effectiveness </w:t>
      </w:r>
      <w:r w:rsidR="00603E03">
        <w:rPr>
          <w:rFonts w:cstheme="minorHAnsi"/>
          <w:iCs/>
          <w:szCs w:val="24"/>
        </w:rPr>
        <w:t xml:space="preserve">had </w:t>
      </w:r>
      <w:r w:rsidR="001206F9">
        <w:rPr>
          <w:rFonts w:cstheme="minorHAnsi"/>
          <w:iCs/>
          <w:szCs w:val="24"/>
        </w:rPr>
        <w:t xml:space="preserve">already been established and no economic evaluation </w:t>
      </w:r>
      <w:r w:rsidR="00603E03">
        <w:rPr>
          <w:rFonts w:cstheme="minorHAnsi"/>
          <w:iCs/>
          <w:szCs w:val="24"/>
        </w:rPr>
        <w:t>was</w:t>
      </w:r>
      <w:r w:rsidR="001206F9">
        <w:rPr>
          <w:rFonts w:cstheme="minorHAnsi"/>
          <w:iCs/>
          <w:szCs w:val="24"/>
        </w:rPr>
        <w:t xml:space="preserve"> presented.</w:t>
      </w:r>
    </w:p>
    <w:p w14:paraId="1A7CAF7D" w14:textId="0AE2D888" w:rsidR="00EF4580" w:rsidRPr="00087E87" w:rsidRDefault="001206F9" w:rsidP="008E3089">
      <w:pPr>
        <w:pStyle w:val="3Bodytext"/>
        <w:jc w:val="both"/>
        <w:rPr>
          <w:rFonts w:cstheme="minorHAnsi"/>
          <w:szCs w:val="24"/>
        </w:rPr>
      </w:pPr>
      <w:r w:rsidRPr="00087E87">
        <w:rPr>
          <w:rFonts w:cstheme="minorHAnsi"/>
          <w:iCs/>
          <w:szCs w:val="24"/>
        </w:rPr>
        <w:t xml:space="preserve">The submission </w:t>
      </w:r>
      <w:r w:rsidR="008F0F27">
        <w:rPr>
          <w:rFonts w:cstheme="minorHAnsi"/>
          <w:iCs/>
          <w:szCs w:val="24"/>
        </w:rPr>
        <w:t xml:space="preserve">stated that the current </w:t>
      </w:r>
      <w:r w:rsidRPr="00087E87">
        <w:rPr>
          <w:rFonts w:cstheme="minorHAnsi"/>
          <w:iCs/>
          <w:szCs w:val="24"/>
        </w:rPr>
        <w:t>special pricing arrangement</w:t>
      </w:r>
      <w:r w:rsidR="005F2AEE" w:rsidRPr="00087E87">
        <w:rPr>
          <w:rFonts w:cstheme="minorHAnsi"/>
          <w:iCs/>
          <w:szCs w:val="24"/>
        </w:rPr>
        <w:t xml:space="preserve"> (SPA)</w:t>
      </w:r>
      <w:r w:rsidR="008F0F27">
        <w:rPr>
          <w:rFonts w:cstheme="minorHAnsi"/>
          <w:iCs/>
          <w:szCs w:val="24"/>
        </w:rPr>
        <w:t xml:space="preserve"> should still apply for the </w:t>
      </w:r>
      <w:r w:rsidR="00603E03">
        <w:rPr>
          <w:rFonts w:cstheme="minorHAnsi"/>
          <w:iCs/>
          <w:szCs w:val="24"/>
        </w:rPr>
        <w:t xml:space="preserve">requested </w:t>
      </w:r>
      <w:r w:rsidR="008F0F27">
        <w:rPr>
          <w:rFonts w:cstheme="minorHAnsi"/>
          <w:iCs/>
          <w:szCs w:val="24"/>
        </w:rPr>
        <w:t>updated listing</w:t>
      </w:r>
      <w:r w:rsidRPr="00087E87">
        <w:rPr>
          <w:rFonts w:cstheme="minorHAnsi"/>
          <w:iCs/>
          <w:szCs w:val="24"/>
        </w:rPr>
        <w:t>.</w:t>
      </w:r>
      <w:r w:rsidR="00326570">
        <w:rPr>
          <w:rFonts w:cstheme="minorHAnsi"/>
          <w:iCs/>
          <w:szCs w:val="24"/>
        </w:rPr>
        <w:t xml:space="preserve"> </w:t>
      </w:r>
    </w:p>
    <w:p w14:paraId="23F77C6C" w14:textId="562521C9" w:rsidR="00F85206" w:rsidRDefault="00F85206" w:rsidP="008E3089">
      <w:pPr>
        <w:pStyle w:val="4-SubsectionHeading"/>
        <w:rPr>
          <w:lang w:eastAsia="en-US"/>
        </w:rPr>
      </w:pPr>
      <w:r>
        <w:rPr>
          <w:lang w:eastAsia="en-US"/>
        </w:rPr>
        <w:t>Drug cost/patient/year: $</w:t>
      </w:r>
      <w:r w:rsidR="008D4587" w:rsidRPr="009D0A8D">
        <w:rPr>
          <w:color w:val="000000"/>
          <w:spacing w:val="0"/>
          <w:w w:val="46"/>
          <w:kern w:val="0"/>
          <w:shd w:val="solid" w:color="000000" w:fill="000000"/>
          <w:fitText w:val="795" w:id="-1233417216"/>
          <w:lang w:eastAsia="en-US"/>
          <w14:textFill>
            <w14:solidFill>
              <w14:srgbClr w14:val="000000">
                <w14:alpha w14:val="100000"/>
              </w14:srgbClr>
            </w14:solidFill>
          </w14:textFill>
        </w:rPr>
        <w:t>||||||  ||||||</w:t>
      </w:r>
    </w:p>
    <w:p w14:paraId="4B39D2CE" w14:textId="121AC485" w:rsidR="002F6F0F" w:rsidRPr="00673C5A" w:rsidRDefault="00F85206" w:rsidP="008E3089">
      <w:pPr>
        <w:pStyle w:val="3Bodytext"/>
        <w:jc w:val="both"/>
        <w:rPr>
          <w:rFonts w:cs="Calibri"/>
        </w:rPr>
      </w:pPr>
      <w:bookmarkStart w:id="6" w:name="_Hlk123728430"/>
      <w:r w:rsidRPr="009D507A">
        <w:t xml:space="preserve">The estimated drug cost/patient per year </w:t>
      </w:r>
      <w:r w:rsidR="00603E03" w:rsidRPr="009D507A">
        <w:t>w</w:t>
      </w:r>
      <w:r w:rsidR="00603E03">
        <w:t>as</w:t>
      </w:r>
      <w:r w:rsidRPr="009D507A">
        <w:t xml:space="preserve"> $</w:t>
      </w:r>
      <w:r w:rsidR="008D4587" w:rsidRPr="009D0A8D">
        <w:rPr>
          <w:color w:val="000000"/>
          <w:w w:val="64"/>
          <w:shd w:val="solid" w:color="000000" w:fill="000000"/>
          <w:fitText w:val="637" w:id="-1233417215"/>
          <w14:textFill>
            <w14:solidFill>
              <w14:srgbClr w14:val="000000">
                <w14:alpha w14:val="100000"/>
              </w14:srgbClr>
            </w14:solidFill>
          </w14:textFill>
        </w:rPr>
        <w:t>||||  ||||</w:t>
      </w:r>
      <w:r w:rsidRPr="009D507A">
        <w:t>, based on</w:t>
      </w:r>
      <w:r w:rsidR="00524F7A">
        <w:t xml:space="preserve"> an effective price of $</w:t>
      </w:r>
      <w:r w:rsidR="008D4587" w:rsidRPr="009D0A8D">
        <w:rPr>
          <w:color w:val="000000"/>
          <w:w w:val="15"/>
          <w:shd w:val="solid" w:color="000000" w:fill="000000"/>
          <w:fitText w:val="-20" w:id="-1233417214"/>
          <w14:textFill>
            <w14:solidFill>
              <w14:srgbClr w14:val="000000">
                <w14:alpha w14:val="100000"/>
              </w14:srgbClr>
            </w14:solidFill>
          </w14:textFill>
        </w:rPr>
        <w:t xml:space="preserve">|  </w:t>
      </w:r>
      <w:r w:rsidR="008D4587" w:rsidRPr="009D0A8D">
        <w:rPr>
          <w:color w:val="000000"/>
          <w:spacing w:val="-69"/>
          <w:w w:val="15"/>
          <w:shd w:val="solid" w:color="000000" w:fill="000000"/>
          <w:fitText w:val="-20" w:id="-1233417214"/>
          <w14:textFill>
            <w14:solidFill>
              <w14:srgbClr w14:val="000000">
                <w14:alpha w14:val="100000"/>
              </w14:srgbClr>
            </w14:solidFill>
          </w14:textFill>
        </w:rPr>
        <w:t>|</w:t>
      </w:r>
      <w:r w:rsidR="00524F7A">
        <w:t xml:space="preserve"> and</w:t>
      </w:r>
      <w:r w:rsidRPr="009D507A">
        <w:t xml:space="preserve"> </w:t>
      </w:r>
      <w:r w:rsidR="00524F7A">
        <w:t>one prescription dispensed every 12 weeks (</w:t>
      </w:r>
      <w:r w:rsidR="00187AD9">
        <w:t xml:space="preserve">4 </w:t>
      </w:r>
      <w:r w:rsidR="00524F7A">
        <w:t>times a year).</w:t>
      </w:r>
    </w:p>
    <w:bookmarkEnd w:id="6"/>
    <w:p w14:paraId="5EB16602" w14:textId="07C606E1" w:rsidR="00D70349" w:rsidRDefault="00D70349" w:rsidP="008E3089">
      <w:pPr>
        <w:pStyle w:val="4-SubsectionHeading"/>
        <w:rPr>
          <w:lang w:eastAsia="en-US"/>
        </w:rPr>
      </w:pPr>
      <w:r w:rsidRPr="009D507A">
        <w:rPr>
          <w:lang w:eastAsia="en-US"/>
        </w:rPr>
        <w:t xml:space="preserve">Estimated PBS </w:t>
      </w:r>
      <w:r w:rsidR="00276BE3" w:rsidRPr="00276BE3">
        <w:rPr>
          <w:lang w:eastAsia="en-US"/>
        </w:rPr>
        <w:t>usage</w:t>
      </w:r>
      <w:r w:rsidRPr="009D507A">
        <w:rPr>
          <w:lang w:eastAsia="en-US"/>
        </w:rPr>
        <w:t xml:space="preserve"> and financial implications</w:t>
      </w:r>
    </w:p>
    <w:p w14:paraId="58F9BB4A" w14:textId="4EF7C691" w:rsidR="00002774" w:rsidRDefault="00002774" w:rsidP="008E3089">
      <w:pPr>
        <w:pStyle w:val="3-BodyText"/>
        <w:numPr>
          <w:ilvl w:val="1"/>
          <w:numId w:val="2"/>
        </w:numPr>
      </w:pPr>
      <w:r>
        <w:t xml:space="preserve">The </w:t>
      </w:r>
      <w:r w:rsidR="002B01C0">
        <w:t>estimated financial implications were based on an estimated treatment duration on the PBS of approximately 5 years, and a dosing regimen of 100 mg administered subcutaneously every 12 weeks.</w:t>
      </w:r>
    </w:p>
    <w:p w14:paraId="4FA1F909" w14:textId="53FB111D" w:rsidR="00D70349" w:rsidRDefault="00187AD9" w:rsidP="008E3089">
      <w:pPr>
        <w:pStyle w:val="3Bodytext"/>
        <w:jc w:val="both"/>
      </w:pPr>
      <w:r>
        <w:t>T</w:t>
      </w:r>
      <w:r w:rsidR="003C3CD2">
        <w:t>he estimated financial implications to the PBS/RPBS</w:t>
      </w:r>
      <w:r>
        <w:t xml:space="preserve"> are presented in Table 2</w:t>
      </w:r>
      <w:r w:rsidR="003C3CD2">
        <w:t>.</w:t>
      </w:r>
    </w:p>
    <w:p w14:paraId="13DBAE09" w14:textId="2FB44324" w:rsidR="00D70349" w:rsidRPr="00167C39" w:rsidRDefault="00D70349" w:rsidP="00E85F55">
      <w:pPr>
        <w:pStyle w:val="3Bodytext"/>
        <w:jc w:val="both"/>
      </w:pPr>
      <w:r>
        <w:t xml:space="preserve">The submission estimated that </w:t>
      </w:r>
      <w:r w:rsidR="00673C5A">
        <w:t xml:space="preserve">an additional </w:t>
      </w:r>
      <w:r w:rsidR="00E85F55" w:rsidRPr="00E85F55">
        <w:t>&lt; 500</w:t>
      </w:r>
      <w:r w:rsidRPr="00167C39">
        <w:t xml:space="preserve"> patients</w:t>
      </w:r>
      <w:r w:rsidR="003F41D3">
        <w:t xml:space="preserve"> (</w:t>
      </w:r>
      <w:r w:rsidR="00E85F55" w:rsidRPr="00E85F55">
        <w:t>&lt; 500</w:t>
      </w:r>
      <w:r w:rsidR="003F41D3" w:rsidRPr="007C6F22">
        <w:t xml:space="preserve"> patients from TILD-18-20 and </w:t>
      </w:r>
      <w:r w:rsidR="00E85F55" w:rsidRPr="00E85F55">
        <w:t>&lt; 500</w:t>
      </w:r>
      <w:r w:rsidR="003F41D3" w:rsidRPr="007C6F22">
        <w:t xml:space="preserve"> patients from TILD-18-19)</w:t>
      </w:r>
      <w:r w:rsidRPr="00167C39">
        <w:t xml:space="preserve"> </w:t>
      </w:r>
      <w:r>
        <w:t>would</w:t>
      </w:r>
      <w:r w:rsidRPr="00167C39">
        <w:t xml:space="preserve"> be </w:t>
      </w:r>
      <w:r w:rsidRPr="00B729D5">
        <w:t xml:space="preserve">supplied </w:t>
      </w:r>
      <w:r w:rsidR="00B729D5" w:rsidRPr="00B729D5">
        <w:t>tildrakizumab through the grandfather listings</w:t>
      </w:r>
      <w:r w:rsidRPr="00B729D5">
        <w:t xml:space="preserve"> over </w:t>
      </w:r>
      <w:r w:rsidRPr="00167C39">
        <w:t xml:space="preserve">the first </w:t>
      </w:r>
      <w:r w:rsidR="00187AD9">
        <w:t>6</w:t>
      </w:r>
      <w:r w:rsidR="00187AD9" w:rsidRPr="00167C39">
        <w:t xml:space="preserve"> </w:t>
      </w:r>
      <w:r w:rsidRPr="00167C39">
        <w:t>years of listing (</w:t>
      </w:r>
      <w:r w:rsidR="00E85F55" w:rsidRPr="00E85F55">
        <w:t>&lt; 500</w:t>
      </w:r>
      <w:r w:rsidR="00EE6203">
        <w:t xml:space="preserve"> in Year 1</w:t>
      </w:r>
      <w:r w:rsidRPr="00167C39">
        <w:t xml:space="preserve"> to </w:t>
      </w:r>
      <w:r w:rsidR="00E85F55" w:rsidRPr="00E85F55">
        <w:t>&lt; 500</w:t>
      </w:r>
      <w:r w:rsidR="00EE6203">
        <w:t xml:space="preserve"> in Year 6</w:t>
      </w:r>
      <w:r w:rsidRPr="00167C39">
        <w:t>).</w:t>
      </w:r>
      <w:r>
        <w:t xml:space="preserve"> </w:t>
      </w:r>
      <w:r w:rsidR="001768CC" w:rsidRPr="00A3107E">
        <w:t xml:space="preserve">It </w:t>
      </w:r>
      <w:r w:rsidR="00603E03">
        <w:t>was</w:t>
      </w:r>
      <w:r w:rsidR="00603E03" w:rsidRPr="00A3107E">
        <w:t xml:space="preserve"> </w:t>
      </w:r>
      <w:r w:rsidR="001768CC" w:rsidRPr="00A3107E">
        <w:t xml:space="preserve">unclear if </w:t>
      </w:r>
      <w:r w:rsidR="008E2F36" w:rsidRPr="00A3107E">
        <w:t xml:space="preserve">these </w:t>
      </w:r>
      <w:r w:rsidR="001768CC" w:rsidRPr="00A3107E">
        <w:t>patients were included in the financial forecast for the July 2018 submission.</w:t>
      </w:r>
      <w:r w:rsidR="003524FF">
        <w:t xml:space="preserve"> </w:t>
      </w:r>
    </w:p>
    <w:p w14:paraId="2849B537" w14:textId="2E55B7F9" w:rsidR="003E2E98" w:rsidRPr="003E2E98" w:rsidRDefault="000A02F8" w:rsidP="00E85F55">
      <w:pPr>
        <w:pStyle w:val="3Bodytext"/>
        <w:jc w:val="both"/>
      </w:pPr>
      <w:bookmarkStart w:id="7" w:name="_Hlk123728270"/>
      <w:r>
        <w:t>The submission stated that t</w:t>
      </w:r>
      <w:r w:rsidR="00D70349" w:rsidRPr="00167C39">
        <w:t>he estimated net financial impact to the PBS/R</w:t>
      </w:r>
      <w:r w:rsidR="00D70349">
        <w:t>P</w:t>
      </w:r>
      <w:r w:rsidR="00D70349" w:rsidRPr="00167C39">
        <w:t xml:space="preserve">BS for the listing of </w:t>
      </w:r>
      <w:r w:rsidR="003E2E98">
        <w:t>a grandfathering restriction for tildrakizumab</w:t>
      </w:r>
      <w:r w:rsidR="00D70349" w:rsidRPr="000C1AFF">
        <w:t xml:space="preserve"> </w:t>
      </w:r>
      <w:r w:rsidR="00D70349" w:rsidRPr="00167C39">
        <w:t xml:space="preserve">is </w:t>
      </w:r>
      <w:r w:rsidR="00E85F55" w:rsidRPr="00E85F55">
        <w:t>$0 to &lt; $10 million</w:t>
      </w:r>
      <w:r w:rsidR="00E85F55">
        <w:t xml:space="preserve"> </w:t>
      </w:r>
      <w:r w:rsidR="00D70349" w:rsidRPr="00167C39">
        <w:t xml:space="preserve">over </w:t>
      </w:r>
      <w:r w:rsidR="00187AD9">
        <w:t>6 </w:t>
      </w:r>
      <w:r w:rsidR="00D70349" w:rsidRPr="00167C39">
        <w:t xml:space="preserve">years (Year 1 </w:t>
      </w:r>
      <w:r w:rsidR="00E85F55" w:rsidRPr="00E85F55">
        <w:t>$0 to &lt; $10 million</w:t>
      </w:r>
      <w:r w:rsidR="00E85F55">
        <w:t xml:space="preserve"> </w:t>
      </w:r>
      <w:r w:rsidR="00D70349" w:rsidRPr="00167C39">
        <w:t xml:space="preserve">to Year 6 </w:t>
      </w:r>
      <w:r w:rsidR="00E85F55" w:rsidRPr="00E85F55">
        <w:t>$0 to &lt; $10 million</w:t>
      </w:r>
      <w:r w:rsidR="00D70349" w:rsidRPr="00167C39">
        <w:t>)</w:t>
      </w:r>
      <w:r w:rsidR="00673C5A">
        <w:t xml:space="preserve"> </w:t>
      </w:r>
      <w:bookmarkEnd w:id="7"/>
      <w:r w:rsidR="00673C5A">
        <w:t xml:space="preserve">(see Table </w:t>
      </w:r>
      <w:r w:rsidR="00BA25BE">
        <w:t>2</w:t>
      </w:r>
      <w:r w:rsidR="00673C5A">
        <w:t>)</w:t>
      </w:r>
      <w:r w:rsidR="00D70349" w:rsidRPr="00167C39">
        <w:t xml:space="preserve">. </w:t>
      </w:r>
    </w:p>
    <w:p w14:paraId="5C1B0A88" w14:textId="711657E6" w:rsidR="00D70349" w:rsidRPr="00E060AF" w:rsidRDefault="00D70349" w:rsidP="009152B8">
      <w:pPr>
        <w:pStyle w:val="Tabletitles"/>
        <w:keepNext/>
        <w:keepLines/>
        <w:spacing w:after="0"/>
        <w:rPr>
          <w:rFonts w:asciiTheme="minorHAnsi" w:hAnsiTheme="minorHAnsi" w:cstheme="minorHAnsi"/>
          <w:sz w:val="24"/>
          <w:szCs w:val="24"/>
        </w:rPr>
      </w:pPr>
      <w:r w:rsidRPr="00167C39">
        <w:rPr>
          <w:rStyle w:val="CommentReference"/>
          <w:sz w:val="20"/>
          <w:szCs w:val="22"/>
        </w:rPr>
        <w:lastRenderedPageBreak/>
        <w:t>Table</w:t>
      </w:r>
      <w:r w:rsidRPr="00167C39">
        <w:rPr>
          <w:rFonts w:eastAsiaTheme="majorEastAsia"/>
        </w:rPr>
        <w:t xml:space="preserve"> </w:t>
      </w:r>
      <w:bookmarkStart w:id="8" w:name="_Hlk121755068"/>
      <w:r w:rsidR="00BA25BE">
        <w:rPr>
          <w:rFonts w:eastAsiaTheme="majorEastAsia"/>
        </w:rPr>
        <w:t>2</w:t>
      </w:r>
      <w:r w:rsidRPr="00167C39">
        <w:rPr>
          <w:rFonts w:eastAsiaTheme="majorEastAsia"/>
        </w:rPr>
        <w:t>:</w:t>
      </w:r>
      <w:bookmarkEnd w:id="8"/>
      <w:r w:rsidRPr="00167C39">
        <w:rPr>
          <w:rFonts w:eastAsiaTheme="majorEastAsia"/>
        </w:rPr>
        <w:t xml:space="preserve"> </w:t>
      </w:r>
      <w:r w:rsidRPr="00167C39">
        <w:rPr>
          <w:rStyle w:val="CommentReference"/>
          <w:sz w:val="20"/>
          <w:szCs w:val="22"/>
        </w:rPr>
        <w:t>Estimated use and financial implications</w:t>
      </w:r>
      <w:r>
        <w:rPr>
          <w:rStyle w:val="CommentReference"/>
          <w:sz w:val="20"/>
          <w:szCs w:val="22"/>
        </w:rPr>
        <w:t xml:space="preserve"> </w:t>
      </w:r>
    </w:p>
    <w:tbl>
      <w:tblPr>
        <w:tblW w:w="495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998"/>
        <w:gridCol w:w="1156"/>
        <w:gridCol w:w="1156"/>
        <w:gridCol w:w="1157"/>
        <w:gridCol w:w="1157"/>
        <w:gridCol w:w="1157"/>
        <w:gridCol w:w="1157"/>
      </w:tblGrid>
      <w:tr w:rsidR="00D70349" w:rsidRPr="00197F03" w14:paraId="50517F09" w14:textId="77777777" w:rsidTr="00762862">
        <w:trPr>
          <w:cantSplit/>
          <w:tblHeader/>
          <w:jc w:val="center"/>
        </w:trPr>
        <w:tc>
          <w:tcPr>
            <w:tcW w:w="1118" w:type="pct"/>
            <w:shd w:val="clear" w:color="auto" w:fill="auto"/>
            <w:vAlign w:val="center"/>
          </w:tcPr>
          <w:p w14:paraId="146FDDC6" w14:textId="77777777" w:rsidR="00D70349" w:rsidRPr="00167C39" w:rsidRDefault="00D70349" w:rsidP="00222680">
            <w:pPr>
              <w:pStyle w:val="TableText0"/>
              <w:keepLines/>
            </w:pPr>
          </w:p>
        </w:tc>
        <w:tc>
          <w:tcPr>
            <w:tcW w:w="647" w:type="pct"/>
            <w:shd w:val="clear" w:color="auto" w:fill="auto"/>
            <w:vAlign w:val="center"/>
          </w:tcPr>
          <w:p w14:paraId="229BAAA8" w14:textId="77777777" w:rsidR="00D70349" w:rsidRPr="00167C39" w:rsidRDefault="00D70349" w:rsidP="00222680">
            <w:pPr>
              <w:pStyle w:val="TableText0"/>
              <w:keepLines/>
              <w:rPr>
                <w:b/>
              </w:rPr>
            </w:pPr>
            <w:r w:rsidRPr="00167C39">
              <w:rPr>
                <w:b/>
              </w:rPr>
              <w:t>Year 1</w:t>
            </w:r>
          </w:p>
        </w:tc>
        <w:tc>
          <w:tcPr>
            <w:tcW w:w="647" w:type="pct"/>
            <w:shd w:val="clear" w:color="auto" w:fill="auto"/>
            <w:vAlign w:val="center"/>
          </w:tcPr>
          <w:p w14:paraId="48EEAB93" w14:textId="77777777" w:rsidR="00D70349" w:rsidRPr="00167C39" w:rsidRDefault="00D70349" w:rsidP="00222680">
            <w:pPr>
              <w:pStyle w:val="TableText0"/>
              <w:keepLines/>
              <w:rPr>
                <w:b/>
              </w:rPr>
            </w:pPr>
            <w:r w:rsidRPr="00167C39">
              <w:rPr>
                <w:b/>
              </w:rPr>
              <w:t>Year 2</w:t>
            </w:r>
          </w:p>
        </w:tc>
        <w:tc>
          <w:tcPr>
            <w:tcW w:w="647" w:type="pct"/>
            <w:shd w:val="clear" w:color="auto" w:fill="auto"/>
            <w:vAlign w:val="center"/>
          </w:tcPr>
          <w:p w14:paraId="0738F741" w14:textId="77777777" w:rsidR="00D70349" w:rsidRPr="00167C39" w:rsidRDefault="00D70349" w:rsidP="00222680">
            <w:pPr>
              <w:pStyle w:val="TableText0"/>
              <w:keepLines/>
              <w:rPr>
                <w:b/>
              </w:rPr>
            </w:pPr>
            <w:r w:rsidRPr="00167C39">
              <w:rPr>
                <w:b/>
              </w:rPr>
              <w:t>Year 3</w:t>
            </w:r>
          </w:p>
        </w:tc>
        <w:tc>
          <w:tcPr>
            <w:tcW w:w="647" w:type="pct"/>
            <w:shd w:val="clear" w:color="auto" w:fill="auto"/>
            <w:vAlign w:val="center"/>
          </w:tcPr>
          <w:p w14:paraId="2F722BB7" w14:textId="77777777" w:rsidR="00D70349" w:rsidRPr="00167C39" w:rsidRDefault="00D70349" w:rsidP="00222680">
            <w:pPr>
              <w:pStyle w:val="TableText0"/>
              <w:keepLines/>
              <w:rPr>
                <w:b/>
              </w:rPr>
            </w:pPr>
            <w:r w:rsidRPr="00167C39">
              <w:rPr>
                <w:b/>
              </w:rPr>
              <w:t>Year 4</w:t>
            </w:r>
          </w:p>
        </w:tc>
        <w:tc>
          <w:tcPr>
            <w:tcW w:w="647" w:type="pct"/>
            <w:shd w:val="clear" w:color="auto" w:fill="auto"/>
            <w:vAlign w:val="center"/>
          </w:tcPr>
          <w:p w14:paraId="4A03E0AC" w14:textId="77777777" w:rsidR="00D70349" w:rsidRPr="00167C39" w:rsidRDefault="00D70349" w:rsidP="00222680">
            <w:pPr>
              <w:pStyle w:val="TableText0"/>
              <w:keepLines/>
              <w:rPr>
                <w:b/>
              </w:rPr>
            </w:pPr>
            <w:r w:rsidRPr="00167C39">
              <w:rPr>
                <w:b/>
              </w:rPr>
              <w:t>Year 5</w:t>
            </w:r>
          </w:p>
        </w:tc>
        <w:tc>
          <w:tcPr>
            <w:tcW w:w="647" w:type="pct"/>
          </w:tcPr>
          <w:p w14:paraId="11CF147B" w14:textId="77777777" w:rsidR="00D70349" w:rsidRPr="00167C39" w:rsidRDefault="00D70349" w:rsidP="00222680">
            <w:pPr>
              <w:pStyle w:val="TableText0"/>
              <w:keepLines/>
              <w:rPr>
                <w:b/>
              </w:rPr>
            </w:pPr>
            <w:r w:rsidRPr="00167C39">
              <w:rPr>
                <w:b/>
              </w:rPr>
              <w:t>Year 6</w:t>
            </w:r>
          </w:p>
        </w:tc>
      </w:tr>
      <w:tr w:rsidR="00D70349" w:rsidRPr="00197F03" w14:paraId="07125BC5" w14:textId="77777777" w:rsidTr="00762862">
        <w:trPr>
          <w:cantSplit/>
          <w:jc w:val="center"/>
        </w:trPr>
        <w:tc>
          <w:tcPr>
            <w:tcW w:w="5000" w:type="pct"/>
            <w:gridSpan w:val="7"/>
            <w:shd w:val="clear" w:color="auto" w:fill="auto"/>
            <w:vAlign w:val="center"/>
          </w:tcPr>
          <w:p w14:paraId="618359A1" w14:textId="77777777" w:rsidR="00D70349" w:rsidRPr="00167C39" w:rsidRDefault="00D70349" w:rsidP="00222680">
            <w:pPr>
              <w:pStyle w:val="TableText0"/>
              <w:keepLines/>
              <w:rPr>
                <w:b/>
                <w:color w:val="000000"/>
              </w:rPr>
            </w:pPr>
            <w:r w:rsidRPr="00167C39">
              <w:rPr>
                <w:b/>
                <w:color w:val="000000"/>
              </w:rPr>
              <w:t>Estimated extent of use</w:t>
            </w:r>
          </w:p>
        </w:tc>
      </w:tr>
      <w:tr w:rsidR="00D70349" w:rsidRPr="00197F03" w14:paraId="5D4B879C" w14:textId="77777777" w:rsidTr="00906225">
        <w:trPr>
          <w:cantSplit/>
          <w:jc w:val="center"/>
        </w:trPr>
        <w:tc>
          <w:tcPr>
            <w:tcW w:w="1118" w:type="pct"/>
            <w:shd w:val="clear" w:color="auto" w:fill="auto"/>
            <w:vAlign w:val="center"/>
          </w:tcPr>
          <w:p w14:paraId="3D1A83AD" w14:textId="72702113" w:rsidR="00D70349" w:rsidRPr="00167C39" w:rsidRDefault="00D70349" w:rsidP="00222680">
            <w:pPr>
              <w:pStyle w:val="TableText0"/>
              <w:keepLines/>
            </w:pPr>
            <w:r w:rsidRPr="00167C39">
              <w:t>Number of patients treated</w:t>
            </w:r>
          </w:p>
        </w:tc>
        <w:tc>
          <w:tcPr>
            <w:tcW w:w="647" w:type="pct"/>
            <w:shd w:val="clear" w:color="auto" w:fill="auto"/>
            <w:vAlign w:val="center"/>
          </w:tcPr>
          <w:p w14:paraId="3D3A69E7" w14:textId="29387178" w:rsidR="00D70349" w:rsidRPr="00E85F55" w:rsidRDefault="008D4587" w:rsidP="000C1AFF">
            <w:pPr>
              <w:pStyle w:val="TableText0"/>
              <w:keepLines/>
              <w:jc w:val="right"/>
              <w:rPr>
                <w:color w:val="000000"/>
                <w:highlight w:val="darkGray"/>
              </w:rPr>
            </w:pPr>
            <w:r w:rsidRPr="008D4587">
              <w:rPr>
                <w:color w:val="000000"/>
                <w:shd w:val="solid" w:color="000000" w:fill="000000"/>
                <w14:textFill>
                  <w14:solidFill>
                    <w14:srgbClr w14:val="000000">
                      <w14:alpha w14:val="100000"/>
                    </w14:srgbClr>
                  </w14:solidFill>
                </w14:textFill>
              </w:rPr>
              <w:t>|</w:t>
            </w:r>
            <w:r w:rsidR="00E85F55" w:rsidRPr="00E85F55">
              <w:rPr>
                <w:color w:val="000000"/>
                <w:vertAlign w:val="superscript"/>
              </w:rPr>
              <w:t>1</w:t>
            </w:r>
          </w:p>
        </w:tc>
        <w:tc>
          <w:tcPr>
            <w:tcW w:w="647" w:type="pct"/>
            <w:shd w:val="clear" w:color="auto" w:fill="auto"/>
            <w:vAlign w:val="center"/>
          </w:tcPr>
          <w:p w14:paraId="04FD8588" w14:textId="43A91083" w:rsidR="00D70349" w:rsidRPr="00E85F55" w:rsidRDefault="008D4587" w:rsidP="000C1AFF">
            <w:pPr>
              <w:pStyle w:val="TableText0"/>
              <w:keepLines/>
              <w:jc w:val="right"/>
              <w:rPr>
                <w:color w:val="000000"/>
                <w:highlight w:val="darkGray"/>
              </w:rPr>
            </w:pPr>
            <w:r w:rsidRPr="008D4587">
              <w:rPr>
                <w:color w:val="000000"/>
                <w:shd w:val="solid" w:color="000000" w:fill="000000"/>
                <w14:textFill>
                  <w14:solidFill>
                    <w14:srgbClr w14:val="000000">
                      <w14:alpha w14:val="100000"/>
                    </w14:srgbClr>
                  </w14:solidFill>
                </w14:textFill>
              </w:rPr>
              <w:t>|</w:t>
            </w:r>
            <w:r w:rsidR="00E85F55" w:rsidRPr="00E85F55">
              <w:rPr>
                <w:color w:val="000000"/>
                <w:vertAlign w:val="superscript"/>
              </w:rPr>
              <w:t>1</w:t>
            </w:r>
          </w:p>
        </w:tc>
        <w:tc>
          <w:tcPr>
            <w:tcW w:w="647" w:type="pct"/>
            <w:shd w:val="clear" w:color="auto" w:fill="auto"/>
            <w:vAlign w:val="center"/>
          </w:tcPr>
          <w:p w14:paraId="0CF8783E" w14:textId="6F9DAF41" w:rsidR="00D70349" w:rsidRPr="00E85F55" w:rsidRDefault="008D4587" w:rsidP="000C1AFF">
            <w:pPr>
              <w:pStyle w:val="TableText0"/>
              <w:keepLines/>
              <w:jc w:val="right"/>
              <w:rPr>
                <w:color w:val="000000"/>
                <w:highlight w:val="darkGray"/>
              </w:rPr>
            </w:pPr>
            <w:r w:rsidRPr="008D4587">
              <w:rPr>
                <w:color w:val="000000"/>
                <w:shd w:val="solid" w:color="000000" w:fill="000000"/>
                <w14:textFill>
                  <w14:solidFill>
                    <w14:srgbClr w14:val="000000">
                      <w14:alpha w14:val="100000"/>
                    </w14:srgbClr>
                  </w14:solidFill>
                </w14:textFill>
              </w:rPr>
              <w:t>|</w:t>
            </w:r>
            <w:r w:rsidR="00E85F55" w:rsidRPr="00E85F55">
              <w:rPr>
                <w:color w:val="000000"/>
                <w:vertAlign w:val="superscript"/>
              </w:rPr>
              <w:t>1</w:t>
            </w:r>
          </w:p>
        </w:tc>
        <w:tc>
          <w:tcPr>
            <w:tcW w:w="647" w:type="pct"/>
            <w:shd w:val="clear" w:color="auto" w:fill="auto"/>
            <w:vAlign w:val="center"/>
          </w:tcPr>
          <w:p w14:paraId="3329A117" w14:textId="0E716EB2" w:rsidR="00D70349" w:rsidRPr="00E85F55" w:rsidRDefault="008D4587" w:rsidP="000C1AFF">
            <w:pPr>
              <w:pStyle w:val="TableText0"/>
              <w:keepLines/>
              <w:jc w:val="right"/>
              <w:rPr>
                <w:color w:val="000000"/>
                <w:highlight w:val="darkGray"/>
              </w:rPr>
            </w:pPr>
            <w:r w:rsidRPr="008D4587">
              <w:rPr>
                <w:color w:val="000000"/>
                <w:shd w:val="solid" w:color="000000" w:fill="000000"/>
                <w14:textFill>
                  <w14:solidFill>
                    <w14:srgbClr w14:val="000000">
                      <w14:alpha w14:val="100000"/>
                    </w14:srgbClr>
                  </w14:solidFill>
                </w14:textFill>
              </w:rPr>
              <w:t>|</w:t>
            </w:r>
            <w:r w:rsidR="00E85F55" w:rsidRPr="00E85F55">
              <w:rPr>
                <w:color w:val="000000"/>
                <w:vertAlign w:val="superscript"/>
              </w:rPr>
              <w:t>1</w:t>
            </w:r>
          </w:p>
        </w:tc>
        <w:tc>
          <w:tcPr>
            <w:tcW w:w="647" w:type="pct"/>
            <w:shd w:val="clear" w:color="auto" w:fill="auto"/>
            <w:vAlign w:val="center"/>
          </w:tcPr>
          <w:p w14:paraId="5F15BC88" w14:textId="2287DC44" w:rsidR="00D70349" w:rsidRPr="00E85F55" w:rsidRDefault="008D4587" w:rsidP="000C1AFF">
            <w:pPr>
              <w:pStyle w:val="TableText0"/>
              <w:keepLines/>
              <w:jc w:val="right"/>
              <w:rPr>
                <w:color w:val="000000"/>
                <w:highlight w:val="darkGray"/>
              </w:rPr>
            </w:pPr>
            <w:r w:rsidRPr="008D4587">
              <w:rPr>
                <w:color w:val="000000"/>
                <w:shd w:val="solid" w:color="000000" w:fill="000000"/>
                <w14:textFill>
                  <w14:solidFill>
                    <w14:srgbClr w14:val="000000">
                      <w14:alpha w14:val="100000"/>
                    </w14:srgbClr>
                  </w14:solidFill>
                </w14:textFill>
              </w:rPr>
              <w:t>|</w:t>
            </w:r>
            <w:r w:rsidR="00E85F55" w:rsidRPr="00E85F55">
              <w:rPr>
                <w:color w:val="000000"/>
                <w:vertAlign w:val="superscript"/>
              </w:rPr>
              <w:t>1</w:t>
            </w:r>
          </w:p>
        </w:tc>
        <w:tc>
          <w:tcPr>
            <w:tcW w:w="647" w:type="pct"/>
            <w:vAlign w:val="center"/>
          </w:tcPr>
          <w:p w14:paraId="5FEE8AB1" w14:textId="290BC846" w:rsidR="00D70349" w:rsidRPr="00E85F55" w:rsidRDefault="008D4587" w:rsidP="000C1AFF">
            <w:pPr>
              <w:pStyle w:val="TableText0"/>
              <w:keepLines/>
              <w:jc w:val="right"/>
              <w:rPr>
                <w:color w:val="000000"/>
                <w:highlight w:val="darkGray"/>
              </w:rPr>
            </w:pPr>
            <w:r w:rsidRPr="008D4587">
              <w:rPr>
                <w:color w:val="000000"/>
                <w:shd w:val="solid" w:color="000000" w:fill="000000"/>
                <w14:textFill>
                  <w14:solidFill>
                    <w14:srgbClr w14:val="000000">
                      <w14:alpha w14:val="100000"/>
                    </w14:srgbClr>
                  </w14:solidFill>
                </w14:textFill>
              </w:rPr>
              <w:t>|</w:t>
            </w:r>
            <w:r w:rsidR="00E85F55" w:rsidRPr="00E85F55">
              <w:rPr>
                <w:color w:val="000000"/>
                <w:vertAlign w:val="superscript"/>
              </w:rPr>
              <w:t>1</w:t>
            </w:r>
          </w:p>
        </w:tc>
      </w:tr>
      <w:tr w:rsidR="00D70349" w:rsidRPr="008D35F6" w14:paraId="5D5D440C" w14:textId="77777777" w:rsidTr="00906225">
        <w:trPr>
          <w:cantSplit/>
          <w:jc w:val="center"/>
        </w:trPr>
        <w:tc>
          <w:tcPr>
            <w:tcW w:w="1118" w:type="pct"/>
            <w:shd w:val="clear" w:color="auto" w:fill="auto"/>
            <w:vAlign w:val="center"/>
          </w:tcPr>
          <w:p w14:paraId="359E474F" w14:textId="77777777" w:rsidR="00D70349" w:rsidRPr="008D35F6" w:rsidRDefault="00D70349" w:rsidP="00222680">
            <w:pPr>
              <w:pStyle w:val="TableText0"/>
              <w:keepLines/>
              <w:rPr>
                <w:vertAlign w:val="superscript"/>
              </w:rPr>
            </w:pPr>
            <w:r w:rsidRPr="008D35F6">
              <w:t>Number of scripts dispensed</w:t>
            </w:r>
            <w:r w:rsidRPr="008D35F6">
              <w:rPr>
                <w:vertAlign w:val="superscript"/>
              </w:rPr>
              <w:t>a</w:t>
            </w:r>
          </w:p>
        </w:tc>
        <w:tc>
          <w:tcPr>
            <w:tcW w:w="647" w:type="pct"/>
            <w:shd w:val="clear" w:color="auto" w:fill="auto"/>
            <w:vAlign w:val="center"/>
          </w:tcPr>
          <w:p w14:paraId="14228129" w14:textId="0661F463" w:rsidR="00D70349" w:rsidRPr="00E85F55" w:rsidRDefault="008D4587" w:rsidP="000C1AFF">
            <w:pPr>
              <w:pStyle w:val="TableText0"/>
              <w:keepLines/>
              <w:jc w:val="right"/>
              <w:rPr>
                <w:color w:val="000000"/>
                <w:highlight w:val="darkGray"/>
              </w:rPr>
            </w:pPr>
            <w:r w:rsidRPr="008D4587">
              <w:rPr>
                <w:color w:val="000000"/>
                <w:shd w:val="solid" w:color="000000" w:fill="000000"/>
                <w14:textFill>
                  <w14:solidFill>
                    <w14:srgbClr w14:val="000000">
                      <w14:alpha w14:val="100000"/>
                    </w14:srgbClr>
                  </w14:solidFill>
                </w14:textFill>
              </w:rPr>
              <w:t>|</w:t>
            </w:r>
            <w:r w:rsidR="00E85F55" w:rsidRPr="00E85F55">
              <w:rPr>
                <w:color w:val="000000"/>
                <w:vertAlign w:val="superscript"/>
              </w:rPr>
              <w:t>1</w:t>
            </w:r>
          </w:p>
        </w:tc>
        <w:tc>
          <w:tcPr>
            <w:tcW w:w="647" w:type="pct"/>
            <w:shd w:val="clear" w:color="auto" w:fill="auto"/>
            <w:vAlign w:val="center"/>
          </w:tcPr>
          <w:p w14:paraId="0AC1C51C" w14:textId="5534886E" w:rsidR="00D70349" w:rsidRPr="00E85F55" w:rsidRDefault="008D4587" w:rsidP="000C1AFF">
            <w:pPr>
              <w:pStyle w:val="TableText0"/>
              <w:keepLines/>
              <w:jc w:val="right"/>
              <w:rPr>
                <w:color w:val="000000"/>
                <w:highlight w:val="darkGray"/>
              </w:rPr>
            </w:pPr>
            <w:r w:rsidRPr="008D4587">
              <w:rPr>
                <w:color w:val="000000"/>
                <w:shd w:val="solid" w:color="000000" w:fill="000000"/>
                <w14:textFill>
                  <w14:solidFill>
                    <w14:srgbClr w14:val="000000">
                      <w14:alpha w14:val="100000"/>
                    </w14:srgbClr>
                  </w14:solidFill>
                </w14:textFill>
              </w:rPr>
              <w:t>|</w:t>
            </w:r>
            <w:r w:rsidR="00E85F55" w:rsidRPr="00E85F55">
              <w:rPr>
                <w:color w:val="000000"/>
                <w:vertAlign w:val="superscript"/>
              </w:rPr>
              <w:t>1</w:t>
            </w:r>
          </w:p>
        </w:tc>
        <w:tc>
          <w:tcPr>
            <w:tcW w:w="647" w:type="pct"/>
            <w:shd w:val="clear" w:color="auto" w:fill="auto"/>
            <w:vAlign w:val="center"/>
          </w:tcPr>
          <w:p w14:paraId="46B37406" w14:textId="314A4436" w:rsidR="00D70349" w:rsidRPr="00E85F55" w:rsidRDefault="008D4587" w:rsidP="000C1AFF">
            <w:pPr>
              <w:pStyle w:val="TableText0"/>
              <w:keepLines/>
              <w:jc w:val="right"/>
              <w:rPr>
                <w:color w:val="000000"/>
                <w:highlight w:val="darkGray"/>
              </w:rPr>
            </w:pPr>
            <w:r w:rsidRPr="008D4587">
              <w:rPr>
                <w:color w:val="000000"/>
                <w:shd w:val="solid" w:color="000000" w:fill="000000"/>
                <w14:textFill>
                  <w14:solidFill>
                    <w14:srgbClr w14:val="000000">
                      <w14:alpha w14:val="100000"/>
                    </w14:srgbClr>
                  </w14:solidFill>
                </w14:textFill>
              </w:rPr>
              <w:t>|</w:t>
            </w:r>
            <w:r w:rsidR="00E85F55" w:rsidRPr="00E85F55">
              <w:rPr>
                <w:color w:val="000000"/>
                <w:vertAlign w:val="superscript"/>
              </w:rPr>
              <w:t>1</w:t>
            </w:r>
          </w:p>
        </w:tc>
        <w:tc>
          <w:tcPr>
            <w:tcW w:w="647" w:type="pct"/>
            <w:shd w:val="clear" w:color="auto" w:fill="auto"/>
            <w:vAlign w:val="center"/>
          </w:tcPr>
          <w:p w14:paraId="6D76F480" w14:textId="58826377" w:rsidR="00D70349" w:rsidRPr="00E85F55" w:rsidRDefault="008D4587" w:rsidP="000C1AFF">
            <w:pPr>
              <w:pStyle w:val="TableText0"/>
              <w:keepLines/>
              <w:jc w:val="right"/>
              <w:rPr>
                <w:color w:val="000000"/>
                <w:highlight w:val="darkGray"/>
              </w:rPr>
            </w:pPr>
            <w:r w:rsidRPr="008D4587">
              <w:rPr>
                <w:color w:val="000000"/>
                <w:shd w:val="solid" w:color="000000" w:fill="000000"/>
                <w14:textFill>
                  <w14:solidFill>
                    <w14:srgbClr w14:val="000000">
                      <w14:alpha w14:val="100000"/>
                    </w14:srgbClr>
                  </w14:solidFill>
                </w14:textFill>
              </w:rPr>
              <w:t>|</w:t>
            </w:r>
            <w:r w:rsidR="00E85F55" w:rsidRPr="00E85F55">
              <w:rPr>
                <w:color w:val="000000"/>
                <w:vertAlign w:val="superscript"/>
              </w:rPr>
              <w:t>1</w:t>
            </w:r>
          </w:p>
        </w:tc>
        <w:tc>
          <w:tcPr>
            <w:tcW w:w="647" w:type="pct"/>
            <w:shd w:val="clear" w:color="auto" w:fill="auto"/>
            <w:vAlign w:val="center"/>
          </w:tcPr>
          <w:p w14:paraId="078EC90A" w14:textId="08C83C31" w:rsidR="00D70349" w:rsidRPr="00E85F55" w:rsidRDefault="008D4587" w:rsidP="000C1AFF">
            <w:pPr>
              <w:pStyle w:val="TableText0"/>
              <w:keepLines/>
              <w:jc w:val="right"/>
              <w:rPr>
                <w:color w:val="000000"/>
                <w:highlight w:val="darkGray"/>
              </w:rPr>
            </w:pPr>
            <w:r w:rsidRPr="008D4587">
              <w:rPr>
                <w:color w:val="000000"/>
                <w:shd w:val="solid" w:color="000000" w:fill="000000"/>
                <w14:textFill>
                  <w14:solidFill>
                    <w14:srgbClr w14:val="000000">
                      <w14:alpha w14:val="100000"/>
                    </w14:srgbClr>
                  </w14:solidFill>
                </w14:textFill>
              </w:rPr>
              <w:t>|</w:t>
            </w:r>
            <w:r w:rsidR="00E85F55" w:rsidRPr="00E85F55">
              <w:rPr>
                <w:color w:val="000000"/>
                <w:vertAlign w:val="superscript"/>
              </w:rPr>
              <w:t>1</w:t>
            </w:r>
          </w:p>
        </w:tc>
        <w:tc>
          <w:tcPr>
            <w:tcW w:w="647" w:type="pct"/>
            <w:vAlign w:val="center"/>
          </w:tcPr>
          <w:p w14:paraId="0BC345E6" w14:textId="705C3CD3" w:rsidR="00D70349" w:rsidRPr="00E85F55" w:rsidRDefault="008D4587" w:rsidP="000C1AFF">
            <w:pPr>
              <w:pStyle w:val="TableText0"/>
              <w:keepLines/>
              <w:jc w:val="right"/>
              <w:rPr>
                <w:color w:val="000000"/>
                <w:highlight w:val="darkGray"/>
              </w:rPr>
            </w:pPr>
            <w:r w:rsidRPr="008D4587">
              <w:rPr>
                <w:color w:val="000000"/>
                <w:shd w:val="solid" w:color="000000" w:fill="000000"/>
                <w14:textFill>
                  <w14:solidFill>
                    <w14:srgbClr w14:val="000000">
                      <w14:alpha w14:val="100000"/>
                    </w14:srgbClr>
                  </w14:solidFill>
                </w14:textFill>
              </w:rPr>
              <w:t>|</w:t>
            </w:r>
            <w:r w:rsidR="00E85F55" w:rsidRPr="00E85F55">
              <w:rPr>
                <w:color w:val="000000"/>
                <w:vertAlign w:val="superscript"/>
              </w:rPr>
              <w:t>1</w:t>
            </w:r>
          </w:p>
        </w:tc>
      </w:tr>
      <w:tr w:rsidR="00EF4356" w:rsidRPr="008D35F6" w14:paraId="12049D1A" w14:textId="77777777" w:rsidTr="00EF4356">
        <w:trPr>
          <w:cantSplit/>
          <w:jc w:val="center"/>
        </w:trPr>
        <w:tc>
          <w:tcPr>
            <w:tcW w:w="5000" w:type="pct"/>
            <w:gridSpan w:val="7"/>
            <w:shd w:val="clear" w:color="auto" w:fill="auto"/>
            <w:vAlign w:val="center"/>
          </w:tcPr>
          <w:p w14:paraId="6606129A" w14:textId="1F8653F5" w:rsidR="00EF4356" w:rsidRDefault="00EF4356" w:rsidP="00EF4356">
            <w:pPr>
              <w:pStyle w:val="TableText0"/>
              <w:keepLines/>
              <w:rPr>
                <w:color w:val="000000"/>
              </w:rPr>
            </w:pPr>
            <w:r>
              <w:rPr>
                <w:b/>
                <w:color w:val="000000"/>
              </w:rPr>
              <w:t>Estimated financial implications of the grandfather restriction for tildrakizumab (published AEMP)</w:t>
            </w:r>
          </w:p>
        </w:tc>
      </w:tr>
      <w:tr w:rsidR="00EF4356" w:rsidRPr="008D35F6" w14:paraId="5C67070A" w14:textId="77777777" w:rsidTr="00225511">
        <w:trPr>
          <w:cantSplit/>
          <w:jc w:val="center"/>
        </w:trPr>
        <w:tc>
          <w:tcPr>
            <w:tcW w:w="1118" w:type="pct"/>
            <w:shd w:val="clear" w:color="auto" w:fill="auto"/>
          </w:tcPr>
          <w:p w14:paraId="6883B927" w14:textId="128A4299" w:rsidR="00EF4356" w:rsidRPr="00EF4356" w:rsidRDefault="00EF4356" w:rsidP="00EF4356">
            <w:pPr>
              <w:pStyle w:val="TableText0"/>
              <w:keepLines/>
              <w:rPr>
                <w:bCs w:val="0"/>
              </w:rPr>
            </w:pPr>
            <w:r>
              <w:rPr>
                <w:rFonts w:cstheme="minorHAnsi"/>
                <w:bCs w:val="0"/>
                <w:szCs w:val="20"/>
              </w:rPr>
              <w:t>Cost to PBS/RPBS</w:t>
            </w:r>
            <w:r w:rsidR="00E85F55">
              <w:rPr>
                <w:rFonts w:cstheme="minorHAnsi"/>
                <w:bCs w:val="0"/>
                <w:szCs w:val="20"/>
              </w:rPr>
              <w:t xml:space="preserve"> ($)</w:t>
            </w:r>
          </w:p>
        </w:tc>
        <w:tc>
          <w:tcPr>
            <w:tcW w:w="647" w:type="pct"/>
            <w:shd w:val="clear" w:color="auto" w:fill="auto"/>
            <w:vAlign w:val="center"/>
          </w:tcPr>
          <w:p w14:paraId="2062EE94" w14:textId="1C2998BF" w:rsidR="00EF4356" w:rsidRPr="00E85F55" w:rsidRDefault="008D4587" w:rsidP="00EF4356">
            <w:pPr>
              <w:pStyle w:val="TableText0"/>
              <w:keepLines/>
              <w:jc w:val="right"/>
              <w:rPr>
                <w:color w:val="000000"/>
                <w:highlight w:val="darkGray"/>
              </w:rPr>
            </w:pPr>
            <w:r w:rsidRPr="008D4587">
              <w:rPr>
                <w:rFonts w:cstheme="minorHAnsi"/>
                <w:color w:val="000000"/>
                <w:szCs w:val="20"/>
                <w:shd w:val="solid" w:color="000000" w:fill="000000"/>
                <w14:textFill>
                  <w14:solidFill>
                    <w14:srgbClr w14:val="000000">
                      <w14:alpha w14:val="100000"/>
                    </w14:srgbClr>
                  </w14:solidFill>
                </w14:textFill>
              </w:rPr>
              <w:t>|</w:t>
            </w:r>
            <w:r w:rsidR="00E85F55">
              <w:rPr>
                <w:color w:val="000000"/>
                <w:vertAlign w:val="superscript"/>
              </w:rPr>
              <w:t>2</w:t>
            </w:r>
          </w:p>
        </w:tc>
        <w:tc>
          <w:tcPr>
            <w:tcW w:w="647" w:type="pct"/>
            <w:shd w:val="clear" w:color="auto" w:fill="auto"/>
            <w:vAlign w:val="center"/>
          </w:tcPr>
          <w:p w14:paraId="0E675C57" w14:textId="70D970B6" w:rsidR="00EF4356" w:rsidRPr="00E85F55" w:rsidRDefault="008D4587" w:rsidP="00EF4356">
            <w:pPr>
              <w:pStyle w:val="TableText0"/>
              <w:keepLines/>
              <w:jc w:val="right"/>
              <w:rPr>
                <w:color w:val="000000"/>
                <w:highlight w:val="darkGray"/>
              </w:rPr>
            </w:pPr>
            <w:r w:rsidRPr="008D4587">
              <w:rPr>
                <w:rFonts w:cstheme="minorHAnsi"/>
                <w:color w:val="000000"/>
                <w:szCs w:val="20"/>
                <w:shd w:val="solid" w:color="000000" w:fill="000000"/>
                <w14:textFill>
                  <w14:solidFill>
                    <w14:srgbClr w14:val="000000">
                      <w14:alpha w14:val="100000"/>
                    </w14:srgbClr>
                  </w14:solidFill>
                </w14:textFill>
              </w:rPr>
              <w:t>|</w:t>
            </w:r>
            <w:r w:rsidR="00E85F55">
              <w:rPr>
                <w:color w:val="000000"/>
                <w:vertAlign w:val="superscript"/>
              </w:rPr>
              <w:t>2</w:t>
            </w:r>
          </w:p>
        </w:tc>
        <w:tc>
          <w:tcPr>
            <w:tcW w:w="647" w:type="pct"/>
            <w:shd w:val="clear" w:color="auto" w:fill="auto"/>
            <w:vAlign w:val="center"/>
          </w:tcPr>
          <w:p w14:paraId="2E4E2E67" w14:textId="1BB28F57" w:rsidR="00EF4356" w:rsidRPr="00E85F55" w:rsidRDefault="008D4587" w:rsidP="00EF4356">
            <w:pPr>
              <w:pStyle w:val="TableText0"/>
              <w:keepLines/>
              <w:jc w:val="right"/>
              <w:rPr>
                <w:color w:val="000000"/>
                <w:highlight w:val="darkGray"/>
              </w:rPr>
            </w:pPr>
            <w:r w:rsidRPr="008D4587">
              <w:rPr>
                <w:rFonts w:cstheme="minorHAnsi"/>
                <w:color w:val="000000"/>
                <w:szCs w:val="20"/>
                <w:shd w:val="solid" w:color="000000" w:fill="000000"/>
                <w14:textFill>
                  <w14:solidFill>
                    <w14:srgbClr w14:val="000000">
                      <w14:alpha w14:val="100000"/>
                    </w14:srgbClr>
                  </w14:solidFill>
                </w14:textFill>
              </w:rPr>
              <w:t>|</w:t>
            </w:r>
            <w:r w:rsidR="00E85F55">
              <w:rPr>
                <w:color w:val="000000"/>
                <w:vertAlign w:val="superscript"/>
              </w:rPr>
              <w:t>2</w:t>
            </w:r>
          </w:p>
        </w:tc>
        <w:tc>
          <w:tcPr>
            <w:tcW w:w="647" w:type="pct"/>
            <w:shd w:val="clear" w:color="auto" w:fill="auto"/>
            <w:vAlign w:val="center"/>
          </w:tcPr>
          <w:p w14:paraId="0856F31F" w14:textId="3F77D271" w:rsidR="00EF4356" w:rsidRPr="00E85F55" w:rsidRDefault="008D4587" w:rsidP="00EF4356">
            <w:pPr>
              <w:pStyle w:val="TableText0"/>
              <w:keepLines/>
              <w:jc w:val="right"/>
              <w:rPr>
                <w:color w:val="000000"/>
                <w:highlight w:val="darkGray"/>
              </w:rPr>
            </w:pPr>
            <w:r w:rsidRPr="008D4587">
              <w:rPr>
                <w:rFonts w:cstheme="minorHAnsi"/>
                <w:color w:val="000000"/>
                <w:szCs w:val="20"/>
                <w:shd w:val="solid" w:color="000000" w:fill="000000"/>
                <w14:textFill>
                  <w14:solidFill>
                    <w14:srgbClr w14:val="000000">
                      <w14:alpha w14:val="100000"/>
                    </w14:srgbClr>
                  </w14:solidFill>
                </w14:textFill>
              </w:rPr>
              <w:t>|</w:t>
            </w:r>
            <w:r w:rsidR="009F029A">
              <w:rPr>
                <w:color w:val="000000"/>
                <w:vertAlign w:val="superscript"/>
              </w:rPr>
              <w:t>2</w:t>
            </w:r>
          </w:p>
        </w:tc>
        <w:tc>
          <w:tcPr>
            <w:tcW w:w="647" w:type="pct"/>
            <w:shd w:val="clear" w:color="auto" w:fill="auto"/>
            <w:vAlign w:val="center"/>
          </w:tcPr>
          <w:p w14:paraId="0AB9AD9A" w14:textId="3D0073C1" w:rsidR="00EF4356" w:rsidRPr="00E85F55" w:rsidRDefault="008D4587" w:rsidP="00EF4356">
            <w:pPr>
              <w:pStyle w:val="TableText0"/>
              <w:keepLines/>
              <w:jc w:val="right"/>
              <w:rPr>
                <w:color w:val="000000"/>
                <w:highlight w:val="darkGray"/>
              </w:rPr>
            </w:pPr>
            <w:r w:rsidRPr="008D4587">
              <w:rPr>
                <w:rFonts w:cstheme="minorHAnsi"/>
                <w:color w:val="000000"/>
                <w:szCs w:val="20"/>
                <w:shd w:val="solid" w:color="000000" w:fill="000000"/>
                <w14:textFill>
                  <w14:solidFill>
                    <w14:srgbClr w14:val="000000">
                      <w14:alpha w14:val="100000"/>
                    </w14:srgbClr>
                  </w14:solidFill>
                </w14:textFill>
              </w:rPr>
              <w:t>|</w:t>
            </w:r>
            <w:r w:rsidR="009F029A">
              <w:rPr>
                <w:color w:val="000000"/>
                <w:vertAlign w:val="superscript"/>
              </w:rPr>
              <w:t>2</w:t>
            </w:r>
          </w:p>
        </w:tc>
        <w:tc>
          <w:tcPr>
            <w:tcW w:w="647" w:type="pct"/>
            <w:vAlign w:val="center"/>
          </w:tcPr>
          <w:p w14:paraId="1045AF69" w14:textId="467AAE4A" w:rsidR="00EF4356" w:rsidRPr="00E85F55" w:rsidRDefault="008D4587" w:rsidP="00EF4356">
            <w:pPr>
              <w:pStyle w:val="TableText0"/>
              <w:keepLines/>
              <w:jc w:val="right"/>
              <w:rPr>
                <w:color w:val="000000"/>
                <w:highlight w:val="darkGray"/>
              </w:rPr>
            </w:pPr>
            <w:r w:rsidRPr="008D4587">
              <w:rPr>
                <w:rFonts w:cstheme="minorHAnsi"/>
                <w:color w:val="000000"/>
                <w:szCs w:val="20"/>
                <w:shd w:val="solid" w:color="000000" w:fill="000000"/>
                <w14:textFill>
                  <w14:solidFill>
                    <w14:srgbClr w14:val="000000">
                      <w14:alpha w14:val="100000"/>
                    </w14:srgbClr>
                  </w14:solidFill>
                </w14:textFill>
              </w:rPr>
              <w:t>|</w:t>
            </w:r>
            <w:r w:rsidR="009F029A">
              <w:rPr>
                <w:color w:val="000000"/>
                <w:vertAlign w:val="superscript"/>
              </w:rPr>
              <w:t>2</w:t>
            </w:r>
          </w:p>
        </w:tc>
      </w:tr>
      <w:tr w:rsidR="00EF4356" w:rsidRPr="008D35F6" w14:paraId="6D842146" w14:textId="77777777" w:rsidTr="00225511">
        <w:trPr>
          <w:cantSplit/>
          <w:jc w:val="center"/>
        </w:trPr>
        <w:tc>
          <w:tcPr>
            <w:tcW w:w="1118" w:type="pct"/>
            <w:shd w:val="clear" w:color="auto" w:fill="auto"/>
          </w:tcPr>
          <w:p w14:paraId="7949B2B9" w14:textId="32570B1E" w:rsidR="00EF4356" w:rsidRPr="00EF4356" w:rsidRDefault="00EF4356" w:rsidP="00EF4356">
            <w:pPr>
              <w:pStyle w:val="TableText0"/>
              <w:keepLines/>
              <w:rPr>
                <w:bCs w:val="0"/>
              </w:rPr>
            </w:pPr>
            <w:r w:rsidRPr="00EF4356">
              <w:rPr>
                <w:rFonts w:cstheme="minorHAnsi"/>
                <w:bCs w:val="0"/>
                <w:szCs w:val="20"/>
              </w:rPr>
              <w:t>Pat</w:t>
            </w:r>
            <w:r>
              <w:rPr>
                <w:rFonts w:cstheme="minorHAnsi"/>
                <w:bCs w:val="0"/>
                <w:szCs w:val="20"/>
              </w:rPr>
              <w:t>ient</w:t>
            </w:r>
            <w:r w:rsidRPr="00EF4356">
              <w:rPr>
                <w:rFonts w:cstheme="minorHAnsi"/>
                <w:bCs w:val="0"/>
                <w:szCs w:val="20"/>
              </w:rPr>
              <w:t xml:space="preserve"> co-pay</w:t>
            </w:r>
            <w:r>
              <w:rPr>
                <w:rFonts w:cstheme="minorHAnsi"/>
                <w:bCs w:val="0"/>
                <w:szCs w:val="20"/>
              </w:rPr>
              <w:t>ment</w:t>
            </w:r>
            <w:r w:rsidR="00E85F55">
              <w:rPr>
                <w:rFonts w:cstheme="minorHAnsi"/>
                <w:bCs w:val="0"/>
                <w:szCs w:val="20"/>
              </w:rPr>
              <w:t xml:space="preserve"> ($)</w:t>
            </w:r>
          </w:p>
        </w:tc>
        <w:tc>
          <w:tcPr>
            <w:tcW w:w="647" w:type="pct"/>
            <w:shd w:val="clear" w:color="auto" w:fill="auto"/>
            <w:vAlign w:val="center"/>
          </w:tcPr>
          <w:p w14:paraId="1B5A5746" w14:textId="211747CF" w:rsidR="00EF4356" w:rsidRPr="00E85F55" w:rsidRDefault="008D4587" w:rsidP="00EF4356">
            <w:pPr>
              <w:pStyle w:val="TableText0"/>
              <w:keepLines/>
              <w:jc w:val="right"/>
              <w:rPr>
                <w:color w:val="000000"/>
                <w:highlight w:val="darkGray"/>
              </w:rPr>
            </w:pPr>
            <w:r w:rsidRPr="008D4587">
              <w:rPr>
                <w:rFonts w:cstheme="minorHAnsi"/>
                <w:color w:val="000000"/>
                <w:szCs w:val="20"/>
                <w:shd w:val="solid" w:color="000000" w:fill="000000"/>
                <w14:textFill>
                  <w14:solidFill>
                    <w14:srgbClr w14:val="000000">
                      <w14:alpha w14:val="100000"/>
                    </w14:srgbClr>
                  </w14:solidFill>
                </w14:textFill>
              </w:rPr>
              <w:t>|</w:t>
            </w:r>
            <w:r w:rsidR="00E85F55">
              <w:rPr>
                <w:color w:val="000000"/>
                <w:vertAlign w:val="superscript"/>
              </w:rPr>
              <w:t>2</w:t>
            </w:r>
          </w:p>
        </w:tc>
        <w:tc>
          <w:tcPr>
            <w:tcW w:w="647" w:type="pct"/>
            <w:shd w:val="clear" w:color="auto" w:fill="auto"/>
            <w:vAlign w:val="center"/>
          </w:tcPr>
          <w:p w14:paraId="73D2D9D7" w14:textId="6AFB5C6C" w:rsidR="00EF4356" w:rsidRPr="00E85F55" w:rsidRDefault="008D4587" w:rsidP="00EF4356">
            <w:pPr>
              <w:pStyle w:val="TableText0"/>
              <w:keepLines/>
              <w:jc w:val="right"/>
              <w:rPr>
                <w:color w:val="000000"/>
                <w:highlight w:val="darkGray"/>
              </w:rPr>
            </w:pPr>
            <w:r w:rsidRPr="008D4587">
              <w:rPr>
                <w:rFonts w:cstheme="minorHAnsi"/>
                <w:color w:val="000000"/>
                <w:szCs w:val="20"/>
                <w:shd w:val="solid" w:color="000000" w:fill="000000"/>
                <w14:textFill>
                  <w14:solidFill>
                    <w14:srgbClr w14:val="000000">
                      <w14:alpha w14:val="100000"/>
                    </w14:srgbClr>
                  </w14:solidFill>
                </w14:textFill>
              </w:rPr>
              <w:t>|</w:t>
            </w:r>
            <w:r w:rsidR="00E85F55">
              <w:rPr>
                <w:color w:val="000000"/>
                <w:vertAlign w:val="superscript"/>
              </w:rPr>
              <w:t>2</w:t>
            </w:r>
          </w:p>
        </w:tc>
        <w:tc>
          <w:tcPr>
            <w:tcW w:w="647" w:type="pct"/>
            <w:shd w:val="clear" w:color="auto" w:fill="auto"/>
            <w:vAlign w:val="center"/>
          </w:tcPr>
          <w:p w14:paraId="7AFBFCE5" w14:textId="13B46E6B" w:rsidR="00EF4356" w:rsidRPr="00E85F55" w:rsidRDefault="008D4587" w:rsidP="00EF4356">
            <w:pPr>
              <w:pStyle w:val="TableText0"/>
              <w:keepLines/>
              <w:jc w:val="right"/>
              <w:rPr>
                <w:color w:val="000000"/>
                <w:highlight w:val="darkGray"/>
              </w:rPr>
            </w:pPr>
            <w:r w:rsidRPr="008D4587">
              <w:rPr>
                <w:rFonts w:cstheme="minorHAnsi"/>
                <w:color w:val="000000"/>
                <w:szCs w:val="20"/>
                <w:shd w:val="solid" w:color="000000" w:fill="000000"/>
                <w14:textFill>
                  <w14:solidFill>
                    <w14:srgbClr w14:val="000000">
                      <w14:alpha w14:val="100000"/>
                    </w14:srgbClr>
                  </w14:solidFill>
                </w14:textFill>
              </w:rPr>
              <w:t>|</w:t>
            </w:r>
            <w:r w:rsidR="00E85F55">
              <w:rPr>
                <w:color w:val="000000"/>
                <w:vertAlign w:val="superscript"/>
              </w:rPr>
              <w:t>2</w:t>
            </w:r>
          </w:p>
        </w:tc>
        <w:tc>
          <w:tcPr>
            <w:tcW w:w="647" w:type="pct"/>
            <w:shd w:val="clear" w:color="auto" w:fill="auto"/>
            <w:vAlign w:val="center"/>
          </w:tcPr>
          <w:p w14:paraId="3021DDB2" w14:textId="0C7FE119" w:rsidR="00EF4356" w:rsidRPr="00E85F55" w:rsidRDefault="008D4587" w:rsidP="00EF4356">
            <w:pPr>
              <w:pStyle w:val="TableText0"/>
              <w:keepLines/>
              <w:jc w:val="right"/>
              <w:rPr>
                <w:color w:val="000000"/>
                <w:highlight w:val="darkGray"/>
              </w:rPr>
            </w:pPr>
            <w:r w:rsidRPr="008D4587">
              <w:rPr>
                <w:rFonts w:cstheme="minorHAnsi"/>
                <w:color w:val="000000"/>
                <w:szCs w:val="20"/>
                <w:shd w:val="solid" w:color="000000" w:fill="000000"/>
                <w14:textFill>
                  <w14:solidFill>
                    <w14:srgbClr w14:val="000000">
                      <w14:alpha w14:val="100000"/>
                    </w14:srgbClr>
                  </w14:solidFill>
                </w14:textFill>
              </w:rPr>
              <w:t>|</w:t>
            </w:r>
            <w:r w:rsidR="009F029A">
              <w:rPr>
                <w:color w:val="000000"/>
                <w:vertAlign w:val="superscript"/>
              </w:rPr>
              <w:t>2</w:t>
            </w:r>
          </w:p>
        </w:tc>
        <w:tc>
          <w:tcPr>
            <w:tcW w:w="647" w:type="pct"/>
            <w:shd w:val="clear" w:color="auto" w:fill="auto"/>
            <w:vAlign w:val="center"/>
          </w:tcPr>
          <w:p w14:paraId="1E42BCEC" w14:textId="2ED00010" w:rsidR="00EF4356" w:rsidRPr="00E85F55" w:rsidRDefault="008D4587" w:rsidP="00EF4356">
            <w:pPr>
              <w:pStyle w:val="TableText0"/>
              <w:keepLines/>
              <w:jc w:val="right"/>
              <w:rPr>
                <w:color w:val="000000"/>
                <w:highlight w:val="darkGray"/>
              </w:rPr>
            </w:pPr>
            <w:r w:rsidRPr="008D4587">
              <w:rPr>
                <w:rFonts w:cstheme="minorHAnsi"/>
                <w:color w:val="000000"/>
                <w:szCs w:val="20"/>
                <w:shd w:val="solid" w:color="000000" w:fill="000000"/>
                <w14:textFill>
                  <w14:solidFill>
                    <w14:srgbClr w14:val="000000">
                      <w14:alpha w14:val="100000"/>
                    </w14:srgbClr>
                  </w14:solidFill>
                </w14:textFill>
              </w:rPr>
              <w:t>|</w:t>
            </w:r>
            <w:r w:rsidR="009F029A">
              <w:rPr>
                <w:color w:val="000000"/>
                <w:vertAlign w:val="superscript"/>
              </w:rPr>
              <w:t>2</w:t>
            </w:r>
          </w:p>
        </w:tc>
        <w:tc>
          <w:tcPr>
            <w:tcW w:w="647" w:type="pct"/>
            <w:vAlign w:val="center"/>
          </w:tcPr>
          <w:p w14:paraId="0156799D" w14:textId="4FB7E6D8" w:rsidR="00EF4356" w:rsidRPr="00E85F55" w:rsidRDefault="008D4587" w:rsidP="00EF4356">
            <w:pPr>
              <w:pStyle w:val="TableText0"/>
              <w:keepLines/>
              <w:jc w:val="right"/>
              <w:rPr>
                <w:color w:val="000000"/>
                <w:highlight w:val="darkGray"/>
              </w:rPr>
            </w:pPr>
            <w:r w:rsidRPr="008D4587">
              <w:rPr>
                <w:rFonts w:cstheme="minorHAnsi"/>
                <w:color w:val="000000"/>
                <w:szCs w:val="20"/>
                <w:shd w:val="solid" w:color="000000" w:fill="000000"/>
                <w14:textFill>
                  <w14:solidFill>
                    <w14:srgbClr w14:val="000000">
                      <w14:alpha w14:val="100000"/>
                    </w14:srgbClr>
                  </w14:solidFill>
                </w14:textFill>
              </w:rPr>
              <w:t>|</w:t>
            </w:r>
            <w:r w:rsidR="009F029A">
              <w:rPr>
                <w:color w:val="000000"/>
                <w:vertAlign w:val="superscript"/>
              </w:rPr>
              <w:t>2</w:t>
            </w:r>
          </w:p>
        </w:tc>
      </w:tr>
      <w:tr w:rsidR="00EF4356" w:rsidRPr="008D35F6" w14:paraId="12DB60E0" w14:textId="77777777" w:rsidTr="00225511">
        <w:trPr>
          <w:cantSplit/>
          <w:jc w:val="center"/>
        </w:trPr>
        <w:tc>
          <w:tcPr>
            <w:tcW w:w="1118" w:type="pct"/>
            <w:shd w:val="clear" w:color="auto" w:fill="auto"/>
          </w:tcPr>
          <w:p w14:paraId="26C85B27" w14:textId="7DE66E67" w:rsidR="00EF4356" w:rsidRPr="00EF4356" w:rsidRDefault="00EF4356" w:rsidP="00EF4356">
            <w:pPr>
              <w:pStyle w:val="TableText0"/>
              <w:keepLines/>
              <w:rPr>
                <w:bCs w:val="0"/>
              </w:rPr>
            </w:pPr>
            <w:r>
              <w:rPr>
                <w:rFonts w:cstheme="minorHAnsi"/>
                <w:bCs w:val="0"/>
                <w:szCs w:val="20"/>
              </w:rPr>
              <w:t>Cost to PBS/RPBS less co-payment</w:t>
            </w:r>
            <w:r w:rsidR="00E85F55">
              <w:rPr>
                <w:rFonts w:cstheme="minorHAnsi"/>
                <w:bCs w:val="0"/>
                <w:szCs w:val="20"/>
              </w:rPr>
              <w:t xml:space="preserve"> ($)</w:t>
            </w:r>
          </w:p>
        </w:tc>
        <w:tc>
          <w:tcPr>
            <w:tcW w:w="647" w:type="pct"/>
            <w:shd w:val="clear" w:color="auto" w:fill="auto"/>
            <w:vAlign w:val="center"/>
          </w:tcPr>
          <w:p w14:paraId="6F5DB1B8" w14:textId="3A123E87" w:rsidR="00EF4356" w:rsidRPr="00E85F55" w:rsidRDefault="008D4587" w:rsidP="00EF4356">
            <w:pPr>
              <w:pStyle w:val="TableText0"/>
              <w:keepLines/>
              <w:jc w:val="right"/>
              <w:rPr>
                <w:color w:val="000000"/>
                <w:highlight w:val="darkGray"/>
              </w:rPr>
            </w:pPr>
            <w:r w:rsidRPr="008D4587">
              <w:rPr>
                <w:rFonts w:cstheme="minorHAnsi"/>
                <w:color w:val="000000"/>
                <w:szCs w:val="20"/>
                <w:shd w:val="solid" w:color="000000" w:fill="000000"/>
                <w14:textFill>
                  <w14:solidFill>
                    <w14:srgbClr w14:val="000000">
                      <w14:alpha w14:val="100000"/>
                    </w14:srgbClr>
                  </w14:solidFill>
                </w14:textFill>
              </w:rPr>
              <w:t>|</w:t>
            </w:r>
            <w:r w:rsidR="00E85F55">
              <w:rPr>
                <w:color w:val="000000"/>
                <w:vertAlign w:val="superscript"/>
              </w:rPr>
              <w:t>2</w:t>
            </w:r>
          </w:p>
        </w:tc>
        <w:tc>
          <w:tcPr>
            <w:tcW w:w="647" w:type="pct"/>
            <w:shd w:val="clear" w:color="auto" w:fill="auto"/>
            <w:vAlign w:val="center"/>
          </w:tcPr>
          <w:p w14:paraId="7877D5C7" w14:textId="754178CD" w:rsidR="00EF4356" w:rsidRPr="00E85F55" w:rsidRDefault="008D4587" w:rsidP="00EF4356">
            <w:pPr>
              <w:pStyle w:val="TableText0"/>
              <w:keepLines/>
              <w:jc w:val="right"/>
              <w:rPr>
                <w:color w:val="000000"/>
                <w:highlight w:val="darkGray"/>
              </w:rPr>
            </w:pPr>
            <w:r w:rsidRPr="008D4587">
              <w:rPr>
                <w:rFonts w:cstheme="minorHAnsi"/>
                <w:color w:val="000000"/>
                <w:szCs w:val="20"/>
                <w:shd w:val="solid" w:color="000000" w:fill="000000"/>
                <w14:textFill>
                  <w14:solidFill>
                    <w14:srgbClr w14:val="000000">
                      <w14:alpha w14:val="100000"/>
                    </w14:srgbClr>
                  </w14:solidFill>
                </w14:textFill>
              </w:rPr>
              <w:t>|</w:t>
            </w:r>
            <w:r w:rsidR="00E85F55">
              <w:rPr>
                <w:color w:val="000000"/>
                <w:vertAlign w:val="superscript"/>
              </w:rPr>
              <w:t>2</w:t>
            </w:r>
          </w:p>
        </w:tc>
        <w:tc>
          <w:tcPr>
            <w:tcW w:w="647" w:type="pct"/>
            <w:shd w:val="clear" w:color="auto" w:fill="auto"/>
            <w:vAlign w:val="center"/>
          </w:tcPr>
          <w:p w14:paraId="28512FE7" w14:textId="5D0EF010" w:rsidR="00EF4356" w:rsidRPr="00E85F55" w:rsidRDefault="008D4587" w:rsidP="00EF4356">
            <w:pPr>
              <w:pStyle w:val="TableText0"/>
              <w:keepLines/>
              <w:jc w:val="right"/>
              <w:rPr>
                <w:color w:val="000000"/>
                <w:highlight w:val="darkGray"/>
              </w:rPr>
            </w:pPr>
            <w:r w:rsidRPr="008D4587">
              <w:rPr>
                <w:rFonts w:cstheme="minorHAnsi"/>
                <w:color w:val="000000"/>
                <w:szCs w:val="20"/>
                <w:shd w:val="solid" w:color="000000" w:fill="000000"/>
                <w14:textFill>
                  <w14:solidFill>
                    <w14:srgbClr w14:val="000000">
                      <w14:alpha w14:val="100000"/>
                    </w14:srgbClr>
                  </w14:solidFill>
                </w14:textFill>
              </w:rPr>
              <w:t>|</w:t>
            </w:r>
            <w:r w:rsidR="00E85F55">
              <w:rPr>
                <w:color w:val="000000"/>
                <w:vertAlign w:val="superscript"/>
              </w:rPr>
              <w:t>2</w:t>
            </w:r>
          </w:p>
        </w:tc>
        <w:tc>
          <w:tcPr>
            <w:tcW w:w="647" w:type="pct"/>
            <w:shd w:val="clear" w:color="auto" w:fill="auto"/>
            <w:vAlign w:val="center"/>
          </w:tcPr>
          <w:p w14:paraId="4DA76717" w14:textId="1326F388" w:rsidR="00EF4356" w:rsidRPr="00E85F55" w:rsidRDefault="008D4587" w:rsidP="00EF4356">
            <w:pPr>
              <w:pStyle w:val="TableText0"/>
              <w:keepLines/>
              <w:jc w:val="right"/>
              <w:rPr>
                <w:color w:val="000000"/>
                <w:highlight w:val="darkGray"/>
              </w:rPr>
            </w:pPr>
            <w:r w:rsidRPr="008D4587">
              <w:rPr>
                <w:rFonts w:cstheme="minorHAnsi"/>
                <w:color w:val="000000"/>
                <w:szCs w:val="20"/>
                <w:shd w:val="solid" w:color="000000" w:fill="000000"/>
                <w14:textFill>
                  <w14:solidFill>
                    <w14:srgbClr w14:val="000000">
                      <w14:alpha w14:val="100000"/>
                    </w14:srgbClr>
                  </w14:solidFill>
                </w14:textFill>
              </w:rPr>
              <w:t>|</w:t>
            </w:r>
            <w:r w:rsidR="009F029A">
              <w:rPr>
                <w:color w:val="000000"/>
                <w:vertAlign w:val="superscript"/>
              </w:rPr>
              <w:t>2</w:t>
            </w:r>
          </w:p>
        </w:tc>
        <w:tc>
          <w:tcPr>
            <w:tcW w:w="647" w:type="pct"/>
            <w:shd w:val="clear" w:color="auto" w:fill="auto"/>
            <w:vAlign w:val="center"/>
          </w:tcPr>
          <w:p w14:paraId="2A2AC3B6" w14:textId="5E48B0FB" w:rsidR="00EF4356" w:rsidRPr="00E85F55" w:rsidRDefault="008D4587" w:rsidP="00EF4356">
            <w:pPr>
              <w:pStyle w:val="TableText0"/>
              <w:keepLines/>
              <w:jc w:val="right"/>
              <w:rPr>
                <w:color w:val="000000"/>
                <w:highlight w:val="darkGray"/>
              </w:rPr>
            </w:pPr>
            <w:r w:rsidRPr="008D4587">
              <w:rPr>
                <w:rFonts w:cstheme="minorHAnsi"/>
                <w:color w:val="000000"/>
                <w:szCs w:val="20"/>
                <w:shd w:val="solid" w:color="000000" w:fill="000000"/>
                <w14:textFill>
                  <w14:solidFill>
                    <w14:srgbClr w14:val="000000">
                      <w14:alpha w14:val="100000"/>
                    </w14:srgbClr>
                  </w14:solidFill>
                </w14:textFill>
              </w:rPr>
              <w:t>|</w:t>
            </w:r>
            <w:r w:rsidR="009F029A">
              <w:rPr>
                <w:color w:val="000000"/>
                <w:vertAlign w:val="superscript"/>
              </w:rPr>
              <w:t>2</w:t>
            </w:r>
          </w:p>
        </w:tc>
        <w:tc>
          <w:tcPr>
            <w:tcW w:w="647" w:type="pct"/>
            <w:vAlign w:val="center"/>
          </w:tcPr>
          <w:p w14:paraId="45A2D53D" w14:textId="5B55B90A" w:rsidR="00EF4356" w:rsidRPr="00E85F55" w:rsidRDefault="008D4587" w:rsidP="00EF4356">
            <w:pPr>
              <w:pStyle w:val="TableText0"/>
              <w:keepLines/>
              <w:jc w:val="right"/>
              <w:rPr>
                <w:color w:val="000000"/>
                <w:highlight w:val="darkGray"/>
              </w:rPr>
            </w:pPr>
            <w:r w:rsidRPr="008D4587">
              <w:rPr>
                <w:rFonts w:cstheme="minorHAnsi"/>
                <w:color w:val="000000"/>
                <w:szCs w:val="20"/>
                <w:shd w:val="solid" w:color="000000" w:fill="000000"/>
                <w14:textFill>
                  <w14:solidFill>
                    <w14:srgbClr w14:val="000000">
                      <w14:alpha w14:val="100000"/>
                    </w14:srgbClr>
                  </w14:solidFill>
                </w14:textFill>
              </w:rPr>
              <w:t>|</w:t>
            </w:r>
            <w:r w:rsidR="009F029A">
              <w:rPr>
                <w:color w:val="000000"/>
                <w:vertAlign w:val="superscript"/>
              </w:rPr>
              <w:t>2</w:t>
            </w:r>
          </w:p>
        </w:tc>
      </w:tr>
      <w:tr w:rsidR="00EF4356" w:rsidRPr="008D35F6" w14:paraId="6EBD1C62" w14:textId="77777777" w:rsidTr="00EF4356">
        <w:trPr>
          <w:cantSplit/>
          <w:jc w:val="center"/>
        </w:trPr>
        <w:tc>
          <w:tcPr>
            <w:tcW w:w="5000" w:type="pct"/>
            <w:gridSpan w:val="7"/>
            <w:shd w:val="clear" w:color="auto" w:fill="auto"/>
          </w:tcPr>
          <w:p w14:paraId="793B3069" w14:textId="3899908F" w:rsidR="00EF4356" w:rsidRPr="003E2E98" w:rsidRDefault="00EF4356" w:rsidP="00EF4356">
            <w:pPr>
              <w:pStyle w:val="TableText0"/>
              <w:keepLines/>
              <w:rPr>
                <w:rFonts w:cstheme="minorHAnsi"/>
                <w:color w:val="000000"/>
                <w:szCs w:val="20"/>
              </w:rPr>
            </w:pPr>
            <w:r w:rsidRPr="003E2E98">
              <w:rPr>
                <w:rFonts w:cstheme="minorHAnsi"/>
                <w:b/>
                <w:szCs w:val="20"/>
              </w:rPr>
              <w:t>SPA Rebate</w:t>
            </w:r>
            <w:r w:rsidR="00E85F55">
              <w:rPr>
                <w:rFonts w:cstheme="minorHAnsi"/>
                <w:b/>
                <w:szCs w:val="20"/>
              </w:rPr>
              <w:t xml:space="preserve"> </w:t>
            </w:r>
            <w:r w:rsidR="00E85F55">
              <w:rPr>
                <w:rFonts w:cstheme="minorHAnsi"/>
                <w:bCs w:val="0"/>
                <w:szCs w:val="20"/>
              </w:rPr>
              <w:t>($)</w:t>
            </w:r>
          </w:p>
        </w:tc>
      </w:tr>
      <w:tr w:rsidR="00EF4356" w:rsidRPr="008D35F6" w14:paraId="7ADF8572" w14:textId="77777777" w:rsidTr="00225511">
        <w:trPr>
          <w:cantSplit/>
          <w:jc w:val="center"/>
        </w:trPr>
        <w:tc>
          <w:tcPr>
            <w:tcW w:w="1118" w:type="pct"/>
            <w:shd w:val="clear" w:color="auto" w:fill="auto"/>
          </w:tcPr>
          <w:p w14:paraId="2B4C8C33" w14:textId="55BB2938" w:rsidR="00EF4356" w:rsidRDefault="00EF4356" w:rsidP="00EF4356">
            <w:pPr>
              <w:pStyle w:val="TableText0"/>
              <w:keepLines/>
              <w:rPr>
                <w:rFonts w:cstheme="minorHAnsi"/>
                <w:bCs w:val="0"/>
                <w:szCs w:val="20"/>
              </w:rPr>
            </w:pPr>
          </w:p>
        </w:tc>
        <w:tc>
          <w:tcPr>
            <w:tcW w:w="647" w:type="pct"/>
            <w:shd w:val="clear" w:color="auto" w:fill="auto"/>
            <w:vAlign w:val="center"/>
          </w:tcPr>
          <w:p w14:paraId="32AB575F" w14:textId="22F593AA" w:rsidR="00EF4356" w:rsidRPr="00E85F55" w:rsidRDefault="008D4587" w:rsidP="00EF4356">
            <w:pPr>
              <w:pStyle w:val="TableText0"/>
              <w:keepLines/>
              <w:jc w:val="right"/>
              <w:rPr>
                <w:rFonts w:cstheme="minorHAnsi"/>
                <w:color w:val="000000"/>
                <w:szCs w:val="20"/>
                <w:highlight w:val="darkGray"/>
              </w:rPr>
            </w:pPr>
            <w:r w:rsidRPr="008D4587">
              <w:rPr>
                <w:rFonts w:cstheme="minorHAnsi"/>
                <w:color w:val="000000"/>
                <w:szCs w:val="20"/>
                <w:shd w:val="solid" w:color="000000" w:fill="000000"/>
                <w14:textFill>
                  <w14:solidFill>
                    <w14:srgbClr w14:val="000000">
                      <w14:alpha w14:val="100000"/>
                    </w14:srgbClr>
                  </w14:solidFill>
                </w14:textFill>
              </w:rPr>
              <w:t>|</w:t>
            </w:r>
            <w:r w:rsidR="00E85F55">
              <w:rPr>
                <w:color w:val="000000"/>
                <w:vertAlign w:val="superscript"/>
              </w:rPr>
              <w:t>2</w:t>
            </w:r>
          </w:p>
        </w:tc>
        <w:tc>
          <w:tcPr>
            <w:tcW w:w="647" w:type="pct"/>
            <w:shd w:val="clear" w:color="auto" w:fill="auto"/>
            <w:vAlign w:val="center"/>
          </w:tcPr>
          <w:p w14:paraId="72439EFE" w14:textId="6A67C234" w:rsidR="00EF4356" w:rsidRPr="00E85F55" w:rsidRDefault="008D4587" w:rsidP="00EF4356">
            <w:pPr>
              <w:pStyle w:val="TableText0"/>
              <w:keepLines/>
              <w:jc w:val="right"/>
              <w:rPr>
                <w:rFonts w:cstheme="minorHAnsi"/>
                <w:color w:val="000000"/>
                <w:szCs w:val="20"/>
                <w:highlight w:val="darkGray"/>
              </w:rPr>
            </w:pPr>
            <w:r w:rsidRPr="008D4587">
              <w:rPr>
                <w:rFonts w:cstheme="minorHAnsi"/>
                <w:color w:val="000000"/>
                <w:szCs w:val="20"/>
                <w:shd w:val="solid" w:color="000000" w:fill="000000"/>
                <w14:textFill>
                  <w14:solidFill>
                    <w14:srgbClr w14:val="000000">
                      <w14:alpha w14:val="100000"/>
                    </w14:srgbClr>
                  </w14:solidFill>
                </w14:textFill>
              </w:rPr>
              <w:t>|</w:t>
            </w:r>
            <w:r w:rsidR="00E85F55">
              <w:rPr>
                <w:color w:val="000000"/>
                <w:vertAlign w:val="superscript"/>
              </w:rPr>
              <w:t>2</w:t>
            </w:r>
          </w:p>
        </w:tc>
        <w:tc>
          <w:tcPr>
            <w:tcW w:w="647" w:type="pct"/>
            <w:shd w:val="clear" w:color="auto" w:fill="auto"/>
            <w:vAlign w:val="center"/>
          </w:tcPr>
          <w:p w14:paraId="27375B0E" w14:textId="629C6D20" w:rsidR="00EF4356" w:rsidRPr="00E85F55" w:rsidRDefault="008D4587" w:rsidP="00EF4356">
            <w:pPr>
              <w:pStyle w:val="TableText0"/>
              <w:keepLines/>
              <w:jc w:val="right"/>
              <w:rPr>
                <w:rFonts w:cstheme="minorHAnsi"/>
                <w:color w:val="000000"/>
                <w:szCs w:val="20"/>
                <w:highlight w:val="darkGray"/>
              </w:rPr>
            </w:pPr>
            <w:r w:rsidRPr="008D4587">
              <w:rPr>
                <w:rFonts w:cstheme="minorHAnsi"/>
                <w:color w:val="000000"/>
                <w:szCs w:val="20"/>
                <w:shd w:val="solid" w:color="000000" w:fill="000000"/>
                <w14:textFill>
                  <w14:solidFill>
                    <w14:srgbClr w14:val="000000">
                      <w14:alpha w14:val="100000"/>
                    </w14:srgbClr>
                  </w14:solidFill>
                </w14:textFill>
              </w:rPr>
              <w:t>|</w:t>
            </w:r>
            <w:r w:rsidR="00E85F55">
              <w:rPr>
                <w:color w:val="000000"/>
                <w:vertAlign w:val="superscript"/>
              </w:rPr>
              <w:t>2</w:t>
            </w:r>
          </w:p>
        </w:tc>
        <w:tc>
          <w:tcPr>
            <w:tcW w:w="647" w:type="pct"/>
            <w:shd w:val="clear" w:color="auto" w:fill="auto"/>
            <w:vAlign w:val="center"/>
          </w:tcPr>
          <w:p w14:paraId="11ACE767" w14:textId="1FFE6681" w:rsidR="00EF4356" w:rsidRPr="00E85F55" w:rsidRDefault="008D4587" w:rsidP="00EF4356">
            <w:pPr>
              <w:pStyle w:val="TableText0"/>
              <w:keepLines/>
              <w:jc w:val="right"/>
              <w:rPr>
                <w:rFonts w:cstheme="minorHAnsi"/>
                <w:color w:val="000000"/>
                <w:szCs w:val="20"/>
                <w:highlight w:val="darkGray"/>
              </w:rPr>
            </w:pPr>
            <w:r w:rsidRPr="008D4587">
              <w:rPr>
                <w:rFonts w:cstheme="minorHAnsi"/>
                <w:color w:val="000000"/>
                <w:szCs w:val="20"/>
                <w:shd w:val="solid" w:color="000000" w:fill="000000"/>
                <w14:textFill>
                  <w14:solidFill>
                    <w14:srgbClr w14:val="000000">
                      <w14:alpha w14:val="100000"/>
                    </w14:srgbClr>
                  </w14:solidFill>
                </w14:textFill>
              </w:rPr>
              <w:t>|</w:t>
            </w:r>
            <w:r w:rsidR="009F029A">
              <w:rPr>
                <w:color w:val="000000"/>
                <w:vertAlign w:val="superscript"/>
              </w:rPr>
              <w:t>2</w:t>
            </w:r>
          </w:p>
        </w:tc>
        <w:tc>
          <w:tcPr>
            <w:tcW w:w="647" w:type="pct"/>
            <w:shd w:val="clear" w:color="auto" w:fill="auto"/>
            <w:vAlign w:val="center"/>
          </w:tcPr>
          <w:p w14:paraId="3136208D" w14:textId="6CAC847E" w:rsidR="00EF4356" w:rsidRPr="00E85F55" w:rsidRDefault="008D4587" w:rsidP="00EF4356">
            <w:pPr>
              <w:pStyle w:val="TableText0"/>
              <w:keepLines/>
              <w:jc w:val="right"/>
              <w:rPr>
                <w:rFonts w:cstheme="minorHAnsi"/>
                <w:color w:val="000000"/>
                <w:szCs w:val="20"/>
                <w:highlight w:val="darkGray"/>
              </w:rPr>
            </w:pPr>
            <w:r w:rsidRPr="008D4587">
              <w:rPr>
                <w:rFonts w:cstheme="minorHAnsi"/>
                <w:color w:val="000000"/>
                <w:szCs w:val="20"/>
                <w:shd w:val="solid" w:color="000000" w:fill="000000"/>
                <w14:textFill>
                  <w14:solidFill>
                    <w14:srgbClr w14:val="000000">
                      <w14:alpha w14:val="100000"/>
                    </w14:srgbClr>
                  </w14:solidFill>
                </w14:textFill>
              </w:rPr>
              <w:t>|</w:t>
            </w:r>
            <w:r w:rsidR="009F029A">
              <w:rPr>
                <w:color w:val="000000"/>
                <w:vertAlign w:val="superscript"/>
              </w:rPr>
              <w:t>2</w:t>
            </w:r>
          </w:p>
        </w:tc>
        <w:tc>
          <w:tcPr>
            <w:tcW w:w="647" w:type="pct"/>
            <w:vAlign w:val="center"/>
          </w:tcPr>
          <w:p w14:paraId="048B9BAA" w14:textId="2BE8953D" w:rsidR="00EF4356" w:rsidRPr="00E85F55" w:rsidRDefault="008D4587" w:rsidP="00EF4356">
            <w:pPr>
              <w:pStyle w:val="TableText0"/>
              <w:keepLines/>
              <w:jc w:val="right"/>
              <w:rPr>
                <w:rFonts w:cstheme="minorHAnsi"/>
                <w:color w:val="000000"/>
                <w:szCs w:val="20"/>
                <w:highlight w:val="darkGray"/>
              </w:rPr>
            </w:pPr>
            <w:r w:rsidRPr="008D4587">
              <w:rPr>
                <w:rFonts w:cstheme="minorHAnsi"/>
                <w:color w:val="000000"/>
                <w:szCs w:val="20"/>
                <w:shd w:val="solid" w:color="000000" w:fill="000000"/>
                <w14:textFill>
                  <w14:solidFill>
                    <w14:srgbClr w14:val="000000">
                      <w14:alpha w14:val="100000"/>
                    </w14:srgbClr>
                  </w14:solidFill>
                </w14:textFill>
              </w:rPr>
              <w:t>|</w:t>
            </w:r>
            <w:r w:rsidR="009F029A">
              <w:rPr>
                <w:color w:val="000000"/>
                <w:vertAlign w:val="superscript"/>
              </w:rPr>
              <w:t>2</w:t>
            </w:r>
          </w:p>
        </w:tc>
      </w:tr>
      <w:tr w:rsidR="000C1AFF" w:rsidRPr="00197F03" w14:paraId="046AEB1E" w14:textId="77777777" w:rsidTr="001C20E1">
        <w:trPr>
          <w:cantSplit/>
          <w:jc w:val="center"/>
        </w:trPr>
        <w:tc>
          <w:tcPr>
            <w:tcW w:w="5000" w:type="pct"/>
            <w:gridSpan w:val="7"/>
            <w:shd w:val="clear" w:color="auto" w:fill="auto"/>
            <w:vAlign w:val="center"/>
          </w:tcPr>
          <w:p w14:paraId="750CBAE5" w14:textId="31D4972E" w:rsidR="000C1AFF" w:rsidRPr="00167C39" w:rsidRDefault="000C1AFF" w:rsidP="001C20E1">
            <w:pPr>
              <w:pStyle w:val="TableText0"/>
              <w:keepLines/>
              <w:rPr>
                <w:b/>
                <w:color w:val="000000"/>
              </w:rPr>
            </w:pPr>
            <w:r>
              <w:rPr>
                <w:b/>
                <w:color w:val="000000"/>
              </w:rPr>
              <w:t xml:space="preserve">Estimated financial implications of </w:t>
            </w:r>
            <w:r w:rsidR="00906225">
              <w:rPr>
                <w:b/>
                <w:color w:val="000000"/>
              </w:rPr>
              <w:t>the grandfather restriction for tildrakizumab</w:t>
            </w:r>
            <w:r w:rsidR="00EF4356">
              <w:rPr>
                <w:b/>
                <w:color w:val="000000"/>
              </w:rPr>
              <w:t xml:space="preserve"> (effective AEMP)</w:t>
            </w:r>
          </w:p>
        </w:tc>
      </w:tr>
      <w:tr w:rsidR="00906225" w:rsidRPr="00197F03" w14:paraId="3993658E" w14:textId="77777777" w:rsidTr="007836D9">
        <w:trPr>
          <w:cantSplit/>
          <w:jc w:val="center"/>
        </w:trPr>
        <w:tc>
          <w:tcPr>
            <w:tcW w:w="1118" w:type="pct"/>
            <w:shd w:val="clear" w:color="auto" w:fill="auto"/>
            <w:vAlign w:val="center"/>
          </w:tcPr>
          <w:p w14:paraId="375802A8" w14:textId="4E5B42EC" w:rsidR="00906225" w:rsidRPr="00167C39" w:rsidRDefault="00906225" w:rsidP="00906225">
            <w:pPr>
              <w:pStyle w:val="TableText0"/>
              <w:keepLines/>
            </w:pPr>
            <w:r>
              <w:t>Cost to PBS/RPBS less co-payment</w:t>
            </w:r>
            <w:r w:rsidR="00E85F55">
              <w:t xml:space="preserve"> </w:t>
            </w:r>
            <w:r w:rsidR="00E85F55">
              <w:rPr>
                <w:rFonts w:cstheme="minorHAnsi"/>
                <w:bCs w:val="0"/>
                <w:szCs w:val="20"/>
              </w:rPr>
              <w:t>($)</w:t>
            </w:r>
          </w:p>
        </w:tc>
        <w:tc>
          <w:tcPr>
            <w:tcW w:w="647" w:type="pct"/>
            <w:shd w:val="clear" w:color="auto" w:fill="auto"/>
          </w:tcPr>
          <w:p w14:paraId="466AAD3D" w14:textId="238CCE95" w:rsidR="00906225" w:rsidRPr="00E85F55" w:rsidRDefault="008D4587" w:rsidP="00906225">
            <w:pPr>
              <w:pStyle w:val="TableText0"/>
              <w:keepLines/>
              <w:jc w:val="right"/>
              <w:rPr>
                <w:color w:val="000000"/>
                <w:highlight w:val="darkGray"/>
              </w:rPr>
            </w:pPr>
            <w:r w:rsidRPr="008D4587">
              <w:rPr>
                <w:color w:val="000000"/>
                <w:shd w:val="solid" w:color="000000" w:fill="000000"/>
                <w14:textFill>
                  <w14:solidFill>
                    <w14:srgbClr w14:val="000000">
                      <w14:alpha w14:val="100000"/>
                    </w14:srgbClr>
                  </w14:solidFill>
                </w14:textFill>
              </w:rPr>
              <w:t>|</w:t>
            </w:r>
            <w:r w:rsidR="00E85F55">
              <w:rPr>
                <w:color w:val="000000"/>
                <w:vertAlign w:val="superscript"/>
              </w:rPr>
              <w:t>2</w:t>
            </w:r>
          </w:p>
        </w:tc>
        <w:tc>
          <w:tcPr>
            <w:tcW w:w="647" w:type="pct"/>
            <w:shd w:val="clear" w:color="auto" w:fill="auto"/>
          </w:tcPr>
          <w:p w14:paraId="0584DE92" w14:textId="08D92136" w:rsidR="00906225" w:rsidRPr="00E85F55" w:rsidRDefault="008D4587" w:rsidP="00906225">
            <w:pPr>
              <w:pStyle w:val="TableText0"/>
              <w:keepLines/>
              <w:jc w:val="right"/>
              <w:rPr>
                <w:color w:val="000000"/>
                <w:highlight w:val="darkGray"/>
              </w:rPr>
            </w:pPr>
            <w:r w:rsidRPr="008D4587">
              <w:rPr>
                <w:color w:val="000000"/>
                <w:shd w:val="solid" w:color="000000" w:fill="000000"/>
                <w14:textFill>
                  <w14:solidFill>
                    <w14:srgbClr w14:val="000000">
                      <w14:alpha w14:val="100000"/>
                    </w14:srgbClr>
                  </w14:solidFill>
                </w14:textFill>
              </w:rPr>
              <w:t>|</w:t>
            </w:r>
            <w:r w:rsidR="00E85F55">
              <w:rPr>
                <w:color w:val="000000"/>
                <w:vertAlign w:val="superscript"/>
              </w:rPr>
              <w:t>2</w:t>
            </w:r>
          </w:p>
        </w:tc>
        <w:tc>
          <w:tcPr>
            <w:tcW w:w="647" w:type="pct"/>
            <w:shd w:val="clear" w:color="auto" w:fill="auto"/>
          </w:tcPr>
          <w:p w14:paraId="555B3F9C" w14:textId="019F9E90" w:rsidR="00906225" w:rsidRPr="00E85F55" w:rsidRDefault="008D4587" w:rsidP="00906225">
            <w:pPr>
              <w:pStyle w:val="TableText0"/>
              <w:keepLines/>
              <w:jc w:val="right"/>
              <w:rPr>
                <w:color w:val="000000"/>
                <w:highlight w:val="darkGray"/>
              </w:rPr>
            </w:pPr>
            <w:r w:rsidRPr="008D4587">
              <w:rPr>
                <w:color w:val="000000"/>
                <w:shd w:val="solid" w:color="000000" w:fill="000000"/>
                <w14:textFill>
                  <w14:solidFill>
                    <w14:srgbClr w14:val="000000">
                      <w14:alpha w14:val="100000"/>
                    </w14:srgbClr>
                  </w14:solidFill>
                </w14:textFill>
              </w:rPr>
              <w:t>|</w:t>
            </w:r>
            <w:r w:rsidR="00E85F55">
              <w:rPr>
                <w:color w:val="000000"/>
                <w:vertAlign w:val="superscript"/>
              </w:rPr>
              <w:t>2</w:t>
            </w:r>
          </w:p>
        </w:tc>
        <w:tc>
          <w:tcPr>
            <w:tcW w:w="647" w:type="pct"/>
            <w:shd w:val="clear" w:color="auto" w:fill="auto"/>
          </w:tcPr>
          <w:p w14:paraId="28A422D5" w14:textId="728DAC02" w:rsidR="00906225" w:rsidRPr="00E85F55" w:rsidRDefault="008D4587" w:rsidP="00906225">
            <w:pPr>
              <w:pStyle w:val="TableText0"/>
              <w:keepLines/>
              <w:jc w:val="right"/>
              <w:rPr>
                <w:color w:val="000000"/>
                <w:highlight w:val="darkGray"/>
              </w:rPr>
            </w:pPr>
            <w:r w:rsidRPr="008D4587">
              <w:rPr>
                <w:color w:val="000000"/>
                <w:shd w:val="solid" w:color="000000" w:fill="000000"/>
                <w14:textFill>
                  <w14:solidFill>
                    <w14:srgbClr w14:val="000000">
                      <w14:alpha w14:val="100000"/>
                    </w14:srgbClr>
                  </w14:solidFill>
                </w14:textFill>
              </w:rPr>
              <w:t>|</w:t>
            </w:r>
            <w:r w:rsidR="009F029A">
              <w:rPr>
                <w:color w:val="000000"/>
                <w:vertAlign w:val="superscript"/>
              </w:rPr>
              <w:t>2</w:t>
            </w:r>
          </w:p>
        </w:tc>
        <w:tc>
          <w:tcPr>
            <w:tcW w:w="647" w:type="pct"/>
            <w:shd w:val="clear" w:color="auto" w:fill="auto"/>
          </w:tcPr>
          <w:p w14:paraId="3BD91315" w14:textId="7B018A68" w:rsidR="00906225" w:rsidRPr="00E85F55" w:rsidRDefault="008D4587" w:rsidP="00906225">
            <w:pPr>
              <w:pStyle w:val="TableText0"/>
              <w:keepLines/>
              <w:jc w:val="right"/>
              <w:rPr>
                <w:color w:val="000000"/>
                <w:highlight w:val="darkGray"/>
              </w:rPr>
            </w:pPr>
            <w:r w:rsidRPr="008D4587">
              <w:rPr>
                <w:color w:val="000000"/>
                <w:shd w:val="solid" w:color="000000" w:fill="000000"/>
                <w14:textFill>
                  <w14:solidFill>
                    <w14:srgbClr w14:val="000000">
                      <w14:alpha w14:val="100000"/>
                    </w14:srgbClr>
                  </w14:solidFill>
                </w14:textFill>
              </w:rPr>
              <w:t>|</w:t>
            </w:r>
            <w:r w:rsidR="009F029A">
              <w:rPr>
                <w:color w:val="000000"/>
                <w:vertAlign w:val="superscript"/>
              </w:rPr>
              <w:t>2</w:t>
            </w:r>
          </w:p>
        </w:tc>
        <w:tc>
          <w:tcPr>
            <w:tcW w:w="647" w:type="pct"/>
          </w:tcPr>
          <w:p w14:paraId="11BDCDF8" w14:textId="0EFD8D81" w:rsidR="00906225" w:rsidRPr="00E85F55" w:rsidRDefault="008D4587" w:rsidP="00906225">
            <w:pPr>
              <w:pStyle w:val="TableText0"/>
              <w:keepLines/>
              <w:jc w:val="right"/>
              <w:rPr>
                <w:color w:val="000000"/>
                <w:highlight w:val="darkGray"/>
              </w:rPr>
            </w:pPr>
            <w:r w:rsidRPr="008D4587">
              <w:rPr>
                <w:color w:val="000000"/>
                <w:shd w:val="solid" w:color="000000" w:fill="000000"/>
                <w14:textFill>
                  <w14:solidFill>
                    <w14:srgbClr w14:val="000000">
                      <w14:alpha w14:val="100000"/>
                    </w14:srgbClr>
                  </w14:solidFill>
                </w14:textFill>
              </w:rPr>
              <w:t>|</w:t>
            </w:r>
            <w:r w:rsidR="009F029A">
              <w:rPr>
                <w:color w:val="000000"/>
                <w:vertAlign w:val="superscript"/>
              </w:rPr>
              <w:t>2</w:t>
            </w:r>
          </w:p>
        </w:tc>
      </w:tr>
      <w:tr w:rsidR="000C1AFF" w:rsidRPr="00197F03" w14:paraId="3CD835A0" w14:textId="77777777" w:rsidTr="000C1AFF">
        <w:trPr>
          <w:cantSplit/>
          <w:jc w:val="center"/>
        </w:trPr>
        <w:tc>
          <w:tcPr>
            <w:tcW w:w="5000" w:type="pct"/>
            <w:gridSpan w:val="7"/>
            <w:shd w:val="clear" w:color="auto" w:fill="auto"/>
            <w:vAlign w:val="center"/>
          </w:tcPr>
          <w:p w14:paraId="0717F32A" w14:textId="599CB1D7" w:rsidR="000C1AFF" w:rsidRPr="000C1AFF" w:rsidRDefault="000C1AFF" w:rsidP="00222680">
            <w:pPr>
              <w:pStyle w:val="TableText0"/>
              <w:keepLines/>
              <w:rPr>
                <w:b/>
                <w:bCs w:val="0"/>
                <w:color w:val="000000"/>
              </w:rPr>
            </w:pPr>
            <w:r w:rsidRPr="000C1AFF">
              <w:rPr>
                <w:b/>
                <w:bCs w:val="0"/>
                <w:color w:val="000000"/>
              </w:rPr>
              <w:t>Net financial implications</w:t>
            </w:r>
          </w:p>
        </w:tc>
      </w:tr>
      <w:tr w:rsidR="00906225" w:rsidRPr="00197F03" w14:paraId="6DC7AAF7" w14:textId="77777777" w:rsidTr="005A2D20">
        <w:trPr>
          <w:cantSplit/>
          <w:jc w:val="center"/>
        </w:trPr>
        <w:tc>
          <w:tcPr>
            <w:tcW w:w="1118" w:type="pct"/>
            <w:shd w:val="clear" w:color="auto" w:fill="auto"/>
            <w:vAlign w:val="center"/>
          </w:tcPr>
          <w:p w14:paraId="41FA959D" w14:textId="499E8A24" w:rsidR="00906225" w:rsidRPr="00167C39" w:rsidRDefault="00906225" w:rsidP="00906225">
            <w:pPr>
              <w:pStyle w:val="TableText0"/>
              <w:keepLines/>
            </w:pPr>
            <w:r>
              <w:t>Net cost to PBS/RPBS</w:t>
            </w:r>
            <w:r w:rsidR="00E85F55">
              <w:t xml:space="preserve"> </w:t>
            </w:r>
            <w:r w:rsidR="00E85F55">
              <w:rPr>
                <w:rFonts w:cstheme="minorHAnsi"/>
                <w:bCs w:val="0"/>
                <w:szCs w:val="20"/>
              </w:rPr>
              <w:t>($)</w:t>
            </w:r>
          </w:p>
        </w:tc>
        <w:tc>
          <w:tcPr>
            <w:tcW w:w="647" w:type="pct"/>
            <w:shd w:val="clear" w:color="auto" w:fill="auto"/>
            <w:vAlign w:val="center"/>
          </w:tcPr>
          <w:p w14:paraId="454A7C1B" w14:textId="3405B5B4" w:rsidR="00906225" w:rsidRPr="00E85F55" w:rsidRDefault="008D4587" w:rsidP="00906225">
            <w:pPr>
              <w:pStyle w:val="TableText0"/>
              <w:keepLines/>
              <w:jc w:val="right"/>
              <w:rPr>
                <w:color w:val="000000"/>
                <w:highlight w:val="darkGray"/>
              </w:rPr>
            </w:pPr>
            <w:r w:rsidRPr="008D4587">
              <w:rPr>
                <w:rFonts w:cs="Arial"/>
                <w:color w:val="000000"/>
                <w:szCs w:val="20"/>
                <w:shd w:val="solid" w:color="000000" w:fill="000000"/>
                <w14:textFill>
                  <w14:solidFill>
                    <w14:srgbClr w14:val="000000">
                      <w14:alpha w14:val="100000"/>
                    </w14:srgbClr>
                  </w14:solidFill>
                </w14:textFill>
              </w:rPr>
              <w:t>|</w:t>
            </w:r>
            <w:r w:rsidR="00E85F55">
              <w:rPr>
                <w:color w:val="000000"/>
                <w:vertAlign w:val="superscript"/>
              </w:rPr>
              <w:t>2</w:t>
            </w:r>
          </w:p>
        </w:tc>
        <w:tc>
          <w:tcPr>
            <w:tcW w:w="647" w:type="pct"/>
            <w:shd w:val="clear" w:color="auto" w:fill="auto"/>
            <w:vAlign w:val="center"/>
          </w:tcPr>
          <w:p w14:paraId="5587EA01" w14:textId="218011CA" w:rsidR="00906225" w:rsidRPr="00E85F55" w:rsidRDefault="008D4587" w:rsidP="00906225">
            <w:pPr>
              <w:pStyle w:val="TableText0"/>
              <w:keepLines/>
              <w:jc w:val="right"/>
              <w:rPr>
                <w:color w:val="000000"/>
                <w:highlight w:val="darkGray"/>
              </w:rPr>
            </w:pPr>
            <w:r w:rsidRPr="008D4587">
              <w:rPr>
                <w:rFonts w:cs="Arial"/>
                <w:color w:val="000000"/>
                <w:szCs w:val="20"/>
                <w:shd w:val="solid" w:color="000000" w:fill="000000"/>
                <w14:textFill>
                  <w14:solidFill>
                    <w14:srgbClr w14:val="000000">
                      <w14:alpha w14:val="100000"/>
                    </w14:srgbClr>
                  </w14:solidFill>
                </w14:textFill>
              </w:rPr>
              <w:t>|</w:t>
            </w:r>
            <w:r w:rsidR="00E85F55">
              <w:rPr>
                <w:color w:val="000000"/>
                <w:vertAlign w:val="superscript"/>
              </w:rPr>
              <w:t>2</w:t>
            </w:r>
          </w:p>
        </w:tc>
        <w:tc>
          <w:tcPr>
            <w:tcW w:w="647" w:type="pct"/>
            <w:shd w:val="clear" w:color="auto" w:fill="auto"/>
            <w:vAlign w:val="center"/>
          </w:tcPr>
          <w:p w14:paraId="5A290C2B" w14:textId="3F1F9773" w:rsidR="00906225" w:rsidRPr="00E85F55" w:rsidRDefault="008D4587" w:rsidP="00906225">
            <w:pPr>
              <w:pStyle w:val="TableText0"/>
              <w:keepLines/>
              <w:jc w:val="right"/>
              <w:rPr>
                <w:color w:val="000000"/>
                <w:highlight w:val="darkGray"/>
              </w:rPr>
            </w:pPr>
            <w:r w:rsidRPr="008D4587">
              <w:rPr>
                <w:rFonts w:cs="Arial"/>
                <w:color w:val="000000"/>
                <w:szCs w:val="20"/>
                <w:shd w:val="solid" w:color="000000" w:fill="000000"/>
                <w14:textFill>
                  <w14:solidFill>
                    <w14:srgbClr w14:val="000000">
                      <w14:alpha w14:val="100000"/>
                    </w14:srgbClr>
                  </w14:solidFill>
                </w14:textFill>
              </w:rPr>
              <w:t>|</w:t>
            </w:r>
            <w:r w:rsidR="00E85F55">
              <w:rPr>
                <w:color w:val="000000"/>
                <w:vertAlign w:val="superscript"/>
              </w:rPr>
              <w:t>2</w:t>
            </w:r>
          </w:p>
        </w:tc>
        <w:tc>
          <w:tcPr>
            <w:tcW w:w="647" w:type="pct"/>
            <w:shd w:val="clear" w:color="auto" w:fill="auto"/>
            <w:vAlign w:val="center"/>
          </w:tcPr>
          <w:p w14:paraId="73C4A55C" w14:textId="3C4E90AE" w:rsidR="00906225" w:rsidRPr="00E85F55" w:rsidRDefault="008D4587" w:rsidP="00906225">
            <w:pPr>
              <w:pStyle w:val="TableText0"/>
              <w:keepLines/>
              <w:jc w:val="right"/>
              <w:rPr>
                <w:color w:val="000000"/>
                <w:highlight w:val="darkGray"/>
              </w:rPr>
            </w:pPr>
            <w:r w:rsidRPr="008D4587">
              <w:rPr>
                <w:rFonts w:cs="Arial"/>
                <w:color w:val="000000"/>
                <w:szCs w:val="20"/>
                <w:shd w:val="solid" w:color="000000" w:fill="000000"/>
                <w14:textFill>
                  <w14:solidFill>
                    <w14:srgbClr w14:val="000000">
                      <w14:alpha w14:val="100000"/>
                    </w14:srgbClr>
                  </w14:solidFill>
                </w14:textFill>
              </w:rPr>
              <w:t>|</w:t>
            </w:r>
            <w:r w:rsidR="009F029A">
              <w:rPr>
                <w:color w:val="000000"/>
                <w:vertAlign w:val="superscript"/>
              </w:rPr>
              <w:t>2</w:t>
            </w:r>
          </w:p>
        </w:tc>
        <w:tc>
          <w:tcPr>
            <w:tcW w:w="647" w:type="pct"/>
            <w:shd w:val="clear" w:color="auto" w:fill="auto"/>
            <w:vAlign w:val="center"/>
          </w:tcPr>
          <w:p w14:paraId="5A08AF29" w14:textId="29F12985" w:rsidR="00906225" w:rsidRPr="00E85F55" w:rsidRDefault="008D4587" w:rsidP="00906225">
            <w:pPr>
              <w:pStyle w:val="TableText0"/>
              <w:keepLines/>
              <w:jc w:val="right"/>
              <w:rPr>
                <w:color w:val="000000"/>
                <w:highlight w:val="darkGray"/>
              </w:rPr>
            </w:pPr>
            <w:r w:rsidRPr="008D4587">
              <w:rPr>
                <w:rFonts w:cs="Arial"/>
                <w:color w:val="000000"/>
                <w:szCs w:val="20"/>
                <w:shd w:val="solid" w:color="000000" w:fill="000000"/>
                <w14:textFill>
                  <w14:solidFill>
                    <w14:srgbClr w14:val="000000">
                      <w14:alpha w14:val="100000"/>
                    </w14:srgbClr>
                  </w14:solidFill>
                </w14:textFill>
              </w:rPr>
              <w:t>|</w:t>
            </w:r>
            <w:r w:rsidR="009F029A">
              <w:rPr>
                <w:color w:val="000000"/>
                <w:vertAlign w:val="superscript"/>
              </w:rPr>
              <w:t>2</w:t>
            </w:r>
          </w:p>
        </w:tc>
        <w:tc>
          <w:tcPr>
            <w:tcW w:w="647" w:type="pct"/>
            <w:vAlign w:val="center"/>
          </w:tcPr>
          <w:p w14:paraId="1A3491BC" w14:textId="3B292FB6" w:rsidR="00906225" w:rsidRPr="00E85F55" w:rsidRDefault="008D4587" w:rsidP="00906225">
            <w:pPr>
              <w:pStyle w:val="TableText0"/>
              <w:keepLines/>
              <w:jc w:val="right"/>
              <w:rPr>
                <w:color w:val="000000"/>
                <w:highlight w:val="darkGray"/>
              </w:rPr>
            </w:pPr>
            <w:r w:rsidRPr="008D4587">
              <w:rPr>
                <w:rFonts w:cs="Arial"/>
                <w:color w:val="000000"/>
                <w:szCs w:val="20"/>
                <w:shd w:val="solid" w:color="000000" w:fill="000000"/>
                <w14:textFill>
                  <w14:solidFill>
                    <w14:srgbClr w14:val="000000">
                      <w14:alpha w14:val="100000"/>
                    </w14:srgbClr>
                  </w14:solidFill>
                </w14:textFill>
              </w:rPr>
              <w:t>|</w:t>
            </w:r>
            <w:r w:rsidR="009F029A">
              <w:rPr>
                <w:color w:val="000000"/>
                <w:vertAlign w:val="superscript"/>
              </w:rPr>
              <w:t>2</w:t>
            </w:r>
          </w:p>
        </w:tc>
      </w:tr>
    </w:tbl>
    <w:p w14:paraId="73D968FF" w14:textId="47EED7BA" w:rsidR="00D11F22" w:rsidRPr="00D11F22" w:rsidRDefault="00D11F22" w:rsidP="00D11F22">
      <w:pPr>
        <w:pStyle w:val="TableFigureFooter"/>
        <w:keepNext/>
      </w:pPr>
      <w:r w:rsidRPr="00167C39">
        <w:t xml:space="preserve">Source: </w:t>
      </w:r>
      <w:r w:rsidRPr="00084DCD">
        <w:t>Attachment 4 – UCM of the Submission</w:t>
      </w:r>
      <w:r w:rsidR="00EF4356">
        <w:t xml:space="preserve">, </w:t>
      </w:r>
      <w:r w:rsidR="00EF4356" w:rsidRPr="00EF4356">
        <w:rPr>
          <w:szCs w:val="18"/>
        </w:rPr>
        <w:t>Submission main body, Table 2, p.3</w:t>
      </w:r>
    </w:p>
    <w:p w14:paraId="0C566A53" w14:textId="5D0DC207" w:rsidR="000F7C27" w:rsidRDefault="00D70349" w:rsidP="00D70349">
      <w:pPr>
        <w:pStyle w:val="TableFigureFooter"/>
        <w:keepNext/>
        <w:jc w:val="left"/>
      </w:pPr>
      <w:r w:rsidRPr="00167C39">
        <w:rPr>
          <w:vertAlign w:val="superscript"/>
        </w:rPr>
        <w:t>a</w:t>
      </w:r>
      <w:r w:rsidRPr="00167C39">
        <w:t xml:space="preserve"> </w:t>
      </w:r>
      <w:r w:rsidRPr="00084DCD">
        <w:t xml:space="preserve">Assuming </w:t>
      </w:r>
      <w:r w:rsidR="00084DCD" w:rsidRPr="00084DCD">
        <w:t>4.32</w:t>
      </w:r>
      <w:r w:rsidR="003C3CD2">
        <w:t xml:space="preserve"> prescriptions</w:t>
      </w:r>
      <w:r w:rsidRPr="00084DCD">
        <w:t xml:space="preserve"> per </w:t>
      </w:r>
      <w:r w:rsidRPr="00167C39">
        <w:t>patient per year as estimated by the submission.</w:t>
      </w:r>
      <w:r w:rsidR="00AB4684" w:rsidRPr="00AB4684">
        <w:t xml:space="preserve"> </w:t>
      </w:r>
    </w:p>
    <w:p w14:paraId="42320224" w14:textId="7424B744" w:rsidR="00D70349" w:rsidRDefault="00AB4684" w:rsidP="00E85F55">
      <w:pPr>
        <w:pStyle w:val="TableFigureFooter"/>
        <w:keepNext/>
        <w:spacing w:after="0"/>
        <w:jc w:val="left"/>
        <w:rPr>
          <w:szCs w:val="18"/>
        </w:rPr>
      </w:pPr>
      <w:r w:rsidRPr="00AB4684">
        <w:t xml:space="preserve">Abbreviations: </w:t>
      </w:r>
      <w:r w:rsidR="00EF4356">
        <w:t xml:space="preserve">AEMP = approved ex-manufacturer price; </w:t>
      </w:r>
      <w:r w:rsidRPr="00AB4684">
        <w:t>PBS = Pharmaceutical Benefits Scheme; RPBS = Repatriation Pharmaceutical Benefits Scheme</w:t>
      </w:r>
      <w:r w:rsidR="00EF4356">
        <w:t xml:space="preserve">; </w:t>
      </w:r>
      <w:r w:rsidR="00EF4356" w:rsidRPr="00EF4356">
        <w:rPr>
          <w:szCs w:val="18"/>
        </w:rPr>
        <w:t>SPA = special pricing arrangement</w:t>
      </w:r>
    </w:p>
    <w:p w14:paraId="7BE212D5" w14:textId="77777777" w:rsidR="00E85F55" w:rsidRDefault="00E85F55" w:rsidP="00E85F55">
      <w:pPr>
        <w:rPr>
          <w:rFonts w:ascii="Arial Narrow" w:hAnsi="Arial Narrow" w:cs="Arial"/>
          <w:i/>
          <w:sz w:val="18"/>
          <w:szCs w:val="18"/>
        </w:rPr>
      </w:pPr>
      <w:r>
        <w:rPr>
          <w:rFonts w:ascii="Arial Narrow" w:hAnsi="Arial Narrow" w:cs="Arial"/>
          <w:i/>
          <w:sz w:val="18"/>
          <w:szCs w:val="18"/>
        </w:rPr>
        <w:t xml:space="preserve">The redacted values correspond to the following ranges: </w:t>
      </w:r>
    </w:p>
    <w:p w14:paraId="2AF96506" w14:textId="216D2C80" w:rsidR="00E85F55" w:rsidRDefault="00E85F55" w:rsidP="00E85F55">
      <w:pPr>
        <w:rPr>
          <w:rFonts w:ascii="Arial Narrow" w:hAnsi="Arial Narrow" w:cs="Arial"/>
          <w:i/>
          <w:sz w:val="18"/>
          <w:szCs w:val="18"/>
        </w:rPr>
      </w:pPr>
      <w:r>
        <w:rPr>
          <w:rFonts w:ascii="Arial Narrow" w:hAnsi="Arial Narrow" w:cs="Arial"/>
          <w:i/>
          <w:sz w:val="18"/>
          <w:szCs w:val="18"/>
          <w:vertAlign w:val="superscript"/>
        </w:rPr>
        <w:t>1</w:t>
      </w:r>
      <w:r>
        <w:rPr>
          <w:rFonts w:ascii="Arial Narrow" w:hAnsi="Arial Narrow" w:cs="Arial"/>
          <w:i/>
          <w:sz w:val="18"/>
          <w:szCs w:val="18"/>
        </w:rPr>
        <w:t xml:space="preserve"> </w:t>
      </w:r>
      <w:r w:rsidR="009F029A" w:rsidRPr="009F029A">
        <w:rPr>
          <w:rFonts w:ascii="Arial Narrow" w:hAnsi="Arial Narrow" w:cs="Arial"/>
          <w:i/>
          <w:sz w:val="18"/>
          <w:szCs w:val="18"/>
        </w:rPr>
        <w:t>&lt; 500</w:t>
      </w:r>
    </w:p>
    <w:p w14:paraId="3CA56388" w14:textId="61CFA032" w:rsidR="00E85F55" w:rsidRDefault="00E85F55" w:rsidP="009F029A">
      <w:pPr>
        <w:spacing w:after="120"/>
        <w:rPr>
          <w:rFonts w:ascii="Arial Narrow" w:hAnsi="Arial Narrow" w:cs="Arial"/>
          <w:i/>
          <w:sz w:val="18"/>
          <w:szCs w:val="18"/>
        </w:rPr>
      </w:pPr>
      <w:r>
        <w:rPr>
          <w:rFonts w:ascii="Arial Narrow" w:hAnsi="Arial Narrow" w:cs="Arial"/>
          <w:i/>
          <w:sz w:val="18"/>
          <w:szCs w:val="18"/>
          <w:vertAlign w:val="superscript"/>
        </w:rPr>
        <w:t>2</w:t>
      </w:r>
      <w:r>
        <w:rPr>
          <w:rFonts w:ascii="Arial Narrow" w:hAnsi="Arial Narrow" w:cs="Arial"/>
          <w:i/>
          <w:sz w:val="18"/>
          <w:szCs w:val="18"/>
        </w:rPr>
        <w:t xml:space="preserve"> </w:t>
      </w:r>
      <w:r w:rsidR="009F029A" w:rsidRPr="009F029A">
        <w:rPr>
          <w:rFonts w:ascii="Arial Narrow" w:hAnsi="Arial Narrow" w:cs="Arial"/>
          <w:i/>
          <w:sz w:val="18"/>
          <w:szCs w:val="18"/>
        </w:rPr>
        <w:t>$0 to &lt; $10 million</w:t>
      </w:r>
    </w:p>
    <w:p w14:paraId="66804007" w14:textId="79E7296E" w:rsidR="00087E87" w:rsidRDefault="00087E87" w:rsidP="008E3089">
      <w:pPr>
        <w:pStyle w:val="3Bodytext"/>
        <w:jc w:val="both"/>
        <w:rPr>
          <w:rFonts w:cstheme="minorHAnsi"/>
          <w:szCs w:val="24"/>
        </w:rPr>
      </w:pPr>
      <w:r w:rsidRPr="00A3107E">
        <w:rPr>
          <w:rFonts w:cstheme="minorHAnsi"/>
          <w:szCs w:val="24"/>
        </w:rPr>
        <w:t xml:space="preserve">As a Category 3 submission, the financial estimates </w:t>
      </w:r>
      <w:r w:rsidR="004F41EC">
        <w:rPr>
          <w:rFonts w:cstheme="minorHAnsi"/>
          <w:szCs w:val="24"/>
        </w:rPr>
        <w:t>were</w:t>
      </w:r>
      <w:r w:rsidR="004F41EC" w:rsidRPr="00A3107E">
        <w:rPr>
          <w:rFonts w:cstheme="minorHAnsi"/>
          <w:szCs w:val="24"/>
        </w:rPr>
        <w:t xml:space="preserve"> </w:t>
      </w:r>
      <w:r w:rsidR="00CF02F0" w:rsidRPr="00A3107E">
        <w:rPr>
          <w:rFonts w:cstheme="minorHAnsi"/>
          <w:szCs w:val="24"/>
        </w:rPr>
        <w:t>not</w:t>
      </w:r>
      <w:r w:rsidR="003F41D3" w:rsidRPr="00A3107E">
        <w:rPr>
          <w:rFonts w:cstheme="minorHAnsi"/>
          <w:szCs w:val="24"/>
        </w:rPr>
        <w:t xml:space="preserve"> </w:t>
      </w:r>
      <w:r w:rsidRPr="00A3107E">
        <w:rPr>
          <w:rFonts w:cstheme="minorHAnsi"/>
          <w:szCs w:val="24"/>
        </w:rPr>
        <w:t>independently evaluated.</w:t>
      </w:r>
      <w:r w:rsidRPr="00D25130">
        <w:rPr>
          <w:rFonts w:cstheme="minorHAnsi"/>
          <w:szCs w:val="24"/>
        </w:rPr>
        <w:t xml:space="preserve"> </w:t>
      </w:r>
    </w:p>
    <w:p w14:paraId="541F33A2" w14:textId="78157717" w:rsidR="002A27BA" w:rsidRPr="00A3107E" w:rsidRDefault="002A27BA" w:rsidP="00A3107E">
      <w:pPr>
        <w:pStyle w:val="3Bodytext"/>
        <w:numPr>
          <w:ilvl w:val="0"/>
          <w:numId w:val="0"/>
        </w:numPr>
        <w:ind w:left="720"/>
        <w:rPr>
          <w:rFonts w:cstheme="minorHAnsi"/>
          <w:i/>
          <w:iCs/>
          <w:szCs w:val="24"/>
        </w:rPr>
      </w:pPr>
      <w:r w:rsidRPr="00A3107E">
        <w:rPr>
          <w:rFonts w:cstheme="minorHAnsi"/>
          <w:i/>
          <w:iCs/>
          <w:szCs w:val="24"/>
        </w:rPr>
        <w:t>For more detail on PBAC’s view, see section 5 PBAC outcome.</w:t>
      </w:r>
    </w:p>
    <w:p w14:paraId="6028EA72" w14:textId="77777777" w:rsidR="00E143A4" w:rsidRPr="0090150D" w:rsidRDefault="00E143A4" w:rsidP="00A3107E">
      <w:pPr>
        <w:pStyle w:val="2-SectionHeading"/>
      </w:pPr>
      <w:bookmarkStart w:id="9" w:name="_Hlk76381249"/>
      <w:r w:rsidRPr="0090150D">
        <w:t>PBAC Outcome</w:t>
      </w:r>
    </w:p>
    <w:p w14:paraId="2F6831D5" w14:textId="0761B87E" w:rsidR="00FC6A82" w:rsidRDefault="00FC6A82" w:rsidP="008E3089">
      <w:pPr>
        <w:widowControl w:val="0"/>
        <w:numPr>
          <w:ilvl w:val="1"/>
          <w:numId w:val="2"/>
        </w:numPr>
        <w:spacing w:after="120"/>
        <w:rPr>
          <w:rFonts w:asciiTheme="minorHAnsi" w:hAnsiTheme="minorHAnsi" w:cs="Arial"/>
          <w:snapToGrid w:val="0"/>
          <w:lang w:val="en-GB"/>
        </w:rPr>
      </w:pPr>
      <w:r>
        <w:rPr>
          <w:rFonts w:asciiTheme="minorHAnsi" w:hAnsiTheme="minorHAnsi" w:cs="Arial"/>
          <w:snapToGrid w:val="0"/>
          <w:lang w:val="en-GB"/>
        </w:rPr>
        <w:t xml:space="preserve">The PBAC did not recommend adding a </w:t>
      </w:r>
      <w:r w:rsidR="00353443">
        <w:rPr>
          <w:rFonts w:asciiTheme="minorHAnsi" w:hAnsiTheme="minorHAnsi" w:cs="Arial"/>
          <w:snapToGrid w:val="0"/>
          <w:lang w:val="en-GB"/>
        </w:rPr>
        <w:t xml:space="preserve">new </w:t>
      </w:r>
      <w:r>
        <w:rPr>
          <w:rFonts w:asciiTheme="minorHAnsi" w:hAnsiTheme="minorHAnsi" w:cs="Arial"/>
          <w:snapToGrid w:val="0"/>
          <w:lang w:val="en-GB"/>
        </w:rPr>
        <w:t>grandfathering restriction to the existing PBS</w:t>
      </w:r>
      <w:r w:rsidR="002825C0">
        <w:rPr>
          <w:rFonts w:asciiTheme="minorHAnsi" w:hAnsiTheme="minorHAnsi" w:cs="Arial"/>
          <w:snapToGrid w:val="0"/>
          <w:lang w:val="en-GB"/>
        </w:rPr>
        <w:t>-</w:t>
      </w:r>
      <w:r>
        <w:rPr>
          <w:rFonts w:asciiTheme="minorHAnsi" w:hAnsiTheme="minorHAnsi" w:cs="Arial"/>
          <w:snapToGrid w:val="0"/>
          <w:lang w:val="en-GB"/>
        </w:rPr>
        <w:t>listing for tildrakizumab injection 100 mg in 1 mL single dose pre-filled syringe (Ilumya) for the treatment of severe CPP for patients enrolled in two new clinical trials.</w:t>
      </w:r>
    </w:p>
    <w:p w14:paraId="4D844495" w14:textId="4065B763" w:rsidR="00FC6A82" w:rsidRDefault="001B2DB2" w:rsidP="008E3089">
      <w:pPr>
        <w:widowControl w:val="0"/>
        <w:numPr>
          <w:ilvl w:val="1"/>
          <w:numId w:val="2"/>
        </w:numPr>
        <w:spacing w:after="120"/>
        <w:rPr>
          <w:rFonts w:asciiTheme="minorHAnsi" w:hAnsiTheme="minorHAnsi" w:cs="Arial"/>
          <w:snapToGrid w:val="0"/>
          <w:lang w:val="en-GB"/>
        </w:rPr>
      </w:pPr>
      <w:r>
        <w:rPr>
          <w:rFonts w:asciiTheme="minorHAnsi" w:hAnsiTheme="minorHAnsi" w:cs="Arial"/>
          <w:snapToGrid w:val="0"/>
          <w:lang w:val="en-GB"/>
        </w:rPr>
        <w:t>The PBAC noted that the clinical trials presented in both this submission and the July</w:t>
      </w:r>
      <w:r w:rsidR="002825C0">
        <w:rPr>
          <w:rFonts w:asciiTheme="minorHAnsi" w:hAnsiTheme="minorHAnsi" w:cs="Arial"/>
          <w:snapToGrid w:val="0"/>
          <w:lang w:val="en-GB"/>
        </w:rPr>
        <w:t> </w:t>
      </w:r>
      <w:r>
        <w:rPr>
          <w:rFonts w:asciiTheme="minorHAnsi" w:hAnsiTheme="minorHAnsi" w:cs="Arial"/>
          <w:snapToGrid w:val="0"/>
          <w:lang w:val="en-GB"/>
        </w:rPr>
        <w:t>2018 submission had an inclusion criterion of PASI score &gt;12, however the current PBS clinical criteria for</w:t>
      </w:r>
      <w:r w:rsidR="0073488F">
        <w:rPr>
          <w:rFonts w:asciiTheme="minorHAnsi" w:hAnsiTheme="minorHAnsi" w:cs="Arial"/>
          <w:snapToGrid w:val="0"/>
          <w:lang w:val="en-GB"/>
        </w:rPr>
        <w:t xml:space="preserve"> initial treatment with</w:t>
      </w:r>
      <w:r>
        <w:rPr>
          <w:rFonts w:asciiTheme="minorHAnsi" w:hAnsiTheme="minorHAnsi" w:cs="Arial"/>
          <w:snapToGrid w:val="0"/>
          <w:lang w:val="en-GB"/>
        </w:rPr>
        <w:t xml:space="preserve"> tildrakizumab states that the condition must have a PASI score &gt;15. The PBAC therefore </w:t>
      </w:r>
      <w:r w:rsidR="00352E16">
        <w:rPr>
          <w:rFonts w:asciiTheme="minorHAnsi" w:hAnsiTheme="minorHAnsi" w:cs="Arial"/>
          <w:snapToGrid w:val="0"/>
          <w:lang w:val="en-GB"/>
        </w:rPr>
        <w:t xml:space="preserve">considered that it was uncertain whether the patients in the clinical trials </w:t>
      </w:r>
      <w:r w:rsidR="0073488F">
        <w:rPr>
          <w:rFonts w:asciiTheme="minorHAnsi" w:hAnsiTheme="minorHAnsi" w:cs="Arial"/>
          <w:snapToGrid w:val="0"/>
          <w:lang w:val="en-GB"/>
        </w:rPr>
        <w:t>would have been eligible for treatment with tildrakizumab through the PBS prior to starting the trials.</w:t>
      </w:r>
    </w:p>
    <w:p w14:paraId="6CFDE7B4" w14:textId="3EC3F770" w:rsidR="0073488F" w:rsidRDefault="0073488F" w:rsidP="008E3089">
      <w:pPr>
        <w:widowControl w:val="0"/>
        <w:numPr>
          <w:ilvl w:val="1"/>
          <w:numId w:val="2"/>
        </w:numPr>
        <w:spacing w:after="120"/>
        <w:rPr>
          <w:rFonts w:asciiTheme="minorHAnsi" w:hAnsiTheme="minorHAnsi" w:cs="Arial"/>
          <w:snapToGrid w:val="0"/>
          <w:lang w:val="en-GB"/>
        </w:rPr>
      </w:pPr>
      <w:r>
        <w:rPr>
          <w:rFonts w:asciiTheme="minorHAnsi" w:hAnsiTheme="minorHAnsi" w:cs="Arial"/>
          <w:snapToGrid w:val="0"/>
          <w:lang w:val="en-GB"/>
        </w:rPr>
        <w:t xml:space="preserve">The PBAC noted that the sponsor had previously agreed to the removal of the </w:t>
      </w:r>
      <w:r w:rsidR="002825C0">
        <w:rPr>
          <w:rFonts w:asciiTheme="minorHAnsi" w:hAnsiTheme="minorHAnsi" w:cs="Arial"/>
          <w:snapToGrid w:val="0"/>
          <w:lang w:val="en-GB"/>
        </w:rPr>
        <w:t xml:space="preserve">original </w:t>
      </w:r>
      <w:r>
        <w:rPr>
          <w:rFonts w:asciiTheme="minorHAnsi" w:hAnsiTheme="minorHAnsi" w:cs="Arial"/>
          <w:snapToGrid w:val="0"/>
          <w:lang w:val="en-GB"/>
        </w:rPr>
        <w:t>grandfathering restrictions</w:t>
      </w:r>
      <w:r w:rsidR="002E2FF1">
        <w:rPr>
          <w:rFonts w:asciiTheme="minorHAnsi" w:hAnsiTheme="minorHAnsi" w:cs="Arial"/>
          <w:snapToGrid w:val="0"/>
          <w:lang w:val="en-GB"/>
        </w:rPr>
        <w:t xml:space="preserve">, and </w:t>
      </w:r>
      <w:r>
        <w:rPr>
          <w:rFonts w:asciiTheme="minorHAnsi" w:hAnsiTheme="minorHAnsi" w:cs="Arial"/>
          <w:snapToGrid w:val="0"/>
          <w:lang w:val="en-GB"/>
        </w:rPr>
        <w:t>that the intent of</w:t>
      </w:r>
      <w:r w:rsidR="00E62B9C">
        <w:rPr>
          <w:rFonts w:asciiTheme="minorHAnsi" w:hAnsiTheme="minorHAnsi" w:cs="Arial"/>
          <w:snapToGrid w:val="0"/>
          <w:lang w:val="en-GB"/>
        </w:rPr>
        <w:t xml:space="preserve"> a</w:t>
      </w:r>
      <w:r>
        <w:rPr>
          <w:rFonts w:asciiTheme="minorHAnsi" w:hAnsiTheme="minorHAnsi" w:cs="Arial"/>
          <w:snapToGrid w:val="0"/>
          <w:lang w:val="en-GB"/>
        </w:rPr>
        <w:t xml:space="preserve"> grandfathering restriction </w:t>
      </w:r>
      <w:r w:rsidR="00735EB6">
        <w:rPr>
          <w:rFonts w:asciiTheme="minorHAnsi" w:hAnsiTheme="minorHAnsi" w:cs="Arial"/>
          <w:snapToGrid w:val="0"/>
          <w:lang w:val="en-GB"/>
        </w:rPr>
        <w:t>is</w:t>
      </w:r>
      <w:r>
        <w:rPr>
          <w:rFonts w:asciiTheme="minorHAnsi" w:hAnsiTheme="minorHAnsi" w:cs="Arial"/>
          <w:snapToGrid w:val="0"/>
          <w:lang w:val="en-GB"/>
        </w:rPr>
        <w:t xml:space="preserve"> to </w:t>
      </w:r>
      <w:r w:rsidR="00E62B9C">
        <w:rPr>
          <w:rFonts w:asciiTheme="minorHAnsi" w:hAnsiTheme="minorHAnsi" w:cs="Arial"/>
          <w:snapToGrid w:val="0"/>
          <w:lang w:val="en-GB"/>
        </w:rPr>
        <w:t>allow</w:t>
      </w:r>
      <w:r>
        <w:rPr>
          <w:rFonts w:asciiTheme="minorHAnsi" w:hAnsiTheme="minorHAnsi" w:cs="Arial"/>
          <w:snapToGrid w:val="0"/>
          <w:lang w:val="en-GB"/>
        </w:rPr>
        <w:t xml:space="preserve"> access to subsidised </w:t>
      </w:r>
      <w:r w:rsidR="00735EB6">
        <w:rPr>
          <w:rFonts w:asciiTheme="minorHAnsi" w:hAnsiTheme="minorHAnsi" w:cs="Arial"/>
          <w:snapToGrid w:val="0"/>
          <w:lang w:val="en-GB"/>
        </w:rPr>
        <w:t>treatment</w:t>
      </w:r>
      <w:r>
        <w:rPr>
          <w:rFonts w:asciiTheme="minorHAnsi" w:hAnsiTheme="minorHAnsi" w:cs="Arial"/>
          <w:snapToGrid w:val="0"/>
          <w:lang w:val="en-GB"/>
        </w:rPr>
        <w:t xml:space="preserve"> for</w:t>
      </w:r>
      <w:r w:rsidR="00735EB6">
        <w:rPr>
          <w:rFonts w:asciiTheme="minorHAnsi" w:hAnsiTheme="minorHAnsi" w:cs="Arial"/>
          <w:snapToGrid w:val="0"/>
          <w:lang w:val="en-GB"/>
        </w:rPr>
        <w:t xml:space="preserve"> eligible</w:t>
      </w:r>
      <w:r>
        <w:rPr>
          <w:rFonts w:asciiTheme="minorHAnsi" w:hAnsiTheme="minorHAnsi" w:cs="Arial"/>
          <w:snapToGrid w:val="0"/>
          <w:lang w:val="en-GB"/>
        </w:rPr>
        <w:t xml:space="preserve"> patients </w:t>
      </w:r>
      <w:r w:rsidR="00735EB6">
        <w:rPr>
          <w:rFonts w:asciiTheme="minorHAnsi" w:hAnsiTheme="minorHAnsi" w:cs="Arial"/>
          <w:snapToGrid w:val="0"/>
          <w:lang w:val="en-GB"/>
        </w:rPr>
        <w:t>who start</w:t>
      </w:r>
      <w:r>
        <w:rPr>
          <w:rFonts w:asciiTheme="minorHAnsi" w:hAnsiTheme="minorHAnsi" w:cs="Arial"/>
          <w:snapToGrid w:val="0"/>
          <w:lang w:val="en-GB"/>
        </w:rPr>
        <w:t xml:space="preserve"> t</w:t>
      </w:r>
      <w:r w:rsidR="00735EB6">
        <w:rPr>
          <w:rFonts w:asciiTheme="minorHAnsi" w:hAnsiTheme="minorHAnsi" w:cs="Arial"/>
          <w:snapToGrid w:val="0"/>
          <w:lang w:val="en-GB"/>
        </w:rPr>
        <w:t>herapy before the requested PBS listing is implemented</w:t>
      </w:r>
      <w:r>
        <w:rPr>
          <w:rFonts w:asciiTheme="minorHAnsi" w:hAnsiTheme="minorHAnsi" w:cs="Arial"/>
          <w:snapToGrid w:val="0"/>
          <w:lang w:val="en-GB"/>
        </w:rPr>
        <w:t xml:space="preserve">. </w:t>
      </w:r>
      <w:r w:rsidR="002E2FF1">
        <w:rPr>
          <w:rFonts w:asciiTheme="minorHAnsi" w:hAnsiTheme="minorHAnsi" w:cs="Arial"/>
          <w:snapToGrid w:val="0"/>
          <w:lang w:val="en-GB"/>
        </w:rPr>
        <w:t>The PBAC considered that p</w:t>
      </w:r>
      <w:r>
        <w:rPr>
          <w:rFonts w:asciiTheme="minorHAnsi" w:hAnsiTheme="minorHAnsi" w:cs="Arial"/>
          <w:snapToGrid w:val="0"/>
          <w:lang w:val="en-GB"/>
        </w:rPr>
        <w:t xml:space="preserve">atients who </w:t>
      </w:r>
      <w:r w:rsidR="00735EB6">
        <w:rPr>
          <w:rFonts w:asciiTheme="minorHAnsi" w:hAnsiTheme="minorHAnsi" w:cs="Arial"/>
          <w:snapToGrid w:val="0"/>
          <w:lang w:val="en-GB"/>
        </w:rPr>
        <w:t>start</w:t>
      </w:r>
      <w:r>
        <w:rPr>
          <w:rFonts w:asciiTheme="minorHAnsi" w:hAnsiTheme="minorHAnsi" w:cs="Arial"/>
          <w:snapToGrid w:val="0"/>
          <w:lang w:val="en-GB"/>
        </w:rPr>
        <w:t xml:space="preserve"> t</w:t>
      </w:r>
      <w:r w:rsidR="00735EB6">
        <w:rPr>
          <w:rFonts w:asciiTheme="minorHAnsi" w:hAnsiTheme="minorHAnsi" w:cs="Arial"/>
          <w:snapToGrid w:val="0"/>
          <w:lang w:val="en-GB"/>
        </w:rPr>
        <w:t>herapy</w:t>
      </w:r>
      <w:r>
        <w:rPr>
          <w:rFonts w:asciiTheme="minorHAnsi" w:hAnsiTheme="minorHAnsi" w:cs="Arial"/>
          <w:snapToGrid w:val="0"/>
          <w:lang w:val="en-GB"/>
        </w:rPr>
        <w:t xml:space="preserve"> </w:t>
      </w:r>
      <w:r w:rsidR="00735EB6">
        <w:rPr>
          <w:rFonts w:asciiTheme="minorHAnsi" w:hAnsiTheme="minorHAnsi" w:cs="Arial"/>
          <w:snapToGrid w:val="0"/>
          <w:lang w:val="en-GB"/>
        </w:rPr>
        <w:t>as part of</w:t>
      </w:r>
      <w:r>
        <w:rPr>
          <w:rFonts w:asciiTheme="minorHAnsi" w:hAnsiTheme="minorHAnsi" w:cs="Arial"/>
          <w:snapToGrid w:val="0"/>
          <w:lang w:val="en-GB"/>
        </w:rPr>
        <w:t xml:space="preserve"> clinical trials that </w:t>
      </w:r>
      <w:r w:rsidR="00735EB6">
        <w:rPr>
          <w:rFonts w:asciiTheme="minorHAnsi" w:hAnsiTheme="minorHAnsi" w:cs="Arial"/>
          <w:snapToGrid w:val="0"/>
          <w:lang w:val="en-GB"/>
        </w:rPr>
        <w:t>commence</w:t>
      </w:r>
      <w:r>
        <w:rPr>
          <w:rFonts w:asciiTheme="minorHAnsi" w:hAnsiTheme="minorHAnsi" w:cs="Arial"/>
          <w:snapToGrid w:val="0"/>
          <w:lang w:val="en-GB"/>
        </w:rPr>
        <w:t xml:space="preserve"> after the medicine has been </w:t>
      </w:r>
      <w:r w:rsidR="00735EB6">
        <w:rPr>
          <w:rFonts w:asciiTheme="minorHAnsi" w:hAnsiTheme="minorHAnsi" w:cs="Arial"/>
          <w:snapToGrid w:val="0"/>
          <w:lang w:val="en-GB"/>
        </w:rPr>
        <w:t>PBS</w:t>
      </w:r>
      <w:r w:rsidR="000A77A0">
        <w:rPr>
          <w:rFonts w:asciiTheme="minorHAnsi" w:hAnsiTheme="minorHAnsi" w:cs="Arial"/>
          <w:snapToGrid w:val="0"/>
          <w:lang w:val="en-GB"/>
        </w:rPr>
        <w:t xml:space="preserve"> </w:t>
      </w:r>
      <w:r w:rsidR="00735EB6">
        <w:rPr>
          <w:rFonts w:asciiTheme="minorHAnsi" w:hAnsiTheme="minorHAnsi" w:cs="Arial"/>
          <w:snapToGrid w:val="0"/>
          <w:lang w:val="en-GB"/>
        </w:rPr>
        <w:t>listed</w:t>
      </w:r>
      <w:r>
        <w:rPr>
          <w:rFonts w:asciiTheme="minorHAnsi" w:hAnsiTheme="minorHAnsi" w:cs="Arial"/>
          <w:snapToGrid w:val="0"/>
          <w:lang w:val="en-GB"/>
        </w:rPr>
        <w:t xml:space="preserve"> </w:t>
      </w:r>
      <w:r w:rsidR="00B54699">
        <w:rPr>
          <w:rFonts w:asciiTheme="minorHAnsi" w:hAnsiTheme="minorHAnsi" w:cs="Arial"/>
          <w:snapToGrid w:val="0"/>
          <w:lang w:val="en-GB"/>
        </w:rPr>
        <w:t>are not</w:t>
      </w:r>
      <w:r w:rsidR="00735EB6">
        <w:rPr>
          <w:rFonts w:asciiTheme="minorHAnsi" w:hAnsiTheme="minorHAnsi" w:cs="Arial"/>
          <w:snapToGrid w:val="0"/>
          <w:lang w:val="en-GB"/>
        </w:rPr>
        <w:t xml:space="preserve"> ‘</w:t>
      </w:r>
      <w:r w:rsidR="00B54699">
        <w:rPr>
          <w:rFonts w:asciiTheme="minorHAnsi" w:hAnsiTheme="minorHAnsi" w:cs="Arial"/>
          <w:snapToGrid w:val="0"/>
          <w:lang w:val="en-GB"/>
        </w:rPr>
        <w:t>g</w:t>
      </w:r>
      <w:r w:rsidR="00735EB6">
        <w:rPr>
          <w:rFonts w:asciiTheme="minorHAnsi" w:hAnsiTheme="minorHAnsi" w:cs="Arial"/>
          <w:snapToGrid w:val="0"/>
          <w:lang w:val="en-GB"/>
        </w:rPr>
        <w:t>randfathered’ patient</w:t>
      </w:r>
      <w:r w:rsidR="002E2FF1">
        <w:rPr>
          <w:rFonts w:asciiTheme="minorHAnsi" w:hAnsiTheme="minorHAnsi" w:cs="Arial"/>
          <w:snapToGrid w:val="0"/>
          <w:lang w:val="en-GB"/>
        </w:rPr>
        <w:t>s</w:t>
      </w:r>
      <w:r w:rsidR="00735EB6">
        <w:rPr>
          <w:rFonts w:asciiTheme="minorHAnsi" w:hAnsiTheme="minorHAnsi" w:cs="Arial"/>
          <w:snapToGrid w:val="0"/>
          <w:lang w:val="en-GB"/>
        </w:rPr>
        <w:t>.</w:t>
      </w:r>
    </w:p>
    <w:p w14:paraId="0FCF16F4" w14:textId="4EE1A2BB" w:rsidR="00735EB6" w:rsidRDefault="00735EB6" w:rsidP="008E3089">
      <w:pPr>
        <w:widowControl w:val="0"/>
        <w:numPr>
          <w:ilvl w:val="1"/>
          <w:numId w:val="2"/>
        </w:numPr>
        <w:spacing w:after="120"/>
        <w:rPr>
          <w:rFonts w:asciiTheme="minorHAnsi" w:hAnsiTheme="minorHAnsi" w:cs="Arial"/>
          <w:snapToGrid w:val="0"/>
          <w:lang w:val="en-GB"/>
        </w:rPr>
      </w:pPr>
      <w:r>
        <w:rPr>
          <w:rFonts w:asciiTheme="minorHAnsi" w:hAnsiTheme="minorHAnsi" w:cs="Arial"/>
          <w:snapToGrid w:val="0"/>
          <w:lang w:val="en-GB"/>
        </w:rPr>
        <w:t xml:space="preserve">The PBAC </w:t>
      </w:r>
      <w:r w:rsidR="001B765A">
        <w:rPr>
          <w:rFonts w:asciiTheme="minorHAnsi" w:hAnsiTheme="minorHAnsi" w:cs="Arial"/>
          <w:snapToGrid w:val="0"/>
          <w:lang w:val="en-GB"/>
        </w:rPr>
        <w:t>recalled its previous</w:t>
      </w:r>
      <w:r>
        <w:rPr>
          <w:rFonts w:asciiTheme="minorHAnsi" w:hAnsiTheme="minorHAnsi" w:cs="Arial"/>
          <w:snapToGrid w:val="0"/>
          <w:lang w:val="en-GB"/>
        </w:rPr>
        <w:t xml:space="preserve"> recommendation to extend the grandfathered listing</w:t>
      </w:r>
      <w:r w:rsidR="00861C76">
        <w:rPr>
          <w:rFonts w:asciiTheme="minorHAnsi" w:hAnsiTheme="minorHAnsi" w:cs="Arial"/>
          <w:snapToGrid w:val="0"/>
          <w:lang w:val="en-GB"/>
        </w:rPr>
        <w:t xml:space="preserve"> beyond 12 months</w:t>
      </w:r>
      <w:r>
        <w:rPr>
          <w:rFonts w:asciiTheme="minorHAnsi" w:hAnsiTheme="minorHAnsi" w:cs="Arial"/>
          <w:snapToGrid w:val="0"/>
          <w:lang w:val="en-GB"/>
        </w:rPr>
        <w:t xml:space="preserve"> for risa</w:t>
      </w:r>
      <w:r w:rsidR="006C4C1B">
        <w:rPr>
          <w:rFonts w:asciiTheme="minorHAnsi" w:hAnsiTheme="minorHAnsi" w:cs="Arial"/>
          <w:snapToGrid w:val="0"/>
          <w:lang w:val="en-GB"/>
        </w:rPr>
        <w:t>n</w:t>
      </w:r>
      <w:r>
        <w:rPr>
          <w:rFonts w:asciiTheme="minorHAnsi" w:hAnsiTheme="minorHAnsi" w:cs="Arial"/>
          <w:snapToGrid w:val="0"/>
          <w:lang w:val="en-GB"/>
        </w:rPr>
        <w:t>kizumab</w:t>
      </w:r>
      <w:r w:rsidR="00861C76">
        <w:rPr>
          <w:rFonts w:asciiTheme="minorHAnsi" w:hAnsiTheme="minorHAnsi" w:cs="Arial"/>
          <w:snapToGrid w:val="0"/>
          <w:lang w:val="en-GB"/>
        </w:rPr>
        <w:t xml:space="preserve"> for severe CPP</w:t>
      </w:r>
      <w:r>
        <w:rPr>
          <w:rFonts w:asciiTheme="minorHAnsi" w:hAnsiTheme="minorHAnsi" w:cs="Arial"/>
          <w:snapToGrid w:val="0"/>
          <w:lang w:val="en-GB"/>
        </w:rPr>
        <w:t xml:space="preserve"> to allow patients to transition to PBS-subsidised treatment from a clinical trial that finished after the standard grandfathering period elapsed. </w:t>
      </w:r>
      <w:r w:rsidR="001B765A">
        <w:rPr>
          <w:rFonts w:asciiTheme="minorHAnsi" w:hAnsiTheme="minorHAnsi" w:cs="Arial"/>
          <w:snapToGrid w:val="0"/>
          <w:lang w:val="en-GB"/>
        </w:rPr>
        <w:t xml:space="preserve">However, the PBAC </w:t>
      </w:r>
      <w:r w:rsidR="001630C0">
        <w:rPr>
          <w:rFonts w:asciiTheme="minorHAnsi" w:hAnsiTheme="minorHAnsi" w:cs="Arial"/>
          <w:snapToGrid w:val="0"/>
          <w:lang w:val="en-GB"/>
        </w:rPr>
        <w:t>recalled</w:t>
      </w:r>
      <w:r w:rsidR="00A17442">
        <w:rPr>
          <w:rFonts w:asciiTheme="minorHAnsi" w:hAnsiTheme="minorHAnsi" w:cs="Arial"/>
          <w:snapToGrid w:val="0"/>
          <w:lang w:val="en-GB"/>
        </w:rPr>
        <w:t xml:space="preserve"> that the situation differed in</w:t>
      </w:r>
      <w:r w:rsidR="001B765A">
        <w:rPr>
          <w:rFonts w:asciiTheme="minorHAnsi" w:hAnsiTheme="minorHAnsi" w:cs="Arial"/>
          <w:snapToGrid w:val="0"/>
          <w:lang w:val="en-GB"/>
        </w:rPr>
        <w:t xml:space="preserve"> that</w:t>
      </w:r>
      <w:r w:rsidR="001630C0">
        <w:rPr>
          <w:rFonts w:asciiTheme="minorHAnsi" w:hAnsiTheme="minorHAnsi" w:cs="Arial"/>
          <w:snapToGrid w:val="0"/>
          <w:lang w:val="en-GB"/>
        </w:rPr>
        <w:t xml:space="preserve"> the </w:t>
      </w:r>
      <w:r w:rsidR="000A77A0">
        <w:rPr>
          <w:rFonts w:asciiTheme="minorHAnsi" w:hAnsiTheme="minorHAnsi" w:cs="Arial"/>
          <w:snapToGrid w:val="0"/>
          <w:lang w:val="en-GB"/>
        </w:rPr>
        <w:t>patients had been enrolled in the trial</w:t>
      </w:r>
      <w:r w:rsidR="001630C0">
        <w:rPr>
          <w:rFonts w:asciiTheme="minorHAnsi" w:hAnsiTheme="minorHAnsi" w:cs="Arial"/>
          <w:snapToGrid w:val="0"/>
          <w:lang w:val="en-GB"/>
        </w:rPr>
        <w:t xml:space="preserve"> at the time of </w:t>
      </w:r>
      <w:r w:rsidR="00922EA0">
        <w:rPr>
          <w:rFonts w:asciiTheme="minorHAnsi" w:hAnsiTheme="minorHAnsi" w:cs="Arial"/>
          <w:snapToGrid w:val="0"/>
          <w:lang w:val="en-GB"/>
        </w:rPr>
        <w:t>the original submission</w:t>
      </w:r>
      <w:r w:rsidR="001630C0">
        <w:rPr>
          <w:rFonts w:asciiTheme="minorHAnsi" w:hAnsiTheme="minorHAnsi" w:cs="Arial"/>
          <w:snapToGrid w:val="0"/>
          <w:lang w:val="en-GB"/>
        </w:rPr>
        <w:t xml:space="preserve"> and </w:t>
      </w:r>
      <w:r w:rsidR="000A77A0">
        <w:rPr>
          <w:rFonts w:asciiTheme="minorHAnsi" w:hAnsiTheme="minorHAnsi" w:cs="Arial"/>
          <w:snapToGrid w:val="0"/>
          <w:lang w:val="en-GB"/>
        </w:rPr>
        <w:t>were accounted for</w:t>
      </w:r>
      <w:r w:rsidR="001630C0">
        <w:rPr>
          <w:rFonts w:asciiTheme="minorHAnsi" w:hAnsiTheme="minorHAnsi" w:cs="Arial"/>
          <w:snapToGrid w:val="0"/>
          <w:lang w:val="en-GB"/>
        </w:rPr>
        <w:t xml:space="preserve"> </w:t>
      </w:r>
      <w:r w:rsidR="00BC5F28">
        <w:rPr>
          <w:rFonts w:asciiTheme="minorHAnsi" w:hAnsiTheme="minorHAnsi" w:cs="Arial"/>
          <w:snapToGrid w:val="0"/>
          <w:lang w:val="en-GB"/>
        </w:rPr>
        <w:t xml:space="preserve">when </w:t>
      </w:r>
      <w:r w:rsidR="000A77A0">
        <w:rPr>
          <w:rFonts w:asciiTheme="minorHAnsi" w:hAnsiTheme="minorHAnsi" w:cs="Arial"/>
          <w:snapToGrid w:val="0"/>
          <w:lang w:val="en-GB"/>
        </w:rPr>
        <w:t>the PBAC</w:t>
      </w:r>
      <w:r w:rsidR="00BC5F28">
        <w:rPr>
          <w:rFonts w:asciiTheme="minorHAnsi" w:hAnsiTheme="minorHAnsi" w:cs="Arial"/>
          <w:snapToGrid w:val="0"/>
          <w:lang w:val="en-GB"/>
        </w:rPr>
        <w:t xml:space="preserve"> made its recommendation for the listing</w:t>
      </w:r>
      <w:r w:rsidR="00243AE1">
        <w:rPr>
          <w:rFonts w:asciiTheme="minorHAnsi" w:hAnsiTheme="minorHAnsi" w:cs="Arial"/>
          <w:snapToGrid w:val="0"/>
          <w:lang w:val="en-GB"/>
        </w:rPr>
        <w:t xml:space="preserve"> (</w:t>
      </w:r>
      <w:r w:rsidR="00243AE1" w:rsidRPr="00731BFA">
        <w:t>paragrap</w:t>
      </w:r>
      <w:r w:rsidR="00243AE1">
        <w:t>hs</w:t>
      </w:r>
      <w:r w:rsidR="00243AE1" w:rsidRPr="00731BFA">
        <w:t xml:space="preserve"> 2.</w:t>
      </w:r>
      <w:r w:rsidR="00243AE1">
        <w:t>4 and 7.8</w:t>
      </w:r>
      <w:r w:rsidR="00243AE1" w:rsidRPr="00731BFA">
        <w:t xml:space="preserve">, </w:t>
      </w:r>
      <w:r w:rsidR="00243AE1">
        <w:t>risankizumab</w:t>
      </w:r>
      <w:r w:rsidR="00243AE1" w:rsidRPr="00731BFA">
        <w:t>, PSD, July 201</w:t>
      </w:r>
      <w:r w:rsidR="00243AE1">
        <w:t>9</w:t>
      </w:r>
      <w:r w:rsidR="00243AE1" w:rsidRPr="00731BFA">
        <w:t xml:space="preserve"> PBAC Meeting</w:t>
      </w:r>
      <w:r w:rsidR="00243AE1">
        <w:t>)</w:t>
      </w:r>
      <w:r w:rsidR="001630C0">
        <w:rPr>
          <w:rFonts w:asciiTheme="minorHAnsi" w:hAnsiTheme="minorHAnsi" w:cs="Arial"/>
          <w:snapToGrid w:val="0"/>
          <w:lang w:val="en-GB"/>
        </w:rPr>
        <w:t xml:space="preserve">. </w:t>
      </w:r>
    </w:p>
    <w:p w14:paraId="1333F8D4" w14:textId="0BF6B411" w:rsidR="005B5092" w:rsidRDefault="005B5092" w:rsidP="008E3089">
      <w:pPr>
        <w:widowControl w:val="0"/>
        <w:numPr>
          <w:ilvl w:val="1"/>
          <w:numId w:val="2"/>
        </w:numPr>
        <w:spacing w:after="120"/>
        <w:rPr>
          <w:rFonts w:asciiTheme="minorHAnsi" w:hAnsiTheme="minorHAnsi" w:cs="Arial"/>
          <w:snapToGrid w:val="0"/>
          <w:lang w:val="en-GB"/>
        </w:rPr>
      </w:pPr>
      <w:r>
        <w:rPr>
          <w:rFonts w:asciiTheme="minorHAnsi" w:hAnsiTheme="minorHAnsi" w:cs="Arial"/>
          <w:snapToGrid w:val="0"/>
          <w:lang w:val="en-GB"/>
        </w:rPr>
        <w:t>The PBAC noted that this submission is eligible for an Independent Review.</w:t>
      </w:r>
    </w:p>
    <w:p w14:paraId="455622AC" w14:textId="77777777" w:rsidR="00E143A4" w:rsidRPr="00525B39" w:rsidRDefault="00E143A4" w:rsidP="008E3089">
      <w:pPr>
        <w:spacing w:before="240"/>
        <w:rPr>
          <w:rFonts w:asciiTheme="minorHAnsi" w:hAnsiTheme="minorHAnsi" w:cs="Arial"/>
          <w:b/>
          <w:bCs/>
          <w:snapToGrid w:val="0"/>
          <w:lang w:val="en-GB"/>
        </w:rPr>
      </w:pPr>
      <w:r w:rsidRPr="00525B39">
        <w:rPr>
          <w:rFonts w:asciiTheme="minorHAnsi" w:hAnsiTheme="minorHAnsi" w:cs="Arial"/>
          <w:b/>
          <w:bCs/>
          <w:snapToGrid w:val="0"/>
          <w:lang w:val="en-GB"/>
        </w:rPr>
        <w:t>Outcome:</w:t>
      </w:r>
    </w:p>
    <w:p w14:paraId="18BBDDEA" w14:textId="63CCB09F" w:rsidR="00E143A4" w:rsidRPr="009D1592" w:rsidRDefault="00E143A4" w:rsidP="008E3089">
      <w:pPr>
        <w:rPr>
          <w:rFonts w:asciiTheme="minorHAnsi" w:hAnsiTheme="minorHAnsi" w:cs="Arial"/>
          <w:bCs/>
          <w:snapToGrid w:val="0"/>
          <w:lang w:val="en-GB"/>
        </w:rPr>
      </w:pPr>
      <w:r>
        <w:rPr>
          <w:rFonts w:asciiTheme="minorHAnsi" w:hAnsiTheme="minorHAnsi" w:cs="Arial"/>
          <w:bCs/>
          <w:snapToGrid w:val="0"/>
          <w:lang w:val="en-GB"/>
        </w:rPr>
        <w:t>Not recommended</w:t>
      </w:r>
    </w:p>
    <w:bookmarkEnd w:id="9"/>
    <w:p w14:paraId="04EFD4C7" w14:textId="6FB32C30" w:rsidR="009D1592" w:rsidRPr="009D1592" w:rsidRDefault="009D1592" w:rsidP="008E3089">
      <w:pPr>
        <w:pStyle w:val="2-SectionHeading"/>
        <w:jc w:val="both"/>
      </w:pPr>
      <w:r w:rsidRPr="009D1592">
        <w:t>Context for Decision</w:t>
      </w:r>
    </w:p>
    <w:p w14:paraId="7FC292E8" w14:textId="77777777" w:rsidR="009D1592" w:rsidRDefault="009D1592" w:rsidP="008E3089">
      <w:pPr>
        <w:spacing w:after="120"/>
        <w:ind w:left="720"/>
        <w:rPr>
          <w:rFonts w:asciiTheme="minorHAnsi" w:hAnsiTheme="minorHAnsi" w:cs="Arial"/>
          <w:bCs/>
          <w:lang w:val="en-GB"/>
        </w:rPr>
      </w:pPr>
      <w:r>
        <w:rPr>
          <w:rFonts w:asciiTheme="minorHAnsi" w:hAnsiTheme="minorHAnsi" w:cs="Arial"/>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668ACC75" w14:textId="162D52C3" w:rsidR="009D1592" w:rsidRPr="009D1592" w:rsidRDefault="009D1592" w:rsidP="008E3089">
      <w:pPr>
        <w:pStyle w:val="2-SectionHeading"/>
        <w:jc w:val="both"/>
      </w:pPr>
      <w:r>
        <w:t>S</w:t>
      </w:r>
      <w:r w:rsidRPr="009D1592">
        <w:t>ponsor’s Comment</w:t>
      </w:r>
    </w:p>
    <w:p w14:paraId="5F060CBA" w14:textId="78B0A28A" w:rsidR="00E732C4" w:rsidRPr="008E3089" w:rsidRDefault="009D1592" w:rsidP="008E3089">
      <w:pPr>
        <w:spacing w:after="120"/>
        <w:ind w:left="426" w:firstLine="294"/>
        <w:rPr>
          <w:rFonts w:asciiTheme="minorHAnsi" w:hAnsiTheme="minorHAnsi" w:cs="Arial"/>
          <w:bCs/>
          <w:szCs w:val="22"/>
        </w:rPr>
      </w:pPr>
      <w:r>
        <w:rPr>
          <w:rFonts w:asciiTheme="minorHAnsi" w:hAnsiTheme="minorHAnsi" w:cs="Arial"/>
          <w:bCs/>
        </w:rPr>
        <w:t>The sponsor had no comment.</w:t>
      </w:r>
    </w:p>
    <w:sectPr w:rsidR="00E732C4" w:rsidRPr="008E3089" w:rsidSect="00C27B58">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11F013" w14:textId="77777777" w:rsidR="000425A2" w:rsidRDefault="000425A2">
      <w:r>
        <w:separator/>
      </w:r>
    </w:p>
    <w:p w14:paraId="6433FD90" w14:textId="77777777" w:rsidR="000425A2" w:rsidRDefault="000425A2"/>
  </w:endnote>
  <w:endnote w:type="continuationSeparator" w:id="0">
    <w:p w14:paraId="6934CEC8" w14:textId="77777777" w:rsidR="000425A2" w:rsidRDefault="000425A2">
      <w:r>
        <w:continuationSeparator/>
      </w:r>
    </w:p>
    <w:p w14:paraId="29EDABCB" w14:textId="77777777" w:rsidR="000425A2" w:rsidRDefault="000425A2"/>
  </w:endnote>
  <w:endnote w:type="continuationNotice" w:id="1">
    <w:p w14:paraId="5CAECEC7" w14:textId="77777777" w:rsidR="000425A2" w:rsidRDefault="000425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Arial Bold">
    <w:panose1 w:val="020B0704020202020204"/>
    <w:charset w:val="00"/>
    <w:family w:val="roman"/>
    <w:pitch w:val="default"/>
  </w:font>
  <w:font w:name="Open Sans">
    <w:charset w:val="00"/>
    <w:family w:val="swiss"/>
    <w:pitch w:val="variable"/>
    <w:sig w:usb0="E00002EF" w:usb1="4000205B" w:usb2="00000028" w:usb3="00000000" w:csb0="0000019F" w:csb1="00000000"/>
  </w:font>
  <w:font w:name="Times">
    <w:panose1 w:val="02020603050405020304"/>
    <w:charset w:val="00"/>
    <w:family w:val="roman"/>
    <w:pitch w:val="variable"/>
    <w:sig w:usb0="E0002EFF" w:usb1="C000785B" w:usb2="00000009" w:usb3="00000000" w:csb0="000001FF" w:csb1="00000000"/>
  </w:font>
  <w:font w:name="AdvPSJOANNA">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FA445" w14:textId="77777777" w:rsidR="009C26AA" w:rsidRDefault="009C26A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5003917"/>
      <w:docPartObj>
        <w:docPartGallery w:val="Page Numbers (Bottom of Page)"/>
        <w:docPartUnique/>
      </w:docPartObj>
    </w:sdtPr>
    <w:sdtEndPr>
      <w:rPr>
        <w:b/>
        <w:bCs/>
        <w:noProof/>
      </w:rPr>
    </w:sdtEndPr>
    <w:sdtContent>
      <w:p w14:paraId="4C71DE34" w14:textId="77777777" w:rsidR="00D25130" w:rsidRDefault="00D25130">
        <w:pPr>
          <w:pStyle w:val="Footer"/>
          <w:jc w:val="center"/>
        </w:pPr>
      </w:p>
      <w:p w14:paraId="355827FE" w14:textId="66E1C0DE" w:rsidR="009C26AA" w:rsidRPr="00A3107E" w:rsidRDefault="00D25130" w:rsidP="00A3107E">
        <w:pPr>
          <w:pStyle w:val="Footer"/>
          <w:jc w:val="center"/>
          <w:rPr>
            <w:b/>
            <w:bCs/>
          </w:rPr>
        </w:pPr>
        <w:r w:rsidRPr="00A3107E">
          <w:rPr>
            <w:b/>
            <w:bCs/>
          </w:rPr>
          <w:fldChar w:fldCharType="begin"/>
        </w:r>
        <w:r w:rsidRPr="00A3107E">
          <w:rPr>
            <w:b/>
            <w:bCs/>
          </w:rPr>
          <w:instrText xml:space="preserve"> PAGE   \* MERGEFORMAT </w:instrText>
        </w:r>
        <w:r w:rsidRPr="00A3107E">
          <w:rPr>
            <w:b/>
            <w:bCs/>
          </w:rPr>
          <w:fldChar w:fldCharType="separate"/>
        </w:r>
        <w:r w:rsidRPr="00A3107E">
          <w:rPr>
            <w:b/>
            <w:bCs/>
            <w:noProof/>
          </w:rPr>
          <w:t>2</w:t>
        </w:r>
        <w:r w:rsidRPr="00A3107E">
          <w:rPr>
            <w:b/>
            <w:bCs/>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9E30B" w14:textId="77777777" w:rsidR="009C26AA" w:rsidRDefault="009C26A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9BA5B4" w14:textId="77777777" w:rsidR="000425A2" w:rsidRDefault="000425A2">
      <w:r>
        <w:separator/>
      </w:r>
    </w:p>
    <w:p w14:paraId="4C30E606" w14:textId="77777777" w:rsidR="000425A2" w:rsidRDefault="000425A2"/>
  </w:footnote>
  <w:footnote w:type="continuationSeparator" w:id="0">
    <w:p w14:paraId="7E157AA0" w14:textId="77777777" w:rsidR="000425A2" w:rsidRDefault="000425A2">
      <w:r>
        <w:continuationSeparator/>
      </w:r>
    </w:p>
    <w:p w14:paraId="190E47FC" w14:textId="77777777" w:rsidR="000425A2" w:rsidRDefault="000425A2"/>
  </w:footnote>
  <w:footnote w:type="continuationNotice" w:id="1">
    <w:p w14:paraId="2B23610A" w14:textId="77777777" w:rsidR="000425A2" w:rsidRDefault="000425A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34A60" w14:textId="77777777" w:rsidR="009C26AA" w:rsidRDefault="009C26A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24B42" w14:textId="4986C803" w:rsidR="00C56D78" w:rsidRPr="00C56D78" w:rsidRDefault="002A16B8" w:rsidP="00C56D78">
    <w:pPr>
      <w:keepNext/>
      <w:tabs>
        <w:tab w:val="center" w:pos="4513"/>
        <w:tab w:val="right" w:pos="9026"/>
      </w:tabs>
      <w:jc w:val="center"/>
      <w:rPr>
        <w:rFonts w:asciiTheme="minorHAnsi" w:eastAsiaTheme="minorEastAsia" w:hAnsiTheme="minorHAnsi" w:cstheme="minorHAnsi"/>
        <w:i/>
        <w:color w:val="808080"/>
      </w:rPr>
    </w:pPr>
    <w:r>
      <w:rPr>
        <w:rFonts w:asciiTheme="minorHAnsi" w:eastAsiaTheme="minorEastAsia" w:hAnsiTheme="minorHAnsi" w:cstheme="minorHAnsi"/>
        <w:i/>
        <w:color w:val="808080"/>
      </w:rPr>
      <w:t>Public Summary Document</w:t>
    </w:r>
    <w:r w:rsidR="00D25130">
      <w:rPr>
        <w:rFonts w:asciiTheme="minorHAnsi" w:eastAsiaTheme="minorEastAsia" w:hAnsiTheme="minorHAnsi" w:cstheme="minorHAnsi"/>
        <w:i/>
        <w:color w:val="808080"/>
      </w:rPr>
      <w:t xml:space="preserve"> – </w:t>
    </w:r>
    <w:r w:rsidR="000A35F6">
      <w:rPr>
        <w:rFonts w:asciiTheme="minorHAnsi" w:eastAsiaTheme="minorEastAsia" w:hAnsiTheme="minorHAnsi" w:cstheme="minorHAnsi"/>
        <w:i/>
        <w:color w:val="808080"/>
      </w:rPr>
      <w:t>March</w:t>
    </w:r>
    <w:r w:rsidR="00C56D78">
      <w:rPr>
        <w:rFonts w:asciiTheme="minorHAnsi" w:eastAsiaTheme="minorEastAsia" w:hAnsiTheme="minorHAnsi" w:cstheme="minorHAnsi"/>
        <w:i/>
        <w:color w:val="808080"/>
      </w:rPr>
      <w:t xml:space="preserve"> 202</w:t>
    </w:r>
    <w:r w:rsidR="000A35F6">
      <w:rPr>
        <w:rFonts w:asciiTheme="minorHAnsi" w:eastAsiaTheme="minorEastAsia" w:hAnsiTheme="minorHAnsi" w:cstheme="minorHAnsi"/>
        <w:i/>
        <w:color w:val="808080"/>
      </w:rPr>
      <w:t>3</w:t>
    </w:r>
    <w:r w:rsidR="00C56D78" w:rsidRPr="00C56D78">
      <w:rPr>
        <w:rFonts w:asciiTheme="minorHAnsi" w:eastAsiaTheme="minorEastAsia" w:hAnsiTheme="minorHAnsi" w:cstheme="minorHAnsi"/>
        <w:i/>
        <w:color w:val="808080"/>
      </w:rPr>
      <w:t xml:space="preserve"> PBAC Meeting</w:t>
    </w:r>
  </w:p>
  <w:p w14:paraId="49FC1F8C" w14:textId="77777777" w:rsidR="00C56D78" w:rsidRPr="00A3107E" w:rsidRDefault="00C56D78" w:rsidP="00A128E6">
    <w:pPr>
      <w:pStyle w:val="NoSpacing"/>
      <w:rPr>
        <w:rFonts w:asciiTheme="minorHAnsi" w:hAnsiTheme="minorHAnsi" w:cstheme="minorHAnsi"/>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4D92F" w14:textId="77777777" w:rsidR="008D4587" w:rsidRDefault="008D45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EE52495A"/>
    <w:lvl w:ilvl="0">
      <w:start w:val="1"/>
      <w:numFmt w:val="decimal"/>
      <w:pStyle w:val="3-BodyText"/>
      <w:lvlText w:val="%1."/>
      <w:lvlJc w:val="left"/>
      <w:pPr>
        <w:tabs>
          <w:tab w:val="num" w:pos="360"/>
        </w:tabs>
        <w:ind w:left="360" w:hanging="360"/>
      </w:pPr>
    </w:lvl>
  </w:abstractNum>
  <w:abstractNum w:abstractNumId="1" w15:restartNumberingAfterBreak="0">
    <w:nsid w:val="FFFFFF89"/>
    <w:multiLevelType w:val="hybridMultilevel"/>
    <w:tmpl w:val="98E4CF80"/>
    <w:lvl w:ilvl="0" w:tplc="DBD660D0">
      <w:start w:val="1"/>
      <w:numFmt w:val="bullet"/>
      <w:pStyle w:val="ListBullet"/>
      <w:lvlText w:val=""/>
      <w:lvlJc w:val="left"/>
      <w:pPr>
        <w:tabs>
          <w:tab w:val="num" w:pos="360"/>
        </w:tabs>
        <w:ind w:left="360" w:hanging="360"/>
      </w:pPr>
      <w:rPr>
        <w:rFonts w:ascii="Symbol" w:hAnsi="Symbol" w:hint="default"/>
      </w:rPr>
    </w:lvl>
    <w:lvl w:ilvl="1" w:tplc="73E220B8">
      <w:numFmt w:val="decimal"/>
      <w:lvlText w:val=""/>
      <w:lvlJc w:val="left"/>
    </w:lvl>
    <w:lvl w:ilvl="2" w:tplc="83E2E2DA">
      <w:numFmt w:val="decimal"/>
      <w:lvlText w:val=""/>
      <w:lvlJc w:val="left"/>
    </w:lvl>
    <w:lvl w:ilvl="3" w:tplc="8B723C16">
      <w:numFmt w:val="decimal"/>
      <w:lvlText w:val=""/>
      <w:lvlJc w:val="left"/>
    </w:lvl>
    <w:lvl w:ilvl="4" w:tplc="AB960680">
      <w:numFmt w:val="decimal"/>
      <w:lvlText w:val=""/>
      <w:lvlJc w:val="left"/>
    </w:lvl>
    <w:lvl w:ilvl="5" w:tplc="E098C210">
      <w:numFmt w:val="decimal"/>
      <w:lvlText w:val=""/>
      <w:lvlJc w:val="left"/>
    </w:lvl>
    <w:lvl w:ilvl="6" w:tplc="6B18DA12">
      <w:numFmt w:val="decimal"/>
      <w:lvlText w:val=""/>
      <w:lvlJc w:val="left"/>
    </w:lvl>
    <w:lvl w:ilvl="7" w:tplc="A7D4E182">
      <w:numFmt w:val="decimal"/>
      <w:lvlText w:val=""/>
      <w:lvlJc w:val="left"/>
    </w:lvl>
    <w:lvl w:ilvl="8" w:tplc="E84689B2">
      <w:numFmt w:val="decimal"/>
      <w:lvlText w:val=""/>
      <w:lvlJc w:val="left"/>
    </w:lvl>
  </w:abstractNum>
  <w:abstractNum w:abstractNumId="2" w15:restartNumberingAfterBreak="0">
    <w:nsid w:val="00543B18"/>
    <w:multiLevelType w:val="hybridMultilevel"/>
    <w:tmpl w:val="99DE53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1986395"/>
    <w:multiLevelType w:val="hybridMultilevel"/>
    <w:tmpl w:val="0DBAEC3C"/>
    <w:lvl w:ilvl="0" w:tplc="0C09000F">
      <w:start w:val="1"/>
      <w:numFmt w:val="decimal"/>
      <w:lvlText w:val="%1."/>
      <w:lvlJc w:val="left"/>
      <w:pPr>
        <w:ind w:left="1080" w:hanging="360"/>
      </w:pPr>
      <w:rPr>
        <w:rFonts w:hint="default"/>
      </w:rPr>
    </w:lvl>
    <w:lvl w:ilvl="1" w:tplc="442A8F9A">
      <w:start w:val="1"/>
      <w:numFmt w:val="lowerLetter"/>
      <w:lvlText w:val="%2."/>
      <w:lvlJc w:val="left"/>
      <w:pPr>
        <w:ind w:left="1800" w:hanging="360"/>
      </w:pPr>
    </w:lvl>
    <w:lvl w:ilvl="2" w:tplc="AE6252A8">
      <w:start w:val="1"/>
      <w:numFmt w:val="lowerRoman"/>
      <w:lvlText w:val="%3."/>
      <w:lvlJc w:val="right"/>
      <w:pPr>
        <w:ind w:left="2520" w:hanging="180"/>
      </w:pPr>
    </w:lvl>
    <w:lvl w:ilvl="3" w:tplc="827A251E">
      <w:start w:val="1"/>
      <w:numFmt w:val="decimal"/>
      <w:lvlText w:val="%4."/>
      <w:lvlJc w:val="left"/>
      <w:pPr>
        <w:ind w:left="3240" w:hanging="360"/>
      </w:pPr>
    </w:lvl>
    <w:lvl w:ilvl="4" w:tplc="6AA6B8AE">
      <w:start w:val="1"/>
      <w:numFmt w:val="lowerLetter"/>
      <w:lvlText w:val="%5."/>
      <w:lvlJc w:val="left"/>
      <w:pPr>
        <w:ind w:left="3960" w:hanging="360"/>
      </w:pPr>
    </w:lvl>
    <w:lvl w:ilvl="5" w:tplc="5FE8C990">
      <w:start w:val="1"/>
      <w:numFmt w:val="lowerRoman"/>
      <w:lvlText w:val="%6."/>
      <w:lvlJc w:val="right"/>
      <w:pPr>
        <w:ind w:left="4680" w:hanging="180"/>
      </w:pPr>
    </w:lvl>
    <w:lvl w:ilvl="6" w:tplc="2D5CA0F4">
      <w:start w:val="1"/>
      <w:numFmt w:val="decimal"/>
      <w:lvlText w:val="%7."/>
      <w:lvlJc w:val="left"/>
      <w:pPr>
        <w:ind w:left="5400" w:hanging="360"/>
      </w:pPr>
    </w:lvl>
    <w:lvl w:ilvl="7" w:tplc="17D46400">
      <w:start w:val="1"/>
      <w:numFmt w:val="lowerLetter"/>
      <w:lvlText w:val="%8."/>
      <w:lvlJc w:val="left"/>
      <w:pPr>
        <w:ind w:left="6120" w:hanging="360"/>
      </w:pPr>
    </w:lvl>
    <w:lvl w:ilvl="8" w:tplc="F3580F02">
      <w:start w:val="1"/>
      <w:numFmt w:val="lowerRoman"/>
      <w:lvlText w:val="%9."/>
      <w:lvlJc w:val="right"/>
      <w:pPr>
        <w:ind w:left="6840" w:hanging="180"/>
      </w:pPr>
    </w:lvl>
  </w:abstractNum>
  <w:abstractNum w:abstractNumId="5"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CFD74B5"/>
    <w:multiLevelType w:val="multilevel"/>
    <w:tmpl w:val="3A262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68E073B"/>
    <w:multiLevelType w:val="hybridMultilevel"/>
    <w:tmpl w:val="33F213F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171536BC"/>
    <w:multiLevelType w:val="hybridMultilevel"/>
    <w:tmpl w:val="2072207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CDA15CE"/>
    <w:multiLevelType w:val="hybridMultilevel"/>
    <w:tmpl w:val="815AC3C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1D62792F"/>
    <w:multiLevelType w:val="hybridMultilevel"/>
    <w:tmpl w:val="43185BF6"/>
    <w:lvl w:ilvl="0" w:tplc="D8CCAE7C">
      <w:numFmt w:val="bullet"/>
      <w:lvlText w:val="-"/>
      <w:lvlJc w:val="left"/>
      <w:pPr>
        <w:ind w:left="720" w:hanging="360"/>
      </w:pPr>
      <w:rPr>
        <w:rFonts w:ascii="Calibri" w:eastAsiaTheme="minorHAnsi" w:hAnsi="Calibri" w:cs="Calibri" w:hint="default"/>
        <w:b w:val="0"/>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3924B96"/>
    <w:multiLevelType w:val="hybridMultilevel"/>
    <w:tmpl w:val="FC18D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C975E3F"/>
    <w:multiLevelType w:val="hybridMultilevel"/>
    <w:tmpl w:val="E624A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E826466"/>
    <w:multiLevelType w:val="hybridMultilevel"/>
    <w:tmpl w:val="BB7E423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15:restartNumberingAfterBreak="0">
    <w:nsid w:val="36244933"/>
    <w:multiLevelType w:val="hybridMultilevel"/>
    <w:tmpl w:val="DC3C8D6A"/>
    <w:lvl w:ilvl="0" w:tplc="88F6AAB0">
      <w:start w:val="1"/>
      <w:numFmt w:val="upperLetter"/>
      <w:lvlText w:val="%1."/>
      <w:lvlJc w:val="left"/>
      <w:pPr>
        <w:ind w:left="720" w:hanging="360"/>
      </w:pPr>
      <w:rPr>
        <w:i w:val="0"/>
        <w:iCs w:val="0"/>
        <w:color w:val="auto"/>
      </w:rPr>
    </w:lvl>
    <w:lvl w:ilvl="1" w:tplc="442A8F9A">
      <w:start w:val="1"/>
      <w:numFmt w:val="lowerLetter"/>
      <w:lvlText w:val="%2."/>
      <w:lvlJc w:val="left"/>
      <w:pPr>
        <w:ind w:left="1440" w:hanging="360"/>
      </w:pPr>
    </w:lvl>
    <w:lvl w:ilvl="2" w:tplc="AE6252A8">
      <w:start w:val="1"/>
      <w:numFmt w:val="lowerRoman"/>
      <w:lvlText w:val="%3."/>
      <w:lvlJc w:val="right"/>
      <w:pPr>
        <w:ind w:left="2160" w:hanging="180"/>
      </w:pPr>
    </w:lvl>
    <w:lvl w:ilvl="3" w:tplc="827A251E">
      <w:start w:val="1"/>
      <w:numFmt w:val="decimal"/>
      <w:lvlText w:val="%4."/>
      <w:lvlJc w:val="left"/>
      <w:pPr>
        <w:ind w:left="2880" w:hanging="360"/>
      </w:pPr>
    </w:lvl>
    <w:lvl w:ilvl="4" w:tplc="6AA6B8AE">
      <w:start w:val="1"/>
      <w:numFmt w:val="lowerLetter"/>
      <w:lvlText w:val="%5."/>
      <w:lvlJc w:val="left"/>
      <w:pPr>
        <w:ind w:left="3600" w:hanging="360"/>
      </w:pPr>
    </w:lvl>
    <w:lvl w:ilvl="5" w:tplc="5FE8C990">
      <w:start w:val="1"/>
      <w:numFmt w:val="lowerRoman"/>
      <w:lvlText w:val="%6."/>
      <w:lvlJc w:val="right"/>
      <w:pPr>
        <w:ind w:left="4320" w:hanging="180"/>
      </w:pPr>
    </w:lvl>
    <w:lvl w:ilvl="6" w:tplc="2D5CA0F4">
      <w:start w:val="1"/>
      <w:numFmt w:val="decimal"/>
      <w:lvlText w:val="%7."/>
      <w:lvlJc w:val="left"/>
      <w:pPr>
        <w:ind w:left="5040" w:hanging="360"/>
      </w:pPr>
    </w:lvl>
    <w:lvl w:ilvl="7" w:tplc="17D46400">
      <w:start w:val="1"/>
      <w:numFmt w:val="lowerLetter"/>
      <w:lvlText w:val="%8."/>
      <w:lvlJc w:val="left"/>
      <w:pPr>
        <w:ind w:left="5760" w:hanging="360"/>
      </w:pPr>
    </w:lvl>
    <w:lvl w:ilvl="8" w:tplc="F3580F02">
      <w:start w:val="1"/>
      <w:numFmt w:val="lowerRoman"/>
      <w:lvlText w:val="%9."/>
      <w:lvlJc w:val="right"/>
      <w:pPr>
        <w:ind w:left="6480" w:hanging="180"/>
      </w:pPr>
    </w:lvl>
  </w:abstractNum>
  <w:abstractNum w:abstractNumId="16" w15:restartNumberingAfterBreak="0">
    <w:nsid w:val="39720272"/>
    <w:multiLevelType w:val="hybridMultilevel"/>
    <w:tmpl w:val="00BC73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E9B0E61"/>
    <w:multiLevelType w:val="hybridMultilevel"/>
    <w:tmpl w:val="58CAAE7C"/>
    <w:lvl w:ilvl="0" w:tplc="023293D0">
      <w:start w:val="1"/>
      <w:numFmt w:val="decimal"/>
      <w:pStyle w:val="ProcedureStep"/>
      <w:lvlText w:val="%1)"/>
      <w:lvlJc w:val="left"/>
      <w:pPr>
        <w:tabs>
          <w:tab w:val="num" w:pos="1134"/>
        </w:tabs>
        <w:ind w:left="1134" w:hanging="567"/>
      </w:pPr>
      <w:rPr>
        <w:rFonts w:hint="default"/>
      </w:rPr>
    </w:lvl>
    <w:lvl w:ilvl="1" w:tplc="FEF0FA2E">
      <w:numFmt w:val="decimal"/>
      <w:lvlText w:val=""/>
      <w:lvlJc w:val="left"/>
    </w:lvl>
    <w:lvl w:ilvl="2" w:tplc="4D60BAB6">
      <w:numFmt w:val="decimal"/>
      <w:lvlText w:val=""/>
      <w:lvlJc w:val="left"/>
    </w:lvl>
    <w:lvl w:ilvl="3" w:tplc="79345ED4">
      <w:numFmt w:val="decimal"/>
      <w:lvlText w:val=""/>
      <w:lvlJc w:val="left"/>
    </w:lvl>
    <w:lvl w:ilvl="4" w:tplc="4F1E9D76">
      <w:numFmt w:val="decimal"/>
      <w:lvlText w:val=""/>
      <w:lvlJc w:val="left"/>
    </w:lvl>
    <w:lvl w:ilvl="5" w:tplc="1DE660BE">
      <w:numFmt w:val="decimal"/>
      <w:lvlText w:val=""/>
      <w:lvlJc w:val="left"/>
    </w:lvl>
    <w:lvl w:ilvl="6" w:tplc="F39AEA7A">
      <w:numFmt w:val="decimal"/>
      <w:lvlText w:val=""/>
      <w:lvlJc w:val="left"/>
    </w:lvl>
    <w:lvl w:ilvl="7" w:tplc="C952D1F8">
      <w:numFmt w:val="decimal"/>
      <w:lvlText w:val=""/>
      <w:lvlJc w:val="left"/>
    </w:lvl>
    <w:lvl w:ilvl="8" w:tplc="C93A6AF8">
      <w:numFmt w:val="decimal"/>
      <w:lvlText w:val=""/>
      <w:lvlJc w:val="left"/>
    </w:lvl>
  </w:abstractNum>
  <w:abstractNum w:abstractNumId="18" w15:restartNumberingAfterBreak="0">
    <w:nsid w:val="3F2D7259"/>
    <w:multiLevelType w:val="hybridMultilevel"/>
    <w:tmpl w:val="15A6DE4E"/>
    <w:lvl w:ilvl="0" w:tplc="0C090003">
      <w:start w:val="1"/>
      <w:numFmt w:val="bullet"/>
      <w:lvlText w:val="o"/>
      <w:lvlJc w:val="left"/>
      <w:pPr>
        <w:ind w:left="2160" w:hanging="360"/>
      </w:pPr>
      <w:rPr>
        <w:rFonts w:ascii="Courier New" w:hAnsi="Courier New" w:cs="Courier New"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9" w15:restartNumberingAfterBreak="0">
    <w:nsid w:val="45436BF2"/>
    <w:multiLevelType w:val="hybridMultilevel"/>
    <w:tmpl w:val="ECF2868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0" w15:restartNumberingAfterBreak="0">
    <w:nsid w:val="47C220D8"/>
    <w:multiLevelType w:val="hybridMultilevel"/>
    <w:tmpl w:val="5716646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1" w15:restartNumberingAfterBreak="0">
    <w:nsid w:val="486A4A63"/>
    <w:multiLevelType w:val="hybridMultilevel"/>
    <w:tmpl w:val="D458AE20"/>
    <w:lvl w:ilvl="0" w:tplc="0C090001">
      <w:start w:val="1"/>
      <w:numFmt w:val="bullet"/>
      <w:lvlText w:val=""/>
      <w:lvlJc w:val="left"/>
      <w:pPr>
        <w:ind w:left="720" w:hanging="360"/>
      </w:pPr>
      <w:rPr>
        <w:rFonts w:ascii="Symbol" w:hAnsi="Symbol" w:hint="default"/>
      </w:rPr>
    </w:lvl>
    <w:lvl w:ilvl="1" w:tplc="442A8F9A">
      <w:start w:val="1"/>
      <w:numFmt w:val="lowerLetter"/>
      <w:lvlText w:val="%2."/>
      <w:lvlJc w:val="left"/>
      <w:pPr>
        <w:ind w:left="1440" w:hanging="360"/>
      </w:pPr>
    </w:lvl>
    <w:lvl w:ilvl="2" w:tplc="AE6252A8">
      <w:start w:val="1"/>
      <w:numFmt w:val="lowerRoman"/>
      <w:lvlText w:val="%3."/>
      <w:lvlJc w:val="right"/>
      <w:pPr>
        <w:ind w:left="2160" w:hanging="180"/>
      </w:pPr>
    </w:lvl>
    <w:lvl w:ilvl="3" w:tplc="827A251E">
      <w:start w:val="1"/>
      <w:numFmt w:val="decimal"/>
      <w:lvlText w:val="%4."/>
      <w:lvlJc w:val="left"/>
      <w:pPr>
        <w:ind w:left="2880" w:hanging="360"/>
      </w:pPr>
    </w:lvl>
    <w:lvl w:ilvl="4" w:tplc="6AA6B8AE">
      <w:start w:val="1"/>
      <w:numFmt w:val="lowerLetter"/>
      <w:lvlText w:val="%5."/>
      <w:lvlJc w:val="left"/>
      <w:pPr>
        <w:ind w:left="3600" w:hanging="360"/>
      </w:pPr>
    </w:lvl>
    <w:lvl w:ilvl="5" w:tplc="5FE8C990">
      <w:start w:val="1"/>
      <w:numFmt w:val="lowerRoman"/>
      <w:lvlText w:val="%6."/>
      <w:lvlJc w:val="right"/>
      <w:pPr>
        <w:ind w:left="4320" w:hanging="180"/>
      </w:pPr>
    </w:lvl>
    <w:lvl w:ilvl="6" w:tplc="2D5CA0F4">
      <w:start w:val="1"/>
      <w:numFmt w:val="decimal"/>
      <w:lvlText w:val="%7."/>
      <w:lvlJc w:val="left"/>
      <w:pPr>
        <w:ind w:left="5040" w:hanging="360"/>
      </w:pPr>
    </w:lvl>
    <w:lvl w:ilvl="7" w:tplc="17D46400">
      <w:start w:val="1"/>
      <w:numFmt w:val="lowerLetter"/>
      <w:lvlText w:val="%8."/>
      <w:lvlJc w:val="left"/>
      <w:pPr>
        <w:ind w:left="5760" w:hanging="360"/>
      </w:pPr>
    </w:lvl>
    <w:lvl w:ilvl="8" w:tplc="F3580F02">
      <w:start w:val="1"/>
      <w:numFmt w:val="lowerRoman"/>
      <w:lvlText w:val="%9."/>
      <w:lvlJc w:val="right"/>
      <w:pPr>
        <w:ind w:left="6480" w:hanging="180"/>
      </w:pPr>
    </w:lvl>
  </w:abstractNum>
  <w:abstractNum w:abstractNumId="22" w15:restartNumberingAfterBreak="0">
    <w:nsid w:val="4C25709A"/>
    <w:multiLevelType w:val="multilevel"/>
    <w:tmpl w:val="01EC2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CE710A4"/>
    <w:multiLevelType w:val="hybridMultilevel"/>
    <w:tmpl w:val="9D4CF2C8"/>
    <w:lvl w:ilvl="0" w:tplc="4A96AD60">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D1C328C"/>
    <w:multiLevelType w:val="hybridMultilevel"/>
    <w:tmpl w:val="C0A88020"/>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6" w15:restartNumberingAfterBreak="0">
    <w:nsid w:val="5DAC5FFD"/>
    <w:multiLevelType w:val="hybridMultilevel"/>
    <w:tmpl w:val="36F4BAC2"/>
    <w:lvl w:ilvl="0" w:tplc="309414AC">
      <w:start w:val="1"/>
      <w:numFmt w:val="decimal"/>
      <w:pStyle w:val="Lists"/>
      <w:lvlText w:val="(%1)"/>
      <w:lvlJc w:val="left"/>
      <w:pPr>
        <w:ind w:left="1080" w:hanging="360"/>
      </w:pPr>
      <w:rPr>
        <w:rFonts w:hint="default"/>
      </w:rPr>
    </w:lvl>
    <w:lvl w:ilvl="1" w:tplc="0C090019">
      <w:start w:val="1"/>
      <w:numFmt w:val="lowerLetter"/>
      <w:pStyle w:val="Lists"/>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7" w15:restartNumberingAfterBreak="0">
    <w:nsid w:val="5F104424"/>
    <w:multiLevelType w:val="hybridMultilevel"/>
    <w:tmpl w:val="BF4AF9D8"/>
    <w:lvl w:ilvl="0" w:tplc="75E077CA">
      <w:start w:val="1"/>
      <w:numFmt w:val="decimal"/>
      <w:lvlText w:val="%1."/>
      <w:lvlJc w:val="left"/>
      <w:pPr>
        <w:ind w:left="360" w:hanging="360"/>
      </w:pPr>
      <w:rPr>
        <w:rFonts w:asciiTheme="minorHAnsi" w:hAnsiTheme="minorHAnsi" w:cstheme="minorHAnsi" w:hint="default"/>
        <w:i/>
        <w:iCs/>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5FFA4976"/>
    <w:multiLevelType w:val="hybridMultilevel"/>
    <w:tmpl w:val="B32407CA"/>
    <w:lvl w:ilvl="0" w:tplc="0C090019">
      <w:start w:val="2"/>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9" w15:restartNumberingAfterBreak="0">
    <w:nsid w:val="617B0461"/>
    <w:multiLevelType w:val="hybridMultilevel"/>
    <w:tmpl w:val="74DA67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68EA1610"/>
    <w:multiLevelType w:val="hybridMultilevel"/>
    <w:tmpl w:val="3F20135E"/>
    <w:lvl w:ilvl="0" w:tplc="7CA06DB8">
      <w:start w:val="1"/>
      <w:numFmt w:val="lowerLetter"/>
      <w:lvlText w:val="(%1)"/>
      <w:lvlJc w:val="left"/>
      <w:pPr>
        <w:ind w:left="1080" w:hanging="360"/>
      </w:pPr>
      <w:rPr>
        <w:rFonts w:asciiTheme="minorHAnsi" w:eastAsia="Times New Roman" w:hAnsiTheme="minorHAnsi" w:cstheme="minorHAnsi" w:hint="default"/>
      </w:rPr>
    </w:lvl>
    <w:lvl w:ilvl="1" w:tplc="0C09001B">
      <w:start w:val="1"/>
      <w:numFmt w:val="lowerRoman"/>
      <w:lvlText w:val="%2."/>
      <w:lvlJc w:val="right"/>
      <w:pPr>
        <w:ind w:left="1800" w:hanging="360"/>
      </w:pPr>
    </w:lvl>
    <w:lvl w:ilvl="2" w:tplc="E67A9596">
      <w:start w:val="1"/>
      <w:numFmt w:val="decimal"/>
      <w:lvlText w:val="%3."/>
      <w:lvlJc w:val="left"/>
      <w:pPr>
        <w:ind w:left="2700" w:hanging="360"/>
      </w:pPr>
      <w:rPr>
        <w:rFonts w:hint="default"/>
      </w:r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1" w15:restartNumberingAfterBreak="0">
    <w:nsid w:val="6945511A"/>
    <w:multiLevelType w:val="hybridMultilevel"/>
    <w:tmpl w:val="4E94D3C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2" w15:restartNumberingAfterBreak="0">
    <w:nsid w:val="6D5D538F"/>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6FEC02A8"/>
    <w:multiLevelType w:val="hybridMultilevel"/>
    <w:tmpl w:val="1EF642A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4" w15:restartNumberingAfterBreak="0">
    <w:nsid w:val="71BD3BEF"/>
    <w:multiLevelType w:val="hybridMultilevel"/>
    <w:tmpl w:val="7C0690C2"/>
    <w:lvl w:ilvl="0" w:tplc="0C090017">
      <w:start w:val="1"/>
      <w:numFmt w:val="lowerLetter"/>
      <w:lvlText w:val="%1)"/>
      <w:lvlJc w:val="left"/>
      <w:pPr>
        <w:ind w:left="1440" w:hanging="360"/>
      </w:pPr>
      <w:rPr>
        <w:rFonts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35" w15:restartNumberingAfterBreak="0">
    <w:nsid w:val="784D033C"/>
    <w:multiLevelType w:val="multilevel"/>
    <w:tmpl w:val="213AF02C"/>
    <w:lvl w:ilvl="0">
      <w:start w:val="1"/>
      <w:numFmt w:val="decimal"/>
      <w:pStyle w:val="2-SectionHeading"/>
      <w:lvlText w:val="%1"/>
      <w:lvlJc w:val="left"/>
      <w:pPr>
        <w:ind w:left="720" w:hanging="720"/>
      </w:pPr>
      <w:rPr>
        <w:b/>
        <w:color w:val="auto"/>
      </w:rPr>
    </w:lvl>
    <w:lvl w:ilvl="1">
      <w:start w:val="1"/>
      <w:numFmt w:val="decimal"/>
      <w:pStyle w:val="3Bodytext"/>
      <w:lvlText w:val="%1.%2"/>
      <w:lvlJc w:val="left"/>
      <w:pPr>
        <w:ind w:left="720" w:hanging="720"/>
      </w:pPr>
      <w:rPr>
        <w:b w:val="0"/>
        <w:i w:val="0"/>
        <w:color w:val="auto"/>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6" w15:restartNumberingAfterBreak="0">
    <w:nsid w:val="79865800"/>
    <w:multiLevelType w:val="hybridMultilevel"/>
    <w:tmpl w:val="9CFCE8D0"/>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7" w15:restartNumberingAfterBreak="0">
    <w:nsid w:val="7BBB7FF1"/>
    <w:multiLevelType w:val="hybridMultilevel"/>
    <w:tmpl w:val="948439A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5"/>
  </w:num>
  <w:num w:numId="2">
    <w:abstractNumId w:val="35"/>
  </w:num>
  <w:num w:numId="3">
    <w:abstractNumId w:val="0"/>
  </w:num>
  <w:num w:numId="4">
    <w:abstractNumId w:val="26"/>
  </w:num>
  <w:num w:numId="5">
    <w:abstractNumId w:val="37"/>
  </w:num>
  <w:num w:numId="6">
    <w:abstractNumId w:val="33"/>
  </w:num>
  <w:num w:numId="7">
    <w:abstractNumId w:val="23"/>
  </w:num>
  <w:num w:numId="8">
    <w:abstractNumId w:val="17"/>
  </w:num>
  <w:num w:numId="9">
    <w:abstractNumId w:val="1"/>
  </w:num>
  <w:num w:numId="10">
    <w:abstractNumId w:val="35"/>
  </w:num>
  <w:num w:numId="11">
    <w:abstractNumId w:val="31"/>
  </w:num>
  <w:num w:numId="12">
    <w:abstractNumId w:val="34"/>
  </w:num>
  <w:num w:numId="13">
    <w:abstractNumId w:val="14"/>
  </w:num>
  <w:num w:numId="14">
    <w:abstractNumId w:val="10"/>
  </w:num>
  <w:num w:numId="15">
    <w:abstractNumId w:val="29"/>
  </w:num>
  <w:num w:numId="16">
    <w:abstractNumId w:val="4"/>
  </w:num>
  <w:num w:numId="1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6"/>
  </w:num>
  <w:num w:numId="19">
    <w:abstractNumId w:val="25"/>
  </w:num>
  <w:num w:numId="20">
    <w:abstractNumId w:val="8"/>
  </w:num>
  <w:num w:numId="21">
    <w:abstractNumId w:val="7"/>
  </w:num>
  <w:num w:numId="22">
    <w:abstractNumId w:val="21"/>
  </w:num>
  <w:num w:numId="23">
    <w:abstractNumId w:val="9"/>
  </w:num>
  <w:num w:numId="24">
    <w:abstractNumId w:val="6"/>
  </w:num>
  <w:num w:numId="25">
    <w:abstractNumId w:val="16"/>
  </w:num>
  <w:num w:numId="26">
    <w:abstractNumId w:val="20"/>
  </w:num>
  <w:num w:numId="27">
    <w:abstractNumId w:val="2"/>
  </w:num>
  <w:num w:numId="28">
    <w:abstractNumId w:val="19"/>
  </w:num>
  <w:num w:numId="29">
    <w:abstractNumId w:val="18"/>
  </w:num>
  <w:num w:numId="30">
    <w:abstractNumId w:val="27"/>
  </w:num>
  <w:num w:numId="31">
    <w:abstractNumId w:val="22"/>
  </w:num>
  <w:num w:numId="32">
    <w:abstractNumId w:val="24"/>
  </w:num>
  <w:num w:numId="33">
    <w:abstractNumId w:val="5"/>
  </w:num>
  <w:num w:numId="34">
    <w:abstractNumId w:val="3"/>
  </w:num>
  <w:num w:numId="35">
    <w:abstractNumId w:val="12"/>
  </w:num>
  <w:num w:numId="36">
    <w:abstractNumId w:val="13"/>
  </w:num>
  <w:num w:numId="37">
    <w:abstractNumId w:val="11"/>
  </w:num>
  <w:num w:numId="38">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2"/>
  </w:num>
  <w:num w:numId="40">
    <w:abstractNumId w:val="35"/>
  </w:num>
  <w:num w:numId="41">
    <w:abstractNumId w:val="3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noPunctuationKerning/>
  <w:characterSpacingControl w:val="doNotCompress"/>
  <w:hdrShapeDefaults>
    <o:shapedefaults v:ext="edit" spidmax="1351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02BB"/>
    <w:rsid w:val="0000080A"/>
    <w:rsid w:val="0000096D"/>
    <w:rsid w:val="00001663"/>
    <w:rsid w:val="000025AD"/>
    <w:rsid w:val="00002774"/>
    <w:rsid w:val="0000335D"/>
    <w:rsid w:val="00003EC5"/>
    <w:rsid w:val="00006782"/>
    <w:rsid w:val="0001179A"/>
    <w:rsid w:val="00011A59"/>
    <w:rsid w:val="00014D69"/>
    <w:rsid w:val="00016A41"/>
    <w:rsid w:val="000207C8"/>
    <w:rsid w:val="000214D1"/>
    <w:rsid w:val="00021F20"/>
    <w:rsid w:val="000244EE"/>
    <w:rsid w:val="0002464A"/>
    <w:rsid w:val="00025A04"/>
    <w:rsid w:val="0002693D"/>
    <w:rsid w:val="0003050E"/>
    <w:rsid w:val="0003106B"/>
    <w:rsid w:val="000335B9"/>
    <w:rsid w:val="00034905"/>
    <w:rsid w:val="00036E49"/>
    <w:rsid w:val="00037906"/>
    <w:rsid w:val="00040A30"/>
    <w:rsid w:val="00040E8E"/>
    <w:rsid w:val="000421A1"/>
    <w:rsid w:val="0004240E"/>
    <w:rsid w:val="000425A2"/>
    <w:rsid w:val="00044E52"/>
    <w:rsid w:val="00044EC4"/>
    <w:rsid w:val="00045E26"/>
    <w:rsid w:val="00046903"/>
    <w:rsid w:val="000514B5"/>
    <w:rsid w:val="000521ED"/>
    <w:rsid w:val="0005322E"/>
    <w:rsid w:val="00054E2B"/>
    <w:rsid w:val="00057A1E"/>
    <w:rsid w:val="00060E64"/>
    <w:rsid w:val="000621AB"/>
    <w:rsid w:val="00062C03"/>
    <w:rsid w:val="00062E88"/>
    <w:rsid w:val="00065120"/>
    <w:rsid w:val="00066193"/>
    <w:rsid w:val="00066755"/>
    <w:rsid w:val="00071A5B"/>
    <w:rsid w:val="00072730"/>
    <w:rsid w:val="0007337F"/>
    <w:rsid w:val="00074320"/>
    <w:rsid w:val="000763D5"/>
    <w:rsid w:val="00076C38"/>
    <w:rsid w:val="00077143"/>
    <w:rsid w:val="00077DF7"/>
    <w:rsid w:val="0008050C"/>
    <w:rsid w:val="00082169"/>
    <w:rsid w:val="000834BE"/>
    <w:rsid w:val="00083F01"/>
    <w:rsid w:val="00084DCD"/>
    <w:rsid w:val="00087C4C"/>
    <w:rsid w:val="00087E87"/>
    <w:rsid w:val="000918CB"/>
    <w:rsid w:val="00091B06"/>
    <w:rsid w:val="000951C4"/>
    <w:rsid w:val="00095ADA"/>
    <w:rsid w:val="00095F3A"/>
    <w:rsid w:val="000969AD"/>
    <w:rsid w:val="000975FB"/>
    <w:rsid w:val="000A02F8"/>
    <w:rsid w:val="000A2CE0"/>
    <w:rsid w:val="000A35F6"/>
    <w:rsid w:val="000A3AA2"/>
    <w:rsid w:val="000A42EF"/>
    <w:rsid w:val="000A44B2"/>
    <w:rsid w:val="000A52F6"/>
    <w:rsid w:val="000A58B8"/>
    <w:rsid w:val="000A77A0"/>
    <w:rsid w:val="000B44C3"/>
    <w:rsid w:val="000B558D"/>
    <w:rsid w:val="000B5A89"/>
    <w:rsid w:val="000B65F6"/>
    <w:rsid w:val="000B7767"/>
    <w:rsid w:val="000C1AFF"/>
    <w:rsid w:val="000C472D"/>
    <w:rsid w:val="000C5740"/>
    <w:rsid w:val="000C5F95"/>
    <w:rsid w:val="000C6996"/>
    <w:rsid w:val="000C7C46"/>
    <w:rsid w:val="000D09E9"/>
    <w:rsid w:val="000D113F"/>
    <w:rsid w:val="000D23BA"/>
    <w:rsid w:val="000E19B7"/>
    <w:rsid w:val="000E20FC"/>
    <w:rsid w:val="000E3C1D"/>
    <w:rsid w:val="000E3DFB"/>
    <w:rsid w:val="000E5EA1"/>
    <w:rsid w:val="000E681E"/>
    <w:rsid w:val="000E696B"/>
    <w:rsid w:val="000E7E52"/>
    <w:rsid w:val="000E7E90"/>
    <w:rsid w:val="000EE1C7"/>
    <w:rsid w:val="000F0003"/>
    <w:rsid w:val="000F3384"/>
    <w:rsid w:val="000F4E6A"/>
    <w:rsid w:val="000F6ABB"/>
    <w:rsid w:val="000F7354"/>
    <w:rsid w:val="000F7C27"/>
    <w:rsid w:val="00101ABE"/>
    <w:rsid w:val="00102202"/>
    <w:rsid w:val="00102700"/>
    <w:rsid w:val="00102A78"/>
    <w:rsid w:val="00103118"/>
    <w:rsid w:val="00103F1B"/>
    <w:rsid w:val="00104227"/>
    <w:rsid w:val="001053B3"/>
    <w:rsid w:val="001053D5"/>
    <w:rsid w:val="00107409"/>
    <w:rsid w:val="001107BF"/>
    <w:rsid w:val="00113649"/>
    <w:rsid w:val="00113D5C"/>
    <w:rsid w:val="00116B03"/>
    <w:rsid w:val="001206F9"/>
    <w:rsid w:val="00120AA6"/>
    <w:rsid w:val="001239DB"/>
    <w:rsid w:val="0012417C"/>
    <w:rsid w:val="00124BF2"/>
    <w:rsid w:val="00125837"/>
    <w:rsid w:val="0012597F"/>
    <w:rsid w:val="00126B19"/>
    <w:rsid w:val="00126D3A"/>
    <w:rsid w:val="0012749D"/>
    <w:rsid w:val="00127A23"/>
    <w:rsid w:val="001306A5"/>
    <w:rsid w:val="00130918"/>
    <w:rsid w:val="001311AE"/>
    <w:rsid w:val="001366A8"/>
    <w:rsid w:val="001366C2"/>
    <w:rsid w:val="00136C17"/>
    <w:rsid w:val="00140B74"/>
    <w:rsid w:val="00140D94"/>
    <w:rsid w:val="00142395"/>
    <w:rsid w:val="0014250D"/>
    <w:rsid w:val="00142714"/>
    <w:rsid w:val="00144D09"/>
    <w:rsid w:val="0014517F"/>
    <w:rsid w:val="001452ED"/>
    <w:rsid w:val="00147D84"/>
    <w:rsid w:val="00151CBD"/>
    <w:rsid w:val="001533C3"/>
    <w:rsid w:val="001549C1"/>
    <w:rsid w:val="00156C8D"/>
    <w:rsid w:val="001576BE"/>
    <w:rsid w:val="00160F4D"/>
    <w:rsid w:val="00162BDD"/>
    <w:rsid w:val="00162D4E"/>
    <w:rsid w:val="001630C0"/>
    <w:rsid w:val="00163329"/>
    <w:rsid w:val="00164623"/>
    <w:rsid w:val="001652DE"/>
    <w:rsid w:val="001653EC"/>
    <w:rsid w:val="00165B64"/>
    <w:rsid w:val="00167C39"/>
    <w:rsid w:val="00176336"/>
    <w:rsid w:val="001768CC"/>
    <w:rsid w:val="00176B9D"/>
    <w:rsid w:val="00180713"/>
    <w:rsid w:val="00180720"/>
    <w:rsid w:val="001830CE"/>
    <w:rsid w:val="001836E3"/>
    <w:rsid w:val="00184659"/>
    <w:rsid w:val="001860E5"/>
    <w:rsid w:val="0018643B"/>
    <w:rsid w:val="00187AD9"/>
    <w:rsid w:val="00191FA7"/>
    <w:rsid w:val="0019283B"/>
    <w:rsid w:val="00196307"/>
    <w:rsid w:val="00197C70"/>
    <w:rsid w:val="00197F03"/>
    <w:rsid w:val="001A0D10"/>
    <w:rsid w:val="001A25F6"/>
    <w:rsid w:val="001A2B7A"/>
    <w:rsid w:val="001A3242"/>
    <w:rsid w:val="001A33EA"/>
    <w:rsid w:val="001A3615"/>
    <w:rsid w:val="001A4413"/>
    <w:rsid w:val="001A4C4F"/>
    <w:rsid w:val="001A5A2B"/>
    <w:rsid w:val="001A6A5B"/>
    <w:rsid w:val="001A76FB"/>
    <w:rsid w:val="001B017F"/>
    <w:rsid w:val="001B0B79"/>
    <w:rsid w:val="001B19EA"/>
    <w:rsid w:val="001B2BBC"/>
    <w:rsid w:val="001B2BCD"/>
    <w:rsid w:val="001B2DB2"/>
    <w:rsid w:val="001B3441"/>
    <w:rsid w:val="001B3A40"/>
    <w:rsid w:val="001B3FFE"/>
    <w:rsid w:val="001B5129"/>
    <w:rsid w:val="001B7450"/>
    <w:rsid w:val="001B765A"/>
    <w:rsid w:val="001C0B4C"/>
    <w:rsid w:val="001C0EC4"/>
    <w:rsid w:val="001C1195"/>
    <w:rsid w:val="001C12AE"/>
    <w:rsid w:val="001C1E84"/>
    <w:rsid w:val="001C20E1"/>
    <w:rsid w:val="001C2A0F"/>
    <w:rsid w:val="001C2E42"/>
    <w:rsid w:val="001D1F5F"/>
    <w:rsid w:val="001E06D2"/>
    <w:rsid w:val="001E17C4"/>
    <w:rsid w:val="001E2D65"/>
    <w:rsid w:val="001E369A"/>
    <w:rsid w:val="001F005B"/>
    <w:rsid w:val="001F1850"/>
    <w:rsid w:val="001F1FBF"/>
    <w:rsid w:val="001F2311"/>
    <w:rsid w:val="001F2B80"/>
    <w:rsid w:val="001F2F1C"/>
    <w:rsid w:val="001F3189"/>
    <w:rsid w:val="001F556E"/>
    <w:rsid w:val="00200BEA"/>
    <w:rsid w:val="00201FB8"/>
    <w:rsid w:val="00203FAC"/>
    <w:rsid w:val="002069A4"/>
    <w:rsid w:val="002133FB"/>
    <w:rsid w:val="00213CFB"/>
    <w:rsid w:val="0021553C"/>
    <w:rsid w:val="0021557B"/>
    <w:rsid w:val="002155CA"/>
    <w:rsid w:val="0021667E"/>
    <w:rsid w:val="00216B87"/>
    <w:rsid w:val="002174FD"/>
    <w:rsid w:val="00217BE1"/>
    <w:rsid w:val="00221361"/>
    <w:rsid w:val="002214B9"/>
    <w:rsid w:val="00222680"/>
    <w:rsid w:val="00223370"/>
    <w:rsid w:val="00224D1E"/>
    <w:rsid w:val="00226611"/>
    <w:rsid w:val="00227BC5"/>
    <w:rsid w:val="00230F63"/>
    <w:rsid w:val="00234252"/>
    <w:rsid w:val="0023466E"/>
    <w:rsid w:val="00237AC6"/>
    <w:rsid w:val="00242B64"/>
    <w:rsid w:val="00242BFD"/>
    <w:rsid w:val="00243AE1"/>
    <w:rsid w:val="00244139"/>
    <w:rsid w:val="00244490"/>
    <w:rsid w:val="00244BEC"/>
    <w:rsid w:val="002452BA"/>
    <w:rsid w:val="00245B9C"/>
    <w:rsid w:val="002517A0"/>
    <w:rsid w:val="00252587"/>
    <w:rsid w:val="00253499"/>
    <w:rsid w:val="002551A4"/>
    <w:rsid w:val="00257664"/>
    <w:rsid w:val="00260165"/>
    <w:rsid w:val="00265151"/>
    <w:rsid w:val="00265C2C"/>
    <w:rsid w:val="00266509"/>
    <w:rsid w:val="00271BA1"/>
    <w:rsid w:val="00272BEA"/>
    <w:rsid w:val="00273AC5"/>
    <w:rsid w:val="002762FA"/>
    <w:rsid w:val="00276BE3"/>
    <w:rsid w:val="00277505"/>
    <w:rsid w:val="00277873"/>
    <w:rsid w:val="00280906"/>
    <w:rsid w:val="0028158C"/>
    <w:rsid w:val="002823B6"/>
    <w:rsid w:val="002825C0"/>
    <w:rsid w:val="00290C03"/>
    <w:rsid w:val="00291A95"/>
    <w:rsid w:val="00292392"/>
    <w:rsid w:val="00292E3B"/>
    <w:rsid w:val="002933A8"/>
    <w:rsid w:val="00294274"/>
    <w:rsid w:val="0029458F"/>
    <w:rsid w:val="00297A63"/>
    <w:rsid w:val="002A018F"/>
    <w:rsid w:val="002A0E04"/>
    <w:rsid w:val="002A104C"/>
    <w:rsid w:val="002A16B8"/>
    <w:rsid w:val="002A1EF7"/>
    <w:rsid w:val="002A27BA"/>
    <w:rsid w:val="002A2B7B"/>
    <w:rsid w:val="002A3C16"/>
    <w:rsid w:val="002A494D"/>
    <w:rsid w:val="002A4960"/>
    <w:rsid w:val="002A636A"/>
    <w:rsid w:val="002A6BB6"/>
    <w:rsid w:val="002A755F"/>
    <w:rsid w:val="002B01C0"/>
    <w:rsid w:val="002B0AE0"/>
    <w:rsid w:val="002B1AE6"/>
    <w:rsid w:val="002B1D51"/>
    <w:rsid w:val="002B2DE8"/>
    <w:rsid w:val="002B30F8"/>
    <w:rsid w:val="002B388A"/>
    <w:rsid w:val="002B3BFE"/>
    <w:rsid w:val="002B3C1A"/>
    <w:rsid w:val="002B4C2A"/>
    <w:rsid w:val="002B5596"/>
    <w:rsid w:val="002B77D7"/>
    <w:rsid w:val="002C0763"/>
    <w:rsid w:val="002C212F"/>
    <w:rsid w:val="002C2F35"/>
    <w:rsid w:val="002C6AA9"/>
    <w:rsid w:val="002C7485"/>
    <w:rsid w:val="002D2641"/>
    <w:rsid w:val="002D283A"/>
    <w:rsid w:val="002D4543"/>
    <w:rsid w:val="002D711B"/>
    <w:rsid w:val="002D715F"/>
    <w:rsid w:val="002E022A"/>
    <w:rsid w:val="002E2FF1"/>
    <w:rsid w:val="002E3153"/>
    <w:rsid w:val="002E4A02"/>
    <w:rsid w:val="002E5292"/>
    <w:rsid w:val="002E72CA"/>
    <w:rsid w:val="002E75DD"/>
    <w:rsid w:val="002F1D07"/>
    <w:rsid w:val="002F5C5B"/>
    <w:rsid w:val="002F600D"/>
    <w:rsid w:val="002F6F0F"/>
    <w:rsid w:val="002F7E47"/>
    <w:rsid w:val="00300AD6"/>
    <w:rsid w:val="00300B1B"/>
    <w:rsid w:val="0030178B"/>
    <w:rsid w:val="003019D0"/>
    <w:rsid w:val="003019DE"/>
    <w:rsid w:val="0030311E"/>
    <w:rsid w:val="00303D67"/>
    <w:rsid w:val="003064AF"/>
    <w:rsid w:val="00307DC6"/>
    <w:rsid w:val="00310A8B"/>
    <w:rsid w:val="00310B68"/>
    <w:rsid w:val="00310CD7"/>
    <w:rsid w:val="00313593"/>
    <w:rsid w:val="003160D2"/>
    <w:rsid w:val="003173FC"/>
    <w:rsid w:val="00317885"/>
    <w:rsid w:val="00317C6C"/>
    <w:rsid w:val="00320B80"/>
    <w:rsid w:val="00320CD3"/>
    <w:rsid w:val="003215FF"/>
    <w:rsid w:val="00322667"/>
    <w:rsid w:val="0032607C"/>
    <w:rsid w:val="00326570"/>
    <w:rsid w:val="00326E79"/>
    <w:rsid w:val="0032748A"/>
    <w:rsid w:val="00327AA2"/>
    <w:rsid w:val="003301B1"/>
    <w:rsid w:val="00331189"/>
    <w:rsid w:val="003318BF"/>
    <w:rsid w:val="0033263D"/>
    <w:rsid w:val="00334E69"/>
    <w:rsid w:val="0033518A"/>
    <w:rsid w:val="00335535"/>
    <w:rsid w:val="003367EF"/>
    <w:rsid w:val="00337D75"/>
    <w:rsid w:val="00341AE4"/>
    <w:rsid w:val="003422CC"/>
    <w:rsid w:val="003425CA"/>
    <w:rsid w:val="00343FB7"/>
    <w:rsid w:val="00344087"/>
    <w:rsid w:val="003444F1"/>
    <w:rsid w:val="003476EE"/>
    <w:rsid w:val="003524FF"/>
    <w:rsid w:val="00352E16"/>
    <w:rsid w:val="00353443"/>
    <w:rsid w:val="003541DD"/>
    <w:rsid w:val="00356E5B"/>
    <w:rsid w:val="003577F3"/>
    <w:rsid w:val="00360887"/>
    <w:rsid w:val="0036249F"/>
    <w:rsid w:val="00363AAC"/>
    <w:rsid w:val="00366FE8"/>
    <w:rsid w:val="00371246"/>
    <w:rsid w:val="003736C9"/>
    <w:rsid w:val="00383B77"/>
    <w:rsid w:val="00384988"/>
    <w:rsid w:val="00385152"/>
    <w:rsid w:val="003872CF"/>
    <w:rsid w:val="003874CB"/>
    <w:rsid w:val="00396E08"/>
    <w:rsid w:val="003970DD"/>
    <w:rsid w:val="0039782C"/>
    <w:rsid w:val="003A13A6"/>
    <w:rsid w:val="003A2165"/>
    <w:rsid w:val="003A3AF3"/>
    <w:rsid w:val="003A3FD4"/>
    <w:rsid w:val="003A5B4A"/>
    <w:rsid w:val="003A5D95"/>
    <w:rsid w:val="003A6510"/>
    <w:rsid w:val="003A74E2"/>
    <w:rsid w:val="003B0D3A"/>
    <w:rsid w:val="003B2302"/>
    <w:rsid w:val="003B23C5"/>
    <w:rsid w:val="003B2A75"/>
    <w:rsid w:val="003B49B2"/>
    <w:rsid w:val="003B6124"/>
    <w:rsid w:val="003B7960"/>
    <w:rsid w:val="003C0908"/>
    <w:rsid w:val="003C093A"/>
    <w:rsid w:val="003C1ECF"/>
    <w:rsid w:val="003C2FB5"/>
    <w:rsid w:val="003C378B"/>
    <w:rsid w:val="003C3CD2"/>
    <w:rsid w:val="003D24C5"/>
    <w:rsid w:val="003D4594"/>
    <w:rsid w:val="003D4AC4"/>
    <w:rsid w:val="003D5433"/>
    <w:rsid w:val="003D63B7"/>
    <w:rsid w:val="003D74C5"/>
    <w:rsid w:val="003E2E98"/>
    <w:rsid w:val="003E4374"/>
    <w:rsid w:val="003E468B"/>
    <w:rsid w:val="003E62BD"/>
    <w:rsid w:val="003E658D"/>
    <w:rsid w:val="003F044F"/>
    <w:rsid w:val="003F0C3A"/>
    <w:rsid w:val="003F15F0"/>
    <w:rsid w:val="003F2395"/>
    <w:rsid w:val="003F2AD9"/>
    <w:rsid w:val="003F3228"/>
    <w:rsid w:val="003F41D3"/>
    <w:rsid w:val="003F5C8C"/>
    <w:rsid w:val="003F63CE"/>
    <w:rsid w:val="003F775A"/>
    <w:rsid w:val="00400E55"/>
    <w:rsid w:val="0040128E"/>
    <w:rsid w:val="00401640"/>
    <w:rsid w:val="0040216B"/>
    <w:rsid w:val="00404852"/>
    <w:rsid w:val="004057FB"/>
    <w:rsid w:val="0040590E"/>
    <w:rsid w:val="00407CC8"/>
    <w:rsid w:val="00414321"/>
    <w:rsid w:val="00414F0C"/>
    <w:rsid w:val="00420400"/>
    <w:rsid w:val="00423DFE"/>
    <w:rsid w:val="00423E78"/>
    <w:rsid w:val="004252EC"/>
    <w:rsid w:val="00430D39"/>
    <w:rsid w:val="00442C91"/>
    <w:rsid w:val="00444E9D"/>
    <w:rsid w:val="00446206"/>
    <w:rsid w:val="004465BD"/>
    <w:rsid w:val="00446938"/>
    <w:rsid w:val="004528FA"/>
    <w:rsid w:val="00460186"/>
    <w:rsid w:val="00461A44"/>
    <w:rsid w:val="00462D26"/>
    <w:rsid w:val="0046368B"/>
    <w:rsid w:val="0046385A"/>
    <w:rsid w:val="00464039"/>
    <w:rsid w:val="00466ADA"/>
    <w:rsid w:val="004702BB"/>
    <w:rsid w:val="0047494B"/>
    <w:rsid w:val="0047545B"/>
    <w:rsid w:val="00476245"/>
    <w:rsid w:val="00477A9B"/>
    <w:rsid w:val="00482AE4"/>
    <w:rsid w:val="00483035"/>
    <w:rsid w:val="00485940"/>
    <w:rsid w:val="00486C95"/>
    <w:rsid w:val="004877C2"/>
    <w:rsid w:val="004904B9"/>
    <w:rsid w:val="00490D6A"/>
    <w:rsid w:val="0049219A"/>
    <w:rsid w:val="004928E1"/>
    <w:rsid w:val="00492D8D"/>
    <w:rsid w:val="00496662"/>
    <w:rsid w:val="004A1431"/>
    <w:rsid w:val="004A2484"/>
    <w:rsid w:val="004A5A85"/>
    <w:rsid w:val="004A71D1"/>
    <w:rsid w:val="004A7C5B"/>
    <w:rsid w:val="004B1845"/>
    <w:rsid w:val="004B2348"/>
    <w:rsid w:val="004B2E01"/>
    <w:rsid w:val="004B2E98"/>
    <w:rsid w:val="004B5640"/>
    <w:rsid w:val="004B6084"/>
    <w:rsid w:val="004BCF29"/>
    <w:rsid w:val="004C0206"/>
    <w:rsid w:val="004C03D0"/>
    <w:rsid w:val="004C1BD7"/>
    <w:rsid w:val="004C1BF2"/>
    <w:rsid w:val="004C239C"/>
    <w:rsid w:val="004C31FE"/>
    <w:rsid w:val="004C524C"/>
    <w:rsid w:val="004C5EDD"/>
    <w:rsid w:val="004C5FFA"/>
    <w:rsid w:val="004C691D"/>
    <w:rsid w:val="004C6C07"/>
    <w:rsid w:val="004C7E15"/>
    <w:rsid w:val="004C7EC6"/>
    <w:rsid w:val="004D1408"/>
    <w:rsid w:val="004D2CD1"/>
    <w:rsid w:val="004D4FF6"/>
    <w:rsid w:val="004D5ADD"/>
    <w:rsid w:val="004E0CC3"/>
    <w:rsid w:val="004E2E0F"/>
    <w:rsid w:val="004E692D"/>
    <w:rsid w:val="004E7230"/>
    <w:rsid w:val="004E7233"/>
    <w:rsid w:val="004E7D87"/>
    <w:rsid w:val="004F2553"/>
    <w:rsid w:val="004F306A"/>
    <w:rsid w:val="004F41EC"/>
    <w:rsid w:val="00501554"/>
    <w:rsid w:val="00502AFE"/>
    <w:rsid w:val="00502E64"/>
    <w:rsid w:val="00503AD7"/>
    <w:rsid w:val="00503E89"/>
    <w:rsid w:val="00504E0C"/>
    <w:rsid w:val="00504E13"/>
    <w:rsid w:val="005109D4"/>
    <w:rsid w:val="0051230A"/>
    <w:rsid w:val="00513056"/>
    <w:rsid w:val="00514CD7"/>
    <w:rsid w:val="00516000"/>
    <w:rsid w:val="005167EC"/>
    <w:rsid w:val="005170DA"/>
    <w:rsid w:val="00520D6A"/>
    <w:rsid w:val="00522DB6"/>
    <w:rsid w:val="00524F7A"/>
    <w:rsid w:val="005264A7"/>
    <w:rsid w:val="0052792D"/>
    <w:rsid w:val="005319B2"/>
    <w:rsid w:val="00532402"/>
    <w:rsid w:val="00532C74"/>
    <w:rsid w:val="00533239"/>
    <w:rsid w:val="00534E2E"/>
    <w:rsid w:val="00535133"/>
    <w:rsid w:val="0054064C"/>
    <w:rsid w:val="00544552"/>
    <w:rsid w:val="00545130"/>
    <w:rsid w:val="00546B36"/>
    <w:rsid w:val="0055286A"/>
    <w:rsid w:val="00555745"/>
    <w:rsid w:val="00557D4F"/>
    <w:rsid w:val="0056122E"/>
    <w:rsid w:val="00561972"/>
    <w:rsid w:val="0056484E"/>
    <w:rsid w:val="00565999"/>
    <w:rsid w:val="00567D8A"/>
    <w:rsid w:val="00570231"/>
    <w:rsid w:val="005714B7"/>
    <w:rsid w:val="005764CD"/>
    <w:rsid w:val="00577C4D"/>
    <w:rsid w:val="00580532"/>
    <w:rsid w:val="00581932"/>
    <w:rsid w:val="00583002"/>
    <w:rsid w:val="005903BB"/>
    <w:rsid w:val="0059355C"/>
    <w:rsid w:val="00593623"/>
    <w:rsid w:val="00593893"/>
    <w:rsid w:val="005963BB"/>
    <w:rsid w:val="0059645C"/>
    <w:rsid w:val="00596D37"/>
    <w:rsid w:val="005A15D2"/>
    <w:rsid w:val="005A3173"/>
    <w:rsid w:val="005A3223"/>
    <w:rsid w:val="005A3690"/>
    <w:rsid w:val="005A3DA3"/>
    <w:rsid w:val="005A52C4"/>
    <w:rsid w:val="005A5B61"/>
    <w:rsid w:val="005A63A1"/>
    <w:rsid w:val="005A7E46"/>
    <w:rsid w:val="005B0486"/>
    <w:rsid w:val="005B1032"/>
    <w:rsid w:val="005B1473"/>
    <w:rsid w:val="005B36FA"/>
    <w:rsid w:val="005B5092"/>
    <w:rsid w:val="005B7514"/>
    <w:rsid w:val="005C2B17"/>
    <w:rsid w:val="005C4F73"/>
    <w:rsid w:val="005D03AB"/>
    <w:rsid w:val="005D401D"/>
    <w:rsid w:val="005D5017"/>
    <w:rsid w:val="005D5708"/>
    <w:rsid w:val="005D63FA"/>
    <w:rsid w:val="005D73C7"/>
    <w:rsid w:val="005E0C2D"/>
    <w:rsid w:val="005E0D82"/>
    <w:rsid w:val="005E0F59"/>
    <w:rsid w:val="005E1333"/>
    <w:rsid w:val="005E3136"/>
    <w:rsid w:val="005E4922"/>
    <w:rsid w:val="005E507D"/>
    <w:rsid w:val="005F0AD0"/>
    <w:rsid w:val="005F2AEE"/>
    <w:rsid w:val="005F46B7"/>
    <w:rsid w:val="00601A91"/>
    <w:rsid w:val="00602BA3"/>
    <w:rsid w:val="00603E03"/>
    <w:rsid w:val="00605B63"/>
    <w:rsid w:val="00605F9A"/>
    <w:rsid w:val="00606442"/>
    <w:rsid w:val="00606EED"/>
    <w:rsid w:val="00612A95"/>
    <w:rsid w:val="00612E34"/>
    <w:rsid w:val="0061412E"/>
    <w:rsid w:val="00614159"/>
    <w:rsid w:val="006158A3"/>
    <w:rsid w:val="00616C5F"/>
    <w:rsid w:val="00616DAC"/>
    <w:rsid w:val="00617725"/>
    <w:rsid w:val="00617C00"/>
    <w:rsid w:val="006263BF"/>
    <w:rsid w:val="006270A2"/>
    <w:rsid w:val="0062748A"/>
    <w:rsid w:val="00630546"/>
    <w:rsid w:val="00630A2C"/>
    <w:rsid w:val="00634A75"/>
    <w:rsid w:val="0063630E"/>
    <w:rsid w:val="0063682E"/>
    <w:rsid w:val="00640088"/>
    <w:rsid w:val="006406E3"/>
    <w:rsid w:val="00642672"/>
    <w:rsid w:val="00642DA8"/>
    <w:rsid w:val="006436CD"/>
    <w:rsid w:val="00650976"/>
    <w:rsid w:val="00651169"/>
    <w:rsid w:val="00653D69"/>
    <w:rsid w:val="006552E6"/>
    <w:rsid w:val="00655794"/>
    <w:rsid w:val="00656F2F"/>
    <w:rsid w:val="00657C63"/>
    <w:rsid w:val="00661CBC"/>
    <w:rsid w:val="00662B85"/>
    <w:rsid w:val="006670B3"/>
    <w:rsid w:val="006670BE"/>
    <w:rsid w:val="00670A76"/>
    <w:rsid w:val="006711AA"/>
    <w:rsid w:val="00672B57"/>
    <w:rsid w:val="00673C5A"/>
    <w:rsid w:val="00673F1F"/>
    <w:rsid w:val="00675622"/>
    <w:rsid w:val="00675DEB"/>
    <w:rsid w:val="0067747D"/>
    <w:rsid w:val="006818D5"/>
    <w:rsid w:val="00681CA4"/>
    <w:rsid w:val="00686559"/>
    <w:rsid w:val="00687525"/>
    <w:rsid w:val="0069039D"/>
    <w:rsid w:val="006906DB"/>
    <w:rsid w:val="00691900"/>
    <w:rsid w:val="00691E6C"/>
    <w:rsid w:val="00693425"/>
    <w:rsid w:val="0069342D"/>
    <w:rsid w:val="00693DFB"/>
    <w:rsid w:val="00694FD5"/>
    <w:rsid w:val="0069501D"/>
    <w:rsid w:val="00696129"/>
    <w:rsid w:val="00697CF2"/>
    <w:rsid w:val="006A12A5"/>
    <w:rsid w:val="006A2515"/>
    <w:rsid w:val="006A3CBE"/>
    <w:rsid w:val="006A572D"/>
    <w:rsid w:val="006A5E20"/>
    <w:rsid w:val="006B0D94"/>
    <w:rsid w:val="006B0ED3"/>
    <w:rsid w:val="006B16B6"/>
    <w:rsid w:val="006B36ED"/>
    <w:rsid w:val="006B485D"/>
    <w:rsid w:val="006B72D2"/>
    <w:rsid w:val="006B7DDA"/>
    <w:rsid w:val="006C0C45"/>
    <w:rsid w:val="006C2806"/>
    <w:rsid w:val="006C334C"/>
    <w:rsid w:val="006C4C1B"/>
    <w:rsid w:val="006C5C20"/>
    <w:rsid w:val="006C6C10"/>
    <w:rsid w:val="006C708E"/>
    <w:rsid w:val="006D14E7"/>
    <w:rsid w:val="006D4444"/>
    <w:rsid w:val="006D6493"/>
    <w:rsid w:val="006D6EC7"/>
    <w:rsid w:val="006D7B05"/>
    <w:rsid w:val="006D7C31"/>
    <w:rsid w:val="006D7E45"/>
    <w:rsid w:val="006E1143"/>
    <w:rsid w:val="006E1BCD"/>
    <w:rsid w:val="006E2732"/>
    <w:rsid w:val="006E59CD"/>
    <w:rsid w:val="006F00ED"/>
    <w:rsid w:val="006F026F"/>
    <w:rsid w:val="006F0A71"/>
    <w:rsid w:val="006F1C6B"/>
    <w:rsid w:val="006F40C2"/>
    <w:rsid w:val="006F5125"/>
    <w:rsid w:val="006F733D"/>
    <w:rsid w:val="00700765"/>
    <w:rsid w:val="00702959"/>
    <w:rsid w:val="00702B6F"/>
    <w:rsid w:val="007030B4"/>
    <w:rsid w:val="00703B86"/>
    <w:rsid w:val="00704069"/>
    <w:rsid w:val="00706A2F"/>
    <w:rsid w:val="0070718E"/>
    <w:rsid w:val="00707E52"/>
    <w:rsid w:val="00710259"/>
    <w:rsid w:val="0071031F"/>
    <w:rsid w:val="00710737"/>
    <w:rsid w:val="0071340B"/>
    <w:rsid w:val="00713C50"/>
    <w:rsid w:val="0071436D"/>
    <w:rsid w:val="00715BBB"/>
    <w:rsid w:val="007174BB"/>
    <w:rsid w:val="0072025D"/>
    <w:rsid w:val="00722C1C"/>
    <w:rsid w:val="00723328"/>
    <w:rsid w:val="007235FD"/>
    <w:rsid w:val="007237DE"/>
    <w:rsid w:val="0072502E"/>
    <w:rsid w:val="0073137C"/>
    <w:rsid w:val="00731BFA"/>
    <w:rsid w:val="00733E9D"/>
    <w:rsid w:val="007340B9"/>
    <w:rsid w:val="00734686"/>
    <w:rsid w:val="0073488F"/>
    <w:rsid w:val="007353D3"/>
    <w:rsid w:val="00735EB6"/>
    <w:rsid w:val="0074156B"/>
    <w:rsid w:val="00741619"/>
    <w:rsid w:val="00742885"/>
    <w:rsid w:val="007432E5"/>
    <w:rsid w:val="00747092"/>
    <w:rsid w:val="007477FF"/>
    <w:rsid w:val="007526E6"/>
    <w:rsid w:val="00754DF9"/>
    <w:rsid w:val="007555E8"/>
    <w:rsid w:val="00755CC5"/>
    <w:rsid w:val="00755CED"/>
    <w:rsid w:val="00762862"/>
    <w:rsid w:val="0076420C"/>
    <w:rsid w:val="007713AE"/>
    <w:rsid w:val="00771D07"/>
    <w:rsid w:val="00772649"/>
    <w:rsid w:val="00773BE3"/>
    <w:rsid w:val="007743DD"/>
    <w:rsid w:val="00774E2C"/>
    <w:rsid w:val="0077503C"/>
    <w:rsid w:val="0077518D"/>
    <w:rsid w:val="007753C2"/>
    <w:rsid w:val="00776068"/>
    <w:rsid w:val="007838B8"/>
    <w:rsid w:val="0078507B"/>
    <w:rsid w:val="00785779"/>
    <w:rsid w:val="00787FD8"/>
    <w:rsid w:val="007915BA"/>
    <w:rsid w:val="00791844"/>
    <w:rsid w:val="00793CE9"/>
    <w:rsid w:val="00796667"/>
    <w:rsid w:val="00797068"/>
    <w:rsid w:val="007979BD"/>
    <w:rsid w:val="007A3D8E"/>
    <w:rsid w:val="007A4EF4"/>
    <w:rsid w:val="007A5C88"/>
    <w:rsid w:val="007A6A2F"/>
    <w:rsid w:val="007B024E"/>
    <w:rsid w:val="007B3BAF"/>
    <w:rsid w:val="007B3DDC"/>
    <w:rsid w:val="007B47B5"/>
    <w:rsid w:val="007B6BA3"/>
    <w:rsid w:val="007B72A6"/>
    <w:rsid w:val="007C06D2"/>
    <w:rsid w:val="007C08E0"/>
    <w:rsid w:val="007C0F57"/>
    <w:rsid w:val="007C216F"/>
    <w:rsid w:val="007C2F4B"/>
    <w:rsid w:val="007C40B6"/>
    <w:rsid w:val="007C5975"/>
    <w:rsid w:val="007C6F22"/>
    <w:rsid w:val="007C729F"/>
    <w:rsid w:val="007C72AD"/>
    <w:rsid w:val="007D503D"/>
    <w:rsid w:val="007D59E7"/>
    <w:rsid w:val="007D5F2A"/>
    <w:rsid w:val="007D7D9B"/>
    <w:rsid w:val="007E07AC"/>
    <w:rsid w:val="007E1014"/>
    <w:rsid w:val="007E12F8"/>
    <w:rsid w:val="007E1D28"/>
    <w:rsid w:val="007E4564"/>
    <w:rsid w:val="007E490F"/>
    <w:rsid w:val="007E6533"/>
    <w:rsid w:val="007F0021"/>
    <w:rsid w:val="007F2641"/>
    <w:rsid w:val="007F44C7"/>
    <w:rsid w:val="007F7C36"/>
    <w:rsid w:val="007F7F45"/>
    <w:rsid w:val="0080001F"/>
    <w:rsid w:val="00800901"/>
    <w:rsid w:val="00801958"/>
    <w:rsid w:val="00803340"/>
    <w:rsid w:val="008055AF"/>
    <w:rsid w:val="008057CD"/>
    <w:rsid w:val="008066B8"/>
    <w:rsid w:val="00806796"/>
    <w:rsid w:val="00810167"/>
    <w:rsid w:val="008104D0"/>
    <w:rsid w:val="00811CC0"/>
    <w:rsid w:val="00814276"/>
    <w:rsid w:val="008151D6"/>
    <w:rsid w:val="00820803"/>
    <w:rsid w:val="00821527"/>
    <w:rsid w:val="008225CE"/>
    <w:rsid w:val="00822696"/>
    <w:rsid w:val="008233CC"/>
    <w:rsid w:val="00825A6C"/>
    <w:rsid w:val="0082617E"/>
    <w:rsid w:val="008268BB"/>
    <w:rsid w:val="00826F6D"/>
    <w:rsid w:val="0082706E"/>
    <w:rsid w:val="008300C3"/>
    <w:rsid w:val="008306F3"/>
    <w:rsid w:val="00830E40"/>
    <w:rsid w:val="00832D9A"/>
    <w:rsid w:val="0083350C"/>
    <w:rsid w:val="00835C62"/>
    <w:rsid w:val="00836874"/>
    <w:rsid w:val="008368A1"/>
    <w:rsid w:val="00836B26"/>
    <w:rsid w:val="00840EF7"/>
    <w:rsid w:val="00842DC5"/>
    <w:rsid w:val="00844C0A"/>
    <w:rsid w:val="00846056"/>
    <w:rsid w:val="0084681F"/>
    <w:rsid w:val="00847D08"/>
    <w:rsid w:val="00847EC0"/>
    <w:rsid w:val="00854506"/>
    <w:rsid w:val="00855FD6"/>
    <w:rsid w:val="00856DDD"/>
    <w:rsid w:val="00860233"/>
    <w:rsid w:val="00861C76"/>
    <w:rsid w:val="00863620"/>
    <w:rsid w:val="00863E68"/>
    <w:rsid w:val="008647B5"/>
    <w:rsid w:val="00867D64"/>
    <w:rsid w:val="00872E8F"/>
    <w:rsid w:val="00875DCB"/>
    <w:rsid w:val="00876FBF"/>
    <w:rsid w:val="0087755A"/>
    <w:rsid w:val="00882085"/>
    <w:rsid w:val="008820D8"/>
    <w:rsid w:val="00883188"/>
    <w:rsid w:val="00884A0C"/>
    <w:rsid w:val="00886ACA"/>
    <w:rsid w:val="00886B01"/>
    <w:rsid w:val="0089031E"/>
    <w:rsid w:val="0089109A"/>
    <w:rsid w:val="00893D5C"/>
    <w:rsid w:val="0089460B"/>
    <w:rsid w:val="00897D58"/>
    <w:rsid w:val="00897F22"/>
    <w:rsid w:val="008A0B39"/>
    <w:rsid w:val="008A17A3"/>
    <w:rsid w:val="008A1956"/>
    <w:rsid w:val="008A1E85"/>
    <w:rsid w:val="008A2419"/>
    <w:rsid w:val="008A4937"/>
    <w:rsid w:val="008A50F1"/>
    <w:rsid w:val="008A59D9"/>
    <w:rsid w:val="008A643E"/>
    <w:rsid w:val="008A6819"/>
    <w:rsid w:val="008B007A"/>
    <w:rsid w:val="008B2EC0"/>
    <w:rsid w:val="008B43C7"/>
    <w:rsid w:val="008B6DCF"/>
    <w:rsid w:val="008C4C55"/>
    <w:rsid w:val="008C4D49"/>
    <w:rsid w:val="008D0945"/>
    <w:rsid w:val="008D1409"/>
    <w:rsid w:val="008D15CC"/>
    <w:rsid w:val="008D1729"/>
    <w:rsid w:val="008D1B5C"/>
    <w:rsid w:val="008D3C82"/>
    <w:rsid w:val="008D447E"/>
    <w:rsid w:val="008D4587"/>
    <w:rsid w:val="008D6ACF"/>
    <w:rsid w:val="008D7A41"/>
    <w:rsid w:val="008E2C72"/>
    <w:rsid w:val="008E2F36"/>
    <w:rsid w:val="008E3089"/>
    <w:rsid w:val="008E3680"/>
    <w:rsid w:val="008E4F87"/>
    <w:rsid w:val="008E5870"/>
    <w:rsid w:val="008E652B"/>
    <w:rsid w:val="008E77E4"/>
    <w:rsid w:val="008F0213"/>
    <w:rsid w:val="008F07ED"/>
    <w:rsid w:val="008F0F27"/>
    <w:rsid w:val="008F11D6"/>
    <w:rsid w:val="008F11F8"/>
    <w:rsid w:val="008F1434"/>
    <w:rsid w:val="008F2BB9"/>
    <w:rsid w:val="008F3D6A"/>
    <w:rsid w:val="008F54C3"/>
    <w:rsid w:val="008F7355"/>
    <w:rsid w:val="00901848"/>
    <w:rsid w:val="009023DC"/>
    <w:rsid w:val="009027C5"/>
    <w:rsid w:val="00904413"/>
    <w:rsid w:val="00906225"/>
    <w:rsid w:val="009067B7"/>
    <w:rsid w:val="00906E7A"/>
    <w:rsid w:val="00906E7F"/>
    <w:rsid w:val="0090775A"/>
    <w:rsid w:val="00907DFD"/>
    <w:rsid w:val="00911F26"/>
    <w:rsid w:val="009139F2"/>
    <w:rsid w:val="00913C99"/>
    <w:rsid w:val="009152B8"/>
    <w:rsid w:val="00917D69"/>
    <w:rsid w:val="00920B6D"/>
    <w:rsid w:val="00922EA0"/>
    <w:rsid w:val="00926560"/>
    <w:rsid w:val="00926B15"/>
    <w:rsid w:val="00930291"/>
    <w:rsid w:val="00930937"/>
    <w:rsid w:val="009324A6"/>
    <w:rsid w:val="00933B7D"/>
    <w:rsid w:val="00933E6C"/>
    <w:rsid w:val="00935A6E"/>
    <w:rsid w:val="00937958"/>
    <w:rsid w:val="009406E5"/>
    <w:rsid w:val="00941602"/>
    <w:rsid w:val="00942160"/>
    <w:rsid w:val="0094314D"/>
    <w:rsid w:val="00946921"/>
    <w:rsid w:val="00946EE4"/>
    <w:rsid w:val="00947343"/>
    <w:rsid w:val="0095146F"/>
    <w:rsid w:val="00951B05"/>
    <w:rsid w:val="00951F2D"/>
    <w:rsid w:val="00952278"/>
    <w:rsid w:val="00952839"/>
    <w:rsid w:val="0095307F"/>
    <w:rsid w:val="009534C7"/>
    <w:rsid w:val="00957944"/>
    <w:rsid w:val="009602C5"/>
    <w:rsid w:val="0096103A"/>
    <w:rsid w:val="00962223"/>
    <w:rsid w:val="0096252B"/>
    <w:rsid w:val="009644D9"/>
    <w:rsid w:val="00964A9F"/>
    <w:rsid w:val="00966D0D"/>
    <w:rsid w:val="00967732"/>
    <w:rsid w:val="0096783C"/>
    <w:rsid w:val="00967F16"/>
    <w:rsid w:val="00970023"/>
    <w:rsid w:val="009722B3"/>
    <w:rsid w:val="00973E24"/>
    <w:rsid w:val="00974C21"/>
    <w:rsid w:val="00974D5F"/>
    <w:rsid w:val="00975948"/>
    <w:rsid w:val="009772FD"/>
    <w:rsid w:val="00977BF3"/>
    <w:rsid w:val="009803E4"/>
    <w:rsid w:val="00980B0E"/>
    <w:rsid w:val="00982B39"/>
    <w:rsid w:val="009836A3"/>
    <w:rsid w:val="00983C07"/>
    <w:rsid w:val="00984C58"/>
    <w:rsid w:val="009855A8"/>
    <w:rsid w:val="00985CBE"/>
    <w:rsid w:val="00985D1A"/>
    <w:rsid w:val="00990CF8"/>
    <w:rsid w:val="009913F4"/>
    <w:rsid w:val="00991782"/>
    <w:rsid w:val="009937F7"/>
    <w:rsid w:val="0099465B"/>
    <w:rsid w:val="009951A1"/>
    <w:rsid w:val="00997A44"/>
    <w:rsid w:val="009A0CDD"/>
    <w:rsid w:val="009A3168"/>
    <w:rsid w:val="009A38B6"/>
    <w:rsid w:val="009A4621"/>
    <w:rsid w:val="009A4BDF"/>
    <w:rsid w:val="009A56E2"/>
    <w:rsid w:val="009A5D04"/>
    <w:rsid w:val="009A61CA"/>
    <w:rsid w:val="009B0C64"/>
    <w:rsid w:val="009B0F67"/>
    <w:rsid w:val="009B208A"/>
    <w:rsid w:val="009B2756"/>
    <w:rsid w:val="009B3D56"/>
    <w:rsid w:val="009B3F8C"/>
    <w:rsid w:val="009B5127"/>
    <w:rsid w:val="009B533B"/>
    <w:rsid w:val="009B546B"/>
    <w:rsid w:val="009C1E6C"/>
    <w:rsid w:val="009C26AA"/>
    <w:rsid w:val="009C3294"/>
    <w:rsid w:val="009C703C"/>
    <w:rsid w:val="009D0A8D"/>
    <w:rsid w:val="009D0C29"/>
    <w:rsid w:val="009D1592"/>
    <w:rsid w:val="009D206E"/>
    <w:rsid w:val="009D3827"/>
    <w:rsid w:val="009D3CAA"/>
    <w:rsid w:val="009D507A"/>
    <w:rsid w:val="009D6532"/>
    <w:rsid w:val="009D71FD"/>
    <w:rsid w:val="009E06F0"/>
    <w:rsid w:val="009E0755"/>
    <w:rsid w:val="009E10AD"/>
    <w:rsid w:val="009E2588"/>
    <w:rsid w:val="009E2E8E"/>
    <w:rsid w:val="009E40E1"/>
    <w:rsid w:val="009E43BB"/>
    <w:rsid w:val="009F029A"/>
    <w:rsid w:val="009F0EFA"/>
    <w:rsid w:val="009F4E46"/>
    <w:rsid w:val="009F5B65"/>
    <w:rsid w:val="009F5F2E"/>
    <w:rsid w:val="009F7B1D"/>
    <w:rsid w:val="00A01432"/>
    <w:rsid w:val="00A04E91"/>
    <w:rsid w:val="00A06225"/>
    <w:rsid w:val="00A066E6"/>
    <w:rsid w:val="00A110D1"/>
    <w:rsid w:val="00A12587"/>
    <w:rsid w:val="00A128E6"/>
    <w:rsid w:val="00A144D3"/>
    <w:rsid w:val="00A17442"/>
    <w:rsid w:val="00A17EA7"/>
    <w:rsid w:val="00A21D7D"/>
    <w:rsid w:val="00A22AC3"/>
    <w:rsid w:val="00A2351E"/>
    <w:rsid w:val="00A23F3F"/>
    <w:rsid w:val="00A24067"/>
    <w:rsid w:val="00A24868"/>
    <w:rsid w:val="00A24A4B"/>
    <w:rsid w:val="00A2744D"/>
    <w:rsid w:val="00A30D16"/>
    <w:rsid w:val="00A3107E"/>
    <w:rsid w:val="00A33542"/>
    <w:rsid w:val="00A33EB7"/>
    <w:rsid w:val="00A34E6C"/>
    <w:rsid w:val="00A34FD0"/>
    <w:rsid w:val="00A36398"/>
    <w:rsid w:val="00A37C8D"/>
    <w:rsid w:val="00A4020E"/>
    <w:rsid w:val="00A40493"/>
    <w:rsid w:val="00A408E8"/>
    <w:rsid w:val="00A40FB5"/>
    <w:rsid w:val="00A42826"/>
    <w:rsid w:val="00A429B3"/>
    <w:rsid w:val="00A44EC1"/>
    <w:rsid w:val="00A510E4"/>
    <w:rsid w:val="00A51F8C"/>
    <w:rsid w:val="00A526F7"/>
    <w:rsid w:val="00A5273B"/>
    <w:rsid w:val="00A53A9D"/>
    <w:rsid w:val="00A55FEE"/>
    <w:rsid w:val="00A57422"/>
    <w:rsid w:val="00A62C1A"/>
    <w:rsid w:val="00A63CA2"/>
    <w:rsid w:val="00A6426D"/>
    <w:rsid w:val="00A665C1"/>
    <w:rsid w:val="00A673A4"/>
    <w:rsid w:val="00A7001A"/>
    <w:rsid w:val="00A70622"/>
    <w:rsid w:val="00A70977"/>
    <w:rsid w:val="00A70D58"/>
    <w:rsid w:val="00A744F9"/>
    <w:rsid w:val="00A753A1"/>
    <w:rsid w:val="00A77613"/>
    <w:rsid w:val="00A77B87"/>
    <w:rsid w:val="00A801AD"/>
    <w:rsid w:val="00A81851"/>
    <w:rsid w:val="00A81FD8"/>
    <w:rsid w:val="00A828F7"/>
    <w:rsid w:val="00A8390C"/>
    <w:rsid w:val="00A86AE0"/>
    <w:rsid w:val="00A912B0"/>
    <w:rsid w:val="00A91362"/>
    <w:rsid w:val="00A9151C"/>
    <w:rsid w:val="00A9182F"/>
    <w:rsid w:val="00A919C6"/>
    <w:rsid w:val="00A922E4"/>
    <w:rsid w:val="00A928BD"/>
    <w:rsid w:val="00A97DE9"/>
    <w:rsid w:val="00AA12CD"/>
    <w:rsid w:val="00AA4300"/>
    <w:rsid w:val="00AA4D1C"/>
    <w:rsid w:val="00AA52FD"/>
    <w:rsid w:val="00AA7006"/>
    <w:rsid w:val="00AB243F"/>
    <w:rsid w:val="00AB3138"/>
    <w:rsid w:val="00AB4684"/>
    <w:rsid w:val="00AB5856"/>
    <w:rsid w:val="00AC0379"/>
    <w:rsid w:val="00AC081D"/>
    <w:rsid w:val="00AC0C6F"/>
    <w:rsid w:val="00AC1266"/>
    <w:rsid w:val="00AC193C"/>
    <w:rsid w:val="00AC196D"/>
    <w:rsid w:val="00AC30C1"/>
    <w:rsid w:val="00AC4DE5"/>
    <w:rsid w:val="00AC5206"/>
    <w:rsid w:val="00AD095B"/>
    <w:rsid w:val="00AD3106"/>
    <w:rsid w:val="00AD4322"/>
    <w:rsid w:val="00AE11A5"/>
    <w:rsid w:val="00AE13E2"/>
    <w:rsid w:val="00AE22D3"/>
    <w:rsid w:val="00AE5A49"/>
    <w:rsid w:val="00AE741B"/>
    <w:rsid w:val="00AF11D8"/>
    <w:rsid w:val="00AF2B1D"/>
    <w:rsid w:val="00AF5867"/>
    <w:rsid w:val="00AF62DF"/>
    <w:rsid w:val="00AF68CC"/>
    <w:rsid w:val="00AF70D7"/>
    <w:rsid w:val="00B00086"/>
    <w:rsid w:val="00B00CD0"/>
    <w:rsid w:val="00B00E7F"/>
    <w:rsid w:val="00B01FF4"/>
    <w:rsid w:val="00B0326D"/>
    <w:rsid w:val="00B06037"/>
    <w:rsid w:val="00B06478"/>
    <w:rsid w:val="00B07533"/>
    <w:rsid w:val="00B07CFB"/>
    <w:rsid w:val="00B1059E"/>
    <w:rsid w:val="00B13DE0"/>
    <w:rsid w:val="00B14A36"/>
    <w:rsid w:val="00B16273"/>
    <w:rsid w:val="00B170A5"/>
    <w:rsid w:val="00B1725F"/>
    <w:rsid w:val="00B176C8"/>
    <w:rsid w:val="00B17EE5"/>
    <w:rsid w:val="00B205AA"/>
    <w:rsid w:val="00B2100A"/>
    <w:rsid w:val="00B21A91"/>
    <w:rsid w:val="00B22E84"/>
    <w:rsid w:val="00B233AD"/>
    <w:rsid w:val="00B23E25"/>
    <w:rsid w:val="00B25F75"/>
    <w:rsid w:val="00B26B3F"/>
    <w:rsid w:val="00B2778F"/>
    <w:rsid w:val="00B327E2"/>
    <w:rsid w:val="00B33635"/>
    <w:rsid w:val="00B34EE7"/>
    <w:rsid w:val="00B36831"/>
    <w:rsid w:val="00B37A23"/>
    <w:rsid w:val="00B37CF8"/>
    <w:rsid w:val="00B42AF4"/>
    <w:rsid w:val="00B43E90"/>
    <w:rsid w:val="00B44308"/>
    <w:rsid w:val="00B45722"/>
    <w:rsid w:val="00B46484"/>
    <w:rsid w:val="00B467DC"/>
    <w:rsid w:val="00B47A88"/>
    <w:rsid w:val="00B5188F"/>
    <w:rsid w:val="00B52303"/>
    <w:rsid w:val="00B5392A"/>
    <w:rsid w:val="00B539EF"/>
    <w:rsid w:val="00B54699"/>
    <w:rsid w:val="00B56118"/>
    <w:rsid w:val="00B566E1"/>
    <w:rsid w:val="00B56AFB"/>
    <w:rsid w:val="00B57D28"/>
    <w:rsid w:val="00B602F6"/>
    <w:rsid w:val="00B62EC1"/>
    <w:rsid w:val="00B64A96"/>
    <w:rsid w:val="00B6533B"/>
    <w:rsid w:val="00B6773F"/>
    <w:rsid w:val="00B70EB3"/>
    <w:rsid w:val="00B72906"/>
    <w:rsid w:val="00B729D5"/>
    <w:rsid w:val="00B74F48"/>
    <w:rsid w:val="00B7525E"/>
    <w:rsid w:val="00B75433"/>
    <w:rsid w:val="00B75F70"/>
    <w:rsid w:val="00B760FB"/>
    <w:rsid w:val="00B76765"/>
    <w:rsid w:val="00B767AB"/>
    <w:rsid w:val="00B801BA"/>
    <w:rsid w:val="00B812D6"/>
    <w:rsid w:val="00B84D5C"/>
    <w:rsid w:val="00B85AF6"/>
    <w:rsid w:val="00B92E46"/>
    <w:rsid w:val="00B9366C"/>
    <w:rsid w:val="00B956ED"/>
    <w:rsid w:val="00B963D6"/>
    <w:rsid w:val="00BA1774"/>
    <w:rsid w:val="00BA25BE"/>
    <w:rsid w:val="00BA2DA8"/>
    <w:rsid w:val="00BA347C"/>
    <w:rsid w:val="00BA4C79"/>
    <w:rsid w:val="00BB298A"/>
    <w:rsid w:val="00BB3469"/>
    <w:rsid w:val="00BB5C49"/>
    <w:rsid w:val="00BB6240"/>
    <w:rsid w:val="00BB6285"/>
    <w:rsid w:val="00BB69F5"/>
    <w:rsid w:val="00BB6E48"/>
    <w:rsid w:val="00BB7EC3"/>
    <w:rsid w:val="00BC04B1"/>
    <w:rsid w:val="00BC0D79"/>
    <w:rsid w:val="00BC470E"/>
    <w:rsid w:val="00BC4B9A"/>
    <w:rsid w:val="00BC5F28"/>
    <w:rsid w:val="00BD02C3"/>
    <w:rsid w:val="00BD7483"/>
    <w:rsid w:val="00BD784C"/>
    <w:rsid w:val="00BE020A"/>
    <w:rsid w:val="00BE13DF"/>
    <w:rsid w:val="00BE1EF0"/>
    <w:rsid w:val="00BE25D7"/>
    <w:rsid w:val="00BE59B9"/>
    <w:rsid w:val="00BE61D0"/>
    <w:rsid w:val="00BF092C"/>
    <w:rsid w:val="00BF1B79"/>
    <w:rsid w:val="00BF27A0"/>
    <w:rsid w:val="00BF4CB6"/>
    <w:rsid w:val="00BF51E1"/>
    <w:rsid w:val="00BF5D23"/>
    <w:rsid w:val="00BF6CBD"/>
    <w:rsid w:val="00C00DA7"/>
    <w:rsid w:val="00C034FB"/>
    <w:rsid w:val="00C04CDE"/>
    <w:rsid w:val="00C059D5"/>
    <w:rsid w:val="00C068A6"/>
    <w:rsid w:val="00C12768"/>
    <w:rsid w:val="00C12D70"/>
    <w:rsid w:val="00C16724"/>
    <w:rsid w:val="00C21B09"/>
    <w:rsid w:val="00C25EFF"/>
    <w:rsid w:val="00C2673A"/>
    <w:rsid w:val="00C278CD"/>
    <w:rsid w:val="00C27B58"/>
    <w:rsid w:val="00C27C1C"/>
    <w:rsid w:val="00C3166C"/>
    <w:rsid w:val="00C31D1A"/>
    <w:rsid w:val="00C33186"/>
    <w:rsid w:val="00C35996"/>
    <w:rsid w:val="00C42BCD"/>
    <w:rsid w:val="00C4485F"/>
    <w:rsid w:val="00C46C13"/>
    <w:rsid w:val="00C4747E"/>
    <w:rsid w:val="00C5151E"/>
    <w:rsid w:val="00C52256"/>
    <w:rsid w:val="00C5342C"/>
    <w:rsid w:val="00C536C0"/>
    <w:rsid w:val="00C53B2B"/>
    <w:rsid w:val="00C56D78"/>
    <w:rsid w:val="00C57465"/>
    <w:rsid w:val="00C57529"/>
    <w:rsid w:val="00C60272"/>
    <w:rsid w:val="00C603D4"/>
    <w:rsid w:val="00C6256A"/>
    <w:rsid w:val="00C63FDA"/>
    <w:rsid w:val="00C64EBC"/>
    <w:rsid w:val="00C664D2"/>
    <w:rsid w:val="00C677E1"/>
    <w:rsid w:val="00C700D9"/>
    <w:rsid w:val="00C70E6E"/>
    <w:rsid w:val="00C710E2"/>
    <w:rsid w:val="00C71C3F"/>
    <w:rsid w:val="00C7208F"/>
    <w:rsid w:val="00C73AEF"/>
    <w:rsid w:val="00C7409E"/>
    <w:rsid w:val="00C74D6D"/>
    <w:rsid w:val="00C76A3A"/>
    <w:rsid w:val="00C76E76"/>
    <w:rsid w:val="00C77891"/>
    <w:rsid w:val="00C77B74"/>
    <w:rsid w:val="00C80E80"/>
    <w:rsid w:val="00C82062"/>
    <w:rsid w:val="00C829A9"/>
    <w:rsid w:val="00C87B80"/>
    <w:rsid w:val="00C90330"/>
    <w:rsid w:val="00C91449"/>
    <w:rsid w:val="00C92D10"/>
    <w:rsid w:val="00C92F79"/>
    <w:rsid w:val="00C95200"/>
    <w:rsid w:val="00C96EC0"/>
    <w:rsid w:val="00CA06F9"/>
    <w:rsid w:val="00CA14BB"/>
    <w:rsid w:val="00CA230C"/>
    <w:rsid w:val="00CA3823"/>
    <w:rsid w:val="00CA48D9"/>
    <w:rsid w:val="00CB1193"/>
    <w:rsid w:val="00CB4767"/>
    <w:rsid w:val="00CB493D"/>
    <w:rsid w:val="00CC00C7"/>
    <w:rsid w:val="00CC043B"/>
    <w:rsid w:val="00CC3B97"/>
    <w:rsid w:val="00CC5C70"/>
    <w:rsid w:val="00CD613D"/>
    <w:rsid w:val="00CD6257"/>
    <w:rsid w:val="00CD66C7"/>
    <w:rsid w:val="00CD7C0B"/>
    <w:rsid w:val="00CE10C4"/>
    <w:rsid w:val="00CE2343"/>
    <w:rsid w:val="00CE27B5"/>
    <w:rsid w:val="00CE2BDF"/>
    <w:rsid w:val="00CE6D24"/>
    <w:rsid w:val="00CE6DAF"/>
    <w:rsid w:val="00CF02F0"/>
    <w:rsid w:val="00CF410A"/>
    <w:rsid w:val="00CF7528"/>
    <w:rsid w:val="00CF7FDE"/>
    <w:rsid w:val="00D012AF"/>
    <w:rsid w:val="00D0321E"/>
    <w:rsid w:val="00D05457"/>
    <w:rsid w:val="00D069EB"/>
    <w:rsid w:val="00D06F5E"/>
    <w:rsid w:val="00D07A8A"/>
    <w:rsid w:val="00D10E31"/>
    <w:rsid w:val="00D11199"/>
    <w:rsid w:val="00D11F22"/>
    <w:rsid w:val="00D127B3"/>
    <w:rsid w:val="00D136BF"/>
    <w:rsid w:val="00D1455A"/>
    <w:rsid w:val="00D14573"/>
    <w:rsid w:val="00D14A70"/>
    <w:rsid w:val="00D15D50"/>
    <w:rsid w:val="00D207EA"/>
    <w:rsid w:val="00D211FB"/>
    <w:rsid w:val="00D22093"/>
    <w:rsid w:val="00D25130"/>
    <w:rsid w:val="00D31150"/>
    <w:rsid w:val="00D3138B"/>
    <w:rsid w:val="00D31EA0"/>
    <w:rsid w:val="00D31FCE"/>
    <w:rsid w:val="00D3280C"/>
    <w:rsid w:val="00D3406A"/>
    <w:rsid w:val="00D34D24"/>
    <w:rsid w:val="00D365EA"/>
    <w:rsid w:val="00D40B11"/>
    <w:rsid w:val="00D42864"/>
    <w:rsid w:val="00D429EC"/>
    <w:rsid w:val="00D441F1"/>
    <w:rsid w:val="00D4572C"/>
    <w:rsid w:val="00D469B2"/>
    <w:rsid w:val="00D52B24"/>
    <w:rsid w:val="00D52EAA"/>
    <w:rsid w:val="00D52ECF"/>
    <w:rsid w:val="00D5452B"/>
    <w:rsid w:val="00D54B09"/>
    <w:rsid w:val="00D6243E"/>
    <w:rsid w:val="00D65658"/>
    <w:rsid w:val="00D67EB2"/>
    <w:rsid w:val="00D70349"/>
    <w:rsid w:val="00D72B6F"/>
    <w:rsid w:val="00D741EB"/>
    <w:rsid w:val="00D74CEA"/>
    <w:rsid w:val="00D7561B"/>
    <w:rsid w:val="00D7679C"/>
    <w:rsid w:val="00D77412"/>
    <w:rsid w:val="00D80948"/>
    <w:rsid w:val="00D816A1"/>
    <w:rsid w:val="00D820F3"/>
    <w:rsid w:val="00D83605"/>
    <w:rsid w:val="00D84934"/>
    <w:rsid w:val="00D866EB"/>
    <w:rsid w:val="00D87D1A"/>
    <w:rsid w:val="00D906DA"/>
    <w:rsid w:val="00D91271"/>
    <w:rsid w:val="00D919F5"/>
    <w:rsid w:val="00D945F6"/>
    <w:rsid w:val="00D94F03"/>
    <w:rsid w:val="00D95161"/>
    <w:rsid w:val="00D955DB"/>
    <w:rsid w:val="00D95C23"/>
    <w:rsid w:val="00DA0A82"/>
    <w:rsid w:val="00DA0D14"/>
    <w:rsid w:val="00DA1FC9"/>
    <w:rsid w:val="00DA2CB5"/>
    <w:rsid w:val="00DA358F"/>
    <w:rsid w:val="00DA383E"/>
    <w:rsid w:val="00DA4BAC"/>
    <w:rsid w:val="00DA4CA9"/>
    <w:rsid w:val="00DA722E"/>
    <w:rsid w:val="00DA792A"/>
    <w:rsid w:val="00DB0151"/>
    <w:rsid w:val="00DB0160"/>
    <w:rsid w:val="00DB04D7"/>
    <w:rsid w:val="00DB16DF"/>
    <w:rsid w:val="00DB50E1"/>
    <w:rsid w:val="00DC0566"/>
    <w:rsid w:val="00DC05E1"/>
    <w:rsid w:val="00DC1499"/>
    <w:rsid w:val="00DC16CF"/>
    <w:rsid w:val="00DC2C3E"/>
    <w:rsid w:val="00DC3137"/>
    <w:rsid w:val="00DC3A71"/>
    <w:rsid w:val="00DC4880"/>
    <w:rsid w:val="00DC5E90"/>
    <w:rsid w:val="00DD0BE9"/>
    <w:rsid w:val="00DD26F9"/>
    <w:rsid w:val="00DD350E"/>
    <w:rsid w:val="00DD42AB"/>
    <w:rsid w:val="00DE06AF"/>
    <w:rsid w:val="00DE54F8"/>
    <w:rsid w:val="00DE6D27"/>
    <w:rsid w:val="00DE76EA"/>
    <w:rsid w:val="00DE7A75"/>
    <w:rsid w:val="00DF01F8"/>
    <w:rsid w:val="00DF021D"/>
    <w:rsid w:val="00DF14EE"/>
    <w:rsid w:val="00DF217D"/>
    <w:rsid w:val="00DF26A7"/>
    <w:rsid w:val="00DF3277"/>
    <w:rsid w:val="00DF6A31"/>
    <w:rsid w:val="00DF77A1"/>
    <w:rsid w:val="00DF7919"/>
    <w:rsid w:val="00E0207E"/>
    <w:rsid w:val="00E02AE6"/>
    <w:rsid w:val="00E03912"/>
    <w:rsid w:val="00E04748"/>
    <w:rsid w:val="00E04934"/>
    <w:rsid w:val="00E060AF"/>
    <w:rsid w:val="00E078D9"/>
    <w:rsid w:val="00E10293"/>
    <w:rsid w:val="00E103A0"/>
    <w:rsid w:val="00E1043F"/>
    <w:rsid w:val="00E11F44"/>
    <w:rsid w:val="00E13E60"/>
    <w:rsid w:val="00E143A4"/>
    <w:rsid w:val="00E15627"/>
    <w:rsid w:val="00E164B3"/>
    <w:rsid w:val="00E16910"/>
    <w:rsid w:val="00E21164"/>
    <w:rsid w:val="00E217CA"/>
    <w:rsid w:val="00E22509"/>
    <w:rsid w:val="00E239E2"/>
    <w:rsid w:val="00E24116"/>
    <w:rsid w:val="00E24E09"/>
    <w:rsid w:val="00E27234"/>
    <w:rsid w:val="00E3495C"/>
    <w:rsid w:val="00E42BDB"/>
    <w:rsid w:val="00E47632"/>
    <w:rsid w:val="00E524A9"/>
    <w:rsid w:val="00E53F1A"/>
    <w:rsid w:val="00E55411"/>
    <w:rsid w:val="00E564C4"/>
    <w:rsid w:val="00E56DE2"/>
    <w:rsid w:val="00E5726D"/>
    <w:rsid w:val="00E57EEB"/>
    <w:rsid w:val="00E62B9C"/>
    <w:rsid w:val="00E62D94"/>
    <w:rsid w:val="00E62ECC"/>
    <w:rsid w:val="00E64F37"/>
    <w:rsid w:val="00E65091"/>
    <w:rsid w:val="00E65393"/>
    <w:rsid w:val="00E65E54"/>
    <w:rsid w:val="00E661C7"/>
    <w:rsid w:val="00E66679"/>
    <w:rsid w:val="00E732C4"/>
    <w:rsid w:val="00E74E41"/>
    <w:rsid w:val="00E80155"/>
    <w:rsid w:val="00E8134B"/>
    <w:rsid w:val="00E81DBC"/>
    <w:rsid w:val="00E81E0D"/>
    <w:rsid w:val="00E81F28"/>
    <w:rsid w:val="00E848C0"/>
    <w:rsid w:val="00E84BB8"/>
    <w:rsid w:val="00E85F55"/>
    <w:rsid w:val="00E86F92"/>
    <w:rsid w:val="00E91B96"/>
    <w:rsid w:val="00E92F2E"/>
    <w:rsid w:val="00E935DA"/>
    <w:rsid w:val="00E93D1E"/>
    <w:rsid w:val="00E941A1"/>
    <w:rsid w:val="00E95CE3"/>
    <w:rsid w:val="00E95F9A"/>
    <w:rsid w:val="00EA0856"/>
    <w:rsid w:val="00EA1DC4"/>
    <w:rsid w:val="00EA22FD"/>
    <w:rsid w:val="00EA252F"/>
    <w:rsid w:val="00EA2825"/>
    <w:rsid w:val="00EA4BA1"/>
    <w:rsid w:val="00EA5027"/>
    <w:rsid w:val="00EA64C2"/>
    <w:rsid w:val="00EA6518"/>
    <w:rsid w:val="00EA71A2"/>
    <w:rsid w:val="00EA7466"/>
    <w:rsid w:val="00EA7EDE"/>
    <w:rsid w:val="00EB0B63"/>
    <w:rsid w:val="00EB1936"/>
    <w:rsid w:val="00EB3545"/>
    <w:rsid w:val="00EB37BE"/>
    <w:rsid w:val="00EB4BAE"/>
    <w:rsid w:val="00EB5088"/>
    <w:rsid w:val="00EB7210"/>
    <w:rsid w:val="00EC2726"/>
    <w:rsid w:val="00EC681C"/>
    <w:rsid w:val="00EC7B87"/>
    <w:rsid w:val="00ED1644"/>
    <w:rsid w:val="00ED2593"/>
    <w:rsid w:val="00ED3709"/>
    <w:rsid w:val="00ED7D55"/>
    <w:rsid w:val="00ED7D9C"/>
    <w:rsid w:val="00EE00A7"/>
    <w:rsid w:val="00EE0F55"/>
    <w:rsid w:val="00EE2F77"/>
    <w:rsid w:val="00EE3158"/>
    <w:rsid w:val="00EE31A2"/>
    <w:rsid w:val="00EE4329"/>
    <w:rsid w:val="00EE5E8F"/>
    <w:rsid w:val="00EE6203"/>
    <w:rsid w:val="00EF0069"/>
    <w:rsid w:val="00EF3C52"/>
    <w:rsid w:val="00EF4356"/>
    <w:rsid w:val="00EF44A0"/>
    <w:rsid w:val="00EF4580"/>
    <w:rsid w:val="00EF4FED"/>
    <w:rsid w:val="00EF59FB"/>
    <w:rsid w:val="00EF5F45"/>
    <w:rsid w:val="00EF6843"/>
    <w:rsid w:val="00EF6941"/>
    <w:rsid w:val="00EF6FB3"/>
    <w:rsid w:val="00F0068B"/>
    <w:rsid w:val="00F007C6"/>
    <w:rsid w:val="00F0172E"/>
    <w:rsid w:val="00F044C1"/>
    <w:rsid w:val="00F050BD"/>
    <w:rsid w:val="00F05657"/>
    <w:rsid w:val="00F05AB0"/>
    <w:rsid w:val="00F12C74"/>
    <w:rsid w:val="00F13214"/>
    <w:rsid w:val="00F13A09"/>
    <w:rsid w:val="00F1559A"/>
    <w:rsid w:val="00F17ED6"/>
    <w:rsid w:val="00F20676"/>
    <w:rsid w:val="00F209E2"/>
    <w:rsid w:val="00F2197C"/>
    <w:rsid w:val="00F21E06"/>
    <w:rsid w:val="00F2398F"/>
    <w:rsid w:val="00F23B95"/>
    <w:rsid w:val="00F25578"/>
    <w:rsid w:val="00F258E5"/>
    <w:rsid w:val="00F25B9C"/>
    <w:rsid w:val="00F2675A"/>
    <w:rsid w:val="00F26CC6"/>
    <w:rsid w:val="00F300BC"/>
    <w:rsid w:val="00F305FA"/>
    <w:rsid w:val="00F3263C"/>
    <w:rsid w:val="00F3334E"/>
    <w:rsid w:val="00F34FC9"/>
    <w:rsid w:val="00F3573A"/>
    <w:rsid w:val="00F36CCB"/>
    <w:rsid w:val="00F374E5"/>
    <w:rsid w:val="00F37B93"/>
    <w:rsid w:val="00F37BAD"/>
    <w:rsid w:val="00F37ECA"/>
    <w:rsid w:val="00F40A1C"/>
    <w:rsid w:val="00F43AF2"/>
    <w:rsid w:val="00F45216"/>
    <w:rsid w:val="00F5007E"/>
    <w:rsid w:val="00F508F6"/>
    <w:rsid w:val="00F50EC4"/>
    <w:rsid w:val="00F52232"/>
    <w:rsid w:val="00F527B1"/>
    <w:rsid w:val="00F52DC2"/>
    <w:rsid w:val="00F53731"/>
    <w:rsid w:val="00F54AF9"/>
    <w:rsid w:val="00F550CF"/>
    <w:rsid w:val="00F553D2"/>
    <w:rsid w:val="00F56A2D"/>
    <w:rsid w:val="00F57A6D"/>
    <w:rsid w:val="00F6044B"/>
    <w:rsid w:val="00F62F19"/>
    <w:rsid w:val="00F638CC"/>
    <w:rsid w:val="00F64C9E"/>
    <w:rsid w:val="00F64CC1"/>
    <w:rsid w:val="00F674F7"/>
    <w:rsid w:val="00F708B1"/>
    <w:rsid w:val="00F72317"/>
    <w:rsid w:val="00F73A7E"/>
    <w:rsid w:val="00F73DC1"/>
    <w:rsid w:val="00F75BB8"/>
    <w:rsid w:val="00F77714"/>
    <w:rsid w:val="00F80475"/>
    <w:rsid w:val="00F80E6E"/>
    <w:rsid w:val="00F81390"/>
    <w:rsid w:val="00F81F7A"/>
    <w:rsid w:val="00F8247A"/>
    <w:rsid w:val="00F82E5C"/>
    <w:rsid w:val="00F83E86"/>
    <w:rsid w:val="00F83F58"/>
    <w:rsid w:val="00F85206"/>
    <w:rsid w:val="00F87C7A"/>
    <w:rsid w:val="00F87CEA"/>
    <w:rsid w:val="00F919A9"/>
    <w:rsid w:val="00F9265D"/>
    <w:rsid w:val="00F94B5F"/>
    <w:rsid w:val="00F9629A"/>
    <w:rsid w:val="00F97EFC"/>
    <w:rsid w:val="00FA0B04"/>
    <w:rsid w:val="00FA0C7C"/>
    <w:rsid w:val="00FA1BDD"/>
    <w:rsid w:val="00FA2389"/>
    <w:rsid w:val="00FA305C"/>
    <w:rsid w:val="00FA462E"/>
    <w:rsid w:val="00FA4DD5"/>
    <w:rsid w:val="00FA5883"/>
    <w:rsid w:val="00FA6055"/>
    <w:rsid w:val="00FB0B39"/>
    <w:rsid w:val="00FB322F"/>
    <w:rsid w:val="00FB3EEB"/>
    <w:rsid w:val="00FB442F"/>
    <w:rsid w:val="00FB69A6"/>
    <w:rsid w:val="00FC0534"/>
    <w:rsid w:val="00FC118C"/>
    <w:rsid w:val="00FC1929"/>
    <w:rsid w:val="00FC5B46"/>
    <w:rsid w:val="00FC6A82"/>
    <w:rsid w:val="00FD1D4F"/>
    <w:rsid w:val="00FD24BF"/>
    <w:rsid w:val="00FD3B6E"/>
    <w:rsid w:val="00FD4140"/>
    <w:rsid w:val="00FD57EB"/>
    <w:rsid w:val="00FD6D8E"/>
    <w:rsid w:val="00FE0663"/>
    <w:rsid w:val="00FE0E94"/>
    <w:rsid w:val="00FE369C"/>
    <w:rsid w:val="00FE3CD9"/>
    <w:rsid w:val="00FF00BD"/>
    <w:rsid w:val="00FF067C"/>
    <w:rsid w:val="00FF0B13"/>
    <w:rsid w:val="00FF1672"/>
    <w:rsid w:val="00FF1ED4"/>
    <w:rsid w:val="00FF2801"/>
    <w:rsid w:val="00FF799B"/>
    <w:rsid w:val="012A7082"/>
    <w:rsid w:val="0143FC8B"/>
    <w:rsid w:val="01472274"/>
    <w:rsid w:val="01BAC867"/>
    <w:rsid w:val="0254441C"/>
    <w:rsid w:val="02E816C3"/>
    <w:rsid w:val="032394EB"/>
    <w:rsid w:val="033B2F40"/>
    <w:rsid w:val="0437B5A4"/>
    <w:rsid w:val="04A12F4E"/>
    <w:rsid w:val="04DBE9EA"/>
    <w:rsid w:val="05182518"/>
    <w:rsid w:val="051D99F9"/>
    <w:rsid w:val="05B612E3"/>
    <w:rsid w:val="0605216C"/>
    <w:rsid w:val="063EE9F7"/>
    <w:rsid w:val="069F379E"/>
    <w:rsid w:val="076CEE75"/>
    <w:rsid w:val="08185FB9"/>
    <w:rsid w:val="082A09EB"/>
    <w:rsid w:val="089BC592"/>
    <w:rsid w:val="0A0C7AE1"/>
    <w:rsid w:val="0A663D94"/>
    <w:rsid w:val="0B1BF5E7"/>
    <w:rsid w:val="0CF130DF"/>
    <w:rsid w:val="0CFE1DFD"/>
    <w:rsid w:val="0D4FC7CF"/>
    <w:rsid w:val="0DC4E36E"/>
    <w:rsid w:val="0E5E506F"/>
    <w:rsid w:val="0F5CF529"/>
    <w:rsid w:val="0FC31246"/>
    <w:rsid w:val="1023E0F9"/>
    <w:rsid w:val="1272477B"/>
    <w:rsid w:val="12B95C68"/>
    <w:rsid w:val="14F07869"/>
    <w:rsid w:val="15107A79"/>
    <w:rsid w:val="1559BAC6"/>
    <w:rsid w:val="162998A6"/>
    <w:rsid w:val="17FD5F39"/>
    <w:rsid w:val="18657CF4"/>
    <w:rsid w:val="19890FA6"/>
    <w:rsid w:val="19B44400"/>
    <w:rsid w:val="19F2311B"/>
    <w:rsid w:val="19F7AA11"/>
    <w:rsid w:val="1A0D3C6A"/>
    <w:rsid w:val="1A2D1BE7"/>
    <w:rsid w:val="1A8A0C43"/>
    <w:rsid w:val="1B0BFFE7"/>
    <w:rsid w:val="1B4DABE9"/>
    <w:rsid w:val="1D4E7C25"/>
    <w:rsid w:val="1D6033D6"/>
    <w:rsid w:val="1DDBDA0D"/>
    <w:rsid w:val="1E382E8C"/>
    <w:rsid w:val="1E938E64"/>
    <w:rsid w:val="1EAFF635"/>
    <w:rsid w:val="1F3EECBD"/>
    <w:rsid w:val="1FB6E350"/>
    <w:rsid w:val="1FF3162D"/>
    <w:rsid w:val="2009EB8A"/>
    <w:rsid w:val="210F5AF1"/>
    <w:rsid w:val="212CBC64"/>
    <w:rsid w:val="231C3354"/>
    <w:rsid w:val="238CC620"/>
    <w:rsid w:val="244B8CF8"/>
    <w:rsid w:val="24C0A041"/>
    <w:rsid w:val="24CA5046"/>
    <w:rsid w:val="24F49182"/>
    <w:rsid w:val="26615FE7"/>
    <w:rsid w:val="2678B15D"/>
    <w:rsid w:val="26F6F44A"/>
    <w:rsid w:val="27394882"/>
    <w:rsid w:val="28B27485"/>
    <w:rsid w:val="29365BD7"/>
    <w:rsid w:val="29882150"/>
    <w:rsid w:val="29E0E709"/>
    <w:rsid w:val="2AA490C3"/>
    <w:rsid w:val="2AB480AD"/>
    <w:rsid w:val="2B8D5B09"/>
    <w:rsid w:val="2C4C1D68"/>
    <w:rsid w:val="2C7C3DFB"/>
    <w:rsid w:val="2D470254"/>
    <w:rsid w:val="2DECC312"/>
    <w:rsid w:val="2E4579D6"/>
    <w:rsid w:val="2EF0545B"/>
    <w:rsid w:val="2FC97F8A"/>
    <w:rsid w:val="300EDF22"/>
    <w:rsid w:val="3079EB0D"/>
    <w:rsid w:val="307D714D"/>
    <w:rsid w:val="3093AC95"/>
    <w:rsid w:val="30E8B387"/>
    <w:rsid w:val="31C1265F"/>
    <w:rsid w:val="321F658F"/>
    <w:rsid w:val="32FFC29C"/>
    <w:rsid w:val="3320F36F"/>
    <w:rsid w:val="340D0A3D"/>
    <w:rsid w:val="343A4F58"/>
    <w:rsid w:val="34E7EA92"/>
    <w:rsid w:val="363425FC"/>
    <w:rsid w:val="373C6128"/>
    <w:rsid w:val="37C1F8E8"/>
    <w:rsid w:val="3805C0E7"/>
    <w:rsid w:val="38168071"/>
    <w:rsid w:val="393376D2"/>
    <w:rsid w:val="395463D1"/>
    <w:rsid w:val="398863F1"/>
    <w:rsid w:val="3A20C143"/>
    <w:rsid w:val="3A4C135D"/>
    <w:rsid w:val="3BA095AD"/>
    <w:rsid w:val="3EDC23CB"/>
    <w:rsid w:val="40771079"/>
    <w:rsid w:val="40930EF5"/>
    <w:rsid w:val="4110CDB4"/>
    <w:rsid w:val="42691D0F"/>
    <w:rsid w:val="4372D6C2"/>
    <w:rsid w:val="443448FB"/>
    <w:rsid w:val="44505BFC"/>
    <w:rsid w:val="450F5A46"/>
    <w:rsid w:val="456C4AA2"/>
    <w:rsid w:val="4641A0D0"/>
    <w:rsid w:val="483DA525"/>
    <w:rsid w:val="4873567A"/>
    <w:rsid w:val="48F582C0"/>
    <w:rsid w:val="495D9BBE"/>
    <w:rsid w:val="49B7B512"/>
    <w:rsid w:val="4AE86C22"/>
    <w:rsid w:val="4C8B405E"/>
    <w:rsid w:val="4CA8BA21"/>
    <w:rsid w:val="4D21EA56"/>
    <w:rsid w:val="4DA14906"/>
    <w:rsid w:val="4DD74500"/>
    <w:rsid w:val="4EE3854C"/>
    <w:rsid w:val="4F28A562"/>
    <w:rsid w:val="5057B658"/>
    <w:rsid w:val="50F1C25A"/>
    <w:rsid w:val="517C50E5"/>
    <w:rsid w:val="51A107A9"/>
    <w:rsid w:val="521C1C44"/>
    <w:rsid w:val="53044900"/>
    <w:rsid w:val="53229BC9"/>
    <w:rsid w:val="53B39A2E"/>
    <w:rsid w:val="54C17BA2"/>
    <w:rsid w:val="553311EF"/>
    <w:rsid w:val="55ACD1A0"/>
    <w:rsid w:val="56AFA43F"/>
    <w:rsid w:val="58963761"/>
    <w:rsid w:val="59185BFB"/>
    <w:rsid w:val="593F501C"/>
    <w:rsid w:val="5A05D725"/>
    <w:rsid w:val="5ADD90BE"/>
    <w:rsid w:val="5B1E38D7"/>
    <w:rsid w:val="5B9D8C93"/>
    <w:rsid w:val="5CB076C8"/>
    <w:rsid w:val="5D5832E9"/>
    <w:rsid w:val="5D80A09E"/>
    <w:rsid w:val="5DC1C88E"/>
    <w:rsid w:val="5DF2A876"/>
    <w:rsid w:val="5EACEEBD"/>
    <w:rsid w:val="5EBDDC85"/>
    <w:rsid w:val="5F8C18FC"/>
    <w:rsid w:val="600E03FD"/>
    <w:rsid w:val="6238D218"/>
    <w:rsid w:val="628CB478"/>
    <w:rsid w:val="62AD93BA"/>
    <w:rsid w:val="63555756"/>
    <w:rsid w:val="644E444D"/>
    <w:rsid w:val="65573E26"/>
    <w:rsid w:val="65AD35BA"/>
    <w:rsid w:val="65C2D45A"/>
    <w:rsid w:val="6657D135"/>
    <w:rsid w:val="66D9E62A"/>
    <w:rsid w:val="66E8E023"/>
    <w:rsid w:val="6728F4B3"/>
    <w:rsid w:val="673BE400"/>
    <w:rsid w:val="67B6BAF7"/>
    <w:rsid w:val="68E0347C"/>
    <w:rsid w:val="6956685D"/>
    <w:rsid w:val="699B3EBB"/>
    <w:rsid w:val="69A7D5B7"/>
    <w:rsid w:val="6A2AAF49"/>
    <w:rsid w:val="6BAD574D"/>
    <w:rsid w:val="6CA77350"/>
    <w:rsid w:val="70971A32"/>
    <w:rsid w:val="709A626A"/>
    <w:rsid w:val="716D6D8F"/>
    <w:rsid w:val="731BA24E"/>
    <w:rsid w:val="73C929CD"/>
    <w:rsid w:val="73E7CF48"/>
    <w:rsid w:val="75B5D97D"/>
    <w:rsid w:val="75B9CE48"/>
    <w:rsid w:val="764DA178"/>
    <w:rsid w:val="77B642A1"/>
    <w:rsid w:val="78063D85"/>
    <w:rsid w:val="78168F3E"/>
    <w:rsid w:val="78E271BD"/>
    <w:rsid w:val="78E93C4E"/>
    <w:rsid w:val="79E941EA"/>
    <w:rsid w:val="7A3DE86F"/>
    <w:rsid w:val="7AD6838E"/>
    <w:rsid w:val="7B180F93"/>
    <w:rsid w:val="7B1B6DA9"/>
    <w:rsid w:val="7B349606"/>
    <w:rsid w:val="7C63B7C1"/>
    <w:rsid w:val="7C73E7A8"/>
    <w:rsid w:val="7C7878ED"/>
    <w:rsid w:val="7CDEBC17"/>
    <w:rsid w:val="7D61AEBC"/>
    <w:rsid w:val="7D98DA3E"/>
    <w:rsid w:val="7DAC400C"/>
    <w:rsid w:val="7E303FD3"/>
    <w:rsid w:val="7E3EF267"/>
    <w:rsid w:val="7E77EEEF"/>
    <w:rsid w:val="7E784689"/>
    <w:rsid w:val="7E9A54A9"/>
    <w:rsid w:val="7F47C472"/>
    <w:rsid w:val="7FA82C29"/>
    <w:rsid w:val="7FC1548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5169"/>
    <o:shapelayout v:ext="edit">
      <o:idmap v:ext="edit" data="1"/>
    </o:shapelayout>
  </w:shapeDefaults>
  <w:decimalSymbol w:val="."/>
  <w:listSeparator w:val=","/>
  <w14:docId w14:val="24BD7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1"/>
    <w:lsdException w:name="heading 2" w:uiPriority="1" w:qFormat="1"/>
    <w:lsdException w:name="heading 3" w:semiHidden="1" w:unhideWhenUsed="1"/>
    <w:lsdException w:name="heading 4"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A3D8E"/>
    <w:pPr>
      <w:jc w:val="both"/>
    </w:pPr>
    <w:rPr>
      <w:rFonts w:ascii="Calibri" w:hAnsi="Calibri"/>
      <w:sz w:val="24"/>
      <w:szCs w:val="24"/>
    </w:rPr>
  </w:style>
  <w:style w:type="paragraph" w:styleId="Heading1">
    <w:name w:val="heading 1"/>
    <w:basedOn w:val="ListParagraph"/>
    <w:next w:val="Normal"/>
    <w:link w:val="Heading1Char"/>
    <w:uiPriority w:val="1"/>
    <w:rsid w:val="00C603D4"/>
    <w:pPr>
      <w:ind w:left="0"/>
      <w:outlineLvl w:val="0"/>
    </w:pPr>
    <w:rPr>
      <w:b/>
      <w:szCs w:val="22"/>
    </w:rPr>
  </w:style>
  <w:style w:type="paragraph" w:styleId="Heading2">
    <w:name w:val="heading 2"/>
    <w:aliases w:val="Subsection Headings"/>
    <w:basedOn w:val="Normal"/>
    <w:next w:val="Normal"/>
    <w:link w:val="Heading2Char"/>
    <w:uiPriority w:val="1"/>
    <w:qFormat/>
    <w:rsid w:val="00B1059E"/>
    <w:pPr>
      <w:keepNext/>
      <w:outlineLvl w:val="1"/>
    </w:pPr>
    <w:rPr>
      <w:rFonts w:ascii="Arial" w:hAnsi="Arial"/>
      <w:b/>
      <w:i/>
      <w:sz w:val="22"/>
    </w:rPr>
  </w:style>
  <w:style w:type="paragraph" w:styleId="Heading3">
    <w:name w:val="heading 3"/>
    <w:basedOn w:val="Normal"/>
    <w:next w:val="Normal"/>
    <w:link w:val="Heading3Char"/>
    <w:unhideWhenUsed/>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pPr>
      <w:spacing w:before="240" w:after="60"/>
      <w:outlineLvl w:val="4"/>
    </w:pPr>
    <w:rPr>
      <w:b/>
      <w:bCs/>
      <w:i/>
      <w:iCs/>
      <w:sz w:val="26"/>
      <w:szCs w:val="26"/>
    </w:rPr>
  </w:style>
  <w:style w:type="paragraph" w:styleId="Heading6">
    <w:name w:val="heading 6"/>
    <w:basedOn w:val="Normal"/>
    <w:next w:val="Normal"/>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qFormat/>
    <w:rsid w:val="00446938"/>
    <w:pPr>
      <w:keepNext/>
      <w:tabs>
        <w:tab w:val="center" w:pos="4513"/>
        <w:tab w:val="right" w:pos="9026"/>
      </w:tabs>
      <w:jc w:val="center"/>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aliases w:val="Summary box,Table Gridbeth,Tabellengitternetz 9pt,PBAC table,HTAtableplain,new style"/>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link w:val="TabletextChar"/>
    <w:pPr>
      <w:spacing w:after="120"/>
    </w:pPr>
    <w:rPr>
      <w:rFonts w:ascii="Arial" w:hAnsi="Arial"/>
      <w:sz w:val="20"/>
      <w:szCs w:val="20"/>
      <w:lang w:eastAsia="en-US"/>
    </w:rPr>
  </w:style>
  <w:style w:type="paragraph" w:styleId="BodyText2">
    <w:name w:val="Body Text 2"/>
    <w:basedOn w:val="Normal"/>
    <w:link w:val="BodyText2Char"/>
    <w:pPr>
      <w:widowControl w:val="0"/>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rPr>
      <w:sz w:val="20"/>
      <w:szCs w:val="20"/>
      <w:lang w:eastAsia="en-US"/>
    </w:rPr>
  </w:style>
  <w:style w:type="character" w:customStyle="1" w:styleId="HeaderChar">
    <w:name w:val="Header Char"/>
    <w:aliases w:val="Page Header Char,Header title Char,he=header Char,cntr/bld Char"/>
    <w:basedOn w:val="DefaultParagraphFont"/>
    <w:link w:val="Header"/>
    <w:rsid w:val="00446938"/>
    <w:rPr>
      <w:rFonts w:ascii="Calibri" w:hAnsi="Calibri"/>
      <w:sz w:val="24"/>
      <w:szCs w:val="24"/>
    </w:rPr>
  </w:style>
  <w:style w:type="paragraph" w:customStyle="1" w:styleId="MediumGrid21">
    <w:name w:val="Medium Grid 21"/>
    <w:link w:val="MediumGrid2Char"/>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Numbered para,Body Text Bullet Points,List Paragraph1,Bullet point,List Paragraph11,Recommendation,Section heading,Footnote,ES Paragraph,PBAC ES Paragraph,PBAC normal points,Bullet List,Figure_name,Numbered Indented Text"/>
    <w:next w:val="ListBullet"/>
    <w:link w:val="ListParagraphChar"/>
    <w:uiPriority w:val="34"/>
    <w:qFormat/>
    <w:rsid w:val="00446938"/>
    <w:pPr>
      <w:spacing w:after="120"/>
      <w:ind w:left="1134" w:hanging="357"/>
    </w:pPr>
    <w:rPr>
      <w:rFonts w:asciiTheme="minorHAnsi" w:hAnsiTheme="minorHAnsi" w:cs="Arial"/>
      <w:snapToGrid w:val="0"/>
      <w:sz w:val="24"/>
      <w:szCs w:val="24"/>
    </w:r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uiPriority w:val="99"/>
    <w:rsid w:val="00BB7EC3"/>
    <w:rPr>
      <w:sz w:val="20"/>
      <w:szCs w:val="20"/>
    </w:rPr>
  </w:style>
  <w:style w:type="character" w:customStyle="1" w:styleId="CommentTextChar">
    <w:name w:val="Comment Text Char"/>
    <w:basedOn w:val="DefaultParagraphFont"/>
    <w:link w:val="CommentText"/>
    <w:uiPriority w:val="99"/>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link w:val="NoSpacingChar"/>
    <w:uiPriority w:val="1"/>
    <w:qFormat/>
    <w:rsid w:val="00C27B58"/>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tabs>
        <w:tab w:val="num" w:pos="360"/>
      </w:tabs>
      <w:ind w:left="360" w:hanging="360"/>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Numbered para Char,Body Text Bullet Points Char,List Paragraph1 Char,Bullet point Char,List Paragraph11 Char,Recommendation Char,Section heading Char,Footnote Char,ES Paragraph Char,PBAC ES Paragraph Char"/>
    <w:basedOn w:val="DefaultParagraphFont"/>
    <w:link w:val="ListParagraph"/>
    <w:uiPriority w:val="34"/>
    <w:qFormat/>
    <w:rsid w:val="00446938"/>
    <w:rPr>
      <w:rFonts w:asciiTheme="minorHAnsi" w:hAnsiTheme="minorHAnsi" w:cs="Arial"/>
      <w:snapToGrid w:val="0"/>
      <w:sz w:val="24"/>
      <w:szCs w:val="24"/>
    </w:rPr>
  </w:style>
  <w:style w:type="paragraph" w:customStyle="1" w:styleId="2Sections">
    <w:name w:val="2. Sections"/>
    <w:qFormat/>
    <w:rsid w:val="0033263D"/>
    <w:pPr>
      <w:spacing w:before="240" w:after="120"/>
      <w:outlineLvl w:val="0"/>
    </w:pPr>
    <w:rPr>
      <w:rFonts w:asciiTheme="minorHAnsi" w:hAnsiTheme="minorHAnsi" w:cs="Arial"/>
      <w:b/>
      <w:snapToGrid w:val="0"/>
      <w:sz w:val="32"/>
      <w:szCs w:val="32"/>
      <w:lang w:eastAsia="en-US"/>
    </w:rPr>
  </w:style>
  <w:style w:type="character" w:customStyle="1" w:styleId="Heading1Char">
    <w:name w:val="Heading 1 Char"/>
    <w:basedOn w:val="DefaultParagraphFont"/>
    <w:link w:val="Heading1"/>
    <w:uiPriority w:val="1"/>
    <w:rsid w:val="003C2FB5"/>
    <w:rPr>
      <w:rFonts w:asciiTheme="minorHAnsi" w:hAnsiTheme="minorHAnsi" w:cs="Arial"/>
      <w:b/>
      <w:snapToGrid w:val="0"/>
      <w:sz w:val="24"/>
      <w:szCs w:val="22"/>
    </w:rPr>
  </w:style>
  <w:style w:type="character" w:customStyle="1" w:styleId="Heading2Char">
    <w:name w:val="Heading 2 Char"/>
    <w:aliases w:val="Subsection Headings Char"/>
    <w:basedOn w:val="DefaultParagraphFont"/>
    <w:link w:val="Heading2"/>
    <w:uiPriority w:val="1"/>
    <w:rsid w:val="003C2FB5"/>
    <w:rPr>
      <w:rFonts w:ascii="Arial" w:hAnsi="Arial"/>
      <w:b/>
      <w:i/>
      <w:sz w:val="22"/>
      <w:szCs w:val="24"/>
    </w:rPr>
  </w:style>
  <w:style w:type="paragraph" w:customStyle="1" w:styleId="1MainTitle">
    <w:name w:val="1. Main Title"/>
    <w:basedOn w:val="Title"/>
    <w:link w:val="1MainTitleChar"/>
    <w:qFormat/>
    <w:rsid w:val="00706A2F"/>
    <w:pPr>
      <w:spacing w:before="120" w:after="160"/>
      <w:ind w:left="720" w:hanging="720"/>
    </w:pPr>
    <w:rPr>
      <w:rFonts w:asciiTheme="minorHAnsi" w:hAnsiTheme="minorHAnsi"/>
      <w:sz w:val="36"/>
      <w:szCs w:val="36"/>
    </w:rPr>
  </w:style>
  <w:style w:type="paragraph" w:customStyle="1" w:styleId="MinorOVRHeader">
    <w:name w:val="Minor OVR Header"/>
    <w:basedOn w:val="Header"/>
    <w:link w:val="MinorOVRHeaderChar"/>
    <w:rsid w:val="00706A2F"/>
    <w:pPr>
      <w:jc w:val="right"/>
    </w:pPr>
    <w:rPr>
      <w:rFonts w:asciiTheme="minorHAnsi" w:hAnsiTheme="minorHAnsi" w:cs="Arial"/>
    </w:rPr>
  </w:style>
  <w:style w:type="character" w:customStyle="1" w:styleId="1MainTitleChar">
    <w:name w:val="1. Main Title Char"/>
    <w:basedOn w:val="TitleChar"/>
    <w:link w:val="1MainTitle"/>
    <w:rsid w:val="00706A2F"/>
    <w:rPr>
      <w:rFonts w:asciiTheme="minorHAnsi" w:eastAsiaTheme="majorEastAsia" w:hAnsiTheme="minorHAnsi" w:cstheme="majorBidi"/>
      <w:b/>
      <w:spacing w:val="5"/>
      <w:kern w:val="28"/>
      <w:sz w:val="36"/>
      <w:szCs w:val="36"/>
    </w:rPr>
  </w:style>
  <w:style w:type="paragraph" w:customStyle="1" w:styleId="Tabletitles">
    <w:name w:val="Table titles"/>
    <w:basedOn w:val="NoSpacing"/>
    <w:link w:val="TabletitlesChar"/>
    <w:qFormat/>
    <w:rsid w:val="00774E2C"/>
    <w:pPr>
      <w:spacing w:after="60"/>
    </w:pPr>
    <w:rPr>
      <w:rFonts w:ascii="Arial Narrow" w:hAnsi="Arial Narrow"/>
      <w:b/>
      <w:sz w:val="20"/>
    </w:rPr>
  </w:style>
  <w:style w:type="character" w:customStyle="1" w:styleId="MinorOVRHeaderChar">
    <w:name w:val="Minor OVR Header Char"/>
    <w:basedOn w:val="HeaderChar"/>
    <w:link w:val="MinorOVRHeader"/>
    <w:rsid w:val="00706A2F"/>
    <w:rPr>
      <w:rFonts w:asciiTheme="minorHAnsi" w:hAnsiTheme="minorHAnsi" w:cs="Arial"/>
      <w:sz w:val="24"/>
      <w:szCs w:val="24"/>
      <w:lang w:eastAsia="en-AU"/>
    </w:rPr>
  </w:style>
  <w:style w:type="character" w:customStyle="1" w:styleId="NoSpacingChar">
    <w:name w:val="No Spacing Char"/>
    <w:basedOn w:val="DefaultParagraphFont"/>
    <w:link w:val="NoSpacing"/>
    <w:uiPriority w:val="1"/>
    <w:rsid w:val="00774E2C"/>
    <w:rPr>
      <w:rFonts w:ascii="Arial" w:hAnsi="Arial"/>
      <w:sz w:val="22"/>
      <w:szCs w:val="22"/>
    </w:rPr>
  </w:style>
  <w:style w:type="character" w:customStyle="1" w:styleId="TabletitlesChar">
    <w:name w:val="Table titles Char"/>
    <w:basedOn w:val="NoSpacingChar"/>
    <w:link w:val="Tabletitles"/>
    <w:rsid w:val="00774E2C"/>
    <w:rPr>
      <w:rFonts w:ascii="Arial Narrow" w:hAnsi="Arial Narrow"/>
      <w:b/>
      <w:sz w:val="22"/>
      <w:szCs w:val="22"/>
    </w:rPr>
  </w:style>
  <w:style w:type="paragraph" w:customStyle="1" w:styleId="3Bodytext">
    <w:name w:val="3. Body text"/>
    <w:basedOn w:val="ListParagraph"/>
    <w:link w:val="3BodytextChar"/>
    <w:qFormat/>
    <w:rsid w:val="00A673A4"/>
    <w:pPr>
      <w:numPr>
        <w:ilvl w:val="1"/>
        <w:numId w:val="2"/>
      </w:numPr>
    </w:pPr>
    <w:rPr>
      <w:rFonts w:eastAsiaTheme="minorHAnsi" w:cstheme="minorBidi"/>
      <w:snapToGrid/>
      <w:szCs w:val="22"/>
    </w:rPr>
  </w:style>
  <w:style w:type="paragraph" w:customStyle="1" w:styleId="PBACFooter">
    <w:name w:val="PBAC Footer"/>
    <w:basedOn w:val="Footer"/>
    <w:link w:val="PBACFooterChar"/>
    <w:qFormat/>
    <w:rsid w:val="00E27234"/>
    <w:pPr>
      <w:jc w:val="center"/>
    </w:pPr>
    <w:rPr>
      <w:rFonts w:ascii="Arial" w:hAnsi="Arial" w:cs="Arial"/>
      <w:b/>
      <w:sz w:val="20"/>
      <w:szCs w:val="20"/>
    </w:rPr>
  </w:style>
  <w:style w:type="character" w:customStyle="1" w:styleId="3BodytextChar">
    <w:name w:val="3. Body text Char"/>
    <w:basedOn w:val="ListParagraphChar"/>
    <w:link w:val="3Bodytext"/>
    <w:rsid w:val="00A673A4"/>
    <w:rPr>
      <w:rFonts w:asciiTheme="minorHAnsi" w:eastAsiaTheme="minorHAnsi" w:hAnsiTheme="minorHAnsi" w:cstheme="minorBidi"/>
      <w:snapToGrid/>
      <w:sz w:val="24"/>
      <w:szCs w:val="22"/>
    </w:rPr>
  </w:style>
  <w:style w:type="character" w:customStyle="1" w:styleId="PBACFooterChar">
    <w:name w:val="PBAC Footer Char"/>
    <w:basedOn w:val="FooterChar"/>
    <w:link w:val="PBACFooter"/>
    <w:rsid w:val="00E27234"/>
    <w:rPr>
      <w:rFonts w:ascii="Arial" w:hAnsi="Arial" w:cs="Arial"/>
      <w:b/>
      <w:sz w:val="24"/>
      <w:szCs w:val="24"/>
    </w:rPr>
  </w:style>
  <w:style w:type="paragraph" w:customStyle="1" w:styleId="PBACHeading1">
    <w:name w:val="PBAC Heading 1"/>
    <w:qFormat/>
    <w:rsid w:val="00162D4E"/>
    <w:pPr>
      <w:ind w:left="720" w:hanging="720"/>
      <w:outlineLvl w:val="0"/>
    </w:pPr>
    <w:rPr>
      <w:rFonts w:ascii="Arial" w:hAnsi="Arial" w:cs="Arial"/>
      <w:b/>
      <w:snapToGrid w:val="0"/>
      <w:sz w:val="22"/>
      <w:szCs w:val="22"/>
      <w:lang w:eastAsia="en-US"/>
    </w:rPr>
  </w:style>
  <w:style w:type="paragraph" w:customStyle="1" w:styleId="TableText0">
    <w:name w:val="Table Text"/>
    <w:link w:val="TableTextChar0"/>
    <w:qFormat/>
    <w:rsid w:val="00446938"/>
    <w:pPr>
      <w:keepNext/>
    </w:pPr>
    <w:rPr>
      <w:rFonts w:ascii="Arial Narrow" w:eastAsiaTheme="majorEastAsia" w:hAnsi="Arial Narrow" w:cstheme="majorBidi"/>
      <w:bCs/>
      <w:szCs w:val="24"/>
    </w:rPr>
  </w:style>
  <w:style w:type="paragraph" w:customStyle="1" w:styleId="Lists">
    <w:name w:val="Lists"/>
    <w:basedOn w:val="3Bodytext"/>
    <w:link w:val="ListsChar"/>
    <w:rsid w:val="000A44B2"/>
    <w:pPr>
      <w:numPr>
        <w:numId w:val="4"/>
      </w:numPr>
    </w:pPr>
  </w:style>
  <w:style w:type="character" w:customStyle="1" w:styleId="TableTextChar0">
    <w:name w:val="Table Text Char"/>
    <w:basedOn w:val="DefaultParagraphFont"/>
    <w:link w:val="TableText0"/>
    <w:rsid w:val="00446938"/>
    <w:rPr>
      <w:rFonts w:ascii="Arial Narrow" w:eastAsiaTheme="majorEastAsia" w:hAnsi="Arial Narrow" w:cstheme="majorBidi"/>
      <w:bCs/>
      <w:szCs w:val="24"/>
    </w:rPr>
  </w:style>
  <w:style w:type="character" w:styleId="FollowedHyperlink">
    <w:name w:val="FollowedHyperlink"/>
    <w:basedOn w:val="DefaultParagraphFont"/>
    <w:semiHidden/>
    <w:unhideWhenUsed/>
    <w:rsid w:val="00FA4DD5"/>
    <w:rPr>
      <w:color w:val="800080" w:themeColor="followedHyperlink"/>
      <w:u w:val="single"/>
    </w:rPr>
  </w:style>
  <w:style w:type="character" w:customStyle="1" w:styleId="ListsChar">
    <w:name w:val="Lists Char"/>
    <w:basedOn w:val="3BodytextChar"/>
    <w:link w:val="Lists"/>
    <w:rsid w:val="000A44B2"/>
    <w:rPr>
      <w:rFonts w:asciiTheme="minorHAnsi" w:eastAsiaTheme="minorHAnsi" w:hAnsiTheme="minorHAnsi" w:cstheme="minorBidi"/>
      <w:snapToGrid/>
      <w:sz w:val="24"/>
      <w:szCs w:val="22"/>
    </w:rPr>
  </w:style>
  <w:style w:type="paragraph" w:customStyle="1" w:styleId="Bulletpoints">
    <w:name w:val="Bullet points"/>
    <w:basedOn w:val="ListParagraph"/>
    <w:qFormat/>
    <w:rsid w:val="00FA305C"/>
    <w:pPr>
      <w:ind w:left="720" w:hanging="360"/>
    </w:pPr>
    <w:rPr>
      <w:rFonts w:cstheme="minorHAnsi"/>
      <w:color w:val="000000" w:themeColor="text1"/>
    </w:rPr>
  </w:style>
  <w:style w:type="paragraph" w:customStyle="1" w:styleId="TableFooter">
    <w:name w:val="Table Footer"/>
    <w:basedOn w:val="Normal"/>
    <w:link w:val="TableFooterChar"/>
    <w:qFormat/>
    <w:rsid w:val="00C7409E"/>
    <w:pPr>
      <w:widowControl w:val="0"/>
    </w:pPr>
    <w:rPr>
      <w:rFonts w:ascii="Arial Narrow" w:hAnsi="Arial Narrow" w:cs="Arial"/>
      <w:snapToGrid w:val="0"/>
      <w:sz w:val="18"/>
      <w:szCs w:val="22"/>
      <w:lang w:eastAsia="en-US"/>
    </w:rPr>
  </w:style>
  <w:style w:type="character" w:customStyle="1" w:styleId="TableFooterChar">
    <w:name w:val="Table Footer Char"/>
    <w:link w:val="TableFooter"/>
    <w:rsid w:val="00C7409E"/>
    <w:rPr>
      <w:rFonts w:ascii="Arial Narrow" w:hAnsi="Arial Narrow" w:cs="Arial"/>
      <w:snapToGrid w:val="0"/>
      <w:sz w:val="18"/>
      <w:szCs w:val="22"/>
      <w:lang w:eastAsia="en-US"/>
    </w:rPr>
  </w:style>
  <w:style w:type="character" w:customStyle="1" w:styleId="TabletextChar">
    <w:name w:val="Table text Char"/>
    <w:link w:val="Tabletext"/>
    <w:rsid w:val="00C7409E"/>
    <w:rPr>
      <w:rFonts w:ascii="Arial" w:hAnsi="Arial"/>
      <w:lang w:eastAsia="en-US"/>
    </w:rPr>
  </w:style>
  <w:style w:type="paragraph" w:customStyle="1" w:styleId="Bodytextitalics">
    <w:name w:val="Body text italics"/>
    <w:basedOn w:val="BodyText"/>
    <w:qFormat/>
    <w:rsid w:val="00E03912"/>
    <w:rPr>
      <w:rFonts w:asciiTheme="minorHAnsi" w:eastAsiaTheme="minorHAnsi" w:hAnsiTheme="minorHAnsi" w:cstheme="minorBidi"/>
      <w:i/>
      <w:szCs w:val="22"/>
    </w:rPr>
  </w:style>
  <w:style w:type="paragraph" w:styleId="BodyText">
    <w:name w:val="Body Text"/>
    <w:basedOn w:val="Normal"/>
    <w:link w:val="BodyTextChar"/>
    <w:semiHidden/>
    <w:unhideWhenUsed/>
    <w:rsid w:val="00E03912"/>
    <w:pPr>
      <w:spacing w:after="120"/>
    </w:pPr>
  </w:style>
  <w:style w:type="character" w:customStyle="1" w:styleId="BodyTextChar">
    <w:name w:val="Body Text Char"/>
    <w:basedOn w:val="DefaultParagraphFont"/>
    <w:link w:val="BodyText"/>
    <w:semiHidden/>
    <w:rsid w:val="00E03912"/>
    <w:rPr>
      <w:sz w:val="24"/>
      <w:szCs w:val="24"/>
    </w:rPr>
  </w:style>
  <w:style w:type="paragraph" w:styleId="Caption">
    <w:name w:val="caption"/>
    <w:basedOn w:val="Normal"/>
    <w:next w:val="Normal"/>
    <w:uiPriority w:val="35"/>
    <w:unhideWhenUsed/>
    <w:qFormat/>
    <w:rsid w:val="00BF092C"/>
    <w:pPr>
      <w:spacing w:after="200"/>
    </w:pPr>
    <w:rPr>
      <w:i/>
      <w:iCs/>
      <w:color w:val="000000" w:themeColor="text1"/>
      <w:sz w:val="18"/>
      <w:szCs w:val="18"/>
    </w:rPr>
  </w:style>
  <w:style w:type="paragraph" w:customStyle="1" w:styleId="ProcedureStep">
    <w:name w:val="ProcedureStep"/>
    <w:basedOn w:val="Normal"/>
    <w:rsid w:val="00BF27A0"/>
    <w:pPr>
      <w:numPr>
        <w:numId w:val="8"/>
      </w:numPr>
      <w:spacing w:before="60" w:after="60" w:line="300" w:lineRule="atLeast"/>
      <w:ind w:right="567"/>
    </w:pPr>
    <w:rPr>
      <w:rFonts w:ascii="Tahoma" w:hAnsi="Tahoma"/>
      <w:sz w:val="22"/>
      <w:szCs w:val="20"/>
    </w:rPr>
  </w:style>
  <w:style w:type="paragraph" w:customStyle="1" w:styleId="GeneralHeading">
    <w:name w:val="General Heading"/>
    <w:qFormat/>
    <w:rsid w:val="00446938"/>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446938"/>
    <w:pPr>
      <w:keepNext/>
    </w:pPr>
    <w:rPr>
      <w:rFonts w:ascii="Arial Narrow" w:eastAsiaTheme="majorEastAsia" w:hAnsi="Arial Narrow"/>
      <w:b/>
      <w:szCs w:val="24"/>
      <w:lang w:val="en-US"/>
    </w:rPr>
  </w:style>
  <w:style w:type="paragraph" w:customStyle="1" w:styleId="2-SectionHeading">
    <w:name w:val="2-Section Heading"/>
    <w:qFormat/>
    <w:rsid w:val="00446938"/>
    <w:pPr>
      <w:keepNext/>
      <w:numPr>
        <w:numId w:val="10"/>
      </w:numPr>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rsid w:val="00446938"/>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446938"/>
    <w:rPr>
      <w:rFonts w:asciiTheme="minorHAnsi" w:eastAsiaTheme="majorEastAsia" w:hAnsiTheme="minorHAnsi" w:cstheme="majorBidi"/>
      <w:b/>
      <w:spacing w:val="5"/>
      <w:kern w:val="28"/>
      <w:sz w:val="36"/>
      <w:szCs w:val="36"/>
    </w:rPr>
  </w:style>
  <w:style w:type="paragraph" w:customStyle="1" w:styleId="TableFigureHeading">
    <w:name w:val="Table/Figure Heading"/>
    <w:link w:val="TableFigureHeadingChar"/>
    <w:qFormat/>
    <w:rsid w:val="00446938"/>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446938"/>
    <w:rPr>
      <w:rFonts w:ascii="Arial Narrow" w:eastAsiaTheme="majorEastAsia" w:hAnsi="Arial Narrow" w:cstheme="majorBidi"/>
      <w:b/>
      <w:bCs/>
      <w:szCs w:val="24"/>
    </w:rPr>
  </w:style>
  <w:style w:type="paragraph" w:customStyle="1" w:styleId="3-BodyText">
    <w:name w:val="3-Body Text"/>
    <w:link w:val="3-BodyTextChar"/>
    <w:qFormat/>
    <w:rsid w:val="00446938"/>
    <w:pPr>
      <w:numPr>
        <w:ilvl w:val="1"/>
        <w:numId w:val="3"/>
      </w:numPr>
      <w:spacing w:after="120"/>
      <w:jc w:val="both"/>
    </w:pPr>
    <w:rPr>
      <w:rFonts w:asciiTheme="minorHAnsi" w:eastAsiaTheme="minorHAnsi" w:hAnsiTheme="minorHAnsi" w:cstheme="minorBidi"/>
      <w:sz w:val="24"/>
      <w:szCs w:val="22"/>
    </w:rPr>
  </w:style>
  <w:style w:type="character" w:customStyle="1" w:styleId="3-BodyTextChar">
    <w:name w:val="3-Body Text Char"/>
    <w:basedOn w:val="ListParagraphChar"/>
    <w:link w:val="3-BodyText"/>
    <w:rsid w:val="00446938"/>
    <w:rPr>
      <w:rFonts w:asciiTheme="minorHAnsi" w:eastAsiaTheme="minorHAnsi" w:hAnsiTheme="minorHAnsi" w:cstheme="minorBidi"/>
      <w:snapToGrid/>
      <w:sz w:val="24"/>
      <w:szCs w:val="22"/>
    </w:rPr>
  </w:style>
  <w:style w:type="paragraph" w:customStyle="1" w:styleId="PageFooter">
    <w:name w:val="Page Footer"/>
    <w:basedOn w:val="Normal"/>
    <w:link w:val="PageFooterChar"/>
    <w:qFormat/>
    <w:rsid w:val="00446938"/>
    <w:pPr>
      <w:keepNext/>
      <w:tabs>
        <w:tab w:val="center" w:pos="4153"/>
        <w:tab w:val="center" w:pos="4513"/>
        <w:tab w:val="right" w:pos="8306"/>
        <w:tab w:val="right" w:pos="9026"/>
      </w:tabs>
      <w:jc w:val="center"/>
    </w:pPr>
    <w:rPr>
      <w:rFonts w:cs="Arial"/>
      <w:b/>
    </w:rPr>
  </w:style>
  <w:style w:type="character" w:customStyle="1" w:styleId="PageFooterChar">
    <w:name w:val="Page Footer Char"/>
    <w:basedOn w:val="DefaultParagraphFont"/>
    <w:link w:val="PageFooter"/>
    <w:rsid w:val="00446938"/>
    <w:rPr>
      <w:rFonts w:ascii="Calibri" w:hAnsi="Calibri" w:cs="Arial"/>
      <w:b/>
      <w:sz w:val="24"/>
      <w:szCs w:val="24"/>
    </w:rPr>
  </w:style>
  <w:style w:type="paragraph" w:customStyle="1" w:styleId="TableFigureFooter">
    <w:name w:val="Table/Figure Footer"/>
    <w:basedOn w:val="Normal"/>
    <w:link w:val="TableFigureFooterChar"/>
    <w:qFormat/>
    <w:rsid w:val="00446938"/>
    <w:pPr>
      <w:spacing w:after="120"/>
      <w:contextualSpacing/>
    </w:pPr>
    <w:rPr>
      <w:rFonts w:ascii="Arial Narrow" w:hAnsi="Arial Narrow" w:cs="Arial"/>
      <w:snapToGrid w:val="0"/>
      <w:sz w:val="18"/>
      <w:szCs w:val="22"/>
    </w:rPr>
  </w:style>
  <w:style w:type="character" w:customStyle="1" w:styleId="TableFigureFooterChar">
    <w:name w:val="Table/Figure Footer Char"/>
    <w:link w:val="TableFigureFooter"/>
    <w:rsid w:val="00446938"/>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446938"/>
    <w:pPr>
      <w:spacing w:before="120" w:after="120"/>
    </w:pPr>
    <w:rPr>
      <w:rFonts w:asciiTheme="minorHAnsi" w:eastAsiaTheme="majorEastAsia" w:hAnsiTheme="minorHAnsi" w:cstheme="majorBidi"/>
      <w:spacing w:val="5"/>
      <w:kern w:val="28"/>
      <w:sz w:val="28"/>
      <w:szCs w:val="36"/>
    </w:rPr>
  </w:style>
  <w:style w:type="character" w:customStyle="1" w:styleId="4-SubsectionHeadingChar">
    <w:name w:val="4-Subsection Heading Char"/>
    <w:basedOn w:val="Heading2Char"/>
    <w:link w:val="4-SubsectionHeading"/>
    <w:rsid w:val="00446938"/>
    <w:rPr>
      <w:rFonts w:asciiTheme="minorHAnsi" w:eastAsiaTheme="majorEastAsia" w:hAnsiTheme="minorHAnsi" w:cstheme="majorBidi"/>
      <w:b/>
      <w:i/>
      <w:spacing w:val="5"/>
      <w:kern w:val="28"/>
      <w:sz w:val="28"/>
      <w:szCs w:val="36"/>
    </w:rPr>
  </w:style>
  <w:style w:type="paragraph" w:customStyle="1" w:styleId="5-SubsectionSubheading">
    <w:name w:val="5-Subsection Subheading"/>
    <w:basedOn w:val="Heading3"/>
    <w:next w:val="3-BodyText"/>
    <w:link w:val="5-SubsectionSubheadingChar"/>
    <w:qFormat/>
    <w:rsid w:val="00446938"/>
    <w:pPr>
      <w:spacing w:before="40"/>
    </w:pPr>
    <w:rPr>
      <w:rFonts w:asciiTheme="minorHAnsi" w:hAnsiTheme="minorHAnsi"/>
      <w:bCs w:val="0"/>
      <w:color w:val="000000" w:themeColor="text1"/>
    </w:rPr>
  </w:style>
  <w:style w:type="character" w:customStyle="1" w:styleId="5-SubsectionSubheadingChar">
    <w:name w:val="5-Subsection Subheading Char"/>
    <w:basedOn w:val="Heading3Char"/>
    <w:link w:val="5-SubsectionSubheading"/>
    <w:rsid w:val="00446938"/>
    <w:rPr>
      <w:rFonts w:asciiTheme="minorHAnsi" w:eastAsiaTheme="majorEastAsia" w:hAnsiTheme="minorHAnsi" w:cstheme="majorBidi"/>
      <w:b/>
      <w:bCs w:val="0"/>
      <w:color w:val="000000" w:themeColor="text1"/>
      <w:sz w:val="24"/>
      <w:szCs w:val="24"/>
    </w:rPr>
  </w:style>
  <w:style w:type="paragraph" w:styleId="ListBullet">
    <w:name w:val="List Bullet"/>
    <w:basedOn w:val="Normal"/>
    <w:unhideWhenUsed/>
    <w:rsid w:val="006F40C2"/>
    <w:pPr>
      <w:numPr>
        <w:numId w:val="9"/>
      </w:numPr>
      <w:contextualSpacing/>
    </w:pPr>
  </w:style>
  <w:style w:type="paragraph" w:styleId="Revision">
    <w:name w:val="Revision"/>
    <w:hidden/>
    <w:uiPriority w:val="71"/>
    <w:semiHidden/>
    <w:rsid w:val="00DF021D"/>
    <w:rPr>
      <w:rFonts w:ascii="Calibri" w:hAnsi="Calibri"/>
      <w:sz w:val="24"/>
      <w:szCs w:val="24"/>
    </w:rPr>
  </w:style>
  <w:style w:type="paragraph" w:customStyle="1" w:styleId="Default">
    <w:name w:val="Default"/>
    <w:rsid w:val="000B7767"/>
    <w:pPr>
      <w:autoSpaceDE w:val="0"/>
      <w:autoSpaceDN w:val="0"/>
      <w:adjustRightInd w:val="0"/>
    </w:pPr>
    <w:rPr>
      <w:rFonts w:ascii="Calibri" w:hAnsi="Calibri" w:cs="Calibri"/>
      <w:color w:val="000000"/>
      <w:sz w:val="24"/>
      <w:szCs w:val="24"/>
    </w:rPr>
  </w:style>
  <w:style w:type="character" w:styleId="UnresolvedMention">
    <w:name w:val="Unresolved Mention"/>
    <w:basedOn w:val="DefaultParagraphFont"/>
    <w:uiPriority w:val="99"/>
    <w:semiHidden/>
    <w:unhideWhenUsed/>
    <w:rsid w:val="00EE4329"/>
    <w:rPr>
      <w:color w:val="605E5C"/>
      <w:shd w:val="clear" w:color="auto" w:fill="E1DFDD"/>
    </w:rPr>
  </w:style>
  <w:style w:type="paragraph" w:styleId="TOC9">
    <w:name w:val="toc 9"/>
    <w:basedOn w:val="Normal"/>
    <w:next w:val="Normal"/>
    <w:autoRedefine/>
    <w:semiHidden/>
    <w:unhideWhenUsed/>
    <w:rsid w:val="00C56D78"/>
    <w:pPr>
      <w:spacing w:after="100"/>
      <w:ind w:left="1920"/>
    </w:pPr>
  </w:style>
  <w:style w:type="paragraph" w:customStyle="1" w:styleId="FooterTableFigure">
    <w:name w:val="Footer Table/Figure"/>
    <w:basedOn w:val="Normal"/>
    <w:link w:val="FooterTableFigureChar"/>
    <w:qFormat/>
    <w:rsid w:val="00B6533B"/>
    <w:pPr>
      <w:spacing w:after="120"/>
      <w:contextualSpacing/>
    </w:pPr>
    <w:rPr>
      <w:rFonts w:ascii="Arial Narrow" w:hAnsi="Arial Narrow" w:cs="Arial"/>
      <w:snapToGrid w:val="0"/>
      <w:sz w:val="18"/>
      <w:szCs w:val="22"/>
    </w:rPr>
  </w:style>
  <w:style w:type="character" w:customStyle="1" w:styleId="FooterTableFigureChar">
    <w:name w:val="Footer Table/Figure Char"/>
    <w:link w:val="FooterTableFigure"/>
    <w:rsid w:val="00B6533B"/>
    <w:rPr>
      <w:rFonts w:ascii="Arial Narrow" w:hAnsi="Arial Narrow" w:cs="Arial"/>
      <w:snapToGrid w:val="0"/>
      <w:sz w:val="18"/>
      <w:szCs w:val="22"/>
    </w:rPr>
  </w:style>
  <w:style w:type="paragraph" w:styleId="NormalWeb">
    <w:name w:val="Normal (Web)"/>
    <w:basedOn w:val="Normal"/>
    <w:uiPriority w:val="99"/>
    <w:unhideWhenUsed/>
    <w:rsid w:val="00F94B5F"/>
    <w:pPr>
      <w:spacing w:before="100" w:beforeAutospacing="1" w:after="100" w:afterAutospacing="1"/>
      <w:jc w:val="left"/>
    </w:pPr>
    <w:rPr>
      <w:rFonts w:ascii="Times New Roman" w:hAnsi="Times New Roman"/>
    </w:rPr>
  </w:style>
  <w:style w:type="character" w:styleId="Strong">
    <w:name w:val="Strong"/>
    <w:basedOn w:val="DefaultParagraphFont"/>
    <w:uiPriority w:val="22"/>
    <w:qFormat/>
    <w:rsid w:val="00F94B5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0032">
      <w:bodyDiv w:val="1"/>
      <w:marLeft w:val="0"/>
      <w:marRight w:val="0"/>
      <w:marTop w:val="0"/>
      <w:marBottom w:val="0"/>
      <w:divBdr>
        <w:top w:val="none" w:sz="0" w:space="0" w:color="auto"/>
        <w:left w:val="none" w:sz="0" w:space="0" w:color="auto"/>
        <w:bottom w:val="none" w:sz="0" w:space="0" w:color="auto"/>
        <w:right w:val="none" w:sz="0" w:space="0" w:color="auto"/>
      </w:divBdr>
    </w:div>
    <w:div w:id="27947954">
      <w:bodyDiv w:val="1"/>
      <w:marLeft w:val="0"/>
      <w:marRight w:val="0"/>
      <w:marTop w:val="0"/>
      <w:marBottom w:val="0"/>
      <w:divBdr>
        <w:top w:val="none" w:sz="0" w:space="0" w:color="auto"/>
        <w:left w:val="none" w:sz="0" w:space="0" w:color="auto"/>
        <w:bottom w:val="none" w:sz="0" w:space="0" w:color="auto"/>
        <w:right w:val="none" w:sz="0" w:space="0" w:color="auto"/>
      </w:divBdr>
    </w:div>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76176744">
      <w:bodyDiv w:val="1"/>
      <w:marLeft w:val="0"/>
      <w:marRight w:val="0"/>
      <w:marTop w:val="0"/>
      <w:marBottom w:val="0"/>
      <w:divBdr>
        <w:top w:val="none" w:sz="0" w:space="0" w:color="auto"/>
        <w:left w:val="none" w:sz="0" w:space="0" w:color="auto"/>
        <w:bottom w:val="none" w:sz="0" w:space="0" w:color="auto"/>
        <w:right w:val="none" w:sz="0" w:space="0" w:color="auto"/>
      </w:divBdr>
    </w:div>
    <w:div w:id="111638297">
      <w:bodyDiv w:val="1"/>
      <w:marLeft w:val="0"/>
      <w:marRight w:val="0"/>
      <w:marTop w:val="0"/>
      <w:marBottom w:val="0"/>
      <w:divBdr>
        <w:top w:val="none" w:sz="0" w:space="0" w:color="auto"/>
        <w:left w:val="none" w:sz="0" w:space="0" w:color="auto"/>
        <w:bottom w:val="none" w:sz="0" w:space="0" w:color="auto"/>
        <w:right w:val="none" w:sz="0" w:space="0" w:color="auto"/>
      </w:divBdr>
    </w:div>
    <w:div w:id="188226664">
      <w:bodyDiv w:val="1"/>
      <w:marLeft w:val="0"/>
      <w:marRight w:val="0"/>
      <w:marTop w:val="0"/>
      <w:marBottom w:val="0"/>
      <w:divBdr>
        <w:top w:val="none" w:sz="0" w:space="0" w:color="auto"/>
        <w:left w:val="none" w:sz="0" w:space="0" w:color="auto"/>
        <w:bottom w:val="none" w:sz="0" w:space="0" w:color="auto"/>
        <w:right w:val="none" w:sz="0" w:space="0" w:color="auto"/>
      </w:divBdr>
    </w:div>
    <w:div w:id="188883204">
      <w:bodyDiv w:val="1"/>
      <w:marLeft w:val="0"/>
      <w:marRight w:val="0"/>
      <w:marTop w:val="0"/>
      <w:marBottom w:val="0"/>
      <w:divBdr>
        <w:top w:val="none" w:sz="0" w:space="0" w:color="auto"/>
        <w:left w:val="none" w:sz="0" w:space="0" w:color="auto"/>
        <w:bottom w:val="none" w:sz="0" w:space="0" w:color="auto"/>
        <w:right w:val="none" w:sz="0" w:space="0" w:color="auto"/>
      </w:divBdr>
    </w:div>
    <w:div w:id="232469803">
      <w:bodyDiv w:val="1"/>
      <w:marLeft w:val="0"/>
      <w:marRight w:val="0"/>
      <w:marTop w:val="0"/>
      <w:marBottom w:val="0"/>
      <w:divBdr>
        <w:top w:val="none" w:sz="0" w:space="0" w:color="auto"/>
        <w:left w:val="none" w:sz="0" w:space="0" w:color="auto"/>
        <w:bottom w:val="none" w:sz="0" w:space="0" w:color="auto"/>
        <w:right w:val="none" w:sz="0" w:space="0" w:color="auto"/>
      </w:divBdr>
    </w:div>
    <w:div w:id="257450267">
      <w:bodyDiv w:val="1"/>
      <w:marLeft w:val="0"/>
      <w:marRight w:val="0"/>
      <w:marTop w:val="0"/>
      <w:marBottom w:val="0"/>
      <w:divBdr>
        <w:top w:val="none" w:sz="0" w:space="0" w:color="auto"/>
        <w:left w:val="none" w:sz="0" w:space="0" w:color="auto"/>
        <w:bottom w:val="none" w:sz="0" w:space="0" w:color="auto"/>
        <w:right w:val="none" w:sz="0" w:space="0" w:color="auto"/>
      </w:divBdr>
    </w:div>
    <w:div w:id="355893231">
      <w:bodyDiv w:val="1"/>
      <w:marLeft w:val="0"/>
      <w:marRight w:val="0"/>
      <w:marTop w:val="0"/>
      <w:marBottom w:val="0"/>
      <w:divBdr>
        <w:top w:val="none" w:sz="0" w:space="0" w:color="auto"/>
        <w:left w:val="none" w:sz="0" w:space="0" w:color="auto"/>
        <w:bottom w:val="none" w:sz="0" w:space="0" w:color="auto"/>
        <w:right w:val="none" w:sz="0" w:space="0" w:color="auto"/>
      </w:divBdr>
    </w:div>
    <w:div w:id="417101693">
      <w:bodyDiv w:val="1"/>
      <w:marLeft w:val="0"/>
      <w:marRight w:val="0"/>
      <w:marTop w:val="0"/>
      <w:marBottom w:val="0"/>
      <w:divBdr>
        <w:top w:val="none" w:sz="0" w:space="0" w:color="auto"/>
        <w:left w:val="none" w:sz="0" w:space="0" w:color="auto"/>
        <w:bottom w:val="none" w:sz="0" w:space="0" w:color="auto"/>
        <w:right w:val="none" w:sz="0" w:space="0" w:color="auto"/>
      </w:divBdr>
    </w:div>
    <w:div w:id="484274041">
      <w:bodyDiv w:val="1"/>
      <w:marLeft w:val="0"/>
      <w:marRight w:val="0"/>
      <w:marTop w:val="0"/>
      <w:marBottom w:val="0"/>
      <w:divBdr>
        <w:top w:val="none" w:sz="0" w:space="0" w:color="auto"/>
        <w:left w:val="none" w:sz="0" w:space="0" w:color="auto"/>
        <w:bottom w:val="none" w:sz="0" w:space="0" w:color="auto"/>
        <w:right w:val="none" w:sz="0" w:space="0" w:color="auto"/>
      </w:divBdr>
    </w:div>
    <w:div w:id="753091994">
      <w:bodyDiv w:val="1"/>
      <w:marLeft w:val="0"/>
      <w:marRight w:val="0"/>
      <w:marTop w:val="0"/>
      <w:marBottom w:val="0"/>
      <w:divBdr>
        <w:top w:val="none" w:sz="0" w:space="0" w:color="auto"/>
        <w:left w:val="none" w:sz="0" w:space="0" w:color="auto"/>
        <w:bottom w:val="none" w:sz="0" w:space="0" w:color="auto"/>
        <w:right w:val="none" w:sz="0" w:space="0" w:color="auto"/>
      </w:divBdr>
    </w:div>
    <w:div w:id="753667543">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842553281">
      <w:bodyDiv w:val="1"/>
      <w:marLeft w:val="0"/>
      <w:marRight w:val="0"/>
      <w:marTop w:val="0"/>
      <w:marBottom w:val="0"/>
      <w:divBdr>
        <w:top w:val="none" w:sz="0" w:space="0" w:color="auto"/>
        <w:left w:val="none" w:sz="0" w:space="0" w:color="auto"/>
        <w:bottom w:val="none" w:sz="0" w:space="0" w:color="auto"/>
        <w:right w:val="none" w:sz="0" w:space="0" w:color="auto"/>
      </w:divBdr>
    </w:div>
    <w:div w:id="942221800">
      <w:bodyDiv w:val="1"/>
      <w:marLeft w:val="0"/>
      <w:marRight w:val="0"/>
      <w:marTop w:val="0"/>
      <w:marBottom w:val="0"/>
      <w:divBdr>
        <w:top w:val="none" w:sz="0" w:space="0" w:color="auto"/>
        <w:left w:val="none" w:sz="0" w:space="0" w:color="auto"/>
        <w:bottom w:val="none" w:sz="0" w:space="0" w:color="auto"/>
        <w:right w:val="none" w:sz="0" w:space="0" w:color="auto"/>
      </w:divBdr>
    </w:div>
    <w:div w:id="962998671">
      <w:bodyDiv w:val="1"/>
      <w:marLeft w:val="0"/>
      <w:marRight w:val="0"/>
      <w:marTop w:val="0"/>
      <w:marBottom w:val="0"/>
      <w:divBdr>
        <w:top w:val="none" w:sz="0" w:space="0" w:color="auto"/>
        <w:left w:val="none" w:sz="0" w:space="0" w:color="auto"/>
        <w:bottom w:val="none" w:sz="0" w:space="0" w:color="auto"/>
        <w:right w:val="none" w:sz="0" w:space="0" w:color="auto"/>
      </w:divBdr>
    </w:div>
    <w:div w:id="1104377850">
      <w:bodyDiv w:val="1"/>
      <w:marLeft w:val="0"/>
      <w:marRight w:val="0"/>
      <w:marTop w:val="0"/>
      <w:marBottom w:val="0"/>
      <w:divBdr>
        <w:top w:val="none" w:sz="0" w:space="0" w:color="auto"/>
        <w:left w:val="none" w:sz="0" w:space="0" w:color="auto"/>
        <w:bottom w:val="none" w:sz="0" w:space="0" w:color="auto"/>
        <w:right w:val="none" w:sz="0" w:space="0" w:color="auto"/>
      </w:divBdr>
    </w:div>
    <w:div w:id="1142649341">
      <w:bodyDiv w:val="1"/>
      <w:marLeft w:val="0"/>
      <w:marRight w:val="0"/>
      <w:marTop w:val="0"/>
      <w:marBottom w:val="0"/>
      <w:divBdr>
        <w:top w:val="none" w:sz="0" w:space="0" w:color="auto"/>
        <w:left w:val="none" w:sz="0" w:space="0" w:color="auto"/>
        <w:bottom w:val="none" w:sz="0" w:space="0" w:color="auto"/>
        <w:right w:val="none" w:sz="0" w:space="0" w:color="auto"/>
      </w:divBdr>
    </w:div>
    <w:div w:id="1183588103">
      <w:bodyDiv w:val="1"/>
      <w:marLeft w:val="0"/>
      <w:marRight w:val="0"/>
      <w:marTop w:val="0"/>
      <w:marBottom w:val="0"/>
      <w:divBdr>
        <w:top w:val="none" w:sz="0" w:space="0" w:color="auto"/>
        <w:left w:val="none" w:sz="0" w:space="0" w:color="auto"/>
        <w:bottom w:val="none" w:sz="0" w:space="0" w:color="auto"/>
        <w:right w:val="none" w:sz="0" w:space="0" w:color="auto"/>
      </w:divBdr>
    </w:div>
    <w:div w:id="1193225930">
      <w:bodyDiv w:val="1"/>
      <w:marLeft w:val="0"/>
      <w:marRight w:val="0"/>
      <w:marTop w:val="0"/>
      <w:marBottom w:val="0"/>
      <w:divBdr>
        <w:top w:val="none" w:sz="0" w:space="0" w:color="auto"/>
        <w:left w:val="none" w:sz="0" w:space="0" w:color="auto"/>
        <w:bottom w:val="none" w:sz="0" w:space="0" w:color="auto"/>
        <w:right w:val="none" w:sz="0" w:space="0" w:color="auto"/>
      </w:divBdr>
    </w:div>
    <w:div w:id="1216620749">
      <w:bodyDiv w:val="1"/>
      <w:marLeft w:val="0"/>
      <w:marRight w:val="0"/>
      <w:marTop w:val="0"/>
      <w:marBottom w:val="0"/>
      <w:divBdr>
        <w:top w:val="none" w:sz="0" w:space="0" w:color="auto"/>
        <w:left w:val="none" w:sz="0" w:space="0" w:color="auto"/>
        <w:bottom w:val="none" w:sz="0" w:space="0" w:color="auto"/>
        <w:right w:val="none" w:sz="0" w:space="0" w:color="auto"/>
      </w:divBdr>
    </w:div>
    <w:div w:id="1259756296">
      <w:bodyDiv w:val="1"/>
      <w:marLeft w:val="0"/>
      <w:marRight w:val="0"/>
      <w:marTop w:val="0"/>
      <w:marBottom w:val="0"/>
      <w:divBdr>
        <w:top w:val="none" w:sz="0" w:space="0" w:color="auto"/>
        <w:left w:val="none" w:sz="0" w:space="0" w:color="auto"/>
        <w:bottom w:val="none" w:sz="0" w:space="0" w:color="auto"/>
        <w:right w:val="none" w:sz="0" w:space="0" w:color="auto"/>
      </w:divBdr>
    </w:div>
    <w:div w:id="1306548319">
      <w:bodyDiv w:val="1"/>
      <w:marLeft w:val="0"/>
      <w:marRight w:val="0"/>
      <w:marTop w:val="0"/>
      <w:marBottom w:val="0"/>
      <w:divBdr>
        <w:top w:val="none" w:sz="0" w:space="0" w:color="auto"/>
        <w:left w:val="none" w:sz="0" w:space="0" w:color="auto"/>
        <w:bottom w:val="none" w:sz="0" w:space="0" w:color="auto"/>
        <w:right w:val="none" w:sz="0" w:space="0" w:color="auto"/>
      </w:divBdr>
    </w:div>
    <w:div w:id="1433165937">
      <w:bodyDiv w:val="1"/>
      <w:marLeft w:val="0"/>
      <w:marRight w:val="0"/>
      <w:marTop w:val="0"/>
      <w:marBottom w:val="0"/>
      <w:divBdr>
        <w:top w:val="none" w:sz="0" w:space="0" w:color="auto"/>
        <w:left w:val="none" w:sz="0" w:space="0" w:color="auto"/>
        <w:bottom w:val="none" w:sz="0" w:space="0" w:color="auto"/>
        <w:right w:val="none" w:sz="0" w:space="0" w:color="auto"/>
      </w:divBdr>
    </w:div>
    <w:div w:id="1548684218">
      <w:bodyDiv w:val="1"/>
      <w:marLeft w:val="0"/>
      <w:marRight w:val="0"/>
      <w:marTop w:val="0"/>
      <w:marBottom w:val="0"/>
      <w:divBdr>
        <w:top w:val="none" w:sz="0" w:space="0" w:color="auto"/>
        <w:left w:val="none" w:sz="0" w:space="0" w:color="auto"/>
        <w:bottom w:val="none" w:sz="0" w:space="0" w:color="auto"/>
        <w:right w:val="none" w:sz="0" w:space="0" w:color="auto"/>
      </w:divBdr>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742676564">
      <w:bodyDiv w:val="1"/>
      <w:marLeft w:val="0"/>
      <w:marRight w:val="0"/>
      <w:marTop w:val="0"/>
      <w:marBottom w:val="0"/>
      <w:divBdr>
        <w:top w:val="none" w:sz="0" w:space="0" w:color="auto"/>
        <w:left w:val="none" w:sz="0" w:space="0" w:color="auto"/>
        <w:bottom w:val="none" w:sz="0" w:space="0" w:color="auto"/>
        <w:right w:val="none" w:sz="0" w:space="0" w:color="auto"/>
      </w:divBdr>
    </w:div>
    <w:div w:id="1788350404">
      <w:bodyDiv w:val="1"/>
      <w:marLeft w:val="0"/>
      <w:marRight w:val="0"/>
      <w:marTop w:val="0"/>
      <w:marBottom w:val="0"/>
      <w:divBdr>
        <w:top w:val="none" w:sz="0" w:space="0" w:color="auto"/>
        <w:left w:val="none" w:sz="0" w:space="0" w:color="auto"/>
        <w:bottom w:val="none" w:sz="0" w:space="0" w:color="auto"/>
        <w:right w:val="none" w:sz="0" w:space="0" w:color="auto"/>
      </w:divBdr>
    </w:div>
    <w:div w:id="1842549293">
      <w:bodyDiv w:val="1"/>
      <w:marLeft w:val="0"/>
      <w:marRight w:val="0"/>
      <w:marTop w:val="0"/>
      <w:marBottom w:val="0"/>
      <w:divBdr>
        <w:top w:val="none" w:sz="0" w:space="0" w:color="auto"/>
        <w:left w:val="none" w:sz="0" w:space="0" w:color="auto"/>
        <w:bottom w:val="none" w:sz="0" w:space="0" w:color="auto"/>
        <w:right w:val="none" w:sz="0" w:space="0" w:color="auto"/>
      </w:divBdr>
    </w:div>
    <w:div w:id="1891531523">
      <w:bodyDiv w:val="1"/>
      <w:marLeft w:val="0"/>
      <w:marRight w:val="0"/>
      <w:marTop w:val="0"/>
      <w:marBottom w:val="0"/>
      <w:divBdr>
        <w:top w:val="none" w:sz="0" w:space="0" w:color="auto"/>
        <w:left w:val="none" w:sz="0" w:space="0" w:color="auto"/>
        <w:bottom w:val="none" w:sz="0" w:space="0" w:color="auto"/>
        <w:right w:val="none" w:sz="0" w:space="0" w:color="auto"/>
      </w:divBdr>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 w:id="1978029779">
      <w:bodyDiv w:val="1"/>
      <w:marLeft w:val="0"/>
      <w:marRight w:val="0"/>
      <w:marTop w:val="0"/>
      <w:marBottom w:val="0"/>
      <w:divBdr>
        <w:top w:val="none" w:sz="0" w:space="0" w:color="auto"/>
        <w:left w:val="none" w:sz="0" w:space="0" w:color="auto"/>
        <w:bottom w:val="none" w:sz="0" w:space="0" w:color="auto"/>
        <w:right w:val="none" w:sz="0" w:space="0" w:color="auto"/>
      </w:divBdr>
    </w:div>
    <w:div w:id="1988512834">
      <w:bodyDiv w:val="1"/>
      <w:marLeft w:val="0"/>
      <w:marRight w:val="0"/>
      <w:marTop w:val="0"/>
      <w:marBottom w:val="0"/>
      <w:divBdr>
        <w:top w:val="none" w:sz="0" w:space="0" w:color="auto"/>
        <w:left w:val="none" w:sz="0" w:space="0" w:color="auto"/>
        <w:bottom w:val="none" w:sz="0" w:space="0" w:color="auto"/>
        <w:right w:val="none" w:sz="0" w:space="0" w:color="auto"/>
      </w:divBdr>
    </w:div>
    <w:div w:id="2004621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0892AD-C596-40B4-89DF-FDD2641BC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6640</Words>
  <Characters>37061</Characters>
  <Application>Microsoft Office Word</Application>
  <DocSecurity>0</DocSecurity>
  <Lines>308</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2023-07-09T22:58:00Z</dcterms:created>
  <dcterms:modified xsi:type="dcterms:W3CDTF">2023-07-09T22:58:00Z</dcterms:modified>
</cp:coreProperties>
</file>