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9E44" w14:textId="7867AFA2" w:rsidR="008B2AC7" w:rsidRPr="0019444B" w:rsidRDefault="000B1190" w:rsidP="00074EE3">
      <w:pPr>
        <w:pStyle w:val="1-MainHeading"/>
        <w:spacing w:after="0"/>
        <w:ind w:left="993" w:hanging="993"/>
      </w:pPr>
      <w:bookmarkStart w:id="0" w:name="_Toc135225261"/>
      <w:r w:rsidRPr="0019444B">
        <w:t>7</w:t>
      </w:r>
      <w:r w:rsidR="008B2AC7" w:rsidRPr="0019444B">
        <w:t>.</w:t>
      </w:r>
      <w:r w:rsidRPr="0019444B">
        <w:t>01</w:t>
      </w:r>
      <w:r w:rsidR="008B2AC7" w:rsidRPr="0019444B">
        <w:tab/>
        <w:t>ACALABRUTINIB,</w:t>
      </w:r>
      <w:r w:rsidR="008B2AC7" w:rsidRPr="0019444B">
        <w:br/>
      </w:r>
      <w:r w:rsidR="00C21220" w:rsidRPr="0019444B">
        <w:t xml:space="preserve">Tablet </w:t>
      </w:r>
      <w:r w:rsidR="008B2AC7" w:rsidRPr="0019444B">
        <w:t>100 mg,</w:t>
      </w:r>
      <w:r w:rsidR="008B2AC7" w:rsidRPr="0019444B">
        <w:br/>
        <w:t>Calquence®,</w:t>
      </w:r>
      <w:r w:rsidR="008B2AC7" w:rsidRPr="0019444B">
        <w:br/>
        <w:t>AstraZeneca Pty Ltd</w:t>
      </w:r>
      <w:bookmarkEnd w:id="0"/>
    </w:p>
    <w:p w14:paraId="1354D89B" w14:textId="7463D2D5" w:rsidR="004C08CD" w:rsidRPr="0019444B" w:rsidRDefault="00B50DB8" w:rsidP="004C08CD">
      <w:pPr>
        <w:pStyle w:val="2-SectionHeading"/>
        <w:numPr>
          <w:ilvl w:val="0"/>
          <w:numId w:val="1"/>
        </w:numPr>
      </w:pPr>
      <w:bookmarkStart w:id="1" w:name="_Toc135225263"/>
      <w:r w:rsidRPr="0019444B">
        <w:t xml:space="preserve">Purpose of </w:t>
      </w:r>
      <w:r w:rsidR="00F61AA2" w:rsidRPr="0019444B">
        <w:t>re</w:t>
      </w:r>
      <w:r w:rsidR="00CD7193" w:rsidRPr="0019444B">
        <w:t>s</w:t>
      </w:r>
      <w:r w:rsidR="00BB3A45" w:rsidRPr="0019444B">
        <w:t>ubmission</w:t>
      </w:r>
      <w:bookmarkEnd w:id="1"/>
    </w:p>
    <w:p w14:paraId="61EE164C" w14:textId="608530B3" w:rsidR="004C08CD" w:rsidRPr="0019444B" w:rsidRDefault="008B2AC7" w:rsidP="008B2AC7">
      <w:pPr>
        <w:pStyle w:val="3-BodyText"/>
        <w:numPr>
          <w:ilvl w:val="1"/>
          <w:numId w:val="1"/>
        </w:numPr>
      </w:pPr>
      <w:r w:rsidRPr="0019444B">
        <w:t xml:space="preserve">The </w:t>
      </w:r>
      <w:r w:rsidR="00AF6237" w:rsidRPr="0019444B">
        <w:t>s</w:t>
      </w:r>
      <w:r w:rsidRPr="0019444B">
        <w:t xml:space="preserve">tandard </w:t>
      </w:r>
      <w:r w:rsidR="00AF6237" w:rsidRPr="0019444B">
        <w:t>r</w:t>
      </w:r>
      <w:r w:rsidRPr="0019444B">
        <w:t xml:space="preserve">e-entry submission requested Authority Required, listing for acalabrutinib (ACA) as monotherapy or in combination with </w:t>
      </w:r>
      <w:r w:rsidR="00990B0C" w:rsidRPr="0019444B">
        <w:t>o</w:t>
      </w:r>
      <w:r w:rsidRPr="0019444B">
        <w:t xml:space="preserve">binutuzumab (OBIN) for the treatment of patients with previously untreated chronic lymphocytic leukaemia (CLL)/small lymphocytic lymphoma (SLL). </w:t>
      </w:r>
    </w:p>
    <w:p w14:paraId="0E82194E" w14:textId="0596AF6C" w:rsidR="008B2AC7" w:rsidRPr="0019444B" w:rsidRDefault="008B2AC7" w:rsidP="008B2AC7">
      <w:pPr>
        <w:pStyle w:val="3-BodyText"/>
        <w:numPr>
          <w:ilvl w:val="1"/>
          <w:numId w:val="1"/>
        </w:numPr>
      </w:pPr>
      <w:r w:rsidRPr="0019444B">
        <w:t xml:space="preserve">Listing was requested based on a cost-minimisation approach (CMA) versus </w:t>
      </w:r>
      <w:r w:rsidR="00990B0C" w:rsidRPr="0019444B">
        <w:t>v</w:t>
      </w:r>
      <w:r w:rsidRPr="0019444B">
        <w:t xml:space="preserve">enetoclax in combination with </w:t>
      </w:r>
      <w:r w:rsidR="00990B0C" w:rsidRPr="0019444B">
        <w:t>o</w:t>
      </w:r>
      <w:r w:rsidRPr="0019444B">
        <w:t>binutuzumab (VTX+OBIN)</w:t>
      </w:r>
      <w:r w:rsidR="00E270C2" w:rsidRPr="0019444B">
        <w:t>.</w:t>
      </w:r>
      <w:r w:rsidRPr="0019444B">
        <w:t xml:space="preserve"> </w:t>
      </w:r>
    </w:p>
    <w:p w14:paraId="30117E35" w14:textId="6A452E08" w:rsidR="008B2AC7" w:rsidRPr="00EB0E37" w:rsidRDefault="008B2AC7" w:rsidP="0051674E">
      <w:pPr>
        <w:keepNext/>
        <w:widowControl w:val="0"/>
        <w:rPr>
          <w:rStyle w:val="CommentReference"/>
          <w:rFonts w:cstheme="minorHAnsi"/>
          <w:szCs w:val="20"/>
        </w:rPr>
      </w:pPr>
      <w:r w:rsidRPr="0019444B">
        <w:rPr>
          <w:rFonts w:ascii="Arial Narrow" w:hAnsi="Arial Narrow"/>
          <w:b/>
          <w:sz w:val="20"/>
          <w:szCs w:val="20"/>
        </w:rPr>
        <w:t xml:space="preserve">Table </w:t>
      </w:r>
      <w:r w:rsidRPr="0019444B">
        <w:rPr>
          <w:rFonts w:ascii="Arial Narrow" w:hAnsi="Arial Narrow"/>
          <w:b/>
          <w:sz w:val="20"/>
          <w:szCs w:val="20"/>
        </w:rPr>
        <w:fldChar w:fldCharType="begin" w:fldLock="1"/>
      </w:r>
      <w:r w:rsidRPr="0019444B">
        <w:rPr>
          <w:rFonts w:ascii="Arial Narrow" w:hAnsi="Arial Narrow"/>
          <w:b/>
          <w:sz w:val="20"/>
          <w:szCs w:val="20"/>
        </w:rPr>
        <w:instrText xml:space="preserve"> SEQ Table \* ARABIC </w:instrText>
      </w:r>
      <w:r w:rsidRPr="0019444B">
        <w:rPr>
          <w:rFonts w:ascii="Arial Narrow" w:hAnsi="Arial Narrow"/>
          <w:b/>
          <w:sz w:val="20"/>
          <w:szCs w:val="20"/>
        </w:rPr>
        <w:fldChar w:fldCharType="separate"/>
      </w:r>
      <w:r w:rsidR="007C39B4" w:rsidRPr="00EB0E37">
        <w:rPr>
          <w:rFonts w:ascii="Arial Narrow" w:hAnsi="Arial Narrow"/>
          <w:b/>
          <w:sz w:val="20"/>
          <w:szCs w:val="20"/>
        </w:rPr>
        <w:t>1</w:t>
      </w:r>
      <w:r w:rsidRPr="0019444B">
        <w:rPr>
          <w:rFonts w:ascii="Arial Narrow" w:hAnsi="Arial Narrow"/>
          <w:b/>
          <w:sz w:val="20"/>
          <w:szCs w:val="20"/>
        </w:rPr>
        <w:fldChar w:fldCharType="end"/>
      </w:r>
      <w:r w:rsidRPr="0019444B">
        <w:rPr>
          <w:rFonts w:ascii="Arial Narrow" w:hAnsi="Arial Narrow"/>
          <w:b/>
          <w:sz w:val="20"/>
          <w:szCs w:val="20"/>
        </w:rPr>
        <w:t>:</w:t>
      </w:r>
      <w:r w:rsidRPr="0019444B">
        <w:rPr>
          <w:rStyle w:val="CommentReference"/>
          <w:rFonts w:cstheme="minorHAnsi"/>
          <w:szCs w:val="20"/>
        </w:rPr>
        <w:t xml:space="preserve"> Key components of the clinical issue addressed by the </w:t>
      </w:r>
      <w:proofErr w:type="gramStart"/>
      <w:r w:rsidR="00EB7C29" w:rsidRPr="0019444B">
        <w:rPr>
          <w:rStyle w:val="CommentReference"/>
          <w:rFonts w:cstheme="minorHAnsi"/>
          <w:szCs w:val="20"/>
        </w:rPr>
        <w:t>re</w:t>
      </w:r>
      <w:r w:rsidRPr="0019444B">
        <w:rPr>
          <w:rStyle w:val="CommentReference"/>
          <w:rFonts w:cstheme="minorHAnsi"/>
          <w:szCs w:val="20"/>
        </w:rPr>
        <w:t>submission</w:t>
      </w:r>
      <w:proofErr w:type="gramEnd"/>
      <w:r w:rsidRPr="0019444B">
        <w:rPr>
          <w:rStyle w:val="CommentReference"/>
          <w:rFonts w:cstheme="minorHAnsi"/>
          <w:szCs w:val="20"/>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7747"/>
      </w:tblGrid>
      <w:tr w:rsidR="008B2AC7" w:rsidRPr="0019444B" w14:paraId="2DCDA643" w14:textId="77777777" w:rsidTr="00E9683D">
        <w:trPr>
          <w:cantSplit/>
          <w:tblHeader/>
        </w:trPr>
        <w:tc>
          <w:tcPr>
            <w:tcW w:w="704" w:type="pct"/>
            <w:shd w:val="clear" w:color="auto" w:fill="auto"/>
          </w:tcPr>
          <w:p w14:paraId="2A238BED" w14:textId="77777777" w:rsidR="008B2AC7" w:rsidRPr="0019444B" w:rsidRDefault="008B2AC7" w:rsidP="0051674E">
            <w:pPr>
              <w:keepNext/>
              <w:widowControl w:val="0"/>
              <w:rPr>
                <w:rFonts w:ascii="Arial Narrow" w:hAnsi="Arial Narrow"/>
                <w:sz w:val="20"/>
                <w:szCs w:val="20"/>
              </w:rPr>
            </w:pPr>
            <w:r w:rsidRPr="0019444B">
              <w:rPr>
                <w:rFonts w:ascii="Arial Narrow" w:hAnsi="Arial Narrow"/>
                <w:sz w:val="20"/>
                <w:szCs w:val="20"/>
              </w:rPr>
              <w:t>Component</w:t>
            </w:r>
          </w:p>
        </w:tc>
        <w:tc>
          <w:tcPr>
            <w:tcW w:w="4296" w:type="pct"/>
            <w:shd w:val="clear" w:color="auto" w:fill="auto"/>
          </w:tcPr>
          <w:p w14:paraId="30BBC051" w14:textId="77777777" w:rsidR="008B2AC7" w:rsidRPr="0019444B" w:rsidRDefault="008B2AC7" w:rsidP="0051674E">
            <w:pPr>
              <w:keepNext/>
              <w:widowControl w:val="0"/>
              <w:rPr>
                <w:rFonts w:ascii="Arial Narrow" w:hAnsi="Arial Narrow"/>
                <w:sz w:val="20"/>
                <w:szCs w:val="20"/>
              </w:rPr>
            </w:pPr>
            <w:r w:rsidRPr="0019444B">
              <w:rPr>
                <w:rFonts w:ascii="Arial Narrow" w:hAnsi="Arial Narrow"/>
                <w:sz w:val="20"/>
                <w:szCs w:val="20"/>
              </w:rPr>
              <w:t>Description</w:t>
            </w:r>
          </w:p>
        </w:tc>
      </w:tr>
      <w:tr w:rsidR="008B2AC7" w:rsidRPr="0019444B" w14:paraId="3196DFAE" w14:textId="77777777" w:rsidTr="00E9683D">
        <w:trPr>
          <w:cantSplit/>
        </w:trPr>
        <w:tc>
          <w:tcPr>
            <w:tcW w:w="704" w:type="pct"/>
            <w:shd w:val="clear" w:color="auto" w:fill="auto"/>
            <w:vAlign w:val="center"/>
          </w:tcPr>
          <w:p w14:paraId="45703314" w14:textId="77777777" w:rsidR="008B2AC7" w:rsidRPr="0019444B" w:rsidRDefault="008B2AC7" w:rsidP="0051674E">
            <w:pPr>
              <w:keepNext/>
              <w:widowControl w:val="0"/>
              <w:rPr>
                <w:rFonts w:ascii="Arial Narrow" w:hAnsi="Arial Narrow"/>
                <w:sz w:val="20"/>
                <w:szCs w:val="20"/>
              </w:rPr>
            </w:pPr>
            <w:r w:rsidRPr="0019444B">
              <w:rPr>
                <w:rFonts w:ascii="Arial Narrow" w:hAnsi="Arial Narrow"/>
                <w:sz w:val="20"/>
                <w:szCs w:val="20"/>
              </w:rPr>
              <w:t>Population</w:t>
            </w:r>
          </w:p>
        </w:tc>
        <w:tc>
          <w:tcPr>
            <w:tcW w:w="4296" w:type="pct"/>
            <w:shd w:val="clear" w:color="auto" w:fill="auto"/>
          </w:tcPr>
          <w:p w14:paraId="7C645ED4" w14:textId="77777777" w:rsidR="008B2AC7" w:rsidRPr="0019444B" w:rsidRDefault="008B2AC7" w:rsidP="0051674E">
            <w:pPr>
              <w:keepNext/>
              <w:widowControl w:val="0"/>
              <w:rPr>
                <w:rFonts w:ascii="Arial Narrow" w:hAnsi="Arial Narrow"/>
                <w:sz w:val="20"/>
                <w:szCs w:val="20"/>
              </w:rPr>
            </w:pPr>
            <w:r w:rsidRPr="0019444B">
              <w:rPr>
                <w:rFonts w:ascii="Arial Narrow" w:hAnsi="Arial Narrow"/>
                <w:sz w:val="20"/>
                <w:szCs w:val="20"/>
              </w:rPr>
              <w:t>Patients with previously untreated CLL/SLL.</w:t>
            </w:r>
          </w:p>
        </w:tc>
      </w:tr>
      <w:tr w:rsidR="008B2AC7" w:rsidRPr="0019444B" w14:paraId="2769BE5C" w14:textId="77777777" w:rsidTr="00E9683D">
        <w:trPr>
          <w:cantSplit/>
        </w:trPr>
        <w:tc>
          <w:tcPr>
            <w:tcW w:w="704" w:type="pct"/>
            <w:shd w:val="clear" w:color="auto" w:fill="auto"/>
            <w:vAlign w:val="center"/>
          </w:tcPr>
          <w:p w14:paraId="040FE903" w14:textId="77777777" w:rsidR="008B2AC7" w:rsidRPr="0019444B" w:rsidRDefault="008B2AC7" w:rsidP="0051674E">
            <w:pPr>
              <w:keepNext/>
              <w:widowControl w:val="0"/>
              <w:rPr>
                <w:rFonts w:ascii="Arial Narrow" w:hAnsi="Arial Narrow"/>
                <w:sz w:val="20"/>
                <w:szCs w:val="20"/>
              </w:rPr>
            </w:pPr>
            <w:r w:rsidRPr="0019444B">
              <w:rPr>
                <w:rFonts w:ascii="Arial Narrow" w:hAnsi="Arial Narrow"/>
                <w:sz w:val="20"/>
                <w:szCs w:val="20"/>
              </w:rPr>
              <w:t>Intervention</w:t>
            </w:r>
          </w:p>
        </w:tc>
        <w:tc>
          <w:tcPr>
            <w:tcW w:w="4296" w:type="pct"/>
            <w:shd w:val="clear" w:color="auto" w:fill="auto"/>
          </w:tcPr>
          <w:p w14:paraId="716AC08C" w14:textId="70AA1A51" w:rsidR="008B2AC7" w:rsidRPr="0019444B" w:rsidRDefault="008B2AC7" w:rsidP="0051674E">
            <w:pPr>
              <w:keepNext/>
              <w:widowControl w:val="0"/>
              <w:rPr>
                <w:rFonts w:ascii="Arial Narrow" w:hAnsi="Arial Narrow"/>
                <w:sz w:val="20"/>
                <w:szCs w:val="20"/>
              </w:rPr>
            </w:pPr>
            <w:r w:rsidRPr="0019444B">
              <w:rPr>
                <w:rFonts w:ascii="Arial Narrow" w:hAnsi="Arial Narrow"/>
                <w:sz w:val="20"/>
                <w:szCs w:val="20"/>
              </w:rPr>
              <w:t xml:space="preserve">Acalabrutinib 100 mg tablet </w:t>
            </w:r>
            <w:r w:rsidR="00AF6237" w:rsidRPr="0019444B">
              <w:rPr>
                <w:rFonts w:ascii="Arial Narrow" w:hAnsi="Arial Narrow"/>
                <w:sz w:val="20"/>
                <w:szCs w:val="20"/>
              </w:rPr>
              <w:t xml:space="preserve">twice a day </w:t>
            </w:r>
            <w:r w:rsidRPr="0019444B">
              <w:rPr>
                <w:rFonts w:ascii="Arial Narrow" w:hAnsi="Arial Narrow"/>
                <w:sz w:val="20"/>
                <w:szCs w:val="20"/>
              </w:rPr>
              <w:t>monotherapy (ACA) or acalabrutinib 100</w:t>
            </w:r>
            <w:r w:rsidR="00AF6237" w:rsidRPr="0019444B">
              <w:rPr>
                <w:rFonts w:ascii="Arial Narrow" w:hAnsi="Arial Narrow"/>
                <w:sz w:val="20"/>
                <w:szCs w:val="20"/>
              </w:rPr>
              <w:t xml:space="preserve"> </w:t>
            </w:r>
            <w:r w:rsidRPr="0019444B">
              <w:rPr>
                <w:rFonts w:ascii="Arial Narrow" w:hAnsi="Arial Narrow"/>
                <w:sz w:val="20"/>
                <w:szCs w:val="20"/>
              </w:rPr>
              <w:t xml:space="preserve">mg tablet </w:t>
            </w:r>
            <w:r w:rsidR="00990B0C" w:rsidRPr="0019444B">
              <w:rPr>
                <w:rFonts w:ascii="Arial Narrow" w:hAnsi="Arial Narrow"/>
                <w:sz w:val="20"/>
                <w:szCs w:val="20"/>
              </w:rPr>
              <w:t>twice a day</w:t>
            </w:r>
            <w:r w:rsidRPr="0019444B">
              <w:rPr>
                <w:rFonts w:ascii="Arial Narrow" w:hAnsi="Arial Narrow"/>
                <w:sz w:val="20"/>
                <w:szCs w:val="20"/>
              </w:rPr>
              <w:t xml:space="preserve"> in conjunction with obinutuzumab (ACA+OBIN).</w:t>
            </w:r>
          </w:p>
        </w:tc>
      </w:tr>
      <w:tr w:rsidR="008B2AC7" w:rsidRPr="0019444B" w14:paraId="22F695BA" w14:textId="77777777" w:rsidTr="00E9683D">
        <w:trPr>
          <w:cantSplit/>
        </w:trPr>
        <w:tc>
          <w:tcPr>
            <w:tcW w:w="704" w:type="pct"/>
            <w:shd w:val="clear" w:color="auto" w:fill="auto"/>
            <w:vAlign w:val="center"/>
          </w:tcPr>
          <w:p w14:paraId="1EB8A0DF" w14:textId="77777777" w:rsidR="008B2AC7" w:rsidRPr="0019444B" w:rsidRDefault="008B2AC7" w:rsidP="0051674E">
            <w:pPr>
              <w:keepNext/>
              <w:widowControl w:val="0"/>
              <w:rPr>
                <w:rFonts w:ascii="Arial Narrow" w:hAnsi="Arial Narrow"/>
                <w:sz w:val="20"/>
                <w:szCs w:val="20"/>
              </w:rPr>
            </w:pPr>
            <w:r w:rsidRPr="0019444B">
              <w:rPr>
                <w:rFonts w:ascii="Arial Narrow" w:hAnsi="Arial Narrow"/>
                <w:sz w:val="20"/>
                <w:szCs w:val="20"/>
              </w:rPr>
              <w:t>Comparator</w:t>
            </w:r>
          </w:p>
        </w:tc>
        <w:tc>
          <w:tcPr>
            <w:tcW w:w="4296" w:type="pct"/>
            <w:shd w:val="clear" w:color="auto" w:fill="auto"/>
          </w:tcPr>
          <w:p w14:paraId="2C004F7F" w14:textId="77777777" w:rsidR="008B2AC7" w:rsidRPr="00EB0E37" w:rsidRDefault="008B2AC7" w:rsidP="0051674E">
            <w:pPr>
              <w:keepNext/>
              <w:widowControl w:val="0"/>
              <w:rPr>
                <w:rFonts w:ascii="Arial Narrow" w:hAnsi="Arial Narrow"/>
                <w:sz w:val="20"/>
                <w:szCs w:val="20"/>
              </w:rPr>
            </w:pPr>
            <w:r w:rsidRPr="00EB0E37">
              <w:rPr>
                <w:rFonts w:ascii="Arial Narrow" w:hAnsi="Arial Narrow"/>
                <w:sz w:val="20"/>
                <w:szCs w:val="20"/>
              </w:rPr>
              <w:t xml:space="preserve">Venetoclax plus obinutuzumab (VTX+OBIN). </w:t>
            </w:r>
          </w:p>
        </w:tc>
      </w:tr>
      <w:tr w:rsidR="008B2AC7" w:rsidRPr="0019444B" w14:paraId="4C6A9683" w14:textId="77777777" w:rsidTr="00E9683D">
        <w:trPr>
          <w:cantSplit/>
        </w:trPr>
        <w:tc>
          <w:tcPr>
            <w:tcW w:w="704" w:type="pct"/>
            <w:shd w:val="clear" w:color="auto" w:fill="auto"/>
            <w:vAlign w:val="center"/>
          </w:tcPr>
          <w:p w14:paraId="68DACB32" w14:textId="77777777" w:rsidR="008B2AC7" w:rsidRPr="0019444B" w:rsidRDefault="008B2AC7" w:rsidP="0051674E">
            <w:pPr>
              <w:keepNext/>
              <w:widowControl w:val="0"/>
              <w:rPr>
                <w:rFonts w:ascii="Arial Narrow" w:hAnsi="Arial Narrow"/>
                <w:sz w:val="20"/>
                <w:szCs w:val="20"/>
              </w:rPr>
            </w:pPr>
            <w:r w:rsidRPr="0019444B">
              <w:rPr>
                <w:rFonts w:ascii="Arial Narrow" w:hAnsi="Arial Narrow"/>
                <w:sz w:val="20"/>
                <w:szCs w:val="20"/>
              </w:rPr>
              <w:t>Outcomes</w:t>
            </w:r>
          </w:p>
        </w:tc>
        <w:tc>
          <w:tcPr>
            <w:tcW w:w="4296" w:type="pct"/>
            <w:shd w:val="clear" w:color="auto" w:fill="auto"/>
          </w:tcPr>
          <w:p w14:paraId="2CB23A12" w14:textId="77777777" w:rsidR="008B2AC7" w:rsidRPr="0019444B" w:rsidRDefault="008B2AC7" w:rsidP="0051674E">
            <w:pPr>
              <w:keepNext/>
              <w:widowControl w:val="0"/>
              <w:rPr>
                <w:rFonts w:ascii="Arial Narrow" w:hAnsi="Arial Narrow"/>
                <w:snapToGrid w:val="0"/>
                <w:sz w:val="20"/>
                <w:szCs w:val="20"/>
              </w:rPr>
            </w:pPr>
            <w:r w:rsidRPr="0019444B">
              <w:rPr>
                <w:rFonts w:ascii="Arial Narrow" w:hAnsi="Arial Narrow"/>
                <w:sz w:val="20"/>
                <w:szCs w:val="20"/>
              </w:rPr>
              <w:t>Progression-free survival (PFS), overall response rate (ORR), overall survival (OS), and safety.</w:t>
            </w:r>
          </w:p>
        </w:tc>
      </w:tr>
      <w:tr w:rsidR="008B2AC7" w:rsidRPr="0019444B" w14:paraId="5BA43634" w14:textId="77777777" w:rsidTr="00E9683D">
        <w:trPr>
          <w:cantSplit/>
          <w:trHeight w:val="109"/>
        </w:trPr>
        <w:tc>
          <w:tcPr>
            <w:tcW w:w="704" w:type="pct"/>
            <w:shd w:val="clear" w:color="auto" w:fill="auto"/>
            <w:vAlign w:val="center"/>
          </w:tcPr>
          <w:p w14:paraId="301CEE7E" w14:textId="77777777" w:rsidR="008B2AC7" w:rsidRPr="0019444B" w:rsidRDefault="008B2AC7" w:rsidP="0051674E">
            <w:pPr>
              <w:keepNext/>
              <w:widowControl w:val="0"/>
              <w:rPr>
                <w:rFonts w:ascii="Arial Narrow" w:hAnsi="Arial Narrow"/>
                <w:sz w:val="20"/>
                <w:szCs w:val="20"/>
              </w:rPr>
            </w:pPr>
            <w:r w:rsidRPr="0019444B">
              <w:rPr>
                <w:rFonts w:ascii="Arial Narrow" w:hAnsi="Arial Narrow"/>
                <w:sz w:val="20"/>
                <w:szCs w:val="20"/>
              </w:rPr>
              <w:t>Clinical claim</w:t>
            </w:r>
          </w:p>
        </w:tc>
        <w:tc>
          <w:tcPr>
            <w:tcW w:w="4296" w:type="pct"/>
            <w:shd w:val="clear" w:color="auto" w:fill="auto"/>
          </w:tcPr>
          <w:p w14:paraId="60F61583" w14:textId="4219D61B" w:rsidR="008B2AC7" w:rsidRPr="0019444B" w:rsidRDefault="008B2AC7" w:rsidP="0051674E">
            <w:pPr>
              <w:keepNext/>
              <w:widowControl w:val="0"/>
              <w:rPr>
                <w:rFonts w:ascii="Arial Narrow" w:hAnsi="Arial Narrow"/>
                <w:snapToGrid w:val="0"/>
                <w:sz w:val="20"/>
                <w:szCs w:val="20"/>
              </w:rPr>
            </w:pPr>
            <w:r w:rsidRPr="0019444B">
              <w:rPr>
                <w:rFonts w:ascii="Arial Narrow" w:hAnsi="Arial Narrow"/>
                <w:sz w:val="20"/>
                <w:szCs w:val="20"/>
              </w:rPr>
              <w:t>In patients with previously untreated CLL, ACA</w:t>
            </w:r>
            <w:r w:rsidR="00A45ED6" w:rsidRPr="0019444B">
              <w:rPr>
                <w:rFonts w:ascii="Arial Narrow" w:hAnsi="Arial Narrow"/>
                <w:sz w:val="20"/>
                <w:szCs w:val="20"/>
              </w:rPr>
              <w:t>+/-</w:t>
            </w:r>
            <w:r w:rsidRPr="0019444B">
              <w:rPr>
                <w:rFonts w:ascii="Arial Narrow" w:hAnsi="Arial Narrow"/>
                <w:sz w:val="20"/>
                <w:szCs w:val="20"/>
              </w:rPr>
              <w:t xml:space="preserve">OBIN is non-inferior to VTX+OBIN in terms of overall efficacy and superior to VTX+OBIN in terms of safety. </w:t>
            </w:r>
          </w:p>
        </w:tc>
      </w:tr>
    </w:tbl>
    <w:p w14:paraId="45C04D25" w14:textId="77777777" w:rsidR="008B2AC7" w:rsidRPr="0019444B" w:rsidRDefault="008B2AC7" w:rsidP="0051674E">
      <w:pPr>
        <w:widowControl w:val="0"/>
        <w:rPr>
          <w:rFonts w:ascii="Arial Narrow" w:hAnsi="Arial Narrow"/>
          <w:sz w:val="18"/>
          <w:szCs w:val="18"/>
        </w:rPr>
      </w:pPr>
      <w:bookmarkStart w:id="2" w:name="_Hlk132276735"/>
      <w:r w:rsidRPr="0019444B">
        <w:rPr>
          <w:rFonts w:ascii="Arial Narrow" w:hAnsi="Arial Narrow"/>
          <w:sz w:val="18"/>
          <w:szCs w:val="18"/>
        </w:rPr>
        <w:t>Source: Table 1.2, p. 43 of the resubmission</w:t>
      </w:r>
    </w:p>
    <w:p w14:paraId="7D5C5FA0" w14:textId="4C999DE6" w:rsidR="008B2AC7" w:rsidRPr="0019444B" w:rsidRDefault="005C09FA" w:rsidP="0051674E">
      <w:pPr>
        <w:widowControl w:val="0"/>
        <w:rPr>
          <w:rFonts w:ascii="Arial Narrow" w:hAnsi="Arial Narrow"/>
          <w:sz w:val="18"/>
          <w:szCs w:val="18"/>
        </w:rPr>
      </w:pPr>
      <w:r w:rsidRPr="0019444B">
        <w:rPr>
          <w:rFonts w:ascii="Arial Narrow" w:hAnsi="Arial Narrow"/>
          <w:sz w:val="18"/>
          <w:szCs w:val="18"/>
        </w:rPr>
        <w:t xml:space="preserve">ACA = acalabrutinib, </w:t>
      </w:r>
      <w:r w:rsidR="008B2AC7" w:rsidRPr="0019444B">
        <w:rPr>
          <w:rFonts w:ascii="Arial Narrow" w:hAnsi="Arial Narrow"/>
          <w:sz w:val="18"/>
          <w:szCs w:val="18"/>
        </w:rPr>
        <w:t>CLL</w:t>
      </w:r>
      <w:r w:rsidRPr="0019444B">
        <w:rPr>
          <w:rFonts w:ascii="Arial Narrow" w:hAnsi="Arial Narrow"/>
          <w:sz w:val="18"/>
          <w:szCs w:val="18"/>
        </w:rPr>
        <w:t xml:space="preserve"> </w:t>
      </w:r>
      <w:r w:rsidR="008B2AC7" w:rsidRPr="0019444B">
        <w:rPr>
          <w:rFonts w:ascii="Arial Narrow" w:hAnsi="Arial Narrow"/>
          <w:sz w:val="18"/>
          <w:szCs w:val="18"/>
        </w:rPr>
        <w:t xml:space="preserve">= chronic lymphocytic leukaemia, </w:t>
      </w:r>
      <w:r w:rsidRPr="0019444B">
        <w:rPr>
          <w:rFonts w:ascii="Arial Narrow" w:hAnsi="Arial Narrow"/>
          <w:sz w:val="18"/>
          <w:szCs w:val="18"/>
        </w:rPr>
        <w:t xml:space="preserve">OBIN = obinutuzumab, ORR= overall response rate, OS= overall survival, PFS= progression-free survival, </w:t>
      </w:r>
      <w:r w:rsidR="008B2AC7" w:rsidRPr="0019444B">
        <w:rPr>
          <w:rFonts w:ascii="Arial Narrow" w:hAnsi="Arial Narrow"/>
          <w:sz w:val="18"/>
          <w:szCs w:val="18"/>
        </w:rPr>
        <w:t>S</w:t>
      </w:r>
      <w:r w:rsidR="00564345" w:rsidRPr="0019444B">
        <w:rPr>
          <w:rFonts w:ascii="Arial Narrow" w:hAnsi="Arial Narrow"/>
          <w:sz w:val="18"/>
          <w:szCs w:val="18"/>
        </w:rPr>
        <w:t>L</w:t>
      </w:r>
      <w:r w:rsidR="008B2AC7" w:rsidRPr="0019444B">
        <w:rPr>
          <w:rFonts w:ascii="Arial Narrow" w:hAnsi="Arial Narrow"/>
          <w:sz w:val="18"/>
          <w:szCs w:val="18"/>
        </w:rPr>
        <w:t>L</w:t>
      </w:r>
      <w:r w:rsidRPr="0019444B">
        <w:rPr>
          <w:rFonts w:ascii="Arial Narrow" w:hAnsi="Arial Narrow"/>
          <w:sz w:val="18"/>
          <w:szCs w:val="18"/>
        </w:rPr>
        <w:t xml:space="preserve"> </w:t>
      </w:r>
      <w:r w:rsidR="008B2AC7" w:rsidRPr="0019444B">
        <w:rPr>
          <w:rFonts w:ascii="Arial Narrow" w:hAnsi="Arial Narrow"/>
          <w:sz w:val="18"/>
          <w:szCs w:val="18"/>
        </w:rPr>
        <w:t xml:space="preserve">= small </w:t>
      </w:r>
      <w:r w:rsidR="00564345" w:rsidRPr="0019444B">
        <w:rPr>
          <w:rFonts w:ascii="Arial Narrow" w:hAnsi="Arial Narrow"/>
          <w:sz w:val="18"/>
          <w:szCs w:val="18"/>
        </w:rPr>
        <w:t xml:space="preserve">lymphocytic </w:t>
      </w:r>
      <w:r w:rsidR="008B2AC7" w:rsidRPr="0019444B">
        <w:rPr>
          <w:rFonts w:ascii="Arial Narrow" w:hAnsi="Arial Narrow"/>
          <w:sz w:val="18"/>
          <w:szCs w:val="18"/>
        </w:rPr>
        <w:t>lymphoma, VTX= venetoclax</w:t>
      </w:r>
    </w:p>
    <w:p w14:paraId="6FE285CD" w14:textId="78943643" w:rsidR="004C08CD" w:rsidRPr="0019444B" w:rsidRDefault="005C25FF" w:rsidP="004C08CD">
      <w:pPr>
        <w:pStyle w:val="2-SectionHeading"/>
        <w:numPr>
          <w:ilvl w:val="0"/>
          <w:numId w:val="1"/>
        </w:numPr>
      </w:pPr>
      <w:bookmarkStart w:id="3" w:name="_Toc135225264"/>
      <w:bookmarkEnd w:id="2"/>
      <w:r w:rsidRPr="0019444B">
        <w:t>Background</w:t>
      </w:r>
      <w:bookmarkEnd w:id="3"/>
    </w:p>
    <w:p w14:paraId="2C521D6D" w14:textId="7A4A1375" w:rsidR="005C25FF" w:rsidRPr="0019444B" w:rsidRDefault="005C25FF" w:rsidP="004A6040">
      <w:pPr>
        <w:pStyle w:val="4-SubsectionHeading"/>
      </w:pPr>
      <w:bookmarkStart w:id="4" w:name="_Toc22897638"/>
      <w:bookmarkStart w:id="5" w:name="_Toc135225265"/>
      <w:r w:rsidRPr="0019444B">
        <w:t>Registration status</w:t>
      </w:r>
      <w:bookmarkEnd w:id="4"/>
      <w:bookmarkEnd w:id="5"/>
    </w:p>
    <w:p w14:paraId="27CAEA4A" w14:textId="617B8E02" w:rsidR="004C08CD" w:rsidRPr="0019444B" w:rsidRDefault="004C08CD" w:rsidP="004C08CD">
      <w:pPr>
        <w:pStyle w:val="3-BodyText"/>
        <w:numPr>
          <w:ilvl w:val="1"/>
          <w:numId w:val="1"/>
        </w:numPr>
      </w:pPr>
      <w:bookmarkStart w:id="6" w:name="_Toc22897639"/>
      <w:r w:rsidRPr="0019444B">
        <w:t>Acalabrutinib 100</w:t>
      </w:r>
      <w:r w:rsidR="00AF6237" w:rsidRPr="0019444B">
        <w:t xml:space="preserve"> </w:t>
      </w:r>
      <w:r w:rsidRPr="0019444B">
        <w:t xml:space="preserve">mg capsules were approved </w:t>
      </w:r>
      <w:r w:rsidR="002D0D06" w:rsidRPr="0019444B">
        <w:t>i</w:t>
      </w:r>
      <w:r w:rsidRPr="0019444B">
        <w:t>n November 2019 by the TGA for the treatment of patients with mantle cell lymphoma who have received at least one prior therapy, and for the treatment of patients with CLL/SLL.</w:t>
      </w:r>
    </w:p>
    <w:p w14:paraId="2E8AF3C6" w14:textId="4C9DF609" w:rsidR="004C08CD" w:rsidRPr="0019444B" w:rsidRDefault="003F5086" w:rsidP="004C08CD">
      <w:pPr>
        <w:pStyle w:val="3-BodyText"/>
        <w:numPr>
          <w:ilvl w:val="1"/>
          <w:numId w:val="1"/>
        </w:numPr>
      </w:pPr>
      <w:r w:rsidRPr="0019444B">
        <w:t xml:space="preserve">The tablet formulation of ACA was included on the Australian Register of Therapeutic Goods (ARTG) </w:t>
      </w:r>
      <w:r w:rsidR="002D0D06" w:rsidRPr="0019444B">
        <w:t>i</w:t>
      </w:r>
      <w:r w:rsidRPr="0019444B">
        <w:t xml:space="preserve">n </w:t>
      </w:r>
      <w:r w:rsidR="004C08CD" w:rsidRPr="0019444B">
        <w:t>October 2022</w:t>
      </w:r>
      <w:r w:rsidRPr="0019444B">
        <w:t>. The</w:t>
      </w:r>
      <w:r w:rsidR="004C08CD" w:rsidRPr="0019444B">
        <w:t xml:space="preserve"> </w:t>
      </w:r>
      <w:r w:rsidRPr="0019444B">
        <w:t xml:space="preserve">tablet formulation of ACA was approved </w:t>
      </w:r>
      <w:r w:rsidR="004C08CD" w:rsidRPr="0019444B">
        <w:t>for the same indications that apply to the original capsule formulation</w:t>
      </w:r>
      <w:r w:rsidRPr="0019444B">
        <w:t xml:space="preserve">, with </w:t>
      </w:r>
      <w:r w:rsidR="004C08CD" w:rsidRPr="0019444B">
        <w:t xml:space="preserve">ACA </w:t>
      </w:r>
      <w:r w:rsidR="00B03131" w:rsidRPr="0019444B">
        <w:t>100</w:t>
      </w:r>
      <w:r w:rsidR="00B03131">
        <w:t> </w:t>
      </w:r>
      <w:r w:rsidR="004C08CD" w:rsidRPr="0019444B">
        <w:t xml:space="preserve">mg capsule and ACA 100 mg tablet </w:t>
      </w:r>
      <w:r w:rsidRPr="0019444B">
        <w:t>considered</w:t>
      </w:r>
      <w:r w:rsidR="004C08CD" w:rsidRPr="0019444B">
        <w:t xml:space="preserve"> bioequivalent.</w:t>
      </w:r>
    </w:p>
    <w:p w14:paraId="3E2A6EAB" w14:textId="469C8C0C" w:rsidR="005C25FF" w:rsidRPr="0019444B" w:rsidRDefault="005C25FF" w:rsidP="004E18E9">
      <w:pPr>
        <w:pStyle w:val="4-SubsectionHeading"/>
      </w:pPr>
      <w:bookmarkStart w:id="7" w:name="_Toc135225266"/>
      <w:r w:rsidRPr="0019444B">
        <w:t>Previous PBAC consideration</w:t>
      </w:r>
      <w:bookmarkEnd w:id="6"/>
      <w:bookmarkEnd w:id="7"/>
    </w:p>
    <w:p w14:paraId="72665BAA" w14:textId="53425FF6" w:rsidR="001A638C" w:rsidRPr="0019444B" w:rsidRDefault="008B2AC7" w:rsidP="006B73E3">
      <w:pPr>
        <w:pStyle w:val="3-BodyText"/>
        <w:numPr>
          <w:ilvl w:val="1"/>
          <w:numId w:val="1"/>
        </w:numPr>
      </w:pPr>
      <w:r w:rsidRPr="0019444B">
        <w:t xml:space="preserve">This resubmission </w:t>
      </w:r>
      <w:r w:rsidR="005C09FA" w:rsidRPr="0019444B">
        <w:t xml:space="preserve">was </w:t>
      </w:r>
      <w:r w:rsidRPr="0019444B">
        <w:t xml:space="preserve">the </w:t>
      </w:r>
      <w:r w:rsidR="00915100" w:rsidRPr="0019444B">
        <w:t>four</w:t>
      </w:r>
      <w:r w:rsidRPr="0019444B">
        <w:t xml:space="preserve">th submission for </w:t>
      </w:r>
      <w:r w:rsidR="00756644" w:rsidRPr="0019444B">
        <w:t>ACA</w:t>
      </w:r>
      <w:r w:rsidRPr="0019444B">
        <w:t xml:space="preserve"> as monotherapy or in combination with </w:t>
      </w:r>
      <w:r w:rsidR="001A638C" w:rsidRPr="0019444B">
        <w:t xml:space="preserve">OBIN </w:t>
      </w:r>
      <w:r w:rsidRPr="0019444B">
        <w:t xml:space="preserve">for the treatment of patients with previously untreated </w:t>
      </w:r>
      <w:bookmarkStart w:id="8" w:name="_Hlk132277492"/>
      <w:r w:rsidRPr="0019444B">
        <w:t>CLL/SLL</w:t>
      </w:r>
      <w:bookmarkEnd w:id="8"/>
      <w:r w:rsidRPr="0019444B">
        <w:t>.</w:t>
      </w:r>
      <w:bookmarkStart w:id="9" w:name="_Hlk132277997"/>
      <w:r w:rsidR="000952C4" w:rsidRPr="0019444B">
        <w:t xml:space="preserve"> </w:t>
      </w:r>
    </w:p>
    <w:p w14:paraId="2DD3FEC3" w14:textId="5326F375" w:rsidR="004C08CD" w:rsidRPr="0019444B" w:rsidRDefault="008B2AC7" w:rsidP="006B73E3">
      <w:pPr>
        <w:pStyle w:val="3-BodyText"/>
        <w:numPr>
          <w:ilvl w:val="1"/>
          <w:numId w:val="1"/>
        </w:numPr>
      </w:pPr>
      <w:r w:rsidRPr="0019444B">
        <w:lastRenderedPageBreak/>
        <w:t xml:space="preserve">Previous submissions were considered by the PBAC for untreated CLL/SLL at the </w:t>
      </w:r>
      <w:r w:rsidR="00B03131" w:rsidRPr="0019444B">
        <w:t>July</w:t>
      </w:r>
      <w:r w:rsidR="00B03131">
        <w:t> </w:t>
      </w:r>
      <w:r w:rsidRPr="0019444B">
        <w:t>2020 (ACA</w:t>
      </w:r>
      <w:r w:rsidR="00A45ED6" w:rsidRPr="0019444B">
        <w:t>+/-</w:t>
      </w:r>
      <w:r w:rsidRPr="0019444B">
        <w:t xml:space="preserve">OBIN), November 2021 (ACA monotherapy) and </w:t>
      </w:r>
      <w:r w:rsidR="00B03131" w:rsidRPr="0019444B">
        <w:t>December</w:t>
      </w:r>
      <w:r w:rsidR="00B03131">
        <w:t> </w:t>
      </w:r>
      <w:r w:rsidRPr="0019444B">
        <w:t>2022</w:t>
      </w:r>
      <w:r w:rsidR="000952C4" w:rsidRPr="0019444B">
        <w:t xml:space="preserve"> intracycle</w:t>
      </w:r>
      <w:r w:rsidRPr="0019444B">
        <w:t xml:space="preserve"> (ACA+OBIN)</w:t>
      </w:r>
      <w:r w:rsidR="002E7228" w:rsidRPr="0019444B">
        <w:t xml:space="preserve"> PBAC meetings</w:t>
      </w:r>
      <w:r w:rsidRPr="0019444B">
        <w:t>.</w:t>
      </w:r>
      <w:bookmarkEnd w:id="9"/>
    </w:p>
    <w:p w14:paraId="25D13871" w14:textId="33E4C37E" w:rsidR="008B2AC7" w:rsidRPr="0019444B" w:rsidRDefault="000952C4" w:rsidP="008B2AC7">
      <w:pPr>
        <w:pStyle w:val="3-BodyText"/>
        <w:numPr>
          <w:ilvl w:val="1"/>
          <w:numId w:val="1"/>
        </w:numPr>
      </w:pPr>
      <w:r w:rsidRPr="0019444B">
        <w:t xml:space="preserve">At the most recent PBAC consideration, </w:t>
      </w:r>
      <w:r w:rsidR="008B2AC7" w:rsidRPr="0019444B">
        <w:t xml:space="preserve">ACA+OBIN </w:t>
      </w:r>
      <w:r w:rsidRPr="0019444B">
        <w:t xml:space="preserve">was considered </w:t>
      </w:r>
      <w:r w:rsidR="008B2AC7" w:rsidRPr="0019444B">
        <w:t xml:space="preserve">for untreated CLL/SLL patients who are considered unsuitable for treatment with fludarabine-based </w:t>
      </w:r>
      <w:r w:rsidR="00BF1EC6" w:rsidRPr="0019444B">
        <w:t>chemoimmunotherapy but</w:t>
      </w:r>
      <w:r w:rsidRPr="0019444B">
        <w:t xml:space="preserve"> was not recommended. </w:t>
      </w:r>
      <w:r w:rsidR="00472B82" w:rsidRPr="0019444B">
        <w:t xml:space="preserve">At its December 2022 meeting (paragraph 7.1, ACA, </w:t>
      </w:r>
      <w:r w:rsidR="00B03131">
        <w:t>Public Summary Document (</w:t>
      </w:r>
      <w:r w:rsidR="00472B82" w:rsidRPr="0019444B">
        <w:t>PSD</w:t>
      </w:r>
      <w:r w:rsidR="00B03131">
        <w:t>)</w:t>
      </w:r>
      <w:r w:rsidR="00472B82" w:rsidRPr="0019444B">
        <w:t>, December 2022 PBAC intracycle meeting), t</w:t>
      </w:r>
      <w:r w:rsidRPr="0019444B">
        <w:t xml:space="preserve">he PBAC </w:t>
      </w:r>
      <w:r w:rsidR="00FD0F12" w:rsidRPr="0019444B">
        <w:t>considered that</w:t>
      </w:r>
      <w:r w:rsidR="008B2AC7" w:rsidRPr="0019444B">
        <w:t>:</w:t>
      </w:r>
    </w:p>
    <w:p w14:paraId="666F15A6" w14:textId="68421F76" w:rsidR="008B2AC7" w:rsidRPr="0019444B" w:rsidRDefault="008B2AC7" w:rsidP="00B03131">
      <w:pPr>
        <w:pStyle w:val="ListParagraph"/>
      </w:pPr>
      <w:r w:rsidRPr="0019444B">
        <w:t xml:space="preserve">The claim of superior effectiveness or safety of ACA+OBIN vs VTX+OBIN was not supported by the evidence due to differences in patient populations between the trials which did not appear to be adequately accounted for in the </w:t>
      </w:r>
      <w:r w:rsidR="000952C4" w:rsidRPr="0019444B">
        <w:t>matching adjusted indirect comparison (</w:t>
      </w:r>
      <w:r w:rsidRPr="0019444B">
        <w:t>MAIC</w:t>
      </w:r>
      <w:r w:rsidR="000952C4" w:rsidRPr="0019444B">
        <w:t>)</w:t>
      </w:r>
      <w:r w:rsidRPr="0019444B">
        <w:t xml:space="preserve">. </w:t>
      </w:r>
    </w:p>
    <w:p w14:paraId="4E9E6FE6" w14:textId="4BBDE7A7" w:rsidR="008B2AC7" w:rsidRPr="0019444B" w:rsidRDefault="008B2AC7" w:rsidP="00B03131">
      <w:pPr>
        <w:pStyle w:val="ListParagraph"/>
      </w:pPr>
      <w:r w:rsidRPr="0019444B">
        <w:t xml:space="preserve">A claim of non-inferiority </w:t>
      </w:r>
      <w:r w:rsidR="00703084" w:rsidRPr="0019444B">
        <w:t>w</w:t>
      </w:r>
      <w:r w:rsidRPr="0019444B">
        <w:t>ould be more appropriate.</w:t>
      </w:r>
    </w:p>
    <w:p w14:paraId="2F37A84B" w14:textId="77777777" w:rsidR="008B2AC7" w:rsidRPr="0019444B" w:rsidRDefault="008B2AC7" w:rsidP="00B03131">
      <w:pPr>
        <w:pStyle w:val="ListParagraph"/>
      </w:pPr>
      <w:r w:rsidRPr="0019444B">
        <w:t>A cost-minimisation approach would be more appropriate, rather than the cost utility analysis submitted.</w:t>
      </w:r>
    </w:p>
    <w:p w14:paraId="054001A4" w14:textId="0A1768A5" w:rsidR="008B2AC7" w:rsidRPr="0019444B" w:rsidRDefault="008B2AC7" w:rsidP="00B03131">
      <w:pPr>
        <w:pStyle w:val="ListParagraph"/>
      </w:pPr>
      <w:r w:rsidRPr="0019444B">
        <w:t>A substantial price reduction would be required for ACA+OBIN to be considered acceptably cost-effective.</w:t>
      </w:r>
    </w:p>
    <w:p w14:paraId="038BB37E" w14:textId="1008EA90" w:rsidR="008B2AC7" w:rsidRPr="0019444B" w:rsidRDefault="008B2AC7" w:rsidP="004C08CD">
      <w:pPr>
        <w:pStyle w:val="3-BodyText"/>
        <w:numPr>
          <w:ilvl w:val="1"/>
          <w:numId w:val="1"/>
        </w:numPr>
        <w:rPr>
          <w:iCs/>
        </w:rPr>
      </w:pPr>
      <w:r w:rsidRPr="0019444B">
        <w:t xml:space="preserve">The PBAC also advised that </w:t>
      </w:r>
      <w:r w:rsidR="000952C4" w:rsidRPr="0019444B">
        <w:t xml:space="preserve">the </w:t>
      </w:r>
      <w:r w:rsidRPr="0019444B">
        <w:t>criterion that patients be ‘inappropriate for fludarabine-based chemoimmunotherapy’</w:t>
      </w:r>
      <w:r w:rsidR="006C5A8C" w:rsidRPr="0019444B">
        <w:t xml:space="preserve"> should be removed from the existing VTX+OBIN restriction</w:t>
      </w:r>
      <w:r w:rsidRPr="0019444B">
        <w:t xml:space="preserve">. </w:t>
      </w:r>
      <w:r w:rsidR="008E12FD" w:rsidRPr="0019444B">
        <w:rPr>
          <w:iCs/>
        </w:rPr>
        <w:t>It would appear appropriate not to include this criterion for ACA</w:t>
      </w:r>
      <w:r w:rsidR="00A45ED6" w:rsidRPr="0019444B">
        <w:rPr>
          <w:iCs/>
        </w:rPr>
        <w:t>+/-</w:t>
      </w:r>
      <w:r w:rsidR="008E12FD" w:rsidRPr="0019444B">
        <w:rPr>
          <w:iCs/>
        </w:rPr>
        <w:t xml:space="preserve">OBIN </w:t>
      </w:r>
      <w:r w:rsidRPr="0019444B">
        <w:rPr>
          <w:iCs/>
        </w:rPr>
        <w:t xml:space="preserve">(paragraph 7.3, ACA, </w:t>
      </w:r>
      <w:r w:rsidR="00173FAC" w:rsidRPr="0019444B">
        <w:rPr>
          <w:iCs/>
        </w:rPr>
        <w:t>P</w:t>
      </w:r>
      <w:r w:rsidR="00E278D0" w:rsidRPr="0019444B">
        <w:rPr>
          <w:iCs/>
        </w:rPr>
        <w:t>SD</w:t>
      </w:r>
      <w:r w:rsidRPr="0019444B">
        <w:rPr>
          <w:iCs/>
        </w:rPr>
        <w:t xml:space="preserve">, December 2022 PBAC intracycle meeting). </w:t>
      </w:r>
    </w:p>
    <w:p w14:paraId="6ACCDA08" w14:textId="34683A6F" w:rsidR="005201B0" w:rsidRPr="0019444B" w:rsidRDefault="005201B0" w:rsidP="004C08CD">
      <w:pPr>
        <w:pStyle w:val="3-BodyText"/>
        <w:numPr>
          <w:ilvl w:val="1"/>
          <w:numId w:val="1"/>
        </w:numPr>
        <w:rPr>
          <w:iCs/>
        </w:rPr>
      </w:pPr>
      <w:r w:rsidRPr="0019444B">
        <w:t xml:space="preserve">Table 2 summarises the key matters of concern from the previous PBAC considerations and how the resubmission </w:t>
      </w:r>
      <w:r w:rsidR="005C09FA" w:rsidRPr="0019444B">
        <w:t xml:space="preserve">addressed </w:t>
      </w:r>
      <w:r w:rsidRPr="0019444B">
        <w:t>these.</w:t>
      </w:r>
    </w:p>
    <w:p w14:paraId="68AA45AA" w14:textId="26358E8A" w:rsidR="008B2AC7" w:rsidRPr="0019444B" w:rsidRDefault="008B2AC7" w:rsidP="00141BCC">
      <w:pPr>
        <w:pStyle w:val="TableFigureHeading"/>
        <w:widowControl w:val="0"/>
        <w:rPr>
          <w:rStyle w:val="CommentReference"/>
          <w:b/>
          <w:szCs w:val="24"/>
        </w:rPr>
      </w:pPr>
      <w:bookmarkStart w:id="10" w:name="_Toc107902078"/>
      <w:bookmarkEnd w:id="10"/>
      <w:r w:rsidRPr="0019444B">
        <w:lastRenderedPageBreak/>
        <w:t xml:space="preserve">Table </w:t>
      </w:r>
      <w:r w:rsidR="007C4FC4" w:rsidRPr="00EB0E37">
        <w:fldChar w:fldCharType="begin" w:fldLock="1"/>
      </w:r>
      <w:r w:rsidR="007C4FC4" w:rsidRPr="0019444B">
        <w:instrText xml:space="preserve"> SEQ Table \* ARABIC </w:instrText>
      </w:r>
      <w:r w:rsidR="007C4FC4" w:rsidRPr="00EB0E37">
        <w:fldChar w:fldCharType="separate"/>
      </w:r>
      <w:r w:rsidR="007C39B4" w:rsidRPr="00EB0E37">
        <w:t>2</w:t>
      </w:r>
      <w:r w:rsidR="007C4FC4" w:rsidRPr="00EB0E37">
        <w:fldChar w:fldCharType="end"/>
      </w:r>
      <w:r w:rsidRPr="0019444B">
        <w:t>:</w:t>
      </w:r>
      <w:r w:rsidRPr="0019444B">
        <w:rPr>
          <w:rStyle w:val="CommentReference"/>
          <w:b/>
          <w:szCs w:val="24"/>
        </w:rPr>
        <w:t xml:space="preserve"> Summary of key matters of concern</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4754"/>
        <w:gridCol w:w="3089"/>
      </w:tblGrid>
      <w:tr w:rsidR="008B2AC7" w:rsidRPr="00991485" w14:paraId="39FCFD22" w14:textId="77777777" w:rsidTr="008B649C">
        <w:trPr>
          <w:cantSplit/>
          <w:tblHeader/>
        </w:trPr>
        <w:tc>
          <w:tcPr>
            <w:tcW w:w="648" w:type="pct"/>
            <w:vAlign w:val="center"/>
          </w:tcPr>
          <w:p w14:paraId="673F8903" w14:textId="77777777" w:rsidR="008B2AC7" w:rsidRPr="00B03131" w:rsidRDefault="008B2AC7" w:rsidP="00141BCC">
            <w:pPr>
              <w:pStyle w:val="In-tableHeading"/>
              <w:widowControl w:val="0"/>
              <w:rPr>
                <w:szCs w:val="20"/>
                <w:lang w:val="en-AU"/>
              </w:rPr>
            </w:pPr>
            <w:r w:rsidRPr="00B03131">
              <w:rPr>
                <w:szCs w:val="20"/>
                <w:lang w:val="en-AU"/>
              </w:rPr>
              <w:t>Component</w:t>
            </w:r>
          </w:p>
        </w:tc>
        <w:tc>
          <w:tcPr>
            <w:tcW w:w="2637" w:type="pct"/>
            <w:vAlign w:val="center"/>
          </w:tcPr>
          <w:p w14:paraId="0B781468" w14:textId="77777777" w:rsidR="008B2AC7" w:rsidRPr="00B03131" w:rsidRDefault="008B2AC7" w:rsidP="00141BCC">
            <w:pPr>
              <w:pStyle w:val="In-tableHeading"/>
              <w:widowControl w:val="0"/>
              <w:rPr>
                <w:szCs w:val="20"/>
                <w:lang w:val="en-AU"/>
              </w:rPr>
            </w:pPr>
            <w:r w:rsidRPr="00B03131">
              <w:rPr>
                <w:szCs w:val="20"/>
                <w:lang w:val="en-AU"/>
              </w:rPr>
              <w:t>Matter of concern</w:t>
            </w:r>
          </w:p>
        </w:tc>
        <w:tc>
          <w:tcPr>
            <w:tcW w:w="1714" w:type="pct"/>
            <w:vAlign w:val="center"/>
          </w:tcPr>
          <w:p w14:paraId="18B384DE" w14:textId="2EABF810" w:rsidR="008B2AC7" w:rsidRPr="00B03131" w:rsidRDefault="008B2AC7" w:rsidP="00141BCC">
            <w:pPr>
              <w:pStyle w:val="In-tableHeading"/>
              <w:widowControl w:val="0"/>
              <w:rPr>
                <w:szCs w:val="20"/>
                <w:lang w:val="en-AU"/>
              </w:rPr>
            </w:pPr>
            <w:r w:rsidRPr="00B03131">
              <w:rPr>
                <w:szCs w:val="20"/>
                <w:lang w:val="en-AU"/>
              </w:rPr>
              <w:t>How the resubmission addresse</w:t>
            </w:r>
            <w:r w:rsidR="002D0D06" w:rsidRPr="00B03131">
              <w:rPr>
                <w:szCs w:val="20"/>
                <w:lang w:val="en-AU"/>
              </w:rPr>
              <w:t>d</w:t>
            </w:r>
            <w:r w:rsidRPr="00B03131">
              <w:rPr>
                <w:szCs w:val="20"/>
                <w:lang w:val="en-AU"/>
              </w:rPr>
              <w:t xml:space="preserve"> it</w:t>
            </w:r>
          </w:p>
        </w:tc>
      </w:tr>
      <w:tr w:rsidR="008B2AC7" w:rsidRPr="00991485" w14:paraId="1A576265" w14:textId="77777777" w:rsidTr="008B649C">
        <w:trPr>
          <w:cantSplit/>
        </w:trPr>
        <w:tc>
          <w:tcPr>
            <w:tcW w:w="648" w:type="pct"/>
            <w:vMerge w:val="restart"/>
            <w:vAlign w:val="center"/>
          </w:tcPr>
          <w:p w14:paraId="3987DBF1" w14:textId="77777777" w:rsidR="008B2AC7" w:rsidRPr="00B03131" w:rsidRDefault="008B2AC7" w:rsidP="00141BCC">
            <w:pPr>
              <w:pStyle w:val="TableText0"/>
              <w:widowControl w:val="0"/>
              <w:rPr>
                <w:szCs w:val="20"/>
              </w:rPr>
            </w:pPr>
            <w:r w:rsidRPr="00B03131">
              <w:rPr>
                <w:szCs w:val="20"/>
              </w:rPr>
              <w:t>Clinical place in therapy</w:t>
            </w:r>
          </w:p>
        </w:tc>
        <w:tc>
          <w:tcPr>
            <w:tcW w:w="2637" w:type="pct"/>
          </w:tcPr>
          <w:p w14:paraId="6B5BE94F" w14:textId="2729489F" w:rsidR="008B2AC7" w:rsidRPr="00B03131" w:rsidRDefault="008B2AC7" w:rsidP="00CA022C">
            <w:pPr>
              <w:pStyle w:val="TableText0"/>
              <w:widowControl w:val="0"/>
              <w:numPr>
                <w:ilvl w:val="1"/>
                <w:numId w:val="32"/>
              </w:numPr>
              <w:ind w:left="280" w:hanging="280"/>
              <w:rPr>
                <w:rFonts w:eastAsia="Times New Roman" w:cs="Arial"/>
                <w:bCs w:val="0"/>
                <w:snapToGrid w:val="0"/>
                <w:szCs w:val="20"/>
              </w:rPr>
            </w:pPr>
            <w:r w:rsidRPr="00B03131">
              <w:rPr>
                <w:rFonts w:eastAsia="Times New Roman" w:cs="Arial"/>
                <w:bCs w:val="0"/>
                <w:snapToGrid w:val="0"/>
                <w:szCs w:val="20"/>
              </w:rPr>
              <w:t xml:space="preserve">The PBAC considered that ACA monotherapy would be used in most patients unsuitable for treatment with a purine analogue given the additional toxicity of combination therapy together with the general frailty of the patient population (paragraph 7.3, </w:t>
            </w:r>
            <w:r w:rsidR="00817915" w:rsidRPr="00B03131">
              <w:rPr>
                <w:rFonts w:eastAsia="Times New Roman" w:cs="Arial"/>
                <w:bCs w:val="0"/>
                <w:snapToGrid w:val="0"/>
                <w:szCs w:val="20"/>
              </w:rPr>
              <w:t>ACA</w:t>
            </w:r>
            <w:r w:rsidR="00E45814" w:rsidRPr="00B03131">
              <w:rPr>
                <w:rFonts w:eastAsia="Times New Roman" w:cs="Arial"/>
                <w:bCs w:val="0"/>
                <w:snapToGrid w:val="0"/>
                <w:szCs w:val="20"/>
              </w:rPr>
              <w:t>,</w:t>
            </w:r>
            <w:r w:rsidRPr="00B03131">
              <w:rPr>
                <w:rFonts w:eastAsia="Times New Roman" w:cs="Arial"/>
                <w:bCs w:val="0"/>
                <w:snapToGrid w:val="0"/>
                <w:szCs w:val="20"/>
              </w:rPr>
              <w:t xml:space="preserve"> PSD</w:t>
            </w:r>
            <w:r w:rsidR="00B15E3F" w:rsidRPr="00B03131">
              <w:rPr>
                <w:rFonts w:eastAsia="Times New Roman" w:cs="Arial"/>
                <w:bCs w:val="0"/>
                <w:snapToGrid w:val="0"/>
                <w:szCs w:val="20"/>
              </w:rPr>
              <w:t xml:space="preserve">, </w:t>
            </w:r>
            <w:r w:rsidRPr="00B03131">
              <w:rPr>
                <w:rFonts w:eastAsia="Times New Roman" w:cs="Arial"/>
                <w:bCs w:val="0"/>
                <w:snapToGrid w:val="0"/>
                <w:szCs w:val="20"/>
              </w:rPr>
              <w:t xml:space="preserve">July 2020 </w:t>
            </w:r>
            <w:r w:rsidR="00B15E3F" w:rsidRPr="00B03131">
              <w:rPr>
                <w:rFonts w:eastAsia="Times New Roman" w:cs="Arial"/>
                <w:bCs w:val="0"/>
                <w:snapToGrid w:val="0"/>
                <w:szCs w:val="20"/>
              </w:rPr>
              <w:t>PBAC meeting</w:t>
            </w:r>
            <w:r w:rsidRPr="00B03131">
              <w:rPr>
                <w:rFonts w:eastAsia="Times New Roman" w:cs="Arial"/>
                <w:bCs w:val="0"/>
                <w:snapToGrid w:val="0"/>
                <w:szCs w:val="20"/>
              </w:rPr>
              <w:t>).</w:t>
            </w:r>
          </w:p>
          <w:p w14:paraId="2C0D772E" w14:textId="62BC45AE" w:rsidR="001A5798" w:rsidRPr="00B03131" w:rsidRDefault="001A5798" w:rsidP="00CA022C">
            <w:pPr>
              <w:pStyle w:val="TableText0"/>
              <w:widowControl w:val="0"/>
              <w:numPr>
                <w:ilvl w:val="1"/>
                <w:numId w:val="32"/>
              </w:numPr>
              <w:ind w:left="280" w:hanging="280"/>
              <w:rPr>
                <w:rFonts w:eastAsia="Times New Roman" w:cs="Arial"/>
                <w:bCs w:val="0"/>
                <w:snapToGrid w:val="0"/>
                <w:szCs w:val="20"/>
              </w:rPr>
            </w:pPr>
            <w:r w:rsidRPr="00B03131">
              <w:rPr>
                <w:rFonts w:eastAsia="Times New Roman" w:cs="Arial"/>
                <w:bCs w:val="0"/>
                <w:snapToGrid w:val="0"/>
                <w:szCs w:val="20"/>
              </w:rPr>
              <w:t xml:space="preserve">The PBAC, at its December 2022 intracycle meeting, considered that it would be clinically appropriate to enable access to ACA monotherapy given it may be preferred by some patients due to lower toxicity compared to ACA+OBIN and given it is an oral treatment that does not require hospitalisation (paragraph 7.5, ACA, </w:t>
            </w:r>
            <w:r w:rsidR="00817915" w:rsidRPr="00B03131">
              <w:rPr>
                <w:szCs w:val="20"/>
              </w:rPr>
              <w:t>PSD</w:t>
            </w:r>
            <w:r w:rsidRPr="00B03131">
              <w:rPr>
                <w:rFonts w:eastAsia="Times New Roman" w:cs="Arial"/>
                <w:bCs w:val="0"/>
                <w:snapToGrid w:val="0"/>
                <w:szCs w:val="20"/>
              </w:rPr>
              <w:t>, December 2022 PBAC intracycle meeting).</w:t>
            </w:r>
          </w:p>
        </w:tc>
        <w:tc>
          <w:tcPr>
            <w:tcW w:w="1714" w:type="pct"/>
          </w:tcPr>
          <w:p w14:paraId="1BA1F641" w14:textId="77777777" w:rsidR="008B2AC7" w:rsidRPr="00B03131" w:rsidRDefault="008B2AC7" w:rsidP="00141BCC">
            <w:pPr>
              <w:pStyle w:val="TableText0"/>
              <w:widowControl w:val="0"/>
              <w:rPr>
                <w:rFonts w:eastAsia="Times New Roman" w:cs="Arial"/>
                <w:bCs w:val="0"/>
                <w:snapToGrid w:val="0"/>
                <w:szCs w:val="20"/>
              </w:rPr>
            </w:pPr>
            <w:r w:rsidRPr="00B03131">
              <w:rPr>
                <w:rFonts w:eastAsia="Times New Roman" w:cs="Arial"/>
                <w:bCs w:val="0"/>
                <w:snapToGrid w:val="0"/>
                <w:szCs w:val="20"/>
              </w:rPr>
              <w:t>Addressed.</w:t>
            </w:r>
          </w:p>
          <w:p w14:paraId="2F70ED96" w14:textId="2C10E293" w:rsidR="008B2AC7" w:rsidRPr="00B03131" w:rsidRDefault="008B2AC7" w:rsidP="00CA022C">
            <w:pPr>
              <w:pStyle w:val="TableBullet"/>
            </w:pPr>
            <w:r w:rsidRPr="00B03131">
              <w:t xml:space="preserve">Listing was </w:t>
            </w:r>
            <w:r w:rsidR="00BF7694" w:rsidRPr="00B03131">
              <w:t xml:space="preserve">requested </w:t>
            </w:r>
            <w:r w:rsidRPr="00B03131">
              <w:t>for ACA monotherapy and ACA</w:t>
            </w:r>
            <w:r w:rsidR="001A5798" w:rsidRPr="00B03131">
              <w:t>+</w:t>
            </w:r>
            <w:r w:rsidRPr="00B03131">
              <w:t>OBIN</w:t>
            </w:r>
            <w:r w:rsidR="00F9418F" w:rsidRPr="00B03131">
              <w:t>.</w:t>
            </w:r>
          </w:p>
        </w:tc>
      </w:tr>
      <w:tr w:rsidR="008B2AC7" w:rsidRPr="00991485" w14:paraId="0F0A705C" w14:textId="77777777" w:rsidTr="008B649C">
        <w:trPr>
          <w:cantSplit/>
        </w:trPr>
        <w:tc>
          <w:tcPr>
            <w:tcW w:w="648" w:type="pct"/>
            <w:vMerge/>
            <w:vAlign w:val="center"/>
          </w:tcPr>
          <w:p w14:paraId="25667A6F" w14:textId="77777777" w:rsidR="008B2AC7" w:rsidRPr="00B03131" w:rsidRDefault="008B2AC7" w:rsidP="00141BCC">
            <w:pPr>
              <w:pStyle w:val="TableText0"/>
              <w:widowControl w:val="0"/>
              <w:rPr>
                <w:szCs w:val="20"/>
              </w:rPr>
            </w:pPr>
          </w:p>
        </w:tc>
        <w:tc>
          <w:tcPr>
            <w:tcW w:w="2637" w:type="pct"/>
          </w:tcPr>
          <w:p w14:paraId="6773C193" w14:textId="7A0AEC1D" w:rsidR="008B2AC7" w:rsidRPr="00B03131" w:rsidRDefault="005F6DD2" w:rsidP="00CA022C">
            <w:pPr>
              <w:pStyle w:val="TableText0"/>
              <w:widowControl w:val="0"/>
              <w:numPr>
                <w:ilvl w:val="1"/>
                <w:numId w:val="32"/>
              </w:numPr>
              <w:ind w:left="280" w:hanging="280"/>
              <w:rPr>
                <w:rFonts w:eastAsia="Times New Roman" w:cs="Arial"/>
                <w:bCs w:val="0"/>
                <w:snapToGrid w:val="0"/>
                <w:szCs w:val="20"/>
              </w:rPr>
            </w:pPr>
            <w:r w:rsidRPr="00B03131">
              <w:rPr>
                <w:rFonts w:eastAsia="Times New Roman" w:cs="Arial"/>
                <w:bCs w:val="0"/>
                <w:snapToGrid w:val="0"/>
                <w:szCs w:val="20"/>
              </w:rPr>
              <w:t xml:space="preserve">The PBAC considered that the existing VTX+OBIN restriction for </w:t>
            </w:r>
            <w:proofErr w:type="gramStart"/>
            <w:r w:rsidRPr="00B03131">
              <w:rPr>
                <w:rFonts w:eastAsia="Times New Roman" w:cs="Arial"/>
                <w:bCs w:val="0"/>
                <w:snapToGrid w:val="0"/>
                <w:szCs w:val="20"/>
              </w:rPr>
              <w:t>first-line</w:t>
            </w:r>
            <w:proofErr w:type="gramEnd"/>
            <w:r w:rsidRPr="00B03131">
              <w:rPr>
                <w:rFonts w:eastAsia="Times New Roman" w:cs="Arial"/>
                <w:bCs w:val="0"/>
                <w:snapToGrid w:val="0"/>
                <w:szCs w:val="20"/>
              </w:rPr>
              <w:t xml:space="preserve"> CLL/SLL should remove the criterion that patients be ‘inappropriate for fludarabine-based chemoimmunotherapy’. This criterion should also not be included for ACA+OBIN (paragraph 7.3, ACA, </w:t>
            </w:r>
            <w:r w:rsidR="00250D4C" w:rsidRPr="00B03131">
              <w:rPr>
                <w:rFonts w:eastAsia="Times New Roman" w:cs="Arial"/>
                <w:bCs w:val="0"/>
                <w:snapToGrid w:val="0"/>
                <w:szCs w:val="20"/>
              </w:rPr>
              <w:t>PSD</w:t>
            </w:r>
            <w:r w:rsidRPr="00B03131">
              <w:rPr>
                <w:rFonts w:eastAsia="Times New Roman" w:cs="Arial"/>
                <w:bCs w:val="0"/>
                <w:snapToGrid w:val="0"/>
                <w:szCs w:val="20"/>
              </w:rPr>
              <w:t>, December 2022 PBAC intracycle meeting).</w:t>
            </w:r>
          </w:p>
        </w:tc>
        <w:tc>
          <w:tcPr>
            <w:tcW w:w="1714" w:type="pct"/>
          </w:tcPr>
          <w:p w14:paraId="5ED608A8" w14:textId="77777777" w:rsidR="008B2AC7" w:rsidRPr="00B03131" w:rsidRDefault="008B2AC7" w:rsidP="00141BCC">
            <w:pPr>
              <w:pStyle w:val="TableText0"/>
              <w:widowControl w:val="0"/>
              <w:rPr>
                <w:rFonts w:eastAsia="Times New Roman" w:cs="Arial"/>
                <w:bCs w:val="0"/>
                <w:snapToGrid w:val="0"/>
                <w:szCs w:val="20"/>
              </w:rPr>
            </w:pPr>
            <w:r w:rsidRPr="00B03131">
              <w:rPr>
                <w:rFonts w:eastAsia="Times New Roman" w:cs="Arial"/>
                <w:bCs w:val="0"/>
                <w:snapToGrid w:val="0"/>
                <w:szCs w:val="20"/>
              </w:rPr>
              <w:t>Addressed.</w:t>
            </w:r>
          </w:p>
          <w:p w14:paraId="5416F038" w14:textId="3D5DD005" w:rsidR="008B2AC7" w:rsidRPr="00B03131" w:rsidRDefault="008B2AC7" w:rsidP="00CA022C">
            <w:pPr>
              <w:pStyle w:val="TableBullet"/>
            </w:pPr>
            <w:r w:rsidRPr="00CA022C">
              <w:rPr>
                <w:rStyle w:val="TableBulletChar"/>
              </w:rPr>
              <w:t xml:space="preserve">The resubmission proposed to </w:t>
            </w:r>
            <w:r w:rsidR="007D2F3B" w:rsidRPr="00CA022C">
              <w:rPr>
                <w:rStyle w:val="TableBulletChar"/>
              </w:rPr>
              <w:t xml:space="preserve">remove </w:t>
            </w:r>
            <w:r w:rsidRPr="00CA022C">
              <w:rPr>
                <w:rStyle w:val="TableBulletChar"/>
              </w:rPr>
              <w:t>the</w:t>
            </w:r>
            <w:r w:rsidR="00846CA0" w:rsidRPr="00CA022C">
              <w:rPr>
                <w:rStyle w:val="TableBulletChar"/>
              </w:rPr>
              <w:t xml:space="preserve"> criterion </w:t>
            </w:r>
            <w:r w:rsidRPr="00CA022C">
              <w:rPr>
                <w:rStyle w:val="TableBulletChar"/>
              </w:rPr>
              <w:t xml:space="preserve">‘inappropriate for fludarabine-based chemoimmunotherapy’ </w:t>
            </w:r>
            <w:r w:rsidR="00846CA0" w:rsidRPr="00CA022C">
              <w:rPr>
                <w:rStyle w:val="TableBulletChar"/>
              </w:rPr>
              <w:t xml:space="preserve">from the restriction, </w:t>
            </w:r>
            <w:r w:rsidRPr="00CA022C">
              <w:rPr>
                <w:rStyle w:val="TableBulletChar"/>
              </w:rPr>
              <w:t>based on PBAC advi</w:t>
            </w:r>
            <w:r w:rsidR="00F203B7" w:rsidRPr="00CA022C">
              <w:rPr>
                <w:rStyle w:val="TableBulletChar"/>
              </w:rPr>
              <w:t>c</w:t>
            </w:r>
            <w:r w:rsidRPr="00CA022C">
              <w:rPr>
                <w:rStyle w:val="TableBulletChar"/>
              </w:rPr>
              <w:t>e</w:t>
            </w:r>
            <w:r w:rsidRPr="00CA022C">
              <w:t>.</w:t>
            </w:r>
          </w:p>
        </w:tc>
      </w:tr>
      <w:tr w:rsidR="008B2AC7" w:rsidRPr="00991485" w14:paraId="705E9F4E" w14:textId="77777777" w:rsidTr="00CA022C">
        <w:trPr>
          <w:cantSplit/>
          <w:trHeight w:val="3458"/>
        </w:trPr>
        <w:tc>
          <w:tcPr>
            <w:tcW w:w="648" w:type="pct"/>
            <w:vAlign w:val="center"/>
          </w:tcPr>
          <w:p w14:paraId="1E852EFF" w14:textId="77777777" w:rsidR="008B2AC7" w:rsidRPr="00B03131" w:rsidRDefault="008B2AC7" w:rsidP="00141BCC">
            <w:pPr>
              <w:pStyle w:val="TableText0"/>
              <w:widowControl w:val="0"/>
              <w:rPr>
                <w:szCs w:val="20"/>
              </w:rPr>
            </w:pPr>
            <w:r w:rsidRPr="00B03131">
              <w:rPr>
                <w:szCs w:val="20"/>
              </w:rPr>
              <w:t>Clinical effectiveness</w:t>
            </w:r>
          </w:p>
        </w:tc>
        <w:tc>
          <w:tcPr>
            <w:tcW w:w="2637" w:type="pct"/>
          </w:tcPr>
          <w:p w14:paraId="7668C19A" w14:textId="764AF665" w:rsidR="008B2AC7" w:rsidRPr="00991485" w:rsidRDefault="008B2AC7" w:rsidP="00CA022C">
            <w:pPr>
              <w:pStyle w:val="TableBullet"/>
            </w:pPr>
            <w:r w:rsidRPr="00991485">
              <w:t>The claim of superior effectiveness o</w:t>
            </w:r>
            <w:r w:rsidR="007D2F3B" w:rsidRPr="00991485">
              <w:t>r</w:t>
            </w:r>
            <w:r w:rsidRPr="00991485">
              <w:t xml:space="preserve"> safety of ACA+OBIN vs VTX+OBIN was not supported due to differences in patient populations between the trials which did not appear to be adequately accounted for in the MAIC (paragraph 7.1, ACA, </w:t>
            </w:r>
            <w:r w:rsidR="00373955" w:rsidRPr="00991485">
              <w:t>PSD</w:t>
            </w:r>
            <w:r w:rsidRPr="00991485">
              <w:t>, December 2022 PBAC intracycle meeting).</w:t>
            </w:r>
          </w:p>
          <w:p w14:paraId="2BD83066" w14:textId="227B4610" w:rsidR="008B2AC7" w:rsidRPr="00B03131" w:rsidRDefault="008B2AC7" w:rsidP="00CA022C">
            <w:pPr>
              <w:pStyle w:val="TableBullet"/>
            </w:pPr>
            <w:r w:rsidRPr="00B03131">
              <w:t xml:space="preserve">A claim of non-inferiority </w:t>
            </w:r>
            <w:r w:rsidR="004B244B" w:rsidRPr="00B03131">
              <w:t>w</w:t>
            </w:r>
            <w:r w:rsidRPr="00B03131">
              <w:t>ould be more appropriate (paragraph 7.</w:t>
            </w:r>
            <w:r w:rsidR="004B244B" w:rsidRPr="00B03131">
              <w:t>9</w:t>
            </w:r>
            <w:r w:rsidRPr="00B03131">
              <w:t xml:space="preserve">, ACA, </w:t>
            </w:r>
            <w:r w:rsidR="00920319" w:rsidRPr="00B03131">
              <w:t>PSD</w:t>
            </w:r>
            <w:r w:rsidRPr="00B03131">
              <w:t>, December 2022 PBAC intracycle meeting).</w:t>
            </w:r>
          </w:p>
        </w:tc>
        <w:tc>
          <w:tcPr>
            <w:tcW w:w="1714" w:type="pct"/>
          </w:tcPr>
          <w:p w14:paraId="21C15F8A" w14:textId="713AE3A9" w:rsidR="009A6734" w:rsidRPr="00B03131" w:rsidRDefault="008B649C" w:rsidP="004F7AD3">
            <w:pPr>
              <w:pStyle w:val="TableText0"/>
              <w:widowControl w:val="0"/>
              <w:rPr>
                <w:rFonts w:eastAsia="Times New Roman" w:cs="Arial"/>
                <w:bCs w:val="0"/>
                <w:snapToGrid w:val="0"/>
                <w:szCs w:val="20"/>
              </w:rPr>
            </w:pPr>
            <w:r w:rsidRPr="00B03131">
              <w:rPr>
                <w:rFonts w:eastAsia="Times New Roman" w:cs="Arial"/>
                <w:bCs w:val="0"/>
                <w:snapToGrid w:val="0"/>
                <w:szCs w:val="20"/>
              </w:rPr>
              <w:t>The resubmission made a</w:t>
            </w:r>
            <w:r w:rsidR="009A6734" w:rsidRPr="00B03131">
              <w:rPr>
                <w:rFonts w:eastAsia="Times New Roman" w:cs="Arial"/>
                <w:bCs w:val="0"/>
                <w:snapToGrid w:val="0"/>
                <w:szCs w:val="20"/>
              </w:rPr>
              <w:t xml:space="preserve"> claim of non-inferiority for effectiveness and superiority </w:t>
            </w:r>
            <w:r w:rsidR="00D11EF2" w:rsidRPr="00B03131">
              <w:rPr>
                <w:rFonts w:eastAsia="Times New Roman" w:cs="Arial"/>
                <w:bCs w:val="0"/>
                <w:snapToGrid w:val="0"/>
                <w:szCs w:val="20"/>
              </w:rPr>
              <w:t>for</w:t>
            </w:r>
            <w:r w:rsidR="009A6734" w:rsidRPr="00B03131">
              <w:rPr>
                <w:rFonts w:eastAsia="Times New Roman" w:cs="Arial"/>
                <w:bCs w:val="0"/>
                <w:snapToGrid w:val="0"/>
                <w:szCs w:val="20"/>
              </w:rPr>
              <w:t xml:space="preserve"> safety.</w:t>
            </w:r>
            <w:r w:rsidRPr="00B03131">
              <w:rPr>
                <w:snapToGrid w:val="0"/>
                <w:szCs w:val="20"/>
              </w:rPr>
              <w:t xml:space="preserve"> The pre-PBAC response stated the sponsor pragmatically accepted a clinical claim of non-inferiority.</w:t>
            </w:r>
          </w:p>
          <w:p w14:paraId="1FC591D9" w14:textId="34DB719C" w:rsidR="008B2AC7" w:rsidRPr="00B03131" w:rsidRDefault="008B2AC7" w:rsidP="00141BCC">
            <w:pPr>
              <w:pStyle w:val="TableText0"/>
              <w:widowControl w:val="0"/>
              <w:rPr>
                <w:rFonts w:eastAsia="Times New Roman" w:cs="Arial"/>
                <w:bCs w:val="0"/>
                <w:snapToGrid w:val="0"/>
                <w:szCs w:val="20"/>
              </w:rPr>
            </w:pPr>
          </w:p>
          <w:p w14:paraId="04022018" w14:textId="4536B05F" w:rsidR="009A6734" w:rsidRPr="00B03131" w:rsidRDefault="009A6734" w:rsidP="00141BCC">
            <w:pPr>
              <w:pStyle w:val="TableText0"/>
              <w:widowControl w:val="0"/>
              <w:rPr>
                <w:rFonts w:eastAsia="Times New Roman" w:cs="Arial"/>
                <w:bCs w:val="0"/>
                <w:snapToGrid w:val="0"/>
                <w:szCs w:val="20"/>
              </w:rPr>
            </w:pPr>
            <w:r w:rsidRPr="00B03131">
              <w:rPr>
                <w:rFonts w:eastAsia="Times New Roman" w:cs="Arial"/>
                <w:bCs w:val="0"/>
                <w:snapToGrid w:val="0"/>
                <w:szCs w:val="20"/>
              </w:rPr>
              <w:t>For the MAIC:</w:t>
            </w:r>
          </w:p>
          <w:p w14:paraId="7978EEAC" w14:textId="77777777" w:rsidR="008B2AC7" w:rsidRPr="00B03131" w:rsidRDefault="008B2AC7" w:rsidP="00CA022C">
            <w:pPr>
              <w:pStyle w:val="TableBullet"/>
            </w:pPr>
            <w:r w:rsidRPr="00B03131">
              <w:t>Baseline characteristics before and after matching were not available.</w:t>
            </w:r>
          </w:p>
          <w:p w14:paraId="2F692935" w14:textId="1A3B8079" w:rsidR="00846CA0" w:rsidRPr="00B03131" w:rsidRDefault="008B2AC7" w:rsidP="00CA022C">
            <w:pPr>
              <w:pStyle w:val="TableBullet"/>
            </w:pPr>
            <w:r w:rsidRPr="00B03131">
              <w:t>The resubmission did not address the request made by the PBAC that the MAIC should adjust for all effect modifiers and prognostic variables to predict outcomes reliably.</w:t>
            </w:r>
          </w:p>
        </w:tc>
      </w:tr>
      <w:tr w:rsidR="001A5798" w:rsidRPr="00991485" w14:paraId="5A5163B0" w14:textId="77777777" w:rsidTr="008B649C">
        <w:trPr>
          <w:cantSplit/>
        </w:trPr>
        <w:tc>
          <w:tcPr>
            <w:tcW w:w="648" w:type="pct"/>
            <w:vAlign w:val="center"/>
          </w:tcPr>
          <w:p w14:paraId="1B362DE7" w14:textId="7E2BC34C" w:rsidR="001A5798" w:rsidRPr="00B03131" w:rsidRDefault="002F0445" w:rsidP="00141BCC">
            <w:pPr>
              <w:pStyle w:val="TableText0"/>
              <w:widowControl w:val="0"/>
              <w:rPr>
                <w:szCs w:val="20"/>
              </w:rPr>
            </w:pPr>
            <w:r w:rsidRPr="00B03131">
              <w:rPr>
                <w:szCs w:val="20"/>
              </w:rPr>
              <w:t>Economic evaluation</w:t>
            </w:r>
          </w:p>
        </w:tc>
        <w:tc>
          <w:tcPr>
            <w:tcW w:w="2637" w:type="pct"/>
          </w:tcPr>
          <w:p w14:paraId="088BA8AD" w14:textId="779D686B" w:rsidR="001A5798" w:rsidRPr="00B03131" w:rsidRDefault="00E13F36" w:rsidP="00CA022C">
            <w:pPr>
              <w:pStyle w:val="TableText0"/>
              <w:widowControl w:val="0"/>
              <w:numPr>
                <w:ilvl w:val="1"/>
                <w:numId w:val="32"/>
              </w:numPr>
              <w:ind w:left="280" w:hanging="280"/>
              <w:rPr>
                <w:rFonts w:eastAsia="Times New Roman" w:cs="Arial"/>
                <w:bCs w:val="0"/>
                <w:snapToGrid w:val="0"/>
                <w:szCs w:val="20"/>
              </w:rPr>
            </w:pPr>
            <w:r w:rsidRPr="00B03131">
              <w:rPr>
                <w:rFonts w:eastAsia="Times New Roman" w:cs="Arial"/>
                <w:bCs w:val="0"/>
                <w:snapToGrid w:val="0"/>
                <w:szCs w:val="20"/>
              </w:rPr>
              <w:t>T</w:t>
            </w:r>
            <w:r w:rsidR="00840C8A" w:rsidRPr="00B03131">
              <w:rPr>
                <w:rFonts w:eastAsia="Times New Roman" w:cs="Arial"/>
                <w:bCs w:val="0"/>
                <w:snapToGrid w:val="0"/>
                <w:szCs w:val="20"/>
              </w:rPr>
              <w:t xml:space="preserve">he PBAC </w:t>
            </w:r>
            <w:r w:rsidR="005E2056" w:rsidRPr="00B03131">
              <w:rPr>
                <w:rFonts w:eastAsia="Times New Roman" w:cs="Arial"/>
                <w:bCs w:val="0"/>
                <w:snapToGrid w:val="0"/>
                <w:szCs w:val="20"/>
              </w:rPr>
              <w:t>suggested</w:t>
            </w:r>
            <w:r w:rsidR="00840C8A" w:rsidRPr="00B03131">
              <w:rPr>
                <w:rFonts w:eastAsia="Times New Roman" w:cs="Arial"/>
                <w:bCs w:val="0"/>
                <w:snapToGrid w:val="0"/>
                <w:szCs w:val="20"/>
              </w:rPr>
              <w:t xml:space="preserve"> that “</w:t>
            </w:r>
            <w:r w:rsidR="005E2056" w:rsidRPr="00B03131">
              <w:rPr>
                <w:rFonts w:eastAsia="Times New Roman" w:cs="Arial"/>
                <w:bCs w:val="0"/>
                <w:snapToGrid w:val="0"/>
                <w:szCs w:val="20"/>
              </w:rPr>
              <w:t>a</w:t>
            </w:r>
            <w:r w:rsidR="00840C8A" w:rsidRPr="00B03131">
              <w:rPr>
                <w:rFonts w:eastAsia="Times New Roman" w:cs="Arial"/>
                <w:bCs w:val="0"/>
                <w:snapToGrid w:val="0"/>
                <w:szCs w:val="20"/>
              </w:rPr>
              <w:t xml:space="preserve"> cost-minimisation approach would be more appropriate, rather than the cost utility analysis submitted” (paragraph 7.1</w:t>
            </w:r>
            <w:r w:rsidR="00771172" w:rsidRPr="00B03131">
              <w:rPr>
                <w:rFonts w:eastAsia="Times New Roman" w:cs="Arial"/>
                <w:bCs w:val="0"/>
                <w:snapToGrid w:val="0"/>
                <w:szCs w:val="20"/>
              </w:rPr>
              <w:t>2</w:t>
            </w:r>
            <w:r w:rsidR="00840C8A" w:rsidRPr="00B03131">
              <w:rPr>
                <w:rFonts w:eastAsia="Times New Roman" w:cs="Arial"/>
                <w:bCs w:val="0"/>
                <w:snapToGrid w:val="0"/>
                <w:szCs w:val="20"/>
              </w:rPr>
              <w:t xml:space="preserve">, ACA, </w:t>
            </w:r>
            <w:r w:rsidR="007672FE" w:rsidRPr="00B03131">
              <w:rPr>
                <w:rFonts w:eastAsia="Times New Roman" w:cs="Arial"/>
                <w:bCs w:val="0"/>
                <w:snapToGrid w:val="0"/>
                <w:szCs w:val="20"/>
              </w:rPr>
              <w:t>PSD</w:t>
            </w:r>
            <w:r w:rsidR="00840C8A" w:rsidRPr="00B03131">
              <w:rPr>
                <w:rFonts w:eastAsia="Times New Roman" w:cs="Arial"/>
                <w:bCs w:val="0"/>
                <w:snapToGrid w:val="0"/>
                <w:szCs w:val="20"/>
              </w:rPr>
              <w:t>, December 2022 PBAC intracycle meeting)</w:t>
            </w:r>
            <w:r w:rsidR="00B51FDA" w:rsidRPr="00B03131">
              <w:rPr>
                <w:rFonts w:eastAsia="Times New Roman" w:cs="Arial"/>
                <w:bCs w:val="0"/>
                <w:snapToGrid w:val="0"/>
                <w:szCs w:val="20"/>
              </w:rPr>
              <w:t xml:space="preserve"> </w:t>
            </w:r>
            <w:r w:rsidR="00DC537F" w:rsidRPr="00B03131">
              <w:rPr>
                <w:rFonts w:eastAsia="Times New Roman" w:cs="Arial"/>
                <w:bCs w:val="0"/>
                <w:snapToGrid w:val="0"/>
                <w:szCs w:val="20"/>
              </w:rPr>
              <w:t>based on the clinical evidence</w:t>
            </w:r>
            <w:r w:rsidR="007672FE" w:rsidRPr="00B03131">
              <w:rPr>
                <w:rFonts w:eastAsia="Times New Roman" w:cs="Arial"/>
                <w:bCs w:val="0"/>
                <w:snapToGrid w:val="0"/>
                <w:szCs w:val="20"/>
              </w:rPr>
              <w:t>.</w:t>
            </w:r>
          </w:p>
        </w:tc>
        <w:tc>
          <w:tcPr>
            <w:tcW w:w="1714" w:type="pct"/>
          </w:tcPr>
          <w:p w14:paraId="2D622D80" w14:textId="0A6B3FF8" w:rsidR="001A5798" w:rsidRPr="00B03131" w:rsidRDefault="007600C0" w:rsidP="00141BCC">
            <w:pPr>
              <w:pStyle w:val="TableText0"/>
              <w:widowControl w:val="0"/>
              <w:rPr>
                <w:szCs w:val="20"/>
              </w:rPr>
            </w:pPr>
            <w:r w:rsidRPr="00B03131">
              <w:rPr>
                <w:szCs w:val="20"/>
              </w:rPr>
              <w:t>Addressed</w:t>
            </w:r>
            <w:r w:rsidR="00A83CC8" w:rsidRPr="00B03131">
              <w:rPr>
                <w:szCs w:val="20"/>
              </w:rPr>
              <w:t>.</w:t>
            </w:r>
          </w:p>
          <w:p w14:paraId="70D29956" w14:textId="7CEADFEE" w:rsidR="001A5798" w:rsidRPr="00B03131" w:rsidRDefault="00E53BFC" w:rsidP="00CA022C">
            <w:pPr>
              <w:pStyle w:val="TableBullet"/>
            </w:pPr>
            <w:r w:rsidRPr="00B03131">
              <w:t>A CMA was presented in the resubmission.</w:t>
            </w:r>
          </w:p>
        </w:tc>
      </w:tr>
    </w:tbl>
    <w:p w14:paraId="7912775B" w14:textId="53FF8C2B" w:rsidR="008B2AC7" w:rsidRPr="0019444B" w:rsidRDefault="008B2AC7" w:rsidP="008E12FD">
      <w:pPr>
        <w:pStyle w:val="FooterTableFigure"/>
        <w:widowControl w:val="0"/>
        <w:spacing w:after="0"/>
      </w:pPr>
      <w:r w:rsidRPr="0019444B">
        <w:t xml:space="preserve">Source: Table 1.5, pp.51-53 of the resubmission and Table 2, pp.3-5 of the PBAC </w:t>
      </w:r>
      <w:r w:rsidR="0040149D" w:rsidRPr="0019444B">
        <w:t>PSD</w:t>
      </w:r>
      <w:r w:rsidRPr="0019444B">
        <w:t>, December 2022 PBAC intracycle meeting</w:t>
      </w:r>
    </w:p>
    <w:p w14:paraId="14C4DD6A" w14:textId="2B20943F" w:rsidR="00A60B0E" w:rsidRDefault="008B2AC7" w:rsidP="00CA022C">
      <w:pPr>
        <w:widowControl w:val="0"/>
        <w:spacing w:after="120"/>
        <w:rPr>
          <w:rFonts w:ascii="Arial Narrow" w:hAnsi="Arial Narrow"/>
          <w:sz w:val="18"/>
          <w:szCs w:val="18"/>
        </w:rPr>
      </w:pPr>
      <w:r w:rsidRPr="0019444B">
        <w:rPr>
          <w:rFonts w:ascii="Arial Narrow" w:hAnsi="Arial Narrow"/>
          <w:sz w:val="18"/>
          <w:szCs w:val="18"/>
        </w:rPr>
        <w:t xml:space="preserve">ACA= </w:t>
      </w:r>
      <w:r w:rsidR="006D6DE6" w:rsidRPr="0019444B">
        <w:rPr>
          <w:rFonts w:ascii="Arial Narrow" w:hAnsi="Arial Narrow"/>
          <w:sz w:val="18"/>
          <w:szCs w:val="18"/>
        </w:rPr>
        <w:t>a</w:t>
      </w:r>
      <w:r w:rsidRPr="0019444B">
        <w:rPr>
          <w:rFonts w:ascii="Arial Narrow" w:hAnsi="Arial Narrow"/>
          <w:sz w:val="18"/>
          <w:szCs w:val="18"/>
        </w:rPr>
        <w:t xml:space="preserve">calabrutinib, </w:t>
      </w:r>
      <w:r w:rsidR="005C09FA" w:rsidRPr="0019444B">
        <w:rPr>
          <w:rFonts w:ascii="Arial Narrow" w:hAnsi="Arial Narrow"/>
          <w:sz w:val="18"/>
          <w:szCs w:val="18"/>
        </w:rPr>
        <w:t xml:space="preserve">CMA = cost minimisation approach, MAIC = matching adjusted indirect comparison, </w:t>
      </w:r>
      <w:r w:rsidRPr="0019444B">
        <w:rPr>
          <w:rFonts w:ascii="Arial Narrow" w:hAnsi="Arial Narrow"/>
          <w:sz w:val="18"/>
          <w:szCs w:val="18"/>
        </w:rPr>
        <w:t>OBIN</w:t>
      </w:r>
      <w:r w:rsidR="005C09FA" w:rsidRPr="0019444B">
        <w:rPr>
          <w:rFonts w:ascii="Arial Narrow" w:hAnsi="Arial Narrow"/>
          <w:sz w:val="18"/>
          <w:szCs w:val="18"/>
        </w:rPr>
        <w:t xml:space="preserve"> </w:t>
      </w:r>
      <w:r w:rsidRPr="0019444B">
        <w:rPr>
          <w:rFonts w:ascii="Arial Narrow" w:hAnsi="Arial Narrow"/>
          <w:sz w:val="18"/>
          <w:szCs w:val="18"/>
        </w:rPr>
        <w:t xml:space="preserve">= obinutuzumab, </w:t>
      </w:r>
      <w:r w:rsidR="005C09FA" w:rsidRPr="0019444B">
        <w:rPr>
          <w:rFonts w:ascii="Arial Narrow" w:hAnsi="Arial Narrow"/>
          <w:sz w:val="18"/>
          <w:szCs w:val="18"/>
        </w:rPr>
        <w:t xml:space="preserve">PSD = public summary document, </w:t>
      </w:r>
      <w:r w:rsidRPr="0019444B">
        <w:rPr>
          <w:rFonts w:ascii="Arial Narrow" w:hAnsi="Arial Narrow"/>
          <w:sz w:val="18"/>
          <w:szCs w:val="18"/>
        </w:rPr>
        <w:t>VTX= venetoclax</w:t>
      </w:r>
    </w:p>
    <w:p w14:paraId="4E21F652" w14:textId="011D623F" w:rsidR="004C08CD" w:rsidRPr="0019444B" w:rsidRDefault="00B50DB8" w:rsidP="008E12FD">
      <w:pPr>
        <w:pStyle w:val="2-SectionHeading"/>
        <w:widowControl w:val="0"/>
        <w:numPr>
          <w:ilvl w:val="0"/>
          <w:numId w:val="1"/>
        </w:numPr>
      </w:pPr>
      <w:bookmarkStart w:id="11" w:name="_Toc135225267"/>
      <w:r w:rsidRPr="0019444B">
        <w:t xml:space="preserve">Requested </w:t>
      </w:r>
      <w:proofErr w:type="gramStart"/>
      <w:r w:rsidR="00901360" w:rsidRPr="0019444B">
        <w:t>listing</w:t>
      </w:r>
      <w:bookmarkEnd w:id="11"/>
      <w:proofErr w:type="gramEnd"/>
    </w:p>
    <w:p w14:paraId="156849B9" w14:textId="5654CA21" w:rsidR="00CA022C" w:rsidRDefault="00B15780" w:rsidP="00CA022C">
      <w:pPr>
        <w:pStyle w:val="3-BodyText"/>
        <w:numPr>
          <w:ilvl w:val="1"/>
          <w:numId w:val="1"/>
        </w:numPr>
      </w:pPr>
      <w:r w:rsidRPr="0019444B">
        <w:t xml:space="preserve">The requested restriction is below. Changes to the restriction versus that considered at the December 2022 </w:t>
      </w:r>
      <w:r w:rsidR="00486FB5" w:rsidRPr="0019444B">
        <w:t xml:space="preserve">intracycle </w:t>
      </w:r>
      <w:r w:rsidRPr="0019444B">
        <w:t xml:space="preserve">PBAC </w:t>
      </w:r>
      <w:r w:rsidR="00A83454" w:rsidRPr="0019444B">
        <w:t xml:space="preserve">meeting </w:t>
      </w:r>
      <w:r w:rsidRPr="0019444B">
        <w:t>are noted with strikethrough.</w:t>
      </w:r>
    </w:p>
    <w:p w14:paraId="0DDB474E" w14:textId="77777777" w:rsidR="00CA022C" w:rsidRDefault="00CA022C">
      <w:pPr>
        <w:jc w:val="left"/>
        <w:rPr>
          <w:rFonts w:asciiTheme="minorHAnsi" w:eastAsiaTheme="minorHAnsi" w:hAnsiTheme="minorHAnsi" w:cstheme="minorBidi"/>
          <w:szCs w:val="22"/>
        </w:rPr>
      </w:pPr>
      <w:r>
        <w:br w:type="page"/>
      </w:r>
    </w:p>
    <w:p w14:paraId="31E26BF8" w14:textId="77777777" w:rsidR="000B068E" w:rsidRPr="0019444B" w:rsidRDefault="000B068E" w:rsidP="00CA022C">
      <w:pPr>
        <w:pStyle w:val="3-BodyText"/>
        <w:numPr>
          <w:ilvl w:val="0"/>
          <w:numId w:val="0"/>
        </w:numPr>
        <w:ind w:left="720" w:hanging="720"/>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1"/>
        <w:gridCol w:w="2298"/>
        <w:gridCol w:w="953"/>
        <w:gridCol w:w="953"/>
        <w:gridCol w:w="1222"/>
        <w:gridCol w:w="1729"/>
      </w:tblGrid>
      <w:tr w:rsidR="008B2AC7" w:rsidRPr="0019444B" w14:paraId="06FE7768" w14:textId="77777777" w:rsidTr="00E9683D">
        <w:trPr>
          <w:cantSplit/>
          <w:trHeight w:val="20"/>
        </w:trPr>
        <w:tc>
          <w:tcPr>
            <w:tcW w:w="1769" w:type="dxa"/>
            <w:vAlign w:val="center"/>
          </w:tcPr>
          <w:p w14:paraId="0A11787F" w14:textId="77777777" w:rsidR="008B2AC7" w:rsidRPr="0019444B" w:rsidRDefault="008B2AC7" w:rsidP="00CA022C">
            <w:pPr>
              <w:keepNext/>
              <w:keepLines/>
              <w:jc w:val="center"/>
              <w:rPr>
                <w:rFonts w:ascii="Arial Narrow" w:hAnsi="Arial Narrow"/>
                <w:b/>
                <w:sz w:val="20"/>
                <w:szCs w:val="20"/>
              </w:rPr>
            </w:pPr>
            <w:r w:rsidRPr="0019444B">
              <w:rPr>
                <w:rFonts w:ascii="Arial Narrow" w:hAnsi="Arial Narrow"/>
                <w:b/>
                <w:bCs/>
                <w:sz w:val="20"/>
                <w:szCs w:val="20"/>
              </w:rPr>
              <w:t>Medicinal product pack</w:t>
            </w:r>
          </w:p>
        </w:tc>
        <w:tc>
          <w:tcPr>
            <w:tcW w:w="2310" w:type="dxa"/>
            <w:vAlign w:val="center"/>
          </w:tcPr>
          <w:p w14:paraId="5B484932" w14:textId="77777777" w:rsidR="008B2AC7" w:rsidRPr="0019444B" w:rsidRDefault="008B2AC7" w:rsidP="00CA022C">
            <w:pPr>
              <w:keepNext/>
              <w:keepLines/>
              <w:jc w:val="center"/>
              <w:rPr>
                <w:rFonts w:ascii="Arial Narrow" w:hAnsi="Arial Narrow"/>
                <w:b/>
                <w:sz w:val="20"/>
                <w:szCs w:val="20"/>
              </w:rPr>
            </w:pPr>
            <w:r w:rsidRPr="0019444B">
              <w:rPr>
                <w:rFonts w:ascii="Arial Narrow" w:hAnsi="Arial Narrow"/>
                <w:b/>
                <w:sz w:val="20"/>
                <w:szCs w:val="20"/>
              </w:rPr>
              <w:t>Dispensed Price for Maximum Quantity (DPMQ)</w:t>
            </w:r>
          </w:p>
        </w:tc>
        <w:tc>
          <w:tcPr>
            <w:tcW w:w="957" w:type="dxa"/>
            <w:vAlign w:val="center"/>
          </w:tcPr>
          <w:p w14:paraId="7F2CF1AE" w14:textId="77777777" w:rsidR="008B2AC7" w:rsidRPr="0019444B" w:rsidRDefault="008B2AC7" w:rsidP="00CA022C">
            <w:pPr>
              <w:keepNext/>
              <w:keepLines/>
              <w:jc w:val="center"/>
              <w:rPr>
                <w:rFonts w:ascii="Arial Narrow" w:hAnsi="Arial Narrow"/>
                <w:b/>
                <w:sz w:val="20"/>
                <w:szCs w:val="20"/>
              </w:rPr>
            </w:pPr>
            <w:r w:rsidRPr="0019444B">
              <w:rPr>
                <w:rFonts w:ascii="Arial Narrow" w:hAnsi="Arial Narrow"/>
                <w:b/>
                <w:sz w:val="20"/>
                <w:szCs w:val="20"/>
              </w:rPr>
              <w:t>Max. qty packs</w:t>
            </w:r>
          </w:p>
        </w:tc>
        <w:tc>
          <w:tcPr>
            <w:tcW w:w="957" w:type="dxa"/>
            <w:vAlign w:val="center"/>
          </w:tcPr>
          <w:p w14:paraId="7A409D57" w14:textId="77777777" w:rsidR="008B2AC7" w:rsidRPr="0019444B" w:rsidRDefault="008B2AC7" w:rsidP="00CA022C">
            <w:pPr>
              <w:keepNext/>
              <w:keepLines/>
              <w:jc w:val="center"/>
              <w:rPr>
                <w:rFonts w:ascii="Arial Narrow" w:hAnsi="Arial Narrow"/>
                <w:b/>
                <w:sz w:val="20"/>
                <w:szCs w:val="20"/>
              </w:rPr>
            </w:pPr>
            <w:r w:rsidRPr="0019444B">
              <w:rPr>
                <w:rFonts w:ascii="Arial Narrow" w:hAnsi="Arial Narrow"/>
                <w:b/>
                <w:sz w:val="20"/>
                <w:szCs w:val="20"/>
              </w:rPr>
              <w:t>Max. qty units</w:t>
            </w:r>
          </w:p>
        </w:tc>
        <w:tc>
          <w:tcPr>
            <w:tcW w:w="1228" w:type="dxa"/>
            <w:vAlign w:val="center"/>
          </w:tcPr>
          <w:p w14:paraId="1BE0F9A2" w14:textId="77777777" w:rsidR="008B2AC7" w:rsidRPr="0019444B" w:rsidRDefault="008B2AC7" w:rsidP="00CA022C">
            <w:pPr>
              <w:keepNext/>
              <w:keepLines/>
              <w:jc w:val="center"/>
              <w:rPr>
                <w:rFonts w:ascii="Arial Narrow" w:hAnsi="Arial Narrow"/>
                <w:b/>
                <w:sz w:val="20"/>
                <w:szCs w:val="20"/>
              </w:rPr>
            </w:pPr>
            <w:r w:rsidRPr="0019444B">
              <w:rPr>
                <w:rFonts w:ascii="Arial Narrow" w:hAnsi="Arial Narrow"/>
                <w:b/>
                <w:sz w:val="20"/>
                <w:szCs w:val="20"/>
              </w:rPr>
              <w:t>№. of</w:t>
            </w:r>
          </w:p>
          <w:p w14:paraId="20D58C67" w14:textId="77777777" w:rsidR="008B2AC7" w:rsidRPr="0019444B" w:rsidRDefault="008B2AC7" w:rsidP="00CA022C">
            <w:pPr>
              <w:keepNext/>
              <w:keepLines/>
              <w:jc w:val="center"/>
              <w:rPr>
                <w:rFonts w:ascii="Arial Narrow" w:hAnsi="Arial Narrow"/>
                <w:b/>
                <w:sz w:val="20"/>
                <w:szCs w:val="20"/>
              </w:rPr>
            </w:pPr>
            <w:r w:rsidRPr="0019444B">
              <w:rPr>
                <w:rFonts w:ascii="Arial Narrow" w:hAnsi="Arial Narrow"/>
                <w:b/>
                <w:sz w:val="20"/>
                <w:szCs w:val="20"/>
              </w:rPr>
              <w:t>Rpts</w:t>
            </w:r>
          </w:p>
        </w:tc>
        <w:tc>
          <w:tcPr>
            <w:tcW w:w="1738" w:type="dxa"/>
            <w:vAlign w:val="center"/>
          </w:tcPr>
          <w:p w14:paraId="3B780902" w14:textId="77777777" w:rsidR="008B2AC7" w:rsidRPr="0019444B" w:rsidRDefault="008B2AC7" w:rsidP="00CA022C">
            <w:pPr>
              <w:keepNext/>
              <w:keepLines/>
              <w:jc w:val="center"/>
              <w:rPr>
                <w:rFonts w:ascii="Arial Narrow" w:hAnsi="Arial Narrow"/>
                <w:b/>
                <w:sz w:val="20"/>
                <w:szCs w:val="20"/>
              </w:rPr>
            </w:pPr>
            <w:r w:rsidRPr="0019444B">
              <w:rPr>
                <w:rFonts w:ascii="Arial Narrow" w:hAnsi="Arial Narrow"/>
                <w:b/>
                <w:sz w:val="20"/>
                <w:szCs w:val="20"/>
              </w:rPr>
              <w:t>Available brands</w:t>
            </w:r>
          </w:p>
        </w:tc>
      </w:tr>
      <w:tr w:rsidR="008B2AC7" w:rsidRPr="0019444B" w14:paraId="4EA56972" w14:textId="77777777" w:rsidTr="00E9683D">
        <w:trPr>
          <w:cantSplit/>
          <w:trHeight w:val="70"/>
        </w:trPr>
        <w:tc>
          <w:tcPr>
            <w:tcW w:w="8959" w:type="dxa"/>
            <w:gridSpan w:val="6"/>
            <w:vAlign w:val="center"/>
          </w:tcPr>
          <w:p w14:paraId="6B3796E9" w14:textId="77777777" w:rsidR="008B2AC7" w:rsidRPr="0019444B" w:rsidRDefault="008B2AC7" w:rsidP="00CA022C">
            <w:pPr>
              <w:rPr>
                <w:rFonts w:ascii="Arial Narrow" w:hAnsi="Arial Narrow"/>
                <w:bCs/>
                <w:sz w:val="20"/>
                <w:szCs w:val="20"/>
              </w:rPr>
            </w:pPr>
            <w:r w:rsidRPr="0019444B">
              <w:rPr>
                <w:rFonts w:ascii="Arial Narrow" w:hAnsi="Arial Narrow"/>
                <w:bCs/>
                <w:sz w:val="20"/>
                <w:szCs w:val="20"/>
              </w:rPr>
              <w:t xml:space="preserve">ACALABRUTINIB </w:t>
            </w:r>
          </w:p>
        </w:tc>
      </w:tr>
      <w:tr w:rsidR="008B2AC7" w:rsidRPr="0019444B" w14:paraId="64F0B2BB" w14:textId="77777777" w:rsidTr="00E9683D">
        <w:trPr>
          <w:cantSplit/>
          <w:trHeight w:val="20"/>
        </w:trPr>
        <w:tc>
          <w:tcPr>
            <w:tcW w:w="1769" w:type="dxa"/>
            <w:vAlign w:val="center"/>
          </w:tcPr>
          <w:p w14:paraId="3ACB1D8B" w14:textId="77777777" w:rsidR="008B2AC7" w:rsidRPr="0019444B" w:rsidRDefault="008B2AC7" w:rsidP="00CA022C">
            <w:pPr>
              <w:rPr>
                <w:rFonts w:ascii="Arial Narrow" w:hAnsi="Arial Narrow"/>
                <w:bCs/>
                <w:sz w:val="20"/>
                <w:szCs w:val="20"/>
              </w:rPr>
            </w:pPr>
            <w:r w:rsidRPr="0019444B">
              <w:rPr>
                <w:rFonts w:ascii="Arial Narrow" w:hAnsi="Arial Narrow"/>
                <w:bCs/>
                <w:sz w:val="20"/>
                <w:szCs w:val="20"/>
              </w:rPr>
              <w:t xml:space="preserve">Acalabrutinib </w:t>
            </w:r>
          </w:p>
          <w:p w14:paraId="1D394340" w14:textId="77777777" w:rsidR="008B2AC7" w:rsidRPr="0019444B" w:rsidRDefault="008B2AC7" w:rsidP="00CA022C">
            <w:pPr>
              <w:rPr>
                <w:rFonts w:ascii="Arial Narrow" w:hAnsi="Arial Narrow"/>
                <w:bCs/>
                <w:sz w:val="20"/>
                <w:szCs w:val="20"/>
              </w:rPr>
            </w:pPr>
            <w:r w:rsidRPr="0019444B">
              <w:rPr>
                <w:rFonts w:ascii="Arial Narrow" w:hAnsi="Arial Narrow"/>
                <w:bCs/>
                <w:sz w:val="20"/>
                <w:szCs w:val="20"/>
              </w:rPr>
              <w:t>100 mg tablet, 56</w:t>
            </w:r>
          </w:p>
        </w:tc>
        <w:tc>
          <w:tcPr>
            <w:tcW w:w="2310" w:type="dxa"/>
          </w:tcPr>
          <w:p w14:paraId="38D5BB5A" w14:textId="45E131F5" w:rsidR="008B2AC7" w:rsidRPr="0019444B" w:rsidRDefault="008B2AC7" w:rsidP="00CA022C">
            <w:pPr>
              <w:rPr>
                <w:rFonts w:ascii="Arial Narrow" w:hAnsi="Arial Narrow"/>
                <w:bCs/>
                <w:sz w:val="20"/>
                <w:szCs w:val="20"/>
              </w:rPr>
            </w:pPr>
            <w:r w:rsidRPr="00FD0F12">
              <w:rPr>
                <w:rFonts w:ascii="Arial Narrow" w:hAnsi="Arial Narrow"/>
                <w:bCs/>
                <w:sz w:val="20"/>
                <w:szCs w:val="20"/>
              </w:rPr>
              <w:t>$8,</w:t>
            </w:r>
            <w:r w:rsidR="00711FFA" w:rsidRPr="00FD0F12">
              <w:rPr>
                <w:rFonts w:ascii="Arial Narrow" w:hAnsi="Arial Narrow"/>
                <w:bCs/>
                <w:sz w:val="20"/>
                <w:szCs w:val="20"/>
              </w:rPr>
              <w:t>219.02</w:t>
            </w:r>
            <w:r w:rsidRPr="0019444B">
              <w:rPr>
                <w:rFonts w:ascii="Arial Narrow" w:hAnsi="Arial Narrow"/>
                <w:bCs/>
                <w:sz w:val="20"/>
                <w:szCs w:val="20"/>
              </w:rPr>
              <w:t xml:space="preserve"> published price</w:t>
            </w:r>
          </w:p>
          <w:p w14:paraId="7A814202" w14:textId="77777777" w:rsidR="008B2AC7" w:rsidRPr="0019444B" w:rsidRDefault="008B2AC7" w:rsidP="00CA022C">
            <w:pPr>
              <w:rPr>
                <w:rFonts w:ascii="Arial Narrow" w:hAnsi="Arial Narrow"/>
                <w:bCs/>
                <w:sz w:val="20"/>
                <w:szCs w:val="20"/>
              </w:rPr>
            </w:pPr>
            <w:r w:rsidRPr="0019444B">
              <w:rPr>
                <w:rFonts w:ascii="Arial Narrow" w:hAnsi="Arial Narrow"/>
                <w:bCs/>
                <w:sz w:val="20"/>
                <w:szCs w:val="20"/>
              </w:rPr>
              <w:t>TBD effective price</w:t>
            </w:r>
          </w:p>
        </w:tc>
        <w:tc>
          <w:tcPr>
            <w:tcW w:w="957" w:type="dxa"/>
            <w:vAlign w:val="center"/>
          </w:tcPr>
          <w:p w14:paraId="4BCE5085" w14:textId="77777777" w:rsidR="008B2AC7" w:rsidRPr="0019444B" w:rsidRDefault="008B2AC7" w:rsidP="00CA022C">
            <w:pPr>
              <w:rPr>
                <w:rFonts w:ascii="Arial Narrow" w:hAnsi="Arial Narrow"/>
                <w:sz w:val="20"/>
                <w:szCs w:val="20"/>
              </w:rPr>
            </w:pPr>
            <w:r w:rsidRPr="0019444B">
              <w:rPr>
                <w:rFonts w:ascii="Arial Narrow" w:hAnsi="Arial Narrow"/>
                <w:sz w:val="20"/>
                <w:szCs w:val="20"/>
              </w:rPr>
              <w:t>1</w:t>
            </w:r>
          </w:p>
        </w:tc>
        <w:tc>
          <w:tcPr>
            <w:tcW w:w="957" w:type="dxa"/>
            <w:vAlign w:val="center"/>
          </w:tcPr>
          <w:p w14:paraId="44F3D9A7" w14:textId="77777777" w:rsidR="008B2AC7" w:rsidRPr="0019444B" w:rsidRDefault="008B2AC7" w:rsidP="00CA022C">
            <w:pPr>
              <w:rPr>
                <w:rFonts w:ascii="Arial Narrow" w:hAnsi="Arial Narrow"/>
                <w:sz w:val="20"/>
                <w:szCs w:val="20"/>
              </w:rPr>
            </w:pPr>
            <w:r w:rsidRPr="0019444B">
              <w:rPr>
                <w:rFonts w:ascii="Arial Narrow" w:hAnsi="Arial Narrow"/>
                <w:sz w:val="20"/>
                <w:szCs w:val="20"/>
              </w:rPr>
              <w:t>56</w:t>
            </w:r>
          </w:p>
        </w:tc>
        <w:tc>
          <w:tcPr>
            <w:tcW w:w="1228" w:type="dxa"/>
            <w:vAlign w:val="center"/>
          </w:tcPr>
          <w:p w14:paraId="59F1C59E" w14:textId="77777777" w:rsidR="008B2AC7" w:rsidRPr="0019444B" w:rsidRDefault="008B2AC7" w:rsidP="00CA022C">
            <w:pPr>
              <w:rPr>
                <w:rFonts w:ascii="Arial Narrow" w:hAnsi="Arial Narrow"/>
                <w:sz w:val="20"/>
                <w:szCs w:val="20"/>
              </w:rPr>
            </w:pPr>
            <w:r w:rsidRPr="0019444B">
              <w:rPr>
                <w:rFonts w:ascii="Arial Narrow" w:hAnsi="Arial Narrow"/>
                <w:sz w:val="20"/>
                <w:szCs w:val="20"/>
              </w:rPr>
              <w:t>6 (initial)</w:t>
            </w:r>
          </w:p>
          <w:p w14:paraId="2B371218" w14:textId="77777777" w:rsidR="008B2AC7" w:rsidRPr="0019444B" w:rsidRDefault="008B2AC7" w:rsidP="00CA022C">
            <w:pPr>
              <w:rPr>
                <w:rFonts w:ascii="Arial Narrow" w:hAnsi="Arial Narrow"/>
                <w:sz w:val="20"/>
                <w:szCs w:val="20"/>
              </w:rPr>
            </w:pPr>
            <w:r w:rsidRPr="0019444B">
              <w:rPr>
                <w:rFonts w:ascii="Arial Narrow" w:hAnsi="Arial Narrow"/>
                <w:sz w:val="20"/>
                <w:szCs w:val="20"/>
              </w:rPr>
              <w:t>5 (continuing)</w:t>
            </w:r>
          </w:p>
        </w:tc>
        <w:tc>
          <w:tcPr>
            <w:tcW w:w="1738" w:type="dxa"/>
            <w:vAlign w:val="center"/>
          </w:tcPr>
          <w:p w14:paraId="7ABDF86F" w14:textId="77777777" w:rsidR="008B2AC7" w:rsidRPr="0019444B" w:rsidRDefault="008B2AC7" w:rsidP="00CA022C">
            <w:pPr>
              <w:rPr>
                <w:rFonts w:ascii="Arial Narrow" w:hAnsi="Arial Narrow"/>
                <w:sz w:val="20"/>
                <w:szCs w:val="20"/>
              </w:rPr>
            </w:pPr>
            <w:r w:rsidRPr="0019444B">
              <w:rPr>
                <w:rFonts w:ascii="Arial Narrow" w:hAnsi="Arial Narrow"/>
                <w:sz w:val="20"/>
                <w:szCs w:val="20"/>
              </w:rPr>
              <w:t>Calquence®</w:t>
            </w:r>
          </w:p>
        </w:tc>
      </w:tr>
    </w:tbl>
    <w:p w14:paraId="60D570CB" w14:textId="0D552A99" w:rsidR="00141BCC" w:rsidRPr="0019444B" w:rsidRDefault="00BF1EC6" w:rsidP="00CA022C">
      <w:pPr>
        <w:spacing w:after="120"/>
        <w:rPr>
          <w:rFonts w:ascii="Arial Narrow" w:hAnsi="Arial Narrow"/>
          <w:sz w:val="18"/>
          <w:szCs w:val="18"/>
        </w:rPr>
      </w:pPr>
      <w:r w:rsidRPr="0019444B">
        <w:rPr>
          <w:rFonts w:ascii="Arial Narrow" w:hAnsi="Arial Narrow"/>
          <w:sz w:val="18"/>
          <w:szCs w:val="18"/>
        </w:rPr>
        <w:t xml:space="preserve">   </w:t>
      </w:r>
      <w:r w:rsidR="008B2AC7" w:rsidRPr="0019444B">
        <w:rPr>
          <w:rFonts w:ascii="Arial Narrow" w:hAnsi="Arial Narrow"/>
          <w:sz w:val="18"/>
          <w:szCs w:val="18"/>
        </w:rPr>
        <w:t xml:space="preserve">Source: Table 1.7, </w:t>
      </w:r>
      <w:r w:rsidR="008B649C" w:rsidRPr="0019444B">
        <w:rPr>
          <w:rFonts w:ascii="Arial Narrow" w:hAnsi="Arial Narrow"/>
          <w:sz w:val="18"/>
          <w:szCs w:val="18"/>
        </w:rPr>
        <w:t>p</w:t>
      </w:r>
      <w:r w:rsidR="008B2AC7" w:rsidRPr="0019444B">
        <w:rPr>
          <w:rFonts w:ascii="Arial Narrow" w:hAnsi="Arial Narrow"/>
          <w:sz w:val="18"/>
          <w:szCs w:val="18"/>
        </w:rPr>
        <w:t>.59 of the resubmission.</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8916"/>
      </w:tblGrid>
      <w:tr w:rsidR="008B2AC7" w:rsidRPr="0019444B" w14:paraId="2082E3D1" w14:textId="77777777" w:rsidTr="00E9683D">
        <w:trPr>
          <w:cantSplit/>
          <w:trHeight w:val="20"/>
        </w:trPr>
        <w:tc>
          <w:tcPr>
            <w:tcW w:w="5000" w:type="pct"/>
          </w:tcPr>
          <w:p w14:paraId="04648D06" w14:textId="77777777" w:rsidR="008B2AC7" w:rsidRPr="0019444B" w:rsidRDefault="008B2AC7" w:rsidP="00CA022C">
            <w:pPr>
              <w:rPr>
                <w:rFonts w:ascii="Arial Narrow" w:eastAsia="Calibri" w:hAnsi="Arial Narrow" w:cstheme="minorHAnsi"/>
                <w:sz w:val="20"/>
                <w:szCs w:val="20"/>
              </w:rPr>
            </w:pPr>
            <w:r w:rsidRPr="0019444B">
              <w:rPr>
                <w:rFonts w:ascii="Arial Narrow" w:hAnsi="Arial Narrow" w:cstheme="minorHAnsi"/>
                <w:b/>
                <w:sz w:val="20"/>
                <w:szCs w:val="20"/>
              </w:rPr>
              <w:t xml:space="preserve">Restriction type: </w:t>
            </w:r>
            <w:r w:rsidRPr="00B465C7">
              <w:rPr>
                <w:rFonts w:ascii="Arial Narrow" w:eastAsia="Calibri" w:hAnsi="Arial Narrow" w:cstheme="minorHAnsi"/>
                <w:sz w:val="20"/>
                <w:szCs w:val="20"/>
              </w:rPr>
              <w:fldChar w:fldCharType="begin" w:fldLock="1">
                <w:ffData>
                  <w:name w:val=""/>
                  <w:enabled/>
                  <w:calcOnExit w:val="0"/>
                  <w:checkBox>
                    <w:sizeAuto/>
                    <w:default w:val="1"/>
                  </w:checkBox>
                </w:ffData>
              </w:fldChar>
            </w:r>
            <w:r w:rsidRPr="0019444B">
              <w:rPr>
                <w:rFonts w:ascii="Arial Narrow" w:eastAsia="Calibri" w:hAnsi="Arial Narrow" w:cstheme="minorHAnsi"/>
                <w:sz w:val="20"/>
                <w:szCs w:val="20"/>
              </w:rPr>
              <w:instrText xml:space="preserve"> FORMCHECKBOX </w:instrText>
            </w:r>
            <w:r w:rsidR="00FF5E98">
              <w:rPr>
                <w:rFonts w:ascii="Arial Narrow" w:eastAsia="Calibri" w:hAnsi="Arial Narrow" w:cstheme="minorHAnsi"/>
                <w:sz w:val="20"/>
                <w:szCs w:val="20"/>
              </w:rPr>
            </w:r>
            <w:r w:rsidR="00FF5E98">
              <w:rPr>
                <w:rFonts w:ascii="Arial Narrow" w:eastAsia="Calibri" w:hAnsi="Arial Narrow" w:cstheme="minorHAnsi"/>
                <w:sz w:val="20"/>
                <w:szCs w:val="20"/>
              </w:rPr>
              <w:fldChar w:fldCharType="separate"/>
            </w:r>
            <w:r w:rsidRPr="00B465C7">
              <w:rPr>
                <w:rFonts w:ascii="Arial Narrow" w:eastAsia="Calibri" w:hAnsi="Arial Narrow" w:cstheme="minorHAnsi"/>
                <w:sz w:val="20"/>
                <w:szCs w:val="20"/>
              </w:rPr>
              <w:fldChar w:fldCharType="end"/>
            </w:r>
            <w:r w:rsidRPr="0019444B">
              <w:t xml:space="preserve"> </w:t>
            </w:r>
            <w:r w:rsidRPr="0019444B">
              <w:rPr>
                <w:rFonts w:ascii="Arial Narrow" w:eastAsia="Calibri" w:hAnsi="Arial Narrow" w:cstheme="minorHAnsi"/>
                <w:sz w:val="20"/>
                <w:szCs w:val="20"/>
              </w:rPr>
              <w:t>Authority Required – Telephone</w:t>
            </w:r>
          </w:p>
        </w:tc>
      </w:tr>
      <w:tr w:rsidR="008B2AC7" w:rsidRPr="0019444B" w14:paraId="0A66B3BF" w14:textId="77777777" w:rsidTr="00E9683D">
        <w:trPr>
          <w:cantSplit/>
          <w:trHeight w:val="20"/>
        </w:trPr>
        <w:tc>
          <w:tcPr>
            <w:tcW w:w="5000" w:type="pct"/>
            <w:vAlign w:val="center"/>
          </w:tcPr>
          <w:p w14:paraId="586A8B16" w14:textId="77777777" w:rsidR="008B2AC7" w:rsidRPr="0019444B" w:rsidRDefault="008B2AC7" w:rsidP="00CA022C">
            <w:pPr>
              <w:rPr>
                <w:rFonts w:ascii="Arial Narrow" w:hAnsi="Arial Narrow" w:cstheme="minorHAnsi"/>
                <w:b/>
                <w:bCs/>
                <w:sz w:val="20"/>
                <w:szCs w:val="20"/>
              </w:rPr>
            </w:pPr>
            <w:r w:rsidRPr="0019444B">
              <w:rPr>
                <w:rFonts w:ascii="Arial Narrow" w:hAnsi="Arial Narrow" w:cstheme="minorHAnsi"/>
                <w:b/>
                <w:bCs/>
                <w:sz w:val="20"/>
                <w:szCs w:val="20"/>
              </w:rPr>
              <w:t xml:space="preserve">Condition: </w:t>
            </w:r>
            <w:r w:rsidRPr="0019444B">
              <w:rPr>
                <w:rFonts w:ascii="Arial Narrow" w:hAnsi="Arial Narrow" w:cstheme="minorHAnsi"/>
                <w:bCs/>
                <w:sz w:val="20"/>
                <w:szCs w:val="20"/>
              </w:rPr>
              <w:t xml:space="preserve"> Chronic lymphocytic leukaemia (CLL) or small lymphocytic lymphoma (SLL)</w:t>
            </w:r>
          </w:p>
        </w:tc>
      </w:tr>
      <w:tr w:rsidR="008B2AC7" w:rsidRPr="0019444B" w14:paraId="24C4895B" w14:textId="77777777" w:rsidTr="00E9683D">
        <w:trPr>
          <w:cantSplit/>
          <w:trHeight w:val="20"/>
        </w:trPr>
        <w:tc>
          <w:tcPr>
            <w:tcW w:w="5000" w:type="pct"/>
            <w:vAlign w:val="center"/>
            <w:hideMark/>
          </w:tcPr>
          <w:p w14:paraId="210A5751" w14:textId="77777777" w:rsidR="008B2AC7" w:rsidRPr="0019444B" w:rsidRDefault="008B2AC7" w:rsidP="00CA022C">
            <w:pPr>
              <w:rPr>
                <w:rFonts w:ascii="Arial Narrow" w:hAnsi="Arial Narrow" w:cstheme="minorHAnsi"/>
                <w:sz w:val="20"/>
                <w:szCs w:val="20"/>
              </w:rPr>
            </w:pPr>
            <w:r w:rsidRPr="0019444B">
              <w:rPr>
                <w:rFonts w:ascii="Arial Narrow" w:hAnsi="Arial Narrow" w:cstheme="minorHAnsi"/>
                <w:b/>
                <w:bCs/>
                <w:sz w:val="20"/>
                <w:szCs w:val="20"/>
              </w:rPr>
              <w:t>Indication:</w:t>
            </w:r>
            <w:r w:rsidRPr="0019444B">
              <w:rPr>
                <w:rFonts w:ascii="Arial Narrow" w:hAnsi="Arial Narrow" w:cstheme="minorHAnsi"/>
                <w:sz w:val="20"/>
                <w:szCs w:val="20"/>
              </w:rPr>
              <w:t xml:space="preserve"> Patients with untreated CLL/SLL</w:t>
            </w:r>
          </w:p>
        </w:tc>
      </w:tr>
      <w:tr w:rsidR="008B2AC7" w:rsidRPr="0019444B" w14:paraId="0E99FE07" w14:textId="77777777" w:rsidTr="00E9683D">
        <w:trPr>
          <w:cantSplit/>
          <w:trHeight w:val="20"/>
        </w:trPr>
        <w:tc>
          <w:tcPr>
            <w:tcW w:w="5000" w:type="pct"/>
            <w:vAlign w:val="center"/>
            <w:hideMark/>
          </w:tcPr>
          <w:p w14:paraId="22D6341D" w14:textId="77777777" w:rsidR="008B2AC7" w:rsidRPr="0019444B" w:rsidRDefault="008B2AC7" w:rsidP="00CA022C">
            <w:pPr>
              <w:rPr>
                <w:rFonts w:ascii="Arial Narrow" w:hAnsi="Arial Narrow" w:cstheme="minorHAnsi"/>
                <w:sz w:val="20"/>
                <w:szCs w:val="20"/>
              </w:rPr>
            </w:pPr>
            <w:r w:rsidRPr="0019444B">
              <w:rPr>
                <w:rFonts w:ascii="Arial Narrow" w:hAnsi="Arial Narrow" w:cstheme="minorHAnsi"/>
                <w:b/>
                <w:bCs/>
                <w:sz w:val="20"/>
                <w:szCs w:val="20"/>
              </w:rPr>
              <w:t>Treatment Phase:</w:t>
            </w:r>
            <w:r w:rsidRPr="0019444B">
              <w:rPr>
                <w:rFonts w:ascii="Arial Narrow" w:hAnsi="Arial Narrow" w:cstheme="minorHAnsi"/>
                <w:sz w:val="20"/>
                <w:szCs w:val="20"/>
              </w:rPr>
              <w:t xml:space="preserve"> Initial</w:t>
            </w:r>
          </w:p>
        </w:tc>
      </w:tr>
      <w:tr w:rsidR="008B2AC7" w:rsidRPr="0019444B" w14:paraId="21908FC9" w14:textId="77777777" w:rsidTr="00E9683D">
        <w:trPr>
          <w:cantSplit/>
          <w:trHeight w:val="20"/>
        </w:trPr>
        <w:tc>
          <w:tcPr>
            <w:tcW w:w="5000" w:type="pct"/>
            <w:vAlign w:val="center"/>
            <w:hideMark/>
          </w:tcPr>
          <w:p w14:paraId="44B2FC94" w14:textId="77777777" w:rsidR="008B2AC7" w:rsidRPr="0019444B" w:rsidRDefault="008B2AC7" w:rsidP="00CA022C">
            <w:pPr>
              <w:rPr>
                <w:rFonts w:ascii="Arial Narrow" w:hAnsi="Arial Narrow" w:cstheme="minorHAnsi"/>
                <w:sz w:val="20"/>
                <w:szCs w:val="20"/>
              </w:rPr>
            </w:pPr>
            <w:r w:rsidRPr="0019444B">
              <w:rPr>
                <w:rFonts w:ascii="Arial Narrow" w:hAnsi="Arial Narrow" w:cstheme="minorHAnsi"/>
                <w:b/>
                <w:bCs/>
                <w:sz w:val="20"/>
                <w:szCs w:val="20"/>
              </w:rPr>
              <w:t xml:space="preserve">Clinical criteria: </w:t>
            </w:r>
          </w:p>
        </w:tc>
      </w:tr>
      <w:tr w:rsidR="008B2AC7" w:rsidRPr="0019444B" w14:paraId="1CEFC827" w14:textId="77777777" w:rsidTr="00E9683D">
        <w:trPr>
          <w:cantSplit/>
          <w:trHeight w:val="20"/>
        </w:trPr>
        <w:tc>
          <w:tcPr>
            <w:tcW w:w="5000" w:type="pct"/>
            <w:vAlign w:val="center"/>
            <w:hideMark/>
          </w:tcPr>
          <w:p w14:paraId="41E8D994" w14:textId="77777777" w:rsidR="008B2AC7" w:rsidRPr="0019444B" w:rsidRDefault="008B2AC7" w:rsidP="00CA022C">
            <w:pPr>
              <w:rPr>
                <w:rFonts w:ascii="Arial Narrow" w:hAnsi="Arial Narrow" w:cstheme="minorHAnsi"/>
                <w:sz w:val="20"/>
                <w:szCs w:val="20"/>
              </w:rPr>
            </w:pPr>
            <w:r w:rsidRPr="0019444B">
              <w:rPr>
                <w:rFonts w:ascii="Arial Narrow" w:hAnsi="Arial Narrow" w:cstheme="minorHAnsi"/>
                <w:sz w:val="20"/>
                <w:szCs w:val="20"/>
              </w:rPr>
              <w:t>The condition must be previously untreated</w:t>
            </w:r>
          </w:p>
        </w:tc>
      </w:tr>
      <w:tr w:rsidR="008B2AC7" w:rsidRPr="0019444B" w14:paraId="2995456C" w14:textId="77777777" w:rsidTr="00E9683D">
        <w:trPr>
          <w:cantSplit/>
          <w:trHeight w:val="20"/>
        </w:trPr>
        <w:tc>
          <w:tcPr>
            <w:tcW w:w="5000" w:type="pct"/>
            <w:vAlign w:val="center"/>
            <w:hideMark/>
          </w:tcPr>
          <w:p w14:paraId="35DE3B4A" w14:textId="77777777" w:rsidR="008B2AC7" w:rsidRPr="0019444B" w:rsidRDefault="008B2AC7" w:rsidP="00CA022C">
            <w:pPr>
              <w:rPr>
                <w:rFonts w:ascii="Arial Narrow" w:hAnsi="Arial Narrow" w:cstheme="minorHAnsi"/>
                <w:sz w:val="20"/>
                <w:szCs w:val="20"/>
              </w:rPr>
            </w:pPr>
            <w:r w:rsidRPr="0019444B">
              <w:rPr>
                <w:rFonts w:ascii="Arial Narrow" w:hAnsi="Arial Narrow" w:cstheme="minorHAnsi"/>
                <w:b/>
                <w:bCs/>
                <w:sz w:val="20"/>
                <w:szCs w:val="20"/>
              </w:rPr>
              <w:t>AND</w:t>
            </w:r>
          </w:p>
        </w:tc>
      </w:tr>
      <w:tr w:rsidR="008B2AC7" w:rsidRPr="0019444B" w14:paraId="19441A82" w14:textId="77777777" w:rsidTr="00E9683D">
        <w:trPr>
          <w:cantSplit/>
          <w:trHeight w:val="20"/>
        </w:trPr>
        <w:tc>
          <w:tcPr>
            <w:tcW w:w="5000" w:type="pct"/>
            <w:vAlign w:val="center"/>
            <w:hideMark/>
          </w:tcPr>
          <w:p w14:paraId="5E951B45" w14:textId="77777777" w:rsidR="008B2AC7" w:rsidRPr="0019444B" w:rsidRDefault="008B2AC7" w:rsidP="00CA022C">
            <w:pPr>
              <w:rPr>
                <w:rFonts w:ascii="Arial Narrow" w:hAnsi="Arial Narrow" w:cstheme="minorHAnsi"/>
                <w:sz w:val="20"/>
                <w:szCs w:val="20"/>
              </w:rPr>
            </w:pPr>
            <w:r w:rsidRPr="0019444B">
              <w:rPr>
                <w:rFonts w:ascii="Arial Narrow" w:hAnsi="Arial Narrow" w:cstheme="minorHAnsi"/>
                <w:b/>
                <w:bCs/>
                <w:sz w:val="20"/>
                <w:szCs w:val="20"/>
              </w:rPr>
              <w:t>Clinical criteria:</w:t>
            </w:r>
          </w:p>
        </w:tc>
      </w:tr>
      <w:tr w:rsidR="008B2AC7" w:rsidRPr="0019444B" w14:paraId="41E39937" w14:textId="77777777" w:rsidTr="00E9683D">
        <w:trPr>
          <w:cantSplit/>
          <w:trHeight w:val="20"/>
        </w:trPr>
        <w:tc>
          <w:tcPr>
            <w:tcW w:w="5000" w:type="pct"/>
            <w:vAlign w:val="center"/>
          </w:tcPr>
          <w:p w14:paraId="64B9AB0A" w14:textId="77777777" w:rsidR="008B2AC7" w:rsidRPr="0019444B" w:rsidRDefault="008B2AC7" w:rsidP="00CA022C">
            <w:pPr>
              <w:rPr>
                <w:rFonts w:ascii="Arial Narrow" w:hAnsi="Arial Narrow" w:cstheme="minorHAnsi"/>
                <w:bCs/>
                <w:strike/>
                <w:sz w:val="20"/>
                <w:szCs w:val="20"/>
              </w:rPr>
            </w:pPr>
            <w:r w:rsidRPr="0019444B">
              <w:rPr>
                <w:rFonts w:ascii="Arial Narrow" w:hAnsi="Arial Narrow" w:cstheme="minorHAnsi"/>
                <w:bCs/>
                <w:strike/>
                <w:sz w:val="20"/>
                <w:szCs w:val="20"/>
              </w:rPr>
              <w:t>Patient must be considered unsuitable for fludarabine-based chemoimmunotherapy</w:t>
            </w:r>
          </w:p>
        </w:tc>
      </w:tr>
      <w:tr w:rsidR="008B2AC7" w:rsidRPr="0019444B" w14:paraId="7ED93B18" w14:textId="77777777" w:rsidTr="00E9683D">
        <w:trPr>
          <w:cantSplit/>
          <w:trHeight w:val="20"/>
        </w:trPr>
        <w:tc>
          <w:tcPr>
            <w:tcW w:w="5000" w:type="pct"/>
            <w:vAlign w:val="center"/>
            <w:hideMark/>
          </w:tcPr>
          <w:p w14:paraId="5379B31D" w14:textId="77777777" w:rsidR="008B2AC7" w:rsidRPr="0019444B" w:rsidRDefault="008B2AC7" w:rsidP="00CA022C">
            <w:pPr>
              <w:rPr>
                <w:rFonts w:ascii="Arial Narrow" w:hAnsi="Arial Narrow" w:cstheme="minorHAnsi"/>
                <w:sz w:val="20"/>
                <w:szCs w:val="20"/>
              </w:rPr>
            </w:pPr>
            <w:r w:rsidRPr="0019444B">
              <w:rPr>
                <w:rFonts w:ascii="Arial Narrow" w:hAnsi="Arial Narrow" w:cstheme="minorHAnsi"/>
                <w:b/>
                <w:bCs/>
                <w:sz w:val="20"/>
                <w:szCs w:val="20"/>
              </w:rPr>
              <w:t>AND</w:t>
            </w:r>
          </w:p>
        </w:tc>
      </w:tr>
      <w:tr w:rsidR="008B2AC7" w:rsidRPr="0019444B" w14:paraId="64B1FCCF" w14:textId="77777777" w:rsidTr="00E9683D">
        <w:trPr>
          <w:cantSplit/>
          <w:trHeight w:val="20"/>
        </w:trPr>
        <w:tc>
          <w:tcPr>
            <w:tcW w:w="5000" w:type="pct"/>
            <w:vAlign w:val="center"/>
            <w:hideMark/>
          </w:tcPr>
          <w:p w14:paraId="6EBD0692" w14:textId="77777777" w:rsidR="008B2AC7" w:rsidRPr="0019444B" w:rsidRDefault="008B2AC7" w:rsidP="00CA022C">
            <w:pPr>
              <w:rPr>
                <w:rFonts w:ascii="Arial Narrow" w:hAnsi="Arial Narrow" w:cstheme="minorHAnsi"/>
                <w:sz w:val="20"/>
                <w:szCs w:val="20"/>
              </w:rPr>
            </w:pPr>
            <w:r w:rsidRPr="0019444B">
              <w:rPr>
                <w:rFonts w:ascii="Arial Narrow" w:hAnsi="Arial Narrow" w:cstheme="minorHAnsi"/>
                <w:b/>
                <w:bCs/>
                <w:sz w:val="20"/>
                <w:szCs w:val="20"/>
              </w:rPr>
              <w:t>Clinical criteria:</w:t>
            </w:r>
          </w:p>
        </w:tc>
      </w:tr>
      <w:tr w:rsidR="008B2AC7" w:rsidRPr="0019444B" w14:paraId="787E6951" w14:textId="77777777" w:rsidTr="00E9683D">
        <w:trPr>
          <w:cantSplit/>
          <w:trHeight w:val="20"/>
        </w:trPr>
        <w:tc>
          <w:tcPr>
            <w:tcW w:w="5000" w:type="pct"/>
            <w:vAlign w:val="center"/>
          </w:tcPr>
          <w:p w14:paraId="1B3C6F16" w14:textId="77777777" w:rsidR="008B2AC7" w:rsidRPr="0019444B" w:rsidRDefault="008B2AC7" w:rsidP="00CA022C">
            <w:pPr>
              <w:rPr>
                <w:rFonts w:ascii="Arial Narrow" w:hAnsi="Arial Narrow" w:cstheme="minorHAnsi"/>
                <w:sz w:val="20"/>
                <w:szCs w:val="20"/>
              </w:rPr>
            </w:pPr>
            <w:r w:rsidRPr="0019444B">
              <w:rPr>
                <w:rFonts w:ascii="Arial Narrow" w:hAnsi="Arial Narrow" w:cstheme="minorHAnsi"/>
                <w:sz w:val="20"/>
                <w:szCs w:val="20"/>
              </w:rPr>
              <w:t>Patient must have creatinine clearance (CrCl) ≥30 mL/min</w:t>
            </w:r>
          </w:p>
        </w:tc>
      </w:tr>
      <w:tr w:rsidR="008B2AC7" w:rsidRPr="0019444B" w14:paraId="75520DD1" w14:textId="77777777" w:rsidTr="00E9683D">
        <w:trPr>
          <w:cantSplit/>
          <w:trHeight w:val="20"/>
        </w:trPr>
        <w:tc>
          <w:tcPr>
            <w:tcW w:w="5000" w:type="pct"/>
            <w:vAlign w:val="center"/>
          </w:tcPr>
          <w:p w14:paraId="249B4FD3" w14:textId="77777777" w:rsidR="008B2AC7" w:rsidRPr="0019444B" w:rsidRDefault="008B2AC7" w:rsidP="00CA022C">
            <w:pPr>
              <w:rPr>
                <w:rFonts w:ascii="Arial Narrow" w:hAnsi="Arial Narrow" w:cstheme="minorHAnsi"/>
                <w:sz w:val="20"/>
                <w:szCs w:val="20"/>
                <w:shd w:val="clear" w:color="auto" w:fill="FFFFFF"/>
              </w:rPr>
            </w:pPr>
            <w:r w:rsidRPr="0019444B">
              <w:rPr>
                <w:rFonts w:ascii="Arial Narrow" w:hAnsi="Arial Narrow" w:cstheme="minorHAnsi"/>
                <w:b/>
                <w:bCs/>
                <w:sz w:val="20"/>
                <w:szCs w:val="20"/>
              </w:rPr>
              <w:t>AND</w:t>
            </w:r>
          </w:p>
        </w:tc>
      </w:tr>
      <w:tr w:rsidR="008B2AC7" w:rsidRPr="0019444B" w14:paraId="718AEC40" w14:textId="77777777" w:rsidTr="00E9683D">
        <w:trPr>
          <w:cantSplit/>
          <w:trHeight w:val="20"/>
        </w:trPr>
        <w:tc>
          <w:tcPr>
            <w:tcW w:w="5000" w:type="pct"/>
            <w:vAlign w:val="center"/>
          </w:tcPr>
          <w:p w14:paraId="67E905A8" w14:textId="77777777" w:rsidR="008B2AC7" w:rsidRPr="0019444B" w:rsidRDefault="008B2AC7" w:rsidP="00CA022C">
            <w:pPr>
              <w:rPr>
                <w:rFonts w:ascii="Arial Narrow" w:hAnsi="Arial Narrow" w:cstheme="minorHAnsi"/>
                <w:sz w:val="20"/>
                <w:szCs w:val="20"/>
                <w:shd w:val="clear" w:color="auto" w:fill="FFFFFF"/>
              </w:rPr>
            </w:pPr>
            <w:r w:rsidRPr="0019444B">
              <w:rPr>
                <w:rFonts w:ascii="Arial Narrow" w:hAnsi="Arial Narrow" w:cstheme="minorHAnsi"/>
                <w:b/>
                <w:bCs/>
                <w:sz w:val="20"/>
                <w:szCs w:val="20"/>
              </w:rPr>
              <w:t>Clinical criteria:</w:t>
            </w:r>
          </w:p>
        </w:tc>
      </w:tr>
      <w:tr w:rsidR="008B2AC7" w:rsidRPr="0019444B" w14:paraId="12693061" w14:textId="77777777" w:rsidTr="00E9683D">
        <w:trPr>
          <w:cantSplit/>
          <w:trHeight w:val="20"/>
        </w:trPr>
        <w:tc>
          <w:tcPr>
            <w:tcW w:w="5000" w:type="pct"/>
            <w:vAlign w:val="center"/>
          </w:tcPr>
          <w:p w14:paraId="79963481" w14:textId="77777777" w:rsidR="008B2AC7" w:rsidRPr="0019444B" w:rsidRDefault="008B2AC7" w:rsidP="00CA022C">
            <w:pPr>
              <w:rPr>
                <w:rFonts w:ascii="Arial Narrow" w:hAnsi="Arial Narrow" w:cstheme="minorHAnsi"/>
                <w:strike/>
                <w:sz w:val="20"/>
                <w:szCs w:val="20"/>
              </w:rPr>
            </w:pPr>
            <w:r w:rsidRPr="0019444B">
              <w:rPr>
                <w:rFonts w:ascii="Arial Narrow" w:hAnsi="Arial Narrow" w:cstheme="minorHAnsi"/>
                <w:strike/>
                <w:sz w:val="20"/>
                <w:szCs w:val="20"/>
              </w:rPr>
              <w:t>Patient must have Cumulative Illness Rating Scale score of &gt;6 (excluding CLL-induced illness or organ damage) OR patient must have a CrCl &lt;70 mL/min</w:t>
            </w:r>
          </w:p>
        </w:tc>
      </w:tr>
      <w:tr w:rsidR="008B2AC7" w:rsidRPr="0019444B" w14:paraId="6A5DCCC6" w14:textId="77777777" w:rsidTr="00E9683D">
        <w:trPr>
          <w:cantSplit/>
          <w:trHeight w:val="20"/>
        </w:trPr>
        <w:tc>
          <w:tcPr>
            <w:tcW w:w="5000" w:type="pct"/>
            <w:vAlign w:val="center"/>
          </w:tcPr>
          <w:p w14:paraId="6871A1EC" w14:textId="77777777" w:rsidR="008B2AC7" w:rsidRPr="0019444B" w:rsidRDefault="008B2AC7" w:rsidP="00CA022C">
            <w:pPr>
              <w:rPr>
                <w:rFonts w:ascii="Arial Narrow" w:hAnsi="Arial Narrow" w:cstheme="minorHAnsi"/>
                <w:sz w:val="20"/>
                <w:szCs w:val="20"/>
                <w:shd w:val="clear" w:color="auto" w:fill="FFFFFF"/>
              </w:rPr>
            </w:pPr>
            <w:r w:rsidRPr="0019444B">
              <w:rPr>
                <w:rFonts w:ascii="Arial Narrow" w:hAnsi="Arial Narrow" w:cstheme="minorHAnsi"/>
                <w:b/>
                <w:bCs/>
                <w:sz w:val="20"/>
                <w:szCs w:val="20"/>
              </w:rPr>
              <w:t>AND</w:t>
            </w:r>
          </w:p>
        </w:tc>
      </w:tr>
      <w:tr w:rsidR="008B2AC7" w:rsidRPr="0019444B" w14:paraId="433C75FA" w14:textId="77777777" w:rsidTr="00E9683D">
        <w:trPr>
          <w:cantSplit/>
          <w:trHeight w:val="20"/>
        </w:trPr>
        <w:tc>
          <w:tcPr>
            <w:tcW w:w="5000" w:type="pct"/>
            <w:vAlign w:val="center"/>
          </w:tcPr>
          <w:p w14:paraId="2B85B34E" w14:textId="77777777" w:rsidR="008B2AC7" w:rsidRPr="0019444B" w:rsidRDefault="008B2AC7" w:rsidP="00CA022C">
            <w:pPr>
              <w:rPr>
                <w:rFonts w:ascii="Arial Narrow" w:hAnsi="Arial Narrow" w:cstheme="minorHAnsi"/>
                <w:sz w:val="20"/>
                <w:szCs w:val="20"/>
                <w:shd w:val="clear" w:color="auto" w:fill="FFFFFF"/>
              </w:rPr>
            </w:pPr>
            <w:r w:rsidRPr="0019444B">
              <w:rPr>
                <w:rFonts w:ascii="Arial Narrow" w:hAnsi="Arial Narrow" w:cstheme="minorHAnsi"/>
                <w:b/>
                <w:bCs/>
                <w:sz w:val="20"/>
                <w:szCs w:val="20"/>
              </w:rPr>
              <w:t>Clinical criteria:</w:t>
            </w:r>
          </w:p>
        </w:tc>
      </w:tr>
      <w:tr w:rsidR="008B2AC7" w:rsidRPr="0019444B" w14:paraId="2B4B9BE6" w14:textId="77777777" w:rsidTr="00E9683D">
        <w:trPr>
          <w:cantSplit/>
          <w:trHeight w:val="20"/>
        </w:trPr>
        <w:tc>
          <w:tcPr>
            <w:tcW w:w="5000" w:type="pct"/>
            <w:vAlign w:val="center"/>
          </w:tcPr>
          <w:p w14:paraId="0186CBF8" w14:textId="77777777" w:rsidR="008B2AC7" w:rsidRPr="0019444B" w:rsidRDefault="008B2AC7" w:rsidP="00CA022C">
            <w:pPr>
              <w:rPr>
                <w:rFonts w:ascii="Arial Narrow" w:hAnsi="Arial Narrow" w:cstheme="minorHAnsi"/>
                <w:bCs/>
                <w:sz w:val="20"/>
                <w:szCs w:val="20"/>
              </w:rPr>
            </w:pPr>
            <w:r w:rsidRPr="0019444B">
              <w:rPr>
                <w:rFonts w:ascii="Arial Narrow" w:hAnsi="Arial Narrow" w:cstheme="minorHAnsi"/>
                <w:bCs/>
                <w:sz w:val="20"/>
                <w:szCs w:val="20"/>
              </w:rPr>
              <w:t>The treatment must be as monotherapy</w:t>
            </w:r>
          </w:p>
        </w:tc>
      </w:tr>
    </w:tbl>
    <w:p w14:paraId="5BBB69C0" w14:textId="174FF1F9" w:rsidR="00D75124" w:rsidRPr="0019444B" w:rsidRDefault="008B2AC7" w:rsidP="00CA022C">
      <w:pPr>
        <w:pStyle w:val="TableFooter"/>
        <w:spacing w:after="120"/>
        <w:ind w:left="142"/>
        <w:rPr>
          <w:rFonts w:cstheme="minorHAnsi"/>
          <w:szCs w:val="18"/>
        </w:rPr>
      </w:pPr>
      <w:r w:rsidRPr="0019444B">
        <w:rPr>
          <w:rFonts w:cstheme="minorHAnsi"/>
          <w:szCs w:val="18"/>
        </w:rPr>
        <w:t>Source: Table 1.8, pp.59-60 of the resubmission.</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8916"/>
      </w:tblGrid>
      <w:tr w:rsidR="008B2AC7" w:rsidRPr="0019444B" w14:paraId="53DECBE7" w14:textId="77777777" w:rsidTr="00E9683D">
        <w:trPr>
          <w:cantSplit/>
          <w:trHeight w:val="20"/>
        </w:trPr>
        <w:tc>
          <w:tcPr>
            <w:tcW w:w="5000" w:type="pct"/>
          </w:tcPr>
          <w:p w14:paraId="0959C4C7" w14:textId="77777777" w:rsidR="008B2AC7" w:rsidRPr="0019444B" w:rsidRDefault="008B2AC7" w:rsidP="00CA022C">
            <w:pPr>
              <w:rPr>
                <w:rFonts w:ascii="Arial Narrow" w:eastAsia="Calibri" w:hAnsi="Arial Narrow" w:cstheme="minorHAnsi"/>
                <w:sz w:val="20"/>
                <w:szCs w:val="20"/>
              </w:rPr>
            </w:pPr>
            <w:r w:rsidRPr="0019444B">
              <w:rPr>
                <w:rFonts w:ascii="Arial Narrow" w:hAnsi="Arial Narrow" w:cstheme="minorHAnsi"/>
                <w:b/>
                <w:sz w:val="20"/>
                <w:szCs w:val="20"/>
              </w:rPr>
              <w:t xml:space="preserve">Restriction type: </w:t>
            </w:r>
            <w:r w:rsidRPr="00B465C7">
              <w:rPr>
                <w:rFonts w:ascii="Arial Narrow" w:eastAsia="Calibri" w:hAnsi="Arial Narrow" w:cstheme="minorHAnsi"/>
                <w:sz w:val="20"/>
                <w:szCs w:val="20"/>
              </w:rPr>
              <w:fldChar w:fldCharType="begin" w:fldLock="1">
                <w:ffData>
                  <w:name w:val=""/>
                  <w:enabled/>
                  <w:calcOnExit w:val="0"/>
                  <w:checkBox>
                    <w:sizeAuto/>
                    <w:default w:val="1"/>
                  </w:checkBox>
                </w:ffData>
              </w:fldChar>
            </w:r>
            <w:r w:rsidRPr="0019444B">
              <w:rPr>
                <w:rFonts w:ascii="Arial Narrow" w:eastAsia="Calibri" w:hAnsi="Arial Narrow" w:cstheme="minorHAnsi"/>
                <w:sz w:val="20"/>
                <w:szCs w:val="20"/>
              </w:rPr>
              <w:instrText xml:space="preserve"> FORMCHECKBOX </w:instrText>
            </w:r>
            <w:r w:rsidR="00FF5E98">
              <w:rPr>
                <w:rFonts w:ascii="Arial Narrow" w:eastAsia="Calibri" w:hAnsi="Arial Narrow" w:cstheme="minorHAnsi"/>
                <w:sz w:val="20"/>
                <w:szCs w:val="20"/>
              </w:rPr>
            </w:r>
            <w:r w:rsidR="00FF5E98">
              <w:rPr>
                <w:rFonts w:ascii="Arial Narrow" w:eastAsia="Calibri" w:hAnsi="Arial Narrow" w:cstheme="minorHAnsi"/>
                <w:sz w:val="20"/>
                <w:szCs w:val="20"/>
              </w:rPr>
              <w:fldChar w:fldCharType="separate"/>
            </w:r>
            <w:r w:rsidRPr="00B465C7">
              <w:rPr>
                <w:rFonts w:ascii="Arial Narrow" w:eastAsia="Calibri" w:hAnsi="Arial Narrow" w:cstheme="minorHAnsi"/>
                <w:sz w:val="20"/>
                <w:szCs w:val="20"/>
              </w:rPr>
              <w:fldChar w:fldCharType="end"/>
            </w:r>
            <w:r w:rsidRPr="0019444B">
              <w:t xml:space="preserve"> </w:t>
            </w:r>
            <w:r w:rsidRPr="0019444B">
              <w:rPr>
                <w:rFonts w:ascii="Arial Narrow" w:eastAsia="Calibri" w:hAnsi="Arial Narrow" w:cstheme="minorHAnsi"/>
                <w:sz w:val="20"/>
                <w:szCs w:val="20"/>
              </w:rPr>
              <w:t>Authority Required – Telephone</w:t>
            </w:r>
          </w:p>
        </w:tc>
      </w:tr>
      <w:tr w:rsidR="008B2AC7" w:rsidRPr="0019444B" w14:paraId="5065F317" w14:textId="77777777" w:rsidTr="00E9683D">
        <w:trPr>
          <w:cantSplit/>
          <w:trHeight w:val="20"/>
        </w:trPr>
        <w:tc>
          <w:tcPr>
            <w:tcW w:w="5000" w:type="pct"/>
            <w:vAlign w:val="center"/>
          </w:tcPr>
          <w:p w14:paraId="25412CF1" w14:textId="77777777" w:rsidR="008B2AC7" w:rsidRPr="0019444B" w:rsidRDefault="008B2AC7" w:rsidP="00CA022C">
            <w:pPr>
              <w:rPr>
                <w:rFonts w:ascii="Arial Narrow" w:hAnsi="Arial Narrow" w:cstheme="minorHAnsi"/>
                <w:b/>
                <w:bCs/>
                <w:sz w:val="20"/>
                <w:szCs w:val="20"/>
              </w:rPr>
            </w:pPr>
            <w:r w:rsidRPr="0019444B">
              <w:rPr>
                <w:rFonts w:ascii="Arial Narrow" w:hAnsi="Arial Narrow" w:cstheme="minorHAnsi"/>
                <w:b/>
                <w:bCs/>
                <w:sz w:val="20"/>
                <w:szCs w:val="20"/>
              </w:rPr>
              <w:t xml:space="preserve">Condition: </w:t>
            </w:r>
            <w:r w:rsidRPr="0019444B">
              <w:rPr>
                <w:rFonts w:ascii="Arial Narrow" w:hAnsi="Arial Narrow" w:cstheme="minorHAnsi"/>
                <w:bCs/>
                <w:sz w:val="20"/>
                <w:szCs w:val="20"/>
              </w:rPr>
              <w:t xml:space="preserve"> Chronic lymphocytic leukaemia (CLL) or small lymphocytic lymphoma (SLL)</w:t>
            </w:r>
          </w:p>
        </w:tc>
      </w:tr>
      <w:tr w:rsidR="008B2AC7" w:rsidRPr="0019444B" w14:paraId="0D13D2D5" w14:textId="77777777" w:rsidTr="00E9683D">
        <w:trPr>
          <w:cantSplit/>
          <w:trHeight w:val="20"/>
        </w:trPr>
        <w:tc>
          <w:tcPr>
            <w:tcW w:w="5000" w:type="pct"/>
            <w:vAlign w:val="center"/>
            <w:hideMark/>
          </w:tcPr>
          <w:p w14:paraId="722B9584" w14:textId="77777777" w:rsidR="008B2AC7" w:rsidRPr="0019444B" w:rsidRDefault="008B2AC7" w:rsidP="00CA022C">
            <w:pPr>
              <w:rPr>
                <w:rFonts w:ascii="Arial Narrow" w:hAnsi="Arial Narrow" w:cstheme="minorHAnsi"/>
                <w:sz w:val="20"/>
                <w:szCs w:val="20"/>
              </w:rPr>
            </w:pPr>
            <w:r w:rsidRPr="0019444B">
              <w:rPr>
                <w:rFonts w:ascii="Arial Narrow" w:hAnsi="Arial Narrow" w:cstheme="minorHAnsi"/>
                <w:b/>
                <w:bCs/>
                <w:sz w:val="20"/>
                <w:szCs w:val="20"/>
              </w:rPr>
              <w:t>Indication:</w:t>
            </w:r>
            <w:r w:rsidRPr="0019444B">
              <w:rPr>
                <w:rFonts w:ascii="Arial Narrow" w:hAnsi="Arial Narrow" w:cstheme="minorHAnsi"/>
                <w:sz w:val="20"/>
                <w:szCs w:val="20"/>
              </w:rPr>
              <w:t xml:space="preserve"> Patients with untreated CLL/SLL</w:t>
            </w:r>
          </w:p>
        </w:tc>
      </w:tr>
      <w:tr w:rsidR="008B2AC7" w:rsidRPr="0019444B" w14:paraId="2C7CC1BC" w14:textId="77777777" w:rsidTr="00E9683D">
        <w:trPr>
          <w:cantSplit/>
          <w:trHeight w:val="20"/>
        </w:trPr>
        <w:tc>
          <w:tcPr>
            <w:tcW w:w="5000" w:type="pct"/>
            <w:vAlign w:val="center"/>
            <w:hideMark/>
          </w:tcPr>
          <w:p w14:paraId="4C8BDBD1" w14:textId="77777777" w:rsidR="008B2AC7" w:rsidRPr="0019444B" w:rsidRDefault="008B2AC7" w:rsidP="00CA022C">
            <w:pPr>
              <w:rPr>
                <w:rFonts w:ascii="Arial Narrow" w:hAnsi="Arial Narrow" w:cstheme="minorHAnsi"/>
                <w:sz w:val="20"/>
                <w:szCs w:val="20"/>
              </w:rPr>
            </w:pPr>
            <w:r w:rsidRPr="0019444B">
              <w:rPr>
                <w:rFonts w:ascii="Arial Narrow" w:hAnsi="Arial Narrow" w:cstheme="minorHAnsi"/>
                <w:b/>
                <w:bCs/>
                <w:sz w:val="20"/>
                <w:szCs w:val="20"/>
              </w:rPr>
              <w:t>Treatment Phase:</w:t>
            </w:r>
            <w:r w:rsidRPr="0019444B">
              <w:rPr>
                <w:rFonts w:ascii="Arial Narrow" w:hAnsi="Arial Narrow" w:cstheme="minorHAnsi"/>
                <w:sz w:val="20"/>
                <w:szCs w:val="20"/>
              </w:rPr>
              <w:t xml:space="preserve"> Initial     </w:t>
            </w:r>
          </w:p>
        </w:tc>
      </w:tr>
      <w:tr w:rsidR="008B2AC7" w:rsidRPr="0019444B" w14:paraId="15765C99" w14:textId="77777777" w:rsidTr="00E9683D">
        <w:trPr>
          <w:cantSplit/>
          <w:trHeight w:val="20"/>
        </w:trPr>
        <w:tc>
          <w:tcPr>
            <w:tcW w:w="5000" w:type="pct"/>
            <w:vAlign w:val="center"/>
            <w:hideMark/>
          </w:tcPr>
          <w:p w14:paraId="492116D9" w14:textId="77777777" w:rsidR="008B2AC7" w:rsidRPr="0019444B" w:rsidRDefault="008B2AC7" w:rsidP="00CA022C">
            <w:pPr>
              <w:rPr>
                <w:rFonts w:ascii="Arial Narrow" w:hAnsi="Arial Narrow" w:cstheme="minorHAnsi"/>
                <w:sz w:val="20"/>
                <w:szCs w:val="20"/>
              </w:rPr>
            </w:pPr>
            <w:r w:rsidRPr="0019444B">
              <w:rPr>
                <w:rFonts w:ascii="Arial Narrow" w:hAnsi="Arial Narrow" w:cstheme="minorHAnsi"/>
                <w:b/>
                <w:bCs/>
                <w:sz w:val="20"/>
                <w:szCs w:val="20"/>
              </w:rPr>
              <w:t xml:space="preserve">Clinical criteria: </w:t>
            </w:r>
          </w:p>
        </w:tc>
      </w:tr>
      <w:tr w:rsidR="008B2AC7" w:rsidRPr="0019444B" w14:paraId="243BE208" w14:textId="77777777" w:rsidTr="00E9683D">
        <w:trPr>
          <w:cantSplit/>
          <w:trHeight w:val="20"/>
        </w:trPr>
        <w:tc>
          <w:tcPr>
            <w:tcW w:w="5000" w:type="pct"/>
            <w:vAlign w:val="center"/>
            <w:hideMark/>
          </w:tcPr>
          <w:p w14:paraId="78CB2448" w14:textId="77777777" w:rsidR="008B2AC7" w:rsidRPr="0019444B" w:rsidRDefault="008B2AC7" w:rsidP="00CA022C">
            <w:pPr>
              <w:rPr>
                <w:rFonts w:ascii="Arial Narrow" w:hAnsi="Arial Narrow" w:cstheme="minorHAnsi"/>
                <w:sz w:val="20"/>
                <w:szCs w:val="20"/>
              </w:rPr>
            </w:pPr>
            <w:r w:rsidRPr="0019444B">
              <w:rPr>
                <w:rFonts w:ascii="Arial Narrow" w:hAnsi="Arial Narrow" w:cstheme="minorHAnsi"/>
                <w:sz w:val="20"/>
                <w:szCs w:val="20"/>
              </w:rPr>
              <w:t>The condition must be previously untreated</w:t>
            </w:r>
          </w:p>
        </w:tc>
      </w:tr>
      <w:tr w:rsidR="008B2AC7" w:rsidRPr="0019444B" w14:paraId="4A1E53C0" w14:textId="77777777" w:rsidTr="00E9683D">
        <w:trPr>
          <w:cantSplit/>
          <w:trHeight w:val="20"/>
        </w:trPr>
        <w:tc>
          <w:tcPr>
            <w:tcW w:w="5000" w:type="pct"/>
            <w:vAlign w:val="center"/>
            <w:hideMark/>
          </w:tcPr>
          <w:p w14:paraId="285B1AC2" w14:textId="77777777" w:rsidR="008B2AC7" w:rsidRPr="0019444B" w:rsidRDefault="008B2AC7" w:rsidP="00CA022C">
            <w:pPr>
              <w:rPr>
                <w:rFonts w:ascii="Arial Narrow" w:hAnsi="Arial Narrow" w:cstheme="minorHAnsi"/>
                <w:sz w:val="20"/>
                <w:szCs w:val="20"/>
              </w:rPr>
            </w:pPr>
            <w:r w:rsidRPr="0019444B">
              <w:rPr>
                <w:rFonts w:ascii="Arial Narrow" w:hAnsi="Arial Narrow" w:cstheme="minorHAnsi"/>
                <w:b/>
                <w:bCs/>
                <w:sz w:val="20"/>
                <w:szCs w:val="20"/>
              </w:rPr>
              <w:t>AND</w:t>
            </w:r>
          </w:p>
        </w:tc>
      </w:tr>
      <w:tr w:rsidR="008B2AC7" w:rsidRPr="0019444B" w14:paraId="29F514E4" w14:textId="77777777" w:rsidTr="00E9683D">
        <w:trPr>
          <w:cantSplit/>
          <w:trHeight w:val="20"/>
        </w:trPr>
        <w:tc>
          <w:tcPr>
            <w:tcW w:w="5000" w:type="pct"/>
            <w:vAlign w:val="center"/>
            <w:hideMark/>
          </w:tcPr>
          <w:p w14:paraId="087FCD56" w14:textId="77777777" w:rsidR="008B2AC7" w:rsidRPr="0019444B" w:rsidRDefault="008B2AC7" w:rsidP="00CA022C">
            <w:pPr>
              <w:rPr>
                <w:rFonts w:ascii="Arial Narrow" w:hAnsi="Arial Narrow" w:cstheme="minorHAnsi"/>
                <w:sz w:val="20"/>
                <w:szCs w:val="20"/>
              </w:rPr>
            </w:pPr>
            <w:r w:rsidRPr="0019444B">
              <w:rPr>
                <w:rFonts w:ascii="Arial Narrow" w:hAnsi="Arial Narrow" w:cstheme="minorHAnsi"/>
                <w:b/>
                <w:bCs/>
                <w:sz w:val="20"/>
                <w:szCs w:val="20"/>
              </w:rPr>
              <w:t>Clinical criteria:</w:t>
            </w:r>
          </w:p>
        </w:tc>
      </w:tr>
      <w:tr w:rsidR="008B2AC7" w:rsidRPr="0019444B" w14:paraId="3F1B46CC" w14:textId="77777777" w:rsidTr="00E9683D">
        <w:trPr>
          <w:cantSplit/>
          <w:trHeight w:val="20"/>
        </w:trPr>
        <w:tc>
          <w:tcPr>
            <w:tcW w:w="5000" w:type="pct"/>
            <w:vAlign w:val="center"/>
          </w:tcPr>
          <w:p w14:paraId="3A2F2E98" w14:textId="77777777" w:rsidR="008B2AC7" w:rsidRPr="0019444B" w:rsidRDefault="008B2AC7" w:rsidP="00CA022C">
            <w:pPr>
              <w:rPr>
                <w:rFonts w:ascii="Arial Narrow" w:hAnsi="Arial Narrow" w:cstheme="minorHAnsi"/>
                <w:bCs/>
                <w:strike/>
                <w:sz w:val="20"/>
                <w:szCs w:val="20"/>
              </w:rPr>
            </w:pPr>
            <w:r w:rsidRPr="0019444B">
              <w:rPr>
                <w:rFonts w:ascii="Arial Narrow" w:hAnsi="Arial Narrow" w:cstheme="minorHAnsi"/>
                <w:bCs/>
                <w:strike/>
                <w:sz w:val="20"/>
                <w:szCs w:val="20"/>
              </w:rPr>
              <w:t>Patient must be considered unsuitable for fludarabine-based chemoimmunotherapy</w:t>
            </w:r>
          </w:p>
        </w:tc>
      </w:tr>
      <w:tr w:rsidR="008B2AC7" w:rsidRPr="0019444B" w14:paraId="57133860" w14:textId="77777777" w:rsidTr="00E9683D">
        <w:trPr>
          <w:cantSplit/>
          <w:trHeight w:val="20"/>
        </w:trPr>
        <w:tc>
          <w:tcPr>
            <w:tcW w:w="5000" w:type="pct"/>
            <w:vAlign w:val="center"/>
            <w:hideMark/>
          </w:tcPr>
          <w:p w14:paraId="1477E830" w14:textId="77777777" w:rsidR="008B2AC7" w:rsidRPr="0019444B" w:rsidRDefault="008B2AC7" w:rsidP="00CA022C">
            <w:pPr>
              <w:rPr>
                <w:rFonts w:ascii="Arial Narrow" w:hAnsi="Arial Narrow" w:cstheme="minorHAnsi"/>
                <w:sz w:val="20"/>
                <w:szCs w:val="20"/>
              </w:rPr>
            </w:pPr>
            <w:r w:rsidRPr="0019444B">
              <w:rPr>
                <w:rFonts w:ascii="Arial Narrow" w:hAnsi="Arial Narrow" w:cstheme="minorHAnsi"/>
                <w:b/>
                <w:bCs/>
                <w:sz w:val="20"/>
                <w:szCs w:val="20"/>
              </w:rPr>
              <w:t>AND</w:t>
            </w:r>
          </w:p>
        </w:tc>
      </w:tr>
      <w:tr w:rsidR="008B2AC7" w:rsidRPr="0019444B" w14:paraId="58B6DBDF" w14:textId="77777777" w:rsidTr="00E9683D">
        <w:trPr>
          <w:cantSplit/>
          <w:trHeight w:val="20"/>
        </w:trPr>
        <w:tc>
          <w:tcPr>
            <w:tcW w:w="5000" w:type="pct"/>
            <w:vAlign w:val="center"/>
            <w:hideMark/>
          </w:tcPr>
          <w:p w14:paraId="1766AAE5" w14:textId="77777777" w:rsidR="008B2AC7" w:rsidRPr="0019444B" w:rsidRDefault="008B2AC7" w:rsidP="00CA022C">
            <w:pPr>
              <w:rPr>
                <w:rFonts w:ascii="Arial Narrow" w:hAnsi="Arial Narrow" w:cstheme="minorHAnsi"/>
                <w:sz w:val="20"/>
                <w:szCs w:val="20"/>
              </w:rPr>
            </w:pPr>
            <w:r w:rsidRPr="0019444B">
              <w:rPr>
                <w:rFonts w:ascii="Arial Narrow" w:hAnsi="Arial Narrow" w:cstheme="minorHAnsi"/>
                <w:b/>
                <w:bCs/>
                <w:sz w:val="20"/>
                <w:szCs w:val="20"/>
              </w:rPr>
              <w:t>Clinical criteria:</w:t>
            </w:r>
          </w:p>
        </w:tc>
      </w:tr>
      <w:tr w:rsidR="008B2AC7" w:rsidRPr="0019444B" w14:paraId="666ED731" w14:textId="77777777" w:rsidTr="00E9683D">
        <w:trPr>
          <w:cantSplit/>
          <w:trHeight w:val="20"/>
        </w:trPr>
        <w:tc>
          <w:tcPr>
            <w:tcW w:w="5000" w:type="pct"/>
            <w:vAlign w:val="center"/>
          </w:tcPr>
          <w:p w14:paraId="7A1DDB31" w14:textId="77777777" w:rsidR="008B2AC7" w:rsidRPr="0019444B" w:rsidRDefault="008B2AC7" w:rsidP="00CA022C">
            <w:pPr>
              <w:rPr>
                <w:rFonts w:ascii="Arial Narrow" w:hAnsi="Arial Narrow" w:cstheme="minorHAnsi"/>
                <w:sz w:val="20"/>
                <w:szCs w:val="20"/>
              </w:rPr>
            </w:pPr>
            <w:r w:rsidRPr="0019444B">
              <w:rPr>
                <w:rFonts w:ascii="Arial Narrow" w:hAnsi="Arial Narrow" w:cstheme="minorHAnsi"/>
                <w:sz w:val="20"/>
                <w:szCs w:val="20"/>
              </w:rPr>
              <w:t>Acalabrutinib must be initiated as a monotherapy for 1 Cycle with treatment in combination with obinutuzumab commencing in Cycle 2 Day 1</w:t>
            </w:r>
          </w:p>
        </w:tc>
      </w:tr>
      <w:tr w:rsidR="008B2AC7" w:rsidRPr="0019444B" w14:paraId="1E2962BB" w14:textId="77777777" w:rsidTr="00E9683D">
        <w:trPr>
          <w:cantSplit/>
          <w:trHeight w:val="20"/>
        </w:trPr>
        <w:tc>
          <w:tcPr>
            <w:tcW w:w="5000" w:type="pct"/>
            <w:vAlign w:val="center"/>
          </w:tcPr>
          <w:p w14:paraId="45425E53" w14:textId="77777777" w:rsidR="008B2AC7" w:rsidRPr="0019444B" w:rsidRDefault="008B2AC7" w:rsidP="00CA022C">
            <w:pPr>
              <w:rPr>
                <w:rFonts w:ascii="Arial Narrow" w:hAnsi="Arial Narrow" w:cstheme="minorHAnsi"/>
                <w:b/>
                <w:bCs/>
                <w:sz w:val="20"/>
                <w:szCs w:val="20"/>
              </w:rPr>
            </w:pPr>
            <w:r w:rsidRPr="0019444B">
              <w:rPr>
                <w:rFonts w:ascii="Arial Narrow" w:hAnsi="Arial Narrow" w:cstheme="minorHAnsi"/>
                <w:b/>
                <w:bCs/>
                <w:sz w:val="20"/>
                <w:szCs w:val="20"/>
              </w:rPr>
              <w:t>AND</w:t>
            </w:r>
          </w:p>
        </w:tc>
      </w:tr>
      <w:tr w:rsidR="008B2AC7" w:rsidRPr="0019444B" w14:paraId="61DECAA8" w14:textId="77777777" w:rsidTr="00E9683D">
        <w:trPr>
          <w:cantSplit/>
          <w:trHeight w:val="20"/>
        </w:trPr>
        <w:tc>
          <w:tcPr>
            <w:tcW w:w="5000" w:type="pct"/>
            <w:vAlign w:val="center"/>
          </w:tcPr>
          <w:p w14:paraId="34BD6BD6" w14:textId="77777777" w:rsidR="008B2AC7" w:rsidRPr="0019444B" w:rsidRDefault="008B2AC7" w:rsidP="00CA022C">
            <w:pPr>
              <w:rPr>
                <w:rFonts w:ascii="Arial Narrow" w:hAnsi="Arial Narrow" w:cstheme="minorHAnsi"/>
                <w:b/>
                <w:bCs/>
                <w:sz w:val="20"/>
                <w:szCs w:val="20"/>
              </w:rPr>
            </w:pPr>
            <w:r w:rsidRPr="0019444B">
              <w:rPr>
                <w:rFonts w:ascii="Arial Narrow" w:hAnsi="Arial Narrow" w:cstheme="minorHAnsi"/>
                <w:b/>
                <w:bCs/>
                <w:sz w:val="20"/>
                <w:szCs w:val="20"/>
              </w:rPr>
              <w:t>Clinical criteria:</w:t>
            </w:r>
          </w:p>
        </w:tc>
      </w:tr>
      <w:tr w:rsidR="008B2AC7" w:rsidRPr="0019444B" w14:paraId="25C306C1" w14:textId="77777777" w:rsidTr="00E9683D">
        <w:trPr>
          <w:cantSplit/>
          <w:trHeight w:val="20"/>
        </w:trPr>
        <w:tc>
          <w:tcPr>
            <w:tcW w:w="5000" w:type="pct"/>
            <w:vAlign w:val="center"/>
          </w:tcPr>
          <w:p w14:paraId="3B1167AC" w14:textId="77777777" w:rsidR="008B2AC7" w:rsidRPr="0019444B" w:rsidRDefault="008B2AC7" w:rsidP="00CA022C">
            <w:pPr>
              <w:rPr>
                <w:rFonts w:ascii="Arial Narrow" w:hAnsi="Arial Narrow" w:cstheme="minorHAnsi"/>
                <w:sz w:val="20"/>
                <w:szCs w:val="20"/>
              </w:rPr>
            </w:pPr>
            <w:r w:rsidRPr="0019444B">
              <w:rPr>
                <w:rFonts w:ascii="Arial Narrow" w:hAnsi="Arial Narrow" w:cstheme="minorHAnsi"/>
                <w:sz w:val="20"/>
                <w:szCs w:val="20"/>
              </w:rPr>
              <w:t>Patient must have creatinine clearance (CrCl) ≥30 mL/min</w:t>
            </w:r>
          </w:p>
        </w:tc>
      </w:tr>
      <w:tr w:rsidR="008B2AC7" w:rsidRPr="0019444B" w14:paraId="467A7CB6" w14:textId="77777777" w:rsidTr="00E9683D">
        <w:trPr>
          <w:cantSplit/>
          <w:trHeight w:val="20"/>
        </w:trPr>
        <w:tc>
          <w:tcPr>
            <w:tcW w:w="5000" w:type="pct"/>
            <w:vAlign w:val="center"/>
          </w:tcPr>
          <w:p w14:paraId="45E6E8B7" w14:textId="77777777" w:rsidR="008B2AC7" w:rsidRPr="0019444B" w:rsidRDefault="008B2AC7" w:rsidP="00CA022C">
            <w:pPr>
              <w:rPr>
                <w:rFonts w:ascii="Arial Narrow" w:hAnsi="Arial Narrow" w:cstheme="minorHAnsi"/>
                <w:sz w:val="20"/>
                <w:szCs w:val="20"/>
                <w:shd w:val="clear" w:color="auto" w:fill="FFFFFF"/>
              </w:rPr>
            </w:pPr>
            <w:r w:rsidRPr="0019444B">
              <w:rPr>
                <w:rFonts w:ascii="Arial Narrow" w:hAnsi="Arial Narrow" w:cstheme="minorHAnsi"/>
                <w:b/>
                <w:bCs/>
                <w:sz w:val="20"/>
                <w:szCs w:val="20"/>
              </w:rPr>
              <w:t>AND</w:t>
            </w:r>
          </w:p>
        </w:tc>
      </w:tr>
      <w:tr w:rsidR="008B2AC7" w:rsidRPr="0019444B" w14:paraId="35ABA0F4" w14:textId="77777777" w:rsidTr="00E9683D">
        <w:trPr>
          <w:cantSplit/>
          <w:trHeight w:val="20"/>
        </w:trPr>
        <w:tc>
          <w:tcPr>
            <w:tcW w:w="5000" w:type="pct"/>
            <w:vAlign w:val="center"/>
          </w:tcPr>
          <w:p w14:paraId="640F2FDA" w14:textId="77777777" w:rsidR="008B2AC7" w:rsidRPr="0019444B" w:rsidRDefault="008B2AC7" w:rsidP="00CA022C">
            <w:pPr>
              <w:rPr>
                <w:rFonts w:ascii="Arial Narrow" w:hAnsi="Arial Narrow" w:cstheme="minorHAnsi"/>
                <w:sz w:val="20"/>
                <w:szCs w:val="20"/>
                <w:shd w:val="clear" w:color="auto" w:fill="FFFFFF"/>
              </w:rPr>
            </w:pPr>
            <w:r w:rsidRPr="0019444B">
              <w:rPr>
                <w:rFonts w:ascii="Arial Narrow" w:hAnsi="Arial Narrow" w:cstheme="minorHAnsi"/>
                <w:b/>
                <w:bCs/>
                <w:sz w:val="20"/>
                <w:szCs w:val="20"/>
              </w:rPr>
              <w:t>Clinical criteria:</w:t>
            </w:r>
          </w:p>
        </w:tc>
      </w:tr>
      <w:tr w:rsidR="008B2AC7" w:rsidRPr="0019444B" w14:paraId="073FC9EF" w14:textId="77777777" w:rsidTr="00E9683D">
        <w:trPr>
          <w:cantSplit/>
          <w:trHeight w:val="20"/>
        </w:trPr>
        <w:tc>
          <w:tcPr>
            <w:tcW w:w="5000" w:type="pct"/>
            <w:vAlign w:val="center"/>
          </w:tcPr>
          <w:p w14:paraId="144A738E" w14:textId="77777777" w:rsidR="008B2AC7" w:rsidRPr="0019444B" w:rsidRDefault="008B2AC7" w:rsidP="00CA022C">
            <w:pPr>
              <w:rPr>
                <w:rFonts w:ascii="Arial Narrow" w:hAnsi="Arial Narrow" w:cstheme="minorHAnsi"/>
                <w:strike/>
                <w:sz w:val="20"/>
                <w:szCs w:val="20"/>
              </w:rPr>
            </w:pPr>
            <w:r w:rsidRPr="0019444B">
              <w:rPr>
                <w:rFonts w:ascii="Arial Narrow" w:hAnsi="Arial Narrow" w:cstheme="minorHAnsi"/>
                <w:strike/>
                <w:sz w:val="20"/>
                <w:szCs w:val="20"/>
              </w:rPr>
              <w:lastRenderedPageBreak/>
              <w:t>Patient must have Cumulative Illness Rating Scale score of &gt;6 (excluding CLL-induced illness or organ damage) OR patient must have a CrCl &lt;70 mL/min</w:t>
            </w:r>
          </w:p>
        </w:tc>
      </w:tr>
    </w:tbl>
    <w:p w14:paraId="6DFB29F4" w14:textId="71028E62" w:rsidR="008B2AC7" w:rsidRPr="0019444B" w:rsidRDefault="008B2AC7" w:rsidP="00CA022C">
      <w:pPr>
        <w:pStyle w:val="TableFigureHeading"/>
        <w:keepNext w:val="0"/>
        <w:spacing w:after="120"/>
        <w:ind w:left="142"/>
        <w:rPr>
          <w:rFonts w:cstheme="minorHAnsi"/>
          <w:szCs w:val="18"/>
        </w:rPr>
      </w:pPr>
      <w:r w:rsidRPr="0019444B">
        <w:rPr>
          <w:rFonts w:cstheme="minorHAnsi"/>
          <w:b w:val="0"/>
          <w:bCs w:val="0"/>
          <w:sz w:val="18"/>
          <w:szCs w:val="18"/>
        </w:rPr>
        <w:t>Source: Table 1.9, p.60 of the resubmission</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8916"/>
      </w:tblGrid>
      <w:tr w:rsidR="008B2AC7" w:rsidRPr="0019444B" w14:paraId="03C845DA" w14:textId="77777777" w:rsidTr="00E9683D">
        <w:trPr>
          <w:cantSplit/>
          <w:trHeight w:val="20"/>
        </w:trPr>
        <w:tc>
          <w:tcPr>
            <w:tcW w:w="5000" w:type="pct"/>
          </w:tcPr>
          <w:p w14:paraId="2AD335EB" w14:textId="77777777" w:rsidR="008B2AC7" w:rsidRPr="0019444B" w:rsidRDefault="008B2AC7" w:rsidP="00CA022C">
            <w:pPr>
              <w:rPr>
                <w:rFonts w:ascii="Arial Narrow" w:eastAsia="Calibri" w:hAnsi="Arial Narrow"/>
                <w:sz w:val="20"/>
                <w:szCs w:val="20"/>
              </w:rPr>
            </w:pPr>
            <w:r w:rsidRPr="0019444B">
              <w:rPr>
                <w:rFonts w:ascii="Arial Narrow" w:hAnsi="Arial Narrow"/>
                <w:b/>
                <w:bCs/>
                <w:sz w:val="20"/>
                <w:szCs w:val="20"/>
              </w:rPr>
              <w:t>Restriction type:</w:t>
            </w:r>
            <w:r w:rsidRPr="0019444B">
              <w:rPr>
                <w:rFonts w:ascii="Arial Narrow" w:hAnsi="Arial Narrow"/>
                <w:sz w:val="20"/>
                <w:szCs w:val="20"/>
              </w:rPr>
              <w:t xml:space="preserve"> </w:t>
            </w:r>
            <w:r w:rsidRPr="00B465C7">
              <w:rPr>
                <w:rFonts w:ascii="Arial Narrow" w:eastAsia="Calibri" w:hAnsi="Arial Narrow"/>
                <w:sz w:val="20"/>
                <w:szCs w:val="20"/>
              </w:rPr>
              <w:fldChar w:fldCharType="begin" w:fldLock="1">
                <w:ffData>
                  <w:name w:val=""/>
                  <w:enabled/>
                  <w:calcOnExit w:val="0"/>
                  <w:checkBox>
                    <w:sizeAuto/>
                    <w:default w:val="1"/>
                  </w:checkBox>
                </w:ffData>
              </w:fldChar>
            </w:r>
            <w:r w:rsidRPr="0019444B">
              <w:rPr>
                <w:rFonts w:ascii="Arial Narrow" w:eastAsia="Calibri" w:hAnsi="Arial Narrow"/>
                <w:sz w:val="20"/>
                <w:szCs w:val="20"/>
              </w:rPr>
              <w:instrText xml:space="preserve"> FORMCHECKBOX </w:instrText>
            </w:r>
            <w:r w:rsidR="00FF5E98">
              <w:rPr>
                <w:rFonts w:ascii="Arial Narrow" w:eastAsia="Calibri" w:hAnsi="Arial Narrow"/>
                <w:sz w:val="20"/>
                <w:szCs w:val="20"/>
              </w:rPr>
            </w:r>
            <w:r w:rsidR="00FF5E98">
              <w:rPr>
                <w:rFonts w:ascii="Arial Narrow" w:eastAsia="Calibri" w:hAnsi="Arial Narrow"/>
                <w:sz w:val="20"/>
                <w:szCs w:val="20"/>
              </w:rPr>
              <w:fldChar w:fldCharType="separate"/>
            </w:r>
            <w:r w:rsidRPr="00B465C7">
              <w:rPr>
                <w:rFonts w:ascii="Arial Narrow" w:eastAsia="Calibri" w:hAnsi="Arial Narrow"/>
                <w:sz w:val="20"/>
                <w:szCs w:val="20"/>
              </w:rPr>
              <w:fldChar w:fldCharType="end"/>
            </w:r>
            <w:r w:rsidRPr="0019444B">
              <w:rPr>
                <w:rFonts w:ascii="Arial Narrow" w:hAnsi="Arial Narrow"/>
                <w:sz w:val="20"/>
                <w:szCs w:val="20"/>
              </w:rPr>
              <w:t xml:space="preserve"> </w:t>
            </w:r>
            <w:r w:rsidRPr="0019444B">
              <w:rPr>
                <w:rFonts w:ascii="Arial Narrow" w:eastAsia="Calibri" w:hAnsi="Arial Narrow"/>
                <w:sz w:val="20"/>
                <w:szCs w:val="20"/>
              </w:rPr>
              <w:t>Streamlined</w:t>
            </w:r>
          </w:p>
        </w:tc>
      </w:tr>
      <w:tr w:rsidR="008B2AC7" w:rsidRPr="0019444B" w14:paraId="03B6B751" w14:textId="77777777" w:rsidTr="00E9683D">
        <w:trPr>
          <w:cantSplit/>
          <w:trHeight w:val="20"/>
        </w:trPr>
        <w:tc>
          <w:tcPr>
            <w:tcW w:w="5000" w:type="pct"/>
            <w:vAlign w:val="center"/>
          </w:tcPr>
          <w:p w14:paraId="352C68A1" w14:textId="77777777" w:rsidR="008B2AC7" w:rsidRPr="0019444B" w:rsidRDefault="008B2AC7" w:rsidP="00CA022C">
            <w:pPr>
              <w:rPr>
                <w:rFonts w:ascii="Arial Narrow" w:hAnsi="Arial Narrow"/>
                <w:bCs/>
                <w:sz w:val="20"/>
                <w:szCs w:val="20"/>
              </w:rPr>
            </w:pPr>
            <w:r w:rsidRPr="0019444B">
              <w:rPr>
                <w:rFonts w:ascii="Arial Narrow" w:hAnsi="Arial Narrow"/>
                <w:b/>
                <w:sz w:val="20"/>
                <w:szCs w:val="20"/>
              </w:rPr>
              <w:t>Condition:</w:t>
            </w:r>
            <w:r w:rsidRPr="0019444B">
              <w:rPr>
                <w:rFonts w:ascii="Arial Narrow" w:hAnsi="Arial Narrow"/>
                <w:bCs/>
                <w:sz w:val="20"/>
                <w:szCs w:val="20"/>
              </w:rPr>
              <w:t xml:space="preserve">  Chronic lymphocytic leukaemia (CLL) or small lymphocytic lymphoma (SLL)</w:t>
            </w:r>
          </w:p>
        </w:tc>
      </w:tr>
      <w:tr w:rsidR="008B2AC7" w:rsidRPr="0019444B" w14:paraId="7C0856E5" w14:textId="77777777" w:rsidTr="00E9683D">
        <w:trPr>
          <w:cantSplit/>
          <w:trHeight w:val="20"/>
        </w:trPr>
        <w:tc>
          <w:tcPr>
            <w:tcW w:w="5000" w:type="pct"/>
            <w:vAlign w:val="center"/>
            <w:hideMark/>
          </w:tcPr>
          <w:p w14:paraId="13A35534" w14:textId="77777777" w:rsidR="008B2AC7" w:rsidRPr="0019444B" w:rsidRDefault="008B2AC7" w:rsidP="00CA022C">
            <w:pPr>
              <w:rPr>
                <w:rFonts w:ascii="Arial Narrow" w:hAnsi="Arial Narrow"/>
                <w:sz w:val="20"/>
                <w:szCs w:val="20"/>
              </w:rPr>
            </w:pPr>
            <w:r w:rsidRPr="0019444B">
              <w:rPr>
                <w:rFonts w:ascii="Arial Narrow" w:hAnsi="Arial Narrow"/>
                <w:b/>
                <w:sz w:val="20"/>
                <w:szCs w:val="20"/>
              </w:rPr>
              <w:t>Indication:</w:t>
            </w:r>
            <w:r w:rsidRPr="0019444B">
              <w:rPr>
                <w:rFonts w:ascii="Arial Narrow" w:hAnsi="Arial Narrow"/>
                <w:sz w:val="20"/>
                <w:szCs w:val="20"/>
              </w:rPr>
              <w:t xml:space="preserve"> Patients with untreated CLL/SLL</w:t>
            </w:r>
          </w:p>
        </w:tc>
      </w:tr>
      <w:tr w:rsidR="008B2AC7" w:rsidRPr="0019444B" w14:paraId="36DD161C" w14:textId="77777777" w:rsidTr="00E9683D">
        <w:trPr>
          <w:cantSplit/>
          <w:trHeight w:val="20"/>
        </w:trPr>
        <w:tc>
          <w:tcPr>
            <w:tcW w:w="5000" w:type="pct"/>
            <w:vAlign w:val="center"/>
            <w:hideMark/>
          </w:tcPr>
          <w:p w14:paraId="66FA996F" w14:textId="77777777" w:rsidR="008B2AC7" w:rsidRPr="0019444B" w:rsidRDefault="008B2AC7" w:rsidP="00CA022C">
            <w:pPr>
              <w:rPr>
                <w:rFonts w:ascii="Arial Narrow" w:hAnsi="Arial Narrow"/>
                <w:sz w:val="20"/>
                <w:szCs w:val="20"/>
              </w:rPr>
            </w:pPr>
            <w:r w:rsidRPr="0019444B">
              <w:rPr>
                <w:rFonts w:ascii="Arial Narrow" w:hAnsi="Arial Narrow"/>
                <w:b/>
                <w:sz w:val="20"/>
                <w:szCs w:val="20"/>
              </w:rPr>
              <w:t>Treatment Phase:</w:t>
            </w:r>
            <w:r w:rsidRPr="0019444B">
              <w:rPr>
                <w:rFonts w:ascii="Arial Narrow" w:hAnsi="Arial Narrow"/>
                <w:sz w:val="20"/>
                <w:szCs w:val="20"/>
              </w:rPr>
              <w:t xml:space="preserve"> Continuing</w:t>
            </w:r>
          </w:p>
        </w:tc>
      </w:tr>
      <w:tr w:rsidR="008B2AC7" w:rsidRPr="0019444B" w14:paraId="2D9055A3" w14:textId="77777777" w:rsidTr="00E9683D">
        <w:trPr>
          <w:cantSplit/>
          <w:trHeight w:val="20"/>
        </w:trPr>
        <w:tc>
          <w:tcPr>
            <w:tcW w:w="5000" w:type="pct"/>
            <w:vAlign w:val="center"/>
            <w:hideMark/>
          </w:tcPr>
          <w:p w14:paraId="5AA60165" w14:textId="77777777" w:rsidR="008B2AC7" w:rsidRPr="0019444B" w:rsidRDefault="008B2AC7" w:rsidP="00CA022C">
            <w:pPr>
              <w:rPr>
                <w:rFonts w:ascii="Arial Narrow" w:hAnsi="Arial Narrow"/>
                <w:b/>
                <w:sz w:val="20"/>
                <w:szCs w:val="20"/>
              </w:rPr>
            </w:pPr>
            <w:r w:rsidRPr="0019444B">
              <w:rPr>
                <w:rFonts w:ascii="Arial Narrow" w:hAnsi="Arial Narrow"/>
                <w:b/>
                <w:sz w:val="20"/>
                <w:szCs w:val="20"/>
              </w:rPr>
              <w:t xml:space="preserve">Clinical criteria: </w:t>
            </w:r>
          </w:p>
        </w:tc>
      </w:tr>
      <w:tr w:rsidR="008B2AC7" w:rsidRPr="0019444B" w14:paraId="3C6EBE57" w14:textId="77777777" w:rsidTr="00E9683D">
        <w:trPr>
          <w:cantSplit/>
          <w:trHeight w:val="20"/>
        </w:trPr>
        <w:tc>
          <w:tcPr>
            <w:tcW w:w="5000" w:type="pct"/>
            <w:vAlign w:val="center"/>
            <w:hideMark/>
          </w:tcPr>
          <w:p w14:paraId="15320ECE" w14:textId="77777777" w:rsidR="008B2AC7" w:rsidRPr="0019444B" w:rsidRDefault="008B2AC7" w:rsidP="00CA022C">
            <w:pPr>
              <w:rPr>
                <w:rFonts w:ascii="Arial Narrow" w:hAnsi="Arial Narrow"/>
                <w:sz w:val="20"/>
                <w:szCs w:val="20"/>
              </w:rPr>
            </w:pPr>
            <w:r w:rsidRPr="0019444B">
              <w:rPr>
                <w:rFonts w:ascii="Arial Narrow" w:hAnsi="Arial Narrow"/>
                <w:sz w:val="20"/>
                <w:szCs w:val="20"/>
              </w:rPr>
              <w:t>Patient must have previously received PBS-subsidised treatment with this drug for this condition</w:t>
            </w:r>
          </w:p>
        </w:tc>
      </w:tr>
      <w:tr w:rsidR="008B2AC7" w:rsidRPr="0019444B" w14:paraId="43875F8B" w14:textId="77777777" w:rsidTr="00E9683D">
        <w:trPr>
          <w:cantSplit/>
          <w:trHeight w:val="20"/>
        </w:trPr>
        <w:tc>
          <w:tcPr>
            <w:tcW w:w="5000" w:type="pct"/>
            <w:vAlign w:val="center"/>
            <w:hideMark/>
          </w:tcPr>
          <w:p w14:paraId="7F88F0B5" w14:textId="77777777" w:rsidR="008B2AC7" w:rsidRPr="0019444B" w:rsidRDefault="008B2AC7" w:rsidP="00CA022C">
            <w:pPr>
              <w:rPr>
                <w:rFonts w:ascii="Arial Narrow" w:hAnsi="Arial Narrow"/>
                <w:b/>
                <w:sz w:val="20"/>
                <w:szCs w:val="20"/>
              </w:rPr>
            </w:pPr>
            <w:r w:rsidRPr="0019444B">
              <w:rPr>
                <w:rFonts w:ascii="Arial Narrow" w:hAnsi="Arial Narrow"/>
                <w:b/>
                <w:sz w:val="20"/>
                <w:szCs w:val="20"/>
              </w:rPr>
              <w:t>AND</w:t>
            </w:r>
          </w:p>
        </w:tc>
      </w:tr>
      <w:tr w:rsidR="008B2AC7" w:rsidRPr="0019444B" w14:paraId="4B1E1E5E" w14:textId="77777777" w:rsidTr="00E9683D">
        <w:trPr>
          <w:cantSplit/>
          <w:trHeight w:val="20"/>
        </w:trPr>
        <w:tc>
          <w:tcPr>
            <w:tcW w:w="5000" w:type="pct"/>
            <w:vAlign w:val="center"/>
            <w:hideMark/>
          </w:tcPr>
          <w:p w14:paraId="3B6920DA" w14:textId="77777777" w:rsidR="008B2AC7" w:rsidRPr="0019444B" w:rsidRDefault="008B2AC7" w:rsidP="00CA022C">
            <w:pPr>
              <w:rPr>
                <w:rFonts w:ascii="Arial Narrow" w:hAnsi="Arial Narrow"/>
                <w:b/>
                <w:sz w:val="20"/>
                <w:szCs w:val="20"/>
              </w:rPr>
            </w:pPr>
            <w:r w:rsidRPr="0019444B">
              <w:rPr>
                <w:rFonts w:ascii="Arial Narrow" w:hAnsi="Arial Narrow"/>
                <w:b/>
                <w:sz w:val="20"/>
                <w:szCs w:val="20"/>
              </w:rPr>
              <w:t>Clinical criteria:</w:t>
            </w:r>
          </w:p>
        </w:tc>
      </w:tr>
      <w:tr w:rsidR="008B2AC7" w:rsidRPr="0019444B" w14:paraId="0A1375AD" w14:textId="77777777" w:rsidTr="00E9683D">
        <w:trPr>
          <w:cantSplit/>
          <w:trHeight w:val="20"/>
        </w:trPr>
        <w:tc>
          <w:tcPr>
            <w:tcW w:w="5000" w:type="pct"/>
            <w:vAlign w:val="center"/>
          </w:tcPr>
          <w:p w14:paraId="5D7FC773" w14:textId="77777777" w:rsidR="008B2AC7" w:rsidRPr="0019444B" w:rsidRDefault="008B2AC7" w:rsidP="00CA022C">
            <w:pPr>
              <w:rPr>
                <w:rFonts w:ascii="Arial Narrow" w:hAnsi="Arial Narrow"/>
                <w:bCs/>
                <w:sz w:val="20"/>
                <w:szCs w:val="20"/>
              </w:rPr>
            </w:pPr>
            <w:r w:rsidRPr="0019444B">
              <w:rPr>
                <w:rFonts w:ascii="Arial Narrow" w:hAnsi="Arial Narrow"/>
                <w:bCs/>
                <w:sz w:val="20"/>
                <w:szCs w:val="20"/>
              </w:rPr>
              <w:t>Patient must not develop disease progression while receiving PBS-subsidised treatment with this drug for this condition</w:t>
            </w:r>
          </w:p>
        </w:tc>
      </w:tr>
      <w:tr w:rsidR="008B2AC7" w:rsidRPr="0019444B" w14:paraId="448C4A34" w14:textId="77777777" w:rsidTr="00E9683D">
        <w:trPr>
          <w:cantSplit/>
          <w:trHeight w:val="20"/>
        </w:trPr>
        <w:tc>
          <w:tcPr>
            <w:tcW w:w="5000" w:type="pct"/>
            <w:vAlign w:val="center"/>
            <w:hideMark/>
          </w:tcPr>
          <w:p w14:paraId="27961ABB" w14:textId="77777777" w:rsidR="008B2AC7" w:rsidRPr="0019444B" w:rsidRDefault="008B2AC7" w:rsidP="00CA022C">
            <w:pPr>
              <w:rPr>
                <w:rFonts w:ascii="Arial Narrow" w:hAnsi="Arial Narrow"/>
                <w:b/>
                <w:sz w:val="20"/>
                <w:szCs w:val="20"/>
              </w:rPr>
            </w:pPr>
            <w:r w:rsidRPr="0019444B">
              <w:rPr>
                <w:rFonts w:ascii="Arial Narrow" w:hAnsi="Arial Narrow"/>
                <w:b/>
                <w:sz w:val="20"/>
                <w:szCs w:val="20"/>
              </w:rPr>
              <w:t>AND</w:t>
            </w:r>
          </w:p>
        </w:tc>
      </w:tr>
      <w:tr w:rsidR="008B2AC7" w:rsidRPr="0019444B" w14:paraId="1F522861" w14:textId="77777777" w:rsidTr="00E9683D">
        <w:trPr>
          <w:cantSplit/>
          <w:trHeight w:val="20"/>
        </w:trPr>
        <w:tc>
          <w:tcPr>
            <w:tcW w:w="5000" w:type="pct"/>
            <w:vAlign w:val="center"/>
            <w:hideMark/>
          </w:tcPr>
          <w:p w14:paraId="550797AA" w14:textId="77777777" w:rsidR="008B2AC7" w:rsidRPr="0019444B" w:rsidRDefault="008B2AC7" w:rsidP="00CA022C">
            <w:pPr>
              <w:rPr>
                <w:rFonts w:ascii="Arial Narrow" w:hAnsi="Arial Narrow"/>
                <w:b/>
                <w:sz w:val="20"/>
                <w:szCs w:val="20"/>
              </w:rPr>
            </w:pPr>
            <w:r w:rsidRPr="0019444B">
              <w:rPr>
                <w:rFonts w:ascii="Arial Narrow" w:hAnsi="Arial Narrow"/>
                <w:b/>
                <w:sz w:val="20"/>
                <w:szCs w:val="20"/>
              </w:rPr>
              <w:t>Clinical criteria:</w:t>
            </w:r>
          </w:p>
        </w:tc>
      </w:tr>
      <w:tr w:rsidR="008B2AC7" w:rsidRPr="0019444B" w14:paraId="1A14C315" w14:textId="77777777" w:rsidTr="00E9683D">
        <w:trPr>
          <w:cantSplit/>
          <w:trHeight w:val="20"/>
        </w:trPr>
        <w:tc>
          <w:tcPr>
            <w:tcW w:w="5000" w:type="pct"/>
            <w:vAlign w:val="center"/>
          </w:tcPr>
          <w:p w14:paraId="2DE3DFFD" w14:textId="77777777" w:rsidR="008B2AC7" w:rsidRPr="0019444B" w:rsidRDefault="008B2AC7" w:rsidP="00CA022C">
            <w:pPr>
              <w:rPr>
                <w:rFonts w:ascii="Arial Narrow" w:hAnsi="Arial Narrow"/>
                <w:sz w:val="20"/>
                <w:szCs w:val="20"/>
              </w:rPr>
            </w:pPr>
            <w:r w:rsidRPr="0019444B">
              <w:rPr>
                <w:rFonts w:ascii="Arial Narrow" w:hAnsi="Arial Narrow"/>
                <w:sz w:val="20"/>
                <w:szCs w:val="20"/>
              </w:rPr>
              <w:t>The treatment must be as monotherapy</w:t>
            </w:r>
          </w:p>
        </w:tc>
      </w:tr>
    </w:tbl>
    <w:p w14:paraId="298CABC3" w14:textId="77777777" w:rsidR="008B2AC7" w:rsidRPr="0019444B" w:rsidRDefault="008B2AC7" w:rsidP="00CA022C">
      <w:pPr>
        <w:spacing w:after="120"/>
        <w:ind w:left="142"/>
        <w:rPr>
          <w:rFonts w:ascii="Arial Narrow" w:hAnsi="Arial Narrow"/>
          <w:sz w:val="19"/>
          <w:szCs w:val="19"/>
        </w:rPr>
      </w:pPr>
      <w:r w:rsidRPr="0019444B">
        <w:rPr>
          <w:rFonts w:ascii="Arial Narrow" w:hAnsi="Arial Narrow"/>
          <w:sz w:val="19"/>
          <w:szCs w:val="19"/>
        </w:rPr>
        <w:t>Source: Table 1.10, p.62 of the resubmission</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8916"/>
      </w:tblGrid>
      <w:tr w:rsidR="008B2AC7" w:rsidRPr="0019444B" w14:paraId="3A78985E" w14:textId="77777777" w:rsidTr="00E9683D">
        <w:trPr>
          <w:cantSplit/>
          <w:trHeight w:val="20"/>
        </w:trPr>
        <w:tc>
          <w:tcPr>
            <w:tcW w:w="5000" w:type="pct"/>
          </w:tcPr>
          <w:p w14:paraId="427FC36A" w14:textId="77777777" w:rsidR="008B2AC7" w:rsidRPr="0019444B" w:rsidRDefault="008B2AC7" w:rsidP="00CA022C">
            <w:pPr>
              <w:rPr>
                <w:rFonts w:ascii="Arial Narrow" w:eastAsia="Calibri" w:hAnsi="Arial Narrow" w:cstheme="minorHAnsi"/>
                <w:sz w:val="20"/>
                <w:szCs w:val="20"/>
              </w:rPr>
            </w:pPr>
            <w:r w:rsidRPr="0019444B">
              <w:rPr>
                <w:rFonts w:ascii="Arial Narrow" w:hAnsi="Arial Narrow" w:cstheme="minorHAnsi"/>
                <w:b/>
                <w:sz w:val="20"/>
                <w:szCs w:val="20"/>
              </w:rPr>
              <w:t xml:space="preserve">Restriction type: </w:t>
            </w:r>
            <w:r w:rsidRPr="00B465C7">
              <w:rPr>
                <w:rFonts w:ascii="Arial Narrow" w:eastAsia="Calibri" w:hAnsi="Arial Narrow" w:cstheme="minorHAnsi"/>
                <w:sz w:val="20"/>
                <w:szCs w:val="20"/>
              </w:rPr>
              <w:fldChar w:fldCharType="begin" w:fldLock="1">
                <w:ffData>
                  <w:name w:val=""/>
                  <w:enabled/>
                  <w:calcOnExit w:val="0"/>
                  <w:checkBox>
                    <w:sizeAuto/>
                    <w:default w:val="1"/>
                  </w:checkBox>
                </w:ffData>
              </w:fldChar>
            </w:r>
            <w:r w:rsidRPr="0019444B">
              <w:rPr>
                <w:rFonts w:ascii="Arial Narrow" w:eastAsia="Calibri" w:hAnsi="Arial Narrow" w:cstheme="minorHAnsi"/>
                <w:sz w:val="20"/>
                <w:szCs w:val="20"/>
              </w:rPr>
              <w:instrText xml:space="preserve"> FORMCHECKBOX </w:instrText>
            </w:r>
            <w:r w:rsidR="00FF5E98">
              <w:rPr>
                <w:rFonts w:ascii="Arial Narrow" w:eastAsia="Calibri" w:hAnsi="Arial Narrow" w:cstheme="minorHAnsi"/>
                <w:sz w:val="20"/>
                <w:szCs w:val="20"/>
              </w:rPr>
            </w:r>
            <w:r w:rsidR="00FF5E98">
              <w:rPr>
                <w:rFonts w:ascii="Arial Narrow" w:eastAsia="Calibri" w:hAnsi="Arial Narrow" w:cstheme="minorHAnsi"/>
                <w:sz w:val="20"/>
                <w:szCs w:val="20"/>
              </w:rPr>
              <w:fldChar w:fldCharType="separate"/>
            </w:r>
            <w:r w:rsidRPr="00B465C7">
              <w:rPr>
                <w:rFonts w:ascii="Arial Narrow" w:eastAsia="Calibri" w:hAnsi="Arial Narrow" w:cstheme="minorHAnsi"/>
                <w:sz w:val="20"/>
                <w:szCs w:val="20"/>
              </w:rPr>
              <w:fldChar w:fldCharType="end"/>
            </w:r>
            <w:r w:rsidRPr="0019444B">
              <w:t xml:space="preserve"> </w:t>
            </w:r>
            <w:r w:rsidRPr="0019444B">
              <w:rPr>
                <w:rFonts w:ascii="Arial Narrow" w:eastAsia="Calibri" w:hAnsi="Arial Narrow" w:cstheme="minorHAnsi"/>
                <w:sz w:val="20"/>
                <w:szCs w:val="20"/>
              </w:rPr>
              <w:t>Authority Required – Telephone</w:t>
            </w:r>
          </w:p>
        </w:tc>
      </w:tr>
      <w:tr w:rsidR="008B2AC7" w:rsidRPr="0019444B" w14:paraId="4C1DA96D" w14:textId="77777777" w:rsidTr="00E9683D">
        <w:trPr>
          <w:cantSplit/>
          <w:trHeight w:val="20"/>
        </w:trPr>
        <w:tc>
          <w:tcPr>
            <w:tcW w:w="5000" w:type="pct"/>
            <w:vAlign w:val="center"/>
          </w:tcPr>
          <w:p w14:paraId="3F7A2657" w14:textId="77777777" w:rsidR="008B2AC7" w:rsidRPr="0019444B" w:rsidRDefault="008B2AC7" w:rsidP="00CA022C">
            <w:pPr>
              <w:rPr>
                <w:rFonts w:ascii="Arial Narrow" w:hAnsi="Arial Narrow" w:cstheme="minorHAnsi"/>
                <w:b/>
                <w:bCs/>
                <w:sz w:val="20"/>
                <w:szCs w:val="20"/>
              </w:rPr>
            </w:pPr>
            <w:r w:rsidRPr="0019444B">
              <w:rPr>
                <w:rFonts w:ascii="Arial Narrow" w:hAnsi="Arial Narrow" w:cstheme="minorHAnsi"/>
                <w:b/>
                <w:bCs/>
                <w:sz w:val="20"/>
                <w:szCs w:val="20"/>
              </w:rPr>
              <w:t xml:space="preserve">Condition: </w:t>
            </w:r>
            <w:r w:rsidRPr="0019444B">
              <w:rPr>
                <w:rFonts w:ascii="Arial Narrow" w:hAnsi="Arial Narrow" w:cstheme="minorHAnsi"/>
                <w:bCs/>
                <w:sz w:val="20"/>
                <w:szCs w:val="20"/>
              </w:rPr>
              <w:t xml:space="preserve"> Chronic lymphocytic leukaemia (CLL) or small lymphocytic lymphoma (SLL)</w:t>
            </w:r>
          </w:p>
        </w:tc>
      </w:tr>
      <w:tr w:rsidR="008B2AC7" w:rsidRPr="0019444B" w14:paraId="0BC5C716" w14:textId="77777777" w:rsidTr="00E9683D">
        <w:trPr>
          <w:cantSplit/>
          <w:trHeight w:val="20"/>
        </w:trPr>
        <w:tc>
          <w:tcPr>
            <w:tcW w:w="5000" w:type="pct"/>
            <w:vAlign w:val="center"/>
            <w:hideMark/>
          </w:tcPr>
          <w:p w14:paraId="28F9A1ED" w14:textId="77777777" w:rsidR="008B2AC7" w:rsidRPr="0019444B" w:rsidRDefault="008B2AC7" w:rsidP="00CA022C">
            <w:pPr>
              <w:rPr>
                <w:rFonts w:ascii="Arial Narrow" w:hAnsi="Arial Narrow" w:cstheme="minorHAnsi"/>
                <w:sz w:val="20"/>
                <w:szCs w:val="20"/>
              </w:rPr>
            </w:pPr>
            <w:r w:rsidRPr="0019444B">
              <w:rPr>
                <w:rFonts w:ascii="Arial Narrow" w:hAnsi="Arial Narrow" w:cstheme="minorHAnsi"/>
                <w:b/>
                <w:bCs/>
                <w:sz w:val="20"/>
                <w:szCs w:val="20"/>
              </w:rPr>
              <w:t>Indication:</w:t>
            </w:r>
            <w:r w:rsidRPr="0019444B">
              <w:rPr>
                <w:rFonts w:ascii="Arial Narrow" w:hAnsi="Arial Narrow" w:cstheme="minorHAnsi"/>
                <w:sz w:val="20"/>
                <w:szCs w:val="20"/>
              </w:rPr>
              <w:t xml:space="preserve"> Patients with untreated CLL/SLL</w:t>
            </w:r>
          </w:p>
        </w:tc>
      </w:tr>
      <w:tr w:rsidR="008B2AC7" w:rsidRPr="0019444B" w14:paraId="08FD064A" w14:textId="77777777" w:rsidTr="00E9683D">
        <w:trPr>
          <w:cantSplit/>
          <w:trHeight w:val="20"/>
        </w:trPr>
        <w:tc>
          <w:tcPr>
            <w:tcW w:w="5000" w:type="pct"/>
            <w:vAlign w:val="center"/>
            <w:hideMark/>
          </w:tcPr>
          <w:p w14:paraId="3D733D22" w14:textId="77777777" w:rsidR="008B2AC7" w:rsidRPr="0019444B" w:rsidRDefault="008B2AC7" w:rsidP="00CA022C">
            <w:pPr>
              <w:rPr>
                <w:rFonts w:ascii="Arial Narrow" w:hAnsi="Arial Narrow" w:cstheme="minorHAnsi"/>
                <w:sz w:val="20"/>
                <w:szCs w:val="20"/>
              </w:rPr>
            </w:pPr>
            <w:r w:rsidRPr="0019444B">
              <w:rPr>
                <w:rFonts w:ascii="Arial Narrow" w:hAnsi="Arial Narrow" w:cstheme="minorHAnsi"/>
                <w:b/>
                <w:bCs/>
                <w:sz w:val="20"/>
                <w:szCs w:val="20"/>
              </w:rPr>
              <w:t>Treatment Phase:</w:t>
            </w:r>
            <w:r w:rsidRPr="0019444B">
              <w:rPr>
                <w:rFonts w:ascii="Arial Narrow" w:hAnsi="Arial Narrow" w:cstheme="minorHAnsi"/>
                <w:sz w:val="20"/>
                <w:szCs w:val="20"/>
              </w:rPr>
              <w:t xml:space="preserve"> Initial    </w:t>
            </w:r>
          </w:p>
        </w:tc>
      </w:tr>
      <w:tr w:rsidR="008B2AC7" w:rsidRPr="0019444B" w14:paraId="5173ABDA" w14:textId="77777777" w:rsidTr="00E9683D">
        <w:trPr>
          <w:cantSplit/>
          <w:trHeight w:val="20"/>
        </w:trPr>
        <w:tc>
          <w:tcPr>
            <w:tcW w:w="5000" w:type="pct"/>
            <w:vAlign w:val="center"/>
            <w:hideMark/>
          </w:tcPr>
          <w:p w14:paraId="6DE6FC8D" w14:textId="77777777" w:rsidR="008B2AC7" w:rsidRPr="0019444B" w:rsidRDefault="008B2AC7" w:rsidP="00CA022C">
            <w:pPr>
              <w:rPr>
                <w:rFonts w:ascii="Arial Narrow" w:hAnsi="Arial Narrow" w:cstheme="minorHAnsi"/>
                <w:sz w:val="20"/>
                <w:szCs w:val="20"/>
              </w:rPr>
            </w:pPr>
            <w:r w:rsidRPr="0019444B">
              <w:rPr>
                <w:rFonts w:ascii="Arial Narrow" w:hAnsi="Arial Narrow" w:cstheme="minorHAnsi"/>
                <w:b/>
                <w:bCs/>
                <w:sz w:val="20"/>
                <w:szCs w:val="20"/>
              </w:rPr>
              <w:t xml:space="preserve">Clinical criteria: </w:t>
            </w:r>
          </w:p>
        </w:tc>
      </w:tr>
      <w:tr w:rsidR="008B2AC7" w:rsidRPr="0019444B" w14:paraId="2A43407F" w14:textId="77777777" w:rsidTr="00E9683D">
        <w:trPr>
          <w:cantSplit/>
          <w:trHeight w:val="20"/>
        </w:trPr>
        <w:tc>
          <w:tcPr>
            <w:tcW w:w="5000" w:type="pct"/>
            <w:vAlign w:val="center"/>
            <w:hideMark/>
          </w:tcPr>
          <w:p w14:paraId="5D94A322" w14:textId="77777777" w:rsidR="008B2AC7" w:rsidRPr="0019444B" w:rsidRDefault="008B2AC7" w:rsidP="00CA022C">
            <w:pPr>
              <w:rPr>
                <w:rFonts w:ascii="Arial Narrow" w:hAnsi="Arial Narrow" w:cstheme="minorHAnsi"/>
                <w:sz w:val="20"/>
                <w:szCs w:val="20"/>
              </w:rPr>
            </w:pPr>
            <w:r w:rsidRPr="0019444B">
              <w:rPr>
                <w:rFonts w:ascii="Arial Narrow" w:hAnsi="Arial Narrow" w:cstheme="minorHAnsi"/>
                <w:sz w:val="20"/>
                <w:szCs w:val="20"/>
              </w:rPr>
              <w:t>Patient must have previously received non-PBS-subsidised treatment with this drug for previously untreated CLL/SLL prior to [PBS-listing date of acalabrutinib]</w:t>
            </w:r>
          </w:p>
        </w:tc>
      </w:tr>
      <w:tr w:rsidR="008B2AC7" w:rsidRPr="0019444B" w14:paraId="4212B558" w14:textId="77777777" w:rsidTr="00E9683D">
        <w:trPr>
          <w:cantSplit/>
          <w:trHeight w:val="20"/>
        </w:trPr>
        <w:tc>
          <w:tcPr>
            <w:tcW w:w="5000" w:type="pct"/>
            <w:vAlign w:val="center"/>
            <w:hideMark/>
          </w:tcPr>
          <w:p w14:paraId="710E0640" w14:textId="77777777" w:rsidR="008B2AC7" w:rsidRPr="0019444B" w:rsidRDefault="008B2AC7" w:rsidP="00CA022C">
            <w:pPr>
              <w:rPr>
                <w:rFonts w:ascii="Arial Narrow" w:hAnsi="Arial Narrow" w:cstheme="minorHAnsi"/>
                <w:sz w:val="20"/>
                <w:szCs w:val="20"/>
              </w:rPr>
            </w:pPr>
            <w:r w:rsidRPr="0019444B">
              <w:rPr>
                <w:rFonts w:ascii="Arial Narrow" w:hAnsi="Arial Narrow" w:cstheme="minorHAnsi"/>
                <w:b/>
                <w:bCs/>
                <w:sz w:val="20"/>
                <w:szCs w:val="20"/>
              </w:rPr>
              <w:t>AND</w:t>
            </w:r>
          </w:p>
        </w:tc>
      </w:tr>
      <w:tr w:rsidR="008B2AC7" w:rsidRPr="0019444B" w14:paraId="0AC14A77" w14:textId="77777777" w:rsidTr="00E9683D">
        <w:trPr>
          <w:cantSplit/>
          <w:trHeight w:val="20"/>
        </w:trPr>
        <w:tc>
          <w:tcPr>
            <w:tcW w:w="5000" w:type="pct"/>
            <w:vAlign w:val="center"/>
            <w:hideMark/>
          </w:tcPr>
          <w:p w14:paraId="62C3C09E" w14:textId="77777777" w:rsidR="008B2AC7" w:rsidRPr="0019444B" w:rsidRDefault="008B2AC7" w:rsidP="00CA022C">
            <w:pPr>
              <w:rPr>
                <w:rFonts w:ascii="Arial Narrow" w:hAnsi="Arial Narrow" w:cstheme="minorHAnsi"/>
                <w:sz w:val="20"/>
                <w:szCs w:val="20"/>
              </w:rPr>
            </w:pPr>
            <w:r w:rsidRPr="0019444B">
              <w:rPr>
                <w:rFonts w:ascii="Arial Narrow" w:hAnsi="Arial Narrow" w:cstheme="minorHAnsi"/>
                <w:b/>
                <w:bCs/>
                <w:sz w:val="20"/>
                <w:szCs w:val="20"/>
              </w:rPr>
              <w:t>Clinical criteria:</w:t>
            </w:r>
          </w:p>
        </w:tc>
      </w:tr>
      <w:tr w:rsidR="008B2AC7" w:rsidRPr="0019444B" w14:paraId="56844E11" w14:textId="77777777" w:rsidTr="00E9683D">
        <w:trPr>
          <w:cantSplit/>
          <w:trHeight w:val="20"/>
        </w:trPr>
        <w:tc>
          <w:tcPr>
            <w:tcW w:w="5000" w:type="pct"/>
            <w:vAlign w:val="center"/>
          </w:tcPr>
          <w:p w14:paraId="34525B46" w14:textId="77777777" w:rsidR="008B2AC7" w:rsidRPr="0019444B" w:rsidRDefault="008B2AC7" w:rsidP="00CA022C">
            <w:pPr>
              <w:rPr>
                <w:rFonts w:ascii="Arial Narrow" w:hAnsi="Arial Narrow" w:cstheme="minorHAnsi"/>
                <w:sz w:val="20"/>
                <w:szCs w:val="20"/>
              </w:rPr>
            </w:pPr>
            <w:r w:rsidRPr="0019444B">
              <w:rPr>
                <w:rFonts w:ascii="Arial Narrow" w:hAnsi="Arial Narrow" w:cstheme="minorHAnsi"/>
                <w:sz w:val="20"/>
                <w:szCs w:val="20"/>
              </w:rPr>
              <w:t>Patient must have creatinine clearance (CrCl) ≥30 mL/min</w:t>
            </w:r>
          </w:p>
        </w:tc>
      </w:tr>
      <w:tr w:rsidR="008B2AC7" w:rsidRPr="0019444B" w14:paraId="06ED2F5F" w14:textId="77777777" w:rsidTr="00E9683D">
        <w:trPr>
          <w:cantSplit/>
          <w:trHeight w:val="20"/>
        </w:trPr>
        <w:tc>
          <w:tcPr>
            <w:tcW w:w="5000" w:type="pct"/>
            <w:vAlign w:val="center"/>
          </w:tcPr>
          <w:p w14:paraId="2CB3C083" w14:textId="77777777" w:rsidR="008B2AC7" w:rsidRPr="0019444B" w:rsidRDefault="008B2AC7" w:rsidP="00CA022C">
            <w:pPr>
              <w:rPr>
                <w:rFonts w:ascii="Arial Narrow" w:hAnsi="Arial Narrow" w:cstheme="minorHAnsi"/>
                <w:sz w:val="20"/>
                <w:szCs w:val="20"/>
                <w:shd w:val="clear" w:color="auto" w:fill="FFFFFF"/>
              </w:rPr>
            </w:pPr>
            <w:r w:rsidRPr="0019444B">
              <w:rPr>
                <w:rFonts w:ascii="Arial Narrow" w:hAnsi="Arial Narrow" w:cstheme="minorHAnsi"/>
                <w:b/>
                <w:bCs/>
                <w:sz w:val="20"/>
                <w:szCs w:val="20"/>
              </w:rPr>
              <w:t>AND</w:t>
            </w:r>
          </w:p>
        </w:tc>
      </w:tr>
      <w:tr w:rsidR="008B2AC7" w:rsidRPr="0019444B" w14:paraId="0DC1D3D9" w14:textId="77777777" w:rsidTr="00E9683D">
        <w:trPr>
          <w:cantSplit/>
          <w:trHeight w:val="20"/>
        </w:trPr>
        <w:tc>
          <w:tcPr>
            <w:tcW w:w="5000" w:type="pct"/>
            <w:vAlign w:val="center"/>
          </w:tcPr>
          <w:p w14:paraId="543EF174" w14:textId="77777777" w:rsidR="008B2AC7" w:rsidRPr="0019444B" w:rsidRDefault="008B2AC7" w:rsidP="00CA022C">
            <w:pPr>
              <w:rPr>
                <w:rFonts w:ascii="Arial Narrow" w:hAnsi="Arial Narrow" w:cstheme="minorHAnsi"/>
                <w:sz w:val="20"/>
                <w:szCs w:val="20"/>
                <w:shd w:val="clear" w:color="auto" w:fill="FFFFFF"/>
              </w:rPr>
            </w:pPr>
            <w:r w:rsidRPr="0019444B">
              <w:rPr>
                <w:rFonts w:ascii="Arial Narrow" w:hAnsi="Arial Narrow" w:cstheme="minorHAnsi"/>
                <w:b/>
                <w:bCs/>
                <w:sz w:val="20"/>
                <w:szCs w:val="20"/>
              </w:rPr>
              <w:t>Clinical criteria:</w:t>
            </w:r>
          </w:p>
        </w:tc>
      </w:tr>
      <w:tr w:rsidR="008B2AC7" w:rsidRPr="0019444B" w14:paraId="0483A319" w14:textId="77777777" w:rsidTr="00E9683D">
        <w:trPr>
          <w:cantSplit/>
          <w:trHeight w:val="20"/>
        </w:trPr>
        <w:tc>
          <w:tcPr>
            <w:tcW w:w="5000" w:type="pct"/>
            <w:vAlign w:val="center"/>
          </w:tcPr>
          <w:p w14:paraId="5FE8E41A" w14:textId="77777777" w:rsidR="008B2AC7" w:rsidRPr="0019444B" w:rsidRDefault="008B2AC7" w:rsidP="00CA022C">
            <w:pPr>
              <w:rPr>
                <w:rFonts w:ascii="Arial Narrow" w:hAnsi="Arial Narrow" w:cstheme="minorHAnsi"/>
                <w:sz w:val="20"/>
                <w:szCs w:val="20"/>
              </w:rPr>
            </w:pPr>
            <w:r w:rsidRPr="0019444B">
              <w:rPr>
                <w:rFonts w:ascii="Arial Narrow" w:hAnsi="Arial Narrow" w:cstheme="minorHAnsi"/>
                <w:sz w:val="20"/>
                <w:szCs w:val="20"/>
              </w:rPr>
              <w:t>The treatment must be as monotherapy</w:t>
            </w:r>
          </w:p>
        </w:tc>
      </w:tr>
    </w:tbl>
    <w:p w14:paraId="4914ADE7" w14:textId="77777777" w:rsidR="008B2AC7" w:rsidRPr="0019444B" w:rsidRDefault="008B2AC7" w:rsidP="00CA022C">
      <w:pPr>
        <w:pStyle w:val="TableFooter"/>
        <w:spacing w:after="120"/>
        <w:ind w:left="142"/>
        <w:rPr>
          <w:rFonts w:cstheme="minorHAnsi"/>
          <w:szCs w:val="18"/>
        </w:rPr>
      </w:pPr>
      <w:r w:rsidRPr="0019444B">
        <w:rPr>
          <w:rFonts w:cstheme="minorHAnsi"/>
          <w:szCs w:val="18"/>
        </w:rPr>
        <w:t>Source: Table 1.11, pp.62-63 of the resubmission.</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8916"/>
      </w:tblGrid>
      <w:tr w:rsidR="008B2AC7" w:rsidRPr="0019444B" w14:paraId="1C336F28" w14:textId="77777777" w:rsidTr="00E9683D">
        <w:trPr>
          <w:cantSplit/>
          <w:trHeight w:val="20"/>
        </w:trPr>
        <w:tc>
          <w:tcPr>
            <w:tcW w:w="5000" w:type="pct"/>
          </w:tcPr>
          <w:p w14:paraId="40E13ECF" w14:textId="77777777" w:rsidR="008B2AC7" w:rsidRPr="0019444B" w:rsidRDefault="008B2AC7" w:rsidP="00CA022C">
            <w:pPr>
              <w:rPr>
                <w:rFonts w:ascii="Arial Narrow" w:eastAsia="Calibri" w:hAnsi="Arial Narrow" w:cstheme="minorHAnsi"/>
                <w:sz w:val="20"/>
                <w:szCs w:val="20"/>
              </w:rPr>
            </w:pPr>
            <w:r w:rsidRPr="0019444B">
              <w:rPr>
                <w:rFonts w:ascii="Arial Narrow" w:hAnsi="Arial Narrow" w:cstheme="minorHAnsi"/>
                <w:b/>
                <w:sz w:val="20"/>
                <w:szCs w:val="20"/>
              </w:rPr>
              <w:t xml:space="preserve">Restriction type: </w:t>
            </w:r>
            <w:r w:rsidRPr="00B465C7">
              <w:rPr>
                <w:rFonts w:ascii="Arial Narrow" w:eastAsia="Calibri" w:hAnsi="Arial Narrow" w:cstheme="minorHAnsi"/>
                <w:sz w:val="20"/>
                <w:szCs w:val="20"/>
              </w:rPr>
              <w:fldChar w:fldCharType="begin" w:fldLock="1">
                <w:ffData>
                  <w:name w:val=""/>
                  <w:enabled/>
                  <w:calcOnExit w:val="0"/>
                  <w:checkBox>
                    <w:sizeAuto/>
                    <w:default w:val="1"/>
                  </w:checkBox>
                </w:ffData>
              </w:fldChar>
            </w:r>
            <w:r w:rsidRPr="0019444B">
              <w:rPr>
                <w:rFonts w:ascii="Arial Narrow" w:eastAsia="Calibri" w:hAnsi="Arial Narrow" w:cstheme="minorHAnsi"/>
                <w:sz w:val="20"/>
                <w:szCs w:val="20"/>
              </w:rPr>
              <w:instrText xml:space="preserve"> FORMCHECKBOX </w:instrText>
            </w:r>
            <w:r w:rsidR="00FF5E98">
              <w:rPr>
                <w:rFonts w:ascii="Arial Narrow" w:eastAsia="Calibri" w:hAnsi="Arial Narrow" w:cstheme="minorHAnsi"/>
                <w:sz w:val="20"/>
                <w:szCs w:val="20"/>
              </w:rPr>
            </w:r>
            <w:r w:rsidR="00FF5E98">
              <w:rPr>
                <w:rFonts w:ascii="Arial Narrow" w:eastAsia="Calibri" w:hAnsi="Arial Narrow" w:cstheme="minorHAnsi"/>
                <w:sz w:val="20"/>
                <w:szCs w:val="20"/>
              </w:rPr>
              <w:fldChar w:fldCharType="separate"/>
            </w:r>
            <w:r w:rsidRPr="00B465C7">
              <w:rPr>
                <w:rFonts w:ascii="Arial Narrow" w:eastAsia="Calibri" w:hAnsi="Arial Narrow" w:cstheme="minorHAnsi"/>
                <w:sz w:val="20"/>
                <w:szCs w:val="20"/>
              </w:rPr>
              <w:fldChar w:fldCharType="end"/>
            </w:r>
            <w:r w:rsidRPr="0019444B">
              <w:t xml:space="preserve"> </w:t>
            </w:r>
            <w:r w:rsidRPr="0019444B">
              <w:rPr>
                <w:rFonts w:ascii="Arial Narrow" w:eastAsia="Calibri" w:hAnsi="Arial Narrow" w:cstheme="minorHAnsi"/>
                <w:sz w:val="20"/>
                <w:szCs w:val="20"/>
              </w:rPr>
              <w:t>Authority Required – Telephone</w:t>
            </w:r>
          </w:p>
        </w:tc>
      </w:tr>
      <w:tr w:rsidR="008B2AC7" w:rsidRPr="0019444B" w14:paraId="275F1AF7" w14:textId="77777777" w:rsidTr="00E9683D">
        <w:trPr>
          <w:cantSplit/>
          <w:trHeight w:val="20"/>
        </w:trPr>
        <w:tc>
          <w:tcPr>
            <w:tcW w:w="5000" w:type="pct"/>
            <w:vAlign w:val="center"/>
          </w:tcPr>
          <w:p w14:paraId="7C3C10D8" w14:textId="77777777" w:rsidR="008B2AC7" w:rsidRPr="0019444B" w:rsidRDefault="008B2AC7" w:rsidP="00CA022C">
            <w:pPr>
              <w:rPr>
                <w:rFonts w:ascii="Arial Narrow" w:hAnsi="Arial Narrow" w:cstheme="minorHAnsi"/>
                <w:b/>
                <w:bCs/>
                <w:sz w:val="20"/>
                <w:szCs w:val="20"/>
              </w:rPr>
            </w:pPr>
            <w:r w:rsidRPr="0019444B">
              <w:rPr>
                <w:rFonts w:ascii="Arial Narrow" w:hAnsi="Arial Narrow" w:cstheme="minorHAnsi"/>
                <w:b/>
                <w:bCs/>
                <w:sz w:val="20"/>
                <w:szCs w:val="20"/>
              </w:rPr>
              <w:t xml:space="preserve">Condition: </w:t>
            </w:r>
            <w:r w:rsidRPr="0019444B">
              <w:rPr>
                <w:rFonts w:ascii="Arial Narrow" w:hAnsi="Arial Narrow" w:cstheme="minorHAnsi"/>
                <w:bCs/>
                <w:sz w:val="20"/>
                <w:szCs w:val="20"/>
              </w:rPr>
              <w:t xml:space="preserve"> Chronic lymphocytic leukaemia (CLL) or small lymphocytic lymphoma (SLL)</w:t>
            </w:r>
          </w:p>
        </w:tc>
      </w:tr>
      <w:tr w:rsidR="008B2AC7" w:rsidRPr="0019444B" w14:paraId="690264AD" w14:textId="77777777" w:rsidTr="00E9683D">
        <w:trPr>
          <w:cantSplit/>
          <w:trHeight w:val="20"/>
        </w:trPr>
        <w:tc>
          <w:tcPr>
            <w:tcW w:w="5000" w:type="pct"/>
            <w:vAlign w:val="center"/>
            <w:hideMark/>
          </w:tcPr>
          <w:p w14:paraId="069A502C" w14:textId="77777777" w:rsidR="008B2AC7" w:rsidRPr="0019444B" w:rsidRDefault="008B2AC7" w:rsidP="00CA022C">
            <w:pPr>
              <w:rPr>
                <w:rFonts w:ascii="Arial Narrow" w:hAnsi="Arial Narrow" w:cstheme="minorHAnsi"/>
                <w:sz w:val="20"/>
                <w:szCs w:val="20"/>
              </w:rPr>
            </w:pPr>
            <w:r w:rsidRPr="0019444B">
              <w:rPr>
                <w:rFonts w:ascii="Arial Narrow" w:hAnsi="Arial Narrow" w:cstheme="minorHAnsi"/>
                <w:b/>
                <w:bCs/>
                <w:sz w:val="20"/>
                <w:szCs w:val="20"/>
              </w:rPr>
              <w:t>Indication:</w:t>
            </w:r>
            <w:r w:rsidRPr="0019444B">
              <w:rPr>
                <w:rFonts w:ascii="Arial Narrow" w:hAnsi="Arial Narrow" w:cstheme="minorHAnsi"/>
                <w:sz w:val="20"/>
                <w:szCs w:val="20"/>
              </w:rPr>
              <w:t xml:space="preserve"> Patients with untreated CLL/SLL</w:t>
            </w:r>
          </w:p>
        </w:tc>
      </w:tr>
      <w:tr w:rsidR="008B2AC7" w:rsidRPr="0019444B" w14:paraId="0D135B14" w14:textId="77777777" w:rsidTr="00E9683D">
        <w:trPr>
          <w:cantSplit/>
          <w:trHeight w:val="20"/>
        </w:trPr>
        <w:tc>
          <w:tcPr>
            <w:tcW w:w="5000" w:type="pct"/>
            <w:vAlign w:val="center"/>
            <w:hideMark/>
          </w:tcPr>
          <w:p w14:paraId="1BDD1FA2" w14:textId="77777777" w:rsidR="008B2AC7" w:rsidRPr="0019444B" w:rsidRDefault="008B2AC7" w:rsidP="00CA022C">
            <w:pPr>
              <w:rPr>
                <w:rFonts w:ascii="Arial Narrow" w:hAnsi="Arial Narrow" w:cstheme="minorHAnsi"/>
                <w:sz w:val="20"/>
                <w:szCs w:val="20"/>
              </w:rPr>
            </w:pPr>
            <w:r w:rsidRPr="0019444B">
              <w:rPr>
                <w:rFonts w:ascii="Arial Narrow" w:hAnsi="Arial Narrow" w:cstheme="minorHAnsi"/>
                <w:b/>
                <w:bCs/>
                <w:sz w:val="20"/>
                <w:szCs w:val="20"/>
              </w:rPr>
              <w:t>Treatment Phase:</w:t>
            </w:r>
            <w:r w:rsidRPr="0019444B">
              <w:rPr>
                <w:rFonts w:ascii="Arial Narrow" w:hAnsi="Arial Narrow" w:cstheme="minorHAnsi"/>
                <w:sz w:val="20"/>
                <w:szCs w:val="20"/>
              </w:rPr>
              <w:t xml:space="preserve"> Initial     </w:t>
            </w:r>
          </w:p>
        </w:tc>
      </w:tr>
      <w:tr w:rsidR="008B2AC7" w:rsidRPr="0019444B" w14:paraId="3714EE6C" w14:textId="77777777" w:rsidTr="00E9683D">
        <w:trPr>
          <w:cantSplit/>
          <w:trHeight w:val="20"/>
        </w:trPr>
        <w:tc>
          <w:tcPr>
            <w:tcW w:w="5000" w:type="pct"/>
            <w:vAlign w:val="center"/>
            <w:hideMark/>
          </w:tcPr>
          <w:p w14:paraId="3A99BDD9" w14:textId="77777777" w:rsidR="008B2AC7" w:rsidRPr="0019444B" w:rsidRDefault="008B2AC7" w:rsidP="00CA022C">
            <w:pPr>
              <w:rPr>
                <w:rFonts w:ascii="Arial Narrow" w:hAnsi="Arial Narrow" w:cstheme="minorHAnsi"/>
                <w:sz w:val="20"/>
                <w:szCs w:val="20"/>
              </w:rPr>
            </w:pPr>
            <w:r w:rsidRPr="0019444B">
              <w:rPr>
                <w:rFonts w:ascii="Arial Narrow" w:hAnsi="Arial Narrow" w:cstheme="minorHAnsi"/>
                <w:b/>
                <w:bCs/>
                <w:sz w:val="20"/>
                <w:szCs w:val="20"/>
              </w:rPr>
              <w:t xml:space="preserve">Clinical criteria: </w:t>
            </w:r>
          </w:p>
        </w:tc>
      </w:tr>
      <w:tr w:rsidR="008B2AC7" w:rsidRPr="0019444B" w14:paraId="06A429C5" w14:textId="77777777" w:rsidTr="00E9683D">
        <w:trPr>
          <w:cantSplit/>
          <w:trHeight w:val="20"/>
        </w:trPr>
        <w:tc>
          <w:tcPr>
            <w:tcW w:w="5000" w:type="pct"/>
            <w:vAlign w:val="center"/>
            <w:hideMark/>
          </w:tcPr>
          <w:p w14:paraId="390B6EBD" w14:textId="77777777" w:rsidR="008B2AC7" w:rsidRPr="0019444B" w:rsidRDefault="008B2AC7" w:rsidP="00CA022C">
            <w:pPr>
              <w:rPr>
                <w:rFonts w:ascii="Arial Narrow" w:hAnsi="Arial Narrow" w:cstheme="minorHAnsi"/>
                <w:sz w:val="20"/>
                <w:szCs w:val="20"/>
              </w:rPr>
            </w:pPr>
            <w:r w:rsidRPr="0019444B">
              <w:rPr>
                <w:rFonts w:ascii="Arial Narrow" w:hAnsi="Arial Narrow" w:cstheme="minorHAnsi"/>
                <w:sz w:val="20"/>
                <w:szCs w:val="20"/>
              </w:rPr>
              <w:t>Patient must have previously received non-PBS-subsidised treatment with this drug for previously untreated CLL/SLL prior to [PBS-listing date of acalabrutinib]</w:t>
            </w:r>
          </w:p>
        </w:tc>
      </w:tr>
      <w:tr w:rsidR="008B2AC7" w:rsidRPr="0019444B" w14:paraId="405A42C5" w14:textId="77777777" w:rsidTr="00E9683D">
        <w:trPr>
          <w:cantSplit/>
          <w:trHeight w:val="20"/>
        </w:trPr>
        <w:tc>
          <w:tcPr>
            <w:tcW w:w="5000" w:type="pct"/>
            <w:vAlign w:val="center"/>
            <w:hideMark/>
          </w:tcPr>
          <w:p w14:paraId="62E32DA0" w14:textId="77777777" w:rsidR="008B2AC7" w:rsidRPr="0019444B" w:rsidRDefault="008B2AC7" w:rsidP="00CA022C">
            <w:pPr>
              <w:rPr>
                <w:rFonts w:ascii="Arial Narrow" w:hAnsi="Arial Narrow" w:cstheme="minorHAnsi"/>
                <w:sz w:val="20"/>
                <w:szCs w:val="20"/>
              </w:rPr>
            </w:pPr>
            <w:r w:rsidRPr="0019444B">
              <w:rPr>
                <w:rFonts w:ascii="Arial Narrow" w:hAnsi="Arial Narrow" w:cstheme="minorHAnsi"/>
                <w:b/>
                <w:bCs/>
                <w:sz w:val="20"/>
                <w:szCs w:val="20"/>
              </w:rPr>
              <w:t>AND</w:t>
            </w:r>
          </w:p>
        </w:tc>
      </w:tr>
      <w:tr w:rsidR="008B2AC7" w:rsidRPr="0019444B" w14:paraId="292793FE" w14:textId="77777777" w:rsidTr="00E9683D">
        <w:trPr>
          <w:cantSplit/>
          <w:trHeight w:val="20"/>
        </w:trPr>
        <w:tc>
          <w:tcPr>
            <w:tcW w:w="5000" w:type="pct"/>
            <w:vAlign w:val="center"/>
            <w:hideMark/>
          </w:tcPr>
          <w:p w14:paraId="61C04BC4" w14:textId="77777777" w:rsidR="008B2AC7" w:rsidRPr="0019444B" w:rsidRDefault="008B2AC7" w:rsidP="00CA022C">
            <w:pPr>
              <w:rPr>
                <w:rFonts w:ascii="Arial Narrow" w:hAnsi="Arial Narrow" w:cstheme="minorHAnsi"/>
                <w:sz w:val="20"/>
                <w:szCs w:val="20"/>
              </w:rPr>
            </w:pPr>
            <w:r w:rsidRPr="0019444B">
              <w:rPr>
                <w:rFonts w:ascii="Arial Narrow" w:hAnsi="Arial Narrow" w:cstheme="minorHAnsi"/>
                <w:b/>
                <w:bCs/>
                <w:sz w:val="20"/>
                <w:szCs w:val="20"/>
              </w:rPr>
              <w:t>Clinical criteria:</w:t>
            </w:r>
          </w:p>
        </w:tc>
      </w:tr>
      <w:tr w:rsidR="008B2AC7" w:rsidRPr="0019444B" w14:paraId="3D3F35BA" w14:textId="77777777" w:rsidTr="00E9683D">
        <w:trPr>
          <w:cantSplit/>
          <w:trHeight w:val="20"/>
        </w:trPr>
        <w:tc>
          <w:tcPr>
            <w:tcW w:w="5000" w:type="pct"/>
            <w:vAlign w:val="center"/>
          </w:tcPr>
          <w:p w14:paraId="6E653F6D" w14:textId="416810E6" w:rsidR="008B2AC7" w:rsidRPr="0019444B" w:rsidRDefault="008B2AC7" w:rsidP="00CA022C">
            <w:pPr>
              <w:rPr>
                <w:rFonts w:ascii="Arial Narrow" w:hAnsi="Arial Narrow" w:cstheme="minorHAnsi"/>
                <w:sz w:val="20"/>
                <w:szCs w:val="20"/>
              </w:rPr>
            </w:pPr>
            <w:r w:rsidRPr="0019444B">
              <w:rPr>
                <w:rFonts w:ascii="Arial Narrow" w:hAnsi="Arial Narrow" w:cstheme="minorHAnsi"/>
                <w:sz w:val="20"/>
                <w:szCs w:val="20"/>
              </w:rPr>
              <w:t>ACA mono</w:t>
            </w:r>
            <w:r w:rsidR="00406FC0" w:rsidRPr="0019444B">
              <w:rPr>
                <w:rFonts w:ascii="Arial Narrow" w:hAnsi="Arial Narrow" w:cstheme="minorHAnsi"/>
                <w:sz w:val="20"/>
                <w:szCs w:val="20"/>
              </w:rPr>
              <w:t>therapy</w:t>
            </w:r>
            <w:r w:rsidRPr="0019444B">
              <w:rPr>
                <w:rFonts w:ascii="Arial Narrow" w:hAnsi="Arial Narrow" w:cstheme="minorHAnsi"/>
                <w:sz w:val="20"/>
                <w:szCs w:val="20"/>
              </w:rPr>
              <w:t xml:space="preserve"> must be initiated for 1 Cycle with treatment in combination with obinutuzumab commencing in Cycle 2 Day 1</w:t>
            </w:r>
          </w:p>
        </w:tc>
      </w:tr>
      <w:tr w:rsidR="008B2AC7" w:rsidRPr="0019444B" w14:paraId="5219490E" w14:textId="77777777" w:rsidTr="00E9683D">
        <w:trPr>
          <w:cantSplit/>
          <w:trHeight w:val="20"/>
        </w:trPr>
        <w:tc>
          <w:tcPr>
            <w:tcW w:w="5000" w:type="pct"/>
            <w:vAlign w:val="center"/>
          </w:tcPr>
          <w:p w14:paraId="3CFD0799" w14:textId="77777777" w:rsidR="008B2AC7" w:rsidRPr="0019444B" w:rsidRDefault="008B2AC7" w:rsidP="00CA022C">
            <w:pPr>
              <w:rPr>
                <w:rFonts w:ascii="Arial Narrow" w:hAnsi="Arial Narrow" w:cstheme="minorHAnsi"/>
                <w:sz w:val="20"/>
                <w:szCs w:val="20"/>
                <w:shd w:val="clear" w:color="auto" w:fill="FFFFFF"/>
              </w:rPr>
            </w:pPr>
            <w:r w:rsidRPr="0019444B">
              <w:rPr>
                <w:rFonts w:ascii="Arial Narrow" w:hAnsi="Arial Narrow" w:cstheme="minorHAnsi"/>
                <w:b/>
                <w:bCs/>
                <w:sz w:val="20"/>
                <w:szCs w:val="20"/>
              </w:rPr>
              <w:t>AND</w:t>
            </w:r>
          </w:p>
        </w:tc>
      </w:tr>
      <w:tr w:rsidR="008B2AC7" w:rsidRPr="0019444B" w14:paraId="3FC24B57" w14:textId="77777777" w:rsidTr="00E9683D">
        <w:trPr>
          <w:cantSplit/>
          <w:trHeight w:val="20"/>
        </w:trPr>
        <w:tc>
          <w:tcPr>
            <w:tcW w:w="5000" w:type="pct"/>
            <w:vAlign w:val="center"/>
          </w:tcPr>
          <w:p w14:paraId="2F147B13" w14:textId="77777777" w:rsidR="008B2AC7" w:rsidRPr="0019444B" w:rsidRDefault="008B2AC7" w:rsidP="00CA022C">
            <w:pPr>
              <w:rPr>
                <w:rFonts w:ascii="Arial Narrow" w:hAnsi="Arial Narrow" w:cstheme="minorHAnsi"/>
                <w:sz w:val="20"/>
                <w:szCs w:val="20"/>
                <w:shd w:val="clear" w:color="auto" w:fill="FFFFFF"/>
              </w:rPr>
            </w:pPr>
            <w:r w:rsidRPr="0019444B">
              <w:rPr>
                <w:rFonts w:ascii="Arial Narrow" w:hAnsi="Arial Narrow" w:cstheme="minorHAnsi"/>
                <w:b/>
                <w:bCs/>
                <w:sz w:val="20"/>
                <w:szCs w:val="20"/>
              </w:rPr>
              <w:t>Clinical criteria:</w:t>
            </w:r>
          </w:p>
        </w:tc>
      </w:tr>
      <w:tr w:rsidR="008B2AC7" w:rsidRPr="0019444B" w14:paraId="3E20E3BF" w14:textId="77777777" w:rsidTr="00E9683D">
        <w:trPr>
          <w:cantSplit/>
          <w:trHeight w:val="20"/>
        </w:trPr>
        <w:tc>
          <w:tcPr>
            <w:tcW w:w="5000" w:type="pct"/>
            <w:vAlign w:val="center"/>
          </w:tcPr>
          <w:p w14:paraId="1BD10E5E" w14:textId="77777777" w:rsidR="008B2AC7" w:rsidRPr="0019444B" w:rsidRDefault="008B2AC7" w:rsidP="00CA022C">
            <w:pPr>
              <w:rPr>
                <w:rFonts w:ascii="Arial Narrow" w:hAnsi="Arial Narrow" w:cstheme="minorHAnsi"/>
                <w:sz w:val="20"/>
                <w:szCs w:val="20"/>
              </w:rPr>
            </w:pPr>
            <w:r w:rsidRPr="0019444B">
              <w:rPr>
                <w:rFonts w:ascii="Arial Narrow" w:hAnsi="Arial Narrow" w:cstheme="minorHAnsi"/>
                <w:sz w:val="20"/>
                <w:szCs w:val="20"/>
              </w:rPr>
              <w:t>Patient must have creatinine clearance (CrCl) ≥30 mL/min</w:t>
            </w:r>
          </w:p>
        </w:tc>
      </w:tr>
    </w:tbl>
    <w:p w14:paraId="0ECDE7B0" w14:textId="77777777" w:rsidR="008B2AC7" w:rsidRPr="0019444B" w:rsidRDefault="008B2AC7" w:rsidP="00CA022C">
      <w:pPr>
        <w:pStyle w:val="TableFooter"/>
        <w:spacing w:after="120"/>
        <w:ind w:left="142"/>
        <w:rPr>
          <w:rFonts w:cstheme="minorHAnsi"/>
          <w:szCs w:val="18"/>
        </w:rPr>
      </w:pPr>
      <w:r w:rsidRPr="0019444B">
        <w:rPr>
          <w:rFonts w:cstheme="minorHAnsi"/>
          <w:szCs w:val="18"/>
        </w:rPr>
        <w:t>Source: Table 1.12, pp.63-64 of the resubmission.</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8916"/>
      </w:tblGrid>
      <w:tr w:rsidR="008B2AC7" w:rsidRPr="0019444B" w14:paraId="43B2859E" w14:textId="77777777" w:rsidTr="00E9683D">
        <w:trPr>
          <w:cantSplit/>
          <w:trHeight w:val="20"/>
        </w:trPr>
        <w:tc>
          <w:tcPr>
            <w:tcW w:w="5000" w:type="pct"/>
          </w:tcPr>
          <w:p w14:paraId="41CBD4E1" w14:textId="77777777" w:rsidR="008B2AC7" w:rsidRPr="0019444B" w:rsidRDefault="008B2AC7" w:rsidP="00CA022C">
            <w:pPr>
              <w:rPr>
                <w:rFonts w:ascii="Arial Narrow" w:eastAsia="Calibri" w:hAnsi="Arial Narrow" w:cstheme="minorHAnsi"/>
                <w:sz w:val="20"/>
                <w:szCs w:val="20"/>
              </w:rPr>
            </w:pPr>
            <w:r w:rsidRPr="0019444B">
              <w:rPr>
                <w:rFonts w:ascii="Arial Narrow" w:hAnsi="Arial Narrow" w:cstheme="minorHAnsi"/>
                <w:b/>
                <w:sz w:val="20"/>
                <w:szCs w:val="20"/>
              </w:rPr>
              <w:t xml:space="preserve">Restriction type: </w:t>
            </w:r>
            <w:r w:rsidRPr="00B465C7">
              <w:rPr>
                <w:rFonts w:ascii="Arial Narrow" w:eastAsia="Calibri" w:hAnsi="Arial Narrow" w:cstheme="minorHAnsi"/>
                <w:sz w:val="20"/>
                <w:szCs w:val="20"/>
              </w:rPr>
              <w:fldChar w:fldCharType="begin" w:fldLock="1">
                <w:ffData>
                  <w:name w:val=""/>
                  <w:enabled/>
                  <w:calcOnExit w:val="0"/>
                  <w:checkBox>
                    <w:sizeAuto/>
                    <w:default w:val="1"/>
                  </w:checkBox>
                </w:ffData>
              </w:fldChar>
            </w:r>
            <w:r w:rsidRPr="0019444B">
              <w:rPr>
                <w:rFonts w:ascii="Arial Narrow" w:eastAsia="Calibri" w:hAnsi="Arial Narrow" w:cstheme="minorHAnsi"/>
                <w:sz w:val="20"/>
                <w:szCs w:val="20"/>
              </w:rPr>
              <w:instrText xml:space="preserve"> FORMCHECKBOX </w:instrText>
            </w:r>
            <w:r w:rsidR="00FF5E98">
              <w:rPr>
                <w:rFonts w:ascii="Arial Narrow" w:eastAsia="Calibri" w:hAnsi="Arial Narrow" w:cstheme="minorHAnsi"/>
                <w:sz w:val="20"/>
                <w:szCs w:val="20"/>
              </w:rPr>
            </w:r>
            <w:r w:rsidR="00FF5E98">
              <w:rPr>
                <w:rFonts w:ascii="Arial Narrow" w:eastAsia="Calibri" w:hAnsi="Arial Narrow" w:cstheme="minorHAnsi"/>
                <w:sz w:val="20"/>
                <w:szCs w:val="20"/>
              </w:rPr>
              <w:fldChar w:fldCharType="separate"/>
            </w:r>
            <w:r w:rsidRPr="00B465C7">
              <w:rPr>
                <w:rFonts w:ascii="Arial Narrow" w:eastAsia="Calibri" w:hAnsi="Arial Narrow" w:cstheme="minorHAnsi"/>
                <w:sz w:val="20"/>
                <w:szCs w:val="20"/>
              </w:rPr>
              <w:fldChar w:fldCharType="end"/>
            </w:r>
            <w:r w:rsidRPr="0019444B">
              <w:rPr>
                <w:rFonts w:ascii="Arial Narrow" w:hAnsi="Arial Narrow"/>
                <w:sz w:val="20"/>
                <w:szCs w:val="20"/>
              </w:rPr>
              <w:t xml:space="preserve"> </w:t>
            </w:r>
            <w:r w:rsidRPr="0019444B">
              <w:rPr>
                <w:rFonts w:ascii="Arial Narrow" w:eastAsia="Calibri" w:hAnsi="Arial Narrow" w:cstheme="minorHAnsi"/>
                <w:sz w:val="20"/>
                <w:szCs w:val="20"/>
              </w:rPr>
              <w:t>Streamlined</w:t>
            </w:r>
          </w:p>
        </w:tc>
      </w:tr>
      <w:tr w:rsidR="008B2AC7" w:rsidRPr="0019444B" w14:paraId="1250275E" w14:textId="77777777" w:rsidTr="00E9683D">
        <w:trPr>
          <w:cantSplit/>
          <w:trHeight w:val="20"/>
        </w:trPr>
        <w:tc>
          <w:tcPr>
            <w:tcW w:w="5000" w:type="pct"/>
            <w:vAlign w:val="center"/>
          </w:tcPr>
          <w:p w14:paraId="32BCDBFC" w14:textId="77777777" w:rsidR="008B2AC7" w:rsidRPr="0019444B" w:rsidRDefault="008B2AC7" w:rsidP="00CA022C">
            <w:pPr>
              <w:rPr>
                <w:rFonts w:ascii="Arial Narrow" w:hAnsi="Arial Narrow" w:cstheme="minorHAnsi"/>
                <w:b/>
                <w:bCs/>
                <w:sz w:val="20"/>
                <w:szCs w:val="20"/>
              </w:rPr>
            </w:pPr>
            <w:r w:rsidRPr="0019444B">
              <w:rPr>
                <w:rFonts w:ascii="Arial Narrow" w:hAnsi="Arial Narrow" w:cstheme="minorHAnsi"/>
                <w:b/>
                <w:bCs/>
                <w:sz w:val="20"/>
                <w:szCs w:val="20"/>
              </w:rPr>
              <w:lastRenderedPageBreak/>
              <w:t xml:space="preserve">Condition: </w:t>
            </w:r>
            <w:r w:rsidRPr="0019444B">
              <w:rPr>
                <w:rFonts w:ascii="Arial Narrow" w:hAnsi="Arial Narrow" w:cstheme="minorHAnsi"/>
                <w:bCs/>
                <w:sz w:val="20"/>
                <w:szCs w:val="20"/>
              </w:rPr>
              <w:t xml:space="preserve"> Chronic lymphocytic leukaemia (CLL) or small lymphocytic lymphoma (SLL)</w:t>
            </w:r>
          </w:p>
        </w:tc>
      </w:tr>
      <w:tr w:rsidR="008B2AC7" w:rsidRPr="0019444B" w14:paraId="17FBC6EF" w14:textId="77777777" w:rsidTr="00E9683D">
        <w:trPr>
          <w:cantSplit/>
          <w:trHeight w:val="20"/>
        </w:trPr>
        <w:tc>
          <w:tcPr>
            <w:tcW w:w="5000" w:type="pct"/>
            <w:vAlign w:val="center"/>
            <w:hideMark/>
          </w:tcPr>
          <w:p w14:paraId="28030C4E" w14:textId="77777777" w:rsidR="008B2AC7" w:rsidRPr="0019444B" w:rsidRDefault="008B2AC7" w:rsidP="00CA022C">
            <w:pPr>
              <w:rPr>
                <w:rFonts w:ascii="Arial Narrow" w:hAnsi="Arial Narrow" w:cstheme="minorHAnsi"/>
                <w:sz w:val="20"/>
                <w:szCs w:val="20"/>
              </w:rPr>
            </w:pPr>
            <w:r w:rsidRPr="0019444B">
              <w:rPr>
                <w:rFonts w:ascii="Arial Narrow" w:hAnsi="Arial Narrow" w:cstheme="minorHAnsi"/>
                <w:b/>
                <w:bCs/>
                <w:sz w:val="20"/>
                <w:szCs w:val="20"/>
              </w:rPr>
              <w:t>Indication:</w:t>
            </w:r>
            <w:r w:rsidRPr="0019444B">
              <w:rPr>
                <w:rFonts w:ascii="Arial Narrow" w:hAnsi="Arial Narrow" w:cstheme="minorHAnsi"/>
                <w:sz w:val="20"/>
                <w:szCs w:val="20"/>
              </w:rPr>
              <w:t xml:space="preserve"> Patients with untreated CLL/SLL</w:t>
            </w:r>
          </w:p>
        </w:tc>
      </w:tr>
      <w:tr w:rsidR="008B2AC7" w:rsidRPr="0019444B" w14:paraId="1F6C02CD" w14:textId="77777777" w:rsidTr="00E9683D">
        <w:trPr>
          <w:cantSplit/>
          <w:trHeight w:val="20"/>
        </w:trPr>
        <w:tc>
          <w:tcPr>
            <w:tcW w:w="5000" w:type="pct"/>
            <w:vAlign w:val="center"/>
            <w:hideMark/>
          </w:tcPr>
          <w:p w14:paraId="310B73F3" w14:textId="77777777" w:rsidR="008B2AC7" w:rsidRPr="0019444B" w:rsidRDefault="008B2AC7" w:rsidP="00CA022C">
            <w:pPr>
              <w:rPr>
                <w:rFonts w:ascii="Arial Narrow" w:hAnsi="Arial Narrow" w:cstheme="minorHAnsi"/>
                <w:sz w:val="20"/>
                <w:szCs w:val="20"/>
              </w:rPr>
            </w:pPr>
            <w:r w:rsidRPr="0019444B">
              <w:rPr>
                <w:rFonts w:ascii="Arial Narrow" w:hAnsi="Arial Narrow" w:cstheme="minorHAnsi"/>
                <w:b/>
                <w:bCs/>
                <w:sz w:val="20"/>
                <w:szCs w:val="20"/>
              </w:rPr>
              <w:t>Treatment Phase:</w:t>
            </w:r>
            <w:r w:rsidRPr="0019444B">
              <w:rPr>
                <w:rFonts w:ascii="Arial Narrow" w:hAnsi="Arial Narrow" w:cstheme="minorHAnsi"/>
                <w:sz w:val="20"/>
                <w:szCs w:val="20"/>
              </w:rPr>
              <w:t xml:space="preserve"> Continuing</w:t>
            </w:r>
          </w:p>
        </w:tc>
      </w:tr>
      <w:tr w:rsidR="008B2AC7" w:rsidRPr="0019444B" w14:paraId="56B88390" w14:textId="77777777" w:rsidTr="00E9683D">
        <w:trPr>
          <w:cantSplit/>
          <w:trHeight w:val="20"/>
        </w:trPr>
        <w:tc>
          <w:tcPr>
            <w:tcW w:w="5000" w:type="pct"/>
            <w:vAlign w:val="center"/>
            <w:hideMark/>
          </w:tcPr>
          <w:p w14:paraId="0DB43DEE" w14:textId="77777777" w:rsidR="008B2AC7" w:rsidRPr="0019444B" w:rsidRDefault="008B2AC7" w:rsidP="00CA022C">
            <w:pPr>
              <w:rPr>
                <w:rFonts w:ascii="Arial Narrow" w:hAnsi="Arial Narrow" w:cstheme="minorHAnsi"/>
                <w:sz w:val="20"/>
                <w:szCs w:val="20"/>
              </w:rPr>
            </w:pPr>
            <w:r w:rsidRPr="0019444B">
              <w:rPr>
                <w:rFonts w:ascii="Arial Narrow" w:hAnsi="Arial Narrow" w:cstheme="minorHAnsi"/>
                <w:b/>
                <w:bCs/>
                <w:sz w:val="20"/>
                <w:szCs w:val="20"/>
              </w:rPr>
              <w:t xml:space="preserve">Clinical criteria: </w:t>
            </w:r>
          </w:p>
        </w:tc>
      </w:tr>
      <w:tr w:rsidR="008B2AC7" w:rsidRPr="0019444B" w14:paraId="2305123C" w14:textId="77777777" w:rsidTr="00E9683D">
        <w:trPr>
          <w:cantSplit/>
          <w:trHeight w:val="20"/>
        </w:trPr>
        <w:tc>
          <w:tcPr>
            <w:tcW w:w="5000" w:type="pct"/>
            <w:vAlign w:val="center"/>
            <w:hideMark/>
          </w:tcPr>
          <w:p w14:paraId="7F9C1CAD" w14:textId="77777777" w:rsidR="008B2AC7" w:rsidRPr="0019444B" w:rsidRDefault="008B2AC7" w:rsidP="00CA022C">
            <w:pPr>
              <w:rPr>
                <w:rFonts w:ascii="Arial Narrow" w:hAnsi="Arial Narrow" w:cstheme="minorHAnsi"/>
                <w:sz w:val="20"/>
                <w:szCs w:val="20"/>
              </w:rPr>
            </w:pPr>
            <w:r w:rsidRPr="0019444B">
              <w:rPr>
                <w:rFonts w:ascii="Arial Narrow" w:hAnsi="Arial Narrow" w:cstheme="minorHAnsi"/>
                <w:sz w:val="20"/>
                <w:szCs w:val="20"/>
              </w:rPr>
              <w:t>Patient must have previously received PBS-subsidised treatment with this drug for this condition</w:t>
            </w:r>
          </w:p>
        </w:tc>
      </w:tr>
      <w:tr w:rsidR="008B2AC7" w:rsidRPr="0019444B" w14:paraId="56FF2D08" w14:textId="77777777" w:rsidTr="00E9683D">
        <w:trPr>
          <w:cantSplit/>
          <w:trHeight w:val="20"/>
        </w:trPr>
        <w:tc>
          <w:tcPr>
            <w:tcW w:w="5000" w:type="pct"/>
            <w:vAlign w:val="center"/>
            <w:hideMark/>
          </w:tcPr>
          <w:p w14:paraId="1499452B" w14:textId="77777777" w:rsidR="008B2AC7" w:rsidRPr="0019444B" w:rsidRDefault="008B2AC7" w:rsidP="00CA022C">
            <w:pPr>
              <w:rPr>
                <w:rFonts w:ascii="Arial Narrow" w:hAnsi="Arial Narrow" w:cstheme="minorHAnsi"/>
                <w:sz w:val="20"/>
                <w:szCs w:val="20"/>
              </w:rPr>
            </w:pPr>
            <w:r w:rsidRPr="0019444B">
              <w:rPr>
                <w:rFonts w:ascii="Arial Narrow" w:hAnsi="Arial Narrow" w:cstheme="minorHAnsi"/>
                <w:b/>
                <w:bCs/>
                <w:sz w:val="20"/>
                <w:szCs w:val="20"/>
              </w:rPr>
              <w:t>AND</w:t>
            </w:r>
          </w:p>
        </w:tc>
      </w:tr>
      <w:tr w:rsidR="008B2AC7" w:rsidRPr="0019444B" w14:paraId="49856EBB" w14:textId="77777777" w:rsidTr="00E9683D">
        <w:trPr>
          <w:cantSplit/>
          <w:trHeight w:val="20"/>
        </w:trPr>
        <w:tc>
          <w:tcPr>
            <w:tcW w:w="5000" w:type="pct"/>
            <w:vAlign w:val="center"/>
            <w:hideMark/>
          </w:tcPr>
          <w:p w14:paraId="166F5E68" w14:textId="77777777" w:rsidR="008B2AC7" w:rsidRPr="0019444B" w:rsidRDefault="008B2AC7" w:rsidP="00CA022C">
            <w:pPr>
              <w:rPr>
                <w:rFonts w:ascii="Arial Narrow" w:hAnsi="Arial Narrow" w:cstheme="minorHAnsi"/>
                <w:sz w:val="20"/>
                <w:szCs w:val="20"/>
              </w:rPr>
            </w:pPr>
            <w:r w:rsidRPr="0019444B">
              <w:rPr>
                <w:rFonts w:ascii="Arial Narrow" w:hAnsi="Arial Narrow" w:cstheme="minorHAnsi"/>
                <w:b/>
                <w:bCs/>
                <w:sz w:val="20"/>
                <w:szCs w:val="20"/>
              </w:rPr>
              <w:t>Clinical criteria:</w:t>
            </w:r>
          </w:p>
        </w:tc>
      </w:tr>
      <w:tr w:rsidR="008B2AC7" w:rsidRPr="0019444B" w14:paraId="5B0DBC75" w14:textId="77777777" w:rsidTr="00E9683D">
        <w:trPr>
          <w:cantSplit/>
          <w:trHeight w:val="20"/>
        </w:trPr>
        <w:tc>
          <w:tcPr>
            <w:tcW w:w="5000" w:type="pct"/>
            <w:vAlign w:val="center"/>
          </w:tcPr>
          <w:p w14:paraId="1EF5E98E" w14:textId="77777777" w:rsidR="008B2AC7" w:rsidRPr="0019444B" w:rsidRDefault="008B2AC7" w:rsidP="00CA022C">
            <w:pPr>
              <w:rPr>
                <w:rFonts w:ascii="Arial Narrow" w:hAnsi="Arial Narrow" w:cstheme="minorHAnsi"/>
                <w:sz w:val="20"/>
                <w:szCs w:val="20"/>
              </w:rPr>
            </w:pPr>
            <w:r w:rsidRPr="0019444B">
              <w:rPr>
                <w:rFonts w:ascii="Arial Narrow" w:hAnsi="Arial Narrow" w:cstheme="minorHAnsi"/>
                <w:sz w:val="20"/>
                <w:szCs w:val="20"/>
              </w:rPr>
              <w:t>Patient must not develop disease progression while receiving PBS-subsidised treatment with this drug for this condition</w:t>
            </w:r>
          </w:p>
        </w:tc>
      </w:tr>
      <w:tr w:rsidR="008B2AC7" w:rsidRPr="0019444B" w14:paraId="60E1CDFF" w14:textId="77777777" w:rsidTr="00E9683D">
        <w:trPr>
          <w:cantSplit/>
          <w:trHeight w:val="20"/>
        </w:trPr>
        <w:tc>
          <w:tcPr>
            <w:tcW w:w="5000" w:type="pct"/>
            <w:vAlign w:val="center"/>
          </w:tcPr>
          <w:p w14:paraId="3903C678" w14:textId="77777777" w:rsidR="008B2AC7" w:rsidRPr="0019444B" w:rsidRDefault="008B2AC7" w:rsidP="00CA022C">
            <w:pPr>
              <w:rPr>
                <w:rFonts w:ascii="Arial Narrow" w:hAnsi="Arial Narrow" w:cstheme="minorHAnsi"/>
                <w:sz w:val="20"/>
                <w:szCs w:val="20"/>
                <w:shd w:val="clear" w:color="auto" w:fill="FFFFFF"/>
              </w:rPr>
            </w:pPr>
            <w:r w:rsidRPr="0019444B">
              <w:rPr>
                <w:rFonts w:ascii="Arial Narrow" w:hAnsi="Arial Narrow" w:cstheme="minorHAnsi"/>
                <w:b/>
                <w:bCs/>
                <w:sz w:val="20"/>
                <w:szCs w:val="20"/>
              </w:rPr>
              <w:t>AND</w:t>
            </w:r>
          </w:p>
        </w:tc>
      </w:tr>
      <w:tr w:rsidR="008B2AC7" w:rsidRPr="0019444B" w14:paraId="4BF9449C" w14:textId="77777777" w:rsidTr="00E9683D">
        <w:trPr>
          <w:cantSplit/>
          <w:trHeight w:val="20"/>
        </w:trPr>
        <w:tc>
          <w:tcPr>
            <w:tcW w:w="5000" w:type="pct"/>
            <w:vAlign w:val="center"/>
          </w:tcPr>
          <w:p w14:paraId="51A898C3" w14:textId="77777777" w:rsidR="008B2AC7" w:rsidRPr="0019444B" w:rsidRDefault="008B2AC7" w:rsidP="00CA022C">
            <w:pPr>
              <w:rPr>
                <w:rFonts w:ascii="Arial Narrow" w:hAnsi="Arial Narrow" w:cstheme="minorHAnsi"/>
                <w:sz w:val="20"/>
                <w:szCs w:val="20"/>
                <w:shd w:val="clear" w:color="auto" w:fill="FFFFFF"/>
              </w:rPr>
            </w:pPr>
            <w:r w:rsidRPr="0019444B">
              <w:rPr>
                <w:rFonts w:ascii="Arial Narrow" w:hAnsi="Arial Narrow" w:cstheme="minorHAnsi"/>
                <w:b/>
                <w:bCs/>
                <w:sz w:val="20"/>
                <w:szCs w:val="20"/>
              </w:rPr>
              <w:t>Clinical criteria:</w:t>
            </w:r>
          </w:p>
        </w:tc>
      </w:tr>
      <w:tr w:rsidR="008B2AC7" w:rsidRPr="0019444B" w14:paraId="423D2459" w14:textId="77777777" w:rsidTr="00E9683D">
        <w:trPr>
          <w:cantSplit/>
          <w:trHeight w:val="20"/>
        </w:trPr>
        <w:tc>
          <w:tcPr>
            <w:tcW w:w="5000" w:type="pct"/>
            <w:vAlign w:val="center"/>
          </w:tcPr>
          <w:p w14:paraId="34C9F15C" w14:textId="77777777" w:rsidR="008B2AC7" w:rsidRPr="0019444B" w:rsidRDefault="008B2AC7" w:rsidP="00CA022C">
            <w:pPr>
              <w:rPr>
                <w:rFonts w:ascii="Arial Narrow" w:hAnsi="Arial Narrow" w:cstheme="minorHAnsi"/>
                <w:sz w:val="20"/>
                <w:szCs w:val="20"/>
              </w:rPr>
            </w:pPr>
            <w:r w:rsidRPr="0019444B">
              <w:rPr>
                <w:rFonts w:ascii="Arial Narrow" w:hAnsi="Arial Narrow" w:cstheme="minorHAnsi"/>
                <w:sz w:val="20"/>
                <w:szCs w:val="20"/>
              </w:rPr>
              <w:t>The treatment must be as monotherapy</w:t>
            </w:r>
          </w:p>
        </w:tc>
      </w:tr>
    </w:tbl>
    <w:p w14:paraId="3EA84093" w14:textId="79DC8D7B" w:rsidR="008B2AC7" w:rsidRPr="0019444B" w:rsidRDefault="008B2AC7" w:rsidP="00CA022C">
      <w:pPr>
        <w:spacing w:after="120"/>
        <w:ind w:left="142"/>
        <w:rPr>
          <w:rFonts w:ascii="Arial Narrow" w:hAnsi="Arial Narrow" w:cstheme="minorHAnsi"/>
          <w:sz w:val="18"/>
          <w:szCs w:val="18"/>
        </w:rPr>
      </w:pPr>
      <w:r w:rsidRPr="0019444B">
        <w:rPr>
          <w:rFonts w:ascii="Arial Narrow" w:hAnsi="Arial Narrow" w:cstheme="minorHAnsi"/>
          <w:sz w:val="18"/>
          <w:szCs w:val="18"/>
        </w:rPr>
        <w:t>Source: Table 1.13, p.64 of the resubmission.</w:t>
      </w:r>
    </w:p>
    <w:p w14:paraId="4A3AB9D9" w14:textId="11D76470" w:rsidR="004C08CD" w:rsidRPr="0019444B" w:rsidRDefault="004C08CD" w:rsidP="00CA022C">
      <w:pPr>
        <w:pStyle w:val="3-BodyText"/>
        <w:rPr>
          <w:iCs/>
        </w:rPr>
      </w:pPr>
      <w:r w:rsidRPr="0019444B">
        <w:rPr>
          <w:iCs/>
        </w:rPr>
        <w:t xml:space="preserve">It </w:t>
      </w:r>
      <w:r w:rsidR="001F0A49" w:rsidRPr="0019444B">
        <w:rPr>
          <w:iCs/>
        </w:rPr>
        <w:t>wa</w:t>
      </w:r>
      <w:r w:rsidRPr="0019444B">
        <w:rPr>
          <w:iCs/>
        </w:rPr>
        <w:t xml:space="preserve">s noted that the resubmission </w:t>
      </w:r>
      <w:r w:rsidR="007A6300" w:rsidRPr="0019444B">
        <w:rPr>
          <w:iCs/>
        </w:rPr>
        <w:t>requested</w:t>
      </w:r>
      <w:r w:rsidRPr="0019444B">
        <w:rPr>
          <w:iCs/>
        </w:rPr>
        <w:t xml:space="preserve"> grandfathering for both </w:t>
      </w:r>
      <w:r w:rsidR="00081C1F" w:rsidRPr="0019444B">
        <w:rPr>
          <w:iCs/>
        </w:rPr>
        <w:t xml:space="preserve">initial and </w:t>
      </w:r>
      <w:r w:rsidRPr="0019444B">
        <w:rPr>
          <w:iCs/>
        </w:rPr>
        <w:t xml:space="preserve">continuing treatment </w:t>
      </w:r>
      <w:r w:rsidR="00081C1F" w:rsidRPr="0019444B">
        <w:rPr>
          <w:iCs/>
        </w:rPr>
        <w:t>criteria</w:t>
      </w:r>
      <w:r w:rsidRPr="0019444B">
        <w:rPr>
          <w:iCs/>
        </w:rPr>
        <w:t xml:space="preserve">. </w:t>
      </w:r>
    </w:p>
    <w:p w14:paraId="08D48D97" w14:textId="6863E9F4" w:rsidR="004C08CD" w:rsidRPr="0019444B" w:rsidDel="00195452" w:rsidRDefault="00203181" w:rsidP="004C08CD">
      <w:pPr>
        <w:pStyle w:val="2-SectionHeading"/>
        <w:numPr>
          <w:ilvl w:val="0"/>
          <w:numId w:val="1"/>
        </w:numPr>
      </w:pPr>
      <w:bookmarkStart w:id="12" w:name="_Toc135225268"/>
      <w:r w:rsidRPr="0019444B" w:rsidDel="00195452">
        <w:t xml:space="preserve">Population and </w:t>
      </w:r>
      <w:r w:rsidR="008E0D3C" w:rsidRPr="0019444B" w:rsidDel="00195452">
        <w:t>d</w:t>
      </w:r>
      <w:r w:rsidRPr="0019444B" w:rsidDel="00195452">
        <w:t>isease</w:t>
      </w:r>
      <w:bookmarkEnd w:id="12"/>
    </w:p>
    <w:p w14:paraId="577ACB4E" w14:textId="0DFD24B0" w:rsidR="004C08CD" w:rsidRPr="0019444B" w:rsidRDefault="008B2AC7" w:rsidP="005E4EBF">
      <w:pPr>
        <w:pStyle w:val="3-BodyText"/>
      </w:pPr>
      <w:r w:rsidRPr="0019444B">
        <w:t>CLL is an indolent malignant disorder of white blood cells, characteri</w:t>
      </w:r>
      <w:r w:rsidR="00B129E2" w:rsidRPr="0019444B">
        <w:t>s</w:t>
      </w:r>
      <w:r w:rsidRPr="0019444B">
        <w:t xml:space="preserve">ed by increased production of mature but dysfunctional B lymphocytes. CLL and SLL are essentially different manifestations of the same disease and are managed in much the same way. In CLL, a significant number of the abnormal lymphocytes are found circulating in blood in addition to in bone marrow and lymphoid tissue, while in SLL, the bulk of disease is in lymph nodes, bone marrow, and other lymphoid tissues few </w:t>
      </w:r>
      <w:r w:rsidR="00B129E2" w:rsidRPr="0019444B">
        <w:t xml:space="preserve">abnormal lymphocytes </w:t>
      </w:r>
      <w:r w:rsidRPr="0019444B">
        <w:t xml:space="preserve">circulating in blood. </w:t>
      </w:r>
    </w:p>
    <w:p w14:paraId="4E4A9740" w14:textId="17EBEDDB" w:rsidR="004C08CD" w:rsidRPr="0019444B" w:rsidRDefault="008B2AC7" w:rsidP="005E4EBF">
      <w:pPr>
        <w:pStyle w:val="3-BodyText"/>
      </w:pPr>
      <w:r w:rsidRPr="0019444B">
        <w:t xml:space="preserve">According to the Australian Institute of Health and Welfare, 1,707 </w:t>
      </w:r>
      <w:r w:rsidR="00BB1C6D" w:rsidRPr="0019444B">
        <w:t>Australian</w:t>
      </w:r>
      <w:r w:rsidRPr="0019444B">
        <w:t xml:space="preserve"> were diagnosed with CLL in 2015</w:t>
      </w:r>
      <w:r w:rsidR="006A64D6" w:rsidRPr="0019444B">
        <w:t>,</w:t>
      </w:r>
      <w:r w:rsidRPr="0019444B">
        <w:t xml:space="preserve"> which was expected to increase to 2,261 in 2021</w:t>
      </w:r>
      <w:r w:rsidR="00141BCC" w:rsidRPr="0019444B">
        <w:t>. T</w:t>
      </w:r>
      <w:r w:rsidRPr="0019444B">
        <w:t>he five-year relative survival rate in Australia between 2012–2016 was 83.3%</w:t>
      </w:r>
      <w:r w:rsidR="00141BCC" w:rsidRPr="0019444B">
        <w:t>.</w:t>
      </w:r>
    </w:p>
    <w:p w14:paraId="131DE031" w14:textId="30B33784" w:rsidR="004C08CD" w:rsidRPr="0019444B" w:rsidRDefault="008B2AC7" w:rsidP="005E4EBF">
      <w:pPr>
        <w:pStyle w:val="3-BodyText"/>
      </w:pPr>
      <w:r w:rsidRPr="0019444B">
        <w:t>The resubmission requested PBS-listing for ACA 100</w:t>
      </w:r>
      <w:r w:rsidR="006A64D6" w:rsidRPr="0019444B">
        <w:t xml:space="preserve"> </w:t>
      </w:r>
      <w:r w:rsidRPr="0019444B">
        <w:t xml:space="preserve">mg tablets, as monotherapy or in combination with OBIN for previously untreated CLL/SLL patients. </w:t>
      </w:r>
    </w:p>
    <w:p w14:paraId="78EA9013" w14:textId="66659A18" w:rsidR="004C08CD" w:rsidRPr="0019444B" w:rsidRDefault="008B2AC7" w:rsidP="005E4EBF">
      <w:pPr>
        <w:pStyle w:val="3-BodyText"/>
      </w:pPr>
      <w:r w:rsidRPr="0019444B">
        <w:t xml:space="preserve">Acalabrutinib is a </w:t>
      </w:r>
      <w:proofErr w:type="gramStart"/>
      <w:r w:rsidRPr="0019444B">
        <w:t>next-generation</w:t>
      </w:r>
      <w:proofErr w:type="gramEnd"/>
      <w:r w:rsidRPr="0019444B">
        <w:t xml:space="preserve"> </w:t>
      </w:r>
      <w:proofErr w:type="spellStart"/>
      <w:r w:rsidRPr="0019444B">
        <w:t>imigazopyrazine</w:t>
      </w:r>
      <w:proofErr w:type="spellEnd"/>
      <w:r w:rsidRPr="0019444B">
        <w:t xml:space="preserve"> analogue that is a highly potent and selective inhibitor that irreversibly blocks Bruton's tyrosine kinase enzyme (BTK). </w:t>
      </w:r>
      <w:r w:rsidR="00BB1C6D" w:rsidRPr="0019444B">
        <w:t>Its</w:t>
      </w:r>
      <w:r w:rsidRPr="0019444B">
        <w:t xml:space="preserve"> anatomical therapeutic chemical (ATC) classification is L01XE51.</w:t>
      </w:r>
      <w:bookmarkStart w:id="13" w:name="_Hlk132292984"/>
    </w:p>
    <w:p w14:paraId="32DB0A23" w14:textId="0A2E2119" w:rsidR="00BB1C6D" w:rsidRPr="0019444B" w:rsidRDefault="00B50DB8" w:rsidP="00BB1C6D">
      <w:pPr>
        <w:pStyle w:val="2-SectionHeading"/>
        <w:numPr>
          <w:ilvl w:val="0"/>
          <w:numId w:val="1"/>
        </w:numPr>
      </w:pPr>
      <w:bookmarkStart w:id="14" w:name="_Toc135225269"/>
      <w:bookmarkEnd w:id="13"/>
      <w:r w:rsidRPr="0019444B">
        <w:t>Comparator</w:t>
      </w:r>
      <w:bookmarkEnd w:id="14"/>
    </w:p>
    <w:p w14:paraId="7D0148B1" w14:textId="3364829D" w:rsidR="00BB1C6D" w:rsidRPr="0019444B" w:rsidRDefault="00296471" w:rsidP="00BB1C6D">
      <w:pPr>
        <w:pStyle w:val="3-BodyText"/>
        <w:numPr>
          <w:ilvl w:val="1"/>
          <w:numId w:val="1"/>
        </w:numPr>
        <w:ind w:left="709" w:hanging="709"/>
      </w:pPr>
      <w:bookmarkStart w:id="15" w:name="_Ref107305379"/>
      <w:bookmarkStart w:id="16" w:name="_Toc22897640"/>
      <w:r w:rsidRPr="0019444B">
        <w:t xml:space="preserve">The resubmission nominated the treatment combination of </w:t>
      </w:r>
      <w:r w:rsidR="006D6DE6" w:rsidRPr="0019444B">
        <w:t>v</w:t>
      </w:r>
      <w:r w:rsidRPr="0019444B">
        <w:t xml:space="preserve">enetoclax (BCL2 inhibitor) plus </w:t>
      </w:r>
      <w:r w:rsidR="006A5200" w:rsidRPr="0019444B">
        <w:t>o</w:t>
      </w:r>
      <w:r w:rsidRPr="0019444B">
        <w:t>binutuzumab (CD20 monoclonal antibody) as the main comparator.</w:t>
      </w:r>
    </w:p>
    <w:p w14:paraId="62EFFF44" w14:textId="05C6C088" w:rsidR="00BB1C6D" w:rsidRPr="0019444B" w:rsidRDefault="00296471" w:rsidP="00296471">
      <w:pPr>
        <w:pStyle w:val="3-BodyText"/>
        <w:numPr>
          <w:ilvl w:val="1"/>
          <w:numId w:val="1"/>
        </w:numPr>
        <w:ind w:left="709" w:hanging="709"/>
      </w:pPr>
      <w:r w:rsidRPr="0019444B">
        <w:t xml:space="preserve">The PBAC </w:t>
      </w:r>
      <w:r w:rsidR="007D2F3B" w:rsidRPr="0019444B">
        <w:t xml:space="preserve">previously </w:t>
      </w:r>
      <w:r w:rsidRPr="0019444B">
        <w:t>considered VTX+OBIN as an appropriate main comparator for ACA</w:t>
      </w:r>
      <w:r w:rsidR="00A45ED6" w:rsidRPr="0019444B">
        <w:t>+</w:t>
      </w:r>
      <w:r w:rsidR="00AA0F3D" w:rsidRPr="0019444B">
        <w:t>/-</w:t>
      </w:r>
      <w:r w:rsidRPr="0019444B">
        <w:t xml:space="preserve">OBIN (paragraph 7.6, ACA, </w:t>
      </w:r>
      <w:r w:rsidR="006860B4" w:rsidRPr="0019444B">
        <w:t>PSD</w:t>
      </w:r>
      <w:r w:rsidRPr="0019444B">
        <w:t>, December 2022 PBAC intracycle meeting)</w:t>
      </w:r>
      <w:r w:rsidR="00BB1C6D" w:rsidRPr="0019444B">
        <w:t>.</w:t>
      </w:r>
    </w:p>
    <w:bookmarkEnd w:id="15"/>
    <w:p w14:paraId="137284CF" w14:textId="66E5E8D2" w:rsidR="00296471" w:rsidRPr="0019444B" w:rsidRDefault="00296471" w:rsidP="007D2F3B">
      <w:pPr>
        <w:pStyle w:val="3-BodyText"/>
        <w:numPr>
          <w:ilvl w:val="1"/>
          <w:numId w:val="1"/>
        </w:numPr>
        <w:ind w:left="709" w:hanging="709"/>
      </w:pPr>
      <w:r w:rsidRPr="0019444B">
        <w:rPr>
          <w:iCs/>
        </w:rPr>
        <w:t xml:space="preserve">The resubmission nominated </w:t>
      </w:r>
      <w:r w:rsidR="006A64D6" w:rsidRPr="0019444B">
        <w:rPr>
          <w:iCs/>
        </w:rPr>
        <w:t>z</w:t>
      </w:r>
      <w:r w:rsidRPr="0019444B">
        <w:rPr>
          <w:iCs/>
        </w:rPr>
        <w:t xml:space="preserve">anubrutinib (ZANU) as </w:t>
      </w:r>
      <w:r w:rsidR="009A6734" w:rsidRPr="0019444B">
        <w:rPr>
          <w:iCs/>
        </w:rPr>
        <w:t xml:space="preserve">a </w:t>
      </w:r>
      <w:r w:rsidRPr="0019444B">
        <w:rPr>
          <w:iCs/>
        </w:rPr>
        <w:t xml:space="preserve">near market comparator. This drug is </w:t>
      </w:r>
      <w:r w:rsidR="007D2F3B" w:rsidRPr="0019444B">
        <w:rPr>
          <w:iCs/>
        </w:rPr>
        <w:t xml:space="preserve">also </w:t>
      </w:r>
      <w:r w:rsidRPr="0019444B">
        <w:rPr>
          <w:iCs/>
        </w:rPr>
        <w:t xml:space="preserve">an inhibitor of BTK indicated for CLL/SLL as monotherapy. </w:t>
      </w:r>
      <w:r w:rsidRPr="0019444B">
        <w:t xml:space="preserve">This nomination was </w:t>
      </w:r>
      <w:r w:rsidR="0072050E" w:rsidRPr="0019444B">
        <w:t xml:space="preserve">considered </w:t>
      </w:r>
      <w:r w:rsidRPr="0019444B">
        <w:t>appropriate</w:t>
      </w:r>
      <w:r w:rsidR="007D2F3B" w:rsidRPr="0019444B">
        <w:t xml:space="preserve"> as</w:t>
      </w:r>
      <w:r w:rsidRPr="0019444B">
        <w:t xml:space="preserve"> </w:t>
      </w:r>
      <w:r w:rsidR="007D2F3B" w:rsidRPr="0019444B">
        <w:t>t</w:t>
      </w:r>
      <w:r w:rsidR="00DD51C0" w:rsidRPr="0019444B">
        <w:t>h</w:t>
      </w:r>
      <w:r w:rsidRPr="0019444B">
        <w:t xml:space="preserve">e PBAC </w:t>
      </w:r>
      <w:r w:rsidR="001163A2" w:rsidRPr="0019444B">
        <w:t xml:space="preserve">recommended </w:t>
      </w:r>
      <w:r w:rsidR="00DD51C0" w:rsidRPr="0019444B">
        <w:t>the</w:t>
      </w:r>
      <w:r w:rsidRPr="0019444B">
        <w:t xml:space="preserve"> listing of ZANU </w:t>
      </w:r>
      <w:r w:rsidR="00E51DE1" w:rsidRPr="0019444B">
        <w:t xml:space="preserve">for </w:t>
      </w:r>
      <w:r w:rsidRPr="0019444B">
        <w:t xml:space="preserve">patients with </w:t>
      </w:r>
      <w:r w:rsidR="006A64D6" w:rsidRPr="0019444B">
        <w:t xml:space="preserve">treatment </w:t>
      </w:r>
      <w:r w:rsidRPr="0019444B">
        <w:t>naïve CLL/SLL</w:t>
      </w:r>
      <w:r w:rsidR="00081C1F" w:rsidRPr="0019444B">
        <w:t xml:space="preserve"> at its March 2023 meeting</w:t>
      </w:r>
      <w:r w:rsidR="00013BAA" w:rsidRPr="0019444B">
        <w:t>.</w:t>
      </w:r>
    </w:p>
    <w:p w14:paraId="54F9C835" w14:textId="77777777" w:rsidR="004F2A19" w:rsidRPr="0019444B" w:rsidRDefault="004F2A19" w:rsidP="004F2A19">
      <w:pPr>
        <w:ind w:firstLine="709"/>
        <w:rPr>
          <w:rFonts w:asciiTheme="minorHAnsi" w:hAnsiTheme="minorHAnsi"/>
          <w:i/>
        </w:rPr>
      </w:pPr>
      <w:r w:rsidRPr="0019444B">
        <w:rPr>
          <w:rFonts w:asciiTheme="minorHAnsi" w:hAnsiTheme="minorHAnsi"/>
          <w:i/>
        </w:rPr>
        <w:lastRenderedPageBreak/>
        <w:t>For more detail on PBAC’s view, see section 7 PBAC outcome.</w:t>
      </w:r>
    </w:p>
    <w:p w14:paraId="7F9C27C8" w14:textId="77777777" w:rsidR="00223D5A" w:rsidRPr="0019444B" w:rsidRDefault="00223D5A" w:rsidP="00223D5A">
      <w:pPr>
        <w:pStyle w:val="2-SectionHeading"/>
        <w:numPr>
          <w:ilvl w:val="0"/>
          <w:numId w:val="1"/>
        </w:numPr>
      </w:pPr>
      <w:bookmarkStart w:id="17" w:name="_Toc135225270"/>
      <w:r w:rsidRPr="0019444B">
        <w:t>Consideration of the evidence</w:t>
      </w:r>
      <w:bookmarkEnd w:id="17"/>
    </w:p>
    <w:p w14:paraId="1DFB4DCB" w14:textId="77777777" w:rsidR="004F2A19" w:rsidRPr="0019444B" w:rsidRDefault="004F2A19" w:rsidP="009F231B">
      <w:pPr>
        <w:pStyle w:val="4-SubsectionHeading"/>
      </w:pPr>
      <w:bookmarkStart w:id="18" w:name="_Hlk76375935"/>
      <w:bookmarkStart w:id="19" w:name="_Toc135225271"/>
      <w:r w:rsidRPr="0019444B">
        <w:t>Sponsor hearing</w:t>
      </w:r>
    </w:p>
    <w:p w14:paraId="4CE42FE6" w14:textId="1D127902" w:rsidR="004F2A19" w:rsidRPr="0019444B" w:rsidRDefault="000A15FB" w:rsidP="005E4EBF">
      <w:pPr>
        <w:pStyle w:val="3-BodyText"/>
        <w:rPr>
          <w:snapToGrid w:val="0"/>
        </w:rPr>
      </w:pPr>
      <w:bookmarkStart w:id="20" w:name="_Hlk76382586"/>
      <w:r w:rsidRPr="0019444B">
        <w:rPr>
          <w:snapToGrid w:val="0"/>
        </w:rPr>
        <w:t>There was no hearing for this item</w:t>
      </w:r>
      <w:r w:rsidR="004F2A19" w:rsidRPr="0019444B">
        <w:rPr>
          <w:snapToGrid w:val="0"/>
        </w:rPr>
        <w:t>.</w:t>
      </w:r>
    </w:p>
    <w:bookmarkEnd w:id="20"/>
    <w:p w14:paraId="3EBC3CCA" w14:textId="77777777" w:rsidR="004F2A19" w:rsidRPr="0019444B" w:rsidRDefault="004F2A19" w:rsidP="009F231B">
      <w:pPr>
        <w:pStyle w:val="4-SubsectionHeading"/>
      </w:pPr>
      <w:r w:rsidRPr="0019444B">
        <w:t>Consumer comments</w:t>
      </w:r>
    </w:p>
    <w:p w14:paraId="1F051E47" w14:textId="0DB5F685" w:rsidR="008B2B78" w:rsidRPr="0019444B" w:rsidRDefault="002F2668" w:rsidP="005E4EBF">
      <w:pPr>
        <w:pStyle w:val="3-BodyText"/>
        <w:rPr>
          <w:snapToGrid w:val="0"/>
          <w:lang w:eastAsia="en-US"/>
        </w:rPr>
      </w:pPr>
      <w:bookmarkStart w:id="21" w:name="_Hlk76382618"/>
      <w:r w:rsidRPr="0019444B">
        <w:rPr>
          <w:snapToGrid w:val="0"/>
          <w:lang w:eastAsia="en-US"/>
        </w:rPr>
        <w:t xml:space="preserve">The PBAC noted and welcomed the input from </w:t>
      </w:r>
      <w:r w:rsidR="0043175E" w:rsidRPr="0019444B">
        <w:rPr>
          <w:snapToGrid w:val="0"/>
          <w:lang w:eastAsia="en-US"/>
        </w:rPr>
        <w:t>Rare Cancers Australia</w:t>
      </w:r>
      <w:r w:rsidRPr="0019444B">
        <w:rPr>
          <w:snapToGrid w:val="0"/>
          <w:lang w:eastAsia="en-US"/>
        </w:rPr>
        <w:t xml:space="preserve"> via the Consumer Comments facility on the PBS website. The comments described </w:t>
      </w:r>
      <w:r w:rsidR="0043175E" w:rsidRPr="0019444B">
        <w:rPr>
          <w:snapToGrid w:val="0"/>
          <w:lang w:eastAsia="en-US"/>
        </w:rPr>
        <w:t>how</w:t>
      </w:r>
      <w:r w:rsidRPr="0019444B">
        <w:rPr>
          <w:snapToGrid w:val="0"/>
          <w:lang w:eastAsia="en-US"/>
        </w:rPr>
        <w:t xml:space="preserve"> the availability of an oral treatment could </w:t>
      </w:r>
      <w:r w:rsidR="00A83454" w:rsidRPr="0019444B">
        <w:rPr>
          <w:snapToGrid w:val="0"/>
          <w:lang w:eastAsia="en-US"/>
        </w:rPr>
        <w:t xml:space="preserve">give back more time to patients, and lead to improved </w:t>
      </w:r>
      <w:r w:rsidRPr="0019444B">
        <w:rPr>
          <w:snapToGrid w:val="0"/>
          <w:lang w:eastAsia="en-US"/>
        </w:rPr>
        <w:t>quality of life.</w:t>
      </w:r>
      <w:r w:rsidR="008B2B78" w:rsidRPr="0019444B">
        <w:rPr>
          <w:snapToGrid w:val="0"/>
          <w:lang w:eastAsia="en-US"/>
        </w:rPr>
        <w:t xml:space="preserve"> </w:t>
      </w:r>
    </w:p>
    <w:bookmarkEnd w:id="18"/>
    <w:bookmarkEnd w:id="21"/>
    <w:p w14:paraId="609C0765" w14:textId="3B204D31" w:rsidR="00B60939" w:rsidRPr="0019444B" w:rsidRDefault="00B60939" w:rsidP="002E4F02">
      <w:pPr>
        <w:pStyle w:val="4-SubsectionHeading"/>
      </w:pPr>
      <w:r w:rsidRPr="0019444B">
        <w:t>Clinical trials</w:t>
      </w:r>
      <w:bookmarkEnd w:id="16"/>
      <w:bookmarkEnd w:id="19"/>
    </w:p>
    <w:p w14:paraId="5AD670F1" w14:textId="6C420601" w:rsidR="00BB1C6D" w:rsidRPr="0019444B" w:rsidRDefault="00296471" w:rsidP="00296471">
      <w:pPr>
        <w:pStyle w:val="3-BodyText"/>
        <w:numPr>
          <w:ilvl w:val="1"/>
          <w:numId w:val="1"/>
        </w:numPr>
        <w:ind w:left="709" w:hanging="709"/>
      </w:pPr>
      <w:bookmarkStart w:id="22" w:name="_Ref104803956"/>
      <w:r w:rsidRPr="0019444B">
        <w:t xml:space="preserve">The resubmission was based on the same two pivotal head-to-head phase </w:t>
      </w:r>
      <w:r w:rsidR="0006723D" w:rsidRPr="0019444B">
        <w:t>3</w:t>
      </w:r>
      <w:r w:rsidRPr="0019444B">
        <w:t xml:space="preserve">, randomised, open-label, multicentre trials as the previous submissions; </w:t>
      </w:r>
      <w:r w:rsidR="0006723D" w:rsidRPr="0019444B">
        <w:t xml:space="preserve">the </w:t>
      </w:r>
      <w:r w:rsidRPr="0019444B">
        <w:t>ELEVATE-TN trial directly comparing ACA</w:t>
      </w:r>
      <w:r w:rsidR="00A45ED6" w:rsidRPr="0019444B">
        <w:t>+/-</w:t>
      </w:r>
      <w:r w:rsidRPr="0019444B">
        <w:t xml:space="preserve">OBIN with </w:t>
      </w:r>
      <w:r w:rsidR="00D80913" w:rsidRPr="0019444B">
        <w:t>obinutuzumab plus chlorambucil (</w:t>
      </w:r>
      <w:r w:rsidRPr="0019444B">
        <w:t>OBIN+CHL</w:t>
      </w:r>
      <w:r w:rsidR="00D80913" w:rsidRPr="0019444B">
        <w:t>)</w:t>
      </w:r>
      <w:r w:rsidRPr="0019444B">
        <w:t xml:space="preserve"> and the CLL-14 trial that directly </w:t>
      </w:r>
      <w:r w:rsidR="00D80913" w:rsidRPr="0019444B">
        <w:t xml:space="preserve">compared </w:t>
      </w:r>
      <w:r w:rsidRPr="0019444B">
        <w:t xml:space="preserve">VTX+OBIN with OBIN+CHL. </w:t>
      </w:r>
    </w:p>
    <w:p w14:paraId="1E8E30A7" w14:textId="161B0A39" w:rsidR="00BB1C6D" w:rsidRPr="0019444B" w:rsidRDefault="00296471" w:rsidP="00296471">
      <w:pPr>
        <w:pStyle w:val="3-BodyText"/>
        <w:numPr>
          <w:ilvl w:val="1"/>
          <w:numId w:val="1"/>
        </w:numPr>
        <w:ind w:left="709" w:hanging="709"/>
      </w:pPr>
      <w:r w:rsidRPr="0019444B">
        <w:t xml:space="preserve">For the near-market comparator, ZANU, the resubmission was based on the SEQUOIA trial, a phase 3, open-label, multicentre, randomised clinical trial comparing ZANU </w:t>
      </w:r>
      <w:r w:rsidR="00F66A37">
        <w:t>with</w:t>
      </w:r>
      <w:r w:rsidR="00F66A37" w:rsidRPr="0019444B">
        <w:t xml:space="preserve"> </w:t>
      </w:r>
      <w:r w:rsidRPr="0019444B">
        <w:t>bendamustine plus rituximab</w:t>
      </w:r>
      <w:r w:rsidR="00EB0E37" w:rsidRPr="00EB0E37">
        <w:rPr>
          <w:iCs/>
        </w:rPr>
        <w:t xml:space="preserve"> </w:t>
      </w:r>
      <w:r w:rsidR="00EB0E37">
        <w:rPr>
          <w:iCs/>
        </w:rPr>
        <w:t>(</w:t>
      </w:r>
      <w:r w:rsidR="00EB0E37" w:rsidRPr="0019444B">
        <w:rPr>
          <w:iCs/>
        </w:rPr>
        <w:t>BEND+RIT</w:t>
      </w:r>
      <w:r w:rsidR="00EB0E37">
        <w:rPr>
          <w:iCs/>
        </w:rPr>
        <w:t>)</w:t>
      </w:r>
      <w:r w:rsidR="00EB0E37">
        <w:t xml:space="preserve"> </w:t>
      </w:r>
      <w:r w:rsidRPr="0019444B">
        <w:t xml:space="preserve">in untreated CLL. </w:t>
      </w:r>
    </w:p>
    <w:p w14:paraId="48DA998C" w14:textId="513E1DDC" w:rsidR="00E96A2D" w:rsidRPr="0019444B" w:rsidRDefault="001D1096" w:rsidP="00E96A2D">
      <w:pPr>
        <w:pStyle w:val="3-BodyText"/>
        <w:numPr>
          <w:ilvl w:val="1"/>
          <w:numId w:val="1"/>
        </w:numPr>
        <w:ind w:left="709" w:hanging="709"/>
      </w:pPr>
      <w:r w:rsidRPr="0019444B">
        <w:t>T</w:t>
      </w:r>
      <w:r w:rsidR="00296471" w:rsidRPr="0019444B">
        <w:t>he</w:t>
      </w:r>
      <w:r w:rsidR="00A31B43" w:rsidRPr="0019444B">
        <w:t xml:space="preserve"> </w:t>
      </w:r>
      <w:r w:rsidR="00296471" w:rsidRPr="0019444B">
        <w:t>ELEVATE-TN and</w:t>
      </w:r>
      <w:r w:rsidR="00A31B43" w:rsidRPr="0019444B">
        <w:t xml:space="preserve"> </w:t>
      </w:r>
      <w:r w:rsidR="00296471" w:rsidRPr="0019444B">
        <w:t xml:space="preserve">CLL-14 </w:t>
      </w:r>
      <w:r w:rsidRPr="0019444B">
        <w:t xml:space="preserve">clinical study reports </w:t>
      </w:r>
      <w:r w:rsidR="00A31B43" w:rsidRPr="0019444B">
        <w:t xml:space="preserve">and associated </w:t>
      </w:r>
      <w:r w:rsidRPr="0019444B">
        <w:t xml:space="preserve">publications </w:t>
      </w:r>
      <w:r w:rsidR="00296471" w:rsidRPr="0019444B">
        <w:t xml:space="preserve">are </w:t>
      </w:r>
      <w:bookmarkStart w:id="23" w:name="_Ref104804098"/>
      <w:bookmarkEnd w:id="22"/>
      <w:r w:rsidRPr="0019444B">
        <w:t xml:space="preserve">listed </w:t>
      </w:r>
      <w:r w:rsidR="00A31B43" w:rsidRPr="0019444B">
        <w:t xml:space="preserve">in </w:t>
      </w:r>
      <w:r w:rsidR="00E96A2D" w:rsidRPr="0019444B">
        <w:t>Tab</w:t>
      </w:r>
      <w:r w:rsidR="00C61BAC" w:rsidRPr="0019444B">
        <w:t>le 3</w:t>
      </w:r>
      <w:r w:rsidR="00A31B43" w:rsidRPr="0019444B">
        <w:t>.</w:t>
      </w:r>
    </w:p>
    <w:p w14:paraId="51677DAD" w14:textId="75C7DC3A" w:rsidR="00C61BAC" w:rsidRPr="0019444B" w:rsidRDefault="00C61BAC" w:rsidP="00C61BAC">
      <w:pPr>
        <w:pStyle w:val="Caption"/>
      </w:pPr>
      <w:r w:rsidRPr="0019444B">
        <w:rPr>
          <w:rStyle w:val="CommentReference"/>
          <w:rFonts w:eastAsiaTheme="majorEastAsia" w:cstheme="majorBidi"/>
          <w:b/>
          <w:szCs w:val="24"/>
        </w:rPr>
        <w:t>T</w:t>
      </w:r>
      <w:r w:rsidRPr="0019444B">
        <w:t xml:space="preserve">able </w:t>
      </w:r>
      <w:r w:rsidR="007C4FC4" w:rsidRPr="00EB0E37">
        <w:fldChar w:fldCharType="begin" w:fldLock="1"/>
      </w:r>
      <w:r w:rsidR="007C4FC4" w:rsidRPr="0019444B">
        <w:instrText xml:space="preserve"> SEQ Table \* ARABIC </w:instrText>
      </w:r>
      <w:r w:rsidR="007C4FC4" w:rsidRPr="00EB0E37">
        <w:fldChar w:fldCharType="separate"/>
      </w:r>
      <w:r w:rsidR="007C39B4" w:rsidRPr="00EB0E37">
        <w:t>3</w:t>
      </w:r>
      <w:r w:rsidR="007C4FC4" w:rsidRPr="00EB0E37">
        <w:fldChar w:fldCharType="end"/>
      </w:r>
      <w:r w:rsidR="00E96A2D" w:rsidRPr="0019444B">
        <w:rPr>
          <w:rStyle w:val="CommentReference"/>
          <w:rFonts w:eastAsiaTheme="majorEastAsia" w:cstheme="majorBidi"/>
          <w:b/>
          <w:szCs w:val="24"/>
        </w:rPr>
        <w:t xml:space="preserve">: </w:t>
      </w:r>
      <w:r w:rsidRPr="0019444B">
        <w:rPr>
          <w:rStyle w:val="CommentReference"/>
          <w:b/>
          <w:szCs w:val="24"/>
        </w:rPr>
        <w:t xml:space="preserve">Trials and associated reports presented in the </w:t>
      </w:r>
      <w:proofErr w:type="gramStart"/>
      <w:r w:rsidRPr="0019444B">
        <w:rPr>
          <w:rStyle w:val="CommentReference"/>
          <w:b/>
          <w:szCs w:val="24"/>
        </w:rPr>
        <w:t>resubmission</w:t>
      </w:r>
      <w:proofErr w:type="gramEnd"/>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23"/>
        <w:gridCol w:w="5030"/>
        <w:gridCol w:w="2837"/>
      </w:tblGrid>
      <w:tr w:rsidR="00C61BAC" w:rsidRPr="0019444B" w14:paraId="15D9252D" w14:textId="77777777" w:rsidTr="00433793">
        <w:trPr>
          <w:tblHeader/>
        </w:trPr>
        <w:tc>
          <w:tcPr>
            <w:tcW w:w="558" w:type="pct"/>
            <w:tcBorders>
              <w:top w:val="single" w:sz="4" w:space="0" w:color="auto"/>
              <w:left w:val="single" w:sz="4" w:space="0" w:color="auto"/>
            </w:tcBorders>
            <w:vAlign w:val="center"/>
          </w:tcPr>
          <w:p w14:paraId="0A4D2DE4" w14:textId="77777777" w:rsidR="00C61BAC" w:rsidRPr="0019444B" w:rsidRDefault="00C61BAC" w:rsidP="00433793">
            <w:pPr>
              <w:rPr>
                <w:rFonts w:ascii="Arial Narrow" w:hAnsi="Arial Narrow"/>
                <w:b/>
                <w:bCs/>
                <w:sz w:val="20"/>
                <w:szCs w:val="20"/>
              </w:rPr>
            </w:pPr>
            <w:r w:rsidRPr="0019444B">
              <w:rPr>
                <w:rFonts w:ascii="Arial Narrow" w:hAnsi="Arial Narrow"/>
                <w:b/>
                <w:bCs/>
                <w:sz w:val="20"/>
                <w:szCs w:val="20"/>
              </w:rPr>
              <w:t>Trial ID</w:t>
            </w:r>
          </w:p>
        </w:tc>
        <w:tc>
          <w:tcPr>
            <w:tcW w:w="3080" w:type="pct"/>
            <w:tcBorders>
              <w:top w:val="single" w:sz="4" w:space="0" w:color="auto"/>
            </w:tcBorders>
            <w:vAlign w:val="center"/>
          </w:tcPr>
          <w:p w14:paraId="4DE647B6" w14:textId="77777777" w:rsidR="00C61BAC" w:rsidRPr="0019444B" w:rsidRDefault="00C61BAC" w:rsidP="00433793">
            <w:pPr>
              <w:jc w:val="left"/>
              <w:rPr>
                <w:rFonts w:ascii="Arial Narrow" w:hAnsi="Arial Narrow"/>
                <w:b/>
                <w:bCs/>
                <w:sz w:val="20"/>
                <w:szCs w:val="20"/>
              </w:rPr>
            </w:pPr>
            <w:r w:rsidRPr="0019444B">
              <w:rPr>
                <w:rFonts w:ascii="Arial Narrow" w:hAnsi="Arial Narrow"/>
                <w:b/>
                <w:bCs/>
                <w:sz w:val="20"/>
                <w:szCs w:val="20"/>
              </w:rPr>
              <w:t>Protocol title/ Publication title</w:t>
            </w:r>
          </w:p>
        </w:tc>
        <w:tc>
          <w:tcPr>
            <w:tcW w:w="1362" w:type="pct"/>
            <w:tcBorders>
              <w:top w:val="single" w:sz="4" w:space="0" w:color="auto"/>
              <w:right w:val="single" w:sz="4" w:space="0" w:color="auto"/>
            </w:tcBorders>
            <w:vAlign w:val="center"/>
          </w:tcPr>
          <w:p w14:paraId="165A00B0" w14:textId="77777777" w:rsidR="00C61BAC" w:rsidRPr="0019444B" w:rsidRDefault="00C61BAC" w:rsidP="00433793">
            <w:pPr>
              <w:jc w:val="left"/>
              <w:rPr>
                <w:rFonts w:ascii="Arial Narrow" w:hAnsi="Arial Narrow"/>
                <w:b/>
                <w:bCs/>
                <w:sz w:val="20"/>
                <w:szCs w:val="20"/>
              </w:rPr>
            </w:pPr>
            <w:r w:rsidRPr="0019444B">
              <w:rPr>
                <w:rFonts w:ascii="Arial Narrow" w:hAnsi="Arial Narrow"/>
                <w:b/>
                <w:bCs/>
                <w:sz w:val="20"/>
                <w:szCs w:val="20"/>
              </w:rPr>
              <w:t>Publication citation</w:t>
            </w:r>
          </w:p>
        </w:tc>
      </w:tr>
      <w:tr w:rsidR="00C61BAC" w:rsidRPr="0019444B" w14:paraId="244CB6F7" w14:textId="77777777" w:rsidTr="00433793">
        <w:trPr>
          <w:trHeight w:val="77"/>
        </w:trPr>
        <w:tc>
          <w:tcPr>
            <w:tcW w:w="558" w:type="pct"/>
            <w:vMerge w:val="restart"/>
            <w:tcBorders>
              <w:left w:val="single" w:sz="4" w:space="0" w:color="auto"/>
            </w:tcBorders>
            <w:vAlign w:val="center"/>
          </w:tcPr>
          <w:p w14:paraId="4673DC88" w14:textId="77777777" w:rsidR="00C61BAC" w:rsidRPr="0019444B" w:rsidRDefault="00C61BAC" w:rsidP="00433793">
            <w:pPr>
              <w:rPr>
                <w:rFonts w:ascii="Arial Narrow" w:hAnsi="Arial Narrow"/>
                <w:b/>
                <w:bCs/>
                <w:sz w:val="20"/>
                <w:szCs w:val="20"/>
              </w:rPr>
            </w:pPr>
            <w:r w:rsidRPr="0019444B">
              <w:rPr>
                <w:rFonts w:ascii="Arial Narrow" w:hAnsi="Arial Narrow"/>
                <w:b/>
                <w:bCs/>
                <w:sz w:val="20"/>
                <w:szCs w:val="20"/>
              </w:rPr>
              <w:t>ELEVATE-TN</w:t>
            </w:r>
          </w:p>
          <w:p w14:paraId="65E01530" w14:textId="77777777" w:rsidR="00C61BAC" w:rsidRPr="0019444B" w:rsidRDefault="00C61BAC" w:rsidP="00433793">
            <w:pPr>
              <w:rPr>
                <w:rFonts w:ascii="Arial Narrow" w:hAnsi="Arial Narrow"/>
                <w:b/>
                <w:bCs/>
                <w:sz w:val="20"/>
                <w:szCs w:val="20"/>
              </w:rPr>
            </w:pPr>
            <w:r w:rsidRPr="0019444B">
              <w:rPr>
                <w:rFonts w:ascii="Arial Narrow" w:hAnsi="Arial Narrow"/>
                <w:b/>
                <w:bCs/>
                <w:sz w:val="20"/>
                <w:szCs w:val="20"/>
              </w:rPr>
              <w:t>NCT02475681</w:t>
            </w:r>
          </w:p>
        </w:tc>
        <w:tc>
          <w:tcPr>
            <w:tcW w:w="3080" w:type="pct"/>
          </w:tcPr>
          <w:p w14:paraId="6099ACB9" w14:textId="77777777" w:rsidR="00C61BAC" w:rsidRPr="0019444B" w:rsidRDefault="00C61BAC" w:rsidP="00433793">
            <w:pPr>
              <w:jc w:val="left"/>
              <w:rPr>
                <w:rFonts w:ascii="Arial Narrow" w:hAnsi="Arial Narrow"/>
                <w:sz w:val="20"/>
                <w:szCs w:val="20"/>
              </w:rPr>
            </w:pPr>
            <w:r w:rsidRPr="0019444B">
              <w:rPr>
                <w:rFonts w:ascii="Arial Narrow" w:hAnsi="Arial Narrow"/>
                <w:sz w:val="20"/>
                <w:szCs w:val="20"/>
              </w:rPr>
              <w:t xml:space="preserve">A randomized, multicentre, open-label, 3 arm phase 3 study of obinutuzumab in combination with chlorambucil, ACP-196 in combination with obinutuzumab, and ACP-196 monotherapy in subjects with previously untreated chronic lymphocytic leukaemia. </w:t>
            </w:r>
          </w:p>
        </w:tc>
        <w:tc>
          <w:tcPr>
            <w:tcW w:w="1362" w:type="pct"/>
            <w:tcBorders>
              <w:right w:val="single" w:sz="4" w:space="0" w:color="auto"/>
            </w:tcBorders>
          </w:tcPr>
          <w:p w14:paraId="028430B1" w14:textId="77777777" w:rsidR="00C61BAC" w:rsidRPr="0019444B" w:rsidRDefault="00C61BAC" w:rsidP="00433793">
            <w:pPr>
              <w:jc w:val="left"/>
              <w:rPr>
                <w:rFonts w:ascii="Arial Narrow" w:hAnsi="Arial Narrow"/>
                <w:sz w:val="20"/>
                <w:szCs w:val="20"/>
              </w:rPr>
            </w:pPr>
            <w:r w:rsidRPr="0019444B">
              <w:rPr>
                <w:rFonts w:ascii="Arial Narrow" w:hAnsi="Arial Narrow"/>
                <w:sz w:val="20"/>
                <w:szCs w:val="20"/>
              </w:rPr>
              <w:t>Interim clinical Study Report, 16 August 2019.</w:t>
            </w:r>
          </w:p>
        </w:tc>
      </w:tr>
      <w:tr w:rsidR="00C61BAC" w:rsidRPr="0019444B" w14:paraId="2C9F088A" w14:textId="77777777" w:rsidTr="00433793">
        <w:trPr>
          <w:trHeight w:val="77"/>
        </w:trPr>
        <w:tc>
          <w:tcPr>
            <w:tcW w:w="558" w:type="pct"/>
            <w:vMerge/>
            <w:tcBorders>
              <w:left w:val="single" w:sz="4" w:space="0" w:color="auto"/>
            </w:tcBorders>
            <w:vAlign w:val="center"/>
          </w:tcPr>
          <w:p w14:paraId="2E13F235" w14:textId="77777777" w:rsidR="00C61BAC" w:rsidRPr="0019444B" w:rsidRDefault="00C61BAC" w:rsidP="00433793">
            <w:pPr>
              <w:rPr>
                <w:rFonts w:ascii="Arial Narrow" w:hAnsi="Arial Narrow"/>
                <w:b/>
                <w:bCs/>
                <w:sz w:val="20"/>
                <w:szCs w:val="20"/>
              </w:rPr>
            </w:pPr>
          </w:p>
        </w:tc>
        <w:tc>
          <w:tcPr>
            <w:tcW w:w="3080" w:type="pct"/>
          </w:tcPr>
          <w:p w14:paraId="4E3FA8E1" w14:textId="77777777" w:rsidR="00C61BAC" w:rsidRPr="0019444B" w:rsidRDefault="00C61BAC" w:rsidP="00433793">
            <w:pPr>
              <w:jc w:val="left"/>
              <w:rPr>
                <w:rFonts w:ascii="Arial Narrow" w:hAnsi="Arial Narrow"/>
                <w:sz w:val="20"/>
                <w:szCs w:val="20"/>
              </w:rPr>
            </w:pPr>
            <w:r w:rsidRPr="0019444B">
              <w:rPr>
                <w:rFonts w:ascii="Arial Narrow" w:hAnsi="Arial Narrow"/>
                <w:sz w:val="20"/>
                <w:szCs w:val="20"/>
              </w:rPr>
              <w:t>A randomized, multicentre, open-label, 3 arm phase 3 study of obinutuzumab in combination with chlorambucil, acp-196 in combination with obinutuzumab, and acp-196 monotherapy in subjects with previously untreated chronic lymphocytic leukaemia</w:t>
            </w:r>
          </w:p>
        </w:tc>
        <w:tc>
          <w:tcPr>
            <w:tcW w:w="1362" w:type="pct"/>
            <w:tcBorders>
              <w:right w:val="single" w:sz="4" w:space="0" w:color="auto"/>
            </w:tcBorders>
          </w:tcPr>
          <w:p w14:paraId="7B3EA078" w14:textId="77777777" w:rsidR="00C61BAC" w:rsidRPr="0019444B" w:rsidRDefault="00C61BAC" w:rsidP="00433793">
            <w:pPr>
              <w:jc w:val="left"/>
              <w:rPr>
                <w:rFonts w:ascii="Arial Narrow" w:hAnsi="Arial Narrow"/>
                <w:sz w:val="20"/>
                <w:szCs w:val="20"/>
              </w:rPr>
            </w:pPr>
            <w:r w:rsidRPr="0019444B">
              <w:rPr>
                <w:rFonts w:ascii="Arial Narrow" w:hAnsi="Arial Narrow"/>
                <w:sz w:val="20"/>
                <w:szCs w:val="20"/>
              </w:rPr>
              <w:t>Interim Clinical Study Report, 07 September 2022.</w:t>
            </w:r>
          </w:p>
        </w:tc>
      </w:tr>
      <w:tr w:rsidR="00C61BAC" w:rsidRPr="0019444B" w14:paraId="710F3E8F" w14:textId="77777777" w:rsidTr="00433793">
        <w:tc>
          <w:tcPr>
            <w:tcW w:w="558" w:type="pct"/>
            <w:vMerge/>
            <w:tcBorders>
              <w:left w:val="single" w:sz="4" w:space="0" w:color="auto"/>
            </w:tcBorders>
          </w:tcPr>
          <w:p w14:paraId="6C17742A" w14:textId="77777777" w:rsidR="00C61BAC" w:rsidRPr="0019444B" w:rsidRDefault="00C61BAC" w:rsidP="00433793">
            <w:pPr>
              <w:rPr>
                <w:rFonts w:ascii="Arial Narrow" w:hAnsi="Arial Narrow"/>
                <w:b/>
                <w:bCs/>
                <w:sz w:val="20"/>
                <w:szCs w:val="20"/>
              </w:rPr>
            </w:pPr>
          </w:p>
        </w:tc>
        <w:tc>
          <w:tcPr>
            <w:tcW w:w="3080" w:type="pct"/>
          </w:tcPr>
          <w:p w14:paraId="5AD06DE3" w14:textId="77777777" w:rsidR="00C61BAC" w:rsidRPr="0019444B" w:rsidRDefault="00C61BAC" w:rsidP="00433793">
            <w:pPr>
              <w:jc w:val="left"/>
              <w:rPr>
                <w:rFonts w:ascii="Arial Narrow" w:hAnsi="Arial Narrow"/>
                <w:sz w:val="20"/>
                <w:szCs w:val="20"/>
              </w:rPr>
            </w:pPr>
            <w:r w:rsidRPr="0019444B">
              <w:rPr>
                <w:rFonts w:ascii="Arial Narrow" w:hAnsi="Arial Narrow"/>
                <w:sz w:val="20"/>
                <w:szCs w:val="20"/>
              </w:rPr>
              <w:t>Xu W. ELEVATE-TN high level results (11 September 2020 data cut).</w:t>
            </w:r>
          </w:p>
        </w:tc>
        <w:tc>
          <w:tcPr>
            <w:tcW w:w="1362" w:type="pct"/>
            <w:tcBorders>
              <w:right w:val="single" w:sz="4" w:space="0" w:color="auto"/>
            </w:tcBorders>
          </w:tcPr>
          <w:p w14:paraId="09147669" w14:textId="77777777" w:rsidR="00C61BAC" w:rsidRPr="0019444B" w:rsidRDefault="00C61BAC" w:rsidP="00433793">
            <w:pPr>
              <w:jc w:val="left"/>
              <w:rPr>
                <w:rFonts w:ascii="Arial Narrow" w:hAnsi="Arial Narrow"/>
                <w:sz w:val="20"/>
                <w:szCs w:val="20"/>
              </w:rPr>
            </w:pPr>
            <w:r w:rsidRPr="0019444B">
              <w:rPr>
                <w:rFonts w:ascii="Arial Narrow" w:hAnsi="Arial Narrow"/>
                <w:sz w:val="20"/>
                <w:szCs w:val="20"/>
              </w:rPr>
              <w:t>PowerPoint slides, Attachment 2D of the resubmission, 7 January 2021.</w:t>
            </w:r>
          </w:p>
        </w:tc>
      </w:tr>
      <w:tr w:rsidR="00C61BAC" w:rsidRPr="0019444B" w14:paraId="3B6DD71A" w14:textId="77777777" w:rsidTr="00433793">
        <w:trPr>
          <w:trHeight w:val="71"/>
        </w:trPr>
        <w:tc>
          <w:tcPr>
            <w:tcW w:w="558" w:type="pct"/>
            <w:vMerge/>
            <w:tcBorders>
              <w:left w:val="single" w:sz="4" w:space="0" w:color="auto"/>
            </w:tcBorders>
          </w:tcPr>
          <w:p w14:paraId="70DFD86D" w14:textId="77777777" w:rsidR="00C61BAC" w:rsidRPr="0019444B" w:rsidRDefault="00C61BAC" w:rsidP="00433793">
            <w:pPr>
              <w:rPr>
                <w:rFonts w:ascii="Arial Narrow" w:hAnsi="Arial Narrow"/>
                <w:b/>
                <w:bCs/>
                <w:sz w:val="20"/>
                <w:szCs w:val="20"/>
              </w:rPr>
            </w:pPr>
          </w:p>
        </w:tc>
        <w:tc>
          <w:tcPr>
            <w:tcW w:w="3080" w:type="pct"/>
          </w:tcPr>
          <w:p w14:paraId="567EBDC4" w14:textId="77777777" w:rsidR="00C61BAC" w:rsidRPr="0019444B" w:rsidRDefault="00C61BAC" w:rsidP="00433793">
            <w:pPr>
              <w:jc w:val="left"/>
              <w:rPr>
                <w:rFonts w:ascii="Arial Narrow" w:hAnsi="Arial Narrow"/>
                <w:sz w:val="20"/>
                <w:szCs w:val="20"/>
              </w:rPr>
            </w:pPr>
            <w:r w:rsidRPr="0019444B">
              <w:rPr>
                <w:rFonts w:ascii="Arial Narrow" w:hAnsi="Arial Narrow"/>
                <w:sz w:val="20"/>
                <w:szCs w:val="20"/>
              </w:rPr>
              <w:t xml:space="preserve">Acerta Pharma BV. Elevate CLL TN: Study of Obinutuzumab + Chlorambucil, Acalabrutinib (ACP-196) + Obinutuzumab, and Acalabrutinib in Subjects </w:t>
            </w:r>
            <w:proofErr w:type="gramStart"/>
            <w:r w:rsidRPr="0019444B">
              <w:rPr>
                <w:rFonts w:ascii="Arial Narrow" w:hAnsi="Arial Narrow"/>
                <w:sz w:val="20"/>
                <w:szCs w:val="20"/>
              </w:rPr>
              <w:t>With</w:t>
            </w:r>
            <w:proofErr w:type="gramEnd"/>
            <w:r w:rsidRPr="0019444B">
              <w:rPr>
                <w:rFonts w:ascii="Arial Narrow" w:hAnsi="Arial Narrow"/>
                <w:sz w:val="20"/>
                <w:szCs w:val="20"/>
              </w:rPr>
              <w:t xml:space="preserve"> Previously Untreated CLL</w:t>
            </w:r>
          </w:p>
        </w:tc>
        <w:tc>
          <w:tcPr>
            <w:tcW w:w="1362" w:type="pct"/>
            <w:tcBorders>
              <w:right w:val="single" w:sz="4" w:space="0" w:color="auto"/>
            </w:tcBorders>
          </w:tcPr>
          <w:p w14:paraId="5742DEE5" w14:textId="77777777" w:rsidR="00C61BAC" w:rsidRPr="0019444B" w:rsidRDefault="00C61BAC" w:rsidP="00433793">
            <w:pPr>
              <w:jc w:val="left"/>
              <w:rPr>
                <w:rFonts w:ascii="Arial Narrow" w:hAnsi="Arial Narrow"/>
                <w:sz w:val="20"/>
                <w:szCs w:val="20"/>
              </w:rPr>
            </w:pPr>
            <w:r w:rsidRPr="0019444B">
              <w:rPr>
                <w:rFonts w:ascii="Arial Narrow" w:hAnsi="Arial Narrow"/>
                <w:sz w:val="20"/>
                <w:szCs w:val="20"/>
              </w:rPr>
              <w:t>2015; ClinicalTrials.gov/show/NCT02475681</w:t>
            </w:r>
          </w:p>
        </w:tc>
      </w:tr>
      <w:tr w:rsidR="00C61BAC" w:rsidRPr="0019444B" w14:paraId="520012DC" w14:textId="77777777" w:rsidTr="00433793">
        <w:trPr>
          <w:trHeight w:val="71"/>
        </w:trPr>
        <w:tc>
          <w:tcPr>
            <w:tcW w:w="558" w:type="pct"/>
            <w:vMerge/>
            <w:tcBorders>
              <w:left w:val="single" w:sz="4" w:space="0" w:color="auto"/>
            </w:tcBorders>
          </w:tcPr>
          <w:p w14:paraId="7FE1C719" w14:textId="77777777" w:rsidR="00C61BAC" w:rsidRPr="0019444B" w:rsidRDefault="00C61BAC" w:rsidP="00433793">
            <w:pPr>
              <w:rPr>
                <w:rFonts w:ascii="Arial Narrow" w:hAnsi="Arial Narrow"/>
                <w:b/>
                <w:bCs/>
                <w:sz w:val="20"/>
                <w:szCs w:val="20"/>
              </w:rPr>
            </w:pPr>
          </w:p>
        </w:tc>
        <w:tc>
          <w:tcPr>
            <w:tcW w:w="3080" w:type="pct"/>
          </w:tcPr>
          <w:p w14:paraId="13A0154D" w14:textId="77777777" w:rsidR="00C61BAC" w:rsidRPr="0019444B" w:rsidRDefault="00C61BAC" w:rsidP="00433793">
            <w:pPr>
              <w:jc w:val="left"/>
              <w:rPr>
                <w:rFonts w:ascii="Arial Narrow" w:hAnsi="Arial Narrow"/>
                <w:sz w:val="20"/>
                <w:szCs w:val="20"/>
              </w:rPr>
            </w:pPr>
            <w:r w:rsidRPr="0019444B">
              <w:rPr>
                <w:rFonts w:ascii="Arial Narrow" w:hAnsi="Arial Narrow"/>
                <w:sz w:val="20"/>
                <w:szCs w:val="20"/>
              </w:rPr>
              <w:t>Gaitonde, P., B. Liljas, B. Shaw, and P. Miranda. Adjusting Survival Data for Treatment Crossover in the Elevate-Tn Trial by Using a Historical Cohort of Patients Treated with Chemoimmunotherapy in Front-Line Chronic Lymphocytic Leukemia.</w:t>
            </w:r>
          </w:p>
        </w:tc>
        <w:tc>
          <w:tcPr>
            <w:tcW w:w="1362" w:type="pct"/>
            <w:tcBorders>
              <w:right w:val="single" w:sz="4" w:space="0" w:color="auto"/>
            </w:tcBorders>
          </w:tcPr>
          <w:p w14:paraId="7F5DF154" w14:textId="77777777" w:rsidR="00C61BAC" w:rsidRPr="0019444B" w:rsidRDefault="00C61BAC" w:rsidP="00433793">
            <w:pPr>
              <w:jc w:val="left"/>
              <w:rPr>
                <w:rFonts w:ascii="Arial Narrow" w:hAnsi="Arial Narrow"/>
                <w:sz w:val="20"/>
                <w:szCs w:val="20"/>
              </w:rPr>
            </w:pPr>
            <w:r w:rsidRPr="0019444B">
              <w:rPr>
                <w:rFonts w:ascii="Arial Narrow" w:hAnsi="Arial Narrow"/>
                <w:sz w:val="20"/>
                <w:szCs w:val="20"/>
              </w:rPr>
              <w:t>Hemasphere 2022;6</w:t>
            </w:r>
          </w:p>
        </w:tc>
      </w:tr>
      <w:tr w:rsidR="00C61BAC" w:rsidRPr="0019444B" w14:paraId="670BD64C" w14:textId="77777777" w:rsidTr="00433793">
        <w:trPr>
          <w:trHeight w:val="71"/>
        </w:trPr>
        <w:tc>
          <w:tcPr>
            <w:tcW w:w="558" w:type="pct"/>
            <w:vMerge/>
            <w:tcBorders>
              <w:left w:val="single" w:sz="4" w:space="0" w:color="auto"/>
            </w:tcBorders>
          </w:tcPr>
          <w:p w14:paraId="67E058C3" w14:textId="77777777" w:rsidR="00C61BAC" w:rsidRPr="0019444B" w:rsidRDefault="00C61BAC" w:rsidP="00433793">
            <w:pPr>
              <w:rPr>
                <w:rFonts w:ascii="Arial Narrow" w:hAnsi="Arial Narrow"/>
                <w:b/>
                <w:bCs/>
                <w:sz w:val="20"/>
                <w:szCs w:val="20"/>
              </w:rPr>
            </w:pPr>
          </w:p>
        </w:tc>
        <w:tc>
          <w:tcPr>
            <w:tcW w:w="3080" w:type="pct"/>
          </w:tcPr>
          <w:p w14:paraId="24BA1EB0" w14:textId="77777777" w:rsidR="00C61BAC" w:rsidRPr="0019444B" w:rsidRDefault="00C61BAC" w:rsidP="00433793">
            <w:pPr>
              <w:jc w:val="left"/>
              <w:rPr>
                <w:rFonts w:ascii="Arial Narrow" w:hAnsi="Arial Narrow"/>
                <w:sz w:val="20"/>
                <w:szCs w:val="20"/>
              </w:rPr>
            </w:pPr>
            <w:r w:rsidRPr="0019444B">
              <w:rPr>
                <w:rFonts w:ascii="Arial Narrow" w:hAnsi="Arial Narrow"/>
                <w:sz w:val="20"/>
                <w:szCs w:val="20"/>
              </w:rPr>
              <w:t>Martens U, Sharman J, Banerji V, Fogliatto LM, Herishanu Y, Munir T, et al. Elevate tn phase 3 study of acalabrutinib plus obinutuzumab or acalabrutinib monotherapy vs chlorambucil plus obinutuzumab (CLBO) in subjects with previously untreated chronic lymphocytic leukemia (CLL).</w:t>
            </w:r>
          </w:p>
        </w:tc>
        <w:tc>
          <w:tcPr>
            <w:tcW w:w="1362" w:type="pct"/>
            <w:tcBorders>
              <w:right w:val="single" w:sz="4" w:space="0" w:color="auto"/>
            </w:tcBorders>
          </w:tcPr>
          <w:p w14:paraId="1338045B" w14:textId="77777777" w:rsidR="00C61BAC" w:rsidRPr="0019444B" w:rsidRDefault="00C61BAC" w:rsidP="00433793">
            <w:pPr>
              <w:jc w:val="left"/>
              <w:rPr>
                <w:rFonts w:ascii="Arial Narrow" w:hAnsi="Arial Narrow"/>
                <w:sz w:val="20"/>
                <w:szCs w:val="20"/>
              </w:rPr>
            </w:pPr>
            <w:r w:rsidRPr="0019444B">
              <w:rPr>
                <w:rFonts w:ascii="Arial Narrow" w:hAnsi="Arial Narrow"/>
                <w:sz w:val="20"/>
                <w:szCs w:val="20"/>
              </w:rPr>
              <w:t>Oncology research and treatment 2020; 43(127).</w:t>
            </w:r>
          </w:p>
        </w:tc>
      </w:tr>
      <w:tr w:rsidR="00C61BAC" w:rsidRPr="0019444B" w14:paraId="7DB5DC79" w14:textId="77777777" w:rsidTr="00433793">
        <w:trPr>
          <w:trHeight w:val="71"/>
        </w:trPr>
        <w:tc>
          <w:tcPr>
            <w:tcW w:w="558" w:type="pct"/>
            <w:vMerge/>
            <w:tcBorders>
              <w:left w:val="single" w:sz="4" w:space="0" w:color="auto"/>
            </w:tcBorders>
          </w:tcPr>
          <w:p w14:paraId="4C290723" w14:textId="77777777" w:rsidR="00C61BAC" w:rsidRPr="0019444B" w:rsidRDefault="00C61BAC" w:rsidP="00433793">
            <w:pPr>
              <w:rPr>
                <w:rFonts w:ascii="Arial Narrow" w:hAnsi="Arial Narrow"/>
                <w:b/>
                <w:bCs/>
                <w:sz w:val="20"/>
                <w:szCs w:val="20"/>
              </w:rPr>
            </w:pPr>
          </w:p>
        </w:tc>
        <w:tc>
          <w:tcPr>
            <w:tcW w:w="3080" w:type="pct"/>
          </w:tcPr>
          <w:p w14:paraId="5D03A846" w14:textId="77777777" w:rsidR="00C61BAC" w:rsidRPr="0019444B" w:rsidRDefault="00C61BAC" w:rsidP="00433793">
            <w:pPr>
              <w:jc w:val="left"/>
              <w:rPr>
                <w:rFonts w:ascii="Arial Narrow" w:hAnsi="Arial Narrow"/>
                <w:sz w:val="20"/>
                <w:szCs w:val="20"/>
              </w:rPr>
            </w:pPr>
            <w:r w:rsidRPr="0019444B">
              <w:rPr>
                <w:rFonts w:ascii="Arial Narrow" w:hAnsi="Arial Narrow"/>
                <w:sz w:val="20"/>
                <w:szCs w:val="20"/>
              </w:rPr>
              <w:t>Munir T, Sharman J, Banerji V, Fogliatto LM, Herishanu Y, Walewska R, et al. ELEVATE-TN: a phase 3, multicentre, open-label study of acalabrutinib (Ab) combined with obinutuzumab (O) or Ab alone versus O plus chlorambucil (Clb) in patients (pts) with treatment-naive chronic lymphocytic leukaemia (TN-CLL).</w:t>
            </w:r>
          </w:p>
        </w:tc>
        <w:tc>
          <w:tcPr>
            <w:tcW w:w="1362" w:type="pct"/>
            <w:tcBorders>
              <w:right w:val="single" w:sz="4" w:space="0" w:color="auto"/>
            </w:tcBorders>
          </w:tcPr>
          <w:p w14:paraId="705B681C" w14:textId="77777777" w:rsidR="00C61BAC" w:rsidRPr="0019444B" w:rsidRDefault="00C61BAC" w:rsidP="00433793">
            <w:pPr>
              <w:jc w:val="left"/>
              <w:rPr>
                <w:rFonts w:ascii="Arial Narrow" w:hAnsi="Arial Narrow"/>
                <w:sz w:val="20"/>
                <w:szCs w:val="20"/>
              </w:rPr>
            </w:pPr>
            <w:r w:rsidRPr="0019444B">
              <w:rPr>
                <w:rFonts w:ascii="Arial Narrow" w:hAnsi="Arial Narrow"/>
                <w:sz w:val="20"/>
                <w:szCs w:val="20"/>
              </w:rPr>
              <w:t>British Journal of Haematology 2020; 189:26-8.</w:t>
            </w:r>
          </w:p>
        </w:tc>
      </w:tr>
      <w:tr w:rsidR="00C61BAC" w:rsidRPr="0019444B" w14:paraId="0F3914BD" w14:textId="77777777" w:rsidTr="00433793">
        <w:trPr>
          <w:trHeight w:val="71"/>
        </w:trPr>
        <w:tc>
          <w:tcPr>
            <w:tcW w:w="558" w:type="pct"/>
            <w:vMerge/>
            <w:tcBorders>
              <w:left w:val="single" w:sz="4" w:space="0" w:color="auto"/>
            </w:tcBorders>
          </w:tcPr>
          <w:p w14:paraId="44D81A26" w14:textId="77777777" w:rsidR="00C61BAC" w:rsidRPr="0019444B" w:rsidRDefault="00C61BAC" w:rsidP="00433793">
            <w:pPr>
              <w:rPr>
                <w:rFonts w:ascii="Arial Narrow" w:hAnsi="Arial Narrow"/>
                <w:b/>
                <w:bCs/>
                <w:sz w:val="20"/>
                <w:szCs w:val="20"/>
              </w:rPr>
            </w:pPr>
          </w:p>
        </w:tc>
        <w:tc>
          <w:tcPr>
            <w:tcW w:w="3080" w:type="pct"/>
          </w:tcPr>
          <w:p w14:paraId="316FF7F3" w14:textId="77777777" w:rsidR="00C61BAC" w:rsidRPr="0019444B" w:rsidRDefault="00C61BAC" w:rsidP="00433793">
            <w:pPr>
              <w:jc w:val="left"/>
              <w:rPr>
                <w:rFonts w:ascii="Arial Narrow" w:hAnsi="Arial Narrow"/>
                <w:sz w:val="20"/>
                <w:szCs w:val="20"/>
              </w:rPr>
            </w:pPr>
            <w:r w:rsidRPr="0019444B">
              <w:rPr>
                <w:rFonts w:ascii="Arial Narrow" w:hAnsi="Arial Narrow"/>
                <w:sz w:val="20"/>
                <w:szCs w:val="20"/>
              </w:rPr>
              <w:t xml:space="preserve">Sharman JP, Egyed M, Jurczak W, Skarbnik A, Kamdar M, Munir T, et al. Acalabrutinib +/- Obinutuzumab vs Obinutuzumab + Chlorambucil in Treatment-Naive Chronic Lymphocytic Leukemia: 5-Year Follow-Up of ELEVATE-TN. </w:t>
            </w:r>
          </w:p>
        </w:tc>
        <w:tc>
          <w:tcPr>
            <w:tcW w:w="1362" w:type="pct"/>
            <w:tcBorders>
              <w:right w:val="single" w:sz="4" w:space="0" w:color="auto"/>
            </w:tcBorders>
          </w:tcPr>
          <w:p w14:paraId="2F87FE71" w14:textId="77777777" w:rsidR="00C61BAC" w:rsidRPr="0019444B" w:rsidRDefault="00C61BAC" w:rsidP="00433793">
            <w:pPr>
              <w:jc w:val="left"/>
              <w:rPr>
                <w:rFonts w:ascii="Arial Narrow" w:hAnsi="Arial Narrow"/>
                <w:sz w:val="20"/>
                <w:szCs w:val="20"/>
              </w:rPr>
            </w:pPr>
            <w:r w:rsidRPr="0019444B">
              <w:rPr>
                <w:rFonts w:ascii="Arial Narrow" w:hAnsi="Arial Narrow"/>
                <w:sz w:val="20"/>
                <w:szCs w:val="20"/>
              </w:rPr>
              <w:t>Hematologic malignancies—lymphoma and chronic lymphocytic leukemia 2022; Poster session 7539</w:t>
            </w:r>
          </w:p>
        </w:tc>
      </w:tr>
      <w:tr w:rsidR="00C61BAC" w:rsidRPr="0019444B" w14:paraId="3668D19F" w14:textId="77777777" w:rsidTr="00433793">
        <w:trPr>
          <w:trHeight w:val="71"/>
        </w:trPr>
        <w:tc>
          <w:tcPr>
            <w:tcW w:w="558" w:type="pct"/>
            <w:vMerge/>
            <w:tcBorders>
              <w:left w:val="single" w:sz="4" w:space="0" w:color="auto"/>
            </w:tcBorders>
          </w:tcPr>
          <w:p w14:paraId="1BDD486A" w14:textId="77777777" w:rsidR="00C61BAC" w:rsidRPr="0019444B" w:rsidRDefault="00C61BAC" w:rsidP="00433793">
            <w:pPr>
              <w:rPr>
                <w:rFonts w:ascii="Arial Narrow" w:hAnsi="Arial Narrow"/>
                <w:b/>
                <w:bCs/>
                <w:sz w:val="20"/>
                <w:szCs w:val="20"/>
              </w:rPr>
            </w:pPr>
          </w:p>
        </w:tc>
        <w:tc>
          <w:tcPr>
            <w:tcW w:w="3080" w:type="pct"/>
          </w:tcPr>
          <w:p w14:paraId="132FD55D" w14:textId="77777777" w:rsidR="00C61BAC" w:rsidRPr="0019444B" w:rsidRDefault="00C61BAC" w:rsidP="00433793">
            <w:pPr>
              <w:jc w:val="left"/>
              <w:rPr>
                <w:rFonts w:ascii="Arial Narrow" w:hAnsi="Arial Narrow"/>
                <w:sz w:val="20"/>
                <w:szCs w:val="20"/>
              </w:rPr>
            </w:pPr>
            <w:r w:rsidRPr="0019444B">
              <w:rPr>
                <w:rFonts w:ascii="Arial Narrow" w:hAnsi="Arial Narrow"/>
                <w:sz w:val="20"/>
                <w:szCs w:val="20"/>
              </w:rPr>
              <w:t>Sharman J, Egyed M, Jurczak W, Skarbnik A, Pagel JM, Flinn IW, et al. Acalabrutinib +/- obinutuzumab vs obinutuzumab + chlorambucil in treatment-naive chronic lymphocytic leukemia: elevate-TN 4-year follow-up</w:t>
            </w:r>
          </w:p>
        </w:tc>
        <w:tc>
          <w:tcPr>
            <w:tcW w:w="1362" w:type="pct"/>
            <w:tcBorders>
              <w:right w:val="single" w:sz="4" w:space="0" w:color="auto"/>
            </w:tcBorders>
          </w:tcPr>
          <w:p w14:paraId="2D1915DF" w14:textId="77777777" w:rsidR="00C61BAC" w:rsidRPr="0019444B" w:rsidRDefault="00C61BAC" w:rsidP="00433793">
            <w:pPr>
              <w:jc w:val="left"/>
              <w:rPr>
                <w:rFonts w:ascii="Arial Narrow" w:hAnsi="Arial Narrow"/>
                <w:sz w:val="20"/>
                <w:szCs w:val="20"/>
              </w:rPr>
            </w:pPr>
            <w:r w:rsidRPr="0019444B">
              <w:rPr>
                <w:rFonts w:ascii="Arial Narrow" w:hAnsi="Arial Narrow"/>
                <w:sz w:val="20"/>
                <w:szCs w:val="20"/>
              </w:rPr>
              <w:t>Hemasphere 2021; 5 (SUPPL 2): 28-9</w:t>
            </w:r>
          </w:p>
        </w:tc>
      </w:tr>
      <w:tr w:rsidR="00C61BAC" w:rsidRPr="0019444B" w14:paraId="5B1265FD" w14:textId="77777777" w:rsidTr="00433793">
        <w:trPr>
          <w:trHeight w:val="175"/>
        </w:trPr>
        <w:tc>
          <w:tcPr>
            <w:tcW w:w="558" w:type="pct"/>
            <w:vMerge/>
            <w:tcBorders>
              <w:left w:val="single" w:sz="4" w:space="0" w:color="auto"/>
            </w:tcBorders>
          </w:tcPr>
          <w:p w14:paraId="6E3E90C8" w14:textId="77777777" w:rsidR="00C61BAC" w:rsidRPr="0019444B" w:rsidRDefault="00C61BAC" w:rsidP="00433793">
            <w:pPr>
              <w:rPr>
                <w:rFonts w:ascii="Arial Narrow" w:hAnsi="Arial Narrow"/>
                <w:b/>
                <w:bCs/>
                <w:sz w:val="20"/>
                <w:szCs w:val="20"/>
              </w:rPr>
            </w:pPr>
          </w:p>
        </w:tc>
        <w:tc>
          <w:tcPr>
            <w:tcW w:w="3080" w:type="pct"/>
          </w:tcPr>
          <w:p w14:paraId="7145488E" w14:textId="77777777" w:rsidR="00C61BAC" w:rsidRPr="0019444B" w:rsidRDefault="00C61BAC" w:rsidP="00433793">
            <w:pPr>
              <w:jc w:val="left"/>
              <w:rPr>
                <w:rFonts w:ascii="Arial Narrow" w:hAnsi="Arial Narrow"/>
                <w:sz w:val="20"/>
                <w:szCs w:val="20"/>
              </w:rPr>
            </w:pPr>
            <w:r w:rsidRPr="0019444B">
              <w:rPr>
                <w:rFonts w:ascii="Arial Narrow" w:hAnsi="Arial Narrow"/>
                <w:sz w:val="20"/>
                <w:szCs w:val="20"/>
              </w:rPr>
              <w:t xml:space="preserve">Sharman JP, Banerji V, Fogliatto LM, Herishanu Y, Munir T, Walewska R, et al. ELEVATE TN: phase 3 Study of Acalabrutinib Combined with Obinutuzumab (O) or Alone Vs O Plus Chlorambucil (Clb) in Patients (Pts) with Treatment-Naive Chronic Lymphocytic Leukemia (CLL). </w:t>
            </w:r>
          </w:p>
        </w:tc>
        <w:tc>
          <w:tcPr>
            <w:tcW w:w="1362" w:type="pct"/>
            <w:tcBorders>
              <w:right w:val="single" w:sz="4" w:space="0" w:color="auto"/>
            </w:tcBorders>
          </w:tcPr>
          <w:p w14:paraId="09FD7231" w14:textId="77777777" w:rsidR="00C61BAC" w:rsidRPr="0019444B" w:rsidRDefault="00C61BAC" w:rsidP="00433793">
            <w:pPr>
              <w:jc w:val="left"/>
              <w:rPr>
                <w:rFonts w:ascii="Arial Narrow" w:hAnsi="Arial Narrow"/>
                <w:sz w:val="20"/>
                <w:szCs w:val="20"/>
              </w:rPr>
            </w:pPr>
            <w:r w:rsidRPr="0019444B">
              <w:rPr>
                <w:rFonts w:ascii="Arial Narrow" w:hAnsi="Arial Narrow"/>
                <w:sz w:val="20"/>
                <w:szCs w:val="20"/>
              </w:rPr>
              <w:t>Blood 2019; 134 (31).</w:t>
            </w:r>
          </w:p>
        </w:tc>
      </w:tr>
      <w:tr w:rsidR="00C61BAC" w:rsidRPr="0019444B" w14:paraId="13CCDF56" w14:textId="77777777" w:rsidTr="00433793">
        <w:trPr>
          <w:trHeight w:val="175"/>
        </w:trPr>
        <w:tc>
          <w:tcPr>
            <w:tcW w:w="558" w:type="pct"/>
            <w:vMerge/>
            <w:tcBorders>
              <w:left w:val="single" w:sz="4" w:space="0" w:color="auto"/>
            </w:tcBorders>
          </w:tcPr>
          <w:p w14:paraId="6BDF90D8" w14:textId="77777777" w:rsidR="00C61BAC" w:rsidRPr="0019444B" w:rsidRDefault="00C61BAC" w:rsidP="00433793">
            <w:pPr>
              <w:rPr>
                <w:rFonts w:ascii="Arial Narrow" w:hAnsi="Arial Narrow"/>
                <w:b/>
                <w:bCs/>
                <w:sz w:val="20"/>
                <w:szCs w:val="20"/>
              </w:rPr>
            </w:pPr>
          </w:p>
        </w:tc>
        <w:tc>
          <w:tcPr>
            <w:tcW w:w="3080" w:type="pct"/>
          </w:tcPr>
          <w:p w14:paraId="7AC4AAEC" w14:textId="77777777" w:rsidR="00C61BAC" w:rsidRPr="0019444B" w:rsidRDefault="00C61BAC" w:rsidP="00433793">
            <w:pPr>
              <w:jc w:val="left"/>
              <w:rPr>
                <w:rFonts w:ascii="Arial Narrow" w:hAnsi="Arial Narrow"/>
                <w:sz w:val="20"/>
                <w:szCs w:val="20"/>
              </w:rPr>
            </w:pPr>
            <w:r w:rsidRPr="0019444B">
              <w:rPr>
                <w:rFonts w:ascii="Arial Narrow" w:hAnsi="Arial Narrow"/>
                <w:sz w:val="20"/>
                <w:szCs w:val="20"/>
              </w:rPr>
              <w:t xml:space="preserve">Sharman JP, Egyed M, Jurczak W, Skarbnik A, Pagel JM, Flinn IW, et al. CLL-139: acalabrutinib +/- Obinutuzumab vs Obinutuzumab + Chlorambucil in Treatment-Naive Chronic Lymphocytic Leukemia: ELEVATE-TN 4-Year Follow-up. </w:t>
            </w:r>
          </w:p>
        </w:tc>
        <w:tc>
          <w:tcPr>
            <w:tcW w:w="1362" w:type="pct"/>
            <w:tcBorders>
              <w:right w:val="single" w:sz="4" w:space="0" w:color="auto"/>
            </w:tcBorders>
          </w:tcPr>
          <w:p w14:paraId="65DE14B2" w14:textId="77777777" w:rsidR="00C61BAC" w:rsidRPr="0019444B" w:rsidRDefault="00C61BAC" w:rsidP="00433793">
            <w:pPr>
              <w:jc w:val="left"/>
              <w:rPr>
                <w:rFonts w:ascii="Arial Narrow" w:hAnsi="Arial Narrow"/>
                <w:sz w:val="20"/>
                <w:szCs w:val="20"/>
              </w:rPr>
            </w:pPr>
            <w:r w:rsidRPr="0019444B">
              <w:rPr>
                <w:rFonts w:ascii="Arial Narrow" w:hAnsi="Arial Narrow"/>
                <w:sz w:val="20"/>
                <w:szCs w:val="20"/>
              </w:rPr>
              <w:t>Clinical lymphoma, myeloma &amp; leukemia 2021; 21: S318-S9.</w:t>
            </w:r>
          </w:p>
        </w:tc>
      </w:tr>
      <w:tr w:rsidR="00C61BAC" w:rsidRPr="0019444B" w14:paraId="0B4969C0" w14:textId="77777777" w:rsidTr="00433793">
        <w:trPr>
          <w:trHeight w:val="175"/>
        </w:trPr>
        <w:tc>
          <w:tcPr>
            <w:tcW w:w="558" w:type="pct"/>
            <w:vMerge/>
            <w:tcBorders>
              <w:left w:val="single" w:sz="4" w:space="0" w:color="auto"/>
            </w:tcBorders>
          </w:tcPr>
          <w:p w14:paraId="35A0A495" w14:textId="77777777" w:rsidR="00C61BAC" w:rsidRPr="0019444B" w:rsidRDefault="00C61BAC" w:rsidP="00433793">
            <w:pPr>
              <w:rPr>
                <w:rFonts w:ascii="Arial Narrow" w:hAnsi="Arial Narrow"/>
                <w:b/>
                <w:bCs/>
                <w:sz w:val="20"/>
                <w:szCs w:val="20"/>
              </w:rPr>
            </w:pPr>
          </w:p>
        </w:tc>
        <w:tc>
          <w:tcPr>
            <w:tcW w:w="3080" w:type="pct"/>
          </w:tcPr>
          <w:p w14:paraId="6ED6C6C3" w14:textId="77777777" w:rsidR="00C61BAC" w:rsidRPr="0019444B" w:rsidRDefault="00C61BAC" w:rsidP="00433793">
            <w:pPr>
              <w:jc w:val="left"/>
              <w:rPr>
                <w:rFonts w:ascii="Arial Narrow" w:hAnsi="Arial Narrow"/>
                <w:sz w:val="20"/>
                <w:szCs w:val="20"/>
              </w:rPr>
            </w:pPr>
            <w:r w:rsidRPr="0019444B">
              <w:rPr>
                <w:rFonts w:ascii="Arial Narrow" w:hAnsi="Arial Narrow"/>
                <w:sz w:val="20"/>
                <w:szCs w:val="20"/>
              </w:rPr>
              <w:t>Sharman JP, Egyed M, Jurczak W, Skarbnik A, Pagel JM, Flinn IW, et al. Acalabrutinib with or without obinutuzumab versus chlorambucil and obinutuzmab for treatment-naive chronic lymphocytic leukaemia (ELEVATE TN): a randomised, controlled, phase 3 trial.</w:t>
            </w:r>
          </w:p>
        </w:tc>
        <w:tc>
          <w:tcPr>
            <w:tcW w:w="1362" w:type="pct"/>
            <w:tcBorders>
              <w:right w:val="single" w:sz="4" w:space="0" w:color="auto"/>
            </w:tcBorders>
          </w:tcPr>
          <w:p w14:paraId="4094107D" w14:textId="77777777" w:rsidR="00C61BAC" w:rsidRPr="0019444B" w:rsidRDefault="00C61BAC" w:rsidP="00433793">
            <w:pPr>
              <w:jc w:val="left"/>
              <w:rPr>
                <w:rFonts w:ascii="Arial Narrow" w:hAnsi="Arial Narrow"/>
                <w:sz w:val="20"/>
                <w:szCs w:val="20"/>
              </w:rPr>
            </w:pPr>
            <w:r w:rsidRPr="0019444B">
              <w:rPr>
                <w:rFonts w:ascii="Arial Narrow" w:hAnsi="Arial Narrow"/>
                <w:sz w:val="20"/>
                <w:szCs w:val="20"/>
              </w:rPr>
              <w:t>Lancet 2020; 395(10232):1278-91</w:t>
            </w:r>
          </w:p>
        </w:tc>
      </w:tr>
      <w:tr w:rsidR="00C61BAC" w:rsidRPr="0019444B" w14:paraId="34AF3217" w14:textId="77777777" w:rsidTr="00433793">
        <w:trPr>
          <w:trHeight w:val="71"/>
        </w:trPr>
        <w:tc>
          <w:tcPr>
            <w:tcW w:w="558" w:type="pct"/>
            <w:vMerge/>
            <w:tcBorders>
              <w:left w:val="single" w:sz="4" w:space="0" w:color="auto"/>
            </w:tcBorders>
          </w:tcPr>
          <w:p w14:paraId="1A6A922A" w14:textId="77777777" w:rsidR="00C61BAC" w:rsidRPr="0019444B" w:rsidRDefault="00C61BAC" w:rsidP="00433793">
            <w:pPr>
              <w:rPr>
                <w:rFonts w:ascii="Arial Narrow" w:hAnsi="Arial Narrow"/>
                <w:b/>
                <w:bCs/>
                <w:sz w:val="20"/>
                <w:szCs w:val="20"/>
              </w:rPr>
            </w:pPr>
          </w:p>
        </w:tc>
        <w:tc>
          <w:tcPr>
            <w:tcW w:w="3080" w:type="pct"/>
          </w:tcPr>
          <w:p w14:paraId="05761D91" w14:textId="77777777" w:rsidR="00C61BAC" w:rsidRPr="0019444B" w:rsidRDefault="00C61BAC" w:rsidP="00433793">
            <w:pPr>
              <w:jc w:val="left"/>
              <w:rPr>
                <w:rFonts w:ascii="Arial Narrow" w:hAnsi="Arial Narrow"/>
                <w:sz w:val="20"/>
                <w:szCs w:val="20"/>
              </w:rPr>
            </w:pPr>
            <w:r w:rsidRPr="0019444B">
              <w:rPr>
                <w:rFonts w:ascii="Arial Narrow" w:hAnsi="Arial Narrow"/>
                <w:sz w:val="20"/>
                <w:szCs w:val="20"/>
              </w:rPr>
              <w:t xml:space="preserve">Sharman JP, Egyed M, Jurczak W, Skarbnik A, Pagel JM, Kamdar MK, et al. Acalabrutinib +/- obinutuzumab versus obinutuzumab + chlorambucil in treatment-naive chronic lymphocytic leukemia: elevate-TN four-year follow-up. </w:t>
            </w:r>
          </w:p>
        </w:tc>
        <w:tc>
          <w:tcPr>
            <w:tcW w:w="1362" w:type="pct"/>
            <w:tcBorders>
              <w:right w:val="single" w:sz="4" w:space="0" w:color="auto"/>
            </w:tcBorders>
          </w:tcPr>
          <w:p w14:paraId="1F590205" w14:textId="77777777" w:rsidR="00C61BAC" w:rsidRPr="0019444B" w:rsidRDefault="00C61BAC" w:rsidP="00433793">
            <w:pPr>
              <w:jc w:val="left"/>
              <w:rPr>
                <w:rFonts w:ascii="Arial Narrow" w:hAnsi="Arial Narrow"/>
                <w:sz w:val="20"/>
                <w:szCs w:val="20"/>
              </w:rPr>
            </w:pPr>
            <w:r w:rsidRPr="0019444B">
              <w:rPr>
                <w:rFonts w:ascii="Arial Narrow" w:hAnsi="Arial Narrow"/>
                <w:sz w:val="20"/>
                <w:szCs w:val="20"/>
              </w:rPr>
              <w:t>Journal of Clinical Oncology 2021; 39 (15 SUPPL).</w:t>
            </w:r>
          </w:p>
        </w:tc>
      </w:tr>
      <w:tr w:rsidR="00C61BAC" w:rsidRPr="0019444B" w14:paraId="1DA74D8C" w14:textId="77777777" w:rsidTr="00433793">
        <w:trPr>
          <w:trHeight w:val="71"/>
        </w:trPr>
        <w:tc>
          <w:tcPr>
            <w:tcW w:w="558" w:type="pct"/>
            <w:vMerge/>
            <w:tcBorders>
              <w:left w:val="single" w:sz="4" w:space="0" w:color="auto"/>
            </w:tcBorders>
          </w:tcPr>
          <w:p w14:paraId="40215FA4" w14:textId="77777777" w:rsidR="00C61BAC" w:rsidRPr="0019444B" w:rsidRDefault="00C61BAC" w:rsidP="00433793">
            <w:pPr>
              <w:rPr>
                <w:rFonts w:ascii="Arial Narrow" w:hAnsi="Arial Narrow"/>
                <w:b/>
                <w:bCs/>
                <w:sz w:val="20"/>
                <w:szCs w:val="20"/>
              </w:rPr>
            </w:pPr>
          </w:p>
        </w:tc>
        <w:tc>
          <w:tcPr>
            <w:tcW w:w="3080" w:type="pct"/>
          </w:tcPr>
          <w:p w14:paraId="5B5EF4C3" w14:textId="77777777" w:rsidR="00C61BAC" w:rsidRPr="0019444B" w:rsidRDefault="00C61BAC" w:rsidP="00433793">
            <w:pPr>
              <w:jc w:val="left"/>
              <w:rPr>
                <w:rFonts w:ascii="Arial Narrow" w:hAnsi="Arial Narrow"/>
                <w:sz w:val="20"/>
                <w:szCs w:val="20"/>
              </w:rPr>
            </w:pPr>
            <w:r w:rsidRPr="0019444B">
              <w:rPr>
                <w:rFonts w:ascii="Arial Narrow" w:hAnsi="Arial Narrow"/>
                <w:sz w:val="20"/>
                <w:szCs w:val="20"/>
              </w:rPr>
              <w:t>Walker P, Sharman JP, Jurczak W, Munir T, Banerji V, Coutre S, et al. CN4 Patient-Reported Outcomes from the Phase 3, Randomized Study of Acalabrutinib with or without Obinutuzumab Versus Chlorambucil PLUS Obinutuzumab for Treatment-Naive Chronic Lymphocytic Leukemia (ELEVATE-TN).</w:t>
            </w:r>
          </w:p>
        </w:tc>
        <w:tc>
          <w:tcPr>
            <w:tcW w:w="1362" w:type="pct"/>
            <w:tcBorders>
              <w:right w:val="single" w:sz="4" w:space="0" w:color="auto"/>
            </w:tcBorders>
          </w:tcPr>
          <w:p w14:paraId="64E0C30A" w14:textId="77777777" w:rsidR="00C61BAC" w:rsidRPr="0019444B" w:rsidRDefault="00C61BAC" w:rsidP="00433793">
            <w:pPr>
              <w:jc w:val="left"/>
              <w:rPr>
                <w:rFonts w:ascii="Arial Narrow" w:hAnsi="Arial Narrow"/>
                <w:sz w:val="20"/>
                <w:szCs w:val="20"/>
              </w:rPr>
            </w:pPr>
            <w:r w:rsidRPr="0019444B">
              <w:rPr>
                <w:rFonts w:ascii="Arial Narrow" w:hAnsi="Arial Narrow"/>
                <w:sz w:val="20"/>
                <w:szCs w:val="20"/>
              </w:rPr>
              <w:t>Value in health 2021; 24 (S3-S4.)</w:t>
            </w:r>
          </w:p>
        </w:tc>
      </w:tr>
      <w:tr w:rsidR="00C61BAC" w:rsidRPr="0019444B" w14:paraId="49B9FBA7" w14:textId="77777777" w:rsidTr="00433793">
        <w:trPr>
          <w:trHeight w:val="71"/>
        </w:trPr>
        <w:tc>
          <w:tcPr>
            <w:tcW w:w="558" w:type="pct"/>
            <w:vMerge w:val="restart"/>
            <w:tcBorders>
              <w:top w:val="single" w:sz="4" w:space="0" w:color="auto"/>
            </w:tcBorders>
            <w:vAlign w:val="center"/>
          </w:tcPr>
          <w:p w14:paraId="3656B174" w14:textId="77777777" w:rsidR="00C61BAC" w:rsidRPr="0019444B" w:rsidRDefault="00C61BAC" w:rsidP="00433793">
            <w:pPr>
              <w:rPr>
                <w:rFonts w:ascii="Arial Narrow" w:hAnsi="Arial Narrow"/>
                <w:b/>
                <w:bCs/>
                <w:sz w:val="20"/>
                <w:szCs w:val="20"/>
              </w:rPr>
            </w:pPr>
            <w:r w:rsidRPr="0019444B">
              <w:rPr>
                <w:rFonts w:ascii="Arial Narrow" w:hAnsi="Arial Narrow"/>
                <w:b/>
                <w:bCs/>
                <w:sz w:val="20"/>
                <w:szCs w:val="20"/>
              </w:rPr>
              <w:t>CLL-14</w:t>
            </w:r>
          </w:p>
        </w:tc>
        <w:tc>
          <w:tcPr>
            <w:tcW w:w="3080" w:type="pct"/>
            <w:tcBorders>
              <w:top w:val="single" w:sz="4" w:space="0" w:color="auto"/>
            </w:tcBorders>
          </w:tcPr>
          <w:p w14:paraId="36E26E75" w14:textId="77777777" w:rsidR="00C61BAC" w:rsidRPr="0019444B" w:rsidRDefault="00C61BAC" w:rsidP="00433793">
            <w:pPr>
              <w:jc w:val="left"/>
              <w:rPr>
                <w:rFonts w:ascii="Arial Narrow" w:hAnsi="Arial Narrow"/>
                <w:sz w:val="20"/>
                <w:szCs w:val="20"/>
              </w:rPr>
            </w:pPr>
            <w:r w:rsidRPr="0019444B">
              <w:rPr>
                <w:rFonts w:ascii="Arial Narrow" w:hAnsi="Arial Narrow"/>
                <w:sz w:val="20"/>
                <w:szCs w:val="20"/>
              </w:rPr>
              <w:t>Al-Sawaf O, Zhang C, Robrecht S, Kotak A et al. Venetoclax-obinutuzumab for previously untreated chronic lymphocytic leukemia: 5-year results of the randomized CLL14 study.</w:t>
            </w:r>
          </w:p>
        </w:tc>
        <w:tc>
          <w:tcPr>
            <w:tcW w:w="1362" w:type="pct"/>
            <w:tcBorders>
              <w:top w:val="single" w:sz="4" w:space="0" w:color="auto"/>
            </w:tcBorders>
          </w:tcPr>
          <w:p w14:paraId="27B444A3" w14:textId="77777777" w:rsidR="00C61BAC" w:rsidRPr="0019444B" w:rsidRDefault="00C61BAC" w:rsidP="00433793">
            <w:pPr>
              <w:jc w:val="left"/>
              <w:rPr>
                <w:rFonts w:ascii="Arial Narrow" w:hAnsi="Arial Narrow"/>
                <w:sz w:val="20"/>
                <w:szCs w:val="20"/>
              </w:rPr>
            </w:pPr>
            <w:r w:rsidRPr="0019444B">
              <w:rPr>
                <w:rFonts w:ascii="Arial Narrow" w:hAnsi="Arial Narrow"/>
                <w:sz w:val="20"/>
                <w:szCs w:val="20"/>
              </w:rPr>
              <w:t xml:space="preserve">Hemasphere 2022; </w:t>
            </w:r>
            <w:proofErr w:type="gramStart"/>
            <w:r w:rsidRPr="0019444B">
              <w:rPr>
                <w:rFonts w:ascii="Arial Narrow" w:hAnsi="Arial Narrow"/>
                <w:sz w:val="20"/>
                <w:szCs w:val="20"/>
              </w:rPr>
              <w:t>6:S</w:t>
            </w:r>
            <w:proofErr w:type="gramEnd"/>
            <w:r w:rsidRPr="0019444B">
              <w:rPr>
                <w:rFonts w:ascii="Arial Narrow" w:hAnsi="Arial Narrow"/>
                <w:sz w:val="20"/>
                <w:szCs w:val="20"/>
              </w:rPr>
              <w:t>3.</w:t>
            </w:r>
          </w:p>
        </w:tc>
      </w:tr>
      <w:tr w:rsidR="00C61BAC" w:rsidRPr="0019444B" w14:paraId="12F681F4" w14:textId="77777777" w:rsidTr="00433793">
        <w:trPr>
          <w:trHeight w:val="71"/>
        </w:trPr>
        <w:tc>
          <w:tcPr>
            <w:tcW w:w="558" w:type="pct"/>
            <w:vMerge/>
            <w:tcBorders>
              <w:top w:val="single" w:sz="4" w:space="0" w:color="auto"/>
            </w:tcBorders>
          </w:tcPr>
          <w:p w14:paraId="7EF818B8" w14:textId="77777777" w:rsidR="00C61BAC" w:rsidRPr="0019444B" w:rsidRDefault="00C61BAC" w:rsidP="00433793">
            <w:pPr>
              <w:rPr>
                <w:rFonts w:ascii="Arial Narrow" w:hAnsi="Arial Narrow"/>
                <w:b/>
                <w:bCs/>
                <w:sz w:val="20"/>
                <w:szCs w:val="20"/>
              </w:rPr>
            </w:pPr>
          </w:p>
        </w:tc>
        <w:tc>
          <w:tcPr>
            <w:tcW w:w="3080" w:type="pct"/>
            <w:tcBorders>
              <w:top w:val="single" w:sz="4" w:space="0" w:color="auto"/>
            </w:tcBorders>
          </w:tcPr>
          <w:p w14:paraId="0ED94FFF" w14:textId="77777777" w:rsidR="00C61BAC" w:rsidRPr="0019444B" w:rsidRDefault="00C61BAC" w:rsidP="00433793">
            <w:pPr>
              <w:jc w:val="left"/>
              <w:rPr>
                <w:rFonts w:ascii="Arial Narrow" w:hAnsi="Arial Narrow"/>
                <w:sz w:val="20"/>
                <w:szCs w:val="20"/>
              </w:rPr>
            </w:pPr>
            <w:r w:rsidRPr="0019444B">
              <w:rPr>
                <w:rFonts w:ascii="Arial Narrow" w:hAnsi="Arial Narrow"/>
                <w:sz w:val="20"/>
                <w:szCs w:val="20"/>
              </w:rPr>
              <w:t xml:space="preserve">Al-Sawaf, O., C. Zhang, S. Robrecht, A. Kotak, N. Chang, A. Fink, E. Tausch, et al. Cll-246 Venetoclax-Obinutuzumab for Previously Untreated Chronic Lymphocytic Leukemia: 5-Year Results of the Randomized Cll14 Study. </w:t>
            </w:r>
          </w:p>
        </w:tc>
        <w:tc>
          <w:tcPr>
            <w:tcW w:w="1362" w:type="pct"/>
            <w:tcBorders>
              <w:top w:val="single" w:sz="4" w:space="0" w:color="auto"/>
            </w:tcBorders>
          </w:tcPr>
          <w:p w14:paraId="41DE9492" w14:textId="77777777" w:rsidR="00C61BAC" w:rsidRPr="0019444B" w:rsidRDefault="00C61BAC" w:rsidP="00433793">
            <w:pPr>
              <w:jc w:val="left"/>
              <w:rPr>
                <w:rFonts w:ascii="Arial Narrow" w:hAnsi="Arial Narrow"/>
                <w:sz w:val="20"/>
                <w:szCs w:val="20"/>
              </w:rPr>
            </w:pPr>
            <w:r w:rsidRPr="0019444B">
              <w:rPr>
                <w:rFonts w:ascii="Arial Narrow" w:hAnsi="Arial Narrow"/>
                <w:sz w:val="20"/>
                <w:szCs w:val="20"/>
              </w:rPr>
              <w:t>Clinical lymphoma, myeloma &amp; leukemia 2022; 22 (S274-S275)</w:t>
            </w:r>
          </w:p>
        </w:tc>
      </w:tr>
      <w:tr w:rsidR="00C61BAC" w:rsidRPr="0019444B" w14:paraId="3D00E998" w14:textId="77777777" w:rsidTr="00433793">
        <w:trPr>
          <w:trHeight w:val="71"/>
        </w:trPr>
        <w:tc>
          <w:tcPr>
            <w:tcW w:w="558" w:type="pct"/>
            <w:vMerge/>
          </w:tcPr>
          <w:p w14:paraId="15E42A1C" w14:textId="77777777" w:rsidR="00C61BAC" w:rsidRPr="0019444B" w:rsidRDefault="00C61BAC" w:rsidP="00433793">
            <w:pPr>
              <w:rPr>
                <w:rFonts w:ascii="Arial Narrow" w:hAnsi="Arial Narrow"/>
                <w:b/>
                <w:bCs/>
                <w:sz w:val="20"/>
                <w:szCs w:val="20"/>
              </w:rPr>
            </w:pPr>
          </w:p>
        </w:tc>
        <w:tc>
          <w:tcPr>
            <w:tcW w:w="3080" w:type="pct"/>
            <w:tcBorders>
              <w:top w:val="single" w:sz="4" w:space="0" w:color="auto"/>
            </w:tcBorders>
          </w:tcPr>
          <w:p w14:paraId="6D303E0C" w14:textId="77777777" w:rsidR="00C61BAC" w:rsidRPr="0019444B" w:rsidRDefault="00C61BAC" w:rsidP="00991485">
            <w:pPr>
              <w:pStyle w:val="TableBullet"/>
              <w:numPr>
                <w:ilvl w:val="0"/>
                <w:numId w:val="0"/>
              </w:numPr>
            </w:pPr>
            <w:r w:rsidRPr="0019444B">
              <w:t xml:space="preserve">Al-Sawaf, O., C. Zhang, T. Lu, M. Liao, A. Panchal, S. Robrecht, T. Ching, et al. Utilizing Serial Minimal Residual Disease (Mrd) Assessments: Long-Term Outcomes and Insights from Modeling Mrd Growth by Next generation Sequencing (Ngs) within the Randomized Cll14 Study Evaluating Fixed </w:t>
            </w:r>
            <w:proofErr w:type="gramStart"/>
            <w:r w:rsidRPr="0019444B">
              <w:t>duration</w:t>
            </w:r>
            <w:proofErr w:type="gramEnd"/>
            <w:r w:rsidRPr="0019444B">
              <w:t xml:space="preserve"> Therapy with Venetoclax and Obinutuzumab.</w:t>
            </w:r>
          </w:p>
        </w:tc>
        <w:tc>
          <w:tcPr>
            <w:tcW w:w="1362" w:type="pct"/>
            <w:tcBorders>
              <w:top w:val="single" w:sz="4" w:space="0" w:color="auto"/>
            </w:tcBorders>
          </w:tcPr>
          <w:p w14:paraId="6EC9564E" w14:textId="77777777" w:rsidR="00C61BAC" w:rsidRPr="0019444B" w:rsidRDefault="00C61BAC" w:rsidP="00433793">
            <w:pPr>
              <w:jc w:val="left"/>
              <w:rPr>
                <w:rFonts w:ascii="Arial Narrow" w:hAnsi="Arial Narrow"/>
                <w:sz w:val="20"/>
                <w:szCs w:val="20"/>
              </w:rPr>
            </w:pPr>
            <w:r w:rsidRPr="0019444B">
              <w:rPr>
                <w:rFonts w:ascii="Arial Narrow" w:hAnsi="Arial Narrow"/>
                <w:sz w:val="20"/>
                <w:szCs w:val="20"/>
              </w:rPr>
              <w:t>Leukemia &amp; Lymphoma 2021; 62 (SUPPL 1): S19-p.</w:t>
            </w:r>
          </w:p>
        </w:tc>
      </w:tr>
      <w:tr w:rsidR="00C61BAC" w:rsidRPr="0019444B" w14:paraId="22255D37" w14:textId="77777777" w:rsidTr="00433793">
        <w:trPr>
          <w:trHeight w:val="71"/>
        </w:trPr>
        <w:tc>
          <w:tcPr>
            <w:tcW w:w="558" w:type="pct"/>
            <w:vMerge/>
          </w:tcPr>
          <w:p w14:paraId="670E3E6A" w14:textId="77777777" w:rsidR="00C61BAC" w:rsidRPr="0019444B" w:rsidRDefault="00C61BAC" w:rsidP="00433793">
            <w:pPr>
              <w:rPr>
                <w:rFonts w:ascii="Arial Narrow" w:hAnsi="Arial Narrow"/>
                <w:b/>
                <w:bCs/>
                <w:sz w:val="20"/>
                <w:szCs w:val="20"/>
              </w:rPr>
            </w:pPr>
          </w:p>
        </w:tc>
        <w:tc>
          <w:tcPr>
            <w:tcW w:w="3080" w:type="pct"/>
            <w:tcBorders>
              <w:top w:val="single" w:sz="4" w:space="0" w:color="auto"/>
            </w:tcBorders>
          </w:tcPr>
          <w:p w14:paraId="287D4C50" w14:textId="77777777" w:rsidR="00C61BAC" w:rsidRPr="0019444B" w:rsidRDefault="00C61BAC" w:rsidP="00433793">
            <w:pPr>
              <w:jc w:val="left"/>
              <w:rPr>
                <w:rFonts w:ascii="Arial Narrow" w:hAnsi="Arial Narrow"/>
                <w:sz w:val="20"/>
                <w:szCs w:val="20"/>
              </w:rPr>
            </w:pPr>
            <w:r w:rsidRPr="00EB0E37">
              <w:rPr>
                <w:rFonts w:ascii="Arial Narrow" w:hAnsi="Arial Narrow"/>
                <w:sz w:val="20"/>
                <w:szCs w:val="20"/>
              </w:rPr>
              <w:t xml:space="preserve">Al-Sawaf O, Gentile B, Devine J, Zhang C et al. </w:t>
            </w:r>
            <w:r w:rsidRPr="0019444B">
              <w:rPr>
                <w:rFonts w:ascii="Arial Narrow" w:hAnsi="Arial Narrow"/>
                <w:sz w:val="20"/>
                <w:szCs w:val="20"/>
              </w:rPr>
              <w:t xml:space="preserve">Health-related quality of life with fixed-duration venetoclax-obinutuzumab for previously untreated chronic lymphocytic leukemia: Results from the randomized, phase 3 CLL14 trial. </w:t>
            </w:r>
          </w:p>
        </w:tc>
        <w:tc>
          <w:tcPr>
            <w:tcW w:w="1362" w:type="pct"/>
            <w:tcBorders>
              <w:top w:val="single" w:sz="4" w:space="0" w:color="auto"/>
            </w:tcBorders>
          </w:tcPr>
          <w:p w14:paraId="69E570CD" w14:textId="77777777" w:rsidR="00C61BAC" w:rsidRPr="0019444B" w:rsidRDefault="00C61BAC" w:rsidP="00433793">
            <w:pPr>
              <w:jc w:val="left"/>
              <w:rPr>
                <w:rFonts w:ascii="Arial Narrow" w:hAnsi="Arial Narrow"/>
                <w:sz w:val="20"/>
                <w:szCs w:val="20"/>
              </w:rPr>
            </w:pPr>
            <w:r w:rsidRPr="0019444B">
              <w:rPr>
                <w:rFonts w:ascii="Arial Narrow" w:hAnsi="Arial Narrow"/>
                <w:sz w:val="20"/>
                <w:szCs w:val="20"/>
              </w:rPr>
              <w:t>American Journal of Hematology 2021; 96(9):1112-9.</w:t>
            </w:r>
          </w:p>
        </w:tc>
      </w:tr>
      <w:tr w:rsidR="00C61BAC" w:rsidRPr="0019444B" w14:paraId="3BFBA77B" w14:textId="77777777" w:rsidTr="00433793">
        <w:trPr>
          <w:trHeight w:val="71"/>
        </w:trPr>
        <w:tc>
          <w:tcPr>
            <w:tcW w:w="558" w:type="pct"/>
            <w:vMerge/>
          </w:tcPr>
          <w:p w14:paraId="0E75BA4F" w14:textId="77777777" w:rsidR="00C61BAC" w:rsidRPr="0019444B" w:rsidRDefault="00C61BAC" w:rsidP="00433793">
            <w:pPr>
              <w:rPr>
                <w:rFonts w:ascii="Arial Narrow" w:hAnsi="Arial Narrow"/>
                <w:b/>
                <w:bCs/>
                <w:sz w:val="20"/>
                <w:szCs w:val="20"/>
              </w:rPr>
            </w:pPr>
          </w:p>
        </w:tc>
        <w:tc>
          <w:tcPr>
            <w:tcW w:w="3080" w:type="pct"/>
            <w:tcBorders>
              <w:top w:val="single" w:sz="4" w:space="0" w:color="auto"/>
            </w:tcBorders>
          </w:tcPr>
          <w:p w14:paraId="55792C6F" w14:textId="77777777" w:rsidR="00C61BAC" w:rsidRPr="0019444B" w:rsidRDefault="00C61BAC" w:rsidP="00433793">
            <w:pPr>
              <w:jc w:val="left"/>
              <w:rPr>
                <w:rFonts w:ascii="Arial Narrow" w:hAnsi="Arial Narrow"/>
                <w:sz w:val="20"/>
                <w:szCs w:val="20"/>
              </w:rPr>
            </w:pPr>
            <w:r w:rsidRPr="00EB0E37">
              <w:rPr>
                <w:rFonts w:ascii="Arial Narrow" w:hAnsi="Arial Narrow"/>
                <w:sz w:val="20"/>
                <w:szCs w:val="20"/>
              </w:rPr>
              <w:t xml:space="preserve">Al-Sawaf O, Zhang C, Lu T, Liao MZ, et al. </w:t>
            </w:r>
            <w:r w:rsidRPr="0019444B">
              <w:rPr>
                <w:rFonts w:ascii="Arial Narrow" w:hAnsi="Arial Narrow"/>
                <w:sz w:val="20"/>
                <w:szCs w:val="20"/>
              </w:rPr>
              <w:t xml:space="preserve">Minimal residual disease dynamics after venetoclax-obinutuzumab treatment: extended off-treatment follow-up from the randomized CLL14 study. </w:t>
            </w:r>
          </w:p>
        </w:tc>
        <w:tc>
          <w:tcPr>
            <w:tcW w:w="1362" w:type="pct"/>
            <w:tcBorders>
              <w:top w:val="single" w:sz="4" w:space="0" w:color="auto"/>
            </w:tcBorders>
          </w:tcPr>
          <w:p w14:paraId="24AA7FF5" w14:textId="77777777" w:rsidR="00C61BAC" w:rsidRPr="0019444B" w:rsidRDefault="00C61BAC" w:rsidP="00433793">
            <w:pPr>
              <w:jc w:val="left"/>
              <w:rPr>
                <w:rFonts w:ascii="Arial Narrow" w:hAnsi="Arial Narrow"/>
                <w:sz w:val="20"/>
                <w:szCs w:val="20"/>
              </w:rPr>
            </w:pPr>
            <w:r w:rsidRPr="0019444B">
              <w:rPr>
                <w:rFonts w:ascii="Arial Narrow" w:hAnsi="Arial Narrow"/>
                <w:sz w:val="20"/>
                <w:szCs w:val="20"/>
              </w:rPr>
              <w:t>Journal of Clinical Oncology 2021; 39(36):4049-60.</w:t>
            </w:r>
          </w:p>
        </w:tc>
      </w:tr>
      <w:tr w:rsidR="00C61BAC" w:rsidRPr="0019444B" w14:paraId="3F833A28" w14:textId="77777777" w:rsidTr="00433793">
        <w:trPr>
          <w:trHeight w:val="71"/>
        </w:trPr>
        <w:tc>
          <w:tcPr>
            <w:tcW w:w="558" w:type="pct"/>
            <w:vMerge/>
          </w:tcPr>
          <w:p w14:paraId="4054EC7B" w14:textId="77777777" w:rsidR="00C61BAC" w:rsidRPr="0019444B" w:rsidRDefault="00C61BAC" w:rsidP="00433793">
            <w:pPr>
              <w:rPr>
                <w:rFonts w:ascii="Arial Narrow" w:hAnsi="Arial Narrow"/>
                <w:b/>
                <w:bCs/>
                <w:sz w:val="20"/>
                <w:szCs w:val="20"/>
              </w:rPr>
            </w:pPr>
          </w:p>
        </w:tc>
        <w:tc>
          <w:tcPr>
            <w:tcW w:w="3080" w:type="pct"/>
            <w:tcBorders>
              <w:top w:val="single" w:sz="4" w:space="0" w:color="auto"/>
            </w:tcBorders>
          </w:tcPr>
          <w:p w14:paraId="1500F983" w14:textId="77777777" w:rsidR="00C61BAC" w:rsidRPr="0019444B" w:rsidRDefault="00C61BAC" w:rsidP="00433793">
            <w:pPr>
              <w:jc w:val="left"/>
              <w:rPr>
                <w:rFonts w:ascii="Arial Narrow" w:hAnsi="Arial Narrow"/>
                <w:sz w:val="20"/>
                <w:szCs w:val="20"/>
              </w:rPr>
            </w:pPr>
            <w:r w:rsidRPr="0019444B">
              <w:rPr>
                <w:rFonts w:ascii="Arial Narrow" w:hAnsi="Arial Narrow"/>
                <w:sz w:val="20"/>
                <w:szCs w:val="20"/>
              </w:rPr>
              <w:t xml:space="preserve">Al-Sawaf O, Zhang C, Robrecht S, Tandon M et al. Venetoclax-obinutuzumab for previously untreated chronic lymphocytic leukemia: 4-year follow-up analysis of the randomized CLL14 study. </w:t>
            </w:r>
          </w:p>
        </w:tc>
        <w:tc>
          <w:tcPr>
            <w:tcW w:w="1362" w:type="pct"/>
            <w:tcBorders>
              <w:top w:val="single" w:sz="4" w:space="0" w:color="auto"/>
            </w:tcBorders>
          </w:tcPr>
          <w:p w14:paraId="6170CD5C" w14:textId="77777777" w:rsidR="00C61BAC" w:rsidRPr="0019444B" w:rsidRDefault="00C61BAC" w:rsidP="00433793">
            <w:pPr>
              <w:jc w:val="left"/>
              <w:rPr>
                <w:rFonts w:ascii="Arial Narrow" w:hAnsi="Arial Narrow"/>
                <w:sz w:val="20"/>
                <w:szCs w:val="20"/>
              </w:rPr>
            </w:pPr>
            <w:r w:rsidRPr="0019444B">
              <w:rPr>
                <w:rFonts w:ascii="Arial Narrow" w:hAnsi="Arial Narrow"/>
                <w:sz w:val="20"/>
                <w:szCs w:val="20"/>
              </w:rPr>
              <w:t>Hematological Oncology 2021; 39 (SUPPL 2): 201-3.</w:t>
            </w:r>
          </w:p>
        </w:tc>
      </w:tr>
      <w:tr w:rsidR="00C61BAC" w:rsidRPr="0019444B" w14:paraId="014D02A1" w14:textId="77777777" w:rsidTr="00433793">
        <w:trPr>
          <w:trHeight w:val="71"/>
        </w:trPr>
        <w:tc>
          <w:tcPr>
            <w:tcW w:w="558" w:type="pct"/>
            <w:vMerge/>
          </w:tcPr>
          <w:p w14:paraId="285AF46A" w14:textId="77777777" w:rsidR="00C61BAC" w:rsidRPr="0019444B" w:rsidRDefault="00C61BAC" w:rsidP="00433793">
            <w:pPr>
              <w:rPr>
                <w:rFonts w:ascii="Arial Narrow" w:hAnsi="Arial Narrow"/>
                <w:b/>
                <w:bCs/>
                <w:sz w:val="20"/>
                <w:szCs w:val="20"/>
              </w:rPr>
            </w:pPr>
          </w:p>
        </w:tc>
        <w:tc>
          <w:tcPr>
            <w:tcW w:w="3080" w:type="pct"/>
            <w:tcBorders>
              <w:top w:val="single" w:sz="4" w:space="0" w:color="auto"/>
            </w:tcBorders>
          </w:tcPr>
          <w:p w14:paraId="445F3EDB" w14:textId="77777777" w:rsidR="00C61BAC" w:rsidRPr="0019444B" w:rsidRDefault="00C61BAC" w:rsidP="00991485">
            <w:pPr>
              <w:pStyle w:val="TableBullet"/>
              <w:numPr>
                <w:ilvl w:val="0"/>
                <w:numId w:val="0"/>
              </w:numPr>
            </w:pPr>
            <w:r w:rsidRPr="00EB0E37">
              <w:t xml:space="preserve">Al-Sawaf O, Zhang C, Tandon M, Sinha A et al. </w:t>
            </w:r>
            <w:r w:rsidRPr="0019444B">
              <w:t xml:space="preserve">Venetoclax plus obinutuzumab versus chlorambucil plus obinutuzumab for previously untreated chronic lymphocytic leukaemia (CLL14): follow-up results from a multicentre, open-label, randomised, phase 3 trial. </w:t>
            </w:r>
          </w:p>
        </w:tc>
        <w:tc>
          <w:tcPr>
            <w:tcW w:w="1362" w:type="pct"/>
            <w:tcBorders>
              <w:top w:val="single" w:sz="4" w:space="0" w:color="auto"/>
            </w:tcBorders>
          </w:tcPr>
          <w:p w14:paraId="14FB21D1" w14:textId="77777777" w:rsidR="00C61BAC" w:rsidRPr="0019444B" w:rsidRDefault="00C61BAC" w:rsidP="00433793">
            <w:pPr>
              <w:jc w:val="left"/>
              <w:rPr>
                <w:rFonts w:ascii="Arial Narrow" w:hAnsi="Arial Narrow"/>
                <w:sz w:val="20"/>
                <w:szCs w:val="20"/>
              </w:rPr>
            </w:pPr>
            <w:r w:rsidRPr="0019444B">
              <w:rPr>
                <w:rFonts w:ascii="Arial Narrow" w:hAnsi="Arial Narrow"/>
                <w:sz w:val="20"/>
                <w:szCs w:val="20"/>
              </w:rPr>
              <w:t>Lancet Oncology. 2020; 21(9):1188-1200.</w:t>
            </w:r>
          </w:p>
        </w:tc>
      </w:tr>
      <w:tr w:rsidR="00C61BAC" w:rsidRPr="0019444B" w14:paraId="5D6710EF" w14:textId="77777777" w:rsidTr="00433793">
        <w:trPr>
          <w:trHeight w:val="71"/>
        </w:trPr>
        <w:tc>
          <w:tcPr>
            <w:tcW w:w="558" w:type="pct"/>
            <w:vMerge/>
          </w:tcPr>
          <w:p w14:paraId="026A9AB5" w14:textId="77777777" w:rsidR="00C61BAC" w:rsidRPr="0019444B" w:rsidRDefault="00C61BAC" w:rsidP="00433793">
            <w:pPr>
              <w:rPr>
                <w:rFonts w:ascii="Arial Narrow" w:hAnsi="Arial Narrow"/>
                <w:b/>
                <w:bCs/>
                <w:sz w:val="20"/>
                <w:szCs w:val="20"/>
              </w:rPr>
            </w:pPr>
          </w:p>
        </w:tc>
        <w:tc>
          <w:tcPr>
            <w:tcW w:w="3080" w:type="pct"/>
            <w:tcBorders>
              <w:top w:val="single" w:sz="4" w:space="0" w:color="auto"/>
            </w:tcBorders>
          </w:tcPr>
          <w:p w14:paraId="4EBDB86B" w14:textId="77777777" w:rsidR="00C61BAC" w:rsidRPr="0019444B" w:rsidRDefault="00C61BAC" w:rsidP="00991485">
            <w:pPr>
              <w:pStyle w:val="TableBullet"/>
              <w:numPr>
                <w:ilvl w:val="0"/>
                <w:numId w:val="0"/>
              </w:numPr>
            </w:pPr>
            <w:r w:rsidRPr="0019444B">
              <w:t xml:space="preserve">Al-Sawaf OM, Zhang C, Robrecht S, Wilson C, Tandon M, Ching T, et al. Clonal dynamics after venetoclax-obinutuzumab therapy: novel insights from the randomized, phase 3 CLL14 trial. </w:t>
            </w:r>
          </w:p>
        </w:tc>
        <w:tc>
          <w:tcPr>
            <w:tcW w:w="1362" w:type="pct"/>
            <w:tcBorders>
              <w:top w:val="single" w:sz="4" w:space="0" w:color="auto"/>
            </w:tcBorders>
          </w:tcPr>
          <w:p w14:paraId="5F58BBB8" w14:textId="77777777" w:rsidR="00C61BAC" w:rsidRPr="0019444B" w:rsidRDefault="00C61BAC" w:rsidP="00991485">
            <w:pPr>
              <w:pStyle w:val="TableBullet"/>
              <w:numPr>
                <w:ilvl w:val="0"/>
                <w:numId w:val="0"/>
              </w:numPr>
            </w:pPr>
            <w:r w:rsidRPr="0019444B">
              <w:t>Blood 2020;136 (SUPPL 1): 22-3.</w:t>
            </w:r>
          </w:p>
          <w:p w14:paraId="6A266113" w14:textId="77777777" w:rsidR="00C61BAC" w:rsidRPr="0019444B" w:rsidRDefault="00C61BAC" w:rsidP="00433793">
            <w:pPr>
              <w:jc w:val="left"/>
              <w:rPr>
                <w:rFonts w:ascii="Arial Narrow" w:hAnsi="Arial Narrow"/>
                <w:sz w:val="20"/>
                <w:szCs w:val="20"/>
              </w:rPr>
            </w:pPr>
          </w:p>
        </w:tc>
      </w:tr>
      <w:tr w:rsidR="00C61BAC" w:rsidRPr="0019444B" w14:paraId="6AE82B47" w14:textId="77777777" w:rsidTr="00433793">
        <w:trPr>
          <w:trHeight w:val="71"/>
        </w:trPr>
        <w:tc>
          <w:tcPr>
            <w:tcW w:w="558" w:type="pct"/>
            <w:vMerge/>
          </w:tcPr>
          <w:p w14:paraId="56018467" w14:textId="77777777" w:rsidR="00C61BAC" w:rsidRPr="0019444B" w:rsidRDefault="00C61BAC" w:rsidP="00433793">
            <w:pPr>
              <w:rPr>
                <w:rFonts w:ascii="Arial Narrow" w:hAnsi="Arial Narrow"/>
                <w:b/>
                <w:bCs/>
                <w:sz w:val="20"/>
                <w:szCs w:val="20"/>
              </w:rPr>
            </w:pPr>
          </w:p>
        </w:tc>
        <w:tc>
          <w:tcPr>
            <w:tcW w:w="3080" w:type="pct"/>
            <w:tcBorders>
              <w:top w:val="single" w:sz="4" w:space="0" w:color="auto"/>
            </w:tcBorders>
          </w:tcPr>
          <w:p w14:paraId="13414C9F" w14:textId="77777777" w:rsidR="00C61BAC" w:rsidRPr="0019444B" w:rsidRDefault="00C61BAC" w:rsidP="00991485">
            <w:pPr>
              <w:pStyle w:val="TableBullet"/>
              <w:numPr>
                <w:ilvl w:val="0"/>
                <w:numId w:val="0"/>
              </w:numPr>
            </w:pPr>
            <w:r w:rsidRPr="0019444B">
              <w:t xml:space="preserve">Al-Sawaf O, Zhang C, Tandon M, Robrecht S, Sinha A, Fink AM, et al. Characteristics and outcome of patients with chronic lymphocytic leukaemia and partial response to venetoclax-obinutuzumab. </w:t>
            </w:r>
          </w:p>
        </w:tc>
        <w:tc>
          <w:tcPr>
            <w:tcW w:w="1362" w:type="pct"/>
            <w:tcBorders>
              <w:top w:val="single" w:sz="4" w:space="0" w:color="auto"/>
            </w:tcBorders>
          </w:tcPr>
          <w:p w14:paraId="4B252423" w14:textId="77777777" w:rsidR="00C61BAC" w:rsidRPr="0019444B" w:rsidRDefault="00C61BAC" w:rsidP="00433793">
            <w:pPr>
              <w:jc w:val="left"/>
              <w:rPr>
                <w:rFonts w:ascii="Arial Narrow" w:hAnsi="Arial Narrow"/>
                <w:sz w:val="20"/>
                <w:szCs w:val="20"/>
              </w:rPr>
            </w:pPr>
            <w:r w:rsidRPr="0019444B">
              <w:rPr>
                <w:rFonts w:ascii="Arial Narrow" w:hAnsi="Arial Narrow"/>
                <w:sz w:val="20"/>
                <w:szCs w:val="20"/>
              </w:rPr>
              <w:t>Hemasphere 2020; 4(306).</w:t>
            </w:r>
          </w:p>
        </w:tc>
      </w:tr>
      <w:tr w:rsidR="00C61BAC" w:rsidRPr="0019444B" w14:paraId="620B5B55" w14:textId="77777777" w:rsidTr="00433793">
        <w:trPr>
          <w:trHeight w:val="71"/>
        </w:trPr>
        <w:tc>
          <w:tcPr>
            <w:tcW w:w="558" w:type="pct"/>
            <w:vMerge/>
          </w:tcPr>
          <w:p w14:paraId="67D13774" w14:textId="77777777" w:rsidR="00C61BAC" w:rsidRPr="0019444B" w:rsidRDefault="00C61BAC" w:rsidP="00433793">
            <w:pPr>
              <w:rPr>
                <w:rFonts w:ascii="Arial Narrow" w:hAnsi="Arial Narrow"/>
                <w:b/>
                <w:bCs/>
                <w:sz w:val="20"/>
                <w:szCs w:val="20"/>
              </w:rPr>
            </w:pPr>
          </w:p>
        </w:tc>
        <w:tc>
          <w:tcPr>
            <w:tcW w:w="3080" w:type="pct"/>
            <w:tcBorders>
              <w:top w:val="single" w:sz="4" w:space="0" w:color="auto"/>
            </w:tcBorders>
          </w:tcPr>
          <w:p w14:paraId="6049564C" w14:textId="77777777" w:rsidR="00C61BAC" w:rsidRPr="0019444B" w:rsidRDefault="00C61BAC" w:rsidP="00991485">
            <w:pPr>
              <w:pStyle w:val="TableBullet"/>
              <w:numPr>
                <w:ilvl w:val="0"/>
                <w:numId w:val="0"/>
              </w:numPr>
            </w:pPr>
            <w:r w:rsidRPr="0019444B">
              <w:t xml:space="preserve">Al-Sawaf O, Zhang C, Tandon M, Sinha A, Fink A, Robrecht S, et al. Fixed-duration venetoclax-obinutuzumab for previously untreated chronic lymphocytic leukemia: follow-up of efficacy and safety results from the multicenter, open-label, randomized phase 3 CLL14 trial. </w:t>
            </w:r>
          </w:p>
        </w:tc>
        <w:tc>
          <w:tcPr>
            <w:tcW w:w="1362" w:type="pct"/>
            <w:tcBorders>
              <w:top w:val="single" w:sz="4" w:space="0" w:color="auto"/>
            </w:tcBorders>
          </w:tcPr>
          <w:p w14:paraId="788096CB" w14:textId="77777777" w:rsidR="00C61BAC" w:rsidRPr="0019444B" w:rsidRDefault="00C61BAC" w:rsidP="00991485">
            <w:pPr>
              <w:pStyle w:val="TableBullet"/>
              <w:numPr>
                <w:ilvl w:val="0"/>
                <w:numId w:val="0"/>
              </w:numPr>
            </w:pPr>
            <w:r w:rsidRPr="0019444B">
              <w:t>Hemasphere 2020; 4:30-1.</w:t>
            </w:r>
          </w:p>
          <w:p w14:paraId="7825ED3E" w14:textId="77777777" w:rsidR="00C61BAC" w:rsidRPr="0019444B" w:rsidRDefault="00C61BAC" w:rsidP="00433793">
            <w:pPr>
              <w:jc w:val="left"/>
              <w:rPr>
                <w:rFonts w:ascii="Arial Narrow" w:hAnsi="Arial Narrow"/>
                <w:sz w:val="20"/>
                <w:szCs w:val="20"/>
              </w:rPr>
            </w:pPr>
          </w:p>
        </w:tc>
      </w:tr>
      <w:tr w:rsidR="00C61BAC" w:rsidRPr="0019444B" w14:paraId="21EEA66D" w14:textId="77777777" w:rsidTr="00433793">
        <w:trPr>
          <w:trHeight w:val="71"/>
        </w:trPr>
        <w:tc>
          <w:tcPr>
            <w:tcW w:w="558" w:type="pct"/>
            <w:vMerge/>
          </w:tcPr>
          <w:p w14:paraId="68BBB6CD" w14:textId="77777777" w:rsidR="00C61BAC" w:rsidRPr="0019444B" w:rsidRDefault="00C61BAC" w:rsidP="00433793">
            <w:pPr>
              <w:rPr>
                <w:rFonts w:ascii="Arial Narrow" w:hAnsi="Arial Narrow"/>
                <w:b/>
                <w:bCs/>
                <w:sz w:val="20"/>
                <w:szCs w:val="20"/>
              </w:rPr>
            </w:pPr>
          </w:p>
        </w:tc>
        <w:tc>
          <w:tcPr>
            <w:tcW w:w="3080" w:type="pct"/>
            <w:tcBorders>
              <w:top w:val="single" w:sz="4" w:space="0" w:color="auto"/>
            </w:tcBorders>
          </w:tcPr>
          <w:p w14:paraId="0460B809" w14:textId="77777777" w:rsidR="00C61BAC" w:rsidRPr="0019444B" w:rsidRDefault="00C61BAC" w:rsidP="00991485">
            <w:pPr>
              <w:pStyle w:val="TableBullet"/>
              <w:numPr>
                <w:ilvl w:val="0"/>
                <w:numId w:val="0"/>
              </w:numPr>
            </w:pPr>
            <w:r w:rsidRPr="0019444B">
              <w:t xml:space="preserve">Fischer K, Al-Sawaf O, Bahlo J, Fink AM, Tandon M, Dixon M, et al. Effect of fixed-duration venetoclax plus obinutuzumab (VenG) on progression-free survival (PFS), and rates and duration of minimal residual disease negativity (MRD-) in previously untreated patients (pts) with chronic lymphocytic leukemia (CLL) and comorbidities. </w:t>
            </w:r>
          </w:p>
        </w:tc>
        <w:tc>
          <w:tcPr>
            <w:tcW w:w="1362" w:type="pct"/>
            <w:tcBorders>
              <w:top w:val="single" w:sz="4" w:space="0" w:color="auto"/>
            </w:tcBorders>
          </w:tcPr>
          <w:p w14:paraId="0D80D16B" w14:textId="77777777" w:rsidR="00C61BAC" w:rsidRPr="0019444B" w:rsidRDefault="00C61BAC" w:rsidP="00433793">
            <w:pPr>
              <w:jc w:val="left"/>
              <w:rPr>
                <w:rFonts w:ascii="Arial Narrow" w:hAnsi="Arial Narrow"/>
                <w:sz w:val="20"/>
                <w:szCs w:val="20"/>
              </w:rPr>
            </w:pPr>
            <w:r w:rsidRPr="0019444B">
              <w:rPr>
                <w:rFonts w:ascii="Arial Narrow" w:hAnsi="Arial Narrow"/>
                <w:sz w:val="20"/>
                <w:szCs w:val="20"/>
              </w:rPr>
              <w:t>Journal of Clinical Oncology 2019; 37.</w:t>
            </w:r>
          </w:p>
        </w:tc>
      </w:tr>
      <w:tr w:rsidR="00C61BAC" w:rsidRPr="0019444B" w14:paraId="076E900C" w14:textId="77777777" w:rsidTr="00433793">
        <w:trPr>
          <w:trHeight w:val="71"/>
        </w:trPr>
        <w:tc>
          <w:tcPr>
            <w:tcW w:w="558" w:type="pct"/>
            <w:vMerge/>
          </w:tcPr>
          <w:p w14:paraId="5B73720C" w14:textId="77777777" w:rsidR="00C61BAC" w:rsidRPr="0019444B" w:rsidRDefault="00C61BAC" w:rsidP="00433793">
            <w:pPr>
              <w:rPr>
                <w:rFonts w:ascii="Arial Narrow" w:hAnsi="Arial Narrow"/>
                <w:b/>
                <w:bCs/>
                <w:sz w:val="20"/>
                <w:szCs w:val="20"/>
              </w:rPr>
            </w:pPr>
          </w:p>
        </w:tc>
        <w:tc>
          <w:tcPr>
            <w:tcW w:w="3080" w:type="pct"/>
            <w:tcBorders>
              <w:top w:val="single" w:sz="4" w:space="0" w:color="auto"/>
            </w:tcBorders>
          </w:tcPr>
          <w:p w14:paraId="76EB1704" w14:textId="77777777" w:rsidR="00C61BAC" w:rsidRPr="0019444B" w:rsidRDefault="00C61BAC" w:rsidP="00991485">
            <w:pPr>
              <w:pStyle w:val="TableBullet"/>
              <w:numPr>
                <w:ilvl w:val="0"/>
                <w:numId w:val="0"/>
              </w:numPr>
            </w:pPr>
            <w:r w:rsidRPr="0019444B">
              <w:t xml:space="preserve">Fischer K, Al-Sawaf O, Fink AM, Dixon M, Bahlo J, Warburton S, et al. Safety and efficacy of venetoclax and obinutuzumab in patients with previously untreated chronic lymphocytic leukemia (CLL) and coexisting medical conditions: </w:t>
            </w:r>
            <w:proofErr w:type="gramStart"/>
            <w:r w:rsidRPr="0019444B">
              <w:t>final results</w:t>
            </w:r>
            <w:proofErr w:type="gramEnd"/>
            <w:r w:rsidRPr="0019444B">
              <w:t xml:space="preserve"> of the run-in phase of the randomized CLL14 trial (BO25323). </w:t>
            </w:r>
          </w:p>
        </w:tc>
        <w:tc>
          <w:tcPr>
            <w:tcW w:w="1362" w:type="pct"/>
            <w:tcBorders>
              <w:top w:val="single" w:sz="4" w:space="0" w:color="auto"/>
            </w:tcBorders>
          </w:tcPr>
          <w:p w14:paraId="33DEDA6E" w14:textId="77777777" w:rsidR="00C61BAC" w:rsidRPr="0019444B" w:rsidRDefault="00C61BAC" w:rsidP="00433793">
            <w:pPr>
              <w:jc w:val="left"/>
              <w:rPr>
                <w:rFonts w:ascii="Arial Narrow" w:hAnsi="Arial Narrow"/>
                <w:sz w:val="20"/>
                <w:szCs w:val="20"/>
              </w:rPr>
            </w:pPr>
            <w:r w:rsidRPr="0019444B">
              <w:rPr>
                <w:rFonts w:ascii="Arial Narrow" w:hAnsi="Arial Narrow"/>
                <w:sz w:val="20"/>
                <w:szCs w:val="20"/>
              </w:rPr>
              <w:t>Blood 2016;128(22).</w:t>
            </w:r>
          </w:p>
        </w:tc>
      </w:tr>
      <w:tr w:rsidR="00C61BAC" w:rsidRPr="0019444B" w14:paraId="1B7132CE" w14:textId="77777777" w:rsidTr="00433793">
        <w:trPr>
          <w:trHeight w:val="71"/>
        </w:trPr>
        <w:tc>
          <w:tcPr>
            <w:tcW w:w="558" w:type="pct"/>
            <w:vMerge/>
          </w:tcPr>
          <w:p w14:paraId="3798C6EB" w14:textId="77777777" w:rsidR="00C61BAC" w:rsidRPr="0019444B" w:rsidRDefault="00C61BAC" w:rsidP="00433793">
            <w:pPr>
              <w:rPr>
                <w:rFonts w:ascii="Arial Narrow" w:hAnsi="Arial Narrow"/>
                <w:b/>
                <w:bCs/>
                <w:sz w:val="20"/>
                <w:szCs w:val="20"/>
              </w:rPr>
            </w:pPr>
          </w:p>
        </w:tc>
        <w:tc>
          <w:tcPr>
            <w:tcW w:w="3080" w:type="pct"/>
            <w:tcBorders>
              <w:top w:val="single" w:sz="4" w:space="0" w:color="auto"/>
            </w:tcBorders>
          </w:tcPr>
          <w:p w14:paraId="7B1405CD" w14:textId="77777777" w:rsidR="00C61BAC" w:rsidRPr="0019444B" w:rsidRDefault="00C61BAC" w:rsidP="00991485">
            <w:pPr>
              <w:pStyle w:val="TableBullet"/>
              <w:numPr>
                <w:ilvl w:val="0"/>
                <w:numId w:val="0"/>
              </w:numPr>
            </w:pPr>
            <w:r w:rsidRPr="0019444B">
              <w:t xml:space="preserve">Fischer K, Al-Sawaf O, Fink AM, Dixon M, Robrecht S, Bahlo J, et al. Continuing remissions after venetoclax and obinutuzumab in patients with previously untreated chronic lymphocytic leukemia (CLL) and coexisting medical conditions. </w:t>
            </w:r>
          </w:p>
        </w:tc>
        <w:tc>
          <w:tcPr>
            <w:tcW w:w="1362" w:type="pct"/>
            <w:tcBorders>
              <w:top w:val="single" w:sz="4" w:space="0" w:color="auto"/>
            </w:tcBorders>
          </w:tcPr>
          <w:p w14:paraId="4A2F80E8" w14:textId="77777777" w:rsidR="00C61BAC" w:rsidRPr="0019444B" w:rsidRDefault="00C61BAC" w:rsidP="00433793">
            <w:pPr>
              <w:jc w:val="left"/>
              <w:rPr>
                <w:rFonts w:ascii="Arial Narrow" w:hAnsi="Arial Narrow"/>
                <w:sz w:val="20"/>
                <w:szCs w:val="20"/>
              </w:rPr>
            </w:pPr>
            <w:r w:rsidRPr="0019444B">
              <w:rPr>
                <w:rFonts w:ascii="Arial Narrow" w:hAnsi="Arial Narrow"/>
                <w:sz w:val="20"/>
                <w:szCs w:val="20"/>
              </w:rPr>
              <w:t>Hemasphere 2018; 2(127).</w:t>
            </w:r>
          </w:p>
        </w:tc>
      </w:tr>
      <w:tr w:rsidR="00C61BAC" w:rsidRPr="0019444B" w14:paraId="6B9490D9" w14:textId="77777777" w:rsidTr="00433793">
        <w:trPr>
          <w:trHeight w:val="71"/>
        </w:trPr>
        <w:tc>
          <w:tcPr>
            <w:tcW w:w="558" w:type="pct"/>
            <w:vMerge/>
          </w:tcPr>
          <w:p w14:paraId="60B6B93D" w14:textId="77777777" w:rsidR="00C61BAC" w:rsidRPr="0019444B" w:rsidRDefault="00C61BAC" w:rsidP="00433793">
            <w:pPr>
              <w:rPr>
                <w:rFonts w:ascii="Arial Narrow" w:hAnsi="Arial Narrow"/>
                <w:b/>
                <w:bCs/>
                <w:sz w:val="20"/>
                <w:szCs w:val="20"/>
              </w:rPr>
            </w:pPr>
          </w:p>
        </w:tc>
        <w:tc>
          <w:tcPr>
            <w:tcW w:w="3080" w:type="pct"/>
            <w:tcBorders>
              <w:top w:val="single" w:sz="4" w:space="0" w:color="auto"/>
            </w:tcBorders>
          </w:tcPr>
          <w:p w14:paraId="5CED4009" w14:textId="77777777" w:rsidR="00C61BAC" w:rsidRPr="0019444B" w:rsidRDefault="00C61BAC" w:rsidP="00991485">
            <w:pPr>
              <w:pStyle w:val="TableBullet"/>
              <w:numPr>
                <w:ilvl w:val="0"/>
                <w:numId w:val="0"/>
              </w:numPr>
            </w:pPr>
            <w:r w:rsidRPr="0019444B">
              <w:t xml:space="preserve">Fischer K, Fink AM, Bishop H, Dixon M, Bahlo J, Choi MY, et al. Results of the safety run-in phase of CLL14 (BO25323): A prospective, open-label, multicenter randomized phase iii trial to compare the efficacy and safety of obinutuzumab and venetoclax (GDC-0199/ABT-199) with obinutuzumab and chlorambucil in patients with previously untreated cll and coexisting medical conditions. </w:t>
            </w:r>
          </w:p>
        </w:tc>
        <w:tc>
          <w:tcPr>
            <w:tcW w:w="1362" w:type="pct"/>
            <w:tcBorders>
              <w:top w:val="single" w:sz="4" w:space="0" w:color="auto"/>
            </w:tcBorders>
          </w:tcPr>
          <w:p w14:paraId="14BE822C" w14:textId="77777777" w:rsidR="00C61BAC" w:rsidRPr="0019444B" w:rsidRDefault="00C61BAC" w:rsidP="00433793">
            <w:pPr>
              <w:jc w:val="left"/>
              <w:rPr>
                <w:rFonts w:ascii="Arial Narrow" w:hAnsi="Arial Narrow"/>
                <w:sz w:val="20"/>
                <w:szCs w:val="20"/>
              </w:rPr>
            </w:pPr>
            <w:r w:rsidRPr="0019444B">
              <w:rPr>
                <w:rFonts w:ascii="Arial Narrow" w:hAnsi="Arial Narrow"/>
                <w:sz w:val="20"/>
                <w:szCs w:val="20"/>
              </w:rPr>
              <w:t>Blood 2016; (23):496.</w:t>
            </w:r>
          </w:p>
        </w:tc>
      </w:tr>
      <w:tr w:rsidR="00C61BAC" w:rsidRPr="0019444B" w14:paraId="7C1471E6" w14:textId="77777777" w:rsidTr="00433793">
        <w:trPr>
          <w:trHeight w:val="71"/>
        </w:trPr>
        <w:tc>
          <w:tcPr>
            <w:tcW w:w="558" w:type="pct"/>
            <w:vMerge/>
          </w:tcPr>
          <w:p w14:paraId="3D85BDE2" w14:textId="77777777" w:rsidR="00C61BAC" w:rsidRPr="0019444B" w:rsidRDefault="00C61BAC" w:rsidP="00433793">
            <w:pPr>
              <w:rPr>
                <w:rFonts w:ascii="Arial Narrow" w:hAnsi="Arial Narrow"/>
                <w:b/>
                <w:bCs/>
                <w:sz w:val="20"/>
                <w:szCs w:val="20"/>
              </w:rPr>
            </w:pPr>
          </w:p>
        </w:tc>
        <w:tc>
          <w:tcPr>
            <w:tcW w:w="3080" w:type="pct"/>
            <w:tcBorders>
              <w:top w:val="single" w:sz="4" w:space="0" w:color="auto"/>
            </w:tcBorders>
          </w:tcPr>
          <w:p w14:paraId="4ED2540D" w14:textId="77777777" w:rsidR="00C61BAC" w:rsidRPr="0019444B" w:rsidRDefault="00C61BAC" w:rsidP="00991485">
            <w:pPr>
              <w:pStyle w:val="TableBullet"/>
              <w:numPr>
                <w:ilvl w:val="0"/>
                <w:numId w:val="0"/>
              </w:numPr>
            </w:pPr>
            <w:r w:rsidRPr="00EB0E37">
              <w:t xml:space="preserve">Fischer K, Porro Lura M, Al-Sawaf O, Bahlo J, Fink A, Tandon M, et al. </w:t>
            </w:r>
            <w:r w:rsidRPr="0019444B">
              <w:t xml:space="preserve">Fixed-duration venetoclax plus obinutuzumab improves pfs and minimal residual disease negativity in patients with previously untreated CLL and comorbidities. </w:t>
            </w:r>
          </w:p>
        </w:tc>
        <w:tc>
          <w:tcPr>
            <w:tcW w:w="1362" w:type="pct"/>
            <w:tcBorders>
              <w:top w:val="single" w:sz="4" w:space="0" w:color="auto"/>
            </w:tcBorders>
          </w:tcPr>
          <w:p w14:paraId="75EF6577" w14:textId="77777777" w:rsidR="00C61BAC" w:rsidRPr="0019444B" w:rsidRDefault="00C61BAC" w:rsidP="00433793">
            <w:pPr>
              <w:jc w:val="left"/>
              <w:rPr>
                <w:rFonts w:ascii="Arial Narrow" w:hAnsi="Arial Narrow"/>
                <w:sz w:val="20"/>
                <w:szCs w:val="20"/>
              </w:rPr>
            </w:pPr>
            <w:r w:rsidRPr="0019444B">
              <w:rPr>
                <w:rFonts w:ascii="Arial Narrow" w:hAnsi="Arial Narrow"/>
                <w:sz w:val="20"/>
                <w:szCs w:val="20"/>
              </w:rPr>
              <w:t>Hematological oncology 2019; 37:82-4.</w:t>
            </w:r>
          </w:p>
        </w:tc>
      </w:tr>
      <w:tr w:rsidR="00C61BAC" w:rsidRPr="0019444B" w14:paraId="75F8EF4E" w14:textId="77777777" w:rsidTr="00433793">
        <w:trPr>
          <w:trHeight w:val="71"/>
        </w:trPr>
        <w:tc>
          <w:tcPr>
            <w:tcW w:w="558" w:type="pct"/>
            <w:vMerge/>
          </w:tcPr>
          <w:p w14:paraId="37628582" w14:textId="77777777" w:rsidR="00C61BAC" w:rsidRPr="0019444B" w:rsidRDefault="00C61BAC" w:rsidP="00433793">
            <w:pPr>
              <w:rPr>
                <w:rFonts w:ascii="Arial Narrow" w:hAnsi="Arial Narrow"/>
                <w:b/>
                <w:bCs/>
                <w:sz w:val="20"/>
                <w:szCs w:val="20"/>
              </w:rPr>
            </w:pPr>
          </w:p>
        </w:tc>
        <w:tc>
          <w:tcPr>
            <w:tcW w:w="3080" w:type="pct"/>
            <w:tcBorders>
              <w:top w:val="single" w:sz="4" w:space="0" w:color="auto"/>
            </w:tcBorders>
          </w:tcPr>
          <w:p w14:paraId="59A896EE" w14:textId="77777777" w:rsidR="00C61BAC" w:rsidRPr="0019444B" w:rsidRDefault="00C61BAC" w:rsidP="00433793">
            <w:pPr>
              <w:jc w:val="left"/>
              <w:rPr>
                <w:rFonts w:ascii="Arial Narrow" w:hAnsi="Arial Narrow"/>
                <w:sz w:val="20"/>
                <w:szCs w:val="20"/>
              </w:rPr>
            </w:pPr>
            <w:r w:rsidRPr="0019444B">
              <w:rPr>
                <w:rFonts w:ascii="Arial Narrow" w:hAnsi="Arial Narrow"/>
                <w:sz w:val="20"/>
                <w:szCs w:val="20"/>
              </w:rPr>
              <w:t xml:space="preserve">Fischer K, Ritgen M, Al-Sawaf O, Robrecht S, Tandon M, Fink AM, et al. Quantitative analysis of minimal residual disease (MRD) shows high rates of undetectable MRD after fixed-duration chemotherapy-free treatment and serves as surrogate marker for progression-free survival: a prospective analysis of the randomized CLL14 trial. </w:t>
            </w:r>
          </w:p>
        </w:tc>
        <w:tc>
          <w:tcPr>
            <w:tcW w:w="1362" w:type="pct"/>
            <w:tcBorders>
              <w:top w:val="single" w:sz="4" w:space="0" w:color="auto"/>
            </w:tcBorders>
          </w:tcPr>
          <w:p w14:paraId="33B305F9" w14:textId="77777777" w:rsidR="00C61BAC" w:rsidRPr="0019444B" w:rsidRDefault="00C61BAC" w:rsidP="00433793">
            <w:pPr>
              <w:jc w:val="left"/>
              <w:rPr>
                <w:rFonts w:ascii="Arial Narrow" w:hAnsi="Arial Narrow"/>
                <w:sz w:val="20"/>
                <w:szCs w:val="20"/>
              </w:rPr>
            </w:pPr>
            <w:r w:rsidRPr="0019444B">
              <w:rPr>
                <w:rFonts w:ascii="Arial Narrow" w:hAnsi="Arial Narrow"/>
                <w:sz w:val="20"/>
                <w:szCs w:val="20"/>
              </w:rPr>
              <w:t>Blood 2019;134.</w:t>
            </w:r>
          </w:p>
        </w:tc>
      </w:tr>
      <w:tr w:rsidR="00C61BAC" w:rsidRPr="0019444B" w14:paraId="053B447E" w14:textId="77777777" w:rsidTr="00433793">
        <w:trPr>
          <w:trHeight w:val="71"/>
        </w:trPr>
        <w:tc>
          <w:tcPr>
            <w:tcW w:w="558" w:type="pct"/>
            <w:vMerge/>
          </w:tcPr>
          <w:p w14:paraId="6A0178F9" w14:textId="77777777" w:rsidR="00C61BAC" w:rsidRPr="0019444B" w:rsidRDefault="00C61BAC" w:rsidP="00433793">
            <w:pPr>
              <w:rPr>
                <w:rFonts w:ascii="Arial Narrow" w:hAnsi="Arial Narrow"/>
                <w:b/>
                <w:bCs/>
                <w:sz w:val="20"/>
                <w:szCs w:val="20"/>
              </w:rPr>
            </w:pPr>
          </w:p>
        </w:tc>
        <w:tc>
          <w:tcPr>
            <w:tcW w:w="3080" w:type="pct"/>
            <w:tcBorders>
              <w:top w:val="single" w:sz="4" w:space="0" w:color="auto"/>
              <w:bottom w:val="single" w:sz="4" w:space="0" w:color="auto"/>
            </w:tcBorders>
          </w:tcPr>
          <w:p w14:paraId="558AC930" w14:textId="77777777" w:rsidR="00C61BAC" w:rsidRPr="0019444B" w:rsidRDefault="00C61BAC" w:rsidP="00433793">
            <w:pPr>
              <w:jc w:val="left"/>
              <w:rPr>
                <w:rFonts w:ascii="Arial Narrow" w:hAnsi="Arial Narrow"/>
                <w:sz w:val="20"/>
                <w:szCs w:val="20"/>
              </w:rPr>
            </w:pPr>
            <w:r w:rsidRPr="0019444B">
              <w:rPr>
                <w:rFonts w:ascii="Arial Narrow" w:hAnsi="Arial Narrow"/>
                <w:sz w:val="20"/>
                <w:szCs w:val="20"/>
              </w:rPr>
              <w:t xml:space="preserve">Fischer K, Al-Sawaf O, Bahlo J, Fink AM et al. Venetoclax and obinutuzumab in patients with CLL and coexisting conditions. </w:t>
            </w:r>
          </w:p>
        </w:tc>
        <w:tc>
          <w:tcPr>
            <w:tcW w:w="1362" w:type="pct"/>
            <w:tcBorders>
              <w:top w:val="single" w:sz="4" w:space="0" w:color="auto"/>
              <w:bottom w:val="single" w:sz="4" w:space="0" w:color="auto"/>
            </w:tcBorders>
          </w:tcPr>
          <w:p w14:paraId="48552362" w14:textId="77777777" w:rsidR="00C61BAC" w:rsidRPr="0019444B" w:rsidRDefault="00C61BAC" w:rsidP="00433793">
            <w:pPr>
              <w:jc w:val="left"/>
              <w:rPr>
                <w:rFonts w:ascii="Arial Narrow" w:hAnsi="Arial Narrow"/>
                <w:sz w:val="20"/>
                <w:szCs w:val="20"/>
              </w:rPr>
            </w:pPr>
            <w:r w:rsidRPr="0019444B">
              <w:rPr>
                <w:rFonts w:ascii="Arial Narrow" w:hAnsi="Arial Narrow"/>
                <w:sz w:val="20"/>
                <w:szCs w:val="20"/>
              </w:rPr>
              <w:t>New England Journal of Medicine 2019; 380(23):2225-36.</w:t>
            </w:r>
          </w:p>
        </w:tc>
      </w:tr>
      <w:tr w:rsidR="00C61BAC" w:rsidRPr="0019444B" w14:paraId="012ECFE2" w14:textId="77777777" w:rsidTr="00433793">
        <w:trPr>
          <w:trHeight w:val="179"/>
        </w:trPr>
        <w:tc>
          <w:tcPr>
            <w:tcW w:w="558" w:type="pct"/>
            <w:vMerge/>
          </w:tcPr>
          <w:p w14:paraId="4DBF39BD" w14:textId="77777777" w:rsidR="00C61BAC" w:rsidRPr="0019444B" w:rsidRDefault="00C61BAC" w:rsidP="00433793">
            <w:pPr>
              <w:rPr>
                <w:rFonts w:ascii="Arial Narrow" w:hAnsi="Arial Narrow"/>
                <w:b/>
                <w:bCs/>
                <w:sz w:val="20"/>
                <w:szCs w:val="20"/>
              </w:rPr>
            </w:pPr>
          </w:p>
        </w:tc>
        <w:tc>
          <w:tcPr>
            <w:tcW w:w="3080" w:type="pct"/>
            <w:tcBorders>
              <w:top w:val="single" w:sz="4" w:space="0" w:color="auto"/>
              <w:bottom w:val="single" w:sz="4" w:space="0" w:color="auto"/>
            </w:tcBorders>
          </w:tcPr>
          <w:p w14:paraId="3C16E8B1" w14:textId="77777777" w:rsidR="00C61BAC" w:rsidRPr="0019444B" w:rsidRDefault="00C61BAC" w:rsidP="00433793">
            <w:pPr>
              <w:jc w:val="left"/>
              <w:rPr>
                <w:rFonts w:ascii="Arial Narrow" w:hAnsi="Arial Narrow"/>
                <w:sz w:val="20"/>
                <w:szCs w:val="20"/>
              </w:rPr>
            </w:pPr>
            <w:r w:rsidRPr="0019444B">
              <w:rPr>
                <w:rFonts w:ascii="Arial Narrow" w:hAnsi="Arial Narrow"/>
                <w:sz w:val="20"/>
                <w:szCs w:val="20"/>
              </w:rPr>
              <w:t xml:space="preserve">Tausch E, Schneider C, Robrecht S, Zhang C et al. Prognostic and predictive impact of genetic markers in patients with CLL treated with obinutuzumab and venetoclax. </w:t>
            </w:r>
          </w:p>
        </w:tc>
        <w:tc>
          <w:tcPr>
            <w:tcW w:w="1362" w:type="pct"/>
            <w:tcBorders>
              <w:top w:val="single" w:sz="4" w:space="0" w:color="auto"/>
              <w:bottom w:val="single" w:sz="4" w:space="0" w:color="auto"/>
            </w:tcBorders>
          </w:tcPr>
          <w:p w14:paraId="55E9B0C1" w14:textId="77777777" w:rsidR="00C61BAC" w:rsidRPr="0019444B" w:rsidRDefault="00C61BAC" w:rsidP="00433793">
            <w:pPr>
              <w:jc w:val="left"/>
              <w:rPr>
                <w:rFonts w:ascii="Arial Narrow" w:hAnsi="Arial Narrow"/>
                <w:sz w:val="20"/>
                <w:szCs w:val="20"/>
              </w:rPr>
            </w:pPr>
            <w:r w:rsidRPr="0019444B">
              <w:rPr>
                <w:rFonts w:ascii="Arial Narrow" w:hAnsi="Arial Narrow"/>
                <w:sz w:val="20"/>
                <w:szCs w:val="20"/>
              </w:rPr>
              <w:t>Blood 2020; 135(26):2402-12.</w:t>
            </w:r>
          </w:p>
        </w:tc>
      </w:tr>
      <w:tr w:rsidR="00C61BAC" w:rsidRPr="0019444B" w14:paraId="724CA886" w14:textId="77777777" w:rsidTr="00433793">
        <w:trPr>
          <w:trHeight w:val="179"/>
        </w:trPr>
        <w:tc>
          <w:tcPr>
            <w:tcW w:w="558" w:type="pct"/>
            <w:vMerge w:val="restart"/>
            <w:vAlign w:val="center"/>
          </w:tcPr>
          <w:p w14:paraId="7BE9B690" w14:textId="77777777" w:rsidR="00C61BAC" w:rsidRPr="0019444B" w:rsidRDefault="00C61BAC" w:rsidP="00433793">
            <w:pPr>
              <w:rPr>
                <w:rFonts w:ascii="Arial Narrow" w:hAnsi="Arial Narrow"/>
                <w:b/>
                <w:bCs/>
                <w:sz w:val="20"/>
                <w:szCs w:val="20"/>
              </w:rPr>
            </w:pPr>
            <w:r w:rsidRPr="0019444B">
              <w:rPr>
                <w:rFonts w:ascii="Arial Narrow" w:hAnsi="Arial Narrow" w:cs="Calibri"/>
                <w:b/>
                <w:bCs/>
                <w:color w:val="000000"/>
                <w:sz w:val="20"/>
                <w:szCs w:val="20"/>
              </w:rPr>
              <w:t>SEQUOIA</w:t>
            </w:r>
          </w:p>
        </w:tc>
        <w:tc>
          <w:tcPr>
            <w:tcW w:w="3080" w:type="pct"/>
            <w:tcBorders>
              <w:top w:val="single" w:sz="4" w:space="0" w:color="auto"/>
              <w:left w:val="nil"/>
              <w:bottom w:val="single" w:sz="4" w:space="0" w:color="auto"/>
              <w:right w:val="single" w:sz="4" w:space="0" w:color="auto"/>
            </w:tcBorders>
            <w:shd w:val="clear" w:color="auto" w:fill="auto"/>
            <w:vAlign w:val="bottom"/>
          </w:tcPr>
          <w:p w14:paraId="500DAB9F" w14:textId="77777777" w:rsidR="00C61BAC" w:rsidRPr="0019444B" w:rsidRDefault="00C61BAC" w:rsidP="00433793">
            <w:pPr>
              <w:jc w:val="left"/>
              <w:rPr>
                <w:rFonts w:ascii="Arial Narrow" w:hAnsi="Arial Narrow"/>
                <w:sz w:val="20"/>
                <w:szCs w:val="20"/>
              </w:rPr>
            </w:pPr>
            <w:r w:rsidRPr="0019444B">
              <w:rPr>
                <w:rFonts w:ascii="Arial Narrow" w:hAnsi="Arial Narrow" w:cs="Calibri"/>
                <w:color w:val="000000"/>
                <w:sz w:val="20"/>
                <w:szCs w:val="20"/>
              </w:rPr>
              <w:t xml:space="preserve">BeiGene. A Study Comparing Zanubrutinib with Bendamustine Plus Rituximab in Participants </w:t>
            </w:r>
            <w:proofErr w:type="gramStart"/>
            <w:r w:rsidRPr="0019444B">
              <w:rPr>
                <w:rFonts w:ascii="Arial Narrow" w:hAnsi="Arial Narrow" w:cs="Calibri"/>
                <w:color w:val="000000"/>
                <w:sz w:val="20"/>
                <w:szCs w:val="20"/>
              </w:rPr>
              <w:t>With</w:t>
            </w:r>
            <w:proofErr w:type="gramEnd"/>
            <w:r w:rsidRPr="0019444B">
              <w:rPr>
                <w:rFonts w:ascii="Arial Narrow" w:hAnsi="Arial Narrow" w:cs="Calibri"/>
                <w:color w:val="000000"/>
                <w:sz w:val="20"/>
                <w:szCs w:val="20"/>
              </w:rPr>
              <w:t xml:space="preserve"> Previously Untreated CLL or SLL</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377DDB23" w14:textId="77777777" w:rsidR="00C61BAC" w:rsidRPr="0019444B" w:rsidRDefault="00C61BAC" w:rsidP="00433793">
            <w:pPr>
              <w:jc w:val="left"/>
              <w:rPr>
                <w:rFonts w:ascii="Arial Narrow" w:hAnsi="Arial Narrow"/>
                <w:sz w:val="20"/>
                <w:szCs w:val="20"/>
              </w:rPr>
            </w:pPr>
            <w:r w:rsidRPr="0019444B">
              <w:rPr>
                <w:rFonts w:ascii="Arial Narrow" w:hAnsi="Arial Narrow" w:cs="Calibri"/>
                <w:sz w:val="20"/>
                <w:szCs w:val="20"/>
              </w:rPr>
              <w:t>2017</w:t>
            </w:r>
          </w:p>
        </w:tc>
      </w:tr>
      <w:tr w:rsidR="00C61BAC" w:rsidRPr="0019444B" w14:paraId="1584AC52" w14:textId="77777777" w:rsidTr="00433793">
        <w:trPr>
          <w:trHeight w:val="179"/>
        </w:trPr>
        <w:tc>
          <w:tcPr>
            <w:tcW w:w="558" w:type="pct"/>
            <w:vMerge/>
          </w:tcPr>
          <w:p w14:paraId="01EA2295" w14:textId="77777777" w:rsidR="00C61BAC" w:rsidRPr="0019444B" w:rsidRDefault="00C61BAC" w:rsidP="00433793">
            <w:pPr>
              <w:rPr>
                <w:rFonts w:ascii="Arial Narrow" w:hAnsi="Arial Narrow"/>
                <w:b/>
                <w:bCs/>
                <w:sz w:val="20"/>
                <w:szCs w:val="20"/>
              </w:rPr>
            </w:pPr>
          </w:p>
        </w:tc>
        <w:tc>
          <w:tcPr>
            <w:tcW w:w="3080" w:type="pct"/>
            <w:tcBorders>
              <w:top w:val="single" w:sz="4" w:space="0" w:color="auto"/>
              <w:left w:val="nil"/>
              <w:bottom w:val="single" w:sz="4" w:space="0" w:color="auto"/>
              <w:right w:val="single" w:sz="4" w:space="0" w:color="auto"/>
            </w:tcBorders>
            <w:shd w:val="clear" w:color="auto" w:fill="auto"/>
          </w:tcPr>
          <w:p w14:paraId="0E3D5206" w14:textId="21A7BDEF" w:rsidR="00C61BAC" w:rsidRPr="0019444B" w:rsidRDefault="00C61BAC" w:rsidP="00433793">
            <w:pPr>
              <w:jc w:val="left"/>
              <w:rPr>
                <w:rFonts w:ascii="Arial Narrow" w:hAnsi="Arial Narrow"/>
                <w:sz w:val="20"/>
                <w:szCs w:val="20"/>
              </w:rPr>
            </w:pPr>
            <w:r w:rsidRPr="0019444B">
              <w:rPr>
                <w:rFonts w:ascii="Arial Narrow" w:hAnsi="Arial Narrow" w:cs="Calibri"/>
                <w:color w:val="000000"/>
                <w:sz w:val="20"/>
                <w:szCs w:val="20"/>
              </w:rPr>
              <w:t>Ghia, P.; Barnes, G.; Yang, K.; Tam, C.; Hillmen, P., et al. M. Patient-reported outcomes from a phase 3 randomized study of zanubrutinib versus bendamustine plus rituximab (br) in patients with treatment-nave (tn) cll/sll</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618063E1" w14:textId="77777777" w:rsidR="00C61BAC" w:rsidRPr="0019444B" w:rsidRDefault="00C61BAC" w:rsidP="00433793">
            <w:pPr>
              <w:jc w:val="left"/>
              <w:rPr>
                <w:rFonts w:ascii="Arial Narrow" w:hAnsi="Arial Narrow"/>
                <w:sz w:val="20"/>
                <w:szCs w:val="20"/>
              </w:rPr>
            </w:pPr>
            <w:r w:rsidRPr="0019444B">
              <w:rPr>
                <w:rFonts w:ascii="Arial Narrow" w:hAnsi="Arial Narrow" w:cs="Calibri"/>
                <w:sz w:val="20"/>
                <w:szCs w:val="20"/>
              </w:rPr>
              <w:t>Hemasphere 2022; 6:174-1075</w:t>
            </w:r>
          </w:p>
        </w:tc>
      </w:tr>
      <w:tr w:rsidR="00C61BAC" w:rsidRPr="0019444B" w14:paraId="1AACA68A" w14:textId="77777777" w:rsidTr="00433793">
        <w:trPr>
          <w:trHeight w:val="179"/>
        </w:trPr>
        <w:tc>
          <w:tcPr>
            <w:tcW w:w="558" w:type="pct"/>
            <w:vMerge/>
          </w:tcPr>
          <w:p w14:paraId="1DD389C0" w14:textId="77777777" w:rsidR="00C61BAC" w:rsidRPr="0019444B" w:rsidRDefault="00C61BAC" w:rsidP="00433793">
            <w:pPr>
              <w:rPr>
                <w:rFonts w:ascii="Arial Narrow" w:hAnsi="Arial Narrow"/>
                <w:b/>
                <w:bCs/>
                <w:sz w:val="20"/>
                <w:szCs w:val="20"/>
              </w:rPr>
            </w:pPr>
          </w:p>
        </w:tc>
        <w:tc>
          <w:tcPr>
            <w:tcW w:w="3080" w:type="pct"/>
            <w:tcBorders>
              <w:top w:val="single" w:sz="4" w:space="0" w:color="auto"/>
              <w:left w:val="nil"/>
              <w:bottom w:val="single" w:sz="4" w:space="0" w:color="auto"/>
              <w:right w:val="single" w:sz="4" w:space="0" w:color="auto"/>
            </w:tcBorders>
            <w:shd w:val="clear" w:color="auto" w:fill="auto"/>
            <w:vAlign w:val="bottom"/>
          </w:tcPr>
          <w:p w14:paraId="57585AEC" w14:textId="5DAFF45B" w:rsidR="00C61BAC" w:rsidRPr="0019444B" w:rsidRDefault="00C61BAC" w:rsidP="00433793">
            <w:pPr>
              <w:jc w:val="left"/>
              <w:rPr>
                <w:rFonts w:ascii="Arial Narrow" w:hAnsi="Arial Narrow"/>
                <w:sz w:val="20"/>
                <w:szCs w:val="20"/>
              </w:rPr>
            </w:pPr>
            <w:r w:rsidRPr="0019444B">
              <w:rPr>
                <w:rFonts w:ascii="Arial Narrow" w:hAnsi="Arial Narrow" w:cs="Calibri"/>
                <w:color w:val="000000"/>
                <w:sz w:val="20"/>
                <w:szCs w:val="20"/>
              </w:rPr>
              <w:t xml:space="preserve">Kahl, B. S.; Giannopoulos, K.; Jurczak, W.; Scaronimkovic, M.; Shadman, M.; et al. CLL-137 SEQUOIA: results of a Phase 3 Randomized Study of Zanubrutinib Versus Bendamustine + Rituximab (BR) in Patients </w:t>
            </w:r>
            <w:proofErr w:type="gramStart"/>
            <w:r w:rsidRPr="0019444B">
              <w:rPr>
                <w:rFonts w:ascii="Arial Narrow" w:hAnsi="Arial Narrow" w:cs="Calibri"/>
                <w:color w:val="000000"/>
                <w:sz w:val="20"/>
                <w:szCs w:val="20"/>
              </w:rPr>
              <w:t>With</w:t>
            </w:r>
            <w:proofErr w:type="gramEnd"/>
            <w:r w:rsidRPr="0019444B">
              <w:rPr>
                <w:rFonts w:ascii="Arial Narrow" w:hAnsi="Arial Narrow" w:cs="Calibri"/>
                <w:color w:val="000000"/>
                <w:sz w:val="20"/>
                <w:szCs w:val="20"/>
              </w:rPr>
              <w:t xml:space="preserve"> Treatment-Nalve (TN) Chronic Lymphocytic Leukemia/Small Lymphocytic Lymphoma (CLL/ SLL)</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73A4F735" w14:textId="77777777" w:rsidR="00C61BAC" w:rsidRPr="0019444B" w:rsidRDefault="00C61BAC" w:rsidP="00433793">
            <w:pPr>
              <w:jc w:val="left"/>
              <w:rPr>
                <w:rFonts w:ascii="Arial Narrow" w:hAnsi="Arial Narrow"/>
                <w:sz w:val="20"/>
                <w:szCs w:val="20"/>
              </w:rPr>
            </w:pPr>
            <w:r w:rsidRPr="0019444B">
              <w:rPr>
                <w:rFonts w:ascii="Arial Narrow" w:hAnsi="Arial Narrow" w:cs="Calibri"/>
                <w:sz w:val="20"/>
                <w:szCs w:val="20"/>
              </w:rPr>
              <w:t>Clinical lymphoma, myeloma &amp; leukemia 2022; 22 (2): S269-S270</w:t>
            </w:r>
          </w:p>
        </w:tc>
      </w:tr>
      <w:tr w:rsidR="00C61BAC" w:rsidRPr="0019444B" w14:paraId="163376D0" w14:textId="77777777" w:rsidTr="00433793">
        <w:trPr>
          <w:trHeight w:val="179"/>
        </w:trPr>
        <w:tc>
          <w:tcPr>
            <w:tcW w:w="558" w:type="pct"/>
            <w:vMerge/>
          </w:tcPr>
          <w:p w14:paraId="6C7DC064" w14:textId="77777777" w:rsidR="00C61BAC" w:rsidRPr="0019444B" w:rsidRDefault="00C61BAC" w:rsidP="00433793">
            <w:pPr>
              <w:rPr>
                <w:rFonts w:ascii="Arial Narrow" w:hAnsi="Arial Narrow"/>
                <w:b/>
                <w:bCs/>
                <w:sz w:val="20"/>
                <w:szCs w:val="20"/>
              </w:rPr>
            </w:pPr>
          </w:p>
        </w:tc>
        <w:tc>
          <w:tcPr>
            <w:tcW w:w="3080" w:type="pct"/>
            <w:tcBorders>
              <w:top w:val="single" w:sz="4" w:space="0" w:color="auto"/>
              <w:left w:val="nil"/>
              <w:bottom w:val="single" w:sz="4" w:space="0" w:color="auto"/>
              <w:right w:val="single" w:sz="4" w:space="0" w:color="auto"/>
            </w:tcBorders>
            <w:shd w:val="clear" w:color="auto" w:fill="auto"/>
            <w:vAlign w:val="bottom"/>
          </w:tcPr>
          <w:p w14:paraId="2F4AA860" w14:textId="14B51A00" w:rsidR="00C61BAC" w:rsidRPr="0019444B" w:rsidRDefault="00C61BAC" w:rsidP="00433793">
            <w:pPr>
              <w:jc w:val="left"/>
              <w:rPr>
                <w:rFonts w:ascii="Arial Narrow" w:hAnsi="Arial Narrow"/>
                <w:sz w:val="20"/>
                <w:szCs w:val="20"/>
              </w:rPr>
            </w:pPr>
            <w:r w:rsidRPr="0019444B">
              <w:rPr>
                <w:rFonts w:ascii="Arial Narrow" w:hAnsi="Arial Narrow" w:cs="Calibri"/>
                <w:color w:val="000000"/>
                <w:sz w:val="20"/>
                <w:szCs w:val="20"/>
              </w:rPr>
              <w:t>Munir, T.; Giannopoulos, K.; Jurczak, W.; Simkovic, M.; Shadman, M et al. SEQUOIA: results of a Phase 3 Randomised Study of Zanubrutinib versus Bendamustine + Rituximab in Patients with Treatment-Naive Chronic Lymphocytic Leukaemia/Small Lymphocytic Lymphoma</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5E2A4204" w14:textId="77777777" w:rsidR="00C61BAC" w:rsidRPr="0019444B" w:rsidRDefault="00C61BAC" w:rsidP="00433793">
            <w:pPr>
              <w:jc w:val="left"/>
              <w:rPr>
                <w:rFonts w:ascii="Arial Narrow" w:hAnsi="Arial Narrow"/>
                <w:sz w:val="20"/>
                <w:szCs w:val="20"/>
              </w:rPr>
            </w:pPr>
            <w:r w:rsidRPr="0019444B">
              <w:rPr>
                <w:rFonts w:ascii="Arial Narrow" w:hAnsi="Arial Narrow" w:cs="Calibri"/>
                <w:sz w:val="20"/>
                <w:szCs w:val="20"/>
              </w:rPr>
              <w:t>British Journal of Haematology 2022; 197 (SUPPL1): 95-96</w:t>
            </w:r>
          </w:p>
        </w:tc>
      </w:tr>
      <w:tr w:rsidR="00C61BAC" w:rsidRPr="0019444B" w14:paraId="11F48DDE" w14:textId="77777777" w:rsidTr="00433793">
        <w:trPr>
          <w:trHeight w:val="179"/>
        </w:trPr>
        <w:tc>
          <w:tcPr>
            <w:tcW w:w="558" w:type="pct"/>
            <w:vMerge/>
          </w:tcPr>
          <w:p w14:paraId="4F61B77E" w14:textId="77777777" w:rsidR="00C61BAC" w:rsidRPr="0019444B" w:rsidRDefault="00C61BAC" w:rsidP="00433793">
            <w:pPr>
              <w:rPr>
                <w:rFonts w:ascii="Arial Narrow" w:hAnsi="Arial Narrow"/>
                <w:b/>
                <w:bCs/>
                <w:sz w:val="20"/>
                <w:szCs w:val="20"/>
              </w:rPr>
            </w:pPr>
          </w:p>
        </w:tc>
        <w:tc>
          <w:tcPr>
            <w:tcW w:w="3080" w:type="pct"/>
            <w:tcBorders>
              <w:top w:val="single" w:sz="4" w:space="0" w:color="auto"/>
              <w:left w:val="nil"/>
              <w:bottom w:val="single" w:sz="4" w:space="0" w:color="auto"/>
              <w:right w:val="single" w:sz="4" w:space="0" w:color="auto"/>
            </w:tcBorders>
            <w:shd w:val="clear" w:color="auto" w:fill="auto"/>
            <w:vAlign w:val="bottom"/>
          </w:tcPr>
          <w:p w14:paraId="72C943DF" w14:textId="73A16951" w:rsidR="00C61BAC" w:rsidRPr="0019444B" w:rsidRDefault="00C61BAC" w:rsidP="00433793">
            <w:pPr>
              <w:jc w:val="left"/>
              <w:rPr>
                <w:rFonts w:ascii="Arial Narrow" w:hAnsi="Arial Narrow"/>
                <w:sz w:val="20"/>
                <w:szCs w:val="20"/>
              </w:rPr>
            </w:pPr>
            <w:r w:rsidRPr="0019444B">
              <w:rPr>
                <w:rFonts w:ascii="Arial Narrow" w:hAnsi="Arial Narrow" w:cs="Calibri"/>
                <w:color w:val="000000"/>
                <w:sz w:val="20"/>
                <w:szCs w:val="20"/>
              </w:rPr>
              <w:t>Tam, C. S.; Giannopoulos, K.; Jurczak, W.; Simkovic, M.; Shadman, M. et al. SEQUOIA: results of a Phase 3 Randomized Study of Zanubrutinib versus Bendamustine + Rituximab (BR) in Patients with Treatment-Na</w:t>
            </w:r>
            <w:r w:rsidR="0067493B" w:rsidRPr="0019444B">
              <w:rPr>
                <w:rFonts w:ascii="Arial Narrow" w:hAnsi="Arial Narrow" w:cs="Calibri"/>
                <w:color w:val="000000"/>
                <w:sz w:val="20"/>
                <w:szCs w:val="20"/>
              </w:rPr>
              <w:t>ive</w:t>
            </w:r>
            <w:r w:rsidRPr="0019444B">
              <w:rPr>
                <w:rFonts w:ascii="Arial Narrow" w:hAnsi="Arial Narrow" w:cs="Calibri"/>
                <w:color w:val="000000"/>
                <w:sz w:val="20"/>
                <w:szCs w:val="20"/>
              </w:rPr>
              <w:t xml:space="preserve"> (TN) Chronic Lymphocytic Leukemia/Small Lymphocytic Lymphoma (CLL/SLL)</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2E3DBFD1" w14:textId="77777777" w:rsidR="00C61BAC" w:rsidRPr="0019444B" w:rsidRDefault="00C61BAC" w:rsidP="00433793">
            <w:pPr>
              <w:jc w:val="left"/>
              <w:rPr>
                <w:rFonts w:ascii="Arial Narrow" w:hAnsi="Arial Narrow"/>
                <w:sz w:val="20"/>
                <w:szCs w:val="20"/>
              </w:rPr>
            </w:pPr>
            <w:r w:rsidRPr="0019444B">
              <w:rPr>
                <w:rFonts w:ascii="Arial Narrow" w:hAnsi="Arial Narrow" w:cs="Calibri"/>
                <w:sz w:val="20"/>
                <w:szCs w:val="20"/>
              </w:rPr>
              <w:t>Blood 2021; 138 (396): 2021-2022</w:t>
            </w:r>
          </w:p>
        </w:tc>
      </w:tr>
      <w:tr w:rsidR="00C61BAC" w:rsidRPr="0019444B" w14:paraId="79668027" w14:textId="77777777" w:rsidTr="00433793">
        <w:trPr>
          <w:trHeight w:val="179"/>
        </w:trPr>
        <w:tc>
          <w:tcPr>
            <w:tcW w:w="558" w:type="pct"/>
            <w:vMerge/>
          </w:tcPr>
          <w:p w14:paraId="6DF3486D" w14:textId="77777777" w:rsidR="00C61BAC" w:rsidRPr="0019444B" w:rsidRDefault="00C61BAC" w:rsidP="00433793">
            <w:pPr>
              <w:rPr>
                <w:rFonts w:ascii="Arial Narrow" w:hAnsi="Arial Narrow"/>
                <w:b/>
                <w:bCs/>
                <w:sz w:val="20"/>
                <w:szCs w:val="20"/>
              </w:rPr>
            </w:pPr>
          </w:p>
        </w:tc>
        <w:tc>
          <w:tcPr>
            <w:tcW w:w="3080" w:type="pct"/>
            <w:tcBorders>
              <w:top w:val="single" w:sz="4" w:space="0" w:color="auto"/>
              <w:left w:val="nil"/>
              <w:bottom w:val="single" w:sz="4" w:space="0" w:color="auto"/>
              <w:right w:val="single" w:sz="4" w:space="0" w:color="auto"/>
            </w:tcBorders>
            <w:shd w:val="clear" w:color="auto" w:fill="auto"/>
            <w:vAlign w:val="bottom"/>
          </w:tcPr>
          <w:p w14:paraId="292E6214" w14:textId="77777777" w:rsidR="00C61BAC" w:rsidRPr="0019444B" w:rsidRDefault="00C61BAC" w:rsidP="00433793">
            <w:pPr>
              <w:jc w:val="left"/>
              <w:rPr>
                <w:rFonts w:ascii="Arial Narrow" w:hAnsi="Arial Narrow"/>
                <w:sz w:val="20"/>
                <w:szCs w:val="20"/>
              </w:rPr>
            </w:pPr>
            <w:r w:rsidRPr="0019444B">
              <w:rPr>
                <w:rFonts w:ascii="Arial Narrow" w:hAnsi="Arial Narrow" w:cs="Calibri"/>
                <w:color w:val="000000"/>
                <w:sz w:val="20"/>
                <w:szCs w:val="20"/>
              </w:rPr>
              <w:t>Tam, C. S.; Robak, T.; Ghia, P.; Kahl, B. S.; Walker, P., et al. Efficacy and safety of zanubrutinib in patients with treatment-naive chronic lymphocytic leukemia (CLL) or small lymphocytic lymphoma (SLL) with del(17p): initial results from arm C of the sequoia (BGB-3111-304) trial</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73756311" w14:textId="77777777" w:rsidR="00C61BAC" w:rsidRPr="0019444B" w:rsidRDefault="00C61BAC" w:rsidP="00433793">
            <w:pPr>
              <w:jc w:val="left"/>
              <w:rPr>
                <w:rFonts w:ascii="Arial Narrow" w:hAnsi="Arial Narrow"/>
                <w:sz w:val="20"/>
                <w:szCs w:val="20"/>
              </w:rPr>
            </w:pPr>
            <w:r w:rsidRPr="0019444B">
              <w:rPr>
                <w:rFonts w:ascii="Arial Narrow" w:hAnsi="Arial Narrow" w:cs="Calibri"/>
                <w:sz w:val="20"/>
                <w:szCs w:val="20"/>
              </w:rPr>
              <w:t xml:space="preserve"> Blood 2019; 134 (SUPPL1)</w:t>
            </w:r>
          </w:p>
        </w:tc>
      </w:tr>
      <w:tr w:rsidR="00C61BAC" w:rsidRPr="0019444B" w14:paraId="01C6B4CA" w14:textId="77777777" w:rsidTr="00433793">
        <w:trPr>
          <w:trHeight w:val="179"/>
        </w:trPr>
        <w:tc>
          <w:tcPr>
            <w:tcW w:w="558" w:type="pct"/>
            <w:vMerge/>
          </w:tcPr>
          <w:p w14:paraId="6C4F5778" w14:textId="77777777" w:rsidR="00C61BAC" w:rsidRPr="0019444B" w:rsidRDefault="00C61BAC" w:rsidP="00433793">
            <w:pPr>
              <w:rPr>
                <w:rFonts w:ascii="Arial Narrow" w:hAnsi="Arial Narrow"/>
                <w:b/>
                <w:bCs/>
                <w:sz w:val="20"/>
                <w:szCs w:val="20"/>
              </w:rPr>
            </w:pPr>
          </w:p>
        </w:tc>
        <w:tc>
          <w:tcPr>
            <w:tcW w:w="3080" w:type="pct"/>
            <w:tcBorders>
              <w:top w:val="single" w:sz="4" w:space="0" w:color="auto"/>
              <w:left w:val="nil"/>
              <w:bottom w:val="single" w:sz="4" w:space="0" w:color="auto"/>
              <w:right w:val="single" w:sz="4" w:space="0" w:color="auto"/>
            </w:tcBorders>
            <w:shd w:val="clear" w:color="auto" w:fill="auto"/>
            <w:vAlign w:val="bottom"/>
          </w:tcPr>
          <w:p w14:paraId="3ADB87D0" w14:textId="77777777" w:rsidR="00C61BAC" w:rsidRPr="0019444B" w:rsidRDefault="00C61BAC" w:rsidP="00433793">
            <w:pPr>
              <w:jc w:val="left"/>
              <w:rPr>
                <w:rFonts w:ascii="Arial Narrow" w:hAnsi="Arial Narrow"/>
                <w:sz w:val="20"/>
                <w:szCs w:val="20"/>
              </w:rPr>
            </w:pPr>
            <w:r w:rsidRPr="0019444B">
              <w:rPr>
                <w:rFonts w:ascii="Arial Narrow" w:hAnsi="Arial Narrow" w:cs="Calibri"/>
                <w:color w:val="000000"/>
                <w:sz w:val="20"/>
                <w:szCs w:val="20"/>
              </w:rPr>
              <w:t>Tam, C. S.; Brown, J. R.; Kahl, B. S.; Ghia, P.; Giannopoulos, K. et al. Zanubrutinib versus bendamustine and rituximab in untreated chronic lymphocytic leukaemia and small lymphocytic lymphoma (SEQUOIA): a randomised, controlled, phase 3 trial</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12F5FBB9" w14:textId="77777777" w:rsidR="00C61BAC" w:rsidRPr="0019444B" w:rsidRDefault="00C61BAC" w:rsidP="00433793">
            <w:pPr>
              <w:jc w:val="left"/>
              <w:rPr>
                <w:rFonts w:ascii="Arial Narrow" w:hAnsi="Arial Narrow"/>
                <w:sz w:val="20"/>
                <w:szCs w:val="20"/>
              </w:rPr>
            </w:pPr>
            <w:r w:rsidRPr="0019444B">
              <w:rPr>
                <w:rFonts w:ascii="Arial Narrow" w:hAnsi="Arial Narrow" w:cs="Calibri"/>
                <w:sz w:val="20"/>
                <w:szCs w:val="20"/>
              </w:rPr>
              <w:t>Lancet Oncology 2022; 23 (8): 1031-1043</w:t>
            </w:r>
          </w:p>
        </w:tc>
      </w:tr>
    </w:tbl>
    <w:p w14:paraId="3F124EEC" w14:textId="77777777" w:rsidR="00C61BAC" w:rsidRPr="0019444B" w:rsidRDefault="00C61BAC" w:rsidP="00C61BAC">
      <w:pPr>
        <w:pStyle w:val="FooterTableFigure"/>
      </w:pPr>
      <w:r w:rsidRPr="0019444B">
        <w:t>Source: Table 2.5, p.76-79 and Attachment 2X_ZANU Search Outcomes of the resubmission</w:t>
      </w:r>
    </w:p>
    <w:p w14:paraId="2D84B291" w14:textId="3B71340D" w:rsidR="00296471" w:rsidRPr="0019444B" w:rsidRDefault="00296471" w:rsidP="00A31B43">
      <w:pPr>
        <w:pStyle w:val="3-BodyText"/>
        <w:numPr>
          <w:ilvl w:val="1"/>
          <w:numId w:val="1"/>
        </w:numPr>
        <w:ind w:left="709" w:hanging="709"/>
      </w:pPr>
      <w:r w:rsidRPr="0019444B">
        <w:t>The key features of ELEVATE-TN</w:t>
      </w:r>
      <w:r w:rsidR="001D1096" w:rsidRPr="0019444B">
        <w:t>,</w:t>
      </w:r>
      <w:r w:rsidRPr="0019444B">
        <w:t xml:space="preserve"> </w:t>
      </w:r>
      <w:bookmarkStart w:id="24" w:name="_Hlk137565034"/>
      <w:r w:rsidRPr="0019444B">
        <w:t xml:space="preserve">CLL-14 </w:t>
      </w:r>
      <w:r w:rsidR="001D1096" w:rsidRPr="0019444B">
        <w:t>and SEQUOIA</w:t>
      </w:r>
      <w:r w:rsidR="001D1096" w:rsidRPr="0019444B">
        <w:rPr>
          <w:i/>
          <w:iCs/>
        </w:rPr>
        <w:t xml:space="preserve"> </w:t>
      </w:r>
      <w:r w:rsidRPr="0019444B">
        <w:t>trial</w:t>
      </w:r>
      <w:r w:rsidR="00E2067A" w:rsidRPr="0019444B">
        <w:t>s</w:t>
      </w:r>
      <w:r w:rsidRPr="0019444B">
        <w:t xml:space="preserve"> are summarised in</w:t>
      </w:r>
      <w:r w:rsidR="00FA5096" w:rsidRPr="0019444B">
        <w:t xml:space="preserve"> </w:t>
      </w:r>
      <w:r w:rsidR="00C61BAC" w:rsidRPr="0019444B">
        <w:t>Table 4</w:t>
      </w:r>
      <w:r w:rsidR="00FA5096" w:rsidRPr="0019444B">
        <w:t>.</w:t>
      </w:r>
    </w:p>
    <w:p w14:paraId="56C333B9" w14:textId="1FB0AC1C" w:rsidR="00296471" w:rsidRPr="0019444B" w:rsidRDefault="00296471" w:rsidP="00296471">
      <w:pPr>
        <w:pStyle w:val="Caption"/>
        <w:rPr>
          <w:rStyle w:val="CommentReference"/>
          <w:rFonts w:eastAsiaTheme="majorEastAsia" w:cstheme="majorBidi"/>
          <w:b/>
          <w:szCs w:val="24"/>
        </w:rPr>
      </w:pPr>
      <w:bookmarkStart w:id="25" w:name="_Ref137417677"/>
      <w:r w:rsidRPr="0019444B">
        <w:rPr>
          <w:rStyle w:val="CommentReference"/>
          <w:rFonts w:eastAsiaTheme="majorEastAsia" w:cstheme="majorBidi"/>
          <w:b/>
          <w:szCs w:val="24"/>
        </w:rPr>
        <w:t xml:space="preserve">Table </w:t>
      </w:r>
      <w:r w:rsidR="007C4FC4" w:rsidRPr="00EB0E37">
        <w:fldChar w:fldCharType="begin" w:fldLock="1"/>
      </w:r>
      <w:r w:rsidR="007C4FC4" w:rsidRPr="0019444B">
        <w:instrText xml:space="preserve"> SEQ Table \* ARABIC </w:instrText>
      </w:r>
      <w:r w:rsidR="007C4FC4" w:rsidRPr="00EB0E37">
        <w:fldChar w:fldCharType="separate"/>
      </w:r>
      <w:r w:rsidR="007C39B4" w:rsidRPr="00EB0E37">
        <w:t>4</w:t>
      </w:r>
      <w:r w:rsidR="007C4FC4" w:rsidRPr="00EB0E37">
        <w:fldChar w:fldCharType="end"/>
      </w:r>
      <w:bookmarkEnd w:id="25"/>
      <w:r w:rsidRPr="0019444B">
        <w:rPr>
          <w:rStyle w:val="CommentReference"/>
          <w:rFonts w:eastAsiaTheme="majorEastAsia" w:cstheme="majorBidi"/>
          <w:b/>
          <w:szCs w:val="24"/>
        </w:rPr>
        <w:t xml:space="preserve">: Key features of the included </w:t>
      </w:r>
      <w:bookmarkEnd w:id="24"/>
      <w:r w:rsidRPr="0019444B">
        <w:rPr>
          <w:rStyle w:val="CommentReference"/>
          <w:rFonts w:eastAsiaTheme="majorEastAsia" w:cstheme="majorBidi"/>
          <w:b/>
          <w:szCs w:val="24"/>
        </w:rPr>
        <w:t>evidence</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1"/>
        <w:gridCol w:w="710"/>
        <w:gridCol w:w="1559"/>
        <w:gridCol w:w="1131"/>
        <w:gridCol w:w="2269"/>
        <w:gridCol w:w="2190"/>
      </w:tblGrid>
      <w:tr w:rsidR="00296471" w:rsidRPr="0019444B" w14:paraId="53B42F32" w14:textId="77777777" w:rsidTr="001D1096">
        <w:trPr>
          <w:cantSplit/>
          <w:tblHeader/>
        </w:trPr>
        <w:tc>
          <w:tcPr>
            <w:tcW w:w="629" w:type="pct"/>
            <w:shd w:val="clear" w:color="auto" w:fill="auto"/>
            <w:vAlign w:val="center"/>
          </w:tcPr>
          <w:p w14:paraId="19A43240" w14:textId="77777777" w:rsidR="00296471" w:rsidRPr="0019444B" w:rsidRDefault="00296471" w:rsidP="001A2D0C">
            <w:pPr>
              <w:pStyle w:val="In-tableHeading"/>
              <w:rPr>
                <w:lang w:val="en-AU"/>
              </w:rPr>
            </w:pPr>
            <w:r w:rsidRPr="0019444B">
              <w:rPr>
                <w:lang w:val="en-AU"/>
              </w:rPr>
              <w:t>Trial</w:t>
            </w:r>
          </w:p>
        </w:tc>
        <w:tc>
          <w:tcPr>
            <w:tcW w:w="395" w:type="pct"/>
            <w:shd w:val="clear" w:color="auto" w:fill="auto"/>
            <w:vAlign w:val="center"/>
          </w:tcPr>
          <w:p w14:paraId="4B288642" w14:textId="77777777" w:rsidR="00296471" w:rsidRPr="0019444B" w:rsidRDefault="00296471" w:rsidP="001A2D0C">
            <w:pPr>
              <w:pStyle w:val="In-tableHeading"/>
              <w:jc w:val="center"/>
              <w:rPr>
                <w:lang w:val="en-AU"/>
              </w:rPr>
            </w:pPr>
            <w:r w:rsidRPr="0019444B">
              <w:rPr>
                <w:lang w:val="en-AU"/>
              </w:rPr>
              <w:t>N</w:t>
            </w:r>
          </w:p>
        </w:tc>
        <w:tc>
          <w:tcPr>
            <w:tcW w:w="867" w:type="pct"/>
            <w:shd w:val="clear" w:color="auto" w:fill="auto"/>
            <w:vAlign w:val="center"/>
          </w:tcPr>
          <w:p w14:paraId="6CB376FA" w14:textId="77777777" w:rsidR="00296471" w:rsidRPr="0019444B" w:rsidRDefault="00296471" w:rsidP="001A2D0C">
            <w:pPr>
              <w:pStyle w:val="In-tableHeading"/>
              <w:jc w:val="center"/>
              <w:rPr>
                <w:lang w:val="en-AU"/>
              </w:rPr>
            </w:pPr>
            <w:r w:rsidRPr="0019444B">
              <w:rPr>
                <w:lang w:val="en-AU"/>
              </w:rPr>
              <w:t>Design/ duration</w:t>
            </w:r>
          </w:p>
        </w:tc>
        <w:tc>
          <w:tcPr>
            <w:tcW w:w="629" w:type="pct"/>
            <w:shd w:val="clear" w:color="auto" w:fill="auto"/>
            <w:vAlign w:val="center"/>
          </w:tcPr>
          <w:p w14:paraId="3BE84F54" w14:textId="77777777" w:rsidR="00296471" w:rsidRPr="0019444B" w:rsidRDefault="00296471" w:rsidP="001A2D0C">
            <w:pPr>
              <w:pStyle w:val="In-tableHeading"/>
              <w:jc w:val="center"/>
              <w:rPr>
                <w:lang w:val="en-AU"/>
              </w:rPr>
            </w:pPr>
            <w:r w:rsidRPr="0019444B">
              <w:rPr>
                <w:lang w:val="en-AU"/>
              </w:rPr>
              <w:t>Risk of bias</w:t>
            </w:r>
          </w:p>
        </w:tc>
        <w:tc>
          <w:tcPr>
            <w:tcW w:w="1262" w:type="pct"/>
            <w:shd w:val="clear" w:color="auto" w:fill="auto"/>
            <w:vAlign w:val="center"/>
          </w:tcPr>
          <w:p w14:paraId="5A3822C1" w14:textId="77777777" w:rsidR="00296471" w:rsidRPr="0019444B" w:rsidRDefault="00296471" w:rsidP="001A2D0C">
            <w:pPr>
              <w:pStyle w:val="In-tableHeading"/>
              <w:jc w:val="center"/>
              <w:rPr>
                <w:lang w:val="en-AU"/>
              </w:rPr>
            </w:pPr>
            <w:r w:rsidRPr="0019444B">
              <w:rPr>
                <w:lang w:val="en-AU"/>
              </w:rPr>
              <w:t>Patient population</w:t>
            </w:r>
          </w:p>
        </w:tc>
        <w:tc>
          <w:tcPr>
            <w:tcW w:w="1219" w:type="pct"/>
            <w:shd w:val="clear" w:color="auto" w:fill="auto"/>
            <w:vAlign w:val="center"/>
          </w:tcPr>
          <w:p w14:paraId="369A2CC4" w14:textId="77777777" w:rsidR="00296471" w:rsidRPr="0019444B" w:rsidRDefault="00296471" w:rsidP="001A2D0C">
            <w:pPr>
              <w:pStyle w:val="In-tableHeading"/>
              <w:jc w:val="center"/>
              <w:rPr>
                <w:lang w:val="en-AU"/>
              </w:rPr>
            </w:pPr>
            <w:r w:rsidRPr="0019444B">
              <w:rPr>
                <w:lang w:val="en-AU"/>
              </w:rPr>
              <w:t>Outcome(s)</w:t>
            </w:r>
          </w:p>
        </w:tc>
      </w:tr>
      <w:tr w:rsidR="00296471" w:rsidRPr="0019444B" w14:paraId="4A3C0E0A" w14:textId="77777777" w:rsidTr="00D35D17">
        <w:trPr>
          <w:cantSplit/>
        </w:trPr>
        <w:tc>
          <w:tcPr>
            <w:tcW w:w="5000" w:type="pct"/>
            <w:gridSpan w:val="6"/>
            <w:shd w:val="clear" w:color="auto" w:fill="auto"/>
            <w:vAlign w:val="center"/>
          </w:tcPr>
          <w:p w14:paraId="428382C1" w14:textId="3E284501" w:rsidR="00296471" w:rsidRPr="00EB0E37" w:rsidRDefault="00296471" w:rsidP="001A2D0C">
            <w:pPr>
              <w:pStyle w:val="In-tableHeading"/>
              <w:rPr>
                <w:lang w:val="en-AU"/>
              </w:rPr>
            </w:pPr>
            <w:r w:rsidRPr="00EB0E37">
              <w:rPr>
                <w:lang w:val="en-AU"/>
              </w:rPr>
              <w:t>ACA</w:t>
            </w:r>
            <w:r w:rsidR="00A45ED6" w:rsidRPr="00EB0E37">
              <w:rPr>
                <w:lang w:val="en-AU"/>
              </w:rPr>
              <w:t>+/-</w:t>
            </w:r>
            <w:r w:rsidRPr="00EB0E37">
              <w:rPr>
                <w:lang w:val="en-AU"/>
              </w:rPr>
              <w:t xml:space="preserve">OBIN versus OBIN+CHL </w:t>
            </w:r>
          </w:p>
        </w:tc>
      </w:tr>
      <w:tr w:rsidR="00296471" w:rsidRPr="0019444B" w14:paraId="722FA1D9" w14:textId="77777777" w:rsidTr="001D1096">
        <w:trPr>
          <w:cantSplit/>
        </w:trPr>
        <w:tc>
          <w:tcPr>
            <w:tcW w:w="629" w:type="pct"/>
            <w:shd w:val="clear" w:color="auto" w:fill="auto"/>
            <w:vAlign w:val="center"/>
          </w:tcPr>
          <w:p w14:paraId="7CF36CFF" w14:textId="77777777" w:rsidR="00296471" w:rsidRPr="0019444B" w:rsidRDefault="00296471" w:rsidP="001A2D0C">
            <w:pPr>
              <w:pStyle w:val="TableText0"/>
            </w:pPr>
            <w:r w:rsidRPr="0019444B">
              <w:t>ELEVATE-TN</w:t>
            </w:r>
          </w:p>
        </w:tc>
        <w:tc>
          <w:tcPr>
            <w:tcW w:w="395" w:type="pct"/>
            <w:shd w:val="clear" w:color="auto" w:fill="auto"/>
            <w:vAlign w:val="center"/>
          </w:tcPr>
          <w:p w14:paraId="21A96AE6" w14:textId="77777777" w:rsidR="00296471" w:rsidRPr="0019444B" w:rsidRDefault="00296471" w:rsidP="001A2D0C">
            <w:pPr>
              <w:pStyle w:val="TableText0"/>
              <w:jc w:val="center"/>
            </w:pPr>
            <w:r w:rsidRPr="0019444B">
              <w:t>535</w:t>
            </w:r>
          </w:p>
        </w:tc>
        <w:tc>
          <w:tcPr>
            <w:tcW w:w="867" w:type="pct"/>
            <w:shd w:val="clear" w:color="auto" w:fill="auto"/>
            <w:vAlign w:val="center"/>
          </w:tcPr>
          <w:p w14:paraId="7B76C18F" w14:textId="77777777" w:rsidR="00296471" w:rsidRPr="0019444B" w:rsidRDefault="00296471" w:rsidP="001A2D0C">
            <w:pPr>
              <w:pStyle w:val="TableText0"/>
            </w:pPr>
            <w:r w:rsidRPr="0019444B">
              <w:t>R, MC, OL</w:t>
            </w:r>
          </w:p>
          <w:p w14:paraId="15EC7A25" w14:textId="77777777" w:rsidR="00296471" w:rsidRPr="0019444B" w:rsidRDefault="00296471" w:rsidP="001A2D0C">
            <w:pPr>
              <w:pStyle w:val="TableText0"/>
            </w:pPr>
            <w:r w:rsidRPr="0019444B">
              <w:rPr>
                <w:szCs w:val="20"/>
              </w:rPr>
              <w:t>58.2 months FU</w:t>
            </w:r>
          </w:p>
        </w:tc>
        <w:tc>
          <w:tcPr>
            <w:tcW w:w="629" w:type="pct"/>
            <w:shd w:val="clear" w:color="auto" w:fill="auto"/>
            <w:vAlign w:val="center"/>
          </w:tcPr>
          <w:p w14:paraId="2C16A633" w14:textId="77777777" w:rsidR="00296471" w:rsidRPr="0019444B" w:rsidRDefault="00296471" w:rsidP="001A2D0C">
            <w:pPr>
              <w:pStyle w:val="TableText0"/>
            </w:pPr>
            <w:r w:rsidRPr="0019444B">
              <w:t>Unclear*</w:t>
            </w:r>
          </w:p>
        </w:tc>
        <w:tc>
          <w:tcPr>
            <w:tcW w:w="1262" w:type="pct"/>
            <w:shd w:val="clear" w:color="auto" w:fill="auto"/>
            <w:vAlign w:val="center"/>
          </w:tcPr>
          <w:p w14:paraId="7BF2B450" w14:textId="77777777" w:rsidR="00296471" w:rsidRPr="0019444B" w:rsidRDefault="00296471" w:rsidP="001A2D0C">
            <w:pPr>
              <w:pStyle w:val="TableText0"/>
            </w:pPr>
            <w:r w:rsidRPr="0019444B">
              <w:t>Previously untreated CLL/SLL</w:t>
            </w:r>
          </w:p>
        </w:tc>
        <w:tc>
          <w:tcPr>
            <w:tcW w:w="1219" w:type="pct"/>
            <w:shd w:val="clear" w:color="auto" w:fill="auto"/>
            <w:vAlign w:val="center"/>
          </w:tcPr>
          <w:p w14:paraId="28FC4D56" w14:textId="77777777" w:rsidR="00296471" w:rsidRPr="00EB0E37" w:rsidRDefault="00296471" w:rsidP="001A2D0C">
            <w:pPr>
              <w:pStyle w:val="TableText0"/>
            </w:pPr>
            <w:r w:rsidRPr="00EB0E37">
              <w:t>INV-PFS, IRC-PFS, OS, AEs</w:t>
            </w:r>
          </w:p>
        </w:tc>
      </w:tr>
      <w:tr w:rsidR="00296471" w:rsidRPr="0019444B" w14:paraId="2B1F55E2" w14:textId="77777777" w:rsidTr="00D35D17">
        <w:trPr>
          <w:cantSplit/>
        </w:trPr>
        <w:tc>
          <w:tcPr>
            <w:tcW w:w="5000" w:type="pct"/>
            <w:gridSpan w:val="6"/>
            <w:shd w:val="clear" w:color="auto" w:fill="auto"/>
            <w:vAlign w:val="center"/>
          </w:tcPr>
          <w:p w14:paraId="2860F838" w14:textId="77777777" w:rsidR="00296471" w:rsidRPr="00EB0E37" w:rsidRDefault="00296471" w:rsidP="001A2D0C">
            <w:pPr>
              <w:pStyle w:val="In-tableHeading"/>
              <w:rPr>
                <w:lang w:val="en-AU"/>
              </w:rPr>
            </w:pPr>
            <w:r w:rsidRPr="00EB0E37">
              <w:rPr>
                <w:lang w:val="en-AU"/>
              </w:rPr>
              <w:t>VTX+OBIN versus OBIN+CHL</w:t>
            </w:r>
          </w:p>
        </w:tc>
      </w:tr>
      <w:tr w:rsidR="00296471" w:rsidRPr="0019444B" w14:paraId="0BC14BB4" w14:textId="77777777" w:rsidTr="001D1096">
        <w:trPr>
          <w:cantSplit/>
        </w:trPr>
        <w:tc>
          <w:tcPr>
            <w:tcW w:w="629" w:type="pct"/>
            <w:shd w:val="clear" w:color="auto" w:fill="auto"/>
            <w:vAlign w:val="center"/>
          </w:tcPr>
          <w:p w14:paraId="6C2E9B43" w14:textId="77777777" w:rsidR="00296471" w:rsidRPr="0019444B" w:rsidRDefault="00296471" w:rsidP="001A2D0C">
            <w:pPr>
              <w:pStyle w:val="TableText0"/>
            </w:pPr>
            <w:r w:rsidRPr="0019444B">
              <w:t>CLL-14</w:t>
            </w:r>
          </w:p>
        </w:tc>
        <w:tc>
          <w:tcPr>
            <w:tcW w:w="395" w:type="pct"/>
            <w:shd w:val="clear" w:color="auto" w:fill="auto"/>
            <w:vAlign w:val="center"/>
          </w:tcPr>
          <w:p w14:paraId="53074336" w14:textId="77777777" w:rsidR="00296471" w:rsidRPr="0019444B" w:rsidRDefault="00296471" w:rsidP="001A2D0C">
            <w:pPr>
              <w:pStyle w:val="TableText0"/>
              <w:jc w:val="center"/>
            </w:pPr>
            <w:r w:rsidRPr="0019444B">
              <w:t>432</w:t>
            </w:r>
          </w:p>
        </w:tc>
        <w:tc>
          <w:tcPr>
            <w:tcW w:w="867" w:type="pct"/>
            <w:shd w:val="clear" w:color="auto" w:fill="auto"/>
            <w:vAlign w:val="center"/>
          </w:tcPr>
          <w:p w14:paraId="58AA61C8" w14:textId="77777777" w:rsidR="00296471" w:rsidRPr="0019444B" w:rsidRDefault="00296471" w:rsidP="001A2D0C">
            <w:pPr>
              <w:pStyle w:val="TableText0"/>
            </w:pPr>
            <w:r w:rsidRPr="0019444B">
              <w:t>R, MC, OL</w:t>
            </w:r>
          </w:p>
          <w:p w14:paraId="1B761677" w14:textId="77777777" w:rsidR="00296471" w:rsidRPr="0019444B" w:rsidRDefault="00296471" w:rsidP="001A2D0C">
            <w:pPr>
              <w:pStyle w:val="TableText0"/>
            </w:pPr>
            <w:r w:rsidRPr="0019444B">
              <w:rPr>
                <w:szCs w:val="20"/>
              </w:rPr>
              <w:t>52.4 months FU</w:t>
            </w:r>
          </w:p>
        </w:tc>
        <w:tc>
          <w:tcPr>
            <w:tcW w:w="629" w:type="pct"/>
            <w:shd w:val="clear" w:color="auto" w:fill="auto"/>
            <w:vAlign w:val="center"/>
          </w:tcPr>
          <w:p w14:paraId="1C48A0C9" w14:textId="77777777" w:rsidR="00296471" w:rsidRPr="0019444B" w:rsidRDefault="00296471" w:rsidP="001A2D0C">
            <w:pPr>
              <w:pStyle w:val="TableText0"/>
            </w:pPr>
            <w:r w:rsidRPr="0019444B">
              <w:t>Unclear*</w:t>
            </w:r>
          </w:p>
        </w:tc>
        <w:tc>
          <w:tcPr>
            <w:tcW w:w="1262" w:type="pct"/>
            <w:shd w:val="clear" w:color="auto" w:fill="auto"/>
            <w:vAlign w:val="center"/>
          </w:tcPr>
          <w:p w14:paraId="294CF26C" w14:textId="77777777" w:rsidR="00296471" w:rsidRPr="0019444B" w:rsidRDefault="00296471" w:rsidP="001A2D0C">
            <w:pPr>
              <w:pStyle w:val="TableText0"/>
            </w:pPr>
            <w:r w:rsidRPr="0019444B">
              <w:t>Previously untreated CLL/SLL</w:t>
            </w:r>
          </w:p>
        </w:tc>
        <w:tc>
          <w:tcPr>
            <w:tcW w:w="1219" w:type="pct"/>
            <w:shd w:val="clear" w:color="auto" w:fill="auto"/>
            <w:vAlign w:val="center"/>
          </w:tcPr>
          <w:p w14:paraId="07FCE3F1" w14:textId="77777777" w:rsidR="00296471" w:rsidRPr="00EB0E37" w:rsidRDefault="00296471" w:rsidP="001A2D0C">
            <w:pPr>
              <w:pStyle w:val="TableText0"/>
            </w:pPr>
            <w:r w:rsidRPr="00EB0E37">
              <w:t>INV-PFS, IRC-PFS, OS, AEs</w:t>
            </w:r>
          </w:p>
        </w:tc>
      </w:tr>
      <w:tr w:rsidR="001D1096" w:rsidRPr="0019444B" w14:paraId="30B556DD" w14:textId="77777777" w:rsidTr="00BE61EF">
        <w:trPr>
          <w:cantSplit/>
        </w:trPr>
        <w:tc>
          <w:tcPr>
            <w:tcW w:w="5000" w:type="pct"/>
            <w:gridSpan w:val="6"/>
            <w:shd w:val="clear" w:color="auto" w:fill="auto"/>
            <w:vAlign w:val="center"/>
          </w:tcPr>
          <w:p w14:paraId="108DF324" w14:textId="6C234A34" w:rsidR="001D1096" w:rsidRPr="00EB0E37" w:rsidRDefault="001D1096" w:rsidP="00BE61EF">
            <w:pPr>
              <w:pStyle w:val="In-tableHeading"/>
              <w:rPr>
                <w:lang w:val="en-AU"/>
              </w:rPr>
            </w:pPr>
            <w:r w:rsidRPr="00EB0E37">
              <w:rPr>
                <w:lang w:val="en-AU"/>
              </w:rPr>
              <w:t>ZANU versus BEND+R</w:t>
            </w:r>
            <w:r w:rsidR="00EB0E37">
              <w:rPr>
                <w:lang w:val="en-AU"/>
              </w:rPr>
              <w:t>IT</w:t>
            </w:r>
          </w:p>
        </w:tc>
      </w:tr>
      <w:tr w:rsidR="001D1096" w:rsidRPr="0019444B" w14:paraId="79018C2D" w14:textId="77777777" w:rsidTr="001D1096">
        <w:trPr>
          <w:cantSplit/>
        </w:trPr>
        <w:tc>
          <w:tcPr>
            <w:tcW w:w="629" w:type="pct"/>
            <w:shd w:val="clear" w:color="auto" w:fill="auto"/>
            <w:vAlign w:val="center"/>
          </w:tcPr>
          <w:p w14:paraId="37D22B43" w14:textId="07056D5D" w:rsidR="001D1096" w:rsidRPr="0019444B" w:rsidRDefault="001D1096" w:rsidP="00BE61EF">
            <w:pPr>
              <w:pStyle w:val="TableText0"/>
            </w:pPr>
            <w:r w:rsidRPr="0019444B">
              <w:t>SEQUOIA</w:t>
            </w:r>
          </w:p>
        </w:tc>
        <w:tc>
          <w:tcPr>
            <w:tcW w:w="395" w:type="pct"/>
            <w:shd w:val="clear" w:color="auto" w:fill="auto"/>
            <w:vAlign w:val="center"/>
          </w:tcPr>
          <w:p w14:paraId="14D26E0D" w14:textId="1F1FDB6B" w:rsidR="001D1096" w:rsidRPr="0019444B" w:rsidRDefault="001D1096" w:rsidP="00BE61EF">
            <w:pPr>
              <w:pStyle w:val="TableText0"/>
              <w:jc w:val="center"/>
            </w:pPr>
            <w:r w:rsidRPr="0019444B">
              <w:t>590</w:t>
            </w:r>
          </w:p>
        </w:tc>
        <w:tc>
          <w:tcPr>
            <w:tcW w:w="867" w:type="pct"/>
            <w:shd w:val="clear" w:color="auto" w:fill="auto"/>
            <w:vAlign w:val="center"/>
          </w:tcPr>
          <w:p w14:paraId="67D4B1DA" w14:textId="77777777" w:rsidR="001D1096" w:rsidRPr="0019444B" w:rsidRDefault="001D1096" w:rsidP="00BE61EF">
            <w:pPr>
              <w:pStyle w:val="TableText0"/>
            </w:pPr>
            <w:r w:rsidRPr="0019444B">
              <w:t>R, MC, OL</w:t>
            </w:r>
          </w:p>
          <w:p w14:paraId="65B7DCD2" w14:textId="7B86DEEB" w:rsidR="001D1096" w:rsidRPr="0019444B" w:rsidRDefault="001D1096" w:rsidP="00BE61EF">
            <w:pPr>
              <w:pStyle w:val="TableText0"/>
            </w:pPr>
            <w:r w:rsidRPr="0019444B">
              <w:rPr>
                <w:szCs w:val="20"/>
              </w:rPr>
              <w:t>26.2 months FU</w:t>
            </w:r>
          </w:p>
        </w:tc>
        <w:tc>
          <w:tcPr>
            <w:tcW w:w="629" w:type="pct"/>
            <w:shd w:val="clear" w:color="auto" w:fill="auto"/>
            <w:vAlign w:val="center"/>
          </w:tcPr>
          <w:p w14:paraId="599F6251" w14:textId="0022D7CF" w:rsidR="001D1096" w:rsidRPr="0019444B" w:rsidRDefault="001D1096" w:rsidP="00BE61EF">
            <w:pPr>
              <w:pStyle w:val="TableText0"/>
            </w:pPr>
            <w:r w:rsidRPr="0019444B">
              <w:t>Unclear</w:t>
            </w:r>
          </w:p>
        </w:tc>
        <w:tc>
          <w:tcPr>
            <w:tcW w:w="1262" w:type="pct"/>
            <w:shd w:val="clear" w:color="auto" w:fill="auto"/>
            <w:vAlign w:val="center"/>
          </w:tcPr>
          <w:p w14:paraId="528BAB32" w14:textId="77777777" w:rsidR="001D1096" w:rsidRPr="0019444B" w:rsidRDefault="001D1096" w:rsidP="00BE61EF">
            <w:pPr>
              <w:pStyle w:val="TableText0"/>
            </w:pPr>
            <w:r w:rsidRPr="0019444B">
              <w:t>Previously untreated CLL/SLL</w:t>
            </w:r>
          </w:p>
        </w:tc>
        <w:tc>
          <w:tcPr>
            <w:tcW w:w="1219" w:type="pct"/>
            <w:shd w:val="clear" w:color="auto" w:fill="auto"/>
            <w:vAlign w:val="center"/>
          </w:tcPr>
          <w:p w14:paraId="53337AF9" w14:textId="77777777" w:rsidR="001D1096" w:rsidRPr="00EB0E37" w:rsidRDefault="001D1096" w:rsidP="00BE61EF">
            <w:pPr>
              <w:pStyle w:val="TableText0"/>
            </w:pPr>
            <w:r w:rsidRPr="00EB0E37">
              <w:t>INV-PFS, IRC-PFS, OS, AEs</w:t>
            </w:r>
          </w:p>
        </w:tc>
      </w:tr>
    </w:tbl>
    <w:p w14:paraId="1181DFE2" w14:textId="256A56D3" w:rsidR="00296471" w:rsidRPr="0019444B" w:rsidRDefault="00296471" w:rsidP="004E3AF5">
      <w:pPr>
        <w:pStyle w:val="TableFigureFooter"/>
      </w:pPr>
      <w:r w:rsidRPr="0019444B">
        <w:t xml:space="preserve">Source: Table 2.24, pp.110-111, Table A1.1 p.1 of the resubmission and Table </w:t>
      </w:r>
      <w:r w:rsidR="003F2211" w:rsidRPr="0019444B">
        <w:t>4</w:t>
      </w:r>
      <w:r w:rsidRPr="0019444B">
        <w:t>, p.</w:t>
      </w:r>
      <w:r w:rsidR="003F2211" w:rsidRPr="0019444B">
        <w:t>14</w:t>
      </w:r>
      <w:r w:rsidRPr="0019444B">
        <w:t xml:space="preserve"> of </w:t>
      </w:r>
      <w:r w:rsidR="003F2211" w:rsidRPr="0019444B">
        <w:t xml:space="preserve">the </w:t>
      </w:r>
      <w:r w:rsidRPr="0019444B">
        <w:t>commentary</w:t>
      </w:r>
      <w:r w:rsidR="003F2211" w:rsidRPr="0019444B">
        <w:t xml:space="preserve"> for the PBAC December 2022 intracycle meeting</w:t>
      </w:r>
    </w:p>
    <w:p w14:paraId="3E768A03" w14:textId="345E8CE9" w:rsidR="00296471" w:rsidRPr="0019444B" w:rsidRDefault="00296471" w:rsidP="004E3AF5">
      <w:pPr>
        <w:pStyle w:val="TableFigureFooter"/>
      </w:pPr>
      <w:r w:rsidRPr="0019444B">
        <w:t>ACA</w:t>
      </w:r>
      <w:r w:rsidR="00750003" w:rsidRPr="0019444B">
        <w:t xml:space="preserve"> </w:t>
      </w:r>
      <w:r w:rsidRPr="0019444B">
        <w:t>=</w:t>
      </w:r>
      <w:r w:rsidR="00750003" w:rsidRPr="0019444B">
        <w:t xml:space="preserve"> </w:t>
      </w:r>
      <w:r w:rsidRPr="0019444B">
        <w:t xml:space="preserve">acalabrutinib, </w:t>
      </w:r>
      <w:r w:rsidR="00750003" w:rsidRPr="0019444B">
        <w:t xml:space="preserve">AE = adverse events, </w:t>
      </w:r>
      <w:r w:rsidRPr="0019444B">
        <w:t>BEND</w:t>
      </w:r>
      <w:r w:rsidR="00750003" w:rsidRPr="0019444B">
        <w:t xml:space="preserve"> </w:t>
      </w:r>
      <w:r w:rsidRPr="0019444B">
        <w:t>= bendamustine, CHL</w:t>
      </w:r>
      <w:r w:rsidR="00750003" w:rsidRPr="0019444B">
        <w:t xml:space="preserve"> </w:t>
      </w:r>
      <w:r w:rsidRPr="0019444B">
        <w:t>=</w:t>
      </w:r>
      <w:r w:rsidR="00750003" w:rsidRPr="0019444B">
        <w:t xml:space="preserve"> </w:t>
      </w:r>
      <w:r w:rsidRPr="0019444B">
        <w:t xml:space="preserve">chlorambucil, </w:t>
      </w:r>
      <w:r w:rsidR="00750003" w:rsidRPr="0019444B">
        <w:t xml:space="preserve">FU = follow-up, INV = investigator, IRC = Independent Review Committee, MC = multicentre, </w:t>
      </w:r>
      <w:r w:rsidRPr="0019444B">
        <w:t>OBIN</w:t>
      </w:r>
      <w:r w:rsidR="00750003" w:rsidRPr="0019444B">
        <w:t xml:space="preserve"> </w:t>
      </w:r>
      <w:r w:rsidRPr="0019444B">
        <w:t xml:space="preserve">= obinutuzumab, </w:t>
      </w:r>
      <w:r w:rsidR="00750003" w:rsidRPr="0019444B">
        <w:t xml:space="preserve">OL = open label, OS = overall survival, PFS = progression-free survival, R = randomised, </w:t>
      </w:r>
      <w:r w:rsidR="00EB0E37">
        <w:t xml:space="preserve">RIT = rituximab, </w:t>
      </w:r>
      <w:r w:rsidRPr="0019444B">
        <w:t>VTX</w:t>
      </w:r>
      <w:r w:rsidR="00750003" w:rsidRPr="0019444B">
        <w:t xml:space="preserve"> </w:t>
      </w:r>
      <w:r w:rsidRPr="0019444B">
        <w:t>=</w:t>
      </w:r>
      <w:r w:rsidR="00750003" w:rsidRPr="0019444B">
        <w:t xml:space="preserve"> </w:t>
      </w:r>
      <w:r w:rsidRPr="0019444B">
        <w:t>venetoclax, ZANU</w:t>
      </w:r>
      <w:r w:rsidR="00750003" w:rsidRPr="0019444B">
        <w:t xml:space="preserve"> </w:t>
      </w:r>
      <w:r w:rsidRPr="0019444B">
        <w:t xml:space="preserve">= </w:t>
      </w:r>
      <w:r w:rsidR="00BE51E2" w:rsidRPr="0019444B">
        <w:t>zanubrutin</w:t>
      </w:r>
      <w:r w:rsidR="00894890" w:rsidRPr="0019444B">
        <w:t>i</w:t>
      </w:r>
      <w:r w:rsidR="00BE51E2" w:rsidRPr="0019444B">
        <w:t>b</w:t>
      </w:r>
    </w:p>
    <w:p w14:paraId="649975AC" w14:textId="648A4F7B" w:rsidR="00296471" w:rsidRPr="0019444B" w:rsidRDefault="00296471" w:rsidP="004E3AF5">
      <w:pPr>
        <w:pStyle w:val="TableFigureFooter"/>
      </w:pPr>
      <w:r w:rsidRPr="0019444B">
        <w:t xml:space="preserve">*PBAC December 2022 meeting (paragraph 6.10, ACA, </w:t>
      </w:r>
      <w:r w:rsidR="00B24B18" w:rsidRPr="0019444B">
        <w:t>PSD</w:t>
      </w:r>
      <w:r w:rsidRPr="0019444B">
        <w:t xml:space="preserve">, December 2022 PBAC intracycle meeting) </w:t>
      </w:r>
    </w:p>
    <w:p w14:paraId="2E3711EF" w14:textId="0BEB11FB" w:rsidR="001D1096" w:rsidRPr="0019444B" w:rsidRDefault="00B60939" w:rsidP="003C3607">
      <w:pPr>
        <w:pStyle w:val="4-SubsectionHeading"/>
      </w:pPr>
      <w:bookmarkStart w:id="26" w:name="_Toc22897641"/>
      <w:bookmarkStart w:id="27" w:name="_Toc135225272"/>
      <w:bookmarkEnd w:id="23"/>
      <w:r w:rsidRPr="0019444B">
        <w:t>Comparative effectiveness</w:t>
      </w:r>
      <w:bookmarkEnd w:id="26"/>
      <w:bookmarkEnd w:id="27"/>
      <w:r w:rsidR="003C3607" w:rsidRPr="0019444B">
        <w:t xml:space="preserve">: </w:t>
      </w:r>
      <w:r w:rsidR="001D1096" w:rsidRPr="0019444B">
        <w:t>ACA+/-OBIN versus VTX+OBIN</w:t>
      </w:r>
    </w:p>
    <w:p w14:paraId="105F33BC" w14:textId="1A57FB7D" w:rsidR="00BB1C6D" w:rsidRPr="0019444B" w:rsidRDefault="00296471" w:rsidP="00BB1C6D">
      <w:pPr>
        <w:pStyle w:val="3-BodyText"/>
        <w:numPr>
          <w:ilvl w:val="1"/>
          <w:numId w:val="1"/>
        </w:numPr>
        <w:ind w:left="709" w:hanging="709"/>
      </w:pPr>
      <w:r w:rsidRPr="0019444B">
        <w:t xml:space="preserve">As no head-to-head trials </w:t>
      </w:r>
      <w:r w:rsidR="00473777" w:rsidRPr="0019444B">
        <w:t>we</w:t>
      </w:r>
      <w:r w:rsidRPr="0019444B">
        <w:t>re available comparing ACA</w:t>
      </w:r>
      <w:r w:rsidR="00A45ED6" w:rsidRPr="0019444B">
        <w:t>+/-</w:t>
      </w:r>
      <w:r w:rsidRPr="0019444B">
        <w:t>OBIN v</w:t>
      </w:r>
      <w:r w:rsidR="00561642" w:rsidRPr="0019444B">
        <w:t>ersu</w:t>
      </w:r>
      <w:r w:rsidRPr="0019444B">
        <w:t xml:space="preserve">s VTX+OBIN, the resubmission presented an updated </w:t>
      </w:r>
      <w:r w:rsidR="00D35D17" w:rsidRPr="0019444B">
        <w:t xml:space="preserve">anchored </w:t>
      </w:r>
      <w:r w:rsidR="00BF291E" w:rsidRPr="0019444B">
        <w:t>MAIC</w:t>
      </w:r>
      <w:r w:rsidRPr="0019444B">
        <w:t xml:space="preserve"> for PFS and OS comparing ACA</w:t>
      </w:r>
      <w:r w:rsidR="00A45ED6" w:rsidRPr="0019444B">
        <w:t>+/-</w:t>
      </w:r>
      <w:r w:rsidRPr="0019444B">
        <w:t>OBIN (ELEVATE-TN trial</w:t>
      </w:r>
      <w:r w:rsidR="009B42E4" w:rsidRPr="0019444B">
        <w:t xml:space="preserve">, </w:t>
      </w:r>
      <w:r w:rsidRPr="0019444B">
        <w:t>58.2-month median follow-up</w:t>
      </w:r>
      <w:r w:rsidR="009B42E4" w:rsidRPr="0019444B">
        <w:t>)</w:t>
      </w:r>
      <w:r w:rsidRPr="0019444B">
        <w:t xml:space="preserve"> to VTX+OBIN (CLL-14 trial</w:t>
      </w:r>
      <w:r w:rsidR="009B42E4" w:rsidRPr="0019444B">
        <w:t xml:space="preserve">, </w:t>
      </w:r>
      <w:r w:rsidR="00F66A37" w:rsidRPr="0019444B">
        <w:t xml:space="preserve">52.4-months </w:t>
      </w:r>
      <w:r w:rsidRPr="0019444B">
        <w:t>median follow-up</w:t>
      </w:r>
      <w:r w:rsidR="009B42E4" w:rsidRPr="0019444B">
        <w:t>)</w:t>
      </w:r>
      <w:r w:rsidRPr="0019444B">
        <w:t xml:space="preserve">. </w:t>
      </w:r>
    </w:p>
    <w:p w14:paraId="1A6E15A9" w14:textId="62B1969A" w:rsidR="00537573" w:rsidRPr="0019444B" w:rsidRDefault="00537573" w:rsidP="00BB1C6D">
      <w:pPr>
        <w:pStyle w:val="3-BodyText"/>
        <w:numPr>
          <w:ilvl w:val="1"/>
          <w:numId w:val="1"/>
        </w:numPr>
        <w:ind w:left="709" w:hanging="709"/>
        <w:rPr>
          <w:iCs/>
        </w:rPr>
      </w:pPr>
      <w:r w:rsidRPr="0019444B">
        <w:rPr>
          <w:iCs/>
        </w:rPr>
        <w:t>The MAIC was anchored on chlorambucil plus obinutuzumab (CHL+OBIN) as the common comparator in both trials. The ELEVATE-TN trial compared ACA monotherapy, ACA+OBIN and CHL+OBIN, while the CLL-14 trial compared VTX+OBIN and CHL+OBIN.</w:t>
      </w:r>
    </w:p>
    <w:p w14:paraId="52EC2AD8" w14:textId="52D18A51" w:rsidR="00296471" w:rsidRPr="0019444B" w:rsidRDefault="00296471" w:rsidP="00BB1C6D">
      <w:pPr>
        <w:pStyle w:val="3-BodyText"/>
        <w:numPr>
          <w:ilvl w:val="1"/>
          <w:numId w:val="1"/>
        </w:numPr>
        <w:ind w:left="709" w:hanging="709"/>
        <w:rPr>
          <w:iCs/>
        </w:rPr>
      </w:pPr>
      <w:r w:rsidRPr="0019444B">
        <w:rPr>
          <w:iCs/>
        </w:rPr>
        <w:t>The individual trial results for the ELEVATE-TN and the CLL-14 trial</w:t>
      </w:r>
      <w:r w:rsidR="00BC24A8" w:rsidRPr="0019444B">
        <w:rPr>
          <w:iCs/>
        </w:rPr>
        <w:t>s</w:t>
      </w:r>
      <w:r w:rsidRPr="0019444B">
        <w:rPr>
          <w:iCs/>
        </w:rPr>
        <w:t xml:space="preserve"> were presented in the previous resubmission. </w:t>
      </w:r>
    </w:p>
    <w:p w14:paraId="49349249" w14:textId="323EDA56" w:rsidR="00296471" w:rsidRPr="0019444B" w:rsidRDefault="00296471" w:rsidP="00BB1C6D">
      <w:pPr>
        <w:pStyle w:val="3-BodyText"/>
        <w:numPr>
          <w:ilvl w:val="1"/>
          <w:numId w:val="1"/>
        </w:numPr>
        <w:ind w:left="709" w:hanging="709"/>
        <w:rPr>
          <w:iCs/>
        </w:rPr>
      </w:pPr>
      <w:r w:rsidRPr="0019444B">
        <w:rPr>
          <w:iCs/>
        </w:rPr>
        <w:t xml:space="preserve">The previous </w:t>
      </w:r>
      <w:r w:rsidR="00DD51C0" w:rsidRPr="0019444B">
        <w:rPr>
          <w:iCs/>
        </w:rPr>
        <w:t>re</w:t>
      </w:r>
      <w:r w:rsidRPr="0019444B">
        <w:rPr>
          <w:iCs/>
        </w:rPr>
        <w:t>submission presented a MAIC for ACA+OBIN v</w:t>
      </w:r>
      <w:r w:rsidR="008C1F56" w:rsidRPr="0019444B">
        <w:rPr>
          <w:iCs/>
        </w:rPr>
        <w:t>ersu</w:t>
      </w:r>
      <w:r w:rsidRPr="0019444B">
        <w:rPr>
          <w:iCs/>
        </w:rPr>
        <w:t>s VTX+OBIN for effectiveness and safety, based on shorter median follow-up (46.9 months and 39.</w:t>
      </w:r>
      <w:r w:rsidR="004E3AF5" w:rsidRPr="0019444B">
        <w:rPr>
          <w:iCs/>
        </w:rPr>
        <w:t>6</w:t>
      </w:r>
      <w:r w:rsidR="004E3AF5">
        <w:rPr>
          <w:iCs/>
        </w:rPr>
        <w:t> </w:t>
      </w:r>
      <w:r w:rsidRPr="0019444B">
        <w:rPr>
          <w:iCs/>
        </w:rPr>
        <w:t xml:space="preserve">months respectively). </w:t>
      </w:r>
      <w:r w:rsidR="00492DD4" w:rsidRPr="0019444B">
        <w:rPr>
          <w:iCs/>
        </w:rPr>
        <w:t xml:space="preserve">At </w:t>
      </w:r>
      <w:r w:rsidRPr="0019444B">
        <w:rPr>
          <w:iCs/>
        </w:rPr>
        <w:t>its December 2022 intracycle meeting</w:t>
      </w:r>
      <w:r w:rsidR="001F0A49" w:rsidRPr="0019444B">
        <w:rPr>
          <w:iCs/>
        </w:rPr>
        <w:t xml:space="preserve"> (paragraph 6.39, ACA, </w:t>
      </w:r>
      <w:r w:rsidR="00002F92" w:rsidRPr="0019444B">
        <w:rPr>
          <w:iCs/>
        </w:rPr>
        <w:t>PSD</w:t>
      </w:r>
      <w:r w:rsidR="001F0A49" w:rsidRPr="0019444B">
        <w:rPr>
          <w:iCs/>
        </w:rPr>
        <w:t xml:space="preserve">, December 2022 PBAC </w:t>
      </w:r>
      <w:r w:rsidR="00BE51E2" w:rsidRPr="0019444B">
        <w:rPr>
          <w:iCs/>
        </w:rPr>
        <w:t>meeting</w:t>
      </w:r>
      <w:r w:rsidR="00F17B41" w:rsidRPr="0019444B">
        <w:rPr>
          <w:iCs/>
        </w:rPr>
        <w:t>)</w:t>
      </w:r>
      <w:r w:rsidR="00BE51E2" w:rsidRPr="0019444B">
        <w:rPr>
          <w:iCs/>
        </w:rPr>
        <w:t>,</w:t>
      </w:r>
      <w:r w:rsidRPr="0019444B">
        <w:rPr>
          <w:iCs/>
        </w:rPr>
        <w:t xml:space="preserve"> </w:t>
      </w:r>
      <w:r w:rsidR="00492DD4" w:rsidRPr="0019444B">
        <w:rPr>
          <w:iCs/>
        </w:rPr>
        <w:t xml:space="preserve">the PBAC </w:t>
      </w:r>
      <w:r w:rsidR="00BC24A8" w:rsidRPr="0019444B">
        <w:rPr>
          <w:iCs/>
        </w:rPr>
        <w:t xml:space="preserve">noted </w:t>
      </w:r>
      <w:r w:rsidR="00492DD4" w:rsidRPr="0019444B">
        <w:rPr>
          <w:iCs/>
        </w:rPr>
        <w:t>that</w:t>
      </w:r>
      <w:r w:rsidRPr="0019444B">
        <w:rPr>
          <w:iCs/>
        </w:rPr>
        <w:t>:</w:t>
      </w:r>
    </w:p>
    <w:p w14:paraId="00DCD0FE" w14:textId="57CCE920" w:rsidR="00296471" w:rsidRPr="0019444B" w:rsidRDefault="00296471" w:rsidP="00CA022C">
      <w:pPr>
        <w:pStyle w:val="ListParagraph"/>
      </w:pPr>
      <w:r w:rsidRPr="0019444B">
        <w:t xml:space="preserve">To conserve the effective sample size (ESS), the MAIC matched fewer variables compared with the original MAIC. </w:t>
      </w:r>
    </w:p>
    <w:p w14:paraId="324A44EA" w14:textId="77777777" w:rsidR="00296471" w:rsidRPr="0019444B" w:rsidRDefault="00296471" w:rsidP="00CA022C">
      <w:pPr>
        <w:pStyle w:val="ListParagraph"/>
      </w:pPr>
      <w:r w:rsidRPr="0019444B">
        <w:t>Age, sex, 17p deletion status, complex karyotype status and CIRS score were not matched, and the resubmission did not adequately justify the decision to exclude from matching relevant variables.</w:t>
      </w:r>
    </w:p>
    <w:p w14:paraId="66429807" w14:textId="440C2B4E" w:rsidR="00296471" w:rsidRPr="0019444B" w:rsidRDefault="00296471" w:rsidP="00CA022C">
      <w:pPr>
        <w:pStyle w:val="ListParagraph"/>
      </w:pPr>
      <w:r w:rsidRPr="0019444B">
        <w:t xml:space="preserve">The MAICs presented in July 2020 </w:t>
      </w:r>
      <w:r w:rsidR="00DD51C0" w:rsidRPr="0019444B">
        <w:t xml:space="preserve">effectively </w:t>
      </w:r>
      <w:r w:rsidRPr="0019444B">
        <w:t xml:space="preserve">excluded 96 patients in the ACA+OBIN arm and 83 in ACA. In the </w:t>
      </w:r>
      <w:r w:rsidR="00081C1F" w:rsidRPr="0019444B">
        <w:t>December</w:t>
      </w:r>
      <w:r w:rsidRPr="0019444B">
        <w:t xml:space="preserve"> 2022 resubmission the updated MAICs excluded 7 and 3 patients in each arm. The resubmission did not adequately address the reasons for this difference.</w:t>
      </w:r>
    </w:p>
    <w:p w14:paraId="23CF33C7" w14:textId="4A7C744C" w:rsidR="00296471" w:rsidRPr="0019444B" w:rsidRDefault="00296471" w:rsidP="00CA022C">
      <w:pPr>
        <w:pStyle w:val="ListParagraph"/>
      </w:pPr>
      <w:r w:rsidRPr="0019444B">
        <w:t xml:space="preserve">The ESC considered that </w:t>
      </w:r>
      <w:r w:rsidR="008C1F56" w:rsidRPr="0019444B">
        <w:t xml:space="preserve">the </w:t>
      </w:r>
      <w:r w:rsidRPr="0019444B">
        <w:t>MAIC should adjust for all effect modifiers and prognostic variables to predict outcomes reliably.</w:t>
      </w:r>
    </w:p>
    <w:p w14:paraId="5F021263" w14:textId="334C0FF9" w:rsidR="00296471" w:rsidRPr="0019444B" w:rsidRDefault="00296471" w:rsidP="00CA022C">
      <w:pPr>
        <w:pStyle w:val="ListParagraph"/>
      </w:pPr>
      <w:r w:rsidRPr="0019444B">
        <w:t>The ESC considered that the failure to match important prognostic variables suggest</w:t>
      </w:r>
      <w:r w:rsidR="008C1F56" w:rsidRPr="0019444B">
        <w:t>ed</w:t>
      </w:r>
      <w:r w:rsidRPr="0019444B">
        <w:t xml:space="preserve"> that the results of the MAICs </w:t>
      </w:r>
      <w:r w:rsidR="008C1F56" w:rsidRPr="0019444B">
        <w:t>we</w:t>
      </w:r>
      <w:r w:rsidRPr="0019444B">
        <w:t xml:space="preserve">re unlikely to be reliable. </w:t>
      </w:r>
    </w:p>
    <w:p w14:paraId="6D884989" w14:textId="77777777" w:rsidR="00296471" w:rsidRPr="0019444B" w:rsidRDefault="00296471" w:rsidP="00BB1C6D">
      <w:pPr>
        <w:pStyle w:val="3-BodyText"/>
        <w:numPr>
          <w:ilvl w:val="1"/>
          <w:numId w:val="1"/>
        </w:numPr>
        <w:ind w:left="709" w:hanging="709"/>
      </w:pPr>
      <w:r w:rsidRPr="0019444B">
        <w:t>For the current updated MAIC, the resubmission stated:</w:t>
      </w:r>
    </w:p>
    <w:p w14:paraId="207A0A5A" w14:textId="503ECFE6" w:rsidR="00296471" w:rsidRPr="0019444B" w:rsidRDefault="00296471" w:rsidP="00CA022C">
      <w:pPr>
        <w:pStyle w:val="ListParagraph"/>
      </w:pPr>
      <w:bookmarkStart w:id="28" w:name="_Hlk131678465"/>
      <w:r w:rsidRPr="0019444B">
        <w:t>The baseline characteristics before and after matching between ACA</w:t>
      </w:r>
      <w:r w:rsidR="00A45ED6" w:rsidRPr="0019444B">
        <w:t>+/-</w:t>
      </w:r>
      <w:r w:rsidRPr="0019444B">
        <w:t xml:space="preserve">OBIN and VTX+OBIN were not available. </w:t>
      </w:r>
    </w:p>
    <w:p w14:paraId="04EBE2A9" w14:textId="77777777" w:rsidR="00296471" w:rsidRPr="0019444B" w:rsidRDefault="00296471" w:rsidP="00CA022C">
      <w:pPr>
        <w:pStyle w:val="ListParagraph"/>
      </w:pPr>
      <w:r w:rsidRPr="0019444B">
        <w:t xml:space="preserve">Treatment effect modifiers were chosen by fitting a Cox model with interactions for each potential effect modifier and treatment. </w:t>
      </w:r>
      <w:bookmarkEnd w:id="28"/>
    </w:p>
    <w:p w14:paraId="68631734" w14:textId="77777777" w:rsidR="00296471" w:rsidRPr="0019444B" w:rsidRDefault="00296471" w:rsidP="00CA022C">
      <w:pPr>
        <w:pStyle w:val="ListParagraph"/>
      </w:pPr>
      <w:r w:rsidRPr="0019444B">
        <w:t>Backwards stepwise selection was used with a p-value threshold of 0.2 to remove variables without a statistically significant treatment interaction.</w:t>
      </w:r>
    </w:p>
    <w:p w14:paraId="3C7E0D5E" w14:textId="53339FD4" w:rsidR="00296471" w:rsidRPr="0019444B" w:rsidRDefault="00296471" w:rsidP="00CA022C">
      <w:pPr>
        <w:pStyle w:val="ListParagraph"/>
      </w:pPr>
      <w:r w:rsidRPr="0019444B">
        <w:t>Significant effect modifiers identified for ACA</w:t>
      </w:r>
      <w:r w:rsidR="00A45ED6" w:rsidRPr="0019444B">
        <w:rPr>
          <w:rFonts w:cs="Calibri"/>
        </w:rPr>
        <w:t>+/-</w:t>
      </w:r>
      <w:r w:rsidRPr="0019444B">
        <w:t>OBIN remained in the analysis.</w:t>
      </w:r>
    </w:p>
    <w:p w14:paraId="20033DF1" w14:textId="4483D2E5" w:rsidR="00296471" w:rsidRPr="0019444B" w:rsidRDefault="00296471" w:rsidP="00BB1C6D">
      <w:pPr>
        <w:pStyle w:val="3-BodyText"/>
        <w:numPr>
          <w:ilvl w:val="1"/>
          <w:numId w:val="1"/>
        </w:numPr>
        <w:ind w:left="709" w:hanging="709"/>
        <w:rPr>
          <w:iCs/>
        </w:rPr>
      </w:pPr>
      <w:r w:rsidRPr="0019444B">
        <w:rPr>
          <w:iCs/>
        </w:rPr>
        <w:t>Given that the resubmission did not present</w:t>
      </w:r>
      <w:r w:rsidR="009B42E4" w:rsidRPr="0019444B">
        <w:rPr>
          <w:iCs/>
        </w:rPr>
        <w:t xml:space="preserve"> patient</w:t>
      </w:r>
      <w:r w:rsidRPr="0019444B">
        <w:rPr>
          <w:iCs/>
        </w:rPr>
        <w:t xml:space="preserve"> characteristics before and after matching, it </w:t>
      </w:r>
      <w:r w:rsidR="009B42E4" w:rsidRPr="0019444B">
        <w:rPr>
          <w:iCs/>
        </w:rPr>
        <w:t>wa</w:t>
      </w:r>
      <w:r w:rsidRPr="0019444B">
        <w:rPr>
          <w:iCs/>
        </w:rPr>
        <w:t xml:space="preserve">s not possible to analyse the adequateness of this matching and </w:t>
      </w:r>
      <w:r w:rsidR="009B42E4" w:rsidRPr="0019444B">
        <w:rPr>
          <w:iCs/>
        </w:rPr>
        <w:t>whether</w:t>
      </w:r>
      <w:r w:rsidRPr="0019444B">
        <w:rPr>
          <w:iCs/>
        </w:rPr>
        <w:t xml:space="preserve"> the effect modifiers </w:t>
      </w:r>
      <w:r w:rsidR="00081C1F" w:rsidRPr="0019444B">
        <w:rPr>
          <w:iCs/>
        </w:rPr>
        <w:t>selected for inclusion</w:t>
      </w:r>
      <w:r w:rsidRPr="0019444B">
        <w:rPr>
          <w:iCs/>
        </w:rPr>
        <w:t xml:space="preserve"> in the MAIC were </w:t>
      </w:r>
      <w:bookmarkStart w:id="29" w:name="_Hlk132280901"/>
      <w:r w:rsidRPr="0019444B">
        <w:rPr>
          <w:iCs/>
        </w:rPr>
        <w:t>appropriat</w:t>
      </w:r>
      <w:bookmarkEnd w:id="29"/>
      <w:r w:rsidRPr="0019444B">
        <w:rPr>
          <w:iCs/>
        </w:rPr>
        <w:t>e.</w:t>
      </w:r>
    </w:p>
    <w:p w14:paraId="3423ADCD" w14:textId="4CCBCD7D" w:rsidR="00296471" w:rsidRPr="0019444B" w:rsidRDefault="00A1411D" w:rsidP="00BB1C6D">
      <w:pPr>
        <w:pStyle w:val="3-BodyText"/>
        <w:numPr>
          <w:ilvl w:val="1"/>
          <w:numId w:val="1"/>
        </w:numPr>
        <w:ind w:left="709" w:hanging="709"/>
        <w:rPr>
          <w:iCs/>
        </w:rPr>
      </w:pPr>
      <w:r w:rsidRPr="0019444B">
        <w:rPr>
          <w:iCs/>
        </w:rPr>
        <w:t>T</w:t>
      </w:r>
      <w:r w:rsidR="00296471" w:rsidRPr="0019444B">
        <w:rPr>
          <w:iCs/>
        </w:rPr>
        <w:t xml:space="preserve">he resubmission did not address the request made by the PBAC </w:t>
      </w:r>
      <w:r w:rsidR="00492DD4" w:rsidRPr="0019444B">
        <w:rPr>
          <w:iCs/>
        </w:rPr>
        <w:t xml:space="preserve">that </w:t>
      </w:r>
      <w:r w:rsidR="00296471" w:rsidRPr="0019444B">
        <w:rPr>
          <w:iCs/>
        </w:rPr>
        <w:t>the MAIC should adjust for all effect modifiers and prognostic variables to reliably predict outcomes.</w:t>
      </w:r>
      <w:r w:rsidR="00FB151A" w:rsidRPr="0019444B">
        <w:rPr>
          <w:iCs/>
        </w:rPr>
        <w:t xml:space="preserve"> The P</w:t>
      </w:r>
      <w:r w:rsidR="004E3AF5">
        <w:rPr>
          <w:iCs/>
        </w:rPr>
        <w:t>re-</w:t>
      </w:r>
      <w:r w:rsidR="00FB151A" w:rsidRPr="0019444B">
        <w:rPr>
          <w:iCs/>
        </w:rPr>
        <w:t>S</w:t>
      </w:r>
      <w:r w:rsidR="004E3AF5">
        <w:rPr>
          <w:iCs/>
        </w:rPr>
        <w:t>ub-</w:t>
      </w:r>
      <w:r w:rsidR="00FB151A" w:rsidRPr="0019444B">
        <w:rPr>
          <w:iCs/>
        </w:rPr>
        <w:t>C</w:t>
      </w:r>
      <w:r w:rsidR="004E3AF5">
        <w:rPr>
          <w:iCs/>
        </w:rPr>
        <w:t xml:space="preserve">ommittee </w:t>
      </w:r>
      <w:r w:rsidR="00FB151A" w:rsidRPr="0019444B">
        <w:rPr>
          <w:iCs/>
        </w:rPr>
        <w:t>R</w:t>
      </w:r>
      <w:r w:rsidR="004E3AF5">
        <w:rPr>
          <w:iCs/>
        </w:rPr>
        <w:t>esponse (PSCR)</w:t>
      </w:r>
      <w:r w:rsidR="00FB151A" w:rsidRPr="0019444B">
        <w:rPr>
          <w:iCs/>
        </w:rPr>
        <w:t xml:space="preserve"> stated only significant treatment effect modifiers identified for ACA+/-OBIN remained in the updated MAIC analyses to maintain a robust sample size and considered the variables that did not meet the p-value threshold of 0.2 (age </w:t>
      </w:r>
      <w:r w:rsidR="00FB151A" w:rsidRPr="0019444B">
        <w:rPr>
          <w:rFonts w:cstheme="minorHAnsi"/>
          <w:iCs/>
        </w:rPr>
        <w:t>≥</w:t>
      </w:r>
      <w:r w:rsidR="004E3AF5">
        <w:rPr>
          <w:rFonts w:cstheme="minorHAnsi"/>
          <w:iCs/>
        </w:rPr>
        <w:t> </w:t>
      </w:r>
      <w:r w:rsidR="00FB151A" w:rsidRPr="0019444B">
        <w:rPr>
          <w:iCs/>
        </w:rPr>
        <w:t>65 years, sex, Del 17p, complex karyotype and CIRS&gt;6) were not likely to be treatment effect modifiers. The PSCR considered that matching for these additional variables would not be expected to significantly change the conclusion of the MAIC.</w:t>
      </w:r>
    </w:p>
    <w:p w14:paraId="57CF5728" w14:textId="0DEE1D7B" w:rsidR="00296471" w:rsidRPr="0019444B" w:rsidRDefault="00296471" w:rsidP="00BB1C6D">
      <w:pPr>
        <w:pStyle w:val="3-BodyText"/>
        <w:numPr>
          <w:ilvl w:val="1"/>
          <w:numId w:val="1"/>
        </w:numPr>
        <w:ind w:left="709" w:hanging="709"/>
      </w:pPr>
      <w:r w:rsidRPr="0019444B">
        <w:t xml:space="preserve">The </w:t>
      </w:r>
      <w:r w:rsidR="00875009" w:rsidRPr="0019444B">
        <w:t xml:space="preserve">treatment </w:t>
      </w:r>
      <w:r w:rsidRPr="0019444B">
        <w:t xml:space="preserve">effect modifier variables identified using the Cox </w:t>
      </w:r>
      <w:r w:rsidR="00F17B41" w:rsidRPr="0019444B">
        <w:t>model</w:t>
      </w:r>
      <w:r w:rsidR="00617F2B" w:rsidRPr="0019444B">
        <w:t>,</w:t>
      </w:r>
      <w:r w:rsidRPr="0019444B">
        <w:t xml:space="preserve"> </w:t>
      </w:r>
      <w:r w:rsidR="00617F2B" w:rsidRPr="0019444B">
        <w:t>which</w:t>
      </w:r>
      <w:r w:rsidR="00FB21A2" w:rsidRPr="0019444B">
        <w:t xml:space="preserve"> </w:t>
      </w:r>
      <w:r w:rsidRPr="0019444B">
        <w:t>remained in the analysis and</w:t>
      </w:r>
      <w:r w:rsidR="00FB21A2" w:rsidRPr="0019444B">
        <w:t xml:space="preserve"> </w:t>
      </w:r>
      <w:r w:rsidR="005D4212" w:rsidRPr="0019444B">
        <w:t xml:space="preserve">that </w:t>
      </w:r>
      <w:r w:rsidR="00FB21A2" w:rsidRPr="0019444B">
        <w:t>were</w:t>
      </w:r>
      <w:r w:rsidRPr="0019444B">
        <w:t xml:space="preserve"> included in the MAIC</w:t>
      </w:r>
      <w:r w:rsidR="00617F2B" w:rsidRPr="0019444B">
        <w:t xml:space="preserve">, </w:t>
      </w:r>
      <w:r w:rsidRPr="0019444B">
        <w:t xml:space="preserve">are presented in </w:t>
      </w:r>
      <w:r w:rsidR="00C61BAC" w:rsidRPr="0019444B">
        <w:t>Table</w:t>
      </w:r>
      <w:r w:rsidR="004E3AF5">
        <w:rPr>
          <w:rFonts w:cstheme="minorHAnsi"/>
          <w:iCs/>
        </w:rPr>
        <w:t> </w:t>
      </w:r>
      <w:r w:rsidR="00C61BAC" w:rsidRPr="0019444B">
        <w:t>5</w:t>
      </w:r>
      <w:r w:rsidRPr="0019444B">
        <w:t>.</w:t>
      </w:r>
    </w:p>
    <w:p w14:paraId="794F83E6" w14:textId="5683DFFD" w:rsidR="00296471" w:rsidRPr="0019444B" w:rsidRDefault="00B725AB" w:rsidP="00B725AB">
      <w:pPr>
        <w:pStyle w:val="Caption"/>
        <w:jc w:val="left"/>
      </w:pPr>
      <w:bookmarkStart w:id="30" w:name="_Ref132529402"/>
      <w:bookmarkStart w:id="31" w:name="_Ref137417641"/>
      <w:r w:rsidRPr="0019444B">
        <w:t xml:space="preserve">Table </w:t>
      </w:r>
      <w:bookmarkEnd w:id="30"/>
      <w:r w:rsidR="00D13D0B" w:rsidRPr="00EB0E37">
        <w:fldChar w:fldCharType="begin" w:fldLock="1"/>
      </w:r>
      <w:r w:rsidR="00D13D0B" w:rsidRPr="0019444B">
        <w:instrText xml:space="preserve"> SEQ Table \* ARABIC </w:instrText>
      </w:r>
      <w:r w:rsidR="00D13D0B" w:rsidRPr="00EB0E37">
        <w:fldChar w:fldCharType="separate"/>
      </w:r>
      <w:r w:rsidR="007C39B4" w:rsidRPr="00EB0E37">
        <w:t>5</w:t>
      </w:r>
      <w:r w:rsidR="00D13D0B" w:rsidRPr="00EB0E37">
        <w:fldChar w:fldCharType="end"/>
      </w:r>
      <w:bookmarkEnd w:id="31"/>
      <w:r w:rsidR="00296471" w:rsidRPr="0019444B">
        <w:t>: Treatment effect modifiers</w:t>
      </w:r>
      <w:r w:rsidR="00750003" w:rsidRPr="0019444B">
        <w:t xml:space="preserve"> - </w:t>
      </w:r>
      <w:r w:rsidR="00296471" w:rsidRPr="0019444B">
        <w:t xml:space="preserve">Cox </w:t>
      </w:r>
      <w:r w:rsidR="00F17B41" w:rsidRPr="0019444B">
        <w:t>model</w:t>
      </w:r>
    </w:p>
    <w:tbl>
      <w:tblPr>
        <w:tblStyle w:val="TableGridLight"/>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134"/>
        <w:gridCol w:w="993"/>
        <w:gridCol w:w="7087"/>
      </w:tblGrid>
      <w:tr w:rsidR="00296471" w:rsidRPr="0019444B" w14:paraId="648F1795" w14:textId="77777777" w:rsidTr="00141BCC">
        <w:trPr>
          <w:trHeight w:val="348"/>
        </w:trPr>
        <w:tc>
          <w:tcPr>
            <w:tcW w:w="1134" w:type="dxa"/>
            <w:vAlign w:val="center"/>
            <w:hideMark/>
          </w:tcPr>
          <w:p w14:paraId="7A840264" w14:textId="77777777" w:rsidR="00296471" w:rsidRPr="0019444B" w:rsidRDefault="00296471" w:rsidP="001A2D0C">
            <w:pPr>
              <w:keepNext/>
              <w:jc w:val="left"/>
              <w:rPr>
                <w:rFonts w:ascii="Arial Narrow" w:hAnsi="Arial Narrow"/>
                <w:b/>
                <w:bCs/>
                <w:color w:val="000000" w:themeColor="text1"/>
                <w:sz w:val="20"/>
                <w:szCs w:val="20"/>
              </w:rPr>
            </w:pPr>
            <w:r w:rsidRPr="0019444B">
              <w:rPr>
                <w:rFonts w:ascii="Arial Narrow" w:hAnsi="Arial Narrow"/>
                <w:b/>
                <w:bCs/>
                <w:color w:val="000000" w:themeColor="text1"/>
                <w:sz w:val="20"/>
                <w:szCs w:val="20"/>
              </w:rPr>
              <w:t>Treatment</w:t>
            </w:r>
          </w:p>
        </w:tc>
        <w:tc>
          <w:tcPr>
            <w:tcW w:w="993" w:type="dxa"/>
            <w:vAlign w:val="center"/>
            <w:hideMark/>
          </w:tcPr>
          <w:p w14:paraId="355CAFA3" w14:textId="77777777" w:rsidR="00296471" w:rsidRPr="0019444B" w:rsidRDefault="00296471" w:rsidP="001A2D0C">
            <w:pPr>
              <w:keepNext/>
              <w:jc w:val="left"/>
              <w:rPr>
                <w:rFonts w:ascii="Arial Narrow" w:hAnsi="Arial Narrow"/>
                <w:b/>
                <w:bCs/>
                <w:color w:val="000000" w:themeColor="text1"/>
                <w:sz w:val="20"/>
                <w:szCs w:val="20"/>
              </w:rPr>
            </w:pPr>
            <w:r w:rsidRPr="0019444B">
              <w:rPr>
                <w:rFonts w:ascii="Arial Narrow" w:hAnsi="Arial Narrow"/>
                <w:b/>
                <w:bCs/>
                <w:color w:val="000000" w:themeColor="text1"/>
                <w:sz w:val="20"/>
                <w:szCs w:val="20"/>
              </w:rPr>
              <w:t>Endpoint</w:t>
            </w:r>
          </w:p>
        </w:tc>
        <w:tc>
          <w:tcPr>
            <w:tcW w:w="7087" w:type="dxa"/>
            <w:vAlign w:val="center"/>
            <w:hideMark/>
          </w:tcPr>
          <w:p w14:paraId="3FCADD0D" w14:textId="77777777" w:rsidR="00296471" w:rsidRPr="0019444B" w:rsidRDefault="00296471" w:rsidP="001A2D0C">
            <w:pPr>
              <w:keepNext/>
              <w:jc w:val="left"/>
              <w:rPr>
                <w:rFonts w:ascii="Arial Narrow" w:hAnsi="Arial Narrow"/>
                <w:b/>
                <w:bCs/>
                <w:color w:val="000000" w:themeColor="text1"/>
                <w:sz w:val="20"/>
                <w:szCs w:val="20"/>
              </w:rPr>
            </w:pPr>
            <w:r w:rsidRPr="0019444B">
              <w:rPr>
                <w:rFonts w:ascii="Arial Narrow" w:hAnsi="Arial Narrow"/>
                <w:b/>
                <w:bCs/>
                <w:color w:val="000000" w:themeColor="text1"/>
                <w:sz w:val="20"/>
                <w:szCs w:val="20"/>
              </w:rPr>
              <w:t>Significant effect modifiers </w:t>
            </w:r>
          </w:p>
        </w:tc>
      </w:tr>
      <w:tr w:rsidR="00296471" w:rsidRPr="0019444B" w14:paraId="77C8904C" w14:textId="77777777" w:rsidTr="00141BCC">
        <w:tc>
          <w:tcPr>
            <w:tcW w:w="1134" w:type="dxa"/>
            <w:vAlign w:val="center"/>
            <w:hideMark/>
          </w:tcPr>
          <w:p w14:paraId="6088A37E" w14:textId="77777777" w:rsidR="00296471" w:rsidRPr="0019444B" w:rsidRDefault="00296471" w:rsidP="001A2D0C">
            <w:pPr>
              <w:keepNext/>
              <w:jc w:val="left"/>
              <w:rPr>
                <w:rFonts w:ascii="Arial Narrow" w:hAnsi="Arial Narrow"/>
                <w:color w:val="000000" w:themeColor="text1"/>
                <w:sz w:val="20"/>
                <w:szCs w:val="20"/>
              </w:rPr>
            </w:pPr>
            <w:r w:rsidRPr="0019444B">
              <w:rPr>
                <w:rFonts w:ascii="Arial Narrow" w:hAnsi="Arial Narrow"/>
                <w:color w:val="000000" w:themeColor="text1"/>
                <w:sz w:val="20"/>
                <w:szCs w:val="20"/>
              </w:rPr>
              <w:t>ACA+OBIN</w:t>
            </w:r>
          </w:p>
        </w:tc>
        <w:tc>
          <w:tcPr>
            <w:tcW w:w="993" w:type="dxa"/>
            <w:vAlign w:val="center"/>
            <w:hideMark/>
          </w:tcPr>
          <w:p w14:paraId="74F4F5FB" w14:textId="77777777" w:rsidR="00296471" w:rsidRPr="0019444B" w:rsidRDefault="00296471" w:rsidP="001A2D0C">
            <w:pPr>
              <w:keepNext/>
              <w:jc w:val="left"/>
              <w:rPr>
                <w:rFonts w:ascii="Arial Narrow" w:hAnsi="Arial Narrow"/>
                <w:color w:val="000000" w:themeColor="text1"/>
                <w:sz w:val="20"/>
                <w:szCs w:val="20"/>
              </w:rPr>
            </w:pPr>
            <w:r w:rsidRPr="0019444B">
              <w:rPr>
                <w:rFonts w:ascii="Arial Narrow" w:hAnsi="Arial Narrow"/>
                <w:color w:val="000000" w:themeColor="text1"/>
                <w:sz w:val="20"/>
                <w:szCs w:val="20"/>
              </w:rPr>
              <w:t>OS</w:t>
            </w:r>
          </w:p>
        </w:tc>
        <w:tc>
          <w:tcPr>
            <w:tcW w:w="7087" w:type="dxa"/>
            <w:vAlign w:val="center"/>
            <w:hideMark/>
          </w:tcPr>
          <w:p w14:paraId="748D9CE2" w14:textId="77777777" w:rsidR="00296471" w:rsidRPr="0019444B" w:rsidRDefault="00296471" w:rsidP="001A2D0C">
            <w:pPr>
              <w:keepNext/>
              <w:jc w:val="left"/>
              <w:rPr>
                <w:rFonts w:ascii="Arial Narrow" w:hAnsi="Arial Narrow"/>
                <w:color w:val="000000" w:themeColor="text1"/>
                <w:sz w:val="20"/>
                <w:szCs w:val="20"/>
              </w:rPr>
            </w:pPr>
            <w:r w:rsidRPr="0019444B">
              <w:rPr>
                <w:rFonts w:ascii="Arial Narrow" w:hAnsi="Arial Narrow"/>
                <w:color w:val="000000" w:themeColor="text1"/>
                <w:sz w:val="20"/>
                <w:szCs w:val="20"/>
              </w:rPr>
              <w:t>B2 ≤ 3.5 mg/L, IPI risk ≥ high, Rai stage 3 or 4, TP53 deleted or mutated</w:t>
            </w:r>
          </w:p>
        </w:tc>
      </w:tr>
      <w:tr w:rsidR="00296471" w:rsidRPr="0019444B" w14:paraId="5F48A1FD" w14:textId="77777777" w:rsidTr="00141BCC">
        <w:tc>
          <w:tcPr>
            <w:tcW w:w="1134" w:type="dxa"/>
            <w:vAlign w:val="center"/>
            <w:hideMark/>
          </w:tcPr>
          <w:p w14:paraId="645499BC" w14:textId="77777777" w:rsidR="00296471" w:rsidRPr="0019444B" w:rsidRDefault="00296471" w:rsidP="001A2D0C">
            <w:pPr>
              <w:keepNext/>
              <w:jc w:val="left"/>
              <w:rPr>
                <w:rFonts w:ascii="Arial Narrow" w:hAnsi="Arial Narrow"/>
                <w:color w:val="000000" w:themeColor="text1"/>
                <w:sz w:val="20"/>
                <w:szCs w:val="20"/>
              </w:rPr>
            </w:pPr>
            <w:r w:rsidRPr="0019444B">
              <w:rPr>
                <w:rFonts w:ascii="Arial Narrow" w:hAnsi="Arial Narrow"/>
                <w:color w:val="000000" w:themeColor="text1"/>
                <w:sz w:val="20"/>
                <w:szCs w:val="20"/>
              </w:rPr>
              <w:t>ACA+OBIN</w:t>
            </w:r>
          </w:p>
        </w:tc>
        <w:tc>
          <w:tcPr>
            <w:tcW w:w="993" w:type="dxa"/>
            <w:vAlign w:val="center"/>
            <w:hideMark/>
          </w:tcPr>
          <w:p w14:paraId="1C9AB151" w14:textId="77777777" w:rsidR="00296471" w:rsidRPr="0019444B" w:rsidRDefault="00296471" w:rsidP="001A2D0C">
            <w:pPr>
              <w:keepNext/>
              <w:jc w:val="left"/>
              <w:rPr>
                <w:rFonts w:ascii="Arial Narrow" w:hAnsi="Arial Narrow"/>
                <w:color w:val="000000" w:themeColor="text1"/>
                <w:sz w:val="20"/>
                <w:szCs w:val="20"/>
              </w:rPr>
            </w:pPr>
            <w:r w:rsidRPr="0019444B">
              <w:rPr>
                <w:rFonts w:ascii="Arial Narrow" w:hAnsi="Arial Narrow"/>
                <w:color w:val="000000" w:themeColor="text1"/>
                <w:sz w:val="20"/>
                <w:szCs w:val="20"/>
              </w:rPr>
              <w:t>PFS</w:t>
            </w:r>
          </w:p>
        </w:tc>
        <w:tc>
          <w:tcPr>
            <w:tcW w:w="7087" w:type="dxa"/>
            <w:vAlign w:val="center"/>
            <w:hideMark/>
          </w:tcPr>
          <w:p w14:paraId="7591391A" w14:textId="04978BC4" w:rsidR="00296471" w:rsidRPr="0019444B" w:rsidRDefault="00296471" w:rsidP="001A2D0C">
            <w:pPr>
              <w:keepNext/>
              <w:jc w:val="left"/>
              <w:rPr>
                <w:rFonts w:ascii="Arial Narrow" w:hAnsi="Arial Narrow"/>
                <w:color w:val="000000" w:themeColor="text1"/>
                <w:sz w:val="20"/>
                <w:szCs w:val="20"/>
              </w:rPr>
            </w:pPr>
            <w:r w:rsidRPr="0019444B">
              <w:rPr>
                <w:rFonts w:ascii="Arial Narrow" w:hAnsi="Arial Narrow"/>
                <w:color w:val="000000" w:themeColor="text1"/>
                <w:sz w:val="20"/>
                <w:szCs w:val="20"/>
              </w:rPr>
              <w:t xml:space="preserve">Age, B2 ≤ 3.5 mg/L, </w:t>
            </w:r>
            <w:r w:rsidR="00975F57" w:rsidRPr="0019444B">
              <w:rPr>
                <w:rFonts w:ascii="Arial Narrow" w:hAnsi="Arial Narrow"/>
                <w:color w:val="000000" w:themeColor="text1"/>
                <w:sz w:val="20"/>
                <w:szCs w:val="20"/>
              </w:rPr>
              <w:t>c</w:t>
            </w:r>
            <w:r w:rsidRPr="0019444B">
              <w:rPr>
                <w:rFonts w:ascii="Arial Narrow" w:hAnsi="Arial Narrow"/>
                <w:color w:val="000000" w:themeColor="text1"/>
                <w:sz w:val="20"/>
                <w:szCs w:val="20"/>
              </w:rPr>
              <w:t xml:space="preserve">reatinine </w:t>
            </w:r>
            <w:r w:rsidR="00CF2655" w:rsidRPr="0019444B">
              <w:rPr>
                <w:rFonts w:ascii="Arial Narrow" w:hAnsi="Arial Narrow"/>
                <w:color w:val="000000" w:themeColor="text1"/>
                <w:sz w:val="20"/>
                <w:szCs w:val="20"/>
              </w:rPr>
              <w:t>clearance</w:t>
            </w:r>
            <w:r w:rsidRPr="0019444B">
              <w:rPr>
                <w:rFonts w:ascii="Arial Narrow" w:hAnsi="Arial Narrow"/>
                <w:color w:val="000000" w:themeColor="text1"/>
                <w:sz w:val="20"/>
                <w:szCs w:val="20"/>
              </w:rPr>
              <w:t xml:space="preserve"> &lt; 70 mL/min, IGHV unmutated, Rai stage 3 or 4</w:t>
            </w:r>
          </w:p>
        </w:tc>
      </w:tr>
      <w:tr w:rsidR="00296471" w:rsidRPr="0019444B" w14:paraId="65722816" w14:textId="77777777" w:rsidTr="00141BCC">
        <w:tc>
          <w:tcPr>
            <w:tcW w:w="1134" w:type="dxa"/>
            <w:vAlign w:val="center"/>
            <w:hideMark/>
          </w:tcPr>
          <w:p w14:paraId="007B5762" w14:textId="77777777" w:rsidR="00296471" w:rsidRPr="0019444B" w:rsidRDefault="00296471" w:rsidP="001A2D0C">
            <w:pPr>
              <w:keepNext/>
              <w:jc w:val="left"/>
              <w:rPr>
                <w:rFonts w:ascii="Arial Narrow" w:hAnsi="Arial Narrow"/>
                <w:color w:val="000000" w:themeColor="text1"/>
                <w:sz w:val="20"/>
                <w:szCs w:val="20"/>
              </w:rPr>
            </w:pPr>
            <w:r w:rsidRPr="0019444B">
              <w:rPr>
                <w:rFonts w:ascii="Arial Narrow" w:hAnsi="Arial Narrow"/>
                <w:color w:val="000000" w:themeColor="text1"/>
                <w:sz w:val="20"/>
                <w:szCs w:val="20"/>
              </w:rPr>
              <w:t>ACA+OBIN</w:t>
            </w:r>
          </w:p>
        </w:tc>
        <w:tc>
          <w:tcPr>
            <w:tcW w:w="993" w:type="dxa"/>
            <w:vAlign w:val="center"/>
            <w:hideMark/>
          </w:tcPr>
          <w:p w14:paraId="16D3F05E" w14:textId="77777777" w:rsidR="00296471" w:rsidRPr="0019444B" w:rsidRDefault="00296471" w:rsidP="001A2D0C">
            <w:pPr>
              <w:keepNext/>
              <w:jc w:val="left"/>
              <w:rPr>
                <w:rFonts w:ascii="Arial Narrow" w:hAnsi="Arial Narrow"/>
                <w:color w:val="000000" w:themeColor="text1"/>
                <w:sz w:val="20"/>
                <w:szCs w:val="20"/>
              </w:rPr>
            </w:pPr>
            <w:r w:rsidRPr="0019444B">
              <w:rPr>
                <w:rFonts w:ascii="Arial Narrow" w:hAnsi="Arial Narrow"/>
                <w:color w:val="000000" w:themeColor="text1"/>
                <w:sz w:val="20"/>
                <w:szCs w:val="20"/>
              </w:rPr>
              <w:t>TTNT</w:t>
            </w:r>
          </w:p>
        </w:tc>
        <w:tc>
          <w:tcPr>
            <w:tcW w:w="7087" w:type="dxa"/>
            <w:vAlign w:val="center"/>
            <w:hideMark/>
          </w:tcPr>
          <w:p w14:paraId="5BB90E9B" w14:textId="284C153D" w:rsidR="00296471" w:rsidRPr="0019444B" w:rsidRDefault="00296471" w:rsidP="001A2D0C">
            <w:pPr>
              <w:keepNext/>
              <w:jc w:val="left"/>
              <w:rPr>
                <w:rFonts w:ascii="Arial Narrow" w:hAnsi="Arial Narrow"/>
                <w:color w:val="000000" w:themeColor="text1"/>
                <w:sz w:val="20"/>
                <w:szCs w:val="20"/>
              </w:rPr>
            </w:pPr>
            <w:r w:rsidRPr="0019444B">
              <w:rPr>
                <w:rFonts w:ascii="Arial Narrow" w:hAnsi="Arial Narrow"/>
                <w:color w:val="000000" w:themeColor="text1"/>
                <w:sz w:val="20"/>
                <w:szCs w:val="20"/>
              </w:rPr>
              <w:t xml:space="preserve">Age, </w:t>
            </w:r>
            <w:r w:rsidR="00975F57" w:rsidRPr="0019444B">
              <w:rPr>
                <w:rFonts w:ascii="Arial Narrow" w:hAnsi="Arial Narrow"/>
                <w:color w:val="000000" w:themeColor="text1"/>
                <w:sz w:val="20"/>
                <w:szCs w:val="20"/>
              </w:rPr>
              <w:t>c</w:t>
            </w:r>
            <w:r w:rsidRPr="0019444B">
              <w:rPr>
                <w:rFonts w:ascii="Arial Narrow" w:hAnsi="Arial Narrow"/>
                <w:color w:val="000000" w:themeColor="text1"/>
                <w:sz w:val="20"/>
                <w:szCs w:val="20"/>
              </w:rPr>
              <w:t xml:space="preserve">reatinine </w:t>
            </w:r>
            <w:r w:rsidR="00975F57" w:rsidRPr="0019444B">
              <w:rPr>
                <w:rFonts w:ascii="Arial Narrow" w:hAnsi="Arial Narrow"/>
                <w:color w:val="000000" w:themeColor="text1"/>
                <w:sz w:val="20"/>
                <w:szCs w:val="20"/>
              </w:rPr>
              <w:t>c</w:t>
            </w:r>
            <w:r w:rsidRPr="0019444B">
              <w:rPr>
                <w:rFonts w:ascii="Arial Narrow" w:hAnsi="Arial Narrow"/>
                <w:color w:val="000000" w:themeColor="text1"/>
                <w:sz w:val="20"/>
                <w:szCs w:val="20"/>
              </w:rPr>
              <w:t xml:space="preserve">learance &lt; 70 mL/min, </w:t>
            </w:r>
            <w:r w:rsidR="00975F57" w:rsidRPr="0019444B">
              <w:rPr>
                <w:rFonts w:ascii="Arial Narrow" w:hAnsi="Arial Narrow"/>
                <w:color w:val="000000" w:themeColor="text1"/>
                <w:sz w:val="20"/>
                <w:szCs w:val="20"/>
              </w:rPr>
              <w:t>d</w:t>
            </w:r>
            <w:r w:rsidRPr="0019444B">
              <w:rPr>
                <w:rFonts w:ascii="Arial Narrow" w:hAnsi="Arial Narrow"/>
                <w:color w:val="000000" w:themeColor="text1"/>
                <w:sz w:val="20"/>
                <w:szCs w:val="20"/>
              </w:rPr>
              <w:t>eletion in 11q, IGHV unmutated, Rai stage 3 or 4</w:t>
            </w:r>
          </w:p>
        </w:tc>
      </w:tr>
      <w:tr w:rsidR="00296471" w:rsidRPr="0019444B" w14:paraId="5150B6F9" w14:textId="77777777" w:rsidTr="00141BCC">
        <w:tc>
          <w:tcPr>
            <w:tcW w:w="1134" w:type="dxa"/>
            <w:vAlign w:val="center"/>
            <w:hideMark/>
          </w:tcPr>
          <w:p w14:paraId="6778B8FE" w14:textId="77777777" w:rsidR="00296471" w:rsidRPr="0019444B" w:rsidRDefault="00296471" w:rsidP="001A2D0C">
            <w:pPr>
              <w:keepNext/>
              <w:jc w:val="left"/>
              <w:rPr>
                <w:rFonts w:ascii="Arial Narrow" w:hAnsi="Arial Narrow"/>
                <w:color w:val="000000" w:themeColor="text1"/>
                <w:sz w:val="20"/>
                <w:szCs w:val="20"/>
              </w:rPr>
            </w:pPr>
            <w:r w:rsidRPr="0019444B">
              <w:rPr>
                <w:rFonts w:ascii="Arial Narrow" w:hAnsi="Arial Narrow"/>
                <w:color w:val="000000" w:themeColor="text1"/>
                <w:sz w:val="20"/>
                <w:szCs w:val="20"/>
              </w:rPr>
              <w:t>ACA mono</w:t>
            </w:r>
          </w:p>
        </w:tc>
        <w:tc>
          <w:tcPr>
            <w:tcW w:w="993" w:type="dxa"/>
            <w:vAlign w:val="center"/>
            <w:hideMark/>
          </w:tcPr>
          <w:p w14:paraId="1D5DE2C9" w14:textId="77777777" w:rsidR="00296471" w:rsidRPr="0019444B" w:rsidRDefault="00296471" w:rsidP="001A2D0C">
            <w:pPr>
              <w:keepNext/>
              <w:jc w:val="left"/>
              <w:rPr>
                <w:rFonts w:ascii="Arial Narrow" w:hAnsi="Arial Narrow"/>
                <w:color w:val="000000" w:themeColor="text1"/>
                <w:sz w:val="20"/>
                <w:szCs w:val="20"/>
              </w:rPr>
            </w:pPr>
            <w:r w:rsidRPr="0019444B">
              <w:rPr>
                <w:rFonts w:ascii="Arial Narrow" w:hAnsi="Arial Narrow"/>
                <w:color w:val="000000" w:themeColor="text1"/>
                <w:sz w:val="20"/>
                <w:szCs w:val="20"/>
              </w:rPr>
              <w:t>OS</w:t>
            </w:r>
          </w:p>
        </w:tc>
        <w:tc>
          <w:tcPr>
            <w:tcW w:w="7087" w:type="dxa"/>
            <w:vAlign w:val="center"/>
            <w:hideMark/>
          </w:tcPr>
          <w:p w14:paraId="35D1EBD2" w14:textId="77777777" w:rsidR="00296471" w:rsidRPr="0019444B" w:rsidRDefault="00296471" w:rsidP="001A2D0C">
            <w:pPr>
              <w:keepNext/>
              <w:jc w:val="left"/>
              <w:rPr>
                <w:rFonts w:ascii="Arial Narrow" w:hAnsi="Arial Narrow"/>
                <w:color w:val="000000" w:themeColor="text1"/>
                <w:sz w:val="20"/>
                <w:szCs w:val="20"/>
              </w:rPr>
            </w:pPr>
            <w:r w:rsidRPr="0019444B">
              <w:rPr>
                <w:rFonts w:ascii="Arial Narrow" w:hAnsi="Arial Narrow"/>
                <w:color w:val="000000" w:themeColor="text1"/>
                <w:sz w:val="20"/>
                <w:szCs w:val="20"/>
              </w:rPr>
              <w:t>Rai stage 3 or 4, TP53 deleted or mutated</w:t>
            </w:r>
          </w:p>
        </w:tc>
      </w:tr>
      <w:tr w:rsidR="00296471" w:rsidRPr="0019444B" w14:paraId="4C1AD06C" w14:textId="77777777" w:rsidTr="00141BCC">
        <w:tc>
          <w:tcPr>
            <w:tcW w:w="1134" w:type="dxa"/>
            <w:vAlign w:val="center"/>
            <w:hideMark/>
          </w:tcPr>
          <w:p w14:paraId="20884693" w14:textId="77777777" w:rsidR="00296471" w:rsidRPr="0019444B" w:rsidRDefault="00296471" w:rsidP="001A2D0C">
            <w:pPr>
              <w:keepNext/>
              <w:jc w:val="left"/>
              <w:rPr>
                <w:rFonts w:ascii="Arial Narrow" w:hAnsi="Arial Narrow"/>
                <w:color w:val="000000" w:themeColor="text1"/>
                <w:sz w:val="20"/>
                <w:szCs w:val="20"/>
              </w:rPr>
            </w:pPr>
            <w:r w:rsidRPr="0019444B">
              <w:rPr>
                <w:rFonts w:ascii="Arial Narrow" w:hAnsi="Arial Narrow"/>
                <w:color w:val="000000" w:themeColor="text1"/>
                <w:sz w:val="20"/>
                <w:szCs w:val="20"/>
              </w:rPr>
              <w:t>ACA mono</w:t>
            </w:r>
          </w:p>
        </w:tc>
        <w:tc>
          <w:tcPr>
            <w:tcW w:w="993" w:type="dxa"/>
            <w:vAlign w:val="center"/>
            <w:hideMark/>
          </w:tcPr>
          <w:p w14:paraId="27084042" w14:textId="77777777" w:rsidR="00296471" w:rsidRPr="0019444B" w:rsidRDefault="00296471" w:rsidP="001A2D0C">
            <w:pPr>
              <w:keepNext/>
              <w:jc w:val="left"/>
              <w:rPr>
                <w:rFonts w:ascii="Arial Narrow" w:hAnsi="Arial Narrow"/>
                <w:color w:val="000000" w:themeColor="text1"/>
                <w:sz w:val="20"/>
                <w:szCs w:val="20"/>
              </w:rPr>
            </w:pPr>
            <w:r w:rsidRPr="0019444B">
              <w:rPr>
                <w:rFonts w:ascii="Arial Narrow" w:hAnsi="Arial Narrow"/>
                <w:color w:val="000000" w:themeColor="text1"/>
                <w:sz w:val="20"/>
                <w:szCs w:val="20"/>
              </w:rPr>
              <w:t>PFS</w:t>
            </w:r>
          </w:p>
        </w:tc>
        <w:tc>
          <w:tcPr>
            <w:tcW w:w="7087" w:type="dxa"/>
            <w:vAlign w:val="center"/>
            <w:hideMark/>
          </w:tcPr>
          <w:p w14:paraId="0295E911" w14:textId="28C9F8D2" w:rsidR="00296471" w:rsidRPr="0019444B" w:rsidRDefault="00296471" w:rsidP="001A2D0C">
            <w:pPr>
              <w:keepNext/>
              <w:jc w:val="left"/>
              <w:rPr>
                <w:rFonts w:ascii="Arial Narrow" w:hAnsi="Arial Narrow"/>
                <w:color w:val="000000" w:themeColor="text1"/>
                <w:sz w:val="20"/>
                <w:szCs w:val="20"/>
              </w:rPr>
            </w:pPr>
            <w:r w:rsidRPr="0019444B">
              <w:rPr>
                <w:rFonts w:ascii="Arial Narrow" w:hAnsi="Arial Narrow"/>
                <w:color w:val="000000" w:themeColor="text1"/>
                <w:sz w:val="20"/>
                <w:szCs w:val="20"/>
              </w:rPr>
              <w:t xml:space="preserve">Age, </w:t>
            </w:r>
            <w:r w:rsidR="00975F57" w:rsidRPr="0019444B">
              <w:rPr>
                <w:rFonts w:ascii="Arial Narrow" w:hAnsi="Arial Narrow"/>
                <w:color w:val="000000" w:themeColor="text1"/>
                <w:sz w:val="20"/>
                <w:szCs w:val="20"/>
              </w:rPr>
              <w:t>d</w:t>
            </w:r>
            <w:r w:rsidRPr="0019444B">
              <w:rPr>
                <w:rFonts w:ascii="Arial Narrow" w:hAnsi="Arial Narrow"/>
                <w:color w:val="000000" w:themeColor="text1"/>
                <w:sz w:val="20"/>
                <w:szCs w:val="20"/>
              </w:rPr>
              <w:t>eletion in 11q, IGHV unmutated, Rai stage 3 or 4, TP53 deleted or mutated</w:t>
            </w:r>
          </w:p>
        </w:tc>
      </w:tr>
      <w:tr w:rsidR="00296471" w:rsidRPr="0019444B" w14:paraId="657602EA" w14:textId="77777777" w:rsidTr="00141BCC">
        <w:tc>
          <w:tcPr>
            <w:tcW w:w="1134" w:type="dxa"/>
            <w:vAlign w:val="center"/>
            <w:hideMark/>
          </w:tcPr>
          <w:p w14:paraId="3BBA8F43" w14:textId="77777777" w:rsidR="00296471" w:rsidRPr="0019444B" w:rsidRDefault="00296471" w:rsidP="001A2D0C">
            <w:pPr>
              <w:keepNext/>
              <w:jc w:val="left"/>
              <w:rPr>
                <w:rFonts w:ascii="Arial Narrow" w:hAnsi="Arial Narrow"/>
                <w:color w:val="000000" w:themeColor="text1"/>
                <w:sz w:val="20"/>
                <w:szCs w:val="20"/>
              </w:rPr>
            </w:pPr>
            <w:r w:rsidRPr="0019444B">
              <w:rPr>
                <w:rFonts w:ascii="Arial Narrow" w:hAnsi="Arial Narrow"/>
                <w:color w:val="000000" w:themeColor="text1"/>
                <w:sz w:val="20"/>
                <w:szCs w:val="20"/>
              </w:rPr>
              <w:t>ACA mono</w:t>
            </w:r>
          </w:p>
        </w:tc>
        <w:tc>
          <w:tcPr>
            <w:tcW w:w="993" w:type="dxa"/>
            <w:vAlign w:val="center"/>
            <w:hideMark/>
          </w:tcPr>
          <w:p w14:paraId="7F16C784" w14:textId="77777777" w:rsidR="00296471" w:rsidRPr="0019444B" w:rsidRDefault="00296471" w:rsidP="001A2D0C">
            <w:pPr>
              <w:keepNext/>
              <w:jc w:val="left"/>
              <w:rPr>
                <w:rFonts w:ascii="Arial Narrow" w:hAnsi="Arial Narrow"/>
                <w:color w:val="000000" w:themeColor="text1"/>
                <w:sz w:val="20"/>
                <w:szCs w:val="20"/>
              </w:rPr>
            </w:pPr>
            <w:r w:rsidRPr="0019444B">
              <w:rPr>
                <w:rFonts w:ascii="Arial Narrow" w:hAnsi="Arial Narrow"/>
                <w:color w:val="000000" w:themeColor="text1"/>
                <w:sz w:val="20"/>
                <w:szCs w:val="20"/>
              </w:rPr>
              <w:t>TTNT</w:t>
            </w:r>
          </w:p>
        </w:tc>
        <w:tc>
          <w:tcPr>
            <w:tcW w:w="7087" w:type="dxa"/>
            <w:vAlign w:val="center"/>
            <w:hideMark/>
          </w:tcPr>
          <w:p w14:paraId="27F10C6A" w14:textId="0B709557" w:rsidR="00296471" w:rsidRPr="0019444B" w:rsidRDefault="00296471" w:rsidP="001A2D0C">
            <w:pPr>
              <w:keepNext/>
              <w:jc w:val="left"/>
              <w:rPr>
                <w:rFonts w:ascii="Arial Narrow" w:hAnsi="Arial Narrow"/>
                <w:color w:val="000000" w:themeColor="text1"/>
                <w:sz w:val="20"/>
                <w:szCs w:val="20"/>
              </w:rPr>
            </w:pPr>
            <w:r w:rsidRPr="0019444B">
              <w:rPr>
                <w:rFonts w:ascii="Arial Narrow" w:hAnsi="Arial Narrow"/>
                <w:color w:val="000000" w:themeColor="text1"/>
                <w:sz w:val="20"/>
                <w:szCs w:val="20"/>
              </w:rPr>
              <w:t xml:space="preserve">Age, </w:t>
            </w:r>
            <w:r w:rsidR="00975F57" w:rsidRPr="0019444B">
              <w:rPr>
                <w:rFonts w:ascii="Arial Narrow" w:hAnsi="Arial Narrow"/>
                <w:color w:val="000000" w:themeColor="text1"/>
                <w:sz w:val="20"/>
                <w:szCs w:val="20"/>
              </w:rPr>
              <w:t>c</w:t>
            </w:r>
            <w:r w:rsidRPr="0019444B">
              <w:rPr>
                <w:rFonts w:ascii="Arial Narrow" w:hAnsi="Arial Narrow"/>
                <w:color w:val="000000" w:themeColor="text1"/>
                <w:sz w:val="20"/>
                <w:szCs w:val="20"/>
              </w:rPr>
              <w:t xml:space="preserve">reatinine </w:t>
            </w:r>
            <w:r w:rsidR="00975F57" w:rsidRPr="0019444B">
              <w:rPr>
                <w:rFonts w:ascii="Arial Narrow" w:hAnsi="Arial Narrow"/>
                <w:color w:val="000000" w:themeColor="text1"/>
                <w:sz w:val="20"/>
                <w:szCs w:val="20"/>
              </w:rPr>
              <w:t>c</w:t>
            </w:r>
            <w:r w:rsidRPr="0019444B">
              <w:rPr>
                <w:rFonts w:ascii="Arial Narrow" w:hAnsi="Arial Narrow"/>
                <w:color w:val="000000" w:themeColor="text1"/>
                <w:sz w:val="20"/>
                <w:szCs w:val="20"/>
              </w:rPr>
              <w:t>learance &lt; 70 mL/min, IGHV unmutated, IPI</w:t>
            </w:r>
            <w:r w:rsidR="000D16EC" w:rsidRPr="0019444B">
              <w:rPr>
                <w:rFonts w:ascii="Arial Narrow" w:hAnsi="Arial Narrow"/>
                <w:color w:val="000000" w:themeColor="text1"/>
                <w:sz w:val="20"/>
                <w:szCs w:val="20"/>
              </w:rPr>
              <w:t>-</w:t>
            </w:r>
            <w:r w:rsidRPr="0019444B">
              <w:rPr>
                <w:rFonts w:ascii="Arial Narrow" w:hAnsi="Arial Narrow"/>
                <w:color w:val="000000" w:themeColor="text1"/>
                <w:sz w:val="20"/>
                <w:szCs w:val="20"/>
              </w:rPr>
              <w:t>GEHI, Rai stage 3 or 4</w:t>
            </w:r>
          </w:p>
        </w:tc>
      </w:tr>
    </w:tbl>
    <w:p w14:paraId="677301D7" w14:textId="40C591F0" w:rsidR="00296471" w:rsidRPr="0019444B" w:rsidRDefault="00296471" w:rsidP="00406FC0">
      <w:pPr>
        <w:keepNext/>
        <w:contextualSpacing/>
        <w:rPr>
          <w:rFonts w:ascii="Arial Narrow" w:hAnsi="Arial Narrow"/>
          <w:snapToGrid w:val="0"/>
          <w:sz w:val="18"/>
          <w:szCs w:val="18"/>
        </w:rPr>
      </w:pPr>
      <w:r w:rsidRPr="0019444B">
        <w:rPr>
          <w:rFonts w:ascii="Arial Narrow" w:hAnsi="Arial Narrow"/>
          <w:snapToGrid w:val="0"/>
          <w:sz w:val="18"/>
          <w:szCs w:val="18"/>
        </w:rPr>
        <w:t>Source: Table 2.86, p.1</w:t>
      </w:r>
      <w:r w:rsidR="00921B3F" w:rsidRPr="0019444B">
        <w:rPr>
          <w:rFonts w:ascii="Arial Narrow" w:hAnsi="Arial Narrow"/>
          <w:snapToGrid w:val="0"/>
          <w:sz w:val="18"/>
          <w:szCs w:val="18"/>
        </w:rPr>
        <w:t xml:space="preserve">91 </w:t>
      </w:r>
      <w:r w:rsidRPr="0019444B">
        <w:rPr>
          <w:rFonts w:ascii="Arial Narrow" w:hAnsi="Arial Narrow"/>
          <w:snapToGrid w:val="0"/>
          <w:sz w:val="18"/>
          <w:szCs w:val="18"/>
        </w:rPr>
        <w:t>of the resubmission</w:t>
      </w:r>
    </w:p>
    <w:p w14:paraId="421A85CC" w14:textId="68A46AD8" w:rsidR="00296471" w:rsidRPr="0019444B" w:rsidRDefault="00975F57" w:rsidP="00CA022C">
      <w:pPr>
        <w:keepLines/>
        <w:spacing w:after="120"/>
        <w:rPr>
          <w:rFonts w:ascii="Arial Narrow" w:hAnsi="Arial Narrow" w:cstheme="minorBidi"/>
          <w:sz w:val="18"/>
          <w:szCs w:val="18"/>
        </w:rPr>
      </w:pPr>
      <w:r w:rsidRPr="0019444B">
        <w:rPr>
          <w:rFonts w:ascii="Arial Narrow" w:hAnsi="Arial Narrow"/>
          <w:sz w:val="18"/>
          <w:szCs w:val="18"/>
        </w:rPr>
        <w:t xml:space="preserve">ACA = acalabrutinib, </w:t>
      </w:r>
      <w:r w:rsidR="0031383E" w:rsidRPr="0019444B">
        <w:rPr>
          <w:rFonts w:ascii="Arial Narrow" w:hAnsi="Arial Narrow"/>
          <w:color w:val="000000" w:themeColor="text1"/>
          <w:sz w:val="18"/>
          <w:szCs w:val="18"/>
        </w:rPr>
        <w:t>B2</w:t>
      </w:r>
      <w:r w:rsidRPr="0019444B">
        <w:rPr>
          <w:rFonts w:ascii="Arial Narrow" w:hAnsi="Arial Narrow"/>
          <w:color w:val="000000" w:themeColor="text1"/>
          <w:sz w:val="18"/>
          <w:szCs w:val="18"/>
        </w:rPr>
        <w:t xml:space="preserve"> </w:t>
      </w:r>
      <w:r w:rsidR="0031383E" w:rsidRPr="0019444B">
        <w:rPr>
          <w:rFonts w:ascii="Arial Narrow" w:hAnsi="Arial Narrow"/>
          <w:color w:val="000000" w:themeColor="text1"/>
          <w:sz w:val="18"/>
          <w:szCs w:val="18"/>
        </w:rPr>
        <w:t>= serum</w:t>
      </w:r>
      <w:r w:rsidR="007F5D94" w:rsidRPr="0019444B">
        <w:rPr>
          <w:rFonts w:ascii="Arial Narrow" w:hAnsi="Arial Narrow"/>
          <w:color w:val="000000" w:themeColor="text1"/>
          <w:sz w:val="18"/>
          <w:szCs w:val="18"/>
        </w:rPr>
        <w:t xml:space="preserve"> B2</w:t>
      </w:r>
      <w:r w:rsidR="00ED1120" w:rsidRPr="0019444B">
        <w:rPr>
          <w:rFonts w:ascii="Arial Narrow" w:hAnsi="Arial Narrow"/>
          <w:color w:val="000000" w:themeColor="text1"/>
          <w:sz w:val="18"/>
          <w:szCs w:val="18"/>
        </w:rPr>
        <w:t>, IPI</w:t>
      </w:r>
      <w:r w:rsidR="00B22C65" w:rsidRPr="0019444B">
        <w:rPr>
          <w:rFonts w:ascii="Arial Narrow" w:hAnsi="Arial Narrow"/>
          <w:color w:val="000000" w:themeColor="text1"/>
          <w:sz w:val="18"/>
          <w:szCs w:val="18"/>
        </w:rPr>
        <w:t xml:space="preserve"> risk</w:t>
      </w:r>
      <w:r w:rsidRPr="0019444B">
        <w:rPr>
          <w:rFonts w:ascii="Arial Narrow" w:hAnsi="Arial Narrow"/>
          <w:color w:val="000000" w:themeColor="text1"/>
          <w:sz w:val="18"/>
          <w:szCs w:val="18"/>
        </w:rPr>
        <w:t xml:space="preserve"> </w:t>
      </w:r>
      <w:r w:rsidR="00B22C65" w:rsidRPr="0019444B">
        <w:rPr>
          <w:rFonts w:ascii="Arial Narrow" w:hAnsi="Arial Narrow"/>
          <w:color w:val="000000" w:themeColor="text1"/>
          <w:sz w:val="18"/>
          <w:szCs w:val="18"/>
        </w:rPr>
        <w:t xml:space="preserve">= International Prognostic Index for Diffuse Large B-cell Lymphoma, </w:t>
      </w:r>
      <w:r w:rsidR="00BB72AC" w:rsidRPr="0019444B">
        <w:rPr>
          <w:rFonts w:ascii="Arial Narrow" w:hAnsi="Arial Narrow"/>
          <w:color w:val="000000" w:themeColor="text1"/>
          <w:sz w:val="18"/>
          <w:szCs w:val="18"/>
        </w:rPr>
        <w:t>TP53</w:t>
      </w:r>
      <w:r w:rsidRPr="0019444B">
        <w:rPr>
          <w:rFonts w:ascii="Arial Narrow" w:hAnsi="Arial Narrow"/>
          <w:color w:val="000000" w:themeColor="text1"/>
          <w:sz w:val="18"/>
          <w:szCs w:val="18"/>
        </w:rPr>
        <w:t xml:space="preserve"> </w:t>
      </w:r>
      <w:r w:rsidR="00BB72AC" w:rsidRPr="0019444B">
        <w:rPr>
          <w:rFonts w:ascii="Arial Narrow" w:hAnsi="Arial Narrow"/>
          <w:color w:val="000000" w:themeColor="text1"/>
          <w:sz w:val="18"/>
          <w:szCs w:val="18"/>
        </w:rPr>
        <w:t>=</w:t>
      </w:r>
      <w:r w:rsidR="0085352B" w:rsidRPr="0019444B">
        <w:rPr>
          <w:sz w:val="18"/>
          <w:szCs w:val="18"/>
        </w:rPr>
        <w:t xml:space="preserve"> </w:t>
      </w:r>
      <w:r w:rsidR="0085352B" w:rsidRPr="0019444B">
        <w:rPr>
          <w:rFonts w:ascii="Arial Narrow" w:hAnsi="Arial Narrow"/>
          <w:color w:val="000000" w:themeColor="text1"/>
          <w:sz w:val="18"/>
          <w:szCs w:val="18"/>
        </w:rPr>
        <w:t>tumour protein P53</w:t>
      </w:r>
      <w:r w:rsidR="00387B17" w:rsidRPr="0019444B">
        <w:rPr>
          <w:rFonts w:ascii="Arial Narrow" w:hAnsi="Arial Narrow"/>
          <w:color w:val="000000" w:themeColor="text1"/>
          <w:sz w:val="18"/>
          <w:szCs w:val="18"/>
        </w:rPr>
        <w:t>, IGHV</w:t>
      </w:r>
      <w:r w:rsidRPr="0019444B">
        <w:rPr>
          <w:rFonts w:ascii="Arial Narrow" w:hAnsi="Arial Narrow"/>
          <w:color w:val="000000" w:themeColor="text1"/>
          <w:sz w:val="18"/>
          <w:szCs w:val="18"/>
        </w:rPr>
        <w:t xml:space="preserve"> </w:t>
      </w:r>
      <w:r w:rsidR="00387B17" w:rsidRPr="0019444B">
        <w:rPr>
          <w:rFonts w:ascii="Arial Narrow" w:hAnsi="Arial Narrow"/>
          <w:color w:val="000000" w:themeColor="text1"/>
          <w:sz w:val="18"/>
          <w:szCs w:val="18"/>
        </w:rPr>
        <w:t>= immunoglobulin heavy chain variable region genes</w:t>
      </w:r>
      <w:r w:rsidR="0034465D" w:rsidRPr="0019444B">
        <w:rPr>
          <w:rFonts w:ascii="Arial Narrow" w:hAnsi="Arial Narrow"/>
          <w:color w:val="000000" w:themeColor="text1"/>
          <w:sz w:val="18"/>
          <w:szCs w:val="18"/>
        </w:rPr>
        <w:t>, 11q</w:t>
      </w:r>
      <w:r w:rsidR="00215E57" w:rsidRPr="0019444B">
        <w:rPr>
          <w:rFonts w:ascii="Arial Narrow" w:hAnsi="Arial Narrow"/>
          <w:color w:val="000000" w:themeColor="text1"/>
          <w:sz w:val="18"/>
          <w:szCs w:val="18"/>
        </w:rPr>
        <w:t xml:space="preserve">= </w:t>
      </w:r>
      <w:r w:rsidR="00847F0E" w:rsidRPr="0019444B">
        <w:rPr>
          <w:rFonts w:ascii="Arial Narrow" w:hAnsi="Arial Narrow"/>
          <w:color w:val="000000" w:themeColor="text1"/>
          <w:sz w:val="18"/>
          <w:szCs w:val="18"/>
        </w:rPr>
        <w:t>long arm (q) of chromosome 11</w:t>
      </w:r>
      <w:r w:rsidR="004A25D6" w:rsidRPr="0019444B">
        <w:rPr>
          <w:rFonts w:ascii="Arial Narrow" w:hAnsi="Arial Narrow"/>
          <w:color w:val="000000" w:themeColor="text1"/>
          <w:sz w:val="18"/>
          <w:szCs w:val="18"/>
        </w:rPr>
        <w:t xml:space="preserve">, </w:t>
      </w:r>
      <w:r w:rsidR="00296471" w:rsidRPr="0019444B">
        <w:rPr>
          <w:rFonts w:ascii="Arial Narrow" w:hAnsi="Arial Narrow"/>
          <w:sz w:val="18"/>
          <w:szCs w:val="18"/>
        </w:rPr>
        <w:t>OBIN</w:t>
      </w:r>
      <w:r w:rsidRPr="0019444B">
        <w:rPr>
          <w:rFonts w:ascii="Arial Narrow" w:hAnsi="Arial Narrow"/>
          <w:sz w:val="18"/>
          <w:szCs w:val="18"/>
        </w:rPr>
        <w:t xml:space="preserve"> </w:t>
      </w:r>
      <w:r w:rsidR="00296471" w:rsidRPr="0019444B">
        <w:rPr>
          <w:rFonts w:ascii="Arial Narrow" w:hAnsi="Arial Narrow"/>
          <w:sz w:val="18"/>
          <w:szCs w:val="18"/>
        </w:rPr>
        <w:t>= obinutuzumab, OS</w:t>
      </w:r>
      <w:r w:rsidRPr="0019444B">
        <w:rPr>
          <w:rFonts w:ascii="Arial Narrow" w:hAnsi="Arial Narrow"/>
          <w:sz w:val="18"/>
          <w:szCs w:val="18"/>
        </w:rPr>
        <w:t xml:space="preserve"> </w:t>
      </w:r>
      <w:r w:rsidR="00296471" w:rsidRPr="0019444B">
        <w:rPr>
          <w:rFonts w:ascii="Arial Narrow" w:hAnsi="Arial Narrow"/>
          <w:sz w:val="18"/>
          <w:szCs w:val="18"/>
        </w:rPr>
        <w:t>=</w:t>
      </w:r>
      <w:r w:rsidR="00617F2B" w:rsidRPr="0019444B">
        <w:rPr>
          <w:rFonts w:ascii="Arial Narrow" w:hAnsi="Arial Narrow"/>
          <w:sz w:val="18"/>
          <w:szCs w:val="18"/>
        </w:rPr>
        <w:t xml:space="preserve"> </w:t>
      </w:r>
      <w:r w:rsidR="00296471" w:rsidRPr="0019444B">
        <w:rPr>
          <w:rFonts w:ascii="Arial Narrow" w:hAnsi="Arial Narrow"/>
          <w:sz w:val="18"/>
          <w:szCs w:val="18"/>
        </w:rPr>
        <w:t xml:space="preserve">overall </w:t>
      </w:r>
      <w:r w:rsidR="00617F2B" w:rsidRPr="0019444B">
        <w:rPr>
          <w:rFonts w:ascii="Arial Narrow" w:hAnsi="Arial Narrow"/>
          <w:sz w:val="18"/>
          <w:szCs w:val="18"/>
        </w:rPr>
        <w:t>survival</w:t>
      </w:r>
      <w:r w:rsidR="00296471" w:rsidRPr="0019444B">
        <w:rPr>
          <w:rFonts w:ascii="Arial Narrow" w:hAnsi="Arial Narrow"/>
          <w:sz w:val="18"/>
          <w:szCs w:val="18"/>
        </w:rPr>
        <w:t>, PFS</w:t>
      </w:r>
      <w:r w:rsidRPr="0019444B">
        <w:rPr>
          <w:rFonts w:ascii="Arial Narrow" w:hAnsi="Arial Narrow"/>
          <w:sz w:val="18"/>
          <w:szCs w:val="18"/>
        </w:rPr>
        <w:t xml:space="preserve"> </w:t>
      </w:r>
      <w:r w:rsidR="00296471" w:rsidRPr="0019444B">
        <w:rPr>
          <w:rFonts w:ascii="Arial Narrow" w:hAnsi="Arial Narrow"/>
          <w:sz w:val="18"/>
          <w:szCs w:val="18"/>
        </w:rPr>
        <w:t>= progression free survival, TTNT</w:t>
      </w:r>
      <w:r w:rsidRPr="0019444B">
        <w:rPr>
          <w:rFonts w:ascii="Arial Narrow" w:hAnsi="Arial Narrow"/>
          <w:sz w:val="18"/>
          <w:szCs w:val="18"/>
        </w:rPr>
        <w:t xml:space="preserve"> </w:t>
      </w:r>
      <w:r w:rsidR="00296471" w:rsidRPr="0019444B">
        <w:rPr>
          <w:rFonts w:ascii="Arial Narrow" w:hAnsi="Arial Narrow"/>
          <w:sz w:val="18"/>
          <w:szCs w:val="18"/>
        </w:rPr>
        <w:t>= time to the next treatment</w:t>
      </w:r>
    </w:p>
    <w:p w14:paraId="0E8BC425" w14:textId="4D848858" w:rsidR="00296471" w:rsidRPr="0019444B" w:rsidRDefault="00807398" w:rsidP="00BB1C6D">
      <w:pPr>
        <w:pStyle w:val="3-BodyText"/>
        <w:numPr>
          <w:ilvl w:val="1"/>
          <w:numId w:val="1"/>
        </w:numPr>
        <w:ind w:left="709" w:hanging="709"/>
      </w:pPr>
      <w:r w:rsidRPr="0019444B">
        <w:t xml:space="preserve">The resubmission presented effective sample sizes (ESS) after excluding variables without a statistically significant treatment interaction based on the Cox model. These ESS are shown in </w:t>
      </w:r>
      <w:r w:rsidR="00332019" w:rsidRPr="0019444B">
        <w:fldChar w:fldCharType="begin" w:fldLock="1"/>
      </w:r>
      <w:r w:rsidR="00332019" w:rsidRPr="0019444B">
        <w:instrText xml:space="preserve"> REF _Ref132529440 \h </w:instrText>
      </w:r>
      <w:r w:rsidR="00332019" w:rsidRPr="0019444B">
        <w:fldChar w:fldCharType="separate"/>
      </w:r>
      <w:r w:rsidR="00332019" w:rsidRPr="0019444B">
        <w:t xml:space="preserve">Table </w:t>
      </w:r>
      <w:r w:rsidR="00332019" w:rsidRPr="0019444B">
        <w:fldChar w:fldCharType="end"/>
      </w:r>
      <w:r w:rsidR="00C61BAC" w:rsidRPr="0019444B">
        <w:t>6</w:t>
      </w:r>
      <w:r w:rsidR="00296471" w:rsidRPr="0019444B">
        <w:t>.</w:t>
      </w:r>
      <w:r w:rsidR="00FB151A" w:rsidRPr="0019444B">
        <w:t xml:space="preserve"> </w:t>
      </w:r>
    </w:p>
    <w:p w14:paraId="7EC0042B" w14:textId="6B43947B" w:rsidR="00296471" w:rsidRPr="0019444B" w:rsidRDefault="00332019" w:rsidP="00CF2655">
      <w:pPr>
        <w:pStyle w:val="Caption"/>
      </w:pPr>
      <w:bookmarkStart w:id="32" w:name="_Ref132529440"/>
      <w:bookmarkStart w:id="33" w:name="_Hlk131587771"/>
      <w:r w:rsidRPr="0019444B">
        <w:t xml:space="preserve">Table </w:t>
      </w:r>
      <w:bookmarkEnd w:id="32"/>
      <w:r w:rsidR="00D13D0B" w:rsidRPr="00EB0E37">
        <w:fldChar w:fldCharType="begin" w:fldLock="1"/>
      </w:r>
      <w:r w:rsidR="00D13D0B" w:rsidRPr="0019444B">
        <w:instrText xml:space="preserve"> SEQ Table \* ARABIC </w:instrText>
      </w:r>
      <w:r w:rsidR="00D13D0B" w:rsidRPr="00EB0E37">
        <w:fldChar w:fldCharType="separate"/>
      </w:r>
      <w:r w:rsidR="007C39B4" w:rsidRPr="00EB0E37">
        <w:t>6</w:t>
      </w:r>
      <w:r w:rsidR="00D13D0B" w:rsidRPr="00EB0E37">
        <w:fldChar w:fldCharType="end"/>
      </w:r>
      <w:r w:rsidR="00296471" w:rsidRPr="0019444B">
        <w:t>: Effective sample size</w:t>
      </w:r>
      <w:r w:rsidR="00367CE5" w:rsidRPr="0019444B">
        <w:t>s</w:t>
      </w:r>
      <w:r w:rsidR="00296471" w:rsidRPr="0019444B">
        <w:t xml:space="preserve"> (ESS) in MAIC update of ACA+</w:t>
      </w:r>
      <w:r w:rsidR="00F17B41" w:rsidRPr="0019444B">
        <w:t>/-</w:t>
      </w:r>
      <w:r w:rsidR="00296471" w:rsidRPr="0019444B">
        <w:t>OBIN (58.2-month median follow-up) vs VTX+OBIN (52.4-month median follow-up)</w:t>
      </w:r>
    </w:p>
    <w:tbl>
      <w:tblPr>
        <w:tblStyle w:val="AZTable"/>
        <w:tblW w:w="5000" w:type="pct"/>
        <w:tblInd w:w="-5" w:type="dxa"/>
        <w:tblLook w:val="0420" w:firstRow="1" w:lastRow="0" w:firstColumn="0" w:lastColumn="0" w:noHBand="0" w:noVBand="1"/>
      </w:tblPr>
      <w:tblGrid>
        <w:gridCol w:w="1539"/>
        <w:gridCol w:w="1468"/>
        <w:gridCol w:w="1502"/>
        <w:gridCol w:w="1502"/>
        <w:gridCol w:w="1502"/>
        <w:gridCol w:w="1504"/>
      </w:tblGrid>
      <w:tr w:rsidR="00296471" w:rsidRPr="0019444B" w14:paraId="3BAACDD7" w14:textId="77777777" w:rsidTr="00141BCC">
        <w:trPr>
          <w:cnfStyle w:val="100000000000" w:firstRow="1" w:lastRow="0" w:firstColumn="0" w:lastColumn="0" w:oddVBand="0" w:evenVBand="0" w:oddHBand="0" w:evenHBand="0" w:firstRowFirstColumn="0" w:firstRowLastColumn="0" w:lastRowFirstColumn="0" w:lastRowLastColumn="0"/>
          <w:trHeight w:val="73"/>
        </w:trPr>
        <w:tc>
          <w:tcPr>
            <w:tcW w:w="853" w:type="pct"/>
            <w:vMerge w:val="restart"/>
            <w:hideMark/>
          </w:tcPr>
          <w:p w14:paraId="276CD7D0" w14:textId="77777777" w:rsidR="00296471" w:rsidRPr="0019444B" w:rsidRDefault="00296471" w:rsidP="00CF2655">
            <w:pPr>
              <w:keepNext/>
              <w:keepLines/>
              <w:jc w:val="center"/>
              <w:rPr>
                <w:rFonts w:ascii="Arial Narrow" w:hAnsi="Arial Narrow"/>
                <w:sz w:val="20"/>
                <w:szCs w:val="20"/>
              </w:rPr>
            </w:pPr>
            <w:r w:rsidRPr="0019444B">
              <w:rPr>
                <w:rFonts w:ascii="Arial Narrow" w:hAnsi="Arial Narrow" w:cs="Calibri Light"/>
                <w:b/>
                <w:bCs/>
                <w:kern w:val="24"/>
                <w:sz w:val="20"/>
                <w:szCs w:val="20"/>
              </w:rPr>
              <w:t>Treatment</w:t>
            </w:r>
          </w:p>
        </w:tc>
        <w:tc>
          <w:tcPr>
            <w:tcW w:w="814" w:type="pct"/>
            <w:vMerge w:val="restart"/>
            <w:hideMark/>
          </w:tcPr>
          <w:p w14:paraId="15A01983" w14:textId="77777777" w:rsidR="00296471" w:rsidRPr="0019444B" w:rsidRDefault="00296471" w:rsidP="00CF2655">
            <w:pPr>
              <w:keepNext/>
              <w:keepLines/>
              <w:jc w:val="center"/>
              <w:rPr>
                <w:rFonts w:ascii="Arial Narrow" w:hAnsi="Arial Narrow"/>
                <w:sz w:val="20"/>
                <w:szCs w:val="20"/>
              </w:rPr>
            </w:pPr>
            <w:r w:rsidRPr="0019444B">
              <w:rPr>
                <w:rFonts w:ascii="Arial Narrow" w:hAnsi="Arial Narrow" w:cs="Calibri Light"/>
                <w:b/>
                <w:bCs/>
                <w:kern w:val="24"/>
                <w:sz w:val="20"/>
                <w:szCs w:val="20"/>
              </w:rPr>
              <w:t>Endpoint</w:t>
            </w:r>
          </w:p>
        </w:tc>
        <w:tc>
          <w:tcPr>
            <w:tcW w:w="1666" w:type="pct"/>
            <w:gridSpan w:val="2"/>
            <w:hideMark/>
          </w:tcPr>
          <w:p w14:paraId="39FF6CFD" w14:textId="77777777" w:rsidR="00296471" w:rsidRPr="0019444B" w:rsidRDefault="00296471" w:rsidP="00CF2655">
            <w:pPr>
              <w:keepNext/>
              <w:keepLines/>
              <w:jc w:val="center"/>
              <w:rPr>
                <w:rFonts w:ascii="Arial Narrow" w:hAnsi="Arial Narrow"/>
                <w:sz w:val="20"/>
                <w:szCs w:val="20"/>
              </w:rPr>
            </w:pPr>
            <w:r w:rsidRPr="0019444B">
              <w:rPr>
                <w:rFonts w:ascii="Arial Narrow" w:hAnsi="Arial Narrow" w:cs="Calibri Light"/>
                <w:b/>
                <w:bCs/>
                <w:kern w:val="24"/>
                <w:sz w:val="20"/>
                <w:szCs w:val="20"/>
              </w:rPr>
              <w:t>N</w:t>
            </w:r>
          </w:p>
        </w:tc>
        <w:tc>
          <w:tcPr>
            <w:tcW w:w="1667" w:type="pct"/>
            <w:gridSpan w:val="2"/>
            <w:hideMark/>
          </w:tcPr>
          <w:p w14:paraId="1704FACF" w14:textId="77777777" w:rsidR="00296471" w:rsidRPr="0019444B" w:rsidRDefault="00296471" w:rsidP="00CF2655">
            <w:pPr>
              <w:keepNext/>
              <w:keepLines/>
              <w:jc w:val="center"/>
              <w:rPr>
                <w:rFonts w:ascii="Arial Narrow" w:hAnsi="Arial Narrow"/>
                <w:sz w:val="20"/>
                <w:szCs w:val="20"/>
              </w:rPr>
            </w:pPr>
            <w:r w:rsidRPr="0019444B">
              <w:rPr>
                <w:rFonts w:ascii="Arial Narrow" w:hAnsi="Arial Narrow" w:cs="Calibri Light"/>
                <w:b/>
                <w:bCs/>
                <w:kern w:val="24"/>
                <w:sz w:val="20"/>
                <w:szCs w:val="20"/>
              </w:rPr>
              <w:t>ESS</w:t>
            </w:r>
          </w:p>
        </w:tc>
      </w:tr>
      <w:tr w:rsidR="00296471" w:rsidRPr="0019444B" w14:paraId="4493AA2A" w14:textId="77777777" w:rsidTr="00141BCC">
        <w:trPr>
          <w:trHeight w:val="73"/>
        </w:trPr>
        <w:tc>
          <w:tcPr>
            <w:tcW w:w="853" w:type="pct"/>
            <w:vMerge/>
            <w:hideMark/>
          </w:tcPr>
          <w:p w14:paraId="22A78CF8" w14:textId="77777777" w:rsidR="00296471" w:rsidRPr="0019444B" w:rsidRDefault="00296471" w:rsidP="00CF2655">
            <w:pPr>
              <w:keepNext/>
              <w:keepLines/>
              <w:jc w:val="left"/>
              <w:rPr>
                <w:rFonts w:ascii="Arial Narrow" w:hAnsi="Arial Narrow"/>
                <w:sz w:val="20"/>
                <w:szCs w:val="20"/>
              </w:rPr>
            </w:pPr>
          </w:p>
        </w:tc>
        <w:tc>
          <w:tcPr>
            <w:tcW w:w="814" w:type="pct"/>
            <w:vMerge/>
            <w:hideMark/>
          </w:tcPr>
          <w:p w14:paraId="10D7D419" w14:textId="77777777" w:rsidR="00296471" w:rsidRPr="0019444B" w:rsidRDefault="00296471" w:rsidP="00CF2655">
            <w:pPr>
              <w:keepNext/>
              <w:keepLines/>
              <w:jc w:val="left"/>
              <w:rPr>
                <w:rFonts w:ascii="Arial Narrow" w:hAnsi="Arial Narrow"/>
                <w:sz w:val="20"/>
                <w:szCs w:val="20"/>
              </w:rPr>
            </w:pPr>
          </w:p>
        </w:tc>
        <w:tc>
          <w:tcPr>
            <w:tcW w:w="833" w:type="pct"/>
            <w:hideMark/>
          </w:tcPr>
          <w:p w14:paraId="42F079EE" w14:textId="77777777" w:rsidR="00296471" w:rsidRPr="0019444B" w:rsidRDefault="00296471" w:rsidP="00CF2655">
            <w:pPr>
              <w:keepNext/>
              <w:keepLines/>
              <w:jc w:val="center"/>
              <w:rPr>
                <w:rFonts w:ascii="Arial Narrow" w:hAnsi="Arial Narrow"/>
                <w:sz w:val="20"/>
                <w:szCs w:val="20"/>
              </w:rPr>
            </w:pPr>
            <w:r w:rsidRPr="0019444B">
              <w:rPr>
                <w:rFonts w:ascii="Arial Narrow" w:hAnsi="Arial Narrow" w:cs="Calibri Light"/>
                <w:b/>
                <w:bCs/>
                <w:kern w:val="24"/>
                <w:sz w:val="20"/>
                <w:szCs w:val="20"/>
              </w:rPr>
              <w:t>OBIN+CHL</w:t>
            </w:r>
          </w:p>
        </w:tc>
        <w:tc>
          <w:tcPr>
            <w:tcW w:w="833" w:type="pct"/>
            <w:hideMark/>
          </w:tcPr>
          <w:p w14:paraId="1E8277CE" w14:textId="77777777" w:rsidR="00296471" w:rsidRPr="0019444B" w:rsidRDefault="00296471" w:rsidP="00CF2655">
            <w:pPr>
              <w:keepNext/>
              <w:keepLines/>
              <w:jc w:val="center"/>
              <w:rPr>
                <w:rFonts w:ascii="Arial Narrow" w:hAnsi="Arial Narrow"/>
                <w:sz w:val="20"/>
                <w:szCs w:val="20"/>
              </w:rPr>
            </w:pPr>
            <w:r w:rsidRPr="0019444B">
              <w:rPr>
                <w:rFonts w:ascii="Arial Narrow" w:hAnsi="Arial Narrow" w:cs="Calibri Light"/>
                <w:b/>
                <w:bCs/>
                <w:kern w:val="24"/>
                <w:sz w:val="20"/>
                <w:szCs w:val="20"/>
              </w:rPr>
              <w:t>ACA</w:t>
            </w:r>
          </w:p>
        </w:tc>
        <w:tc>
          <w:tcPr>
            <w:tcW w:w="833" w:type="pct"/>
            <w:hideMark/>
          </w:tcPr>
          <w:p w14:paraId="0E3AD33C" w14:textId="77777777" w:rsidR="00296471" w:rsidRPr="0019444B" w:rsidRDefault="00296471" w:rsidP="00CF2655">
            <w:pPr>
              <w:keepNext/>
              <w:keepLines/>
              <w:jc w:val="center"/>
              <w:rPr>
                <w:rFonts w:ascii="Arial Narrow" w:hAnsi="Arial Narrow"/>
                <w:sz w:val="20"/>
                <w:szCs w:val="20"/>
              </w:rPr>
            </w:pPr>
            <w:r w:rsidRPr="0019444B">
              <w:rPr>
                <w:rFonts w:ascii="Arial Narrow" w:hAnsi="Arial Narrow" w:cs="Calibri Light"/>
                <w:b/>
                <w:bCs/>
                <w:kern w:val="24"/>
                <w:sz w:val="20"/>
                <w:szCs w:val="20"/>
              </w:rPr>
              <w:t>OBIN+CHL</w:t>
            </w:r>
          </w:p>
        </w:tc>
        <w:tc>
          <w:tcPr>
            <w:tcW w:w="834" w:type="pct"/>
            <w:hideMark/>
          </w:tcPr>
          <w:p w14:paraId="01C65D86" w14:textId="77777777" w:rsidR="00296471" w:rsidRPr="0019444B" w:rsidRDefault="00296471" w:rsidP="00CF2655">
            <w:pPr>
              <w:keepNext/>
              <w:keepLines/>
              <w:jc w:val="center"/>
              <w:rPr>
                <w:rFonts w:ascii="Arial Narrow" w:hAnsi="Arial Narrow"/>
                <w:sz w:val="20"/>
                <w:szCs w:val="20"/>
              </w:rPr>
            </w:pPr>
            <w:r w:rsidRPr="0019444B">
              <w:rPr>
                <w:rFonts w:ascii="Arial Narrow" w:hAnsi="Arial Narrow" w:cs="Calibri Light"/>
                <w:b/>
                <w:bCs/>
                <w:kern w:val="24"/>
                <w:sz w:val="20"/>
                <w:szCs w:val="20"/>
              </w:rPr>
              <w:t>ACA</w:t>
            </w:r>
          </w:p>
        </w:tc>
      </w:tr>
      <w:tr w:rsidR="00296471" w:rsidRPr="0019444B" w14:paraId="446D2922" w14:textId="77777777" w:rsidTr="00141BCC">
        <w:tc>
          <w:tcPr>
            <w:tcW w:w="853" w:type="pct"/>
            <w:hideMark/>
          </w:tcPr>
          <w:p w14:paraId="6FF3E5F8" w14:textId="77777777" w:rsidR="00296471" w:rsidRPr="0019444B" w:rsidRDefault="00296471" w:rsidP="00CF2655">
            <w:pPr>
              <w:keepNext/>
              <w:keepLines/>
              <w:jc w:val="left"/>
              <w:rPr>
                <w:rFonts w:ascii="Arial Narrow" w:hAnsi="Arial Narrow"/>
                <w:sz w:val="20"/>
                <w:szCs w:val="20"/>
              </w:rPr>
            </w:pPr>
            <w:r w:rsidRPr="0019444B">
              <w:rPr>
                <w:rFonts w:ascii="Arial Narrow" w:hAnsi="Arial Narrow" w:cs="Calibri Light"/>
                <w:kern w:val="24"/>
                <w:sz w:val="20"/>
                <w:szCs w:val="20"/>
              </w:rPr>
              <w:t>ACA+OBIN</w:t>
            </w:r>
          </w:p>
        </w:tc>
        <w:tc>
          <w:tcPr>
            <w:tcW w:w="814" w:type="pct"/>
            <w:hideMark/>
          </w:tcPr>
          <w:p w14:paraId="7ACA5DB1" w14:textId="77777777" w:rsidR="00296471" w:rsidRPr="0019444B" w:rsidRDefault="00296471" w:rsidP="00CF2655">
            <w:pPr>
              <w:keepNext/>
              <w:keepLines/>
              <w:jc w:val="center"/>
              <w:rPr>
                <w:rFonts w:ascii="Arial Narrow" w:hAnsi="Arial Narrow"/>
                <w:sz w:val="20"/>
                <w:szCs w:val="20"/>
              </w:rPr>
            </w:pPr>
            <w:r w:rsidRPr="0019444B">
              <w:rPr>
                <w:rFonts w:ascii="Arial Narrow" w:hAnsi="Arial Narrow" w:cs="Calibri Light"/>
                <w:kern w:val="24"/>
                <w:sz w:val="20"/>
                <w:szCs w:val="20"/>
              </w:rPr>
              <w:t>OS</w:t>
            </w:r>
          </w:p>
        </w:tc>
        <w:tc>
          <w:tcPr>
            <w:tcW w:w="833" w:type="pct"/>
            <w:hideMark/>
          </w:tcPr>
          <w:p w14:paraId="40794038" w14:textId="77777777" w:rsidR="00296471" w:rsidRPr="0019444B" w:rsidRDefault="00296471" w:rsidP="00CF2655">
            <w:pPr>
              <w:keepNext/>
              <w:keepLines/>
              <w:jc w:val="center"/>
              <w:rPr>
                <w:rFonts w:ascii="Arial Narrow" w:hAnsi="Arial Narrow"/>
                <w:sz w:val="20"/>
                <w:szCs w:val="20"/>
              </w:rPr>
            </w:pPr>
            <w:r w:rsidRPr="0019444B">
              <w:rPr>
                <w:rFonts w:ascii="Arial Narrow" w:hAnsi="Arial Narrow" w:cs="Calibri Light"/>
                <w:kern w:val="24"/>
                <w:sz w:val="20"/>
                <w:szCs w:val="20"/>
              </w:rPr>
              <w:t>177</w:t>
            </w:r>
          </w:p>
        </w:tc>
        <w:tc>
          <w:tcPr>
            <w:tcW w:w="833" w:type="pct"/>
            <w:hideMark/>
          </w:tcPr>
          <w:p w14:paraId="06A173FF" w14:textId="77777777" w:rsidR="00296471" w:rsidRPr="0019444B" w:rsidRDefault="00296471" w:rsidP="00CF2655">
            <w:pPr>
              <w:keepNext/>
              <w:keepLines/>
              <w:jc w:val="center"/>
              <w:rPr>
                <w:rFonts w:ascii="Arial Narrow" w:hAnsi="Arial Narrow"/>
                <w:sz w:val="20"/>
                <w:szCs w:val="20"/>
              </w:rPr>
            </w:pPr>
            <w:r w:rsidRPr="0019444B">
              <w:rPr>
                <w:rFonts w:ascii="Arial Narrow" w:hAnsi="Arial Narrow" w:cs="Calibri Light"/>
                <w:kern w:val="24"/>
                <w:sz w:val="20"/>
                <w:szCs w:val="20"/>
              </w:rPr>
              <w:t>179</w:t>
            </w:r>
          </w:p>
        </w:tc>
        <w:tc>
          <w:tcPr>
            <w:tcW w:w="833" w:type="pct"/>
            <w:hideMark/>
          </w:tcPr>
          <w:p w14:paraId="7AEBB455" w14:textId="77777777" w:rsidR="00296471" w:rsidRPr="0019444B" w:rsidRDefault="00296471" w:rsidP="00CF2655">
            <w:pPr>
              <w:keepNext/>
              <w:keepLines/>
              <w:jc w:val="center"/>
              <w:rPr>
                <w:rFonts w:ascii="Arial Narrow" w:hAnsi="Arial Narrow"/>
                <w:sz w:val="20"/>
                <w:szCs w:val="20"/>
              </w:rPr>
            </w:pPr>
            <w:r w:rsidRPr="0019444B">
              <w:rPr>
                <w:rFonts w:ascii="Arial Narrow" w:hAnsi="Arial Narrow" w:cs="Calibri Light"/>
                <w:kern w:val="24"/>
                <w:sz w:val="20"/>
                <w:szCs w:val="20"/>
              </w:rPr>
              <w:t>126.8</w:t>
            </w:r>
          </w:p>
        </w:tc>
        <w:tc>
          <w:tcPr>
            <w:tcW w:w="834" w:type="pct"/>
            <w:hideMark/>
          </w:tcPr>
          <w:p w14:paraId="3F7211A5" w14:textId="77777777" w:rsidR="00296471" w:rsidRPr="0019444B" w:rsidRDefault="00296471" w:rsidP="00CF2655">
            <w:pPr>
              <w:keepNext/>
              <w:keepLines/>
              <w:jc w:val="center"/>
              <w:rPr>
                <w:rFonts w:ascii="Arial Narrow" w:hAnsi="Arial Narrow"/>
                <w:sz w:val="20"/>
                <w:szCs w:val="20"/>
              </w:rPr>
            </w:pPr>
            <w:r w:rsidRPr="0019444B">
              <w:rPr>
                <w:rFonts w:ascii="Arial Narrow" w:hAnsi="Arial Narrow" w:cs="Calibri Light"/>
                <w:kern w:val="24"/>
                <w:sz w:val="20"/>
                <w:szCs w:val="20"/>
              </w:rPr>
              <w:t>123.8</w:t>
            </w:r>
          </w:p>
        </w:tc>
      </w:tr>
      <w:tr w:rsidR="00296471" w:rsidRPr="0019444B" w14:paraId="2C41E29D" w14:textId="77777777" w:rsidTr="00141BCC">
        <w:tc>
          <w:tcPr>
            <w:tcW w:w="853" w:type="pct"/>
            <w:hideMark/>
          </w:tcPr>
          <w:p w14:paraId="2ACFC609" w14:textId="77777777" w:rsidR="00296471" w:rsidRPr="0019444B" w:rsidRDefault="00296471" w:rsidP="00CF2655">
            <w:pPr>
              <w:keepNext/>
              <w:keepLines/>
              <w:jc w:val="left"/>
              <w:rPr>
                <w:rFonts w:ascii="Arial Narrow" w:hAnsi="Arial Narrow"/>
                <w:sz w:val="20"/>
                <w:szCs w:val="20"/>
              </w:rPr>
            </w:pPr>
            <w:r w:rsidRPr="0019444B">
              <w:rPr>
                <w:rFonts w:ascii="Arial Narrow" w:hAnsi="Arial Narrow" w:cs="Calibri Light"/>
                <w:kern w:val="24"/>
                <w:sz w:val="20"/>
                <w:szCs w:val="20"/>
              </w:rPr>
              <w:t>ACA+OBIN</w:t>
            </w:r>
          </w:p>
        </w:tc>
        <w:tc>
          <w:tcPr>
            <w:tcW w:w="814" w:type="pct"/>
            <w:hideMark/>
          </w:tcPr>
          <w:p w14:paraId="7FED0216" w14:textId="77777777" w:rsidR="00296471" w:rsidRPr="0019444B" w:rsidRDefault="00296471" w:rsidP="00CF2655">
            <w:pPr>
              <w:keepNext/>
              <w:keepLines/>
              <w:jc w:val="center"/>
              <w:rPr>
                <w:rFonts w:ascii="Arial Narrow" w:hAnsi="Arial Narrow"/>
                <w:sz w:val="20"/>
                <w:szCs w:val="20"/>
              </w:rPr>
            </w:pPr>
            <w:r w:rsidRPr="0019444B">
              <w:rPr>
                <w:rFonts w:ascii="Arial Narrow" w:hAnsi="Arial Narrow" w:cs="Calibri Light"/>
                <w:kern w:val="24"/>
                <w:sz w:val="20"/>
                <w:szCs w:val="20"/>
              </w:rPr>
              <w:t>PFS</w:t>
            </w:r>
          </w:p>
        </w:tc>
        <w:tc>
          <w:tcPr>
            <w:tcW w:w="833" w:type="pct"/>
            <w:hideMark/>
          </w:tcPr>
          <w:p w14:paraId="4275F663" w14:textId="77777777" w:rsidR="00296471" w:rsidRPr="0019444B" w:rsidRDefault="00296471" w:rsidP="00CF2655">
            <w:pPr>
              <w:keepNext/>
              <w:keepLines/>
              <w:jc w:val="center"/>
              <w:rPr>
                <w:rFonts w:ascii="Arial Narrow" w:hAnsi="Arial Narrow"/>
                <w:sz w:val="20"/>
                <w:szCs w:val="20"/>
              </w:rPr>
            </w:pPr>
            <w:r w:rsidRPr="0019444B">
              <w:rPr>
                <w:rFonts w:ascii="Arial Narrow" w:hAnsi="Arial Narrow" w:cs="Calibri Light"/>
                <w:kern w:val="24"/>
                <w:sz w:val="20"/>
                <w:szCs w:val="20"/>
              </w:rPr>
              <w:t>177</w:t>
            </w:r>
          </w:p>
        </w:tc>
        <w:tc>
          <w:tcPr>
            <w:tcW w:w="833" w:type="pct"/>
            <w:hideMark/>
          </w:tcPr>
          <w:p w14:paraId="4279F920" w14:textId="77777777" w:rsidR="00296471" w:rsidRPr="0019444B" w:rsidRDefault="00296471" w:rsidP="00CF2655">
            <w:pPr>
              <w:keepNext/>
              <w:keepLines/>
              <w:jc w:val="center"/>
              <w:rPr>
                <w:rFonts w:ascii="Arial Narrow" w:hAnsi="Arial Narrow"/>
                <w:sz w:val="20"/>
                <w:szCs w:val="20"/>
              </w:rPr>
            </w:pPr>
            <w:r w:rsidRPr="0019444B">
              <w:rPr>
                <w:rFonts w:ascii="Arial Narrow" w:hAnsi="Arial Narrow" w:cs="Calibri Light"/>
                <w:kern w:val="24"/>
                <w:sz w:val="20"/>
                <w:szCs w:val="20"/>
              </w:rPr>
              <w:t>179</w:t>
            </w:r>
          </w:p>
        </w:tc>
        <w:tc>
          <w:tcPr>
            <w:tcW w:w="833" w:type="pct"/>
            <w:hideMark/>
          </w:tcPr>
          <w:p w14:paraId="5C570D33" w14:textId="77777777" w:rsidR="00296471" w:rsidRPr="0019444B" w:rsidRDefault="00296471" w:rsidP="00CF2655">
            <w:pPr>
              <w:keepNext/>
              <w:keepLines/>
              <w:jc w:val="center"/>
              <w:rPr>
                <w:rFonts w:ascii="Arial Narrow" w:hAnsi="Arial Narrow"/>
                <w:sz w:val="20"/>
                <w:szCs w:val="20"/>
              </w:rPr>
            </w:pPr>
            <w:r w:rsidRPr="0019444B">
              <w:rPr>
                <w:rFonts w:ascii="Arial Narrow" w:hAnsi="Arial Narrow" w:cs="Calibri Light"/>
                <w:kern w:val="24"/>
                <w:sz w:val="20"/>
                <w:szCs w:val="20"/>
              </w:rPr>
              <w:t>144.5</w:t>
            </w:r>
          </w:p>
        </w:tc>
        <w:tc>
          <w:tcPr>
            <w:tcW w:w="834" w:type="pct"/>
            <w:hideMark/>
          </w:tcPr>
          <w:p w14:paraId="12A24FCC" w14:textId="77777777" w:rsidR="00296471" w:rsidRPr="0019444B" w:rsidRDefault="00296471" w:rsidP="00CF2655">
            <w:pPr>
              <w:keepNext/>
              <w:keepLines/>
              <w:jc w:val="center"/>
              <w:rPr>
                <w:rFonts w:ascii="Arial Narrow" w:hAnsi="Arial Narrow"/>
                <w:sz w:val="20"/>
                <w:szCs w:val="20"/>
              </w:rPr>
            </w:pPr>
            <w:r w:rsidRPr="0019444B">
              <w:rPr>
                <w:rFonts w:ascii="Arial Narrow" w:hAnsi="Arial Narrow" w:cs="Calibri Light"/>
                <w:kern w:val="24"/>
                <w:sz w:val="20"/>
                <w:szCs w:val="20"/>
              </w:rPr>
              <w:t>143.2</w:t>
            </w:r>
          </w:p>
        </w:tc>
      </w:tr>
      <w:tr w:rsidR="00296471" w:rsidRPr="0019444B" w14:paraId="7E49A0F9" w14:textId="77777777" w:rsidTr="00141BCC">
        <w:tc>
          <w:tcPr>
            <w:tcW w:w="853" w:type="pct"/>
            <w:hideMark/>
          </w:tcPr>
          <w:p w14:paraId="769F769A" w14:textId="77777777" w:rsidR="00296471" w:rsidRPr="0019444B" w:rsidRDefault="00296471" w:rsidP="00CF2655">
            <w:pPr>
              <w:keepNext/>
              <w:keepLines/>
              <w:jc w:val="left"/>
              <w:rPr>
                <w:rFonts w:ascii="Arial Narrow" w:hAnsi="Arial Narrow"/>
                <w:sz w:val="20"/>
                <w:szCs w:val="20"/>
              </w:rPr>
            </w:pPr>
            <w:r w:rsidRPr="0019444B">
              <w:rPr>
                <w:rFonts w:ascii="Arial Narrow" w:hAnsi="Arial Narrow" w:cs="Calibri Light"/>
                <w:kern w:val="24"/>
                <w:sz w:val="20"/>
                <w:szCs w:val="20"/>
              </w:rPr>
              <w:t>ACA mono</w:t>
            </w:r>
          </w:p>
        </w:tc>
        <w:tc>
          <w:tcPr>
            <w:tcW w:w="814" w:type="pct"/>
            <w:hideMark/>
          </w:tcPr>
          <w:p w14:paraId="5E95DC6B" w14:textId="77777777" w:rsidR="00296471" w:rsidRPr="0019444B" w:rsidRDefault="00296471" w:rsidP="00CF2655">
            <w:pPr>
              <w:keepNext/>
              <w:keepLines/>
              <w:jc w:val="center"/>
              <w:rPr>
                <w:rFonts w:ascii="Arial Narrow" w:hAnsi="Arial Narrow"/>
                <w:sz w:val="20"/>
                <w:szCs w:val="20"/>
              </w:rPr>
            </w:pPr>
            <w:r w:rsidRPr="0019444B">
              <w:rPr>
                <w:rFonts w:ascii="Arial Narrow" w:hAnsi="Arial Narrow" w:cs="Calibri Light"/>
                <w:kern w:val="24"/>
                <w:sz w:val="20"/>
                <w:szCs w:val="20"/>
              </w:rPr>
              <w:t>OS</w:t>
            </w:r>
          </w:p>
        </w:tc>
        <w:tc>
          <w:tcPr>
            <w:tcW w:w="833" w:type="pct"/>
            <w:hideMark/>
          </w:tcPr>
          <w:p w14:paraId="3635D30F" w14:textId="77777777" w:rsidR="00296471" w:rsidRPr="0019444B" w:rsidRDefault="00296471" w:rsidP="00CF2655">
            <w:pPr>
              <w:keepNext/>
              <w:keepLines/>
              <w:jc w:val="center"/>
              <w:rPr>
                <w:rFonts w:ascii="Arial Narrow" w:hAnsi="Arial Narrow"/>
                <w:sz w:val="20"/>
                <w:szCs w:val="20"/>
              </w:rPr>
            </w:pPr>
            <w:r w:rsidRPr="0019444B">
              <w:rPr>
                <w:rFonts w:ascii="Arial Narrow" w:hAnsi="Arial Narrow" w:cs="Calibri Light"/>
                <w:kern w:val="24"/>
                <w:sz w:val="20"/>
                <w:szCs w:val="20"/>
              </w:rPr>
              <w:t>177</w:t>
            </w:r>
          </w:p>
        </w:tc>
        <w:tc>
          <w:tcPr>
            <w:tcW w:w="833" w:type="pct"/>
            <w:hideMark/>
          </w:tcPr>
          <w:p w14:paraId="49EEA64A" w14:textId="77777777" w:rsidR="00296471" w:rsidRPr="0019444B" w:rsidRDefault="00296471" w:rsidP="00CF2655">
            <w:pPr>
              <w:keepNext/>
              <w:keepLines/>
              <w:jc w:val="center"/>
              <w:rPr>
                <w:rFonts w:ascii="Arial Narrow" w:hAnsi="Arial Narrow"/>
                <w:sz w:val="20"/>
                <w:szCs w:val="20"/>
              </w:rPr>
            </w:pPr>
            <w:r w:rsidRPr="0019444B">
              <w:rPr>
                <w:rFonts w:ascii="Arial Narrow" w:hAnsi="Arial Narrow" w:cs="Calibri Light"/>
                <w:kern w:val="24"/>
                <w:sz w:val="20"/>
                <w:szCs w:val="20"/>
              </w:rPr>
              <w:t>179</w:t>
            </w:r>
          </w:p>
        </w:tc>
        <w:tc>
          <w:tcPr>
            <w:tcW w:w="833" w:type="pct"/>
            <w:hideMark/>
          </w:tcPr>
          <w:p w14:paraId="636E356E" w14:textId="77777777" w:rsidR="00296471" w:rsidRPr="0019444B" w:rsidRDefault="00296471" w:rsidP="00CF2655">
            <w:pPr>
              <w:keepNext/>
              <w:keepLines/>
              <w:jc w:val="center"/>
              <w:rPr>
                <w:rFonts w:ascii="Arial Narrow" w:hAnsi="Arial Narrow"/>
                <w:sz w:val="20"/>
                <w:szCs w:val="20"/>
              </w:rPr>
            </w:pPr>
            <w:r w:rsidRPr="0019444B">
              <w:rPr>
                <w:rFonts w:ascii="Arial Narrow" w:hAnsi="Arial Narrow" w:cs="Calibri Light"/>
                <w:kern w:val="24"/>
                <w:sz w:val="20"/>
                <w:szCs w:val="20"/>
              </w:rPr>
              <w:t>167.5</w:t>
            </w:r>
          </w:p>
        </w:tc>
        <w:tc>
          <w:tcPr>
            <w:tcW w:w="834" w:type="pct"/>
            <w:hideMark/>
          </w:tcPr>
          <w:p w14:paraId="1604A0EB" w14:textId="77777777" w:rsidR="00296471" w:rsidRPr="0019444B" w:rsidRDefault="00296471" w:rsidP="00CF2655">
            <w:pPr>
              <w:keepNext/>
              <w:keepLines/>
              <w:jc w:val="center"/>
              <w:rPr>
                <w:rFonts w:ascii="Arial Narrow" w:hAnsi="Arial Narrow"/>
                <w:sz w:val="20"/>
                <w:szCs w:val="20"/>
              </w:rPr>
            </w:pPr>
            <w:r w:rsidRPr="0019444B">
              <w:rPr>
                <w:rFonts w:ascii="Arial Narrow" w:hAnsi="Arial Narrow" w:cs="Calibri Light"/>
                <w:kern w:val="24"/>
                <w:sz w:val="20"/>
                <w:szCs w:val="20"/>
              </w:rPr>
              <w:t>168.6</w:t>
            </w:r>
          </w:p>
        </w:tc>
      </w:tr>
      <w:tr w:rsidR="00296471" w:rsidRPr="0019444B" w14:paraId="0A33F9B1" w14:textId="77777777" w:rsidTr="00141BCC">
        <w:tc>
          <w:tcPr>
            <w:tcW w:w="853" w:type="pct"/>
            <w:hideMark/>
          </w:tcPr>
          <w:p w14:paraId="69B179E0" w14:textId="77777777" w:rsidR="00296471" w:rsidRPr="0019444B" w:rsidRDefault="00296471" w:rsidP="00CF2655">
            <w:pPr>
              <w:keepNext/>
              <w:keepLines/>
              <w:jc w:val="left"/>
              <w:rPr>
                <w:rFonts w:ascii="Arial Narrow" w:hAnsi="Arial Narrow"/>
                <w:sz w:val="20"/>
                <w:szCs w:val="20"/>
              </w:rPr>
            </w:pPr>
            <w:r w:rsidRPr="0019444B">
              <w:rPr>
                <w:rFonts w:ascii="Arial Narrow" w:hAnsi="Arial Narrow" w:cs="Calibri Light"/>
                <w:kern w:val="24"/>
                <w:sz w:val="20"/>
                <w:szCs w:val="20"/>
              </w:rPr>
              <w:t>ACA mono</w:t>
            </w:r>
          </w:p>
        </w:tc>
        <w:tc>
          <w:tcPr>
            <w:tcW w:w="814" w:type="pct"/>
            <w:hideMark/>
          </w:tcPr>
          <w:p w14:paraId="589D654F" w14:textId="77777777" w:rsidR="00296471" w:rsidRPr="0019444B" w:rsidRDefault="00296471" w:rsidP="00CF2655">
            <w:pPr>
              <w:keepNext/>
              <w:keepLines/>
              <w:jc w:val="center"/>
              <w:rPr>
                <w:rFonts w:ascii="Arial Narrow" w:hAnsi="Arial Narrow"/>
                <w:sz w:val="20"/>
                <w:szCs w:val="20"/>
              </w:rPr>
            </w:pPr>
            <w:r w:rsidRPr="0019444B">
              <w:rPr>
                <w:rFonts w:ascii="Arial Narrow" w:hAnsi="Arial Narrow" w:cs="Calibri Light"/>
                <w:kern w:val="24"/>
                <w:sz w:val="20"/>
                <w:szCs w:val="20"/>
              </w:rPr>
              <w:t>PFS</w:t>
            </w:r>
          </w:p>
        </w:tc>
        <w:tc>
          <w:tcPr>
            <w:tcW w:w="833" w:type="pct"/>
            <w:hideMark/>
          </w:tcPr>
          <w:p w14:paraId="294466DC" w14:textId="77777777" w:rsidR="00296471" w:rsidRPr="0019444B" w:rsidRDefault="00296471" w:rsidP="00CF2655">
            <w:pPr>
              <w:keepNext/>
              <w:keepLines/>
              <w:jc w:val="center"/>
              <w:rPr>
                <w:rFonts w:ascii="Arial Narrow" w:hAnsi="Arial Narrow"/>
                <w:sz w:val="20"/>
                <w:szCs w:val="20"/>
              </w:rPr>
            </w:pPr>
            <w:r w:rsidRPr="0019444B">
              <w:rPr>
                <w:rFonts w:ascii="Arial Narrow" w:hAnsi="Arial Narrow" w:cs="Calibri Light"/>
                <w:kern w:val="24"/>
                <w:sz w:val="20"/>
                <w:szCs w:val="20"/>
              </w:rPr>
              <w:t>177</w:t>
            </w:r>
          </w:p>
        </w:tc>
        <w:tc>
          <w:tcPr>
            <w:tcW w:w="833" w:type="pct"/>
            <w:hideMark/>
          </w:tcPr>
          <w:p w14:paraId="402AD39F" w14:textId="77777777" w:rsidR="00296471" w:rsidRPr="0019444B" w:rsidRDefault="00296471" w:rsidP="00CF2655">
            <w:pPr>
              <w:keepNext/>
              <w:keepLines/>
              <w:jc w:val="center"/>
              <w:rPr>
                <w:rFonts w:ascii="Arial Narrow" w:hAnsi="Arial Narrow"/>
                <w:sz w:val="20"/>
                <w:szCs w:val="20"/>
              </w:rPr>
            </w:pPr>
            <w:r w:rsidRPr="0019444B">
              <w:rPr>
                <w:rFonts w:ascii="Arial Narrow" w:hAnsi="Arial Narrow" w:cs="Calibri Light"/>
                <w:kern w:val="24"/>
                <w:sz w:val="20"/>
                <w:szCs w:val="20"/>
              </w:rPr>
              <w:t>179</w:t>
            </w:r>
          </w:p>
        </w:tc>
        <w:tc>
          <w:tcPr>
            <w:tcW w:w="833" w:type="pct"/>
            <w:hideMark/>
          </w:tcPr>
          <w:p w14:paraId="46056276" w14:textId="77777777" w:rsidR="00296471" w:rsidRPr="0019444B" w:rsidRDefault="00296471" w:rsidP="00CF2655">
            <w:pPr>
              <w:keepNext/>
              <w:keepLines/>
              <w:jc w:val="center"/>
              <w:rPr>
                <w:rFonts w:ascii="Arial Narrow" w:hAnsi="Arial Narrow"/>
                <w:sz w:val="20"/>
                <w:szCs w:val="20"/>
              </w:rPr>
            </w:pPr>
            <w:r w:rsidRPr="0019444B">
              <w:rPr>
                <w:rFonts w:ascii="Arial Narrow" w:hAnsi="Arial Narrow" w:cs="Calibri Light"/>
                <w:kern w:val="24"/>
                <w:sz w:val="20"/>
                <w:szCs w:val="20"/>
              </w:rPr>
              <w:t>175.0</w:t>
            </w:r>
          </w:p>
        </w:tc>
        <w:tc>
          <w:tcPr>
            <w:tcW w:w="834" w:type="pct"/>
            <w:hideMark/>
          </w:tcPr>
          <w:p w14:paraId="579F31B1" w14:textId="77777777" w:rsidR="00296471" w:rsidRPr="0019444B" w:rsidRDefault="00296471" w:rsidP="00CF2655">
            <w:pPr>
              <w:keepNext/>
              <w:keepLines/>
              <w:jc w:val="center"/>
              <w:rPr>
                <w:rFonts w:ascii="Arial Narrow" w:hAnsi="Arial Narrow"/>
                <w:sz w:val="20"/>
                <w:szCs w:val="20"/>
              </w:rPr>
            </w:pPr>
            <w:r w:rsidRPr="0019444B">
              <w:rPr>
                <w:rFonts w:ascii="Arial Narrow" w:hAnsi="Arial Narrow" w:cs="Calibri Light"/>
                <w:kern w:val="24"/>
                <w:sz w:val="20"/>
                <w:szCs w:val="20"/>
              </w:rPr>
              <w:t>177.9</w:t>
            </w:r>
          </w:p>
        </w:tc>
      </w:tr>
    </w:tbl>
    <w:p w14:paraId="06FEB945" w14:textId="39431D40" w:rsidR="00296471" w:rsidRPr="0019444B" w:rsidRDefault="00296471" w:rsidP="00CF2655">
      <w:pPr>
        <w:keepNext/>
        <w:keepLines/>
        <w:ind w:right="-164"/>
        <w:contextualSpacing/>
        <w:rPr>
          <w:rFonts w:ascii="Arial Narrow" w:hAnsi="Arial Narrow"/>
          <w:snapToGrid w:val="0"/>
          <w:sz w:val="18"/>
          <w:szCs w:val="18"/>
        </w:rPr>
      </w:pPr>
      <w:r w:rsidRPr="0019444B">
        <w:rPr>
          <w:rFonts w:ascii="Arial Narrow" w:hAnsi="Arial Narrow"/>
          <w:snapToGrid w:val="0"/>
          <w:sz w:val="18"/>
          <w:szCs w:val="18"/>
        </w:rPr>
        <w:t>Source: Table 2.87, p.1</w:t>
      </w:r>
      <w:r w:rsidR="00921B3F" w:rsidRPr="0019444B">
        <w:rPr>
          <w:rFonts w:ascii="Arial Narrow" w:hAnsi="Arial Narrow"/>
          <w:snapToGrid w:val="0"/>
          <w:sz w:val="18"/>
          <w:szCs w:val="18"/>
        </w:rPr>
        <w:t>91</w:t>
      </w:r>
      <w:r w:rsidRPr="0019444B">
        <w:rPr>
          <w:rFonts w:ascii="Arial Narrow" w:hAnsi="Arial Narrow"/>
          <w:snapToGrid w:val="0"/>
          <w:sz w:val="18"/>
          <w:szCs w:val="18"/>
        </w:rPr>
        <w:t xml:space="preserve"> of the resubmission</w:t>
      </w:r>
    </w:p>
    <w:p w14:paraId="751647DB" w14:textId="61F87ACD" w:rsidR="00296471" w:rsidRPr="0019444B" w:rsidRDefault="00296471" w:rsidP="00CF2655">
      <w:pPr>
        <w:keepNext/>
        <w:keepLines/>
        <w:spacing w:after="120"/>
        <w:ind w:right="-164"/>
        <w:rPr>
          <w:color w:val="3366FF"/>
          <w:sz w:val="18"/>
          <w:szCs w:val="18"/>
        </w:rPr>
      </w:pPr>
      <w:r w:rsidRPr="0019444B">
        <w:rPr>
          <w:rFonts w:ascii="Arial Narrow" w:hAnsi="Arial Narrow"/>
          <w:sz w:val="18"/>
          <w:szCs w:val="18"/>
        </w:rPr>
        <w:t>ACA</w:t>
      </w:r>
      <w:r w:rsidR="00975F57" w:rsidRPr="0019444B">
        <w:rPr>
          <w:rFonts w:ascii="Arial Narrow" w:hAnsi="Arial Narrow"/>
          <w:sz w:val="18"/>
          <w:szCs w:val="18"/>
        </w:rPr>
        <w:t xml:space="preserve"> </w:t>
      </w:r>
      <w:r w:rsidRPr="0019444B">
        <w:rPr>
          <w:rFonts w:ascii="Arial Narrow" w:hAnsi="Arial Narrow"/>
          <w:sz w:val="18"/>
          <w:szCs w:val="18"/>
        </w:rPr>
        <w:t>= acalabrutinib, CHL</w:t>
      </w:r>
      <w:r w:rsidR="00975F57" w:rsidRPr="0019444B">
        <w:rPr>
          <w:rFonts w:ascii="Arial Narrow" w:hAnsi="Arial Narrow"/>
          <w:sz w:val="18"/>
          <w:szCs w:val="18"/>
        </w:rPr>
        <w:t xml:space="preserve"> </w:t>
      </w:r>
      <w:r w:rsidRPr="0019444B">
        <w:rPr>
          <w:rFonts w:ascii="Arial Narrow" w:hAnsi="Arial Narrow"/>
          <w:sz w:val="18"/>
          <w:szCs w:val="18"/>
        </w:rPr>
        <w:t xml:space="preserve">= chlorambucil, </w:t>
      </w:r>
      <w:r w:rsidR="00F17B41" w:rsidRPr="0019444B">
        <w:rPr>
          <w:rFonts w:ascii="Arial Narrow" w:hAnsi="Arial Narrow"/>
          <w:sz w:val="18"/>
          <w:szCs w:val="18"/>
        </w:rPr>
        <w:t xml:space="preserve">MAIC = matching adjusted indirect comparison, </w:t>
      </w:r>
      <w:r w:rsidRPr="0019444B">
        <w:rPr>
          <w:rFonts w:ascii="Arial Narrow" w:hAnsi="Arial Narrow"/>
          <w:sz w:val="18"/>
          <w:szCs w:val="18"/>
        </w:rPr>
        <w:t>OBIN</w:t>
      </w:r>
      <w:r w:rsidR="00975F57" w:rsidRPr="0019444B">
        <w:rPr>
          <w:rFonts w:ascii="Arial Narrow" w:hAnsi="Arial Narrow"/>
          <w:sz w:val="18"/>
          <w:szCs w:val="18"/>
        </w:rPr>
        <w:t xml:space="preserve"> </w:t>
      </w:r>
      <w:r w:rsidRPr="0019444B">
        <w:rPr>
          <w:rFonts w:ascii="Arial Narrow" w:hAnsi="Arial Narrow"/>
          <w:sz w:val="18"/>
          <w:szCs w:val="18"/>
        </w:rPr>
        <w:t>= obinutuzumab, OS</w:t>
      </w:r>
      <w:r w:rsidR="00975F57" w:rsidRPr="0019444B">
        <w:rPr>
          <w:rFonts w:ascii="Arial Narrow" w:hAnsi="Arial Narrow"/>
          <w:sz w:val="18"/>
          <w:szCs w:val="18"/>
        </w:rPr>
        <w:t xml:space="preserve"> </w:t>
      </w:r>
      <w:r w:rsidRPr="0019444B">
        <w:rPr>
          <w:rFonts w:ascii="Arial Narrow" w:hAnsi="Arial Narrow"/>
          <w:sz w:val="18"/>
          <w:szCs w:val="18"/>
        </w:rPr>
        <w:t xml:space="preserve">= overall </w:t>
      </w:r>
      <w:r w:rsidR="00617F2B" w:rsidRPr="0019444B">
        <w:rPr>
          <w:rFonts w:ascii="Arial Narrow" w:hAnsi="Arial Narrow"/>
          <w:sz w:val="18"/>
          <w:szCs w:val="18"/>
        </w:rPr>
        <w:t>survival</w:t>
      </w:r>
      <w:r w:rsidRPr="0019444B">
        <w:rPr>
          <w:rFonts w:ascii="Arial Narrow" w:hAnsi="Arial Narrow"/>
          <w:sz w:val="18"/>
          <w:szCs w:val="18"/>
        </w:rPr>
        <w:t>, PFS</w:t>
      </w:r>
      <w:r w:rsidR="00975F57" w:rsidRPr="0019444B">
        <w:rPr>
          <w:rFonts w:ascii="Arial Narrow" w:hAnsi="Arial Narrow"/>
          <w:sz w:val="18"/>
          <w:szCs w:val="18"/>
        </w:rPr>
        <w:t xml:space="preserve"> </w:t>
      </w:r>
      <w:r w:rsidRPr="0019444B">
        <w:rPr>
          <w:rFonts w:ascii="Arial Narrow" w:hAnsi="Arial Narrow"/>
          <w:sz w:val="18"/>
          <w:szCs w:val="18"/>
        </w:rPr>
        <w:t>= progression free survival</w:t>
      </w:r>
      <w:r w:rsidR="00F05AB2" w:rsidRPr="0019444B">
        <w:rPr>
          <w:rFonts w:ascii="Arial Narrow" w:hAnsi="Arial Narrow"/>
          <w:sz w:val="18"/>
          <w:szCs w:val="18"/>
        </w:rPr>
        <w:t>, mono</w:t>
      </w:r>
      <w:r w:rsidR="00975F57" w:rsidRPr="0019444B">
        <w:rPr>
          <w:rFonts w:ascii="Arial Narrow" w:hAnsi="Arial Narrow"/>
          <w:sz w:val="18"/>
          <w:szCs w:val="18"/>
        </w:rPr>
        <w:t xml:space="preserve"> </w:t>
      </w:r>
      <w:r w:rsidR="00F05AB2" w:rsidRPr="0019444B">
        <w:rPr>
          <w:rFonts w:ascii="Arial Narrow" w:hAnsi="Arial Narrow"/>
          <w:sz w:val="18"/>
          <w:szCs w:val="18"/>
        </w:rPr>
        <w:t>= monotherapy</w:t>
      </w:r>
    </w:p>
    <w:bookmarkEnd w:id="33"/>
    <w:p w14:paraId="1F28CC07" w14:textId="77777777" w:rsidR="00296471" w:rsidRPr="0019444B" w:rsidRDefault="00296471" w:rsidP="00296471">
      <w:pPr>
        <w:spacing w:after="120"/>
        <w:rPr>
          <w:b/>
          <w:bCs/>
          <w:snapToGrid w:val="0"/>
        </w:rPr>
      </w:pPr>
      <w:r w:rsidRPr="0019444B">
        <w:rPr>
          <w:b/>
          <w:bCs/>
          <w:snapToGrid w:val="0"/>
        </w:rPr>
        <w:t>Indirect Comparison of Effectiveness</w:t>
      </w:r>
    </w:p>
    <w:p w14:paraId="7E443FE7" w14:textId="358B7789" w:rsidR="00176343" w:rsidRPr="0019444B" w:rsidRDefault="00176343" w:rsidP="00BB1C6D">
      <w:pPr>
        <w:pStyle w:val="3-BodyText"/>
        <w:numPr>
          <w:ilvl w:val="1"/>
          <w:numId w:val="1"/>
        </w:numPr>
        <w:ind w:left="709" w:hanging="709"/>
      </w:pPr>
      <w:r w:rsidRPr="0019444B">
        <w:t xml:space="preserve">The PFS </w:t>
      </w:r>
      <w:r w:rsidR="00AC41D0" w:rsidRPr="0019444B">
        <w:t>results</w:t>
      </w:r>
      <w:r w:rsidRPr="0019444B">
        <w:t xml:space="preserve"> from the ELEVATE-TN</w:t>
      </w:r>
      <w:r w:rsidR="003D3396" w:rsidRPr="0019444B">
        <w:t xml:space="preserve"> trial (58.2 month follow-up)</w:t>
      </w:r>
      <w:r w:rsidRPr="0019444B">
        <w:t xml:space="preserve"> and the CLL-14 trial</w:t>
      </w:r>
      <w:r w:rsidR="003D3396" w:rsidRPr="0019444B">
        <w:t xml:space="preserve"> (52.4 month follow-up)</w:t>
      </w:r>
      <w:r w:rsidRPr="0019444B">
        <w:t xml:space="preserve"> are presented in</w:t>
      </w:r>
      <w:r w:rsidR="008306B1" w:rsidRPr="0019444B">
        <w:t xml:space="preserve"> </w:t>
      </w:r>
      <w:r w:rsidR="008306B1" w:rsidRPr="0019444B">
        <w:fldChar w:fldCharType="begin" w:fldLock="1"/>
      </w:r>
      <w:r w:rsidR="008306B1" w:rsidRPr="0019444B">
        <w:instrText xml:space="preserve"> REF _Ref138059838 \h  \* MERGEFORMAT </w:instrText>
      </w:r>
      <w:r w:rsidR="008306B1" w:rsidRPr="0019444B">
        <w:fldChar w:fldCharType="separate"/>
      </w:r>
      <w:r w:rsidR="008306B1" w:rsidRPr="0019444B">
        <w:t xml:space="preserve">Figure </w:t>
      </w:r>
      <w:r w:rsidR="008306B1" w:rsidRPr="00EB0E37">
        <w:t>1</w:t>
      </w:r>
      <w:r w:rsidR="008306B1" w:rsidRPr="0019444B">
        <w:fldChar w:fldCharType="end"/>
      </w:r>
      <w:r w:rsidR="008306B1" w:rsidRPr="0019444B">
        <w:t xml:space="preserve"> and </w:t>
      </w:r>
      <w:r w:rsidR="008306B1" w:rsidRPr="0019444B">
        <w:fldChar w:fldCharType="begin" w:fldLock="1"/>
      </w:r>
      <w:r w:rsidR="008306B1" w:rsidRPr="0019444B">
        <w:instrText xml:space="preserve"> REF _Ref138059850 \h  \* MERGEFORMAT </w:instrText>
      </w:r>
      <w:r w:rsidR="008306B1" w:rsidRPr="0019444B">
        <w:fldChar w:fldCharType="separate"/>
      </w:r>
      <w:r w:rsidR="008306B1" w:rsidRPr="0019444B">
        <w:t xml:space="preserve">Figure </w:t>
      </w:r>
      <w:r w:rsidR="008306B1" w:rsidRPr="00EB0E37">
        <w:t>2</w:t>
      </w:r>
      <w:r w:rsidR="008306B1" w:rsidRPr="0019444B">
        <w:fldChar w:fldCharType="end"/>
      </w:r>
      <w:r w:rsidRPr="0019444B">
        <w:t>. These data were included in the previous resubmission.</w:t>
      </w:r>
      <w:r w:rsidR="00AC41D0" w:rsidRPr="0019444B">
        <w:t xml:space="preserve"> </w:t>
      </w:r>
    </w:p>
    <w:p w14:paraId="7697AF9E" w14:textId="5809E78E" w:rsidR="003D3396" w:rsidRPr="0019444B" w:rsidRDefault="00E50028" w:rsidP="00E50028">
      <w:pPr>
        <w:pStyle w:val="Caption"/>
      </w:pPr>
      <w:bookmarkStart w:id="34" w:name="_Ref138059838"/>
      <w:r w:rsidRPr="0019444B">
        <w:t xml:space="preserve">Figure </w:t>
      </w:r>
      <w:r w:rsidR="007C4FC4" w:rsidRPr="00EB0E37">
        <w:fldChar w:fldCharType="begin" w:fldLock="1"/>
      </w:r>
      <w:r w:rsidR="007C4FC4" w:rsidRPr="0019444B">
        <w:instrText xml:space="preserve"> SEQ Figure \* ARABIC </w:instrText>
      </w:r>
      <w:r w:rsidR="007C4FC4" w:rsidRPr="00EB0E37">
        <w:fldChar w:fldCharType="separate"/>
      </w:r>
      <w:r w:rsidRPr="00EB0E37">
        <w:t>1</w:t>
      </w:r>
      <w:r w:rsidR="007C4FC4" w:rsidRPr="00EB0E37">
        <w:fldChar w:fldCharType="end"/>
      </w:r>
      <w:bookmarkEnd w:id="34"/>
      <w:r w:rsidR="003D3396" w:rsidRPr="0019444B">
        <w:t xml:space="preserve"> Kaplan-Meier Plot for investigator-assessed PFS (ITT Population) in ELEVATE-TN at median follow-up of 58.2-months.</w:t>
      </w:r>
    </w:p>
    <w:p w14:paraId="3439319E" w14:textId="77777777" w:rsidR="003D3396" w:rsidRPr="0019444B" w:rsidRDefault="003D3396" w:rsidP="00E50028">
      <w:pPr>
        <w:ind w:right="-164"/>
        <w:contextualSpacing/>
        <w:rPr>
          <w:rFonts w:ascii="Arial Narrow" w:hAnsi="Arial Narrow"/>
          <w:sz w:val="18"/>
          <w:szCs w:val="18"/>
        </w:rPr>
      </w:pPr>
      <w:r w:rsidRPr="001B0C0A">
        <w:rPr>
          <w:rFonts w:ascii="Arial Narrow" w:hAnsi="Arial Narrow"/>
          <w:noProof/>
          <w:snapToGrid w:val="0"/>
          <w:sz w:val="18"/>
          <w:szCs w:val="18"/>
        </w:rPr>
        <w:drawing>
          <wp:inline distT="0" distB="0" distL="0" distR="0" wp14:anchorId="67598FF1" wp14:editId="71F410D3">
            <wp:extent cx="5733415" cy="2066059"/>
            <wp:effectExtent l="19050" t="19050" r="19685" b="10795"/>
            <wp:docPr id="125" name="Picture 12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rotWithShape="1">
                    <a:blip r:embed="rId8"/>
                    <a:srcRect l="1335" r="2156"/>
                    <a:stretch/>
                  </pic:blipFill>
                  <pic:spPr bwMode="auto">
                    <a:xfrm>
                      <a:off x="0" y="0"/>
                      <a:ext cx="5904430" cy="212768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11313F8F" w14:textId="42758C6D" w:rsidR="003D3396" w:rsidRPr="0019444B" w:rsidRDefault="003D3396" w:rsidP="00E50028">
      <w:pPr>
        <w:ind w:right="-164"/>
        <w:contextualSpacing/>
        <w:rPr>
          <w:rFonts w:ascii="Arial Narrow" w:hAnsi="Arial Narrow"/>
          <w:sz w:val="18"/>
          <w:szCs w:val="18"/>
        </w:rPr>
      </w:pPr>
      <w:r w:rsidRPr="0019444B">
        <w:rPr>
          <w:rFonts w:ascii="Arial Narrow" w:hAnsi="Arial Narrow"/>
          <w:snapToGrid w:val="0"/>
          <w:sz w:val="18"/>
          <w:szCs w:val="18"/>
        </w:rPr>
        <w:t>S</w:t>
      </w:r>
      <w:r w:rsidRPr="0019444B">
        <w:rPr>
          <w:rFonts w:ascii="Arial Narrow" w:hAnsi="Arial Narrow"/>
          <w:sz w:val="18"/>
          <w:szCs w:val="18"/>
        </w:rPr>
        <w:t>ource: Figure 2.4, p</w:t>
      </w:r>
      <w:r w:rsidR="00875009" w:rsidRPr="0019444B">
        <w:rPr>
          <w:rFonts w:ascii="Arial Narrow" w:hAnsi="Arial Narrow"/>
          <w:sz w:val="18"/>
          <w:szCs w:val="18"/>
        </w:rPr>
        <w:t>.</w:t>
      </w:r>
      <w:r w:rsidRPr="0019444B">
        <w:rPr>
          <w:rFonts w:ascii="Arial Narrow" w:hAnsi="Arial Narrow"/>
          <w:sz w:val="18"/>
          <w:szCs w:val="18"/>
        </w:rPr>
        <w:t>117 of the resubmission</w:t>
      </w:r>
    </w:p>
    <w:p w14:paraId="29601D87" w14:textId="55A77269" w:rsidR="003D3396" w:rsidRPr="0019444B" w:rsidRDefault="003D3396" w:rsidP="00CA022C">
      <w:pPr>
        <w:spacing w:after="120"/>
        <w:ind w:right="-164"/>
        <w:contextualSpacing/>
        <w:rPr>
          <w:rFonts w:ascii="Arial Narrow" w:hAnsi="Arial Narrow"/>
          <w:sz w:val="18"/>
          <w:szCs w:val="18"/>
        </w:rPr>
      </w:pPr>
      <w:r w:rsidRPr="0019444B">
        <w:rPr>
          <w:rFonts w:ascii="Arial Narrow" w:hAnsi="Arial Narrow"/>
          <w:sz w:val="18"/>
          <w:szCs w:val="18"/>
        </w:rPr>
        <w:t>A= acalabrutinib, O= obinutuzumab NR= not reported, Clb=</w:t>
      </w:r>
      <w:r w:rsidR="00804997" w:rsidRPr="0019444B">
        <w:rPr>
          <w:rFonts w:ascii="Arial Narrow" w:hAnsi="Arial Narrow"/>
          <w:sz w:val="18"/>
          <w:szCs w:val="18"/>
        </w:rPr>
        <w:t xml:space="preserve"> </w:t>
      </w:r>
      <w:r w:rsidRPr="0019444B">
        <w:rPr>
          <w:rFonts w:ascii="Arial Narrow" w:hAnsi="Arial Narrow"/>
          <w:sz w:val="18"/>
          <w:szCs w:val="18"/>
        </w:rPr>
        <w:t>chlorambucil, PFS= progression-free survival</w:t>
      </w:r>
    </w:p>
    <w:p w14:paraId="33900E39" w14:textId="6D5716AB" w:rsidR="003D3396" w:rsidRPr="0019444B" w:rsidRDefault="00E50028" w:rsidP="004E3AF5">
      <w:pPr>
        <w:pStyle w:val="TableHeading0"/>
        <w:spacing w:before="0" w:after="0" w:line="240" w:lineRule="auto"/>
        <w:rPr>
          <w:b w:val="0"/>
          <w:bCs/>
        </w:rPr>
      </w:pPr>
      <w:bookmarkStart w:id="35" w:name="_Ref138059850"/>
      <w:r w:rsidRPr="0019444B">
        <w:t xml:space="preserve">Figure </w:t>
      </w:r>
      <w:r w:rsidR="007C4FC4" w:rsidRPr="00EB0E37">
        <w:fldChar w:fldCharType="begin" w:fldLock="1"/>
      </w:r>
      <w:r w:rsidR="007C4FC4" w:rsidRPr="0019444B">
        <w:instrText xml:space="preserve"> SEQ Figure \* ARABIC </w:instrText>
      </w:r>
      <w:r w:rsidR="007C4FC4" w:rsidRPr="00EB0E37">
        <w:fldChar w:fldCharType="separate"/>
      </w:r>
      <w:r w:rsidRPr="00EB0E37">
        <w:t>2</w:t>
      </w:r>
      <w:r w:rsidR="007C4FC4" w:rsidRPr="00EB0E37">
        <w:fldChar w:fldCharType="end"/>
      </w:r>
      <w:bookmarkEnd w:id="35"/>
      <w:r w:rsidRPr="0019444B">
        <w:t xml:space="preserve"> </w:t>
      </w:r>
      <w:r w:rsidR="003D3396" w:rsidRPr="0019444B">
        <w:t>Kaplan-Meier Plot for investigator-assessed PFS (ITT Population) in CLL-14 at median follow-up of 52.4-months</w:t>
      </w:r>
      <w:r w:rsidR="00C60321">
        <w:t xml:space="preserve"> </w:t>
      </w:r>
      <w:r w:rsidR="00C60321" w:rsidRPr="00C60321">
        <w:t xml:space="preserve">(HR: </w:t>
      </w:r>
      <w:r w:rsidR="00C60321" w:rsidRPr="00EB0E37">
        <w:t>0.33; 95% CI 0.25, 0.45; p</w:t>
      </w:r>
      <w:r w:rsidR="00C60321" w:rsidRPr="00C60321">
        <w:t>&lt;0.0001)</w:t>
      </w:r>
    </w:p>
    <w:p w14:paraId="387E78C0" w14:textId="77777777" w:rsidR="003D3396" w:rsidRPr="0019444B" w:rsidRDefault="003D3396" w:rsidP="004E3AF5">
      <w:pPr>
        <w:keepNext/>
      </w:pPr>
      <w:r w:rsidRPr="001B0C0A">
        <w:rPr>
          <w:noProof/>
        </w:rPr>
        <w:drawing>
          <wp:inline distT="0" distB="0" distL="0" distR="0" wp14:anchorId="029F7B79" wp14:editId="5D3C2457">
            <wp:extent cx="5125897" cy="2066290"/>
            <wp:effectExtent l="19050" t="19050" r="17780" b="10160"/>
            <wp:docPr id="126" name="Picture 1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Chart, line chart&#10;&#10;Description automatically generated"/>
                    <pic:cNvPicPr/>
                  </pic:nvPicPr>
                  <pic:blipFill rotWithShape="1">
                    <a:blip r:embed="rId9"/>
                    <a:srcRect l="971" t="1661" r="1713" b="6671"/>
                    <a:stretch/>
                  </pic:blipFill>
                  <pic:spPr bwMode="auto">
                    <a:xfrm>
                      <a:off x="0" y="0"/>
                      <a:ext cx="5177678" cy="2087163"/>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6EB21A2" w14:textId="3298FA47" w:rsidR="003D3396" w:rsidRPr="0019444B" w:rsidRDefault="003D3396" w:rsidP="004E3AF5">
      <w:pPr>
        <w:keepNext/>
        <w:ind w:right="-1"/>
        <w:rPr>
          <w:rFonts w:ascii="Arial Narrow" w:hAnsi="Arial Narrow"/>
          <w:sz w:val="18"/>
          <w:szCs w:val="18"/>
        </w:rPr>
      </w:pPr>
      <w:r w:rsidRPr="0019444B">
        <w:rPr>
          <w:rFonts w:ascii="Arial Narrow" w:hAnsi="Arial Narrow"/>
          <w:sz w:val="18"/>
          <w:szCs w:val="18"/>
        </w:rPr>
        <w:t>Source: Figure 2.5, p</w:t>
      </w:r>
      <w:r w:rsidR="00875009" w:rsidRPr="0019444B">
        <w:rPr>
          <w:rFonts w:ascii="Arial Narrow" w:hAnsi="Arial Narrow"/>
          <w:sz w:val="18"/>
          <w:szCs w:val="18"/>
        </w:rPr>
        <w:t>.</w:t>
      </w:r>
      <w:r w:rsidRPr="0019444B">
        <w:rPr>
          <w:rFonts w:ascii="Arial Narrow" w:hAnsi="Arial Narrow"/>
          <w:sz w:val="18"/>
          <w:szCs w:val="18"/>
        </w:rPr>
        <w:t>120 of the resubmission</w:t>
      </w:r>
    </w:p>
    <w:p w14:paraId="6576336B" w14:textId="77777777" w:rsidR="003D3396" w:rsidRPr="0019444B" w:rsidRDefault="003D3396" w:rsidP="00CA022C">
      <w:pPr>
        <w:widowControl w:val="0"/>
        <w:spacing w:after="120"/>
        <w:ind w:right="-1"/>
        <w:rPr>
          <w:rFonts w:ascii="Arial Narrow" w:hAnsi="Arial Narrow"/>
          <w:sz w:val="18"/>
          <w:szCs w:val="18"/>
        </w:rPr>
      </w:pPr>
      <w:r w:rsidRPr="0019444B">
        <w:rPr>
          <w:rFonts w:ascii="Arial Narrow" w:hAnsi="Arial Narrow"/>
          <w:sz w:val="18"/>
          <w:szCs w:val="18"/>
        </w:rPr>
        <w:t>A= acalabrutinib, O= obinutuzumab NR= not reported, Clb= chlorambucil, PFS= progression-free survival</w:t>
      </w:r>
    </w:p>
    <w:p w14:paraId="7B27DFD6" w14:textId="56AE7EB2" w:rsidR="00296471" w:rsidRPr="0019444B" w:rsidRDefault="00296471" w:rsidP="00BB1C6D">
      <w:pPr>
        <w:pStyle w:val="3-BodyText"/>
        <w:numPr>
          <w:ilvl w:val="1"/>
          <w:numId w:val="1"/>
        </w:numPr>
        <w:ind w:left="709" w:hanging="709"/>
      </w:pPr>
      <w:r w:rsidRPr="0019444B">
        <w:t>The comparative effectiveness</w:t>
      </w:r>
      <w:r w:rsidR="008306B1" w:rsidRPr="0019444B">
        <w:t xml:space="preserve"> for PFS and OS</w:t>
      </w:r>
      <w:r w:rsidR="001E7DEF" w:rsidRPr="0019444B">
        <w:t>,</w:t>
      </w:r>
      <w:r w:rsidRPr="0019444B">
        <w:t xml:space="preserve"> based on </w:t>
      </w:r>
      <w:r w:rsidR="00FB21A2" w:rsidRPr="0019444B">
        <w:t>the</w:t>
      </w:r>
      <w:r w:rsidRPr="0019444B">
        <w:t xml:space="preserve"> updated MAIC </w:t>
      </w:r>
      <w:r w:rsidR="000059BC" w:rsidRPr="0019444B">
        <w:t>is</w:t>
      </w:r>
      <w:r w:rsidRPr="0019444B">
        <w:t xml:space="preserve"> presented in </w:t>
      </w:r>
      <w:r w:rsidR="00332019" w:rsidRPr="0019444B">
        <w:fldChar w:fldCharType="begin" w:fldLock="1"/>
      </w:r>
      <w:r w:rsidR="00332019" w:rsidRPr="0019444B">
        <w:instrText xml:space="preserve"> REF _Ref132529462 \h </w:instrText>
      </w:r>
      <w:r w:rsidR="00332019" w:rsidRPr="0019444B">
        <w:fldChar w:fldCharType="separate"/>
      </w:r>
      <w:r w:rsidR="00332019" w:rsidRPr="0019444B">
        <w:t xml:space="preserve">Table </w:t>
      </w:r>
      <w:r w:rsidR="00332019" w:rsidRPr="0019444B">
        <w:fldChar w:fldCharType="end"/>
      </w:r>
      <w:r w:rsidR="00C61BAC" w:rsidRPr="0019444B">
        <w:t>7</w:t>
      </w:r>
      <w:r w:rsidRPr="0019444B">
        <w:t>.</w:t>
      </w:r>
    </w:p>
    <w:p w14:paraId="2E52164D" w14:textId="2A6B1951" w:rsidR="00296471" w:rsidRPr="0019444B" w:rsidRDefault="00332019" w:rsidP="00735669">
      <w:pPr>
        <w:pStyle w:val="Caption"/>
        <w:keepLines w:val="0"/>
        <w:ind w:right="-284"/>
        <w:jc w:val="left"/>
      </w:pPr>
      <w:bookmarkStart w:id="36" w:name="_Ref132529462"/>
      <w:bookmarkStart w:id="37" w:name="_Hlk131581535"/>
      <w:r w:rsidRPr="0019444B">
        <w:t>Table</w:t>
      </w:r>
      <w:bookmarkEnd w:id="36"/>
      <w:r w:rsidR="00DC65C9" w:rsidRPr="0019444B">
        <w:t xml:space="preserve"> </w:t>
      </w:r>
      <w:r w:rsidR="007C4FC4" w:rsidRPr="00EB0E37">
        <w:fldChar w:fldCharType="begin" w:fldLock="1"/>
      </w:r>
      <w:r w:rsidR="007C4FC4" w:rsidRPr="0019444B">
        <w:instrText xml:space="preserve"> SEQ Table \* ARABIC </w:instrText>
      </w:r>
      <w:r w:rsidR="007C4FC4" w:rsidRPr="00EB0E37">
        <w:fldChar w:fldCharType="separate"/>
      </w:r>
      <w:r w:rsidR="007C39B4" w:rsidRPr="00EB0E37">
        <w:t>7</w:t>
      </w:r>
      <w:r w:rsidR="007C4FC4" w:rsidRPr="00EB0E37">
        <w:fldChar w:fldCharType="end"/>
      </w:r>
      <w:r w:rsidR="00296471" w:rsidRPr="0019444B">
        <w:t xml:space="preserve">: Results </w:t>
      </w:r>
      <w:bookmarkStart w:id="38" w:name="_Hlk132129188"/>
      <w:r w:rsidR="00296471" w:rsidRPr="0019444B">
        <w:t xml:space="preserve">of the updated MAIC </w:t>
      </w:r>
      <w:bookmarkEnd w:id="38"/>
      <w:r w:rsidR="00296471" w:rsidRPr="0019444B">
        <w:t>of ACA</w:t>
      </w:r>
      <w:r w:rsidR="00A45ED6" w:rsidRPr="0019444B">
        <w:t>+/-</w:t>
      </w:r>
      <w:r w:rsidR="00296471" w:rsidRPr="0019444B">
        <w:t>OBIN (58.2-month median follow-up) vs VTX+OBIN (52.4-month median follow-up)</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2406"/>
        <w:gridCol w:w="2543"/>
      </w:tblGrid>
      <w:tr w:rsidR="00296471" w:rsidRPr="0019444B" w14:paraId="6BD7B421" w14:textId="77777777" w:rsidTr="00141BCC">
        <w:tc>
          <w:tcPr>
            <w:tcW w:w="2256" w:type="pct"/>
          </w:tcPr>
          <w:bookmarkEnd w:id="37"/>
          <w:p w14:paraId="1E2E49E9" w14:textId="77777777" w:rsidR="00296471" w:rsidRPr="0019444B" w:rsidRDefault="00296471" w:rsidP="00735669">
            <w:pPr>
              <w:keepNext/>
              <w:rPr>
                <w:rFonts w:ascii="Arial Narrow" w:hAnsi="Arial Narrow"/>
                <w:b/>
                <w:bCs/>
                <w:sz w:val="20"/>
              </w:rPr>
            </w:pPr>
            <w:r w:rsidRPr="0019444B">
              <w:rPr>
                <w:rFonts w:ascii="Arial Narrow" w:hAnsi="Arial Narrow"/>
                <w:b/>
                <w:bCs/>
                <w:sz w:val="20"/>
              </w:rPr>
              <w:t>Effectiveness outcomes</w:t>
            </w:r>
          </w:p>
        </w:tc>
        <w:tc>
          <w:tcPr>
            <w:tcW w:w="1334" w:type="pct"/>
            <w:vAlign w:val="center"/>
          </w:tcPr>
          <w:p w14:paraId="70D6437D" w14:textId="77777777" w:rsidR="00296471" w:rsidRPr="0019444B" w:rsidRDefault="00296471" w:rsidP="00735669">
            <w:pPr>
              <w:keepNext/>
              <w:ind w:left="130"/>
              <w:jc w:val="center"/>
              <w:rPr>
                <w:rFonts w:ascii="Arial Narrow" w:hAnsi="Arial Narrow"/>
                <w:b/>
                <w:bCs/>
                <w:sz w:val="20"/>
                <w:szCs w:val="20"/>
              </w:rPr>
            </w:pPr>
            <w:r w:rsidRPr="0019444B">
              <w:rPr>
                <w:rFonts w:ascii="Arial Narrow" w:eastAsia="Calibri Light" w:hAnsi="Arial Narrow" w:cs="Calibri Light"/>
                <w:b/>
                <w:bCs/>
                <w:kern w:val="24"/>
                <w:sz w:val="20"/>
                <w:szCs w:val="20"/>
              </w:rPr>
              <w:t>ACA vs VTX+OBIN</w:t>
            </w:r>
          </w:p>
        </w:tc>
        <w:tc>
          <w:tcPr>
            <w:tcW w:w="1410" w:type="pct"/>
            <w:vAlign w:val="center"/>
          </w:tcPr>
          <w:p w14:paraId="66E7F610" w14:textId="77777777" w:rsidR="00296471" w:rsidRPr="00EB0E37" w:rsidRDefault="00296471" w:rsidP="00735669">
            <w:pPr>
              <w:keepNext/>
              <w:jc w:val="center"/>
              <w:rPr>
                <w:rFonts w:ascii="Arial Narrow" w:hAnsi="Arial Narrow"/>
                <w:b/>
                <w:sz w:val="20"/>
              </w:rPr>
            </w:pPr>
            <w:r w:rsidRPr="00EB0E37">
              <w:rPr>
                <w:rFonts w:ascii="Arial Narrow" w:eastAsia="Calibri Light" w:hAnsi="Arial Narrow" w:cs="Calibri Light"/>
                <w:b/>
                <w:bCs/>
                <w:kern w:val="24"/>
                <w:sz w:val="20"/>
                <w:szCs w:val="20"/>
              </w:rPr>
              <w:t>ACA+OBIN vs VTX+OBIN</w:t>
            </w:r>
          </w:p>
        </w:tc>
      </w:tr>
      <w:tr w:rsidR="00296471" w:rsidRPr="0019444B" w14:paraId="4EA0B758" w14:textId="77777777" w:rsidTr="00141BCC">
        <w:tc>
          <w:tcPr>
            <w:tcW w:w="5000" w:type="pct"/>
            <w:gridSpan w:val="3"/>
            <w:vAlign w:val="center"/>
          </w:tcPr>
          <w:p w14:paraId="4D263A8B" w14:textId="77777777" w:rsidR="00296471" w:rsidRPr="0019444B" w:rsidRDefault="00296471" w:rsidP="00735669">
            <w:pPr>
              <w:keepNext/>
              <w:rPr>
                <w:rFonts w:ascii="Arial Narrow" w:hAnsi="Arial Narrow"/>
                <w:sz w:val="20"/>
                <w:szCs w:val="20"/>
              </w:rPr>
            </w:pPr>
            <w:r w:rsidRPr="0019444B">
              <w:rPr>
                <w:rFonts w:ascii="Arial Narrow" w:hAnsi="Arial Narrow"/>
                <w:b/>
                <w:sz w:val="20"/>
                <w:szCs w:val="20"/>
              </w:rPr>
              <w:t>Progression free survival (PFS): HR (95% CI)</w:t>
            </w:r>
          </w:p>
        </w:tc>
      </w:tr>
      <w:tr w:rsidR="00296471" w:rsidRPr="0019444B" w14:paraId="294EFAA2" w14:textId="77777777" w:rsidTr="00141BCC">
        <w:tc>
          <w:tcPr>
            <w:tcW w:w="2256" w:type="pct"/>
          </w:tcPr>
          <w:p w14:paraId="06A68470" w14:textId="77777777" w:rsidR="00296471" w:rsidRPr="0019444B" w:rsidRDefault="00296471" w:rsidP="00735669">
            <w:pPr>
              <w:keepNext/>
              <w:jc w:val="left"/>
              <w:rPr>
                <w:rFonts w:ascii="Arial Narrow" w:hAnsi="Arial Narrow"/>
                <w:sz w:val="20"/>
                <w:szCs w:val="20"/>
              </w:rPr>
            </w:pPr>
            <w:r w:rsidRPr="0019444B">
              <w:rPr>
                <w:rFonts w:ascii="Arial Narrow" w:eastAsia="Calibri Light" w:hAnsi="Arial Narrow" w:cs="Calibri Light"/>
                <w:kern w:val="24"/>
                <w:sz w:val="20"/>
                <w:szCs w:val="20"/>
              </w:rPr>
              <w:t>Unweighted</w:t>
            </w:r>
          </w:p>
        </w:tc>
        <w:tc>
          <w:tcPr>
            <w:tcW w:w="1334" w:type="pct"/>
            <w:vAlign w:val="center"/>
          </w:tcPr>
          <w:p w14:paraId="3D336B85" w14:textId="77777777" w:rsidR="00296471" w:rsidRPr="0019444B" w:rsidRDefault="00296471" w:rsidP="00735669">
            <w:pPr>
              <w:keepNext/>
              <w:rPr>
                <w:rFonts w:ascii="Arial Narrow" w:hAnsi="Arial Narrow"/>
                <w:sz w:val="20"/>
              </w:rPr>
            </w:pPr>
            <w:r w:rsidRPr="0019444B">
              <w:rPr>
                <w:rFonts w:ascii="Arial Narrow" w:hAnsi="Arial Narrow"/>
                <w:sz w:val="20"/>
              </w:rPr>
              <w:t>0.65 (95% CI: 0.41, 1.01)</w:t>
            </w:r>
          </w:p>
        </w:tc>
        <w:tc>
          <w:tcPr>
            <w:tcW w:w="1410" w:type="pct"/>
            <w:vAlign w:val="center"/>
          </w:tcPr>
          <w:p w14:paraId="78B094F2" w14:textId="77777777" w:rsidR="00296471" w:rsidRPr="0019444B" w:rsidRDefault="00296471" w:rsidP="00735669">
            <w:pPr>
              <w:keepNext/>
              <w:ind w:left="130"/>
              <w:jc w:val="left"/>
              <w:rPr>
                <w:rFonts w:ascii="Arial Narrow" w:hAnsi="Arial Narrow"/>
                <w:b/>
                <w:bCs/>
                <w:sz w:val="20"/>
              </w:rPr>
            </w:pPr>
            <w:r w:rsidRPr="0019444B">
              <w:rPr>
                <w:rFonts w:ascii="Arial Narrow" w:eastAsia="Calibri Light" w:hAnsi="Arial Narrow" w:cs="Calibri Light"/>
                <w:b/>
                <w:bCs/>
                <w:kern w:val="24"/>
                <w:sz w:val="20"/>
                <w:szCs w:val="20"/>
              </w:rPr>
              <w:t>0.34 (95% CI: 0.20, 0.56)</w:t>
            </w:r>
          </w:p>
        </w:tc>
      </w:tr>
      <w:tr w:rsidR="00296471" w:rsidRPr="0019444B" w14:paraId="6312E2F9" w14:textId="77777777" w:rsidTr="00141BCC">
        <w:tc>
          <w:tcPr>
            <w:tcW w:w="2256" w:type="pct"/>
          </w:tcPr>
          <w:p w14:paraId="55F1CFEC" w14:textId="77777777" w:rsidR="00296471" w:rsidRPr="0019444B" w:rsidRDefault="00296471" w:rsidP="00735669">
            <w:pPr>
              <w:keepNext/>
              <w:jc w:val="left"/>
              <w:rPr>
                <w:rFonts w:ascii="Arial Narrow" w:hAnsi="Arial Narrow"/>
                <w:sz w:val="20"/>
                <w:szCs w:val="20"/>
              </w:rPr>
            </w:pPr>
            <w:r w:rsidRPr="0019444B">
              <w:rPr>
                <w:rFonts w:ascii="Arial Narrow" w:eastAsia="Calibri Light" w:hAnsi="Arial Narrow" w:cs="Calibri Light"/>
                <w:kern w:val="24"/>
                <w:sz w:val="20"/>
                <w:szCs w:val="20"/>
              </w:rPr>
              <w:t>Weighted</w:t>
            </w:r>
          </w:p>
        </w:tc>
        <w:tc>
          <w:tcPr>
            <w:tcW w:w="1334" w:type="pct"/>
            <w:vAlign w:val="center"/>
          </w:tcPr>
          <w:p w14:paraId="38C27DFB" w14:textId="77777777" w:rsidR="00296471" w:rsidRPr="0019444B" w:rsidRDefault="00296471" w:rsidP="00735669">
            <w:pPr>
              <w:keepNext/>
              <w:rPr>
                <w:rFonts w:ascii="Arial Narrow" w:eastAsia="Calibri Light" w:hAnsi="Arial Narrow" w:cs="Calibri Light"/>
                <w:kern w:val="24"/>
                <w:sz w:val="20"/>
                <w:szCs w:val="20"/>
              </w:rPr>
            </w:pPr>
            <w:r w:rsidRPr="0019444B">
              <w:rPr>
                <w:rFonts w:ascii="Arial Narrow" w:eastAsia="Calibri Light" w:hAnsi="Arial Narrow" w:cs="Calibri Light"/>
                <w:kern w:val="24"/>
                <w:sz w:val="20"/>
                <w:szCs w:val="20"/>
              </w:rPr>
              <w:t>0.65 (95% CI: 0.41, 1.03)</w:t>
            </w:r>
          </w:p>
        </w:tc>
        <w:tc>
          <w:tcPr>
            <w:tcW w:w="1410" w:type="pct"/>
            <w:vAlign w:val="center"/>
          </w:tcPr>
          <w:p w14:paraId="1867D995" w14:textId="77777777" w:rsidR="00296471" w:rsidRPr="0019444B" w:rsidRDefault="00296471" w:rsidP="00735669">
            <w:pPr>
              <w:keepNext/>
              <w:ind w:left="130"/>
              <w:jc w:val="left"/>
              <w:rPr>
                <w:rFonts w:ascii="Arial Narrow" w:hAnsi="Arial Narrow"/>
                <w:b/>
                <w:bCs/>
                <w:sz w:val="20"/>
              </w:rPr>
            </w:pPr>
            <w:r w:rsidRPr="0019444B">
              <w:rPr>
                <w:rFonts w:ascii="Arial Narrow" w:eastAsia="Calibri Light" w:hAnsi="Arial Narrow" w:cs="Calibri Light"/>
                <w:b/>
                <w:bCs/>
                <w:kern w:val="24"/>
                <w:sz w:val="20"/>
                <w:szCs w:val="20"/>
              </w:rPr>
              <w:t>0.29 (95% CI: 0.17, 0.52)</w:t>
            </w:r>
          </w:p>
        </w:tc>
      </w:tr>
      <w:tr w:rsidR="00296471" w:rsidRPr="0019444B" w14:paraId="48885A47" w14:textId="77777777" w:rsidTr="00141BCC">
        <w:tc>
          <w:tcPr>
            <w:tcW w:w="5000" w:type="pct"/>
            <w:gridSpan w:val="3"/>
            <w:vAlign w:val="center"/>
          </w:tcPr>
          <w:p w14:paraId="669A4CFC" w14:textId="77777777" w:rsidR="00296471" w:rsidRPr="0019444B" w:rsidRDefault="00296471" w:rsidP="00735669">
            <w:pPr>
              <w:keepNext/>
              <w:rPr>
                <w:rFonts w:ascii="Arial Narrow" w:hAnsi="Arial Narrow"/>
                <w:sz w:val="20"/>
                <w:szCs w:val="20"/>
              </w:rPr>
            </w:pPr>
            <w:r w:rsidRPr="0019444B">
              <w:rPr>
                <w:rFonts w:ascii="Arial Narrow" w:hAnsi="Arial Narrow"/>
                <w:b/>
                <w:sz w:val="20"/>
                <w:szCs w:val="20"/>
              </w:rPr>
              <w:t>Overall survival (OS): HR (95% CI)</w:t>
            </w:r>
          </w:p>
        </w:tc>
      </w:tr>
      <w:tr w:rsidR="00296471" w:rsidRPr="0019444B" w14:paraId="2A535083" w14:textId="77777777" w:rsidTr="00141BCC">
        <w:tc>
          <w:tcPr>
            <w:tcW w:w="2256" w:type="pct"/>
          </w:tcPr>
          <w:p w14:paraId="31FC43DD" w14:textId="77777777" w:rsidR="00296471" w:rsidRPr="0019444B" w:rsidRDefault="00296471" w:rsidP="00735669">
            <w:pPr>
              <w:keepNext/>
              <w:jc w:val="left"/>
              <w:rPr>
                <w:rFonts w:ascii="Arial Narrow" w:hAnsi="Arial Narrow"/>
                <w:sz w:val="20"/>
                <w:szCs w:val="20"/>
              </w:rPr>
            </w:pPr>
            <w:r w:rsidRPr="0019444B">
              <w:rPr>
                <w:rFonts w:ascii="Arial Narrow" w:eastAsia="Calibri Light" w:hAnsi="Arial Narrow" w:cs="Calibri Light"/>
                <w:kern w:val="24"/>
                <w:sz w:val="20"/>
                <w:szCs w:val="20"/>
              </w:rPr>
              <w:t>Unweighted</w:t>
            </w:r>
          </w:p>
        </w:tc>
        <w:tc>
          <w:tcPr>
            <w:tcW w:w="1334" w:type="pct"/>
            <w:vAlign w:val="center"/>
          </w:tcPr>
          <w:p w14:paraId="35C4489B" w14:textId="77777777" w:rsidR="00296471" w:rsidRPr="0019444B" w:rsidRDefault="00296471" w:rsidP="00735669">
            <w:pPr>
              <w:keepNext/>
              <w:jc w:val="left"/>
              <w:rPr>
                <w:rFonts w:ascii="Arial Narrow" w:hAnsi="Arial Narrow"/>
                <w:sz w:val="20"/>
              </w:rPr>
            </w:pPr>
            <w:r w:rsidRPr="0019444B">
              <w:rPr>
                <w:rFonts w:ascii="Arial Narrow" w:eastAsia="Calibri Light" w:hAnsi="Arial Narrow" w:cs="Calibri Light"/>
                <w:kern w:val="24"/>
                <w:sz w:val="20"/>
                <w:szCs w:val="20"/>
              </w:rPr>
              <w:t>1.19 (95% CI: 0.60, 2.37)</w:t>
            </w:r>
          </w:p>
        </w:tc>
        <w:tc>
          <w:tcPr>
            <w:tcW w:w="1410" w:type="pct"/>
            <w:vAlign w:val="center"/>
          </w:tcPr>
          <w:p w14:paraId="46223B8C" w14:textId="77777777" w:rsidR="00296471" w:rsidRPr="0019444B" w:rsidRDefault="00296471" w:rsidP="00735669">
            <w:pPr>
              <w:keepNext/>
              <w:ind w:left="130"/>
              <w:jc w:val="left"/>
              <w:rPr>
                <w:rFonts w:ascii="Arial Narrow" w:hAnsi="Arial Narrow"/>
                <w:sz w:val="20"/>
              </w:rPr>
            </w:pPr>
            <w:r w:rsidRPr="0019444B">
              <w:rPr>
                <w:rFonts w:ascii="Arial Narrow" w:eastAsia="Calibri Light" w:hAnsi="Arial Narrow" w:cs="Calibri Light"/>
                <w:kern w:val="24"/>
                <w:sz w:val="20"/>
                <w:szCs w:val="20"/>
              </w:rPr>
              <w:t>0.69 (95% CI: 0.32, 1.45)</w:t>
            </w:r>
          </w:p>
        </w:tc>
      </w:tr>
      <w:tr w:rsidR="00296471" w:rsidRPr="0019444B" w14:paraId="33DB74EF" w14:textId="77777777" w:rsidTr="00141BCC">
        <w:tc>
          <w:tcPr>
            <w:tcW w:w="2256" w:type="pct"/>
          </w:tcPr>
          <w:p w14:paraId="59448595" w14:textId="77777777" w:rsidR="00296471" w:rsidRPr="0019444B" w:rsidRDefault="00296471" w:rsidP="00735669">
            <w:pPr>
              <w:keepNext/>
              <w:jc w:val="left"/>
              <w:rPr>
                <w:rFonts w:ascii="Arial Narrow" w:hAnsi="Arial Narrow"/>
                <w:sz w:val="20"/>
                <w:szCs w:val="20"/>
              </w:rPr>
            </w:pPr>
            <w:r w:rsidRPr="0019444B">
              <w:rPr>
                <w:rFonts w:ascii="Arial Narrow" w:eastAsia="Calibri Light" w:hAnsi="Arial Narrow" w:cs="Calibri Light"/>
                <w:kern w:val="24"/>
                <w:sz w:val="20"/>
                <w:szCs w:val="20"/>
              </w:rPr>
              <w:t>Weighted</w:t>
            </w:r>
          </w:p>
        </w:tc>
        <w:tc>
          <w:tcPr>
            <w:tcW w:w="1334" w:type="pct"/>
            <w:vAlign w:val="center"/>
          </w:tcPr>
          <w:p w14:paraId="34C596B9" w14:textId="77777777" w:rsidR="00296471" w:rsidRPr="0019444B" w:rsidRDefault="00296471" w:rsidP="00735669">
            <w:pPr>
              <w:keepNext/>
              <w:jc w:val="left"/>
              <w:rPr>
                <w:rFonts w:ascii="Arial Narrow" w:hAnsi="Arial Narrow"/>
                <w:sz w:val="20"/>
              </w:rPr>
            </w:pPr>
            <w:r w:rsidRPr="0019444B">
              <w:rPr>
                <w:rFonts w:ascii="Arial Narrow" w:eastAsia="Calibri Light" w:hAnsi="Arial Narrow" w:cs="Calibri Light"/>
                <w:kern w:val="24"/>
                <w:sz w:val="20"/>
                <w:szCs w:val="20"/>
              </w:rPr>
              <w:t>1.13 (95% CI: 0.56, 2.24)</w:t>
            </w:r>
          </w:p>
        </w:tc>
        <w:tc>
          <w:tcPr>
            <w:tcW w:w="1410" w:type="pct"/>
            <w:vAlign w:val="center"/>
          </w:tcPr>
          <w:p w14:paraId="1B33F8C6" w14:textId="77777777" w:rsidR="00296471" w:rsidRPr="0019444B" w:rsidRDefault="00296471" w:rsidP="00735669">
            <w:pPr>
              <w:keepNext/>
              <w:ind w:left="130"/>
              <w:jc w:val="left"/>
              <w:rPr>
                <w:rFonts w:ascii="Arial Narrow" w:hAnsi="Arial Narrow"/>
                <w:sz w:val="20"/>
              </w:rPr>
            </w:pPr>
            <w:r w:rsidRPr="0019444B">
              <w:rPr>
                <w:rFonts w:ascii="Arial Narrow" w:eastAsia="Calibri Light" w:hAnsi="Arial Narrow" w:cs="Calibri Light"/>
                <w:kern w:val="24"/>
                <w:sz w:val="20"/>
                <w:szCs w:val="20"/>
              </w:rPr>
              <w:t>0.68 (95% CI: 0.31, 1.50)</w:t>
            </w:r>
          </w:p>
        </w:tc>
      </w:tr>
    </w:tbl>
    <w:p w14:paraId="0521C6BA" w14:textId="31C656FA" w:rsidR="00296471" w:rsidRPr="0019444B" w:rsidRDefault="00296471" w:rsidP="00735669">
      <w:pPr>
        <w:keepNext/>
        <w:contextualSpacing/>
        <w:rPr>
          <w:rFonts w:ascii="Arial Narrow" w:hAnsi="Arial Narrow"/>
          <w:snapToGrid w:val="0"/>
          <w:sz w:val="18"/>
          <w:szCs w:val="18"/>
        </w:rPr>
      </w:pPr>
      <w:r w:rsidRPr="0019444B">
        <w:rPr>
          <w:rFonts w:ascii="Arial Narrow" w:hAnsi="Arial Narrow"/>
          <w:snapToGrid w:val="0"/>
          <w:sz w:val="18"/>
          <w:szCs w:val="18"/>
        </w:rPr>
        <w:t>Source: Table 2.90, p.1</w:t>
      </w:r>
      <w:r w:rsidR="000F3E49" w:rsidRPr="0019444B">
        <w:rPr>
          <w:rFonts w:ascii="Arial Narrow" w:hAnsi="Arial Narrow"/>
          <w:snapToGrid w:val="0"/>
          <w:sz w:val="18"/>
          <w:szCs w:val="18"/>
        </w:rPr>
        <w:t>95</w:t>
      </w:r>
      <w:r w:rsidRPr="0019444B">
        <w:rPr>
          <w:rFonts w:ascii="Arial Narrow" w:hAnsi="Arial Narrow"/>
          <w:snapToGrid w:val="0"/>
          <w:sz w:val="18"/>
          <w:szCs w:val="18"/>
        </w:rPr>
        <w:t xml:space="preserve"> and Table 2.93, p</w:t>
      </w:r>
      <w:r w:rsidR="00875009" w:rsidRPr="0019444B">
        <w:rPr>
          <w:rFonts w:ascii="Arial Narrow" w:hAnsi="Arial Narrow"/>
          <w:snapToGrid w:val="0"/>
          <w:sz w:val="18"/>
          <w:szCs w:val="18"/>
        </w:rPr>
        <w:t>.</w:t>
      </w:r>
      <w:r w:rsidRPr="0019444B">
        <w:rPr>
          <w:rFonts w:ascii="Arial Narrow" w:hAnsi="Arial Narrow"/>
          <w:snapToGrid w:val="0"/>
          <w:sz w:val="18"/>
          <w:szCs w:val="18"/>
        </w:rPr>
        <w:t>19</w:t>
      </w:r>
      <w:r w:rsidR="000F3E49" w:rsidRPr="0019444B">
        <w:rPr>
          <w:rFonts w:ascii="Arial Narrow" w:hAnsi="Arial Narrow"/>
          <w:snapToGrid w:val="0"/>
          <w:sz w:val="18"/>
          <w:szCs w:val="18"/>
        </w:rPr>
        <w:t>8</w:t>
      </w:r>
      <w:r w:rsidRPr="0019444B">
        <w:rPr>
          <w:rFonts w:ascii="Arial Narrow" w:hAnsi="Arial Narrow"/>
          <w:snapToGrid w:val="0"/>
          <w:sz w:val="18"/>
          <w:szCs w:val="18"/>
        </w:rPr>
        <w:t xml:space="preserve"> of the resubmission</w:t>
      </w:r>
    </w:p>
    <w:p w14:paraId="0B90274E" w14:textId="4FCD3C14" w:rsidR="00A1411D" w:rsidRPr="0019444B" w:rsidRDefault="00296471" w:rsidP="00735669">
      <w:pPr>
        <w:keepNext/>
        <w:rPr>
          <w:rFonts w:ascii="Arial Narrow" w:hAnsi="Arial Narrow"/>
          <w:sz w:val="18"/>
          <w:szCs w:val="18"/>
        </w:rPr>
      </w:pPr>
      <w:r w:rsidRPr="0019444B">
        <w:rPr>
          <w:rFonts w:ascii="Arial Narrow" w:hAnsi="Arial Narrow"/>
          <w:sz w:val="18"/>
          <w:szCs w:val="18"/>
        </w:rPr>
        <w:t>ACA</w:t>
      </w:r>
      <w:r w:rsidR="00975F57" w:rsidRPr="0019444B">
        <w:rPr>
          <w:rFonts w:ascii="Arial Narrow" w:hAnsi="Arial Narrow"/>
          <w:sz w:val="18"/>
          <w:szCs w:val="18"/>
        </w:rPr>
        <w:t xml:space="preserve"> </w:t>
      </w:r>
      <w:r w:rsidRPr="0019444B">
        <w:rPr>
          <w:rFonts w:ascii="Arial Narrow" w:hAnsi="Arial Narrow"/>
          <w:sz w:val="18"/>
          <w:szCs w:val="18"/>
        </w:rPr>
        <w:t>=</w:t>
      </w:r>
      <w:r w:rsidR="00975F57" w:rsidRPr="0019444B">
        <w:rPr>
          <w:rFonts w:ascii="Arial Narrow" w:hAnsi="Arial Narrow"/>
          <w:sz w:val="18"/>
          <w:szCs w:val="18"/>
        </w:rPr>
        <w:t xml:space="preserve"> </w:t>
      </w:r>
      <w:r w:rsidRPr="0019444B">
        <w:rPr>
          <w:rFonts w:ascii="Arial Narrow" w:hAnsi="Arial Narrow"/>
          <w:sz w:val="18"/>
          <w:szCs w:val="18"/>
        </w:rPr>
        <w:t xml:space="preserve">acalabrutinib, </w:t>
      </w:r>
      <w:r w:rsidR="00975F57" w:rsidRPr="0019444B">
        <w:rPr>
          <w:rFonts w:ascii="Arial Narrow" w:hAnsi="Arial Narrow"/>
          <w:sz w:val="18"/>
          <w:szCs w:val="18"/>
        </w:rPr>
        <w:t xml:space="preserve">CI = confidence interval, HR = hazard ratio, </w:t>
      </w:r>
      <w:r w:rsidR="00FA5096" w:rsidRPr="0019444B">
        <w:rPr>
          <w:rFonts w:ascii="Arial Narrow" w:hAnsi="Arial Narrow"/>
          <w:sz w:val="18"/>
          <w:szCs w:val="18"/>
        </w:rPr>
        <w:t xml:space="preserve">MAIC = matching adjusted indirect comparison, </w:t>
      </w:r>
      <w:r w:rsidRPr="0019444B">
        <w:rPr>
          <w:rFonts w:ascii="Arial Narrow" w:hAnsi="Arial Narrow"/>
          <w:sz w:val="18"/>
          <w:szCs w:val="18"/>
        </w:rPr>
        <w:t>OBIN</w:t>
      </w:r>
      <w:r w:rsidR="00975F57" w:rsidRPr="0019444B">
        <w:rPr>
          <w:rFonts w:ascii="Arial Narrow" w:hAnsi="Arial Narrow"/>
          <w:sz w:val="18"/>
          <w:szCs w:val="18"/>
        </w:rPr>
        <w:t xml:space="preserve"> </w:t>
      </w:r>
      <w:r w:rsidRPr="0019444B">
        <w:rPr>
          <w:rFonts w:ascii="Arial Narrow" w:hAnsi="Arial Narrow"/>
          <w:sz w:val="18"/>
          <w:szCs w:val="18"/>
        </w:rPr>
        <w:t xml:space="preserve">= </w:t>
      </w:r>
      <w:r w:rsidR="00975F57" w:rsidRPr="0019444B">
        <w:rPr>
          <w:rFonts w:ascii="Arial Narrow" w:hAnsi="Arial Narrow"/>
          <w:sz w:val="18"/>
          <w:szCs w:val="18"/>
        </w:rPr>
        <w:t xml:space="preserve">obinutuzumab, </w:t>
      </w:r>
      <w:r w:rsidR="00975F57" w:rsidRPr="0019444B">
        <w:rPr>
          <w:rStyle w:val="FooterTableFigureChar"/>
          <w:rFonts w:eastAsia="Calibri"/>
        </w:rPr>
        <w:t>VTX = venetoclax</w:t>
      </w:r>
    </w:p>
    <w:p w14:paraId="7BD16F23" w14:textId="1AC04FA4" w:rsidR="00296471" w:rsidRPr="0019444B" w:rsidRDefault="009B42E4" w:rsidP="00CA022C">
      <w:pPr>
        <w:keepNext/>
        <w:spacing w:after="120"/>
        <w:rPr>
          <w:rFonts w:ascii="Arial Narrow" w:hAnsi="Arial Narrow"/>
          <w:sz w:val="18"/>
          <w:szCs w:val="18"/>
        </w:rPr>
      </w:pPr>
      <w:r w:rsidRPr="0019444B">
        <w:rPr>
          <w:rFonts w:ascii="Arial Narrow" w:hAnsi="Arial Narrow"/>
          <w:sz w:val="18"/>
          <w:szCs w:val="18"/>
        </w:rPr>
        <w:t>Bold</w:t>
      </w:r>
      <w:r w:rsidR="00975F57" w:rsidRPr="0019444B">
        <w:rPr>
          <w:rFonts w:ascii="Arial Narrow" w:hAnsi="Arial Narrow"/>
          <w:sz w:val="18"/>
          <w:szCs w:val="18"/>
        </w:rPr>
        <w:t xml:space="preserve"> </w:t>
      </w:r>
      <w:r w:rsidRPr="0019444B">
        <w:rPr>
          <w:rFonts w:ascii="Arial Narrow" w:hAnsi="Arial Narrow"/>
          <w:sz w:val="18"/>
          <w:szCs w:val="18"/>
        </w:rPr>
        <w:t>=</w:t>
      </w:r>
      <w:r w:rsidR="00975F57" w:rsidRPr="0019444B">
        <w:rPr>
          <w:rFonts w:ascii="Arial Narrow" w:hAnsi="Arial Narrow"/>
          <w:sz w:val="18"/>
          <w:szCs w:val="18"/>
        </w:rPr>
        <w:t xml:space="preserve"> </w:t>
      </w:r>
      <w:r w:rsidRPr="0019444B">
        <w:rPr>
          <w:rFonts w:ascii="Arial Narrow" w:hAnsi="Arial Narrow"/>
          <w:sz w:val="18"/>
          <w:szCs w:val="18"/>
        </w:rPr>
        <w:t>statistically significant</w:t>
      </w:r>
    </w:p>
    <w:p w14:paraId="49CFDF80" w14:textId="3EA20427" w:rsidR="00296471" w:rsidRPr="0019444B" w:rsidRDefault="00866D9C" w:rsidP="00BB1C6D">
      <w:pPr>
        <w:pStyle w:val="3-BodyText"/>
        <w:numPr>
          <w:ilvl w:val="1"/>
          <w:numId w:val="1"/>
        </w:numPr>
        <w:ind w:left="709" w:hanging="709"/>
      </w:pPr>
      <w:bookmarkStart w:id="39" w:name="_Hlk131676894"/>
      <w:r w:rsidRPr="0019444B">
        <w:t>Based on the MAIC</w:t>
      </w:r>
      <w:r w:rsidR="00296471" w:rsidRPr="0019444B">
        <w:t xml:space="preserve"> </w:t>
      </w:r>
      <w:r w:rsidR="00CB0A18" w:rsidRPr="0019444B">
        <w:t xml:space="preserve">patients treated with </w:t>
      </w:r>
      <w:r w:rsidR="00296471" w:rsidRPr="0019444B">
        <w:t xml:space="preserve">ACA+OBIN </w:t>
      </w:r>
      <w:r w:rsidR="00CB0A18" w:rsidRPr="0019444B">
        <w:t xml:space="preserve">had </w:t>
      </w:r>
      <w:r w:rsidR="00296471" w:rsidRPr="0019444B">
        <w:t>a statistically significant 71% reduction in the risk of progression or death</w:t>
      </w:r>
      <w:r w:rsidRPr="0019444B">
        <w:t xml:space="preserve"> (PFS)</w:t>
      </w:r>
      <w:r w:rsidR="00296471" w:rsidRPr="0019444B">
        <w:t xml:space="preserve"> compared to VTX+OBIN (HR: 0.29 [95% CI: 0.17, 0.52]</w:t>
      </w:r>
      <w:r w:rsidRPr="0019444B">
        <w:t xml:space="preserve"> for </w:t>
      </w:r>
      <w:r w:rsidR="00804997" w:rsidRPr="0019444B">
        <w:t xml:space="preserve">the </w:t>
      </w:r>
      <w:r w:rsidRPr="0019444B">
        <w:t xml:space="preserve">weighted analysis and HR: 0.34 [95% CI: 0.17, 0.52] for </w:t>
      </w:r>
      <w:r w:rsidR="00804997" w:rsidRPr="0019444B">
        <w:t xml:space="preserve">the </w:t>
      </w:r>
      <w:r w:rsidRPr="0019444B">
        <w:t>unweighted analysis</w:t>
      </w:r>
      <w:r w:rsidR="00296471" w:rsidRPr="0019444B">
        <w:t xml:space="preserve">). </w:t>
      </w:r>
      <w:r w:rsidR="00CB0A18" w:rsidRPr="0019444B">
        <w:t xml:space="preserve">Patients treated with </w:t>
      </w:r>
      <w:r w:rsidR="00296471" w:rsidRPr="0019444B">
        <w:t xml:space="preserve">ACA monotherapy </w:t>
      </w:r>
      <w:r w:rsidR="00CB0A18" w:rsidRPr="0019444B">
        <w:t>had</w:t>
      </w:r>
      <w:r w:rsidR="00296471" w:rsidRPr="0019444B">
        <w:t xml:space="preserve"> a 35% reduction in the risk of progression or death </w:t>
      </w:r>
      <w:r w:rsidRPr="0019444B">
        <w:t xml:space="preserve">(PFS) </w:t>
      </w:r>
      <w:r w:rsidR="00296471" w:rsidRPr="0019444B">
        <w:t>compared to VTX+OBIN; however, this was not statistically significant</w:t>
      </w:r>
      <w:r w:rsidR="00CB0A18" w:rsidRPr="0019444B">
        <w:t xml:space="preserve"> based on</w:t>
      </w:r>
      <w:r w:rsidR="00296471" w:rsidRPr="0019444B">
        <w:t xml:space="preserve"> both </w:t>
      </w:r>
      <w:r w:rsidR="00CB0A18" w:rsidRPr="0019444B">
        <w:t xml:space="preserve">the </w:t>
      </w:r>
      <w:r w:rsidR="00296471" w:rsidRPr="0019444B">
        <w:t>weighted (HR= 0.65 [95% CI: 0.41, 1.03]) and unweighted (HR= 0.65 [95% CI: 0.41, 1.01])</w:t>
      </w:r>
      <w:r w:rsidR="00CB0A18" w:rsidRPr="0019444B">
        <w:t xml:space="preserve"> comparisons</w:t>
      </w:r>
      <w:r w:rsidR="00296471" w:rsidRPr="0019444B">
        <w:t>.</w:t>
      </w:r>
    </w:p>
    <w:p w14:paraId="46BE203E" w14:textId="5201A08B" w:rsidR="00296471" w:rsidRPr="0019444B" w:rsidRDefault="00296471" w:rsidP="00BB1C6D">
      <w:pPr>
        <w:pStyle w:val="3-BodyText"/>
        <w:numPr>
          <w:ilvl w:val="1"/>
          <w:numId w:val="1"/>
        </w:numPr>
        <w:ind w:left="709" w:hanging="709"/>
      </w:pPr>
      <w:r w:rsidRPr="0019444B">
        <w:t>In terms of OS,</w:t>
      </w:r>
      <w:r w:rsidR="00141BCC" w:rsidRPr="0019444B">
        <w:t xml:space="preserve"> comparing ACA monotherapy to VTX+OBIN, </w:t>
      </w:r>
      <w:r w:rsidRPr="0019444B">
        <w:t xml:space="preserve">the results </w:t>
      </w:r>
      <w:r w:rsidR="00B86358" w:rsidRPr="0019444B">
        <w:t>favoured</w:t>
      </w:r>
      <w:r w:rsidR="00B70D5A" w:rsidRPr="0019444B">
        <w:t xml:space="preserve"> </w:t>
      </w:r>
      <w:r w:rsidRPr="0019444B">
        <w:t xml:space="preserve">VTX+OBIN, </w:t>
      </w:r>
      <w:r w:rsidR="00804997" w:rsidRPr="0019444B">
        <w:t xml:space="preserve">for </w:t>
      </w:r>
      <w:r w:rsidRPr="0019444B">
        <w:t xml:space="preserve">both </w:t>
      </w:r>
      <w:r w:rsidR="00804997" w:rsidRPr="0019444B">
        <w:t xml:space="preserve">the </w:t>
      </w:r>
      <w:r w:rsidRPr="0019444B">
        <w:t>weighted (HR= 1.13 [95% CI: 0.56, 2.24]) and unweighted (HR= 1.19 [95% CI: 0.56, 2.24])</w:t>
      </w:r>
      <w:r w:rsidR="00804997" w:rsidRPr="0019444B">
        <w:t xml:space="preserve"> comparisons</w:t>
      </w:r>
      <w:r w:rsidR="00141BCC" w:rsidRPr="0019444B">
        <w:t>, but</w:t>
      </w:r>
      <w:r w:rsidRPr="0019444B">
        <w:t xml:space="preserve"> </w:t>
      </w:r>
      <w:r w:rsidR="00B86358" w:rsidRPr="0019444B">
        <w:t>the</w:t>
      </w:r>
      <w:r w:rsidR="008306B1" w:rsidRPr="0019444B">
        <w:t xml:space="preserve"> differences</w:t>
      </w:r>
      <w:r w:rsidR="00B86358" w:rsidRPr="0019444B">
        <w:t xml:space="preserve"> were </w:t>
      </w:r>
      <w:r w:rsidRPr="0019444B">
        <w:t xml:space="preserve">not statistically significant. </w:t>
      </w:r>
      <w:r w:rsidR="00B86358" w:rsidRPr="0019444B">
        <w:t>Comparing ACA+OBIN to VTX+OBIN</w:t>
      </w:r>
      <w:r w:rsidRPr="0019444B">
        <w:t xml:space="preserve">, the OS </w:t>
      </w:r>
      <w:r w:rsidR="002D524D" w:rsidRPr="0019444B">
        <w:t>results favoured</w:t>
      </w:r>
      <w:r w:rsidRPr="0019444B">
        <w:t xml:space="preserve"> </w:t>
      </w:r>
      <w:r w:rsidR="009B42E4" w:rsidRPr="0019444B">
        <w:t>ACA+OBIN</w:t>
      </w:r>
      <w:r w:rsidRPr="0019444B">
        <w:t xml:space="preserve">, </w:t>
      </w:r>
      <w:r w:rsidR="00D07849" w:rsidRPr="0019444B">
        <w:t xml:space="preserve">however </w:t>
      </w:r>
      <w:r w:rsidR="002D524D" w:rsidRPr="0019444B">
        <w:t>these</w:t>
      </w:r>
      <w:r w:rsidR="008306B1" w:rsidRPr="0019444B">
        <w:t xml:space="preserve"> differences</w:t>
      </w:r>
      <w:r w:rsidR="002D524D" w:rsidRPr="0019444B">
        <w:t xml:space="preserve"> were</w:t>
      </w:r>
      <w:r w:rsidR="008306B1" w:rsidRPr="0019444B">
        <w:t xml:space="preserve"> also</w:t>
      </w:r>
      <w:r w:rsidR="00B86358" w:rsidRPr="0019444B">
        <w:t xml:space="preserve"> </w:t>
      </w:r>
      <w:r w:rsidRPr="0019444B">
        <w:t xml:space="preserve">not statistically significant, </w:t>
      </w:r>
      <w:r w:rsidR="00804997" w:rsidRPr="0019444B">
        <w:t xml:space="preserve">for </w:t>
      </w:r>
      <w:r w:rsidRPr="0019444B">
        <w:t xml:space="preserve">both </w:t>
      </w:r>
      <w:r w:rsidR="00804997" w:rsidRPr="0019444B">
        <w:t xml:space="preserve">the </w:t>
      </w:r>
      <w:r w:rsidRPr="0019444B">
        <w:t>weighted (HR= 0.68 [95% CI: 0.31, 1.50]) and unweighted (HR= 0.69 [95% CI: 0.32, 1.45])</w:t>
      </w:r>
      <w:r w:rsidR="00804997" w:rsidRPr="0019444B">
        <w:t xml:space="preserve"> comparisons</w:t>
      </w:r>
      <w:r w:rsidRPr="0019444B">
        <w:t>.</w:t>
      </w:r>
      <w:r w:rsidR="00AC7CC6" w:rsidRPr="0019444B">
        <w:t xml:space="preserve"> The </w:t>
      </w:r>
      <w:r w:rsidR="00073BB7" w:rsidRPr="0019444B">
        <w:t xml:space="preserve">ESC noted the </w:t>
      </w:r>
      <w:r w:rsidR="00AC7CC6" w:rsidRPr="0019444B">
        <w:t xml:space="preserve">wide confidence intervals for the OS </w:t>
      </w:r>
      <w:r w:rsidR="0039163E" w:rsidRPr="0019444B">
        <w:t>hazard ratio</w:t>
      </w:r>
      <w:r w:rsidR="00AC7CC6" w:rsidRPr="0019444B">
        <w:t>s reflect the</w:t>
      </w:r>
      <w:r w:rsidR="00E117AF" w:rsidRPr="0019444B">
        <w:t xml:space="preserve"> indolent nature of CLL and hence the</w:t>
      </w:r>
      <w:r w:rsidR="00AC7CC6" w:rsidRPr="0019444B">
        <w:t xml:space="preserve"> small number of death events.</w:t>
      </w:r>
    </w:p>
    <w:p w14:paraId="79272A62" w14:textId="1C68CCE3" w:rsidR="00E113EF" w:rsidRPr="0019444B" w:rsidRDefault="00296471" w:rsidP="00073BB7">
      <w:pPr>
        <w:pStyle w:val="3-BodyText"/>
        <w:numPr>
          <w:ilvl w:val="1"/>
          <w:numId w:val="1"/>
        </w:numPr>
        <w:ind w:left="709" w:hanging="709"/>
      </w:pPr>
      <w:r w:rsidRPr="0019444B">
        <w:t>Based on these results, the resubmission stated that the updated MAIC based on ACA at 58.2-month of follow-up compared to VTX+OBIN at 52.4-month of follow-up demonstrated that ACA</w:t>
      </w:r>
      <w:r w:rsidR="0011405D" w:rsidRPr="0019444B">
        <w:t>+/-OBIN</w:t>
      </w:r>
      <w:r w:rsidRPr="0019444B">
        <w:t xml:space="preserve"> is non-inferior in terms of efficacy, compared to VTX+OBIN. </w:t>
      </w:r>
      <w:r w:rsidR="00706BE0" w:rsidRPr="0019444B">
        <w:t>T</w:t>
      </w:r>
      <w:r w:rsidRPr="0019444B">
        <w:t xml:space="preserve">hese results should be considered with caution because </w:t>
      </w:r>
      <w:r w:rsidR="008306B1" w:rsidRPr="0019444B">
        <w:t xml:space="preserve">baseline characteristics before and after matching were not provided and </w:t>
      </w:r>
      <w:r w:rsidRPr="0019444B">
        <w:t xml:space="preserve">the MAIC </w:t>
      </w:r>
      <w:r w:rsidR="00DD51C0" w:rsidRPr="0019444B">
        <w:t>did not</w:t>
      </w:r>
      <w:r w:rsidRPr="0019444B">
        <w:t xml:space="preserve"> match for all </w:t>
      </w:r>
      <w:r w:rsidR="00875009" w:rsidRPr="0019444B">
        <w:t xml:space="preserve">treatment </w:t>
      </w:r>
      <w:r w:rsidRPr="0019444B">
        <w:t>effect modifiers as the PBAC requested.</w:t>
      </w:r>
      <w:bookmarkStart w:id="40" w:name="_Toc22897642"/>
      <w:bookmarkEnd w:id="39"/>
    </w:p>
    <w:p w14:paraId="1452C351" w14:textId="0209CF55" w:rsidR="00B60939" w:rsidRPr="0019444B" w:rsidRDefault="00B60939" w:rsidP="00D86231">
      <w:pPr>
        <w:pStyle w:val="4-SubsectionHeading"/>
      </w:pPr>
      <w:bookmarkStart w:id="41" w:name="_Toc135225273"/>
      <w:r w:rsidRPr="0019444B">
        <w:t>Comparative harms</w:t>
      </w:r>
      <w:bookmarkEnd w:id="40"/>
      <w:bookmarkEnd w:id="41"/>
      <w:r w:rsidR="003C3607" w:rsidRPr="0019444B">
        <w:t>: ACA+/-OBIN versus VTX+OBIN</w:t>
      </w:r>
    </w:p>
    <w:p w14:paraId="3D169605" w14:textId="7CC54204" w:rsidR="00296471" w:rsidRPr="0019444B" w:rsidRDefault="00296471" w:rsidP="00270DE2">
      <w:pPr>
        <w:pStyle w:val="3-BodyText"/>
        <w:numPr>
          <w:ilvl w:val="1"/>
          <w:numId w:val="1"/>
        </w:numPr>
        <w:ind w:left="709" w:hanging="709"/>
      </w:pPr>
      <w:bookmarkStart w:id="42" w:name="_Toc22897643"/>
      <w:r w:rsidRPr="0019444B">
        <w:t>The safety data for ACA</w:t>
      </w:r>
      <w:r w:rsidR="00A45ED6" w:rsidRPr="0019444B">
        <w:t>+/-</w:t>
      </w:r>
      <w:r w:rsidRPr="0019444B">
        <w:t>OBIN versus OBIN+CHL in ELEVATE-TN for median follow-up of 28.3, 4</w:t>
      </w:r>
      <w:r w:rsidR="00835911" w:rsidRPr="0019444B">
        <w:t>6</w:t>
      </w:r>
      <w:r w:rsidRPr="0019444B">
        <w:t xml:space="preserve">.9 and 58.2-months was presented in the </w:t>
      </w:r>
      <w:r w:rsidR="00804997" w:rsidRPr="0019444B">
        <w:t xml:space="preserve">submission considered at the </w:t>
      </w:r>
      <w:r w:rsidR="0011405D" w:rsidRPr="0019444B">
        <w:t>December</w:t>
      </w:r>
      <w:r w:rsidRPr="0019444B">
        <w:t xml:space="preserve"> 2022 </w:t>
      </w:r>
      <w:r w:rsidR="00012B7C">
        <w:t xml:space="preserve">PBAC </w:t>
      </w:r>
      <w:r w:rsidR="00804997" w:rsidRPr="0019444B">
        <w:t>meeting</w:t>
      </w:r>
      <w:r w:rsidRPr="0019444B">
        <w:t xml:space="preserve">. The </w:t>
      </w:r>
      <w:r w:rsidR="00101328" w:rsidRPr="0019444B">
        <w:t>adverse event (</w:t>
      </w:r>
      <w:r w:rsidRPr="0019444B">
        <w:t>AE</w:t>
      </w:r>
      <w:r w:rsidR="00101328" w:rsidRPr="0019444B">
        <w:t>)</w:t>
      </w:r>
      <w:r w:rsidRPr="0019444B">
        <w:t xml:space="preserve"> profile of VTX+OBIN versus OBIN+CHL form the CLL-14 trial </w:t>
      </w:r>
      <w:r w:rsidR="0011405D" w:rsidRPr="0019444B">
        <w:t>with</w:t>
      </w:r>
      <w:r w:rsidRPr="0019444B">
        <w:t xml:space="preserve"> median follow-up of 28.1</w:t>
      </w:r>
      <w:r w:rsidR="0011405D" w:rsidRPr="0019444B">
        <w:t xml:space="preserve"> and</w:t>
      </w:r>
      <w:r w:rsidRPr="0019444B">
        <w:t xml:space="preserve"> 39.</w:t>
      </w:r>
      <w:r w:rsidR="0011405D" w:rsidRPr="0019444B">
        <w:t>6</w:t>
      </w:r>
      <w:r w:rsidR="009C5615" w:rsidRPr="0019444B">
        <w:t xml:space="preserve"> months</w:t>
      </w:r>
      <w:r w:rsidRPr="0019444B">
        <w:t xml:space="preserve"> was also presented for the previous submission.</w:t>
      </w:r>
    </w:p>
    <w:p w14:paraId="26861376" w14:textId="3AE9DB09" w:rsidR="00296471" w:rsidRPr="0019444B" w:rsidRDefault="00AC7CC6" w:rsidP="00270DE2">
      <w:pPr>
        <w:pStyle w:val="3-BodyText"/>
        <w:numPr>
          <w:ilvl w:val="1"/>
          <w:numId w:val="1"/>
        </w:numPr>
        <w:ind w:left="709" w:hanging="709"/>
      </w:pPr>
      <w:r w:rsidRPr="0019444B">
        <w:t>An</w:t>
      </w:r>
      <w:r w:rsidR="00296471" w:rsidRPr="0019444B">
        <w:t xml:space="preserve"> updated MAIC of safety outcomes based on a 58.2-month median follow-up was </w:t>
      </w:r>
      <w:r w:rsidRPr="0019444B">
        <w:t xml:space="preserve">not </w:t>
      </w:r>
      <w:r w:rsidR="00296471" w:rsidRPr="0019444B">
        <w:t xml:space="preserve">presented </w:t>
      </w:r>
      <w:r w:rsidRPr="0019444B">
        <w:t>h</w:t>
      </w:r>
      <w:r w:rsidR="00296471" w:rsidRPr="0019444B">
        <w:t xml:space="preserve">owever, </w:t>
      </w:r>
      <w:r w:rsidRPr="0019444B">
        <w:t>the resubmission stated</w:t>
      </w:r>
      <w:r w:rsidR="00296471" w:rsidRPr="0019444B">
        <w:t xml:space="preserve"> that </w:t>
      </w:r>
      <w:r w:rsidRPr="0019444B">
        <w:t xml:space="preserve">the </w:t>
      </w:r>
      <w:r w:rsidR="00296471" w:rsidRPr="0019444B">
        <w:t>safety results at 58.2 and 39.</w:t>
      </w:r>
      <w:r w:rsidR="00835911" w:rsidRPr="0019444B">
        <w:t>6</w:t>
      </w:r>
      <w:r w:rsidR="00296471" w:rsidRPr="0019444B">
        <w:t>-months follow-up in ELEVATE-TN and CLL-14 were consistent with previous analyses.</w:t>
      </w:r>
    </w:p>
    <w:p w14:paraId="00A560F3" w14:textId="1FB390E5" w:rsidR="00296471" w:rsidRPr="0019444B" w:rsidRDefault="00296471" w:rsidP="00270DE2">
      <w:pPr>
        <w:pStyle w:val="3-BodyText"/>
        <w:numPr>
          <w:ilvl w:val="1"/>
          <w:numId w:val="1"/>
        </w:numPr>
        <w:ind w:left="709" w:hanging="709"/>
        <w:rPr>
          <w:iCs/>
        </w:rPr>
      </w:pPr>
      <w:r w:rsidRPr="0019444B">
        <w:rPr>
          <w:iCs/>
        </w:rPr>
        <w:t>No detailed safety analyses have been reported after the 39.</w:t>
      </w:r>
      <w:r w:rsidR="00835911" w:rsidRPr="0019444B">
        <w:rPr>
          <w:iCs/>
        </w:rPr>
        <w:t>6</w:t>
      </w:r>
      <w:r w:rsidRPr="0019444B">
        <w:rPr>
          <w:iCs/>
        </w:rPr>
        <w:t xml:space="preserve"> months of follow-up for CLL-14, which limit</w:t>
      </w:r>
      <w:r w:rsidR="00804997" w:rsidRPr="0019444B">
        <w:rPr>
          <w:iCs/>
        </w:rPr>
        <w:t>ed</w:t>
      </w:r>
      <w:r w:rsidRPr="0019444B">
        <w:rPr>
          <w:iCs/>
        </w:rPr>
        <w:t xml:space="preserve"> performing an updated MAIC for safety outcomes based on a longer follow-up. Therefore, safety results should be considered with caution.</w:t>
      </w:r>
    </w:p>
    <w:p w14:paraId="3C75BBD9" w14:textId="3D899D25" w:rsidR="001649C4" w:rsidRPr="0019444B" w:rsidRDefault="00296471" w:rsidP="00270DE2">
      <w:pPr>
        <w:pStyle w:val="3-BodyText"/>
        <w:numPr>
          <w:ilvl w:val="1"/>
          <w:numId w:val="1"/>
        </w:numPr>
        <w:ind w:left="709" w:hanging="709"/>
        <w:rPr>
          <w:iCs/>
        </w:rPr>
      </w:pPr>
      <w:r w:rsidRPr="0019444B">
        <w:rPr>
          <w:iCs/>
        </w:rPr>
        <w:t xml:space="preserve">Data from events of clinical interest, grade 3 or higher treatment-emergent adverse events, and treatment-related adverse events were not available from the CLL-14 trial at any follow-up. Data </w:t>
      </w:r>
      <w:r w:rsidR="00B05346" w:rsidRPr="0019444B">
        <w:rPr>
          <w:iCs/>
        </w:rPr>
        <w:t>on</w:t>
      </w:r>
      <w:r w:rsidRPr="0019444B">
        <w:rPr>
          <w:iCs/>
        </w:rPr>
        <w:t xml:space="preserve"> the most common AEs, treatment-related </w:t>
      </w:r>
      <w:r w:rsidR="000D2BBF" w:rsidRPr="0019444B">
        <w:rPr>
          <w:iCs/>
        </w:rPr>
        <w:t>AEs</w:t>
      </w:r>
      <w:r w:rsidRPr="0019444B">
        <w:rPr>
          <w:iCs/>
        </w:rPr>
        <w:t xml:space="preserve">, deaths, and </w:t>
      </w:r>
      <w:r w:rsidR="000D2BBF" w:rsidRPr="0019444B">
        <w:rPr>
          <w:iCs/>
        </w:rPr>
        <w:t>AEs</w:t>
      </w:r>
      <w:r w:rsidRPr="0019444B">
        <w:rPr>
          <w:iCs/>
        </w:rPr>
        <w:t xml:space="preserve"> that led to discontinuation were only available for 3</w:t>
      </w:r>
      <w:r w:rsidR="00835911" w:rsidRPr="0019444B">
        <w:rPr>
          <w:iCs/>
        </w:rPr>
        <w:t>9.6</w:t>
      </w:r>
      <w:r w:rsidRPr="0019444B">
        <w:rPr>
          <w:iCs/>
        </w:rPr>
        <w:t xml:space="preserve"> months of follow-up, but not for the longer periods of 52.4 months or 65.4 months.</w:t>
      </w:r>
    </w:p>
    <w:p w14:paraId="58FFBBD2" w14:textId="39CAF1DD" w:rsidR="00296471" w:rsidRPr="0019444B" w:rsidRDefault="00296471" w:rsidP="00384271">
      <w:pPr>
        <w:spacing w:after="120"/>
        <w:rPr>
          <w:b/>
          <w:bCs/>
          <w:u w:val="single"/>
        </w:rPr>
      </w:pPr>
      <w:r w:rsidRPr="0019444B">
        <w:rPr>
          <w:b/>
          <w:bCs/>
          <w:u w:val="single"/>
        </w:rPr>
        <w:t>Safety results: from the whole trial population</w:t>
      </w:r>
    </w:p>
    <w:p w14:paraId="455510F0" w14:textId="09BD0A58" w:rsidR="00296471" w:rsidRPr="0019444B" w:rsidRDefault="00296471" w:rsidP="00270DE2">
      <w:pPr>
        <w:pStyle w:val="3-BodyText"/>
        <w:numPr>
          <w:ilvl w:val="1"/>
          <w:numId w:val="1"/>
        </w:numPr>
        <w:ind w:left="709" w:hanging="709"/>
      </w:pPr>
      <w:r w:rsidRPr="0019444B">
        <w:t xml:space="preserve">A summary of </w:t>
      </w:r>
      <w:r w:rsidRPr="0019444B">
        <w:rPr>
          <w:bCs/>
        </w:rPr>
        <w:t>key</w:t>
      </w:r>
      <w:r w:rsidRPr="0019444B">
        <w:t xml:space="preserve"> AEs comparing CLL-14 and ELEVATE-TN </w:t>
      </w:r>
      <w:r w:rsidR="00D060D0" w:rsidRPr="0019444B">
        <w:t>is</w:t>
      </w:r>
      <w:r w:rsidRPr="0019444B">
        <w:t xml:space="preserve"> presented in </w:t>
      </w:r>
      <w:r w:rsidR="00E50028" w:rsidRPr="0019444B">
        <w:t>Table 8.</w:t>
      </w:r>
    </w:p>
    <w:p w14:paraId="6B77AE70" w14:textId="46CA6394" w:rsidR="00296471" w:rsidRPr="0019444B" w:rsidRDefault="00332019" w:rsidP="00332019">
      <w:pPr>
        <w:pStyle w:val="Caption"/>
      </w:pPr>
      <w:bookmarkStart w:id="43" w:name="_Ref132529489"/>
      <w:bookmarkStart w:id="44" w:name="_Ref137827838"/>
      <w:r w:rsidRPr="0019444B">
        <w:t xml:space="preserve">Table </w:t>
      </w:r>
      <w:bookmarkEnd w:id="43"/>
      <w:r w:rsidR="00D13D0B" w:rsidRPr="00012B7C">
        <w:fldChar w:fldCharType="begin" w:fldLock="1"/>
      </w:r>
      <w:r w:rsidR="00D13D0B" w:rsidRPr="0019444B">
        <w:instrText xml:space="preserve"> SEQ Table \* ARABIC </w:instrText>
      </w:r>
      <w:r w:rsidR="00D13D0B" w:rsidRPr="00012B7C">
        <w:fldChar w:fldCharType="separate"/>
      </w:r>
      <w:r w:rsidR="007C39B4" w:rsidRPr="00012B7C">
        <w:t>8</w:t>
      </w:r>
      <w:r w:rsidR="00D13D0B" w:rsidRPr="00012B7C">
        <w:fldChar w:fldCharType="end"/>
      </w:r>
      <w:r w:rsidR="00296471" w:rsidRPr="0019444B">
        <w:t xml:space="preserve">: Summary of key adverse events comparing the CLL-14 and ELEVATE-TN </w:t>
      </w:r>
      <w:proofErr w:type="gramStart"/>
      <w:r w:rsidR="00296471" w:rsidRPr="0019444B">
        <w:t>trial</w:t>
      </w:r>
      <w:r w:rsidR="001F0A49" w:rsidRPr="0019444B">
        <w:t>s</w:t>
      </w:r>
      <w:bookmarkEnd w:id="44"/>
      <w:proofErr w:type="gramEnd"/>
    </w:p>
    <w:tbl>
      <w:tblPr>
        <w:tblW w:w="927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7" w:type="dxa"/>
          <w:right w:w="57" w:type="dxa"/>
        </w:tblCellMar>
        <w:tblLook w:val="01E0" w:firstRow="1" w:lastRow="1" w:firstColumn="1" w:lastColumn="1" w:noHBand="0" w:noVBand="0"/>
      </w:tblPr>
      <w:tblGrid>
        <w:gridCol w:w="2066"/>
        <w:gridCol w:w="993"/>
        <w:gridCol w:w="992"/>
        <w:gridCol w:w="992"/>
        <w:gridCol w:w="992"/>
        <w:gridCol w:w="1110"/>
        <w:gridCol w:w="1134"/>
        <w:gridCol w:w="992"/>
      </w:tblGrid>
      <w:tr w:rsidR="00296471" w:rsidRPr="0019444B" w14:paraId="5BE5975A" w14:textId="77777777" w:rsidTr="0056303E">
        <w:trPr>
          <w:trHeight w:val="77"/>
        </w:trPr>
        <w:tc>
          <w:tcPr>
            <w:tcW w:w="2066" w:type="dxa"/>
            <w:vMerge w:val="restart"/>
            <w:tcBorders>
              <w:top w:val="single" w:sz="4" w:space="0" w:color="auto"/>
              <w:right w:val="single" w:sz="4" w:space="0" w:color="000000"/>
            </w:tcBorders>
            <w:vAlign w:val="center"/>
          </w:tcPr>
          <w:p w14:paraId="696BE410" w14:textId="77777777" w:rsidR="00296471" w:rsidRPr="0019444B" w:rsidRDefault="00296471" w:rsidP="00E113EF">
            <w:pPr>
              <w:keepNext/>
              <w:rPr>
                <w:rFonts w:ascii="Arial Narrow" w:hAnsi="Arial Narrow"/>
                <w:b/>
                <w:sz w:val="20"/>
                <w:szCs w:val="20"/>
              </w:rPr>
            </w:pPr>
            <w:r w:rsidRPr="0019444B">
              <w:rPr>
                <w:rFonts w:ascii="Arial Narrow" w:hAnsi="Arial Narrow"/>
                <w:b/>
                <w:sz w:val="20"/>
                <w:szCs w:val="20"/>
              </w:rPr>
              <w:t>AEs</w:t>
            </w:r>
          </w:p>
        </w:tc>
        <w:tc>
          <w:tcPr>
            <w:tcW w:w="2977" w:type="dxa"/>
            <w:gridSpan w:val="3"/>
            <w:tcBorders>
              <w:top w:val="single" w:sz="4" w:space="0" w:color="000000"/>
              <w:right w:val="single" w:sz="4" w:space="0" w:color="000000"/>
            </w:tcBorders>
          </w:tcPr>
          <w:p w14:paraId="6B1930DF" w14:textId="77777777" w:rsidR="00296471" w:rsidRPr="0019444B" w:rsidRDefault="00296471" w:rsidP="00E113EF">
            <w:pPr>
              <w:keepNext/>
              <w:rPr>
                <w:rFonts w:ascii="Arial Narrow" w:hAnsi="Arial Narrow"/>
                <w:b/>
                <w:sz w:val="20"/>
                <w:szCs w:val="20"/>
              </w:rPr>
            </w:pPr>
            <w:r w:rsidRPr="0019444B">
              <w:rPr>
                <w:rFonts w:ascii="Arial Narrow" w:hAnsi="Arial Narrow"/>
                <w:b/>
                <w:sz w:val="20"/>
                <w:szCs w:val="20"/>
              </w:rPr>
              <w:t>ELEVATE-TN</w:t>
            </w:r>
          </w:p>
        </w:tc>
        <w:tc>
          <w:tcPr>
            <w:tcW w:w="4228" w:type="dxa"/>
            <w:gridSpan w:val="4"/>
            <w:tcBorders>
              <w:top w:val="single" w:sz="4" w:space="0" w:color="000000"/>
              <w:left w:val="single" w:sz="4" w:space="0" w:color="000000"/>
              <w:bottom w:val="single" w:sz="4" w:space="0" w:color="000000"/>
            </w:tcBorders>
          </w:tcPr>
          <w:p w14:paraId="4074CCE7" w14:textId="77777777" w:rsidR="00296471" w:rsidRPr="0019444B" w:rsidRDefault="00296471" w:rsidP="00E113EF">
            <w:pPr>
              <w:keepNext/>
              <w:rPr>
                <w:rFonts w:ascii="Arial Narrow" w:hAnsi="Arial Narrow"/>
                <w:b/>
                <w:sz w:val="20"/>
                <w:szCs w:val="20"/>
              </w:rPr>
            </w:pPr>
            <w:r w:rsidRPr="0019444B">
              <w:rPr>
                <w:rFonts w:ascii="Arial Narrow" w:hAnsi="Arial Narrow"/>
                <w:b/>
                <w:sz w:val="20"/>
                <w:szCs w:val="20"/>
              </w:rPr>
              <w:t>CLL-14</w:t>
            </w:r>
          </w:p>
        </w:tc>
      </w:tr>
      <w:tr w:rsidR="00296471" w:rsidRPr="0019444B" w14:paraId="0CE93A01" w14:textId="77777777" w:rsidTr="0056303E">
        <w:trPr>
          <w:trHeight w:val="232"/>
        </w:trPr>
        <w:tc>
          <w:tcPr>
            <w:tcW w:w="2066" w:type="dxa"/>
            <w:vMerge/>
            <w:tcBorders>
              <w:bottom w:val="single" w:sz="4" w:space="0" w:color="000000"/>
              <w:right w:val="single" w:sz="4" w:space="0" w:color="000000"/>
            </w:tcBorders>
          </w:tcPr>
          <w:p w14:paraId="11EC44F2" w14:textId="77777777" w:rsidR="00296471" w:rsidRPr="0019444B" w:rsidRDefault="00296471" w:rsidP="00E113EF">
            <w:pPr>
              <w:keepNext/>
              <w:rPr>
                <w:rFonts w:ascii="Arial Narrow" w:hAnsi="Arial Narrow"/>
                <w:b/>
                <w:sz w:val="20"/>
                <w:szCs w:val="20"/>
              </w:rPr>
            </w:pPr>
          </w:p>
        </w:tc>
        <w:tc>
          <w:tcPr>
            <w:tcW w:w="993" w:type="dxa"/>
            <w:tcBorders>
              <w:top w:val="single" w:sz="4" w:space="0" w:color="000000"/>
              <w:left w:val="single" w:sz="4" w:space="0" w:color="auto"/>
              <w:bottom w:val="single" w:sz="4" w:space="0" w:color="000000"/>
              <w:right w:val="single" w:sz="4" w:space="0" w:color="000000"/>
            </w:tcBorders>
          </w:tcPr>
          <w:p w14:paraId="301DA4F3" w14:textId="77777777" w:rsidR="00296471" w:rsidRPr="0019444B" w:rsidRDefault="00296471" w:rsidP="00E113EF">
            <w:pPr>
              <w:keepNext/>
              <w:rPr>
                <w:rFonts w:ascii="Arial Narrow" w:hAnsi="Arial Narrow"/>
                <w:b/>
                <w:sz w:val="20"/>
                <w:szCs w:val="20"/>
              </w:rPr>
            </w:pPr>
            <w:r w:rsidRPr="0019444B">
              <w:rPr>
                <w:rFonts w:ascii="Arial Narrow" w:hAnsi="Arial Narrow"/>
                <w:b/>
                <w:sz w:val="20"/>
                <w:szCs w:val="20"/>
              </w:rPr>
              <w:t>ACA</w:t>
            </w:r>
          </w:p>
          <w:p w14:paraId="7C4DB81E" w14:textId="77777777" w:rsidR="00296471" w:rsidRPr="0019444B" w:rsidRDefault="00296471" w:rsidP="00E113EF">
            <w:pPr>
              <w:keepNext/>
              <w:rPr>
                <w:rFonts w:ascii="Arial Narrow" w:hAnsi="Arial Narrow"/>
                <w:b/>
                <w:sz w:val="20"/>
                <w:szCs w:val="20"/>
              </w:rPr>
            </w:pPr>
            <w:r w:rsidRPr="0019444B">
              <w:rPr>
                <w:rFonts w:ascii="Arial Narrow" w:hAnsi="Arial Narrow"/>
                <w:b/>
                <w:sz w:val="20"/>
                <w:szCs w:val="20"/>
              </w:rPr>
              <w:t>(N=179)</w:t>
            </w:r>
          </w:p>
        </w:tc>
        <w:tc>
          <w:tcPr>
            <w:tcW w:w="992" w:type="dxa"/>
            <w:tcBorders>
              <w:top w:val="single" w:sz="4" w:space="0" w:color="000000"/>
              <w:left w:val="single" w:sz="4" w:space="0" w:color="000000"/>
              <w:bottom w:val="single" w:sz="4" w:space="0" w:color="000000"/>
            </w:tcBorders>
          </w:tcPr>
          <w:p w14:paraId="4C9D5FCB" w14:textId="77777777" w:rsidR="00296471" w:rsidRPr="0019444B" w:rsidRDefault="00296471" w:rsidP="00E113EF">
            <w:pPr>
              <w:keepNext/>
              <w:rPr>
                <w:rFonts w:ascii="Arial Narrow" w:hAnsi="Arial Narrow"/>
                <w:b/>
                <w:sz w:val="20"/>
                <w:szCs w:val="20"/>
              </w:rPr>
            </w:pPr>
            <w:r w:rsidRPr="0019444B">
              <w:rPr>
                <w:rFonts w:ascii="Arial Narrow" w:hAnsi="Arial Narrow"/>
                <w:b/>
                <w:sz w:val="20"/>
                <w:szCs w:val="20"/>
              </w:rPr>
              <w:t>ACA+OBIN</w:t>
            </w:r>
          </w:p>
          <w:p w14:paraId="4C70C331" w14:textId="77777777" w:rsidR="00296471" w:rsidRPr="0019444B" w:rsidRDefault="00296471" w:rsidP="00E113EF">
            <w:pPr>
              <w:keepNext/>
              <w:rPr>
                <w:rFonts w:ascii="Arial Narrow" w:hAnsi="Arial Narrow"/>
                <w:b/>
                <w:sz w:val="20"/>
                <w:szCs w:val="20"/>
              </w:rPr>
            </w:pPr>
            <w:r w:rsidRPr="0019444B">
              <w:rPr>
                <w:rFonts w:ascii="Arial Narrow" w:hAnsi="Arial Narrow"/>
                <w:b/>
                <w:sz w:val="20"/>
                <w:szCs w:val="20"/>
              </w:rPr>
              <w:t>(N=178)</w:t>
            </w:r>
          </w:p>
        </w:tc>
        <w:tc>
          <w:tcPr>
            <w:tcW w:w="992" w:type="dxa"/>
            <w:tcBorders>
              <w:top w:val="single" w:sz="4" w:space="0" w:color="000000"/>
              <w:left w:val="single" w:sz="4" w:space="0" w:color="000000"/>
              <w:bottom w:val="single" w:sz="4" w:space="0" w:color="000000"/>
            </w:tcBorders>
          </w:tcPr>
          <w:p w14:paraId="1CFCFD7A" w14:textId="77777777" w:rsidR="00296471" w:rsidRPr="0019444B" w:rsidRDefault="00296471" w:rsidP="00E113EF">
            <w:pPr>
              <w:keepNext/>
              <w:rPr>
                <w:rFonts w:ascii="Arial Narrow" w:hAnsi="Arial Narrow"/>
                <w:b/>
                <w:sz w:val="20"/>
                <w:szCs w:val="20"/>
              </w:rPr>
            </w:pPr>
            <w:r w:rsidRPr="0019444B">
              <w:rPr>
                <w:rFonts w:ascii="Arial Narrow" w:hAnsi="Arial Narrow"/>
                <w:b/>
                <w:sz w:val="20"/>
                <w:szCs w:val="20"/>
              </w:rPr>
              <w:t>OBIN+CHL</w:t>
            </w:r>
          </w:p>
          <w:p w14:paraId="30950085" w14:textId="77777777" w:rsidR="00296471" w:rsidRPr="0019444B" w:rsidRDefault="00296471" w:rsidP="00E113EF">
            <w:pPr>
              <w:keepNext/>
              <w:rPr>
                <w:rFonts w:ascii="Arial Narrow" w:hAnsi="Arial Narrow"/>
                <w:b/>
                <w:sz w:val="20"/>
                <w:szCs w:val="20"/>
              </w:rPr>
            </w:pPr>
            <w:r w:rsidRPr="0019444B">
              <w:rPr>
                <w:rFonts w:ascii="Arial Narrow" w:hAnsi="Arial Narrow"/>
                <w:b/>
                <w:sz w:val="20"/>
                <w:szCs w:val="20"/>
              </w:rPr>
              <w:t>(N=169)</w:t>
            </w:r>
          </w:p>
        </w:tc>
        <w:tc>
          <w:tcPr>
            <w:tcW w:w="992" w:type="dxa"/>
            <w:tcBorders>
              <w:top w:val="single" w:sz="4" w:space="0" w:color="000000"/>
              <w:left w:val="single" w:sz="4" w:space="0" w:color="000000"/>
              <w:bottom w:val="single" w:sz="4" w:space="0" w:color="000000"/>
              <w:right w:val="single" w:sz="4" w:space="0" w:color="000000"/>
            </w:tcBorders>
          </w:tcPr>
          <w:p w14:paraId="5F41C7EE" w14:textId="77777777" w:rsidR="00296471" w:rsidRPr="0019444B" w:rsidRDefault="00296471" w:rsidP="00E113EF">
            <w:pPr>
              <w:keepNext/>
              <w:rPr>
                <w:rFonts w:ascii="Arial Narrow" w:hAnsi="Arial Narrow"/>
                <w:b/>
                <w:sz w:val="20"/>
                <w:szCs w:val="20"/>
              </w:rPr>
            </w:pPr>
            <w:r w:rsidRPr="0019444B">
              <w:rPr>
                <w:rFonts w:ascii="Arial Narrow" w:hAnsi="Arial Narrow"/>
                <w:b/>
                <w:sz w:val="20"/>
                <w:szCs w:val="20"/>
              </w:rPr>
              <w:t>VTX+OBIN</w:t>
            </w:r>
          </w:p>
          <w:p w14:paraId="799FD896" w14:textId="77777777" w:rsidR="00296471" w:rsidRPr="0019444B" w:rsidRDefault="00296471" w:rsidP="00E113EF">
            <w:pPr>
              <w:keepNext/>
              <w:rPr>
                <w:rFonts w:ascii="Arial Narrow" w:hAnsi="Arial Narrow"/>
                <w:b/>
                <w:sz w:val="20"/>
                <w:szCs w:val="20"/>
              </w:rPr>
            </w:pPr>
            <w:r w:rsidRPr="0019444B">
              <w:rPr>
                <w:rFonts w:ascii="Arial Narrow" w:hAnsi="Arial Narrow"/>
                <w:b/>
                <w:sz w:val="20"/>
                <w:szCs w:val="20"/>
              </w:rPr>
              <w:t>(N=212)</w:t>
            </w:r>
          </w:p>
        </w:tc>
        <w:tc>
          <w:tcPr>
            <w:tcW w:w="1110" w:type="dxa"/>
            <w:tcBorders>
              <w:top w:val="single" w:sz="4" w:space="0" w:color="000000"/>
              <w:left w:val="single" w:sz="4" w:space="0" w:color="000000"/>
              <w:bottom w:val="single" w:sz="4" w:space="0" w:color="000000"/>
            </w:tcBorders>
          </w:tcPr>
          <w:p w14:paraId="0444FE9D" w14:textId="77777777" w:rsidR="00296471" w:rsidRPr="0019444B" w:rsidRDefault="00296471" w:rsidP="00E113EF">
            <w:pPr>
              <w:keepNext/>
              <w:rPr>
                <w:rFonts w:ascii="Arial Narrow" w:hAnsi="Arial Narrow"/>
                <w:b/>
                <w:sz w:val="20"/>
                <w:szCs w:val="20"/>
              </w:rPr>
            </w:pPr>
            <w:r w:rsidRPr="0019444B">
              <w:rPr>
                <w:rFonts w:ascii="Arial Narrow" w:hAnsi="Arial Narrow"/>
                <w:b/>
                <w:sz w:val="20"/>
                <w:szCs w:val="20"/>
              </w:rPr>
              <w:t>OBIN+CHL</w:t>
            </w:r>
          </w:p>
          <w:p w14:paraId="65E873EC" w14:textId="77777777" w:rsidR="00296471" w:rsidRPr="0019444B" w:rsidRDefault="00296471" w:rsidP="00E113EF">
            <w:pPr>
              <w:keepNext/>
              <w:rPr>
                <w:rFonts w:ascii="Arial Narrow" w:hAnsi="Arial Narrow"/>
                <w:b/>
                <w:sz w:val="20"/>
                <w:szCs w:val="20"/>
              </w:rPr>
            </w:pPr>
            <w:r w:rsidRPr="0019444B">
              <w:rPr>
                <w:rFonts w:ascii="Arial Narrow" w:hAnsi="Arial Narrow"/>
                <w:b/>
                <w:sz w:val="20"/>
                <w:szCs w:val="20"/>
              </w:rPr>
              <w:t>(N=214)</w:t>
            </w:r>
          </w:p>
        </w:tc>
        <w:tc>
          <w:tcPr>
            <w:tcW w:w="1134" w:type="dxa"/>
            <w:tcBorders>
              <w:top w:val="single" w:sz="4" w:space="0" w:color="000000"/>
              <w:left w:val="single" w:sz="4" w:space="0" w:color="000000"/>
              <w:bottom w:val="single" w:sz="4" w:space="0" w:color="000000"/>
            </w:tcBorders>
          </w:tcPr>
          <w:p w14:paraId="21B408FE" w14:textId="77777777" w:rsidR="00296471" w:rsidRPr="0019444B" w:rsidRDefault="00296471" w:rsidP="00E113EF">
            <w:pPr>
              <w:keepNext/>
              <w:rPr>
                <w:rFonts w:ascii="Arial Narrow" w:hAnsi="Arial Narrow"/>
                <w:b/>
                <w:sz w:val="20"/>
                <w:szCs w:val="20"/>
              </w:rPr>
            </w:pPr>
            <w:r w:rsidRPr="0019444B">
              <w:rPr>
                <w:rFonts w:ascii="Arial Narrow" w:hAnsi="Arial Narrow"/>
                <w:b/>
                <w:sz w:val="20"/>
                <w:szCs w:val="20"/>
              </w:rPr>
              <w:t>VTX+OBIN</w:t>
            </w:r>
          </w:p>
          <w:p w14:paraId="12C9AD1A" w14:textId="77777777" w:rsidR="00296471" w:rsidRPr="0019444B" w:rsidRDefault="00296471" w:rsidP="00E113EF">
            <w:pPr>
              <w:keepNext/>
              <w:rPr>
                <w:rFonts w:ascii="Arial Narrow" w:hAnsi="Arial Narrow"/>
                <w:b/>
                <w:sz w:val="20"/>
                <w:szCs w:val="20"/>
              </w:rPr>
            </w:pPr>
            <w:r w:rsidRPr="0019444B">
              <w:rPr>
                <w:rFonts w:ascii="Arial Narrow" w:hAnsi="Arial Narrow"/>
                <w:b/>
                <w:sz w:val="20"/>
                <w:szCs w:val="20"/>
              </w:rPr>
              <w:t>(N=212)</w:t>
            </w:r>
          </w:p>
        </w:tc>
        <w:tc>
          <w:tcPr>
            <w:tcW w:w="992" w:type="dxa"/>
            <w:tcBorders>
              <w:top w:val="single" w:sz="4" w:space="0" w:color="000000"/>
              <w:left w:val="single" w:sz="4" w:space="0" w:color="000000"/>
              <w:bottom w:val="single" w:sz="4" w:space="0" w:color="000000"/>
            </w:tcBorders>
          </w:tcPr>
          <w:p w14:paraId="5E027418" w14:textId="77777777" w:rsidR="00296471" w:rsidRPr="0019444B" w:rsidRDefault="00296471" w:rsidP="00E113EF">
            <w:pPr>
              <w:keepNext/>
              <w:rPr>
                <w:rFonts w:ascii="Arial Narrow" w:hAnsi="Arial Narrow"/>
                <w:b/>
                <w:sz w:val="20"/>
                <w:szCs w:val="20"/>
              </w:rPr>
            </w:pPr>
            <w:r w:rsidRPr="0019444B">
              <w:rPr>
                <w:rFonts w:ascii="Arial Narrow" w:hAnsi="Arial Narrow"/>
                <w:b/>
                <w:sz w:val="20"/>
                <w:szCs w:val="20"/>
              </w:rPr>
              <w:t>OBIN+CHL</w:t>
            </w:r>
          </w:p>
          <w:p w14:paraId="1F2C98A8" w14:textId="77777777" w:rsidR="00296471" w:rsidRPr="0019444B" w:rsidRDefault="00296471" w:rsidP="00E113EF">
            <w:pPr>
              <w:keepNext/>
              <w:rPr>
                <w:rFonts w:ascii="Arial Narrow" w:hAnsi="Arial Narrow"/>
                <w:b/>
                <w:sz w:val="20"/>
                <w:szCs w:val="20"/>
              </w:rPr>
            </w:pPr>
            <w:r w:rsidRPr="0019444B">
              <w:rPr>
                <w:rFonts w:ascii="Arial Narrow" w:hAnsi="Arial Narrow"/>
                <w:b/>
                <w:sz w:val="20"/>
                <w:szCs w:val="20"/>
              </w:rPr>
              <w:t>(N=214)</w:t>
            </w:r>
          </w:p>
        </w:tc>
      </w:tr>
      <w:tr w:rsidR="00296471" w:rsidRPr="0019444B" w14:paraId="1414D069" w14:textId="77777777" w:rsidTr="0056303E">
        <w:trPr>
          <w:trHeight w:val="64"/>
        </w:trPr>
        <w:tc>
          <w:tcPr>
            <w:tcW w:w="2066" w:type="dxa"/>
            <w:tcBorders>
              <w:top w:val="single" w:sz="4" w:space="0" w:color="000000"/>
              <w:bottom w:val="single" w:sz="4" w:space="0" w:color="000000"/>
              <w:right w:val="single" w:sz="4" w:space="0" w:color="000000"/>
            </w:tcBorders>
            <w:vAlign w:val="center"/>
          </w:tcPr>
          <w:p w14:paraId="6A62EB16" w14:textId="77777777" w:rsidR="00296471" w:rsidRPr="0019444B" w:rsidRDefault="00296471" w:rsidP="00E113EF">
            <w:pPr>
              <w:keepNext/>
              <w:rPr>
                <w:rFonts w:ascii="Arial Narrow" w:hAnsi="Arial Narrow"/>
                <w:sz w:val="20"/>
                <w:szCs w:val="20"/>
              </w:rPr>
            </w:pPr>
            <w:r w:rsidRPr="0019444B">
              <w:rPr>
                <w:rFonts w:ascii="Arial Narrow" w:hAnsi="Arial Narrow"/>
                <w:sz w:val="20"/>
                <w:szCs w:val="20"/>
              </w:rPr>
              <w:t>Median follow-up, months</w:t>
            </w:r>
          </w:p>
        </w:tc>
        <w:tc>
          <w:tcPr>
            <w:tcW w:w="2977" w:type="dxa"/>
            <w:gridSpan w:val="3"/>
            <w:tcBorders>
              <w:top w:val="single" w:sz="4" w:space="0" w:color="000000"/>
              <w:left w:val="single" w:sz="4" w:space="0" w:color="auto"/>
              <w:bottom w:val="single" w:sz="4" w:space="0" w:color="000000"/>
              <w:right w:val="single" w:sz="4" w:space="0" w:color="000000"/>
            </w:tcBorders>
            <w:vAlign w:val="center"/>
          </w:tcPr>
          <w:p w14:paraId="6FE1AA11" w14:textId="77777777" w:rsidR="00296471" w:rsidRPr="0019444B" w:rsidRDefault="00296471" w:rsidP="00E113EF">
            <w:pPr>
              <w:keepNext/>
              <w:rPr>
                <w:rFonts w:ascii="Arial Narrow" w:hAnsi="Arial Narrow"/>
                <w:sz w:val="20"/>
                <w:szCs w:val="20"/>
              </w:rPr>
            </w:pPr>
            <w:r w:rsidRPr="0019444B">
              <w:rPr>
                <w:rFonts w:ascii="Arial Narrow" w:hAnsi="Arial Narrow"/>
                <w:sz w:val="20"/>
                <w:szCs w:val="20"/>
              </w:rPr>
              <w:t>58.2</w:t>
            </w:r>
          </w:p>
        </w:tc>
        <w:tc>
          <w:tcPr>
            <w:tcW w:w="2102" w:type="dxa"/>
            <w:gridSpan w:val="2"/>
            <w:tcBorders>
              <w:top w:val="single" w:sz="4" w:space="0" w:color="000000"/>
              <w:left w:val="single" w:sz="4" w:space="0" w:color="000000"/>
              <w:bottom w:val="single" w:sz="4" w:space="0" w:color="000000"/>
            </w:tcBorders>
            <w:vAlign w:val="center"/>
          </w:tcPr>
          <w:p w14:paraId="3F4650C7" w14:textId="62C4919A" w:rsidR="00296471" w:rsidRPr="0019444B" w:rsidRDefault="00296471" w:rsidP="00E113EF">
            <w:pPr>
              <w:keepNext/>
              <w:rPr>
                <w:rFonts w:ascii="Arial Narrow" w:hAnsi="Arial Narrow"/>
                <w:sz w:val="20"/>
                <w:szCs w:val="20"/>
              </w:rPr>
            </w:pPr>
            <w:r w:rsidRPr="0019444B">
              <w:rPr>
                <w:rFonts w:ascii="Arial Narrow" w:hAnsi="Arial Narrow"/>
                <w:sz w:val="20"/>
                <w:szCs w:val="20"/>
              </w:rPr>
              <w:t>39.</w:t>
            </w:r>
            <w:r w:rsidR="00835911" w:rsidRPr="0019444B">
              <w:rPr>
                <w:rFonts w:ascii="Arial Narrow" w:hAnsi="Arial Narrow"/>
                <w:sz w:val="20"/>
                <w:szCs w:val="20"/>
              </w:rPr>
              <w:t>6</w:t>
            </w:r>
          </w:p>
        </w:tc>
        <w:tc>
          <w:tcPr>
            <w:tcW w:w="2126" w:type="dxa"/>
            <w:gridSpan w:val="2"/>
            <w:tcBorders>
              <w:top w:val="single" w:sz="4" w:space="0" w:color="000000"/>
              <w:left w:val="single" w:sz="4" w:space="0" w:color="000000"/>
              <w:bottom w:val="single" w:sz="4" w:space="0" w:color="000000"/>
            </w:tcBorders>
            <w:vAlign w:val="center"/>
          </w:tcPr>
          <w:p w14:paraId="0795ACDA" w14:textId="77777777" w:rsidR="00296471" w:rsidRPr="0019444B" w:rsidRDefault="00296471" w:rsidP="00E113EF">
            <w:pPr>
              <w:keepNext/>
              <w:rPr>
                <w:rFonts w:ascii="Arial Narrow" w:hAnsi="Arial Narrow"/>
                <w:sz w:val="20"/>
                <w:szCs w:val="20"/>
              </w:rPr>
            </w:pPr>
            <w:r w:rsidRPr="0019444B">
              <w:rPr>
                <w:rFonts w:ascii="Arial Narrow" w:hAnsi="Arial Narrow"/>
                <w:sz w:val="20"/>
                <w:szCs w:val="20"/>
              </w:rPr>
              <w:t>52.4</w:t>
            </w:r>
          </w:p>
        </w:tc>
      </w:tr>
      <w:tr w:rsidR="00296471" w:rsidRPr="0019444B" w14:paraId="284D1070" w14:textId="77777777" w:rsidTr="0056303E">
        <w:trPr>
          <w:trHeight w:val="249"/>
        </w:trPr>
        <w:tc>
          <w:tcPr>
            <w:tcW w:w="2066" w:type="dxa"/>
            <w:tcBorders>
              <w:top w:val="single" w:sz="4" w:space="0" w:color="000000"/>
              <w:bottom w:val="single" w:sz="4" w:space="0" w:color="000000"/>
              <w:right w:val="single" w:sz="4" w:space="0" w:color="000000"/>
            </w:tcBorders>
            <w:vAlign w:val="center"/>
          </w:tcPr>
          <w:p w14:paraId="7D8BFBDF" w14:textId="77777777" w:rsidR="00296471" w:rsidRPr="0019444B" w:rsidRDefault="00296471" w:rsidP="00E113EF">
            <w:pPr>
              <w:keepNext/>
              <w:rPr>
                <w:rFonts w:ascii="Arial Narrow" w:hAnsi="Arial Narrow"/>
                <w:sz w:val="20"/>
                <w:szCs w:val="20"/>
              </w:rPr>
            </w:pPr>
            <w:r w:rsidRPr="0019444B">
              <w:rPr>
                <w:rFonts w:ascii="Arial Narrow" w:hAnsi="Arial Narrow"/>
                <w:sz w:val="20"/>
                <w:szCs w:val="20"/>
              </w:rPr>
              <w:t>Any AE, n (%)</w:t>
            </w:r>
          </w:p>
        </w:tc>
        <w:tc>
          <w:tcPr>
            <w:tcW w:w="993" w:type="dxa"/>
            <w:tcBorders>
              <w:top w:val="single" w:sz="4" w:space="0" w:color="000000"/>
              <w:left w:val="single" w:sz="4" w:space="0" w:color="000000"/>
              <w:bottom w:val="single" w:sz="4" w:space="0" w:color="000000"/>
              <w:right w:val="single" w:sz="4" w:space="0" w:color="000000"/>
            </w:tcBorders>
            <w:vAlign w:val="center"/>
          </w:tcPr>
          <w:p w14:paraId="7E4A8EE5" w14:textId="77777777" w:rsidR="00296471" w:rsidRPr="0019444B" w:rsidRDefault="00296471" w:rsidP="00E113EF">
            <w:pPr>
              <w:keepNext/>
              <w:rPr>
                <w:rFonts w:ascii="Arial Narrow" w:hAnsi="Arial Narrow"/>
                <w:sz w:val="20"/>
                <w:szCs w:val="20"/>
              </w:rPr>
            </w:pPr>
            <w:r w:rsidRPr="0019444B">
              <w:rPr>
                <w:rFonts w:ascii="Arial Narrow" w:hAnsi="Arial Narrow"/>
                <w:sz w:val="20"/>
                <w:szCs w:val="20"/>
              </w:rPr>
              <w:t>173 (96.6)</w:t>
            </w:r>
          </w:p>
        </w:tc>
        <w:tc>
          <w:tcPr>
            <w:tcW w:w="992" w:type="dxa"/>
            <w:tcBorders>
              <w:top w:val="single" w:sz="4" w:space="0" w:color="000000"/>
              <w:left w:val="single" w:sz="4" w:space="0" w:color="000000"/>
              <w:bottom w:val="single" w:sz="4" w:space="0" w:color="000000"/>
            </w:tcBorders>
            <w:vAlign w:val="center"/>
          </w:tcPr>
          <w:p w14:paraId="0D58F52F" w14:textId="77777777" w:rsidR="00296471" w:rsidRPr="0019444B" w:rsidRDefault="00296471" w:rsidP="00E113EF">
            <w:pPr>
              <w:keepNext/>
              <w:rPr>
                <w:rFonts w:ascii="Arial Narrow" w:hAnsi="Arial Narrow"/>
                <w:sz w:val="20"/>
                <w:szCs w:val="20"/>
              </w:rPr>
            </w:pPr>
            <w:r w:rsidRPr="0019444B">
              <w:rPr>
                <w:rFonts w:ascii="Arial Narrow" w:hAnsi="Arial Narrow"/>
                <w:sz w:val="20"/>
                <w:szCs w:val="20"/>
              </w:rPr>
              <w:t>176 (98.9)</w:t>
            </w:r>
          </w:p>
        </w:tc>
        <w:tc>
          <w:tcPr>
            <w:tcW w:w="992" w:type="dxa"/>
            <w:tcBorders>
              <w:top w:val="single" w:sz="4" w:space="0" w:color="000000"/>
              <w:left w:val="single" w:sz="4" w:space="0" w:color="000000"/>
              <w:bottom w:val="single" w:sz="4" w:space="0" w:color="000000"/>
            </w:tcBorders>
            <w:vAlign w:val="center"/>
          </w:tcPr>
          <w:p w14:paraId="28C2C7A5" w14:textId="77777777" w:rsidR="00296471" w:rsidRPr="0019444B" w:rsidRDefault="00296471" w:rsidP="00E113EF">
            <w:pPr>
              <w:keepNext/>
              <w:rPr>
                <w:rFonts w:ascii="Arial Narrow" w:hAnsi="Arial Narrow"/>
                <w:sz w:val="20"/>
                <w:szCs w:val="20"/>
              </w:rPr>
            </w:pPr>
            <w:r w:rsidRPr="0019444B">
              <w:rPr>
                <w:rFonts w:ascii="Arial Narrow" w:hAnsi="Arial Narrow"/>
                <w:sz w:val="20"/>
                <w:szCs w:val="20"/>
              </w:rPr>
              <w:t>167 (98.8)</w:t>
            </w:r>
          </w:p>
        </w:tc>
        <w:tc>
          <w:tcPr>
            <w:tcW w:w="992" w:type="dxa"/>
            <w:tcBorders>
              <w:top w:val="single" w:sz="4" w:space="0" w:color="000000"/>
              <w:left w:val="single" w:sz="4" w:space="0" w:color="000000"/>
              <w:bottom w:val="single" w:sz="4" w:space="0" w:color="000000"/>
              <w:right w:val="single" w:sz="4" w:space="0" w:color="000000"/>
            </w:tcBorders>
            <w:vAlign w:val="center"/>
          </w:tcPr>
          <w:p w14:paraId="5371C7ED" w14:textId="77777777" w:rsidR="00296471" w:rsidRPr="0019444B" w:rsidRDefault="00296471" w:rsidP="00E113EF">
            <w:pPr>
              <w:keepNext/>
              <w:rPr>
                <w:rFonts w:ascii="Arial Narrow" w:hAnsi="Arial Narrow"/>
                <w:sz w:val="20"/>
                <w:szCs w:val="20"/>
              </w:rPr>
            </w:pPr>
            <w:r w:rsidRPr="0019444B">
              <w:rPr>
                <w:rFonts w:ascii="Arial Narrow" w:hAnsi="Arial Narrow"/>
                <w:sz w:val="20"/>
                <w:szCs w:val="20"/>
              </w:rPr>
              <w:t>201 (94.8)</w:t>
            </w:r>
          </w:p>
        </w:tc>
        <w:tc>
          <w:tcPr>
            <w:tcW w:w="1110" w:type="dxa"/>
            <w:tcBorders>
              <w:top w:val="single" w:sz="4" w:space="0" w:color="000000"/>
              <w:left w:val="single" w:sz="4" w:space="0" w:color="000000"/>
              <w:bottom w:val="single" w:sz="4" w:space="0" w:color="000000"/>
            </w:tcBorders>
            <w:vAlign w:val="center"/>
          </w:tcPr>
          <w:p w14:paraId="4F0FB7C6" w14:textId="77777777" w:rsidR="00296471" w:rsidRPr="0019444B" w:rsidRDefault="00296471" w:rsidP="00E113EF">
            <w:pPr>
              <w:keepNext/>
              <w:rPr>
                <w:rFonts w:ascii="Arial Narrow" w:hAnsi="Arial Narrow"/>
                <w:sz w:val="20"/>
                <w:szCs w:val="20"/>
              </w:rPr>
            </w:pPr>
            <w:r w:rsidRPr="0019444B">
              <w:rPr>
                <w:rFonts w:ascii="Arial Narrow" w:hAnsi="Arial Narrow"/>
                <w:sz w:val="20"/>
                <w:szCs w:val="20"/>
              </w:rPr>
              <w:t>213 (99.5)</w:t>
            </w:r>
          </w:p>
        </w:tc>
        <w:tc>
          <w:tcPr>
            <w:tcW w:w="1134" w:type="dxa"/>
            <w:tcBorders>
              <w:top w:val="single" w:sz="4" w:space="0" w:color="000000"/>
              <w:left w:val="single" w:sz="4" w:space="0" w:color="000000"/>
              <w:bottom w:val="single" w:sz="4" w:space="0" w:color="000000"/>
            </w:tcBorders>
            <w:vAlign w:val="center"/>
          </w:tcPr>
          <w:p w14:paraId="2909F741" w14:textId="77777777" w:rsidR="00296471" w:rsidRPr="0019444B" w:rsidRDefault="00296471" w:rsidP="00E113EF">
            <w:pPr>
              <w:keepNext/>
              <w:rPr>
                <w:rFonts w:ascii="Arial Narrow" w:hAnsi="Arial Narrow"/>
                <w:sz w:val="20"/>
                <w:szCs w:val="20"/>
              </w:rPr>
            </w:pPr>
            <w:r w:rsidRPr="0019444B">
              <w:rPr>
                <w:rFonts w:ascii="Arial Narrow" w:hAnsi="Arial Narrow"/>
                <w:sz w:val="20"/>
                <w:szCs w:val="20"/>
              </w:rPr>
              <w:t>NR</w:t>
            </w:r>
          </w:p>
        </w:tc>
        <w:tc>
          <w:tcPr>
            <w:tcW w:w="992" w:type="dxa"/>
            <w:tcBorders>
              <w:top w:val="single" w:sz="4" w:space="0" w:color="000000"/>
              <w:left w:val="single" w:sz="4" w:space="0" w:color="000000"/>
              <w:bottom w:val="single" w:sz="4" w:space="0" w:color="000000"/>
            </w:tcBorders>
            <w:vAlign w:val="center"/>
          </w:tcPr>
          <w:p w14:paraId="7E5F47A9" w14:textId="77777777" w:rsidR="00296471" w:rsidRPr="0019444B" w:rsidRDefault="00296471" w:rsidP="00E113EF">
            <w:pPr>
              <w:keepNext/>
              <w:rPr>
                <w:rFonts w:ascii="Arial Narrow" w:hAnsi="Arial Narrow"/>
                <w:sz w:val="20"/>
                <w:szCs w:val="20"/>
              </w:rPr>
            </w:pPr>
            <w:r w:rsidRPr="0019444B">
              <w:rPr>
                <w:rFonts w:ascii="Arial Narrow" w:hAnsi="Arial Narrow"/>
                <w:sz w:val="20"/>
                <w:szCs w:val="20"/>
              </w:rPr>
              <w:t>NR</w:t>
            </w:r>
          </w:p>
        </w:tc>
      </w:tr>
      <w:tr w:rsidR="00296471" w:rsidRPr="0019444B" w14:paraId="31B7F321" w14:textId="77777777" w:rsidTr="0056303E">
        <w:trPr>
          <w:trHeight w:val="249"/>
        </w:trPr>
        <w:tc>
          <w:tcPr>
            <w:tcW w:w="2066" w:type="dxa"/>
            <w:tcBorders>
              <w:top w:val="single" w:sz="4" w:space="0" w:color="000000"/>
              <w:bottom w:val="single" w:sz="4" w:space="0" w:color="000000"/>
              <w:right w:val="single" w:sz="4" w:space="0" w:color="000000"/>
            </w:tcBorders>
            <w:vAlign w:val="center"/>
          </w:tcPr>
          <w:p w14:paraId="2F7C5DD9" w14:textId="77777777" w:rsidR="00296471" w:rsidRPr="0019444B" w:rsidRDefault="00296471" w:rsidP="00E113EF">
            <w:pPr>
              <w:keepNext/>
              <w:rPr>
                <w:rFonts w:ascii="Arial Narrow" w:hAnsi="Arial Narrow"/>
                <w:sz w:val="20"/>
                <w:szCs w:val="20"/>
              </w:rPr>
            </w:pPr>
            <w:r w:rsidRPr="0019444B">
              <w:rPr>
                <w:rFonts w:ascii="Arial Narrow" w:hAnsi="Arial Narrow"/>
                <w:sz w:val="20"/>
                <w:szCs w:val="20"/>
              </w:rPr>
              <w:t>≥1 Grade ≥3 TEAE, n (%)</w:t>
            </w:r>
          </w:p>
        </w:tc>
        <w:tc>
          <w:tcPr>
            <w:tcW w:w="993" w:type="dxa"/>
            <w:tcBorders>
              <w:top w:val="single" w:sz="4" w:space="0" w:color="000000"/>
              <w:left w:val="single" w:sz="4" w:space="0" w:color="000000"/>
              <w:bottom w:val="single" w:sz="4" w:space="0" w:color="000000"/>
              <w:right w:val="single" w:sz="4" w:space="0" w:color="000000"/>
            </w:tcBorders>
            <w:vAlign w:val="center"/>
          </w:tcPr>
          <w:p w14:paraId="51291A68" w14:textId="77777777" w:rsidR="00296471" w:rsidRPr="0019444B" w:rsidRDefault="00296471" w:rsidP="00E113EF">
            <w:pPr>
              <w:keepNext/>
              <w:rPr>
                <w:rFonts w:ascii="Arial Narrow" w:hAnsi="Arial Narrow"/>
                <w:sz w:val="20"/>
                <w:szCs w:val="20"/>
              </w:rPr>
            </w:pPr>
            <w:r w:rsidRPr="0019444B">
              <w:rPr>
                <w:rFonts w:ascii="Arial Narrow" w:hAnsi="Arial Narrow"/>
                <w:sz w:val="20"/>
                <w:szCs w:val="20"/>
              </w:rPr>
              <w:t>113 (63.1)</w:t>
            </w:r>
          </w:p>
        </w:tc>
        <w:tc>
          <w:tcPr>
            <w:tcW w:w="992" w:type="dxa"/>
            <w:tcBorders>
              <w:top w:val="single" w:sz="4" w:space="0" w:color="000000"/>
              <w:left w:val="single" w:sz="4" w:space="0" w:color="000000"/>
              <w:bottom w:val="single" w:sz="4" w:space="0" w:color="000000"/>
            </w:tcBorders>
            <w:vAlign w:val="center"/>
          </w:tcPr>
          <w:p w14:paraId="30E6FA0C" w14:textId="77777777" w:rsidR="00296471" w:rsidRPr="0019444B" w:rsidRDefault="00296471" w:rsidP="00E113EF">
            <w:pPr>
              <w:keepNext/>
              <w:rPr>
                <w:rFonts w:ascii="Arial Narrow" w:hAnsi="Arial Narrow"/>
                <w:sz w:val="20"/>
                <w:szCs w:val="20"/>
              </w:rPr>
            </w:pPr>
            <w:r w:rsidRPr="0019444B">
              <w:rPr>
                <w:rFonts w:ascii="Arial Narrow" w:hAnsi="Arial Narrow"/>
                <w:sz w:val="20"/>
                <w:szCs w:val="20"/>
              </w:rPr>
              <w:t>143 (80.3)</w:t>
            </w:r>
          </w:p>
        </w:tc>
        <w:tc>
          <w:tcPr>
            <w:tcW w:w="992" w:type="dxa"/>
            <w:tcBorders>
              <w:top w:val="single" w:sz="4" w:space="0" w:color="000000"/>
              <w:left w:val="single" w:sz="4" w:space="0" w:color="000000"/>
              <w:bottom w:val="single" w:sz="4" w:space="0" w:color="000000"/>
            </w:tcBorders>
            <w:vAlign w:val="center"/>
          </w:tcPr>
          <w:p w14:paraId="28137846" w14:textId="77777777" w:rsidR="00296471" w:rsidRPr="0019444B" w:rsidRDefault="00296471" w:rsidP="00E113EF">
            <w:pPr>
              <w:keepNext/>
              <w:rPr>
                <w:rFonts w:ascii="Arial Narrow" w:hAnsi="Arial Narrow"/>
                <w:sz w:val="20"/>
                <w:szCs w:val="20"/>
              </w:rPr>
            </w:pPr>
            <w:r w:rsidRPr="0019444B">
              <w:rPr>
                <w:rFonts w:ascii="Arial Narrow" w:hAnsi="Arial Narrow"/>
                <w:sz w:val="20"/>
                <w:szCs w:val="20"/>
              </w:rPr>
              <w:t>121 (71.6)</w:t>
            </w:r>
          </w:p>
        </w:tc>
        <w:tc>
          <w:tcPr>
            <w:tcW w:w="992" w:type="dxa"/>
            <w:tcBorders>
              <w:top w:val="single" w:sz="4" w:space="0" w:color="000000"/>
              <w:left w:val="single" w:sz="4" w:space="0" w:color="000000"/>
              <w:bottom w:val="single" w:sz="4" w:space="0" w:color="000000"/>
              <w:right w:val="single" w:sz="4" w:space="0" w:color="000000"/>
            </w:tcBorders>
            <w:vAlign w:val="center"/>
          </w:tcPr>
          <w:p w14:paraId="0DF9EE13" w14:textId="77777777" w:rsidR="00296471" w:rsidRPr="0019444B" w:rsidRDefault="00296471" w:rsidP="00E113EF">
            <w:pPr>
              <w:keepNext/>
              <w:rPr>
                <w:rFonts w:ascii="Arial Narrow" w:hAnsi="Arial Narrow"/>
                <w:sz w:val="20"/>
                <w:szCs w:val="20"/>
              </w:rPr>
            </w:pPr>
            <w:r w:rsidRPr="0019444B">
              <w:rPr>
                <w:rFonts w:ascii="Arial Narrow" w:hAnsi="Arial Narrow"/>
                <w:sz w:val="20"/>
                <w:szCs w:val="20"/>
              </w:rPr>
              <w:t>150 (70.8)</w:t>
            </w:r>
          </w:p>
        </w:tc>
        <w:tc>
          <w:tcPr>
            <w:tcW w:w="1110" w:type="dxa"/>
            <w:tcBorders>
              <w:top w:val="single" w:sz="4" w:space="0" w:color="000000"/>
              <w:left w:val="single" w:sz="4" w:space="0" w:color="000000"/>
              <w:bottom w:val="single" w:sz="4" w:space="0" w:color="000000"/>
            </w:tcBorders>
            <w:vAlign w:val="center"/>
          </w:tcPr>
          <w:p w14:paraId="482EFDCF" w14:textId="77777777" w:rsidR="00296471" w:rsidRPr="0019444B" w:rsidRDefault="00296471" w:rsidP="00E113EF">
            <w:pPr>
              <w:keepNext/>
              <w:rPr>
                <w:rFonts w:ascii="Arial Narrow" w:hAnsi="Arial Narrow"/>
                <w:sz w:val="20"/>
                <w:szCs w:val="20"/>
              </w:rPr>
            </w:pPr>
            <w:r w:rsidRPr="0019444B">
              <w:rPr>
                <w:rFonts w:ascii="Arial Narrow" w:hAnsi="Arial Narrow"/>
                <w:sz w:val="20"/>
                <w:szCs w:val="20"/>
              </w:rPr>
              <w:t>155 (72.4)</w:t>
            </w:r>
          </w:p>
        </w:tc>
        <w:tc>
          <w:tcPr>
            <w:tcW w:w="1134" w:type="dxa"/>
            <w:tcBorders>
              <w:top w:val="single" w:sz="4" w:space="0" w:color="000000"/>
              <w:left w:val="single" w:sz="4" w:space="0" w:color="000000"/>
              <w:bottom w:val="single" w:sz="4" w:space="0" w:color="000000"/>
            </w:tcBorders>
            <w:vAlign w:val="center"/>
          </w:tcPr>
          <w:p w14:paraId="4DCBBCCC" w14:textId="77777777" w:rsidR="00296471" w:rsidRPr="0019444B" w:rsidRDefault="00296471" w:rsidP="00E113EF">
            <w:pPr>
              <w:keepNext/>
              <w:rPr>
                <w:rFonts w:ascii="Arial Narrow" w:hAnsi="Arial Narrow"/>
                <w:sz w:val="20"/>
                <w:szCs w:val="20"/>
              </w:rPr>
            </w:pPr>
            <w:r w:rsidRPr="0019444B">
              <w:rPr>
                <w:rFonts w:ascii="Arial Narrow" w:hAnsi="Arial Narrow"/>
                <w:sz w:val="20"/>
                <w:szCs w:val="20"/>
              </w:rPr>
              <w:t>NR</w:t>
            </w:r>
          </w:p>
        </w:tc>
        <w:tc>
          <w:tcPr>
            <w:tcW w:w="992" w:type="dxa"/>
            <w:tcBorders>
              <w:top w:val="single" w:sz="4" w:space="0" w:color="000000"/>
              <w:left w:val="single" w:sz="4" w:space="0" w:color="000000"/>
              <w:bottom w:val="single" w:sz="4" w:space="0" w:color="000000"/>
            </w:tcBorders>
            <w:vAlign w:val="center"/>
          </w:tcPr>
          <w:p w14:paraId="1C16CCB5" w14:textId="77777777" w:rsidR="00296471" w:rsidRPr="0019444B" w:rsidRDefault="00296471" w:rsidP="00E113EF">
            <w:pPr>
              <w:keepNext/>
              <w:rPr>
                <w:rFonts w:ascii="Arial Narrow" w:hAnsi="Arial Narrow"/>
                <w:sz w:val="20"/>
                <w:szCs w:val="20"/>
              </w:rPr>
            </w:pPr>
            <w:r w:rsidRPr="0019444B">
              <w:rPr>
                <w:rFonts w:ascii="Arial Narrow" w:hAnsi="Arial Narrow"/>
                <w:sz w:val="20"/>
                <w:szCs w:val="20"/>
              </w:rPr>
              <w:t>NR</w:t>
            </w:r>
          </w:p>
        </w:tc>
      </w:tr>
      <w:tr w:rsidR="00296471" w:rsidRPr="0019444B" w14:paraId="457C755C" w14:textId="77777777" w:rsidTr="0056303E">
        <w:trPr>
          <w:trHeight w:val="249"/>
        </w:trPr>
        <w:tc>
          <w:tcPr>
            <w:tcW w:w="2066" w:type="dxa"/>
            <w:tcBorders>
              <w:top w:val="single" w:sz="4" w:space="0" w:color="000000"/>
              <w:bottom w:val="single" w:sz="4" w:space="0" w:color="000000"/>
              <w:right w:val="single" w:sz="4" w:space="0" w:color="000000"/>
            </w:tcBorders>
            <w:vAlign w:val="center"/>
          </w:tcPr>
          <w:p w14:paraId="78F6F561" w14:textId="77777777" w:rsidR="00296471" w:rsidRPr="0019444B" w:rsidRDefault="00296471" w:rsidP="00E113EF">
            <w:pPr>
              <w:keepNext/>
              <w:rPr>
                <w:rFonts w:ascii="Arial Narrow" w:hAnsi="Arial Narrow"/>
                <w:sz w:val="20"/>
                <w:szCs w:val="20"/>
              </w:rPr>
            </w:pPr>
            <w:r w:rsidRPr="0019444B">
              <w:rPr>
                <w:rFonts w:ascii="Arial Narrow" w:hAnsi="Arial Narrow"/>
                <w:sz w:val="20"/>
                <w:szCs w:val="20"/>
              </w:rPr>
              <w:t>SAEs, n (%)</w:t>
            </w:r>
          </w:p>
        </w:tc>
        <w:tc>
          <w:tcPr>
            <w:tcW w:w="993" w:type="dxa"/>
            <w:tcBorders>
              <w:top w:val="single" w:sz="4" w:space="0" w:color="000000"/>
              <w:left w:val="single" w:sz="4" w:space="0" w:color="000000"/>
              <w:bottom w:val="single" w:sz="4" w:space="0" w:color="000000"/>
              <w:right w:val="single" w:sz="4" w:space="0" w:color="000000"/>
            </w:tcBorders>
            <w:vAlign w:val="center"/>
          </w:tcPr>
          <w:p w14:paraId="35307383" w14:textId="77777777" w:rsidR="00296471" w:rsidRPr="0019444B" w:rsidRDefault="00296471" w:rsidP="00E113EF">
            <w:pPr>
              <w:keepNext/>
              <w:rPr>
                <w:rFonts w:ascii="Arial Narrow" w:hAnsi="Arial Narrow"/>
                <w:sz w:val="20"/>
                <w:szCs w:val="20"/>
              </w:rPr>
            </w:pPr>
            <w:r w:rsidRPr="0019444B">
              <w:rPr>
                <w:rFonts w:ascii="Arial Narrow" w:hAnsi="Arial Narrow"/>
                <w:sz w:val="20"/>
                <w:szCs w:val="20"/>
              </w:rPr>
              <w:t>77 (43.0)</w:t>
            </w:r>
          </w:p>
        </w:tc>
        <w:tc>
          <w:tcPr>
            <w:tcW w:w="992" w:type="dxa"/>
            <w:tcBorders>
              <w:top w:val="single" w:sz="4" w:space="0" w:color="000000"/>
              <w:left w:val="single" w:sz="4" w:space="0" w:color="000000"/>
              <w:bottom w:val="single" w:sz="4" w:space="0" w:color="000000"/>
            </w:tcBorders>
            <w:vAlign w:val="center"/>
          </w:tcPr>
          <w:p w14:paraId="1ECC4A60" w14:textId="77777777" w:rsidR="00296471" w:rsidRPr="0019444B" w:rsidRDefault="00296471" w:rsidP="00E113EF">
            <w:pPr>
              <w:keepNext/>
              <w:rPr>
                <w:rFonts w:ascii="Arial Narrow" w:hAnsi="Arial Narrow"/>
                <w:sz w:val="20"/>
                <w:szCs w:val="20"/>
              </w:rPr>
            </w:pPr>
            <w:r w:rsidRPr="0019444B">
              <w:rPr>
                <w:rFonts w:ascii="Arial Narrow" w:hAnsi="Arial Narrow"/>
                <w:sz w:val="20"/>
                <w:szCs w:val="20"/>
              </w:rPr>
              <w:t>95 (53.4)</w:t>
            </w:r>
          </w:p>
        </w:tc>
        <w:tc>
          <w:tcPr>
            <w:tcW w:w="992" w:type="dxa"/>
            <w:tcBorders>
              <w:top w:val="single" w:sz="4" w:space="0" w:color="000000"/>
              <w:left w:val="single" w:sz="4" w:space="0" w:color="000000"/>
              <w:bottom w:val="single" w:sz="4" w:space="0" w:color="000000"/>
            </w:tcBorders>
            <w:vAlign w:val="center"/>
          </w:tcPr>
          <w:p w14:paraId="1E4DF9ED" w14:textId="77777777" w:rsidR="00296471" w:rsidRPr="0019444B" w:rsidRDefault="00296471" w:rsidP="00E113EF">
            <w:pPr>
              <w:keepNext/>
              <w:rPr>
                <w:rFonts w:ascii="Arial Narrow" w:hAnsi="Arial Narrow"/>
                <w:sz w:val="20"/>
                <w:szCs w:val="20"/>
              </w:rPr>
            </w:pPr>
            <w:r w:rsidRPr="0019444B">
              <w:rPr>
                <w:rFonts w:ascii="Arial Narrow" w:hAnsi="Arial Narrow"/>
                <w:sz w:val="20"/>
                <w:szCs w:val="20"/>
              </w:rPr>
              <w:t>37 (21.9)</w:t>
            </w:r>
          </w:p>
        </w:tc>
        <w:tc>
          <w:tcPr>
            <w:tcW w:w="992" w:type="dxa"/>
            <w:tcBorders>
              <w:top w:val="single" w:sz="4" w:space="0" w:color="000000"/>
              <w:left w:val="single" w:sz="4" w:space="0" w:color="000000"/>
              <w:bottom w:val="single" w:sz="4" w:space="0" w:color="000000"/>
              <w:right w:val="single" w:sz="4" w:space="0" w:color="000000"/>
            </w:tcBorders>
            <w:vAlign w:val="center"/>
          </w:tcPr>
          <w:p w14:paraId="3079C3A7" w14:textId="77777777" w:rsidR="00296471" w:rsidRPr="0019444B" w:rsidRDefault="00296471" w:rsidP="00E113EF">
            <w:pPr>
              <w:keepNext/>
              <w:rPr>
                <w:rFonts w:ascii="Arial Narrow" w:hAnsi="Arial Narrow"/>
                <w:sz w:val="20"/>
                <w:szCs w:val="20"/>
              </w:rPr>
            </w:pPr>
            <w:r w:rsidRPr="0019444B">
              <w:rPr>
                <w:rFonts w:ascii="Arial Narrow" w:hAnsi="Arial Narrow"/>
                <w:sz w:val="20"/>
                <w:szCs w:val="20"/>
              </w:rPr>
              <w:t>115 (54.2)</w:t>
            </w:r>
          </w:p>
        </w:tc>
        <w:tc>
          <w:tcPr>
            <w:tcW w:w="1110" w:type="dxa"/>
            <w:tcBorders>
              <w:top w:val="single" w:sz="4" w:space="0" w:color="000000"/>
              <w:left w:val="single" w:sz="4" w:space="0" w:color="000000"/>
              <w:bottom w:val="single" w:sz="4" w:space="0" w:color="000000"/>
            </w:tcBorders>
            <w:vAlign w:val="center"/>
          </w:tcPr>
          <w:p w14:paraId="4A53AD3E" w14:textId="77777777" w:rsidR="00296471" w:rsidRPr="0019444B" w:rsidRDefault="00296471" w:rsidP="00E113EF">
            <w:pPr>
              <w:keepNext/>
              <w:rPr>
                <w:rFonts w:ascii="Arial Narrow" w:hAnsi="Arial Narrow"/>
                <w:sz w:val="20"/>
                <w:szCs w:val="20"/>
              </w:rPr>
            </w:pPr>
            <w:r w:rsidRPr="0019444B">
              <w:rPr>
                <w:rFonts w:ascii="Arial Narrow" w:hAnsi="Arial Narrow"/>
                <w:sz w:val="20"/>
                <w:szCs w:val="20"/>
              </w:rPr>
              <w:t>95 (44.4)</w:t>
            </w:r>
          </w:p>
        </w:tc>
        <w:tc>
          <w:tcPr>
            <w:tcW w:w="1134" w:type="dxa"/>
            <w:tcBorders>
              <w:top w:val="single" w:sz="4" w:space="0" w:color="000000"/>
              <w:left w:val="single" w:sz="4" w:space="0" w:color="000000"/>
              <w:bottom w:val="single" w:sz="4" w:space="0" w:color="000000"/>
            </w:tcBorders>
            <w:vAlign w:val="center"/>
          </w:tcPr>
          <w:p w14:paraId="0729F99F" w14:textId="77777777" w:rsidR="00296471" w:rsidRPr="0019444B" w:rsidRDefault="00296471" w:rsidP="00E113EF">
            <w:pPr>
              <w:keepNext/>
              <w:rPr>
                <w:rFonts w:ascii="Arial Narrow" w:hAnsi="Arial Narrow"/>
                <w:sz w:val="20"/>
                <w:szCs w:val="20"/>
              </w:rPr>
            </w:pPr>
            <w:r w:rsidRPr="0019444B">
              <w:rPr>
                <w:rFonts w:ascii="Arial Narrow" w:hAnsi="Arial Narrow"/>
                <w:sz w:val="20"/>
                <w:szCs w:val="20"/>
              </w:rPr>
              <w:t>NR</w:t>
            </w:r>
          </w:p>
        </w:tc>
        <w:tc>
          <w:tcPr>
            <w:tcW w:w="992" w:type="dxa"/>
            <w:tcBorders>
              <w:top w:val="single" w:sz="4" w:space="0" w:color="000000"/>
              <w:left w:val="single" w:sz="4" w:space="0" w:color="000000"/>
              <w:bottom w:val="single" w:sz="4" w:space="0" w:color="000000"/>
            </w:tcBorders>
            <w:vAlign w:val="center"/>
          </w:tcPr>
          <w:p w14:paraId="7059F0EC" w14:textId="77777777" w:rsidR="00296471" w:rsidRPr="0019444B" w:rsidRDefault="00296471" w:rsidP="00E113EF">
            <w:pPr>
              <w:keepNext/>
              <w:rPr>
                <w:rFonts w:ascii="Arial Narrow" w:hAnsi="Arial Narrow"/>
                <w:sz w:val="20"/>
                <w:szCs w:val="20"/>
              </w:rPr>
            </w:pPr>
            <w:r w:rsidRPr="0019444B">
              <w:rPr>
                <w:rFonts w:ascii="Arial Narrow" w:hAnsi="Arial Narrow"/>
                <w:sz w:val="20"/>
                <w:szCs w:val="20"/>
              </w:rPr>
              <w:t>NR</w:t>
            </w:r>
          </w:p>
        </w:tc>
      </w:tr>
      <w:tr w:rsidR="00296471" w:rsidRPr="0019444B" w14:paraId="34450CBA" w14:textId="77777777" w:rsidTr="0056303E">
        <w:trPr>
          <w:trHeight w:val="253"/>
        </w:trPr>
        <w:tc>
          <w:tcPr>
            <w:tcW w:w="2066" w:type="dxa"/>
            <w:tcBorders>
              <w:top w:val="single" w:sz="4" w:space="0" w:color="000000"/>
              <w:bottom w:val="single" w:sz="4" w:space="0" w:color="000000"/>
              <w:right w:val="single" w:sz="4" w:space="0" w:color="000000"/>
            </w:tcBorders>
            <w:vAlign w:val="center"/>
          </w:tcPr>
          <w:p w14:paraId="52AF2C5A" w14:textId="77777777" w:rsidR="00296471" w:rsidRPr="0019444B" w:rsidRDefault="00296471" w:rsidP="00E113EF">
            <w:pPr>
              <w:keepNext/>
              <w:rPr>
                <w:rFonts w:ascii="Arial Narrow" w:hAnsi="Arial Narrow"/>
                <w:sz w:val="20"/>
                <w:szCs w:val="20"/>
              </w:rPr>
            </w:pPr>
            <w:r w:rsidRPr="0019444B">
              <w:rPr>
                <w:rFonts w:ascii="Arial Narrow" w:hAnsi="Arial Narrow"/>
                <w:sz w:val="20"/>
                <w:szCs w:val="20"/>
              </w:rPr>
              <w:t>AE leading to death, n (%)</w:t>
            </w:r>
          </w:p>
        </w:tc>
        <w:tc>
          <w:tcPr>
            <w:tcW w:w="993" w:type="dxa"/>
            <w:tcBorders>
              <w:top w:val="single" w:sz="4" w:space="0" w:color="000000"/>
              <w:left w:val="single" w:sz="4" w:space="0" w:color="000000"/>
              <w:bottom w:val="single" w:sz="4" w:space="0" w:color="000000"/>
              <w:right w:val="single" w:sz="4" w:space="0" w:color="000000"/>
            </w:tcBorders>
            <w:vAlign w:val="center"/>
          </w:tcPr>
          <w:p w14:paraId="2545620C" w14:textId="77777777" w:rsidR="00296471" w:rsidRPr="0019444B" w:rsidRDefault="00296471" w:rsidP="00E113EF">
            <w:pPr>
              <w:keepNext/>
              <w:rPr>
                <w:rFonts w:ascii="Arial Narrow" w:hAnsi="Arial Narrow"/>
                <w:sz w:val="20"/>
                <w:szCs w:val="20"/>
              </w:rPr>
            </w:pPr>
            <w:r w:rsidRPr="0019444B">
              <w:rPr>
                <w:rFonts w:ascii="Arial Narrow" w:hAnsi="Arial Narrow"/>
                <w:sz w:val="20"/>
                <w:szCs w:val="20"/>
              </w:rPr>
              <w:t>18 (10.1)</w:t>
            </w:r>
          </w:p>
        </w:tc>
        <w:tc>
          <w:tcPr>
            <w:tcW w:w="992" w:type="dxa"/>
            <w:tcBorders>
              <w:top w:val="single" w:sz="4" w:space="0" w:color="000000"/>
              <w:left w:val="single" w:sz="4" w:space="0" w:color="000000"/>
              <w:bottom w:val="single" w:sz="4" w:space="0" w:color="000000"/>
            </w:tcBorders>
            <w:vAlign w:val="center"/>
          </w:tcPr>
          <w:p w14:paraId="71CF28AB" w14:textId="77777777" w:rsidR="00296471" w:rsidRPr="0019444B" w:rsidRDefault="00296471" w:rsidP="00E113EF">
            <w:pPr>
              <w:keepNext/>
              <w:rPr>
                <w:rFonts w:ascii="Arial Narrow" w:hAnsi="Arial Narrow"/>
                <w:sz w:val="20"/>
                <w:szCs w:val="20"/>
              </w:rPr>
            </w:pPr>
            <w:r w:rsidRPr="0019444B">
              <w:rPr>
                <w:rFonts w:ascii="Arial Narrow" w:hAnsi="Arial Narrow"/>
                <w:sz w:val="20"/>
                <w:szCs w:val="20"/>
              </w:rPr>
              <w:t>11 (6.2)</w:t>
            </w:r>
          </w:p>
        </w:tc>
        <w:tc>
          <w:tcPr>
            <w:tcW w:w="992" w:type="dxa"/>
            <w:tcBorders>
              <w:top w:val="single" w:sz="4" w:space="0" w:color="000000"/>
              <w:left w:val="single" w:sz="4" w:space="0" w:color="000000"/>
              <w:bottom w:val="single" w:sz="4" w:space="0" w:color="000000"/>
            </w:tcBorders>
            <w:vAlign w:val="center"/>
          </w:tcPr>
          <w:p w14:paraId="33581ECF" w14:textId="77777777" w:rsidR="00296471" w:rsidRPr="0019444B" w:rsidRDefault="00296471" w:rsidP="00E113EF">
            <w:pPr>
              <w:keepNext/>
              <w:rPr>
                <w:rFonts w:ascii="Arial Narrow" w:hAnsi="Arial Narrow"/>
                <w:sz w:val="20"/>
                <w:szCs w:val="20"/>
              </w:rPr>
            </w:pPr>
            <w:r w:rsidRPr="0019444B">
              <w:rPr>
                <w:rFonts w:ascii="Arial Narrow" w:hAnsi="Arial Narrow"/>
                <w:sz w:val="20"/>
                <w:szCs w:val="20"/>
              </w:rPr>
              <w:t>12 (7.1)</w:t>
            </w:r>
          </w:p>
        </w:tc>
        <w:tc>
          <w:tcPr>
            <w:tcW w:w="992" w:type="dxa"/>
            <w:tcBorders>
              <w:top w:val="single" w:sz="4" w:space="0" w:color="000000"/>
              <w:left w:val="single" w:sz="4" w:space="0" w:color="000000"/>
              <w:bottom w:val="single" w:sz="4" w:space="0" w:color="000000"/>
              <w:right w:val="single" w:sz="4" w:space="0" w:color="000000"/>
            </w:tcBorders>
            <w:vAlign w:val="center"/>
          </w:tcPr>
          <w:p w14:paraId="56A2BA3F" w14:textId="77777777" w:rsidR="00296471" w:rsidRPr="0019444B" w:rsidRDefault="00296471" w:rsidP="00E113EF">
            <w:pPr>
              <w:keepNext/>
              <w:rPr>
                <w:rFonts w:ascii="Arial Narrow" w:hAnsi="Arial Narrow"/>
                <w:sz w:val="20"/>
                <w:szCs w:val="20"/>
              </w:rPr>
            </w:pPr>
            <w:r w:rsidRPr="0019444B">
              <w:rPr>
                <w:rFonts w:ascii="Arial Narrow" w:hAnsi="Arial Narrow"/>
                <w:sz w:val="20"/>
                <w:szCs w:val="20"/>
              </w:rPr>
              <w:t>19 (8.8)</w:t>
            </w:r>
          </w:p>
        </w:tc>
        <w:tc>
          <w:tcPr>
            <w:tcW w:w="1110" w:type="dxa"/>
            <w:tcBorders>
              <w:top w:val="single" w:sz="4" w:space="0" w:color="000000"/>
              <w:left w:val="single" w:sz="4" w:space="0" w:color="000000"/>
              <w:bottom w:val="single" w:sz="4" w:space="0" w:color="000000"/>
            </w:tcBorders>
            <w:vAlign w:val="center"/>
          </w:tcPr>
          <w:p w14:paraId="3BCFF4EE" w14:textId="77777777" w:rsidR="00296471" w:rsidRPr="0019444B" w:rsidRDefault="00296471" w:rsidP="00E113EF">
            <w:pPr>
              <w:keepNext/>
              <w:rPr>
                <w:rFonts w:ascii="Arial Narrow" w:hAnsi="Arial Narrow"/>
                <w:sz w:val="20"/>
                <w:szCs w:val="20"/>
              </w:rPr>
            </w:pPr>
            <w:r w:rsidRPr="0019444B">
              <w:rPr>
                <w:rFonts w:ascii="Arial Narrow" w:hAnsi="Arial Narrow"/>
                <w:sz w:val="20"/>
                <w:szCs w:val="20"/>
              </w:rPr>
              <w:t>11 (5.1)</w:t>
            </w:r>
          </w:p>
        </w:tc>
        <w:tc>
          <w:tcPr>
            <w:tcW w:w="1134" w:type="dxa"/>
            <w:tcBorders>
              <w:top w:val="single" w:sz="4" w:space="0" w:color="000000"/>
              <w:left w:val="single" w:sz="4" w:space="0" w:color="000000"/>
              <w:bottom w:val="single" w:sz="4" w:space="0" w:color="000000"/>
            </w:tcBorders>
            <w:vAlign w:val="center"/>
          </w:tcPr>
          <w:p w14:paraId="33F41379" w14:textId="77777777" w:rsidR="00296471" w:rsidRPr="0019444B" w:rsidRDefault="00296471" w:rsidP="00E113EF">
            <w:pPr>
              <w:keepNext/>
              <w:rPr>
                <w:rFonts w:ascii="Arial Narrow" w:hAnsi="Arial Narrow"/>
                <w:sz w:val="20"/>
                <w:szCs w:val="20"/>
              </w:rPr>
            </w:pPr>
            <w:r w:rsidRPr="0019444B">
              <w:rPr>
                <w:rFonts w:ascii="Arial Narrow" w:hAnsi="Arial Narrow"/>
                <w:sz w:val="20"/>
                <w:szCs w:val="20"/>
              </w:rPr>
              <w:t>23 (10.6)</w:t>
            </w:r>
          </w:p>
        </w:tc>
        <w:tc>
          <w:tcPr>
            <w:tcW w:w="992" w:type="dxa"/>
            <w:tcBorders>
              <w:top w:val="single" w:sz="4" w:space="0" w:color="000000"/>
              <w:left w:val="single" w:sz="4" w:space="0" w:color="000000"/>
              <w:bottom w:val="single" w:sz="4" w:space="0" w:color="000000"/>
            </w:tcBorders>
            <w:vAlign w:val="center"/>
          </w:tcPr>
          <w:p w14:paraId="359BC799" w14:textId="77777777" w:rsidR="00296471" w:rsidRPr="0019444B" w:rsidRDefault="00296471" w:rsidP="00E113EF">
            <w:pPr>
              <w:keepNext/>
              <w:rPr>
                <w:rFonts w:ascii="Arial Narrow" w:hAnsi="Arial Narrow"/>
                <w:sz w:val="20"/>
                <w:szCs w:val="20"/>
              </w:rPr>
            </w:pPr>
            <w:r w:rsidRPr="0019444B">
              <w:rPr>
                <w:rFonts w:ascii="Arial Narrow" w:hAnsi="Arial Narrow"/>
                <w:sz w:val="20"/>
                <w:szCs w:val="20"/>
              </w:rPr>
              <w:t>14 (6.5)</w:t>
            </w:r>
          </w:p>
        </w:tc>
      </w:tr>
    </w:tbl>
    <w:p w14:paraId="580614BC" w14:textId="50CE54F1" w:rsidR="00296471" w:rsidRPr="0019444B" w:rsidRDefault="00296471" w:rsidP="00E113EF">
      <w:pPr>
        <w:pStyle w:val="FooterTableFigure"/>
        <w:keepNext/>
        <w:rPr>
          <w:szCs w:val="18"/>
        </w:rPr>
      </w:pPr>
      <w:r w:rsidRPr="0019444B">
        <w:rPr>
          <w:szCs w:val="18"/>
        </w:rPr>
        <w:t xml:space="preserve">Source: Table ES9, p. </w:t>
      </w:r>
      <w:r w:rsidR="00953490" w:rsidRPr="0019444B">
        <w:rPr>
          <w:szCs w:val="18"/>
        </w:rPr>
        <w:t>xxv</w:t>
      </w:r>
      <w:r w:rsidRPr="0019444B">
        <w:rPr>
          <w:szCs w:val="18"/>
        </w:rPr>
        <w:t xml:space="preserve"> of the resubmission executive summary</w:t>
      </w:r>
    </w:p>
    <w:p w14:paraId="7C564FFA" w14:textId="391ED1BF" w:rsidR="00296471" w:rsidRPr="0019444B" w:rsidRDefault="00296471" w:rsidP="00CA022C">
      <w:pPr>
        <w:pStyle w:val="FooterTableFigure"/>
        <w:rPr>
          <w:rFonts w:eastAsia="Calibri"/>
        </w:rPr>
      </w:pPr>
      <w:r w:rsidRPr="0019444B">
        <w:rPr>
          <w:rFonts w:eastAsia="Calibri"/>
          <w:szCs w:val="18"/>
        </w:rPr>
        <w:t>ACA</w:t>
      </w:r>
      <w:r w:rsidR="00507A59" w:rsidRPr="0019444B">
        <w:rPr>
          <w:rFonts w:eastAsia="Calibri"/>
          <w:szCs w:val="18"/>
        </w:rPr>
        <w:t xml:space="preserve"> </w:t>
      </w:r>
      <w:r w:rsidRPr="0019444B">
        <w:rPr>
          <w:rFonts w:eastAsia="Calibri"/>
          <w:szCs w:val="18"/>
        </w:rPr>
        <w:t>= acalabrutinib, AE</w:t>
      </w:r>
      <w:r w:rsidR="00507A59" w:rsidRPr="0019444B">
        <w:rPr>
          <w:rFonts w:eastAsia="Calibri"/>
          <w:szCs w:val="18"/>
        </w:rPr>
        <w:t xml:space="preserve"> </w:t>
      </w:r>
      <w:r w:rsidRPr="0019444B">
        <w:rPr>
          <w:rFonts w:eastAsia="Calibri"/>
          <w:szCs w:val="18"/>
        </w:rPr>
        <w:t>= adverse event, CHL</w:t>
      </w:r>
      <w:r w:rsidR="00507A59" w:rsidRPr="0019444B">
        <w:rPr>
          <w:rFonts w:eastAsia="Calibri"/>
          <w:szCs w:val="18"/>
        </w:rPr>
        <w:t xml:space="preserve"> </w:t>
      </w:r>
      <w:r w:rsidRPr="0019444B">
        <w:rPr>
          <w:rFonts w:eastAsia="Calibri"/>
          <w:szCs w:val="18"/>
        </w:rPr>
        <w:t>= chlorambucil, NR</w:t>
      </w:r>
      <w:r w:rsidR="00507A59" w:rsidRPr="0019444B">
        <w:rPr>
          <w:rFonts w:eastAsia="Calibri"/>
          <w:szCs w:val="18"/>
        </w:rPr>
        <w:t xml:space="preserve"> </w:t>
      </w:r>
      <w:r w:rsidRPr="0019444B">
        <w:rPr>
          <w:rFonts w:eastAsia="Calibri"/>
          <w:szCs w:val="18"/>
        </w:rPr>
        <w:t>= not reported, OBIN</w:t>
      </w:r>
      <w:r w:rsidR="00507A59" w:rsidRPr="0019444B">
        <w:rPr>
          <w:rFonts w:eastAsia="Calibri"/>
          <w:szCs w:val="18"/>
        </w:rPr>
        <w:t xml:space="preserve"> </w:t>
      </w:r>
      <w:r w:rsidRPr="0019444B">
        <w:rPr>
          <w:rFonts w:eastAsia="Calibri"/>
          <w:szCs w:val="18"/>
        </w:rPr>
        <w:t>= obinutuzumab, SAE</w:t>
      </w:r>
      <w:r w:rsidR="00975F57" w:rsidRPr="0019444B">
        <w:rPr>
          <w:rFonts w:eastAsia="Calibri"/>
          <w:szCs w:val="18"/>
        </w:rPr>
        <w:t xml:space="preserve"> </w:t>
      </w:r>
      <w:r w:rsidRPr="0019444B">
        <w:rPr>
          <w:rFonts w:eastAsia="Calibri"/>
          <w:szCs w:val="18"/>
        </w:rPr>
        <w:t>= serious adverse event, TEAE</w:t>
      </w:r>
      <w:r w:rsidR="00975F57" w:rsidRPr="0019444B">
        <w:rPr>
          <w:rFonts w:eastAsia="Calibri"/>
          <w:szCs w:val="18"/>
        </w:rPr>
        <w:t xml:space="preserve"> </w:t>
      </w:r>
      <w:r w:rsidRPr="0019444B">
        <w:rPr>
          <w:rFonts w:eastAsia="Calibri"/>
          <w:szCs w:val="18"/>
        </w:rPr>
        <w:t>= treatment-emergent adverse event, VTX</w:t>
      </w:r>
      <w:r w:rsidR="00975F57" w:rsidRPr="0019444B">
        <w:rPr>
          <w:rFonts w:eastAsia="Calibri"/>
          <w:szCs w:val="18"/>
        </w:rPr>
        <w:t xml:space="preserve"> </w:t>
      </w:r>
      <w:r w:rsidRPr="0019444B">
        <w:rPr>
          <w:rFonts w:eastAsia="Calibri"/>
          <w:szCs w:val="18"/>
        </w:rPr>
        <w:t>= venetoclax</w:t>
      </w:r>
    </w:p>
    <w:p w14:paraId="368371AF" w14:textId="2A131CCD" w:rsidR="002D524D" w:rsidRPr="0019444B" w:rsidRDefault="00296471" w:rsidP="00384271">
      <w:pPr>
        <w:pStyle w:val="3-BodyText"/>
        <w:numPr>
          <w:ilvl w:val="1"/>
          <w:numId w:val="1"/>
        </w:numPr>
        <w:ind w:left="709" w:hanging="709"/>
        <w:rPr>
          <w:iCs/>
        </w:rPr>
      </w:pPr>
      <w:r w:rsidRPr="0019444B">
        <w:rPr>
          <w:iCs/>
        </w:rPr>
        <w:t xml:space="preserve">Overall, individual </w:t>
      </w:r>
      <w:r w:rsidR="00E302F8" w:rsidRPr="0019444B">
        <w:rPr>
          <w:iCs/>
        </w:rPr>
        <w:t>safety</w:t>
      </w:r>
      <w:r w:rsidRPr="0019444B">
        <w:rPr>
          <w:iCs/>
        </w:rPr>
        <w:t xml:space="preserve"> results from the ELEVATE-TN trial at 58.2 months of follow-up and the CLL-14 trial at 39.</w:t>
      </w:r>
      <w:r w:rsidR="00835911" w:rsidRPr="0019444B">
        <w:rPr>
          <w:iCs/>
        </w:rPr>
        <w:t>6</w:t>
      </w:r>
      <w:r w:rsidRPr="0019444B">
        <w:rPr>
          <w:iCs/>
        </w:rPr>
        <w:t xml:space="preserve"> </w:t>
      </w:r>
      <w:r w:rsidR="00D42D56" w:rsidRPr="0019444B">
        <w:rPr>
          <w:iCs/>
        </w:rPr>
        <w:t xml:space="preserve">and 52.4 </w:t>
      </w:r>
      <w:r w:rsidRPr="0019444B">
        <w:rPr>
          <w:iCs/>
        </w:rPr>
        <w:t xml:space="preserve">months of follow-up </w:t>
      </w:r>
      <w:r w:rsidR="00645772" w:rsidRPr="0019444B">
        <w:rPr>
          <w:iCs/>
        </w:rPr>
        <w:t>did not support a claim of superiority</w:t>
      </w:r>
      <w:r w:rsidR="00DC7C00" w:rsidRPr="0019444B">
        <w:rPr>
          <w:iCs/>
        </w:rPr>
        <w:t xml:space="preserve"> </w:t>
      </w:r>
      <w:r w:rsidR="00F82835" w:rsidRPr="0019444B">
        <w:rPr>
          <w:iCs/>
        </w:rPr>
        <w:t>for</w:t>
      </w:r>
      <w:r w:rsidRPr="0019444B">
        <w:rPr>
          <w:iCs/>
        </w:rPr>
        <w:t xml:space="preserve"> ACA</w:t>
      </w:r>
      <w:r w:rsidR="00A45ED6" w:rsidRPr="0019444B">
        <w:rPr>
          <w:iCs/>
        </w:rPr>
        <w:t>+/-</w:t>
      </w:r>
      <w:r w:rsidRPr="0019444B">
        <w:rPr>
          <w:iCs/>
        </w:rPr>
        <w:t xml:space="preserve">OBIN compared with VTX+OBIN. </w:t>
      </w:r>
    </w:p>
    <w:p w14:paraId="664484BC" w14:textId="2E2C1463" w:rsidR="002D524D" w:rsidRPr="0019444B" w:rsidRDefault="00B05346" w:rsidP="00384271">
      <w:pPr>
        <w:pStyle w:val="3-BodyText"/>
        <w:numPr>
          <w:ilvl w:val="1"/>
          <w:numId w:val="1"/>
        </w:numPr>
        <w:ind w:left="709" w:hanging="709"/>
        <w:rPr>
          <w:iCs/>
        </w:rPr>
      </w:pPr>
      <w:r w:rsidRPr="0019444B">
        <w:rPr>
          <w:iCs/>
        </w:rPr>
        <w:t xml:space="preserve">The trial results showed that patients treated with </w:t>
      </w:r>
      <w:r w:rsidR="00296471" w:rsidRPr="0019444B">
        <w:rPr>
          <w:iCs/>
        </w:rPr>
        <w:t xml:space="preserve">ACA </w:t>
      </w:r>
      <w:r w:rsidR="005364F7" w:rsidRPr="0019444B">
        <w:rPr>
          <w:iCs/>
        </w:rPr>
        <w:t xml:space="preserve">at 58.2 months median follow-up </w:t>
      </w:r>
      <w:r w:rsidRPr="0019444B">
        <w:rPr>
          <w:iCs/>
        </w:rPr>
        <w:t>had</w:t>
      </w:r>
      <w:r w:rsidR="00A97F82" w:rsidRPr="0019444B">
        <w:rPr>
          <w:iCs/>
        </w:rPr>
        <w:t xml:space="preserve"> </w:t>
      </w:r>
      <w:r w:rsidR="00296471" w:rsidRPr="0019444B">
        <w:rPr>
          <w:iCs/>
        </w:rPr>
        <w:t xml:space="preserve">a lower proportion of Grade ≥3 TEAEs than VTX+OBIN </w:t>
      </w:r>
      <w:r w:rsidR="005364F7" w:rsidRPr="0019444B">
        <w:rPr>
          <w:iCs/>
        </w:rPr>
        <w:t>at 39.</w:t>
      </w:r>
      <w:r w:rsidR="00835911" w:rsidRPr="0019444B">
        <w:rPr>
          <w:iCs/>
        </w:rPr>
        <w:t>6</w:t>
      </w:r>
      <w:r w:rsidR="005364F7" w:rsidRPr="0019444B">
        <w:rPr>
          <w:iCs/>
        </w:rPr>
        <w:t xml:space="preserve"> months median follow-up (63.1% vs 70.8%)</w:t>
      </w:r>
      <w:r w:rsidR="002948D9" w:rsidRPr="0019444B">
        <w:rPr>
          <w:iCs/>
        </w:rPr>
        <w:t>, while</w:t>
      </w:r>
      <w:r w:rsidR="002D524D" w:rsidRPr="0019444B">
        <w:rPr>
          <w:iCs/>
        </w:rPr>
        <w:t xml:space="preserve"> </w:t>
      </w:r>
      <w:r w:rsidRPr="0019444B">
        <w:rPr>
          <w:iCs/>
        </w:rPr>
        <w:t xml:space="preserve">patients treated with </w:t>
      </w:r>
      <w:r w:rsidR="00296471" w:rsidRPr="0019444B">
        <w:rPr>
          <w:iCs/>
        </w:rPr>
        <w:t xml:space="preserve">ACA+OBIN </w:t>
      </w:r>
      <w:r w:rsidRPr="0019444B">
        <w:rPr>
          <w:iCs/>
        </w:rPr>
        <w:t>ha</w:t>
      </w:r>
      <w:r w:rsidR="00296471" w:rsidRPr="0019444B">
        <w:rPr>
          <w:iCs/>
        </w:rPr>
        <w:t xml:space="preserve">d a higher proportion </w:t>
      </w:r>
      <w:r w:rsidR="005364F7" w:rsidRPr="0019444B">
        <w:rPr>
          <w:iCs/>
        </w:rPr>
        <w:t>(80.</w:t>
      </w:r>
      <w:r w:rsidR="00296471" w:rsidRPr="0019444B">
        <w:rPr>
          <w:iCs/>
        </w:rPr>
        <w:t>3</w:t>
      </w:r>
      <w:r w:rsidR="005364F7" w:rsidRPr="0019444B">
        <w:rPr>
          <w:iCs/>
        </w:rPr>
        <w:t>% vs 70.8%)</w:t>
      </w:r>
      <w:r w:rsidR="0062574B" w:rsidRPr="0019444B">
        <w:rPr>
          <w:iCs/>
        </w:rPr>
        <w:t xml:space="preserve">. </w:t>
      </w:r>
      <w:r w:rsidR="00AB696A" w:rsidRPr="0019444B">
        <w:rPr>
          <w:iCs/>
        </w:rPr>
        <w:t xml:space="preserve">For </w:t>
      </w:r>
      <w:r w:rsidR="00A0724A" w:rsidRPr="0019444B">
        <w:rPr>
          <w:iCs/>
        </w:rPr>
        <w:t>the</w:t>
      </w:r>
      <w:r w:rsidR="00AB696A" w:rsidRPr="0019444B">
        <w:rPr>
          <w:iCs/>
        </w:rPr>
        <w:t xml:space="preserve"> longer VTX+OBIN</w:t>
      </w:r>
      <w:r w:rsidR="001828E9" w:rsidRPr="0019444B">
        <w:rPr>
          <w:iCs/>
        </w:rPr>
        <w:t xml:space="preserve"> follow-up of 52.4 months, </w:t>
      </w:r>
      <w:r w:rsidRPr="0019444B">
        <w:rPr>
          <w:iCs/>
        </w:rPr>
        <w:t xml:space="preserve">patients treated with </w:t>
      </w:r>
      <w:r w:rsidR="001828E9" w:rsidRPr="0019444B">
        <w:rPr>
          <w:iCs/>
        </w:rPr>
        <w:t xml:space="preserve">ACA </w:t>
      </w:r>
      <w:r w:rsidRPr="0019444B">
        <w:rPr>
          <w:iCs/>
        </w:rPr>
        <w:t>ha</w:t>
      </w:r>
      <w:r w:rsidR="001828E9" w:rsidRPr="0019444B">
        <w:rPr>
          <w:iCs/>
        </w:rPr>
        <w:t xml:space="preserve">d a </w:t>
      </w:r>
      <w:r w:rsidR="00BD7224" w:rsidRPr="0019444B">
        <w:rPr>
          <w:iCs/>
        </w:rPr>
        <w:t>similar</w:t>
      </w:r>
      <w:r w:rsidR="00400C8C" w:rsidRPr="0019444B">
        <w:rPr>
          <w:iCs/>
        </w:rPr>
        <w:t xml:space="preserve"> </w:t>
      </w:r>
      <w:r w:rsidR="001828E9" w:rsidRPr="0019444B">
        <w:rPr>
          <w:iCs/>
        </w:rPr>
        <w:t xml:space="preserve">proportion of AEs leading to </w:t>
      </w:r>
      <w:r w:rsidR="006E1CE4" w:rsidRPr="0019444B">
        <w:rPr>
          <w:iCs/>
        </w:rPr>
        <w:t>death</w:t>
      </w:r>
      <w:r w:rsidR="0011072C" w:rsidRPr="0019444B">
        <w:rPr>
          <w:iCs/>
        </w:rPr>
        <w:t xml:space="preserve"> </w:t>
      </w:r>
      <w:r w:rsidR="00BD7224" w:rsidRPr="0019444B">
        <w:rPr>
          <w:iCs/>
        </w:rPr>
        <w:t>to</w:t>
      </w:r>
      <w:r w:rsidR="001828E9" w:rsidRPr="0019444B">
        <w:rPr>
          <w:iCs/>
        </w:rPr>
        <w:t xml:space="preserve"> VTX+OBIN (10.1% vs 10.6%</w:t>
      </w:r>
      <w:r w:rsidR="0011072C" w:rsidRPr="0019444B">
        <w:rPr>
          <w:iCs/>
        </w:rPr>
        <w:t xml:space="preserve">), </w:t>
      </w:r>
      <w:r w:rsidR="001828E9" w:rsidRPr="0019444B">
        <w:rPr>
          <w:iCs/>
        </w:rPr>
        <w:t xml:space="preserve">while ACA+OBIN </w:t>
      </w:r>
      <w:r w:rsidRPr="0019444B">
        <w:rPr>
          <w:iCs/>
        </w:rPr>
        <w:t>had</w:t>
      </w:r>
      <w:r w:rsidR="001828E9" w:rsidRPr="0019444B">
        <w:rPr>
          <w:iCs/>
        </w:rPr>
        <w:t xml:space="preserve"> a</w:t>
      </w:r>
      <w:r w:rsidR="00BD7224" w:rsidRPr="0019444B">
        <w:rPr>
          <w:iCs/>
        </w:rPr>
        <w:t xml:space="preserve"> lower</w:t>
      </w:r>
      <w:r w:rsidR="006D0232" w:rsidRPr="0019444B">
        <w:rPr>
          <w:iCs/>
        </w:rPr>
        <w:t xml:space="preserve"> proportion</w:t>
      </w:r>
      <w:r w:rsidR="001828E9" w:rsidRPr="0019444B">
        <w:rPr>
          <w:iCs/>
        </w:rPr>
        <w:t xml:space="preserve"> (6.2% vs 10.6%).</w:t>
      </w:r>
    </w:p>
    <w:p w14:paraId="3F79AC4C" w14:textId="36828B44" w:rsidR="00296471" w:rsidRPr="0019444B" w:rsidRDefault="00296471" w:rsidP="00270DE2">
      <w:pPr>
        <w:pStyle w:val="3-BodyText"/>
        <w:numPr>
          <w:ilvl w:val="1"/>
          <w:numId w:val="1"/>
        </w:numPr>
        <w:ind w:left="709" w:hanging="709"/>
      </w:pPr>
      <w:bookmarkStart w:id="45" w:name="_Hlk132293290"/>
      <w:r w:rsidRPr="0019444B">
        <w:t xml:space="preserve">A summary of adverse events in the </w:t>
      </w:r>
      <w:r w:rsidR="00E113EF" w:rsidRPr="0019444B">
        <w:t xml:space="preserve">ELEVATE-TN </w:t>
      </w:r>
      <w:r w:rsidRPr="0019444B">
        <w:t xml:space="preserve">and </w:t>
      </w:r>
      <w:r w:rsidR="00E113EF" w:rsidRPr="0019444B">
        <w:t xml:space="preserve">CLL-14 </w:t>
      </w:r>
      <w:r w:rsidRPr="0019444B">
        <w:t>trial</w:t>
      </w:r>
      <w:r w:rsidR="00012B7C">
        <w:t>s</w:t>
      </w:r>
      <w:r w:rsidRPr="0019444B">
        <w:t xml:space="preserve"> are presented in </w:t>
      </w:r>
      <w:r w:rsidR="00332019" w:rsidRPr="0019444B">
        <w:fldChar w:fldCharType="begin" w:fldLock="1"/>
      </w:r>
      <w:r w:rsidR="00332019" w:rsidRPr="0019444B">
        <w:instrText xml:space="preserve"> REF _Ref132529511 \h </w:instrText>
      </w:r>
      <w:r w:rsidR="00332019" w:rsidRPr="0019444B">
        <w:fldChar w:fldCharType="separate"/>
      </w:r>
      <w:r w:rsidR="00332019" w:rsidRPr="0019444B">
        <w:t xml:space="preserve">Table </w:t>
      </w:r>
      <w:r w:rsidR="00C61BAC" w:rsidRPr="0019444B">
        <w:t>9</w:t>
      </w:r>
      <w:r w:rsidR="00332019" w:rsidRPr="0019444B">
        <w:fldChar w:fldCharType="end"/>
      </w:r>
      <w:r w:rsidR="00332019" w:rsidRPr="0019444B">
        <w:t xml:space="preserve"> </w:t>
      </w:r>
      <w:r w:rsidRPr="0019444B">
        <w:t xml:space="preserve">and </w:t>
      </w:r>
      <w:r w:rsidR="00332019" w:rsidRPr="0019444B">
        <w:fldChar w:fldCharType="begin" w:fldLock="1"/>
      </w:r>
      <w:r w:rsidR="00332019" w:rsidRPr="0019444B">
        <w:instrText xml:space="preserve"> REF _Ref132529534 \h </w:instrText>
      </w:r>
      <w:r w:rsidR="00332019" w:rsidRPr="0019444B">
        <w:fldChar w:fldCharType="separate"/>
      </w:r>
      <w:r w:rsidR="00DC65C9" w:rsidRPr="0019444B">
        <w:t xml:space="preserve">Table </w:t>
      </w:r>
      <w:r w:rsidR="00332019" w:rsidRPr="0019444B">
        <w:fldChar w:fldCharType="end"/>
      </w:r>
      <w:r w:rsidR="00C61BAC" w:rsidRPr="0019444B">
        <w:t>10</w:t>
      </w:r>
      <w:r w:rsidR="00332019" w:rsidRPr="0019444B">
        <w:t xml:space="preserve"> </w:t>
      </w:r>
      <w:r w:rsidRPr="0019444B">
        <w:t>respectively.</w:t>
      </w:r>
    </w:p>
    <w:p w14:paraId="64619DD2" w14:textId="5D5AFC0E" w:rsidR="00296471" w:rsidRPr="0019444B" w:rsidRDefault="00332019" w:rsidP="004E3AF5">
      <w:pPr>
        <w:pStyle w:val="Caption"/>
      </w:pPr>
      <w:bookmarkStart w:id="46" w:name="_Ref132529511"/>
      <w:r w:rsidRPr="0019444B">
        <w:t>Table</w:t>
      </w:r>
      <w:bookmarkEnd w:id="46"/>
      <w:r w:rsidR="00DC65C9" w:rsidRPr="0019444B">
        <w:t xml:space="preserve"> </w:t>
      </w:r>
      <w:r w:rsidR="007C4FC4" w:rsidRPr="00012B7C">
        <w:fldChar w:fldCharType="begin" w:fldLock="1"/>
      </w:r>
      <w:r w:rsidR="007C4FC4" w:rsidRPr="0019444B">
        <w:instrText xml:space="preserve"> SEQ Table \* ARABIC </w:instrText>
      </w:r>
      <w:r w:rsidR="007C4FC4" w:rsidRPr="00012B7C">
        <w:fldChar w:fldCharType="separate"/>
      </w:r>
      <w:r w:rsidR="007C39B4" w:rsidRPr="00012B7C">
        <w:t>9</w:t>
      </w:r>
      <w:r w:rsidR="007C4FC4" w:rsidRPr="00012B7C">
        <w:fldChar w:fldCharType="end"/>
      </w:r>
      <w:r w:rsidR="00296471" w:rsidRPr="0019444B">
        <w:t xml:space="preserve">: </w:t>
      </w:r>
      <w:bookmarkStart w:id="47" w:name="_Hlk132130023"/>
      <w:r w:rsidR="00296471" w:rsidRPr="0019444B">
        <w:t>Summary of key adverse events in the ELEVATE-TN trial for 58.2-month</w:t>
      </w:r>
      <w:r w:rsidR="00FE2323" w:rsidRPr="0019444B">
        <w:t>s</w:t>
      </w:r>
      <w:r w:rsidR="00296471" w:rsidRPr="0019444B">
        <w:t xml:space="preserve"> of </w:t>
      </w:r>
      <w:proofErr w:type="gramStart"/>
      <w:r w:rsidR="00296471" w:rsidRPr="0019444B">
        <w:t>follow-up</w:t>
      </w:r>
      <w:bookmarkEnd w:id="47"/>
      <w:proofErr w:type="gramEnd"/>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134"/>
        <w:gridCol w:w="992"/>
        <w:gridCol w:w="1134"/>
        <w:gridCol w:w="1105"/>
        <w:gridCol w:w="1134"/>
        <w:gridCol w:w="1021"/>
      </w:tblGrid>
      <w:tr w:rsidR="00296471" w:rsidRPr="0019444B" w14:paraId="09D06215" w14:textId="77777777" w:rsidTr="000D2BBF">
        <w:trPr>
          <w:cantSplit/>
        </w:trPr>
        <w:tc>
          <w:tcPr>
            <w:tcW w:w="2694" w:type="dxa"/>
            <w:shd w:val="clear" w:color="auto" w:fill="auto"/>
          </w:tcPr>
          <w:p w14:paraId="0FF06B77" w14:textId="77777777" w:rsidR="00296471" w:rsidRPr="0019444B" w:rsidRDefault="00296471" w:rsidP="00CA022C">
            <w:pPr>
              <w:keepNext/>
              <w:keepLines/>
              <w:rPr>
                <w:rFonts w:ascii="Arial Narrow" w:hAnsi="Arial Narrow"/>
                <w:b/>
                <w:bCs/>
                <w:sz w:val="20"/>
                <w:szCs w:val="20"/>
              </w:rPr>
            </w:pPr>
            <w:r w:rsidRPr="0019444B">
              <w:rPr>
                <w:rFonts w:ascii="Arial Narrow" w:hAnsi="Arial Narrow"/>
                <w:b/>
                <w:bCs/>
                <w:sz w:val="20"/>
                <w:szCs w:val="20"/>
              </w:rPr>
              <w:t>ELEVATE-TN</w:t>
            </w:r>
          </w:p>
        </w:tc>
        <w:tc>
          <w:tcPr>
            <w:tcW w:w="2126" w:type="dxa"/>
            <w:gridSpan w:val="2"/>
            <w:shd w:val="clear" w:color="auto" w:fill="auto"/>
          </w:tcPr>
          <w:p w14:paraId="15577678" w14:textId="77777777" w:rsidR="00296471" w:rsidRPr="0019444B" w:rsidRDefault="00296471" w:rsidP="00CA022C">
            <w:pPr>
              <w:keepNext/>
              <w:keepLines/>
              <w:rPr>
                <w:rFonts w:ascii="Arial Narrow" w:hAnsi="Arial Narrow"/>
                <w:b/>
                <w:bCs/>
                <w:sz w:val="20"/>
                <w:szCs w:val="20"/>
              </w:rPr>
            </w:pPr>
            <w:r w:rsidRPr="0019444B">
              <w:rPr>
                <w:rFonts w:ascii="Arial Narrow" w:hAnsi="Arial Narrow"/>
                <w:b/>
                <w:bCs/>
                <w:sz w:val="20"/>
                <w:szCs w:val="20"/>
              </w:rPr>
              <w:t>ACA (N=179)</w:t>
            </w:r>
          </w:p>
        </w:tc>
        <w:tc>
          <w:tcPr>
            <w:tcW w:w="2239" w:type="dxa"/>
            <w:gridSpan w:val="2"/>
            <w:shd w:val="clear" w:color="auto" w:fill="auto"/>
          </w:tcPr>
          <w:p w14:paraId="5768A2F3" w14:textId="77777777" w:rsidR="00296471" w:rsidRPr="0019444B" w:rsidRDefault="00296471" w:rsidP="00CA022C">
            <w:pPr>
              <w:keepNext/>
              <w:keepLines/>
              <w:rPr>
                <w:rFonts w:ascii="Arial Narrow" w:hAnsi="Arial Narrow"/>
                <w:b/>
                <w:bCs/>
                <w:sz w:val="20"/>
                <w:szCs w:val="20"/>
              </w:rPr>
            </w:pPr>
            <w:r w:rsidRPr="0019444B">
              <w:rPr>
                <w:rFonts w:ascii="Arial Narrow" w:hAnsi="Arial Narrow"/>
                <w:b/>
                <w:bCs/>
                <w:sz w:val="20"/>
                <w:szCs w:val="20"/>
              </w:rPr>
              <w:t>ACA+OBIN (N=178)</w:t>
            </w:r>
          </w:p>
        </w:tc>
        <w:tc>
          <w:tcPr>
            <w:tcW w:w="2155" w:type="dxa"/>
            <w:gridSpan w:val="2"/>
            <w:shd w:val="clear" w:color="auto" w:fill="auto"/>
          </w:tcPr>
          <w:p w14:paraId="64401772" w14:textId="77777777" w:rsidR="00296471" w:rsidRPr="0019444B" w:rsidRDefault="00296471" w:rsidP="00CA022C">
            <w:pPr>
              <w:keepNext/>
              <w:keepLines/>
              <w:rPr>
                <w:rFonts w:ascii="Arial Narrow" w:hAnsi="Arial Narrow"/>
                <w:b/>
                <w:bCs/>
                <w:sz w:val="20"/>
                <w:szCs w:val="20"/>
              </w:rPr>
            </w:pPr>
            <w:r w:rsidRPr="0019444B">
              <w:rPr>
                <w:rFonts w:ascii="Arial Narrow" w:hAnsi="Arial Narrow"/>
                <w:b/>
                <w:bCs/>
                <w:sz w:val="20"/>
                <w:szCs w:val="20"/>
              </w:rPr>
              <w:t>OBIN+CHL (N=169)</w:t>
            </w:r>
          </w:p>
        </w:tc>
      </w:tr>
      <w:tr w:rsidR="00296471" w:rsidRPr="0019444B" w14:paraId="78276023" w14:textId="77777777" w:rsidTr="000D2BBF">
        <w:trPr>
          <w:cantSplit/>
        </w:trPr>
        <w:tc>
          <w:tcPr>
            <w:tcW w:w="9214" w:type="dxa"/>
            <w:gridSpan w:val="7"/>
            <w:shd w:val="clear" w:color="auto" w:fill="auto"/>
          </w:tcPr>
          <w:p w14:paraId="1A4F882A" w14:textId="77777777" w:rsidR="00296471" w:rsidRPr="0019444B" w:rsidRDefault="00296471" w:rsidP="00CA022C">
            <w:pPr>
              <w:keepNext/>
              <w:keepLines/>
              <w:rPr>
                <w:rFonts w:ascii="Arial Narrow" w:hAnsi="Arial Narrow"/>
                <w:b/>
                <w:bCs/>
                <w:sz w:val="20"/>
                <w:szCs w:val="20"/>
              </w:rPr>
            </w:pPr>
            <w:r w:rsidRPr="0019444B">
              <w:rPr>
                <w:rFonts w:ascii="Arial Narrow" w:hAnsi="Arial Narrow"/>
                <w:b/>
                <w:bCs/>
                <w:sz w:val="20"/>
                <w:szCs w:val="20"/>
              </w:rPr>
              <w:t>Most common AEs (≥25% of patients), n (%)</w:t>
            </w:r>
          </w:p>
        </w:tc>
      </w:tr>
      <w:tr w:rsidR="00296471" w:rsidRPr="0019444B" w14:paraId="4F1782C2" w14:textId="77777777" w:rsidTr="000D2BBF">
        <w:trPr>
          <w:cantSplit/>
        </w:trPr>
        <w:tc>
          <w:tcPr>
            <w:tcW w:w="2694" w:type="dxa"/>
            <w:shd w:val="clear" w:color="auto" w:fill="auto"/>
          </w:tcPr>
          <w:p w14:paraId="19A0175A" w14:textId="479A95FA" w:rsidR="00296471" w:rsidRPr="0019444B" w:rsidRDefault="0080529C" w:rsidP="00CA022C">
            <w:pPr>
              <w:keepNext/>
              <w:keepLines/>
              <w:rPr>
                <w:rFonts w:ascii="Arial Narrow" w:hAnsi="Arial Narrow"/>
                <w:sz w:val="20"/>
                <w:szCs w:val="20"/>
              </w:rPr>
            </w:pPr>
            <w:r w:rsidRPr="0019444B">
              <w:rPr>
                <w:rFonts w:ascii="Arial Narrow" w:hAnsi="Arial Narrow"/>
                <w:b/>
                <w:bCs/>
                <w:sz w:val="20"/>
                <w:szCs w:val="20"/>
              </w:rPr>
              <w:t>AEs Grades</w:t>
            </w:r>
          </w:p>
        </w:tc>
        <w:tc>
          <w:tcPr>
            <w:tcW w:w="1134" w:type="dxa"/>
            <w:shd w:val="clear" w:color="auto" w:fill="auto"/>
          </w:tcPr>
          <w:p w14:paraId="2DAC9C42" w14:textId="77777777" w:rsidR="00296471" w:rsidRPr="0019444B" w:rsidRDefault="00296471" w:rsidP="00CA022C">
            <w:pPr>
              <w:keepNext/>
              <w:keepLines/>
              <w:rPr>
                <w:rFonts w:ascii="Arial Narrow" w:hAnsi="Arial Narrow"/>
                <w:sz w:val="20"/>
                <w:szCs w:val="20"/>
              </w:rPr>
            </w:pPr>
            <w:r w:rsidRPr="0019444B">
              <w:rPr>
                <w:rFonts w:ascii="Arial Narrow" w:hAnsi="Arial Narrow"/>
                <w:b/>
                <w:bCs/>
                <w:sz w:val="20"/>
                <w:szCs w:val="20"/>
              </w:rPr>
              <w:t>Any Grade</w:t>
            </w:r>
          </w:p>
        </w:tc>
        <w:tc>
          <w:tcPr>
            <w:tcW w:w="992" w:type="dxa"/>
            <w:shd w:val="clear" w:color="auto" w:fill="auto"/>
          </w:tcPr>
          <w:p w14:paraId="51F34B2B" w14:textId="77777777" w:rsidR="00296471" w:rsidRPr="0019444B" w:rsidRDefault="00296471" w:rsidP="00CA022C">
            <w:pPr>
              <w:keepNext/>
              <w:keepLines/>
              <w:rPr>
                <w:rFonts w:ascii="Arial Narrow" w:hAnsi="Arial Narrow"/>
                <w:sz w:val="20"/>
                <w:szCs w:val="20"/>
              </w:rPr>
            </w:pPr>
            <w:r w:rsidRPr="0019444B">
              <w:rPr>
                <w:rFonts w:ascii="Arial Narrow" w:hAnsi="Arial Narrow"/>
                <w:b/>
                <w:bCs/>
                <w:sz w:val="20"/>
                <w:szCs w:val="20"/>
              </w:rPr>
              <w:t>Grade ≥3</w:t>
            </w:r>
          </w:p>
        </w:tc>
        <w:tc>
          <w:tcPr>
            <w:tcW w:w="1134" w:type="dxa"/>
            <w:shd w:val="clear" w:color="auto" w:fill="auto"/>
          </w:tcPr>
          <w:p w14:paraId="7D979D7D" w14:textId="77777777" w:rsidR="00296471" w:rsidRPr="0019444B" w:rsidRDefault="00296471" w:rsidP="00CA022C">
            <w:pPr>
              <w:keepNext/>
              <w:keepLines/>
              <w:rPr>
                <w:rFonts w:ascii="Arial Narrow" w:hAnsi="Arial Narrow"/>
                <w:sz w:val="20"/>
                <w:szCs w:val="20"/>
              </w:rPr>
            </w:pPr>
            <w:r w:rsidRPr="0019444B">
              <w:rPr>
                <w:rFonts w:ascii="Arial Narrow" w:hAnsi="Arial Narrow"/>
                <w:b/>
                <w:bCs/>
                <w:sz w:val="20"/>
                <w:szCs w:val="20"/>
              </w:rPr>
              <w:t>Any Grade</w:t>
            </w:r>
          </w:p>
        </w:tc>
        <w:tc>
          <w:tcPr>
            <w:tcW w:w="1105" w:type="dxa"/>
            <w:shd w:val="clear" w:color="auto" w:fill="auto"/>
          </w:tcPr>
          <w:p w14:paraId="3C81C1B1" w14:textId="77777777" w:rsidR="00296471" w:rsidRPr="0019444B" w:rsidRDefault="00296471" w:rsidP="00CA022C">
            <w:pPr>
              <w:keepNext/>
              <w:keepLines/>
              <w:rPr>
                <w:rFonts w:ascii="Arial Narrow" w:hAnsi="Arial Narrow"/>
                <w:sz w:val="20"/>
                <w:szCs w:val="20"/>
              </w:rPr>
            </w:pPr>
            <w:r w:rsidRPr="0019444B">
              <w:rPr>
                <w:rFonts w:ascii="Arial Narrow" w:hAnsi="Arial Narrow"/>
                <w:b/>
                <w:bCs/>
                <w:sz w:val="20"/>
                <w:szCs w:val="20"/>
              </w:rPr>
              <w:t>Grade ≥3</w:t>
            </w:r>
          </w:p>
        </w:tc>
        <w:tc>
          <w:tcPr>
            <w:tcW w:w="1134" w:type="dxa"/>
            <w:shd w:val="clear" w:color="auto" w:fill="auto"/>
          </w:tcPr>
          <w:p w14:paraId="58F071C0" w14:textId="77777777" w:rsidR="00296471" w:rsidRPr="0019444B" w:rsidRDefault="00296471" w:rsidP="00CA022C">
            <w:pPr>
              <w:keepNext/>
              <w:keepLines/>
              <w:rPr>
                <w:rFonts w:ascii="Arial Narrow" w:hAnsi="Arial Narrow"/>
                <w:sz w:val="20"/>
                <w:szCs w:val="20"/>
              </w:rPr>
            </w:pPr>
            <w:r w:rsidRPr="0019444B">
              <w:rPr>
                <w:rFonts w:ascii="Arial Narrow" w:hAnsi="Arial Narrow"/>
                <w:b/>
                <w:bCs/>
                <w:sz w:val="20"/>
                <w:szCs w:val="20"/>
              </w:rPr>
              <w:t>Any Grade</w:t>
            </w:r>
          </w:p>
        </w:tc>
        <w:tc>
          <w:tcPr>
            <w:tcW w:w="1021" w:type="dxa"/>
            <w:shd w:val="clear" w:color="auto" w:fill="auto"/>
          </w:tcPr>
          <w:p w14:paraId="1B48B369" w14:textId="77777777" w:rsidR="00296471" w:rsidRPr="0019444B" w:rsidRDefault="00296471" w:rsidP="00CA022C">
            <w:pPr>
              <w:keepNext/>
              <w:keepLines/>
              <w:rPr>
                <w:rFonts w:ascii="Arial Narrow" w:hAnsi="Arial Narrow"/>
                <w:sz w:val="20"/>
                <w:szCs w:val="20"/>
              </w:rPr>
            </w:pPr>
            <w:r w:rsidRPr="0019444B">
              <w:rPr>
                <w:rFonts w:ascii="Arial Narrow" w:hAnsi="Arial Narrow"/>
                <w:b/>
                <w:bCs/>
                <w:sz w:val="20"/>
                <w:szCs w:val="20"/>
              </w:rPr>
              <w:t>Grade ≥3</w:t>
            </w:r>
          </w:p>
        </w:tc>
      </w:tr>
      <w:tr w:rsidR="00296471" w:rsidRPr="0019444B" w14:paraId="60F2F1AB" w14:textId="77777777" w:rsidTr="000D2BBF">
        <w:trPr>
          <w:cantSplit/>
        </w:trPr>
        <w:tc>
          <w:tcPr>
            <w:tcW w:w="2694" w:type="dxa"/>
            <w:tcBorders>
              <w:top w:val="single" w:sz="4" w:space="0" w:color="000000"/>
              <w:bottom w:val="single" w:sz="4" w:space="0" w:color="000000"/>
              <w:right w:val="single" w:sz="4" w:space="0" w:color="000000"/>
            </w:tcBorders>
          </w:tcPr>
          <w:p w14:paraId="54002E7B" w14:textId="77777777" w:rsidR="00296471" w:rsidRPr="0019444B" w:rsidRDefault="00296471" w:rsidP="00CA022C">
            <w:pPr>
              <w:keepNext/>
              <w:keepLines/>
              <w:rPr>
                <w:rFonts w:ascii="Arial Narrow" w:hAnsi="Arial Narrow"/>
                <w:b/>
                <w:bCs/>
                <w:color w:val="000000" w:themeColor="text1"/>
                <w:sz w:val="20"/>
                <w:szCs w:val="20"/>
              </w:rPr>
            </w:pPr>
            <w:r w:rsidRPr="0019444B">
              <w:rPr>
                <w:rFonts w:ascii="Arial Narrow" w:hAnsi="Arial Narrow"/>
                <w:b/>
                <w:bCs/>
                <w:color w:val="000000" w:themeColor="text1"/>
                <w:sz w:val="20"/>
                <w:szCs w:val="20"/>
              </w:rPr>
              <w:t>Patients with ≥1 AE</w:t>
            </w:r>
          </w:p>
        </w:tc>
        <w:tc>
          <w:tcPr>
            <w:tcW w:w="1134" w:type="dxa"/>
            <w:tcBorders>
              <w:top w:val="single" w:sz="4" w:space="0" w:color="000000"/>
              <w:bottom w:val="single" w:sz="4" w:space="0" w:color="000000"/>
            </w:tcBorders>
          </w:tcPr>
          <w:p w14:paraId="26041501"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173 (96.6)</w:t>
            </w:r>
          </w:p>
        </w:tc>
        <w:tc>
          <w:tcPr>
            <w:tcW w:w="992" w:type="dxa"/>
            <w:tcBorders>
              <w:top w:val="single" w:sz="4" w:space="0" w:color="000000"/>
              <w:bottom w:val="single" w:sz="4" w:space="0" w:color="000000"/>
            </w:tcBorders>
          </w:tcPr>
          <w:p w14:paraId="05A6858F"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113 (63.1)</w:t>
            </w:r>
          </w:p>
        </w:tc>
        <w:tc>
          <w:tcPr>
            <w:tcW w:w="1134" w:type="dxa"/>
            <w:tcBorders>
              <w:top w:val="single" w:sz="4" w:space="0" w:color="000000"/>
              <w:bottom w:val="single" w:sz="4" w:space="0" w:color="000000"/>
            </w:tcBorders>
          </w:tcPr>
          <w:p w14:paraId="605E6948"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176 (98.9)</w:t>
            </w:r>
          </w:p>
        </w:tc>
        <w:tc>
          <w:tcPr>
            <w:tcW w:w="1105" w:type="dxa"/>
            <w:tcBorders>
              <w:top w:val="single" w:sz="4" w:space="0" w:color="000000"/>
              <w:bottom w:val="single" w:sz="4" w:space="0" w:color="000000"/>
              <w:right w:val="single" w:sz="4" w:space="0" w:color="000000"/>
            </w:tcBorders>
          </w:tcPr>
          <w:p w14:paraId="20F9E10D"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143 (80.3)</w:t>
            </w:r>
          </w:p>
        </w:tc>
        <w:tc>
          <w:tcPr>
            <w:tcW w:w="1134" w:type="dxa"/>
            <w:tcBorders>
              <w:top w:val="single" w:sz="4" w:space="0" w:color="000000"/>
              <w:left w:val="single" w:sz="4" w:space="0" w:color="000000"/>
              <w:bottom w:val="single" w:sz="4" w:space="0" w:color="000000"/>
              <w:right w:val="single" w:sz="4" w:space="0" w:color="000000"/>
            </w:tcBorders>
          </w:tcPr>
          <w:p w14:paraId="2D3B66CC"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167 (98.8)</w:t>
            </w:r>
          </w:p>
        </w:tc>
        <w:tc>
          <w:tcPr>
            <w:tcW w:w="1021" w:type="dxa"/>
            <w:tcBorders>
              <w:top w:val="single" w:sz="4" w:space="0" w:color="000000"/>
              <w:left w:val="single" w:sz="4" w:space="0" w:color="000000"/>
              <w:bottom w:val="single" w:sz="4" w:space="0" w:color="000000"/>
              <w:right w:val="single" w:sz="4" w:space="0" w:color="000000"/>
            </w:tcBorders>
          </w:tcPr>
          <w:p w14:paraId="5AE366FD"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121 (71.6)</w:t>
            </w:r>
          </w:p>
        </w:tc>
      </w:tr>
      <w:tr w:rsidR="00296471" w:rsidRPr="0019444B" w14:paraId="0B52C2CA" w14:textId="77777777" w:rsidTr="000D2BBF">
        <w:trPr>
          <w:cantSplit/>
        </w:trPr>
        <w:tc>
          <w:tcPr>
            <w:tcW w:w="2694" w:type="dxa"/>
            <w:shd w:val="clear" w:color="auto" w:fill="auto"/>
          </w:tcPr>
          <w:p w14:paraId="632E0D54" w14:textId="77777777" w:rsidR="00296471" w:rsidRPr="0019444B" w:rsidRDefault="00296471" w:rsidP="00CA022C">
            <w:pPr>
              <w:keepNext/>
              <w:keepLines/>
              <w:rPr>
                <w:rFonts w:ascii="Arial Narrow" w:hAnsi="Arial Narrow"/>
                <w:color w:val="000000" w:themeColor="text1"/>
                <w:sz w:val="20"/>
                <w:szCs w:val="20"/>
              </w:rPr>
            </w:pPr>
            <w:r w:rsidRPr="0019444B">
              <w:rPr>
                <w:rFonts w:ascii="Arial Narrow" w:hAnsi="Arial Narrow"/>
                <w:color w:val="000000" w:themeColor="text1"/>
                <w:sz w:val="20"/>
                <w:szCs w:val="20"/>
              </w:rPr>
              <w:t xml:space="preserve">Diarrhoea </w:t>
            </w:r>
          </w:p>
        </w:tc>
        <w:tc>
          <w:tcPr>
            <w:tcW w:w="1134" w:type="dxa"/>
            <w:shd w:val="clear" w:color="auto" w:fill="auto"/>
          </w:tcPr>
          <w:p w14:paraId="78C2320B"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76 (42.5)</w:t>
            </w:r>
          </w:p>
        </w:tc>
        <w:tc>
          <w:tcPr>
            <w:tcW w:w="992" w:type="dxa"/>
            <w:shd w:val="clear" w:color="auto" w:fill="auto"/>
          </w:tcPr>
          <w:p w14:paraId="4D06CABA"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1 (0.6)</w:t>
            </w:r>
          </w:p>
        </w:tc>
        <w:tc>
          <w:tcPr>
            <w:tcW w:w="1134" w:type="dxa"/>
            <w:shd w:val="clear" w:color="auto" w:fill="auto"/>
          </w:tcPr>
          <w:p w14:paraId="189C2FCB"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77 (43.3)</w:t>
            </w:r>
          </w:p>
        </w:tc>
        <w:tc>
          <w:tcPr>
            <w:tcW w:w="1105" w:type="dxa"/>
            <w:shd w:val="clear" w:color="auto" w:fill="auto"/>
          </w:tcPr>
          <w:p w14:paraId="3AE239A4"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10 (5.6)</w:t>
            </w:r>
          </w:p>
        </w:tc>
        <w:tc>
          <w:tcPr>
            <w:tcW w:w="1134" w:type="dxa"/>
            <w:shd w:val="clear" w:color="auto" w:fill="auto"/>
          </w:tcPr>
          <w:p w14:paraId="13CA1994"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36 (21.3)</w:t>
            </w:r>
          </w:p>
        </w:tc>
        <w:tc>
          <w:tcPr>
            <w:tcW w:w="1021" w:type="dxa"/>
            <w:shd w:val="clear" w:color="auto" w:fill="auto"/>
          </w:tcPr>
          <w:p w14:paraId="4B4403CE"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3 (1.8)</w:t>
            </w:r>
          </w:p>
        </w:tc>
      </w:tr>
      <w:tr w:rsidR="00296471" w:rsidRPr="0019444B" w14:paraId="6F2B3E3D" w14:textId="77777777" w:rsidTr="000D2BBF">
        <w:trPr>
          <w:cantSplit/>
        </w:trPr>
        <w:tc>
          <w:tcPr>
            <w:tcW w:w="2694" w:type="dxa"/>
            <w:shd w:val="clear" w:color="auto" w:fill="auto"/>
          </w:tcPr>
          <w:p w14:paraId="010787C5" w14:textId="77777777" w:rsidR="00296471" w:rsidRPr="0019444B" w:rsidRDefault="00296471" w:rsidP="00CA022C">
            <w:pPr>
              <w:keepNext/>
              <w:keepLines/>
              <w:rPr>
                <w:rFonts w:ascii="Arial Narrow" w:hAnsi="Arial Narrow"/>
                <w:sz w:val="20"/>
                <w:szCs w:val="20"/>
              </w:rPr>
            </w:pPr>
            <w:r w:rsidRPr="0019444B">
              <w:rPr>
                <w:rFonts w:ascii="Arial Narrow" w:hAnsi="Arial Narrow"/>
                <w:color w:val="000000" w:themeColor="text1"/>
                <w:sz w:val="20"/>
                <w:szCs w:val="20"/>
              </w:rPr>
              <w:t>Headache</w:t>
            </w:r>
          </w:p>
        </w:tc>
        <w:tc>
          <w:tcPr>
            <w:tcW w:w="1134" w:type="dxa"/>
            <w:shd w:val="clear" w:color="auto" w:fill="auto"/>
          </w:tcPr>
          <w:p w14:paraId="18F02F84"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70 (39.1)</w:t>
            </w:r>
          </w:p>
        </w:tc>
        <w:tc>
          <w:tcPr>
            <w:tcW w:w="992" w:type="dxa"/>
            <w:shd w:val="clear" w:color="auto" w:fill="auto"/>
          </w:tcPr>
          <w:p w14:paraId="515B8F1B"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2 (1.1)</w:t>
            </w:r>
          </w:p>
        </w:tc>
        <w:tc>
          <w:tcPr>
            <w:tcW w:w="1134" w:type="dxa"/>
            <w:shd w:val="clear" w:color="auto" w:fill="auto"/>
          </w:tcPr>
          <w:p w14:paraId="408DCDF8"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72 (40.4)</w:t>
            </w:r>
          </w:p>
        </w:tc>
        <w:tc>
          <w:tcPr>
            <w:tcW w:w="1105" w:type="dxa"/>
            <w:shd w:val="clear" w:color="auto" w:fill="auto"/>
          </w:tcPr>
          <w:p w14:paraId="1B238C72"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2 (1.1)</w:t>
            </w:r>
          </w:p>
        </w:tc>
        <w:tc>
          <w:tcPr>
            <w:tcW w:w="1134" w:type="dxa"/>
            <w:shd w:val="clear" w:color="auto" w:fill="auto"/>
          </w:tcPr>
          <w:p w14:paraId="3DCFB3BA"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20 (11.8)</w:t>
            </w:r>
          </w:p>
        </w:tc>
        <w:tc>
          <w:tcPr>
            <w:tcW w:w="1021" w:type="dxa"/>
            <w:shd w:val="clear" w:color="auto" w:fill="auto"/>
          </w:tcPr>
          <w:p w14:paraId="642EB6E4"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0</w:t>
            </w:r>
          </w:p>
        </w:tc>
      </w:tr>
      <w:tr w:rsidR="00296471" w:rsidRPr="0019444B" w14:paraId="7B92AFE0" w14:textId="77777777" w:rsidTr="000D2BBF">
        <w:trPr>
          <w:cantSplit/>
        </w:trPr>
        <w:tc>
          <w:tcPr>
            <w:tcW w:w="2694" w:type="dxa"/>
            <w:shd w:val="clear" w:color="auto" w:fill="auto"/>
          </w:tcPr>
          <w:p w14:paraId="68FF9C33"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Neutropenia</w:t>
            </w:r>
          </w:p>
        </w:tc>
        <w:tc>
          <w:tcPr>
            <w:tcW w:w="1134" w:type="dxa"/>
            <w:shd w:val="clear" w:color="auto" w:fill="auto"/>
          </w:tcPr>
          <w:p w14:paraId="31183C0D"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22 (12.3)</w:t>
            </w:r>
          </w:p>
        </w:tc>
        <w:tc>
          <w:tcPr>
            <w:tcW w:w="992" w:type="dxa"/>
            <w:shd w:val="clear" w:color="auto" w:fill="auto"/>
          </w:tcPr>
          <w:p w14:paraId="09C48B4E"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20 (11.2)</w:t>
            </w:r>
          </w:p>
        </w:tc>
        <w:tc>
          <w:tcPr>
            <w:tcW w:w="1134" w:type="dxa"/>
            <w:shd w:val="clear" w:color="auto" w:fill="auto"/>
          </w:tcPr>
          <w:p w14:paraId="5420D4E0"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60 (33.7)</w:t>
            </w:r>
          </w:p>
        </w:tc>
        <w:tc>
          <w:tcPr>
            <w:tcW w:w="1105" w:type="dxa"/>
            <w:shd w:val="clear" w:color="auto" w:fill="auto"/>
          </w:tcPr>
          <w:p w14:paraId="0A936F4B"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55 (30.9)</w:t>
            </w:r>
          </w:p>
        </w:tc>
        <w:tc>
          <w:tcPr>
            <w:tcW w:w="1134" w:type="dxa"/>
            <w:shd w:val="clear" w:color="auto" w:fill="auto"/>
          </w:tcPr>
          <w:p w14:paraId="55214286"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77 (45.6)</w:t>
            </w:r>
          </w:p>
        </w:tc>
        <w:tc>
          <w:tcPr>
            <w:tcW w:w="1021" w:type="dxa"/>
            <w:shd w:val="clear" w:color="auto" w:fill="auto"/>
          </w:tcPr>
          <w:p w14:paraId="7801E3F2"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71 (42.0)</w:t>
            </w:r>
          </w:p>
        </w:tc>
      </w:tr>
      <w:tr w:rsidR="00296471" w:rsidRPr="0019444B" w14:paraId="225A6991" w14:textId="77777777" w:rsidTr="000D2BBF">
        <w:trPr>
          <w:cantSplit/>
        </w:trPr>
        <w:tc>
          <w:tcPr>
            <w:tcW w:w="2694" w:type="dxa"/>
            <w:shd w:val="clear" w:color="auto" w:fill="auto"/>
          </w:tcPr>
          <w:p w14:paraId="4572130B" w14:textId="77777777" w:rsidR="00296471" w:rsidRPr="0019444B" w:rsidRDefault="00296471" w:rsidP="00CA022C">
            <w:pPr>
              <w:keepNext/>
              <w:keepLines/>
              <w:rPr>
                <w:rFonts w:ascii="Arial Narrow" w:hAnsi="Arial Narrow"/>
                <w:sz w:val="20"/>
                <w:szCs w:val="20"/>
              </w:rPr>
            </w:pPr>
            <w:r w:rsidRPr="0019444B">
              <w:rPr>
                <w:rFonts w:ascii="Arial Narrow" w:hAnsi="Arial Narrow"/>
                <w:color w:val="000000" w:themeColor="text1"/>
                <w:sz w:val="20"/>
                <w:szCs w:val="20"/>
              </w:rPr>
              <w:t>Upper respiratory tract infection</w:t>
            </w:r>
          </w:p>
        </w:tc>
        <w:tc>
          <w:tcPr>
            <w:tcW w:w="1134" w:type="dxa"/>
            <w:shd w:val="clear" w:color="auto" w:fill="auto"/>
          </w:tcPr>
          <w:p w14:paraId="445171C6"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47 (26.3)</w:t>
            </w:r>
          </w:p>
        </w:tc>
        <w:tc>
          <w:tcPr>
            <w:tcW w:w="992" w:type="dxa"/>
            <w:shd w:val="clear" w:color="auto" w:fill="auto"/>
          </w:tcPr>
          <w:p w14:paraId="03869E89"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0</w:t>
            </w:r>
          </w:p>
        </w:tc>
        <w:tc>
          <w:tcPr>
            <w:tcW w:w="1134" w:type="dxa"/>
            <w:shd w:val="clear" w:color="auto" w:fill="auto"/>
          </w:tcPr>
          <w:p w14:paraId="5E7CACEF"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45 (25.3)</w:t>
            </w:r>
          </w:p>
        </w:tc>
        <w:tc>
          <w:tcPr>
            <w:tcW w:w="1105" w:type="dxa"/>
            <w:shd w:val="clear" w:color="auto" w:fill="auto"/>
          </w:tcPr>
          <w:p w14:paraId="70032B62"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4 (2.2)</w:t>
            </w:r>
          </w:p>
        </w:tc>
        <w:tc>
          <w:tcPr>
            <w:tcW w:w="1134" w:type="dxa"/>
            <w:shd w:val="clear" w:color="auto" w:fill="auto"/>
          </w:tcPr>
          <w:p w14:paraId="44A43148"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16 (9.5)</w:t>
            </w:r>
          </w:p>
        </w:tc>
        <w:tc>
          <w:tcPr>
            <w:tcW w:w="1021" w:type="dxa"/>
            <w:shd w:val="clear" w:color="auto" w:fill="auto"/>
          </w:tcPr>
          <w:p w14:paraId="6A037989"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1 (0.6)</w:t>
            </w:r>
          </w:p>
        </w:tc>
      </w:tr>
      <w:tr w:rsidR="00296471" w:rsidRPr="0019444B" w14:paraId="068E4F8D" w14:textId="77777777" w:rsidTr="000D2BBF">
        <w:trPr>
          <w:cantSplit/>
        </w:trPr>
        <w:tc>
          <w:tcPr>
            <w:tcW w:w="2694" w:type="dxa"/>
            <w:shd w:val="clear" w:color="auto" w:fill="auto"/>
          </w:tcPr>
          <w:p w14:paraId="0190AFA1" w14:textId="77777777" w:rsidR="00296471" w:rsidRPr="0019444B" w:rsidRDefault="00296471" w:rsidP="00CA022C">
            <w:pPr>
              <w:keepNext/>
              <w:keepLines/>
              <w:rPr>
                <w:rFonts w:ascii="Arial Narrow" w:hAnsi="Arial Narrow"/>
                <w:sz w:val="20"/>
                <w:szCs w:val="20"/>
              </w:rPr>
            </w:pPr>
            <w:r w:rsidRPr="0019444B">
              <w:rPr>
                <w:rFonts w:ascii="Arial Narrow" w:hAnsi="Arial Narrow"/>
                <w:color w:val="000000" w:themeColor="text1"/>
                <w:sz w:val="20"/>
                <w:szCs w:val="20"/>
              </w:rPr>
              <w:t>Nausea</w:t>
            </w:r>
          </w:p>
        </w:tc>
        <w:tc>
          <w:tcPr>
            <w:tcW w:w="1134" w:type="dxa"/>
            <w:shd w:val="clear" w:color="auto" w:fill="auto"/>
          </w:tcPr>
          <w:p w14:paraId="26AE5FB3"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44 (24.6)</w:t>
            </w:r>
          </w:p>
        </w:tc>
        <w:tc>
          <w:tcPr>
            <w:tcW w:w="992" w:type="dxa"/>
            <w:shd w:val="clear" w:color="auto" w:fill="auto"/>
          </w:tcPr>
          <w:p w14:paraId="0A9A0FF4"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0</w:t>
            </w:r>
          </w:p>
        </w:tc>
        <w:tc>
          <w:tcPr>
            <w:tcW w:w="1134" w:type="dxa"/>
            <w:shd w:val="clear" w:color="auto" w:fill="auto"/>
          </w:tcPr>
          <w:p w14:paraId="5362ABEA"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44 (24.7)</w:t>
            </w:r>
          </w:p>
        </w:tc>
        <w:tc>
          <w:tcPr>
            <w:tcW w:w="1105" w:type="dxa"/>
            <w:shd w:val="clear" w:color="auto" w:fill="auto"/>
          </w:tcPr>
          <w:p w14:paraId="0B6A0EE8"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0</w:t>
            </w:r>
          </w:p>
        </w:tc>
        <w:tc>
          <w:tcPr>
            <w:tcW w:w="1134" w:type="dxa"/>
            <w:shd w:val="clear" w:color="auto" w:fill="auto"/>
          </w:tcPr>
          <w:p w14:paraId="7ECAA2CF"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53 (31.4)</w:t>
            </w:r>
          </w:p>
        </w:tc>
        <w:tc>
          <w:tcPr>
            <w:tcW w:w="1021" w:type="dxa"/>
            <w:shd w:val="clear" w:color="auto" w:fill="auto"/>
          </w:tcPr>
          <w:p w14:paraId="3ED4D8CF"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0</w:t>
            </w:r>
          </w:p>
        </w:tc>
      </w:tr>
      <w:tr w:rsidR="00296471" w:rsidRPr="0019444B" w14:paraId="77BD01B5" w14:textId="77777777" w:rsidTr="000D2BBF">
        <w:trPr>
          <w:cantSplit/>
        </w:trPr>
        <w:tc>
          <w:tcPr>
            <w:tcW w:w="2694" w:type="dxa"/>
            <w:shd w:val="clear" w:color="auto" w:fill="auto"/>
          </w:tcPr>
          <w:p w14:paraId="1C8E793D" w14:textId="77777777" w:rsidR="00296471" w:rsidRPr="0019444B" w:rsidRDefault="00296471" w:rsidP="00CA022C">
            <w:pPr>
              <w:keepNext/>
              <w:keepLines/>
              <w:rPr>
                <w:rFonts w:ascii="Arial Narrow" w:hAnsi="Arial Narrow"/>
                <w:sz w:val="20"/>
                <w:szCs w:val="20"/>
              </w:rPr>
            </w:pPr>
            <w:r w:rsidRPr="0019444B">
              <w:rPr>
                <w:rFonts w:ascii="Arial Narrow" w:hAnsi="Arial Narrow"/>
                <w:color w:val="000000" w:themeColor="text1"/>
                <w:sz w:val="20"/>
                <w:szCs w:val="20"/>
              </w:rPr>
              <w:t>Infusion-related reaction</w:t>
            </w:r>
          </w:p>
        </w:tc>
        <w:tc>
          <w:tcPr>
            <w:tcW w:w="1134" w:type="dxa"/>
            <w:shd w:val="clear" w:color="auto" w:fill="auto"/>
          </w:tcPr>
          <w:p w14:paraId="20CDE8A9"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1 (0.6)</w:t>
            </w:r>
          </w:p>
        </w:tc>
        <w:tc>
          <w:tcPr>
            <w:tcW w:w="992" w:type="dxa"/>
            <w:shd w:val="clear" w:color="auto" w:fill="auto"/>
          </w:tcPr>
          <w:p w14:paraId="16636A86"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0</w:t>
            </w:r>
          </w:p>
        </w:tc>
        <w:tc>
          <w:tcPr>
            <w:tcW w:w="1134" w:type="dxa"/>
            <w:shd w:val="clear" w:color="auto" w:fill="auto"/>
          </w:tcPr>
          <w:p w14:paraId="7EFA42F5"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26 (14.6)</w:t>
            </w:r>
          </w:p>
        </w:tc>
        <w:tc>
          <w:tcPr>
            <w:tcW w:w="1105" w:type="dxa"/>
            <w:shd w:val="clear" w:color="auto" w:fill="auto"/>
          </w:tcPr>
          <w:p w14:paraId="61E7BE9E"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5 (2.8)</w:t>
            </w:r>
          </w:p>
        </w:tc>
        <w:tc>
          <w:tcPr>
            <w:tcW w:w="1134" w:type="dxa"/>
            <w:shd w:val="clear" w:color="auto" w:fill="auto"/>
          </w:tcPr>
          <w:p w14:paraId="128898EE"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69 (40.8)</w:t>
            </w:r>
          </w:p>
        </w:tc>
        <w:tc>
          <w:tcPr>
            <w:tcW w:w="1021" w:type="dxa"/>
            <w:shd w:val="clear" w:color="auto" w:fill="auto"/>
          </w:tcPr>
          <w:p w14:paraId="1D5F9AA9"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10 (5.9)</w:t>
            </w:r>
          </w:p>
        </w:tc>
      </w:tr>
      <w:tr w:rsidR="00296471" w:rsidRPr="0019444B" w14:paraId="6F385CD0" w14:textId="77777777" w:rsidTr="000D2BBF">
        <w:trPr>
          <w:cantSplit/>
        </w:trPr>
        <w:tc>
          <w:tcPr>
            <w:tcW w:w="2694" w:type="dxa"/>
            <w:shd w:val="clear" w:color="auto" w:fill="auto"/>
          </w:tcPr>
          <w:p w14:paraId="28F7856D" w14:textId="77777777" w:rsidR="00296471" w:rsidRPr="0019444B" w:rsidRDefault="00296471" w:rsidP="00CA022C">
            <w:pPr>
              <w:keepNext/>
              <w:keepLines/>
              <w:rPr>
                <w:rFonts w:ascii="Arial Narrow" w:hAnsi="Arial Narrow"/>
                <w:sz w:val="20"/>
                <w:szCs w:val="20"/>
              </w:rPr>
            </w:pPr>
            <w:r w:rsidRPr="0019444B">
              <w:rPr>
                <w:rFonts w:ascii="Arial Narrow" w:hAnsi="Arial Narrow"/>
                <w:color w:val="000000" w:themeColor="text1"/>
                <w:sz w:val="20"/>
                <w:szCs w:val="20"/>
              </w:rPr>
              <w:t>Fatigue</w:t>
            </w:r>
          </w:p>
        </w:tc>
        <w:tc>
          <w:tcPr>
            <w:tcW w:w="1134" w:type="dxa"/>
            <w:shd w:val="clear" w:color="auto" w:fill="auto"/>
          </w:tcPr>
          <w:p w14:paraId="3AC66610"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43 (24.0)</w:t>
            </w:r>
          </w:p>
        </w:tc>
        <w:tc>
          <w:tcPr>
            <w:tcW w:w="992" w:type="dxa"/>
            <w:shd w:val="clear" w:color="auto" w:fill="auto"/>
          </w:tcPr>
          <w:p w14:paraId="684647E1"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2 (1.1)</w:t>
            </w:r>
          </w:p>
        </w:tc>
        <w:tc>
          <w:tcPr>
            <w:tcW w:w="1134" w:type="dxa"/>
            <w:shd w:val="clear" w:color="auto" w:fill="auto"/>
          </w:tcPr>
          <w:p w14:paraId="6B407B4C"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52 (29.2)</w:t>
            </w:r>
          </w:p>
        </w:tc>
        <w:tc>
          <w:tcPr>
            <w:tcW w:w="1105" w:type="dxa"/>
            <w:shd w:val="clear" w:color="auto" w:fill="auto"/>
          </w:tcPr>
          <w:p w14:paraId="23C6F66A"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4 (2.2)</w:t>
            </w:r>
          </w:p>
        </w:tc>
        <w:tc>
          <w:tcPr>
            <w:tcW w:w="1134" w:type="dxa"/>
            <w:shd w:val="clear" w:color="auto" w:fill="auto"/>
          </w:tcPr>
          <w:p w14:paraId="22E81840"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30 (17.8)</w:t>
            </w:r>
          </w:p>
        </w:tc>
        <w:tc>
          <w:tcPr>
            <w:tcW w:w="1021" w:type="dxa"/>
            <w:shd w:val="clear" w:color="auto" w:fill="auto"/>
          </w:tcPr>
          <w:p w14:paraId="3CF71DA0"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2 (1.2)</w:t>
            </w:r>
          </w:p>
        </w:tc>
      </w:tr>
      <w:tr w:rsidR="00296471" w:rsidRPr="0019444B" w14:paraId="7912D851" w14:textId="77777777" w:rsidTr="000D2BBF">
        <w:trPr>
          <w:cantSplit/>
        </w:trPr>
        <w:tc>
          <w:tcPr>
            <w:tcW w:w="2694" w:type="dxa"/>
            <w:shd w:val="clear" w:color="auto" w:fill="auto"/>
          </w:tcPr>
          <w:p w14:paraId="604D81A9" w14:textId="77777777" w:rsidR="00296471" w:rsidRPr="0019444B" w:rsidRDefault="00296471" w:rsidP="00CA022C">
            <w:pPr>
              <w:keepNext/>
              <w:keepLines/>
              <w:rPr>
                <w:rFonts w:ascii="Arial Narrow" w:hAnsi="Arial Narrow"/>
                <w:sz w:val="20"/>
                <w:szCs w:val="20"/>
              </w:rPr>
            </w:pPr>
            <w:r w:rsidRPr="0019444B">
              <w:rPr>
                <w:rFonts w:ascii="Arial Narrow" w:hAnsi="Arial Narrow"/>
                <w:color w:val="000000" w:themeColor="text1"/>
                <w:sz w:val="20"/>
                <w:szCs w:val="20"/>
              </w:rPr>
              <w:t>Contusion</w:t>
            </w:r>
          </w:p>
        </w:tc>
        <w:tc>
          <w:tcPr>
            <w:tcW w:w="1134" w:type="dxa"/>
            <w:shd w:val="clear" w:color="auto" w:fill="auto"/>
          </w:tcPr>
          <w:p w14:paraId="18741207"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31 (17.3)</w:t>
            </w:r>
          </w:p>
        </w:tc>
        <w:tc>
          <w:tcPr>
            <w:tcW w:w="992" w:type="dxa"/>
            <w:shd w:val="clear" w:color="auto" w:fill="auto"/>
          </w:tcPr>
          <w:p w14:paraId="37E46405"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0</w:t>
            </w:r>
          </w:p>
        </w:tc>
        <w:tc>
          <w:tcPr>
            <w:tcW w:w="1134" w:type="dxa"/>
            <w:shd w:val="clear" w:color="auto" w:fill="auto"/>
          </w:tcPr>
          <w:p w14:paraId="4FDDE69D"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47 (26.4)</w:t>
            </w:r>
          </w:p>
        </w:tc>
        <w:tc>
          <w:tcPr>
            <w:tcW w:w="1105" w:type="dxa"/>
            <w:shd w:val="clear" w:color="auto" w:fill="auto"/>
          </w:tcPr>
          <w:p w14:paraId="0EE4E3DD"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0</w:t>
            </w:r>
          </w:p>
        </w:tc>
        <w:tc>
          <w:tcPr>
            <w:tcW w:w="1134" w:type="dxa"/>
            <w:shd w:val="clear" w:color="auto" w:fill="auto"/>
          </w:tcPr>
          <w:p w14:paraId="7E064C0E"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7 (4.1)</w:t>
            </w:r>
          </w:p>
        </w:tc>
        <w:tc>
          <w:tcPr>
            <w:tcW w:w="1021" w:type="dxa"/>
            <w:shd w:val="clear" w:color="auto" w:fill="auto"/>
          </w:tcPr>
          <w:p w14:paraId="52A0ACD2"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0</w:t>
            </w:r>
          </w:p>
        </w:tc>
      </w:tr>
      <w:tr w:rsidR="00296471" w:rsidRPr="0019444B" w14:paraId="00C6D3FF" w14:textId="77777777" w:rsidTr="000D2BBF">
        <w:trPr>
          <w:cantSplit/>
        </w:trPr>
        <w:tc>
          <w:tcPr>
            <w:tcW w:w="2694" w:type="dxa"/>
            <w:shd w:val="clear" w:color="auto" w:fill="auto"/>
          </w:tcPr>
          <w:p w14:paraId="63018812" w14:textId="77777777" w:rsidR="00296471" w:rsidRPr="0019444B" w:rsidRDefault="00296471" w:rsidP="00CA022C">
            <w:pPr>
              <w:keepNext/>
              <w:keepLines/>
              <w:rPr>
                <w:rFonts w:ascii="Arial Narrow" w:hAnsi="Arial Narrow"/>
                <w:sz w:val="20"/>
                <w:szCs w:val="20"/>
              </w:rPr>
            </w:pPr>
            <w:r w:rsidRPr="0019444B">
              <w:rPr>
                <w:rFonts w:ascii="Arial Narrow" w:hAnsi="Arial Narrow"/>
                <w:color w:val="000000" w:themeColor="text1"/>
                <w:sz w:val="20"/>
                <w:szCs w:val="20"/>
              </w:rPr>
              <w:t xml:space="preserve">Arthralgia </w:t>
            </w:r>
          </w:p>
        </w:tc>
        <w:tc>
          <w:tcPr>
            <w:tcW w:w="1134" w:type="dxa"/>
            <w:shd w:val="clear" w:color="auto" w:fill="auto"/>
          </w:tcPr>
          <w:p w14:paraId="4CCE0310"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47 (26.3)</w:t>
            </w:r>
          </w:p>
        </w:tc>
        <w:tc>
          <w:tcPr>
            <w:tcW w:w="992" w:type="dxa"/>
            <w:shd w:val="clear" w:color="auto" w:fill="auto"/>
          </w:tcPr>
          <w:p w14:paraId="16586591"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2 (1.1)</w:t>
            </w:r>
          </w:p>
        </w:tc>
        <w:tc>
          <w:tcPr>
            <w:tcW w:w="1134" w:type="dxa"/>
            <w:shd w:val="clear" w:color="auto" w:fill="auto"/>
          </w:tcPr>
          <w:p w14:paraId="583D1C9A"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60 (33.7)</w:t>
            </w:r>
          </w:p>
        </w:tc>
        <w:tc>
          <w:tcPr>
            <w:tcW w:w="1105" w:type="dxa"/>
            <w:shd w:val="clear" w:color="auto" w:fill="auto"/>
          </w:tcPr>
          <w:p w14:paraId="3B7F313D"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4 (2.2)</w:t>
            </w:r>
          </w:p>
        </w:tc>
        <w:tc>
          <w:tcPr>
            <w:tcW w:w="1134" w:type="dxa"/>
            <w:shd w:val="clear" w:color="auto" w:fill="auto"/>
          </w:tcPr>
          <w:p w14:paraId="1990BD37"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10 (5.9)</w:t>
            </w:r>
          </w:p>
        </w:tc>
        <w:tc>
          <w:tcPr>
            <w:tcW w:w="1021" w:type="dxa"/>
            <w:shd w:val="clear" w:color="auto" w:fill="auto"/>
          </w:tcPr>
          <w:p w14:paraId="60B7A877"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2 (1.2)</w:t>
            </w:r>
          </w:p>
        </w:tc>
      </w:tr>
      <w:tr w:rsidR="00296471" w:rsidRPr="0019444B" w14:paraId="5D9C3DCD" w14:textId="77777777" w:rsidTr="000D2BBF">
        <w:trPr>
          <w:cantSplit/>
        </w:trPr>
        <w:tc>
          <w:tcPr>
            <w:tcW w:w="9214" w:type="dxa"/>
            <w:gridSpan w:val="7"/>
            <w:shd w:val="clear" w:color="auto" w:fill="auto"/>
          </w:tcPr>
          <w:p w14:paraId="66BF8D4A" w14:textId="77777777" w:rsidR="00296471" w:rsidRPr="0019444B" w:rsidRDefault="00296471" w:rsidP="00CA022C">
            <w:pPr>
              <w:keepNext/>
              <w:keepLines/>
              <w:rPr>
                <w:rFonts w:ascii="Arial Narrow" w:hAnsi="Arial Narrow"/>
                <w:b/>
                <w:bCs/>
                <w:sz w:val="20"/>
                <w:szCs w:val="20"/>
              </w:rPr>
            </w:pPr>
            <w:r w:rsidRPr="0019444B">
              <w:rPr>
                <w:rFonts w:ascii="Arial Narrow" w:hAnsi="Arial Narrow"/>
                <w:b/>
                <w:bCs/>
                <w:sz w:val="20"/>
                <w:szCs w:val="20"/>
              </w:rPr>
              <w:t>Events of clinical interest, n (%)</w:t>
            </w:r>
          </w:p>
        </w:tc>
      </w:tr>
      <w:tr w:rsidR="00296471" w:rsidRPr="0019444B" w14:paraId="566504D3" w14:textId="77777777" w:rsidTr="000D2BBF">
        <w:trPr>
          <w:cantSplit/>
        </w:trPr>
        <w:tc>
          <w:tcPr>
            <w:tcW w:w="2694" w:type="dxa"/>
            <w:shd w:val="clear" w:color="auto" w:fill="auto"/>
          </w:tcPr>
          <w:p w14:paraId="4DFBD8AF" w14:textId="36AAB933" w:rsidR="00296471" w:rsidRPr="0019444B" w:rsidRDefault="00296471" w:rsidP="00CA022C">
            <w:pPr>
              <w:keepNext/>
              <w:keepLines/>
              <w:rPr>
                <w:rFonts w:ascii="Arial Narrow" w:hAnsi="Arial Narrow"/>
                <w:sz w:val="20"/>
                <w:szCs w:val="20"/>
              </w:rPr>
            </w:pPr>
            <w:r w:rsidRPr="0019444B">
              <w:rPr>
                <w:rFonts w:ascii="Arial Narrow" w:hAnsi="Arial Narrow"/>
                <w:b/>
                <w:bCs/>
                <w:sz w:val="20"/>
                <w:szCs w:val="20"/>
              </w:rPr>
              <w:t>AEs Grades</w:t>
            </w:r>
          </w:p>
        </w:tc>
        <w:tc>
          <w:tcPr>
            <w:tcW w:w="1134" w:type="dxa"/>
            <w:shd w:val="clear" w:color="auto" w:fill="auto"/>
          </w:tcPr>
          <w:p w14:paraId="51B48B0A" w14:textId="77777777" w:rsidR="00296471" w:rsidRPr="0019444B" w:rsidRDefault="00296471" w:rsidP="00CA022C">
            <w:pPr>
              <w:keepNext/>
              <w:keepLines/>
              <w:rPr>
                <w:rFonts w:ascii="Arial Narrow" w:hAnsi="Arial Narrow"/>
                <w:sz w:val="20"/>
                <w:szCs w:val="20"/>
              </w:rPr>
            </w:pPr>
            <w:r w:rsidRPr="0019444B">
              <w:rPr>
                <w:rFonts w:ascii="Arial Narrow" w:hAnsi="Arial Narrow"/>
                <w:b/>
                <w:bCs/>
                <w:sz w:val="20"/>
                <w:szCs w:val="20"/>
              </w:rPr>
              <w:t>Any Grade</w:t>
            </w:r>
          </w:p>
        </w:tc>
        <w:tc>
          <w:tcPr>
            <w:tcW w:w="992" w:type="dxa"/>
            <w:shd w:val="clear" w:color="auto" w:fill="auto"/>
          </w:tcPr>
          <w:p w14:paraId="1646D3D4" w14:textId="77777777" w:rsidR="00296471" w:rsidRPr="0019444B" w:rsidRDefault="00296471" w:rsidP="00CA022C">
            <w:pPr>
              <w:keepNext/>
              <w:keepLines/>
              <w:rPr>
                <w:rFonts w:ascii="Arial Narrow" w:hAnsi="Arial Narrow"/>
                <w:sz w:val="20"/>
                <w:szCs w:val="20"/>
              </w:rPr>
            </w:pPr>
            <w:r w:rsidRPr="0019444B">
              <w:rPr>
                <w:rFonts w:ascii="Arial Narrow" w:hAnsi="Arial Narrow"/>
                <w:b/>
                <w:bCs/>
                <w:sz w:val="20"/>
                <w:szCs w:val="20"/>
              </w:rPr>
              <w:t>Grade ≥3</w:t>
            </w:r>
          </w:p>
        </w:tc>
        <w:tc>
          <w:tcPr>
            <w:tcW w:w="1134" w:type="dxa"/>
            <w:shd w:val="clear" w:color="auto" w:fill="auto"/>
          </w:tcPr>
          <w:p w14:paraId="363933A6" w14:textId="77777777" w:rsidR="00296471" w:rsidRPr="0019444B" w:rsidRDefault="00296471" w:rsidP="00CA022C">
            <w:pPr>
              <w:keepNext/>
              <w:keepLines/>
              <w:rPr>
                <w:rFonts w:ascii="Arial Narrow" w:hAnsi="Arial Narrow"/>
                <w:sz w:val="20"/>
                <w:szCs w:val="20"/>
              </w:rPr>
            </w:pPr>
            <w:r w:rsidRPr="0019444B">
              <w:rPr>
                <w:rFonts w:ascii="Arial Narrow" w:hAnsi="Arial Narrow"/>
                <w:b/>
                <w:bCs/>
                <w:sz w:val="20"/>
                <w:szCs w:val="20"/>
              </w:rPr>
              <w:t>Any Grade</w:t>
            </w:r>
          </w:p>
        </w:tc>
        <w:tc>
          <w:tcPr>
            <w:tcW w:w="1105" w:type="dxa"/>
            <w:shd w:val="clear" w:color="auto" w:fill="auto"/>
          </w:tcPr>
          <w:p w14:paraId="4B7F33A8" w14:textId="77777777" w:rsidR="00296471" w:rsidRPr="0019444B" w:rsidRDefault="00296471" w:rsidP="00CA022C">
            <w:pPr>
              <w:keepNext/>
              <w:keepLines/>
              <w:rPr>
                <w:rFonts w:ascii="Arial Narrow" w:hAnsi="Arial Narrow"/>
                <w:sz w:val="20"/>
                <w:szCs w:val="20"/>
              </w:rPr>
            </w:pPr>
            <w:r w:rsidRPr="0019444B">
              <w:rPr>
                <w:rFonts w:ascii="Arial Narrow" w:hAnsi="Arial Narrow"/>
                <w:b/>
                <w:bCs/>
                <w:sz w:val="20"/>
                <w:szCs w:val="20"/>
              </w:rPr>
              <w:t>Grade ≥3</w:t>
            </w:r>
          </w:p>
        </w:tc>
        <w:tc>
          <w:tcPr>
            <w:tcW w:w="1134" w:type="dxa"/>
            <w:shd w:val="clear" w:color="auto" w:fill="auto"/>
          </w:tcPr>
          <w:p w14:paraId="69ED9164" w14:textId="77777777" w:rsidR="00296471" w:rsidRPr="0019444B" w:rsidRDefault="00296471" w:rsidP="00CA022C">
            <w:pPr>
              <w:keepNext/>
              <w:keepLines/>
              <w:rPr>
                <w:rFonts w:ascii="Arial Narrow" w:hAnsi="Arial Narrow"/>
                <w:sz w:val="20"/>
                <w:szCs w:val="20"/>
              </w:rPr>
            </w:pPr>
            <w:r w:rsidRPr="0019444B">
              <w:rPr>
                <w:rFonts w:ascii="Arial Narrow" w:hAnsi="Arial Narrow"/>
                <w:b/>
                <w:bCs/>
                <w:sz w:val="20"/>
                <w:szCs w:val="20"/>
              </w:rPr>
              <w:t>Any Grade</w:t>
            </w:r>
          </w:p>
        </w:tc>
        <w:tc>
          <w:tcPr>
            <w:tcW w:w="1021" w:type="dxa"/>
            <w:shd w:val="clear" w:color="auto" w:fill="auto"/>
          </w:tcPr>
          <w:p w14:paraId="59EF8F9B" w14:textId="77777777" w:rsidR="00296471" w:rsidRPr="0019444B" w:rsidRDefault="00296471" w:rsidP="00CA022C">
            <w:pPr>
              <w:keepNext/>
              <w:keepLines/>
              <w:rPr>
                <w:rFonts w:ascii="Arial Narrow" w:hAnsi="Arial Narrow"/>
                <w:sz w:val="20"/>
                <w:szCs w:val="20"/>
              </w:rPr>
            </w:pPr>
            <w:r w:rsidRPr="0019444B">
              <w:rPr>
                <w:rFonts w:ascii="Arial Narrow" w:hAnsi="Arial Narrow"/>
                <w:b/>
                <w:bCs/>
                <w:sz w:val="20"/>
                <w:szCs w:val="20"/>
              </w:rPr>
              <w:t>Grade ≥3</w:t>
            </w:r>
          </w:p>
        </w:tc>
      </w:tr>
      <w:tr w:rsidR="00296471" w:rsidRPr="0019444B" w14:paraId="3BFFDCC6" w14:textId="77777777" w:rsidTr="000D2BBF">
        <w:trPr>
          <w:cantSplit/>
        </w:trPr>
        <w:tc>
          <w:tcPr>
            <w:tcW w:w="2694" w:type="dxa"/>
            <w:shd w:val="clear" w:color="auto" w:fill="auto"/>
          </w:tcPr>
          <w:p w14:paraId="7C76F27B" w14:textId="77777777" w:rsidR="00296471" w:rsidRPr="0019444B" w:rsidRDefault="00296471" w:rsidP="00CA022C">
            <w:pPr>
              <w:keepNext/>
              <w:keepLines/>
              <w:rPr>
                <w:rFonts w:ascii="Arial Narrow" w:hAnsi="Arial Narrow"/>
                <w:color w:val="000000" w:themeColor="text1"/>
                <w:sz w:val="20"/>
                <w:szCs w:val="20"/>
              </w:rPr>
            </w:pPr>
            <w:r w:rsidRPr="0019444B">
              <w:rPr>
                <w:rFonts w:ascii="Arial Narrow" w:hAnsi="Arial Narrow"/>
                <w:color w:val="000000" w:themeColor="text1"/>
                <w:sz w:val="20"/>
                <w:szCs w:val="20"/>
              </w:rPr>
              <w:t>Cardiac events</w:t>
            </w:r>
          </w:p>
        </w:tc>
        <w:tc>
          <w:tcPr>
            <w:tcW w:w="1134" w:type="dxa"/>
            <w:shd w:val="clear" w:color="auto" w:fill="auto"/>
            <w:vAlign w:val="center"/>
          </w:tcPr>
          <w:p w14:paraId="7A416519" w14:textId="77777777" w:rsidR="00296471" w:rsidRPr="0019444B" w:rsidRDefault="00296471" w:rsidP="00CA022C">
            <w:pPr>
              <w:keepNext/>
              <w:keepLines/>
              <w:rPr>
                <w:rFonts w:ascii="Arial Narrow" w:hAnsi="Arial Narrow"/>
                <w:color w:val="000000" w:themeColor="text1"/>
                <w:sz w:val="20"/>
                <w:szCs w:val="20"/>
              </w:rPr>
            </w:pPr>
            <w:r w:rsidRPr="0019444B">
              <w:rPr>
                <w:rFonts w:ascii="Arial Narrow" w:hAnsi="Arial Narrow"/>
                <w:color w:val="000000" w:themeColor="text1"/>
                <w:sz w:val="20"/>
                <w:szCs w:val="20"/>
              </w:rPr>
              <w:t>39 (21.8)</w:t>
            </w:r>
          </w:p>
        </w:tc>
        <w:tc>
          <w:tcPr>
            <w:tcW w:w="992" w:type="dxa"/>
            <w:shd w:val="clear" w:color="auto" w:fill="auto"/>
            <w:vAlign w:val="center"/>
          </w:tcPr>
          <w:p w14:paraId="39D05935" w14:textId="77777777" w:rsidR="00296471" w:rsidRPr="0019444B" w:rsidRDefault="00296471" w:rsidP="00CA022C">
            <w:pPr>
              <w:keepNext/>
              <w:keepLines/>
              <w:rPr>
                <w:rFonts w:ascii="Arial Narrow" w:hAnsi="Arial Narrow"/>
                <w:color w:val="000000" w:themeColor="text1"/>
                <w:sz w:val="20"/>
                <w:szCs w:val="20"/>
              </w:rPr>
            </w:pPr>
            <w:r w:rsidRPr="0019444B">
              <w:rPr>
                <w:rFonts w:ascii="Arial Narrow" w:hAnsi="Arial Narrow"/>
                <w:color w:val="000000" w:themeColor="text1"/>
                <w:sz w:val="20"/>
                <w:szCs w:val="20"/>
              </w:rPr>
              <w:t>18 (10.1)</w:t>
            </w:r>
          </w:p>
        </w:tc>
        <w:tc>
          <w:tcPr>
            <w:tcW w:w="1134" w:type="dxa"/>
            <w:shd w:val="clear" w:color="auto" w:fill="auto"/>
            <w:vAlign w:val="center"/>
          </w:tcPr>
          <w:p w14:paraId="08FB1A1A" w14:textId="77777777" w:rsidR="00296471" w:rsidRPr="0019444B" w:rsidRDefault="00296471" w:rsidP="00CA022C">
            <w:pPr>
              <w:keepNext/>
              <w:keepLines/>
              <w:rPr>
                <w:rFonts w:ascii="Arial Narrow" w:hAnsi="Arial Narrow"/>
                <w:color w:val="000000" w:themeColor="text1"/>
                <w:sz w:val="20"/>
                <w:szCs w:val="20"/>
              </w:rPr>
            </w:pPr>
            <w:r w:rsidRPr="0019444B">
              <w:rPr>
                <w:rFonts w:ascii="Arial Narrow" w:hAnsi="Arial Narrow"/>
                <w:color w:val="000000" w:themeColor="text1"/>
                <w:sz w:val="20"/>
                <w:szCs w:val="20"/>
              </w:rPr>
              <w:t>43 (24.2)</w:t>
            </w:r>
          </w:p>
        </w:tc>
        <w:tc>
          <w:tcPr>
            <w:tcW w:w="1105" w:type="dxa"/>
            <w:shd w:val="clear" w:color="auto" w:fill="auto"/>
            <w:vAlign w:val="center"/>
          </w:tcPr>
          <w:p w14:paraId="242514BD" w14:textId="77777777" w:rsidR="00296471" w:rsidRPr="0019444B" w:rsidRDefault="00296471" w:rsidP="00CA022C">
            <w:pPr>
              <w:keepNext/>
              <w:keepLines/>
              <w:rPr>
                <w:rFonts w:ascii="Arial Narrow" w:hAnsi="Arial Narrow"/>
                <w:color w:val="000000" w:themeColor="text1"/>
                <w:sz w:val="20"/>
                <w:szCs w:val="20"/>
              </w:rPr>
            </w:pPr>
            <w:r w:rsidRPr="0019444B">
              <w:rPr>
                <w:rFonts w:ascii="Arial Narrow" w:hAnsi="Arial Narrow"/>
                <w:color w:val="000000" w:themeColor="text1"/>
                <w:sz w:val="20"/>
                <w:szCs w:val="20"/>
              </w:rPr>
              <w:t>17 (9.6)</w:t>
            </w:r>
          </w:p>
        </w:tc>
        <w:tc>
          <w:tcPr>
            <w:tcW w:w="1134" w:type="dxa"/>
            <w:shd w:val="clear" w:color="auto" w:fill="auto"/>
            <w:vAlign w:val="center"/>
          </w:tcPr>
          <w:p w14:paraId="3D996077" w14:textId="77777777" w:rsidR="00296471" w:rsidRPr="0019444B" w:rsidRDefault="00296471" w:rsidP="00CA022C">
            <w:pPr>
              <w:keepNext/>
              <w:keepLines/>
              <w:rPr>
                <w:rFonts w:ascii="Arial Narrow" w:hAnsi="Arial Narrow"/>
                <w:color w:val="000000" w:themeColor="text1"/>
                <w:sz w:val="20"/>
                <w:szCs w:val="20"/>
              </w:rPr>
            </w:pPr>
            <w:r w:rsidRPr="0019444B">
              <w:rPr>
                <w:rFonts w:ascii="Arial Narrow" w:hAnsi="Arial Narrow"/>
                <w:color w:val="000000" w:themeColor="text1"/>
                <w:sz w:val="20"/>
                <w:szCs w:val="20"/>
              </w:rPr>
              <w:t>13 (7.7)</w:t>
            </w:r>
          </w:p>
        </w:tc>
        <w:tc>
          <w:tcPr>
            <w:tcW w:w="1021" w:type="dxa"/>
            <w:shd w:val="clear" w:color="auto" w:fill="auto"/>
            <w:vAlign w:val="center"/>
          </w:tcPr>
          <w:p w14:paraId="40168BD9" w14:textId="77777777" w:rsidR="00296471" w:rsidRPr="0019444B" w:rsidRDefault="00296471" w:rsidP="00CA022C">
            <w:pPr>
              <w:keepNext/>
              <w:keepLines/>
              <w:rPr>
                <w:rFonts w:ascii="Arial Narrow" w:hAnsi="Arial Narrow"/>
                <w:color w:val="000000" w:themeColor="text1"/>
                <w:sz w:val="20"/>
                <w:szCs w:val="20"/>
              </w:rPr>
            </w:pPr>
            <w:r w:rsidRPr="0019444B">
              <w:rPr>
                <w:rFonts w:ascii="Arial Narrow" w:hAnsi="Arial Narrow"/>
                <w:color w:val="000000" w:themeColor="text1"/>
                <w:sz w:val="20"/>
                <w:szCs w:val="20"/>
              </w:rPr>
              <w:t>3 (1.8)</w:t>
            </w:r>
          </w:p>
        </w:tc>
      </w:tr>
      <w:tr w:rsidR="00296471" w:rsidRPr="0019444B" w14:paraId="4D6F8806" w14:textId="77777777" w:rsidTr="000D2BBF">
        <w:trPr>
          <w:cantSplit/>
        </w:trPr>
        <w:tc>
          <w:tcPr>
            <w:tcW w:w="2694" w:type="dxa"/>
            <w:shd w:val="clear" w:color="auto" w:fill="auto"/>
          </w:tcPr>
          <w:p w14:paraId="61C562B5" w14:textId="399F9D35" w:rsidR="00296471" w:rsidRPr="0019444B" w:rsidRDefault="00296471" w:rsidP="00CA022C">
            <w:pPr>
              <w:keepNext/>
              <w:keepLines/>
              <w:rPr>
                <w:rFonts w:ascii="Arial Narrow" w:hAnsi="Arial Narrow"/>
                <w:sz w:val="20"/>
                <w:szCs w:val="20"/>
              </w:rPr>
            </w:pPr>
            <w:r w:rsidRPr="0019444B">
              <w:rPr>
                <w:rFonts w:ascii="Arial Narrow" w:hAnsi="Arial Narrow"/>
                <w:color w:val="000000" w:themeColor="text1"/>
                <w:sz w:val="20"/>
                <w:szCs w:val="20"/>
              </w:rPr>
              <w:t xml:space="preserve">     Atrial </w:t>
            </w:r>
            <w:r w:rsidR="00507A59" w:rsidRPr="0019444B">
              <w:rPr>
                <w:rFonts w:ascii="Arial Narrow" w:hAnsi="Arial Narrow"/>
                <w:color w:val="000000" w:themeColor="text1"/>
                <w:sz w:val="20"/>
                <w:szCs w:val="20"/>
              </w:rPr>
              <w:t>f</w:t>
            </w:r>
            <w:r w:rsidRPr="0019444B">
              <w:rPr>
                <w:rFonts w:ascii="Arial Narrow" w:hAnsi="Arial Narrow"/>
                <w:color w:val="000000" w:themeColor="text1"/>
                <w:sz w:val="20"/>
                <w:szCs w:val="20"/>
              </w:rPr>
              <w:t>ibrillation</w:t>
            </w:r>
          </w:p>
        </w:tc>
        <w:tc>
          <w:tcPr>
            <w:tcW w:w="1134" w:type="dxa"/>
            <w:shd w:val="clear" w:color="auto" w:fill="auto"/>
            <w:vAlign w:val="center"/>
          </w:tcPr>
          <w:p w14:paraId="6C689E3B" w14:textId="77777777" w:rsidR="00296471" w:rsidRPr="0019444B" w:rsidRDefault="00296471" w:rsidP="00CA022C">
            <w:pPr>
              <w:keepNext/>
              <w:keepLines/>
              <w:rPr>
                <w:rFonts w:ascii="Arial Narrow" w:hAnsi="Arial Narrow"/>
                <w:sz w:val="20"/>
                <w:szCs w:val="20"/>
              </w:rPr>
            </w:pPr>
            <w:r w:rsidRPr="0019444B">
              <w:rPr>
                <w:rFonts w:ascii="Arial Narrow" w:hAnsi="Arial Narrow"/>
                <w:color w:val="000000" w:themeColor="text1"/>
                <w:sz w:val="20"/>
                <w:szCs w:val="20"/>
              </w:rPr>
              <w:t>13 (7.3)</w:t>
            </w:r>
          </w:p>
        </w:tc>
        <w:tc>
          <w:tcPr>
            <w:tcW w:w="992" w:type="dxa"/>
            <w:shd w:val="clear" w:color="auto" w:fill="auto"/>
            <w:vAlign w:val="center"/>
          </w:tcPr>
          <w:p w14:paraId="048B2D88" w14:textId="77777777" w:rsidR="00296471" w:rsidRPr="0019444B" w:rsidRDefault="00296471" w:rsidP="00CA022C">
            <w:pPr>
              <w:keepNext/>
              <w:keepLines/>
              <w:rPr>
                <w:rFonts w:ascii="Arial Narrow" w:hAnsi="Arial Narrow"/>
                <w:sz w:val="20"/>
                <w:szCs w:val="20"/>
              </w:rPr>
            </w:pPr>
            <w:r w:rsidRPr="0019444B">
              <w:rPr>
                <w:rFonts w:ascii="Arial Narrow" w:hAnsi="Arial Narrow"/>
                <w:color w:val="000000" w:themeColor="text1"/>
                <w:sz w:val="20"/>
                <w:szCs w:val="20"/>
              </w:rPr>
              <w:t>2 (1.1)</w:t>
            </w:r>
          </w:p>
        </w:tc>
        <w:tc>
          <w:tcPr>
            <w:tcW w:w="1134" w:type="dxa"/>
            <w:shd w:val="clear" w:color="auto" w:fill="auto"/>
            <w:vAlign w:val="center"/>
          </w:tcPr>
          <w:p w14:paraId="6A5E63B1" w14:textId="77777777" w:rsidR="00296471" w:rsidRPr="0019444B" w:rsidRDefault="00296471" w:rsidP="00CA022C">
            <w:pPr>
              <w:keepNext/>
              <w:keepLines/>
              <w:rPr>
                <w:rFonts w:ascii="Arial Narrow" w:hAnsi="Arial Narrow"/>
                <w:sz w:val="20"/>
                <w:szCs w:val="20"/>
              </w:rPr>
            </w:pPr>
            <w:r w:rsidRPr="0019444B">
              <w:rPr>
                <w:rFonts w:ascii="Arial Narrow" w:hAnsi="Arial Narrow"/>
                <w:color w:val="000000" w:themeColor="text1"/>
                <w:sz w:val="20"/>
                <w:szCs w:val="20"/>
              </w:rPr>
              <w:t>11 (6.2)</w:t>
            </w:r>
          </w:p>
        </w:tc>
        <w:tc>
          <w:tcPr>
            <w:tcW w:w="1105" w:type="dxa"/>
            <w:shd w:val="clear" w:color="auto" w:fill="auto"/>
            <w:vAlign w:val="center"/>
          </w:tcPr>
          <w:p w14:paraId="42235A5D" w14:textId="77777777" w:rsidR="00296471" w:rsidRPr="0019444B" w:rsidRDefault="00296471" w:rsidP="00CA022C">
            <w:pPr>
              <w:keepNext/>
              <w:keepLines/>
              <w:rPr>
                <w:rFonts w:ascii="Arial Narrow" w:hAnsi="Arial Narrow"/>
                <w:sz w:val="20"/>
                <w:szCs w:val="20"/>
              </w:rPr>
            </w:pPr>
            <w:r w:rsidRPr="0019444B">
              <w:rPr>
                <w:rFonts w:ascii="Arial Narrow" w:hAnsi="Arial Narrow"/>
                <w:color w:val="000000" w:themeColor="text1"/>
                <w:sz w:val="20"/>
                <w:szCs w:val="20"/>
              </w:rPr>
              <w:t>2 (1.1)</w:t>
            </w:r>
          </w:p>
        </w:tc>
        <w:tc>
          <w:tcPr>
            <w:tcW w:w="1134" w:type="dxa"/>
            <w:shd w:val="clear" w:color="auto" w:fill="auto"/>
            <w:vAlign w:val="center"/>
          </w:tcPr>
          <w:p w14:paraId="614E6C30" w14:textId="77777777" w:rsidR="00296471" w:rsidRPr="0019444B" w:rsidRDefault="00296471" w:rsidP="00CA022C">
            <w:pPr>
              <w:keepNext/>
              <w:keepLines/>
              <w:rPr>
                <w:rFonts w:ascii="Arial Narrow" w:hAnsi="Arial Narrow"/>
                <w:sz w:val="20"/>
                <w:szCs w:val="20"/>
              </w:rPr>
            </w:pPr>
            <w:r w:rsidRPr="0019444B">
              <w:rPr>
                <w:rFonts w:ascii="Arial Narrow" w:hAnsi="Arial Narrow"/>
                <w:color w:val="000000" w:themeColor="text1"/>
                <w:sz w:val="20"/>
                <w:szCs w:val="20"/>
              </w:rPr>
              <w:t>1 (0.6)</w:t>
            </w:r>
          </w:p>
        </w:tc>
        <w:tc>
          <w:tcPr>
            <w:tcW w:w="1021" w:type="dxa"/>
            <w:shd w:val="clear" w:color="auto" w:fill="auto"/>
            <w:vAlign w:val="center"/>
          </w:tcPr>
          <w:p w14:paraId="18995571" w14:textId="77777777" w:rsidR="00296471" w:rsidRPr="0019444B" w:rsidRDefault="00296471" w:rsidP="00CA022C">
            <w:pPr>
              <w:keepNext/>
              <w:keepLines/>
              <w:rPr>
                <w:rFonts w:ascii="Arial Narrow" w:hAnsi="Arial Narrow"/>
                <w:sz w:val="20"/>
                <w:szCs w:val="20"/>
              </w:rPr>
            </w:pPr>
            <w:r w:rsidRPr="0019444B">
              <w:rPr>
                <w:rFonts w:ascii="Arial Narrow" w:hAnsi="Arial Narrow"/>
                <w:color w:val="000000" w:themeColor="text1"/>
                <w:sz w:val="20"/>
                <w:szCs w:val="20"/>
              </w:rPr>
              <w:t>0</w:t>
            </w:r>
          </w:p>
        </w:tc>
      </w:tr>
      <w:tr w:rsidR="00296471" w:rsidRPr="0019444B" w14:paraId="04279067" w14:textId="77777777" w:rsidTr="000D2BBF">
        <w:trPr>
          <w:cantSplit/>
        </w:trPr>
        <w:tc>
          <w:tcPr>
            <w:tcW w:w="2694" w:type="dxa"/>
            <w:shd w:val="clear" w:color="auto" w:fill="auto"/>
          </w:tcPr>
          <w:p w14:paraId="4AC21BF4" w14:textId="77777777" w:rsidR="00296471" w:rsidRPr="0019444B" w:rsidRDefault="00296471" w:rsidP="00CA022C">
            <w:pPr>
              <w:keepNext/>
              <w:keepLines/>
              <w:rPr>
                <w:rFonts w:ascii="Arial Narrow" w:hAnsi="Arial Narrow"/>
                <w:sz w:val="20"/>
                <w:szCs w:val="20"/>
              </w:rPr>
            </w:pPr>
            <w:r w:rsidRPr="0019444B">
              <w:rPr>
                <w:rFonts w:ascii="Arial Narrow" w:hAnsi="Arial Narrow"/>
                <w:color w:val="000000" w:themeColor="text1"/>
                <w:sz w:val="20"/>
                <w:szCs w:val="20"/>
              </w:rPr>
              <w:t>Hypertension</w:t>
            </w:r>
          </w:p>
        </w:tc>
        <w:tc>
          <w:tcPr>
            <w:tcW w:w="1134" w:type="dxa"/>
            <w:shd w:val="clear" w:color="auto" w:fill="auto"/>
            <w:vAlign w:val="center"/>
          </w:tcPr>
          <w:p w14:paraId="13B74E50" w14:textId="77777777" w:rsidR="00296471" w:rsidRPr="0019444B" w:rsidRDefault="00296471" w:rsidP="00CA022C">
            <w:pPr>
              <w:keepNext/>
              <w:keepLines/>
              <w:rPr>
                <w:rFonts w:ascii="Arial Narrow" w:hAnsi="Arial Narrow"/>
                <w:sz w:val="20"/>
                <w:szCs w:val="20"/>
              </w:rPr>
            </w:pPr>
            <w:r w:rsidRPr="0019444B">
              <w:rPr>
                <w:rFonts w:ascii="Arial Narrow" w:hAnsi="Arial Narrow"/>
                <w:color w:val="000000" w:themeColor="text1"/>
                <w:sz w:val="20"/>
                <w:szCs w:val="20"/>
              </w:rPr>
              <w:t>16 (8.9)</w:t>
            </w:r>
          </w:p>
        </w:tc>
        <w:tc>
          <w:tcPr>
            <w:tcW w:w="992" w:type="dxa"/>
            <w:shd w:val="clear" w:color="auto" w:fill="auto"/>
            <w:vAlign w:val="center"/>
          </w:tcPr>
          <w:p w14:paraId="7A441166" w14:textId="77777777" w:rsidR="00296471" w:rsidRPr="0019444B" w:rsidRDefault="00296471" w:rsidP="00CA022C">
            <w:pPr>
              <w:keepNext/>
              <w:keepLines/>
              <w:rPr>
                <w:rFonts w:ascii="Arial Narrow" w:hAnsi="Arial Narrow"/>
                <w:sz w:val="20"/>
                <w:szCs w:val="20"/>
              </w:rPr>
            </w:pPr>
            <w:r w:rsidRPr="0019444B">
              <w:rPr>
                <w:rFonts w:ascii="Arial Narrow" w:hAnsi="Arial Narrow"/>
                <w:color w:val="000000" w:themeColor="text1"/>
                <w:sz w:val="20"/>
                <w:szCs w:val="20"/>
              </w:rPr>
              <w:t>7 (3.9)</w:t>
            </w:r>
          </w:p>
        </w:tc>
        <w:tc>
          <w:tcPr>
            <w:tcW w:w="1134" w:type="dxa"/>
            <w:shd w:val="clear" w:color="auto" w:fill="auto"/>
            <w:vAlign w:val="center"/>
          </w:tcPr>
          <w:p w14:paraId="205C7B0E" w14:textId="77777777" w:rsidR="00296471" w:rsidRPr="0019444B" w:rsidRDefault="00296471" w:rsidP="00CA022C">
            <w:pPr>
              <w:keepNext/>
              <w:keepLines/>
              <w:rPr>
                <w:rFonts w:ascii="Arial Narrow" w:hAnsi="Arial Narrow"/>
                <w:sz w:val="20"/>
                <w:szCs w:val="20"/>
              </w:rPr>
            </w:pPr>
            <w:r w:rsidRPr="0019444B">
              <w:rPr>
                <w:rFonts w:ascii="Arial Narrow" w:hAnsi="Arial Narrow"/>
                <w:color w:val="000000" w:themeColor="text1"/>
                <w:sz w:val="20"/>
                <w:szCs w:val="20"/>
              </w:rPr>
              <w:t>17 (9.6)</w:t>
            </w:r>
          </w:p>
        </w:tc>
        <w:tc>
          <w:tcPr>
            <w:tcW w:w="1105" w:type="dxa"/>
            <w:shd w:val="clear" w:color="auto" w:fill="auto"/>
            <w:vAlign w:val="center"/>
          </w:tcPr>
          <w:p w14:paraId="16E98B73" w14:textId="77777777" w:rsidR="00296471" w:rsidRPr="0019444B" w:rsidRDefault="00296471" w:rsidP="00CA022C">
            <w:pPr>
              <w:keepNext/>
              <w:keepLines/>
              <w:rPr>
                <w:rFonts w:ascii="Arial Narrow" w:hAnsi="Arial Narrow"/>
                <w:sz w:val="20"/>
                <w:szCs w:val="20"/>
              </w:rPr>
            </w:pPr>
            <w:r w:rsidRPr="0019444B">
              <w:rPr>
                <w:rFonts w:ascii="Arial Narrow" w:hAnsi="Arial Narrow"/>
                <w:color w:val="000000" w:themeColor="text1"/>
                <w:sz w:val="20"/>
                <w:szCs w:val="20"/>
              </w:rPr>
              <w:t>8 (4.5)</w:t>
            </w:r>
          </w:p>
        </w:tc>
        <w:tc>
          <w:tcPr>
            <w:tcW w:w="1134" w:type="dxa"/>
            <w:shd w:val="clear" w:color="auto" w:fill="auto"/>
            <w:vAlign w:val="center"/>
          </w:tcPr>
          <w:p w14:paraId="18977992" w14:textId="77777777" w:rsidR="00296471" w:rsidRPr="0019444B" w:rsidRDefault="00296471" w:rsidP="00CA022C">
            <w:pPr>
              <w:keepNext/>
              <w:keepLines/>
              <w:rPr>
                <w:rFonts w:ascii="Arial Narrow" w:hAnsi="Arial Narrow"/>
                <w:sz w:val="20"/>
                <w:szCs w:val="20"/>
              </w:rPr>
            </w:pPr>
            <w:r w:rsidRPr="0019444B">
              <w:rPr>
                <w:rFonts w:ascii="Arial Narrow" w:hAnsi="Arial Narrow"/>
                <w:color w:val="000000" w:themeColor="text1"/>
                <w:sz w:val="20"/>
                <w:szCs w:val="20"/>
              </w:rPr>
              <w:t>6 (3.6)</w:t>
            </w:r>
          </w:p>
        </w:tc>
        <w:tc>
          <w:tcPr>
            <w:tcW w:w="1021" w:type="dxa"/>
            <w:shd w:val="clear" w:color="auto" w:fill="auto"/>
            <w:vAlign w:val="center"/>
          </w:tcPr>
          <w:p w14:paraId="061F91C3" w14:textId="77777777" w:rsidR="00296471" w:rsidRPr="0019444B" w:rsidRDefault="00296471" w:rsidP="00CA022C">
            <w:pPr>
              <w:keepNext/>
              <w:keepLines/>
              <w:rPr>
                <w:rFonts w:ascii="Arial Narrow" w:hAnsi="Arial Narrow"/>
                <w:sz w:val="20"/>
                <w:szCs w:val="20"/>
              </w:rPr>
            </w:pPr>
            <w:r w:rsidRPr="0019444B">
              <w:rPr>
                <w:rFonts w:ascii="Arial Narrow" w:hAnsi="Arial Narrow"/>
                <w:color w:val="000000" w:themeColor="text1"/>
                <w:sz w:val="20"/>
                <w:szCs w:val="20"/>
              </w:rPr>
              <w:t>5 (3.0)</w:t>
            </w:r>
          </w:p>
        </w:tc>
      </w:tr>
      <w:tr w:rsidR="00296471" w:rsidRPr="0019444B" w14:paraId="54ADDCA4" w14:textId="77777777" w:rsidTr="000D2BBF">
        <w:trPr>
          <w:cantSplit/>
        </w:trPr>
        <w:tc>
          <w:tcPr>
            <w:tcW w:w="2694" w:type="dxa"/>
            <w:shd w:val="clear" w:color="auto" w:fill="auto"/>
          </w:tcPr>
          <w:p w14:paraId="7CDB797C" w14:textId="77777777" w:rsidR="00296471" w:rsidRPr="0019444B" w:rsidRDefault="00296471" w:rsidP="00CA022C">
            <w:pPr>
              <w:keepNext/>
              <w:keepLines/>
              <w:rPr>
                <w:rFonts w:ascii="Arial Narrow" w:hAnsi="Arial Narrow"/>
                <w:sz w:val="20"/>
                <w:szCs w:val="20"/>
              </w:rPr>
            </w:pPr>
            <w:r w:rsidRPr="0019444B">
              <w:rPr>
                <w:rFonts w:ascii="Arial Narrow" w:hAnsi="Arial Narrow"/>
                <w:color w:val="000000" w:themeColor="text1"/>
                <w:sz w:val="20"/>
                <w:szCs w:val="20"/>
              </w:rPr>
              <w:t xml:space="preserve">Bleeding </w:t>
            </w:r>
          </w:p>
        </w:tc>
        <w:tc>
          <w:tcPr>
            <w:tcW w:w="1134" w:type="dxa"/>
            <w:shd w:val="clear" w:color="auto" w:fill="auto"/>
            <w:vAlign w:val="center"/>
          </w:tcPr>
          <w:p w14:paraId="0AD0817C" w14:textId="77777777" w:rsidR="00296471" w:rsidRPr="0019444B" w:rsidRDefault="00296471" w:rsidP="00CA022C">
            <w:pPr>
              <w:keepNext/>
              <w:keepLines/>
              <w:rPr>
                <w:rFonts w:ascii="Arial Narrow" w:hAnsi="Arial Narrow"/>
                <w:sz w:val="20"/>
                <w:szCs w:val="20"/>
              </w:rPr>
            </w:pPr>
            <w:r w:rsidRPr="0019444B">
              <w:rPr>
                <w:rFonts w:ascii="Arial Narrow" w:hAnsi="Arial Narrow"/>
                <w:color w:val="000000" w:themeColor="text1"/>
                <w:sz w:val="20"/>
                <w:szCs w:val="20"/>
              </w:rPr>
              <w:t>78 (43.6)</w:t>
            </w:r>
          </w:p>
        </w:tc>
        <w:tc>
          <w:tcPr>
            <w:tcW w:w="992" w:type="dxa"/>
            <w:shd w:val="clear" w:color="auto" w:fill="auto"/>
            <w:vAlign w:val="center"/>
          </w:tcPr>
          <w:p w14:paraId="7C043A33" w14:textId="77777777" w:rsidR="00296471" w:rsidRPr="0019444B" w:rsidRDefault="00296471" w:rsidP="00CA022C">
            <w:pPr>
              <w:keepNext/>
              <w:keepLines/>
              <w:rPr>
                <w:rFonts w:ascii="Arial Narrow" w:hAnsi="Arial Narrow"/>
                <w:sz w:val="20"/>
                <w:szCs w:val="20"/>
              </w:rPr>
            </w:pPr>
            <w:r w:rsidRPr="0019444B">
              <w:rPr>
                <w:rFonts w:ascii="Arial Narrow" w:hAnsi="Arial Narrow"/>
                <w:color w:val="000000" w:themeColor="text1"/>
                <w:sz w:val="20"/>
                <w:szCs w:val="20"/>
              </w:rPr>
              <w:t>6 (3.4)</w:t>
            </w:r>
          </w:p>
        </w:tc>
        <w:tc>
          <w:tcPr>
            <w:tcW w:w="1134" w:type="dxa"/>
            <w:shd w:val="clear" w:color="auto" w:fill="auto"/>
            <w:vAlign w:val="center"/>
          </w:tcPr>
          <w:p w14:paraId="4939B3A8" w14:textId="77777777" w:rsidR="00296471" w:rsidRPr="0019444B" w:rsidRDefault="00296471" w:rsidP="00CA022C">
            <w:pPr>
              <w:keepNext/>
              <w:keepLines/>
              <w:rPr>
                <w:rFonts w:ascii="Arial Narrow" w:hAnsi="Arial Narrow"/>
                <w:sz w:val="20"/>
                <w:szCs w:val="20"/>
              </w:rPr>
            </w:pPr>
            <w:r w:rsidRPr="0019444B">
              <w:rPr>
                <w:rFonts w:ascii="Arial Narrow" w:hAnsi="Arial Narrow"/>
                <w:color w:val="000000" w:themeColor="text1"/>
                <w:sz w:val="20"/>
                <w:szCs w:val="20"/>
              </w:rPr>
              <w:t>88 (49.4)</w:t>
            </w:r>
          </w:p>
        </w:tc>
        <w:tc>
          <w:tcPr>
            <w:tcW w:w="1105" w:type="dxa"/>
            <w:shd w:val="clear" w:color="auto" w:fill="auto"/>
            <w:vAlign w:val="center"/>
          </w:tcPr>
          <w:p w14:paraId="45AE1B0F" w14:textId="77777777" w:rsidR="00296471" w:rsidRPr="0019444B" w:rsidRDefault="00296471" w:rsidP="00CA022C">
            <w:pPr>
              <w:keepNext/>
              <w:keepLines/>
              <w:rPr>
                <w:rFonts w:ascii="Arial Narrow" w:hAnsi="Arial Narrow"/>
                <w:sz w:val="20"/>
                <w:szCs w:val="20"/>
              </w:rPr>
            </w:pPr>
            <w:r w:rsidRPr="0019444B">
              <w:rPr>
                <w:rFonts w:ascii="Arial Narrow" w:hAnsi="Arial Narrow"/>
                <w:color w:val="000000" w:themeColor="text1"/>
                <w:sz w:val="20"/>
                <w:szCs w:val="20"/>
              </w:rPr>
              <w:t>8 (4.5)</w:t>
            </w:r>
          </w:p>
        </w:tc>
        <w:tc>
          <w:tcPr>
            <w:tcW w:w="1134" w:type="dxa"/>
            <w:shd w:val="clear" w:color="auto" w:fill="auto"/>
            <w:vAlign w:val="center"/>
          </w:tcPr>
          <w:p w14:paraId="4350DEEC" w14:textId="77777777" w:rsidR="00296471" w:rsidRPr="0019444B" w:rsidRDefault="00296471" w:rsidP="00CA022C">
            <w:pPr>
              <w:keepNext/>
              <w:keepLines/>
              <w:rPr>
                <w:rFonts w:ascii="Arial Narrow" w:hAnsi="Arial Narrow"/>
                <w:sz w:val="20"/>
                <w:szCs w:val="20"/>
              </w:rPr>
            </w:pPr>
            <w:r w:rsidRPr="0019444B">
              <w:rPr>
                <w:rFonts w:ascii="Arial Narrow" w:hAnsi="Arial Narrow"/>
                <w:color w:val="000000" w:themeColor="text1"/>
                <w:sz w:val="20"/>
                <w:szCs w:val="20"/>
              </w:rPr>
              <w:t>20 (11.8)</w:t>
            </w:r>
          </w:p>
        </w:tc>
        <w:tc>
          <w:tcPr>
            <w:tcW w:w="1021" w:type="dxa"/>
            <w:shd w:val="clear" w:color="auto" w:fill="auto"/>
            <w:vAlign w:val="center"/>
          </w:tcPr>
          <w:p w14:paraId="1084E0B9" w14:textId="77777777" w:rsidR="00296471" w:rsidRPr="0019444B" w:rsidRDefault="00296471" w:rsidP="00CA022C">
            <w:pPr>
              <w:keepNext/>
              <w:keepLines/>
              <w:rPr>
                <w:rFonts w:ascii="Arial Narrow" w:hAnsi="Arial Narrow"/>
                <w:sz w:val="20"/>
                <w:szCs w:val="20"/>
              </w:rPr>
            </w:pPr>
            <w:r w:rsidRPr="0019444B">
              <w:rPr>
                <w:rFonts w:ascii="Arial Narrow" w:hAnsi="Arial Narrow"/>
                <w:color w:val="000000" w:themeColor="text1"/>
                <w:sz w:val="20"/>
                <w:szCs w:val="20"/>
              </w:rPr>
              <w:t>0</w:t>
            </w:r>
          </w:p>
        </w:tc>
      </w:tr>
      <w:tr w:rsidR="00296471" w:rsidRPr="0019444B" w14:paraId="732E596B" w14:textId="77777777" w:rsidTr="000D2BBF">
        <w:trPr>
          <w:cantSplit/>
        </w:trPr>
        <w:tc>
          <w:tcPr>
            <w:tcW w:w="2694" w:type="dxa"/>
            <w:shd w:val="clear" w:color="auto" w:fill="auto"/>
          </w:tcPr>
          <w:p w14:paraId="2CF66BB3" w14:textId="77777777" w:rsidR="00296471" w:rsidRPr="0019444B" w:rsidRDefault="00296471" w:rsidP="00CA022C">
            <w:pPr>
              <w:keepNext/>
              <w:keepLines/>
              <w:rPr>
                <w:rFonts w:ascii="Arial Narrow" w:hAnsi="Arial Narrow"/>
                <w:sz w:val="20"/>
                <w:szCs w:val="20"/>
              </w:rPr>
            </w:pPr>
            <w:r w:rsidRPr="0019444B">
              <w:rPr>
                <w:rFonts w:ascii="Arial Narrow" w:hAnsi="Arial Narrow"/>
                <w:color w:val="000000" w:themeColor="text1"/>
                <w:sz w:val="20"/>
                <w:szCs w:val="20"/>
              </w:rPr>
              <w:t xml:space="preserve">     Major bleeding</w:t>
            </w:r>
          </w:p>
        </w:tc>
        <w:tc>
          <w:tcPr>
            <w:tcW w:w="1134" w:type="dxa"/>
            <w:shd w:val="clear" w:color="auto" w:fill="auto"/>
            <w:vAlign w:val="center"/>
          </w:tcPr>
          <w:p w14:paraId="048E8FFE" w14:textId="77777777" w:rsidR="00296471" w:rsidRPr="0019444B" w:rsidRDefault="00296471" w:rsidP="00CA022C">
            <w:pPr>
              <w:keepNext/>
              <w:keepLines/>
              <w:rPr>
                <w:rFonts w:ascii="Arial Narrow" w:hAnsi="Arial Narrow"/>
                <w:sz w:val="20"/>
                <w:szCs w:val="20"/>
              </w:rPr>
            </w:pPr>
            <w:r w:rsidRPr="0019444B">
              <w:rPr>
                <w:rFonts w:ascii="Arial Narrow" w:hAnsi="Arial Narrow"/>
                <w:color w:val="000000" w:themeColor="text1"/>
                <w:sz w:val="20"/>
                <w:szCs w:val="20"/>
              </w:rPr>
              <w:t>8 (4.5)</w:t>
            </w:r>
          </w:p>
        </w:tc>
        <w:tc>
          <w:tcPr>
            <w:tcW w:w="992" w:type="dxa"/>
            <w:shd w:val="clear" w:color="auto" w:fill="auto"/>
            <w:vAlign w:val="center"/>
          </w:tcPr>
          <w:p w14:paraId="6C36AE34" w14:textId="77777777" w:rsidR="00296471" w:rsidRPr="0019444B" w:rsidRDefault="00296471" w:rsidP="00CA022C">
            <w:pPr>
              <w:keepNext/>
              <w:keepLines/>
              <w:rPr>
                <w:rFonts w:ascii="Arial Narrow" w:hAnsi="Arial Narrow"/>
                <w:sz w:val="20"/>
                <w:szCs w:val="20"/>
              </w:rPr>
            </w:pPr>
            <w:r w:rsidRPr="0019444B">
              <w:rPr>
                <w:rFonts w:ascii="Arial Narrow" w:hAnsi="Arial Narrow"/>
                <w:color w:val="000000" w:themeColor="text1"/>
                <w:sz w:val="20"/>
                <w:szCs w:val="20"/>
              </w:rPr>
              <w:t>6 (3.4)</w:t>
            </w:r>
          </w:p>
        </w:tc>
        <w:tc>
          <w:tcPr>
            <w:tcW w:w="1134" w:type="dxa"/>
            <w:shd w:val="clear" w:color="auto" w:fill="auto"/>
            <w:vAlign w:val="center"/>
          </w:tcPr>
          <w:p w14:paraId="08C6042B" w14:textId="77777777" w:rsidR="00296471" w:rsidRPr="0019444B" w:rsidRDefault="00296471" w:rsidP="00CA022C">
            <w:pPr>
              <w:keepNext/>
              <w:keepLines/>
              <w:rPr>
                <w:rFonts w:ascii="Arial Narrow" w:hAnsi="Arial Narrow"/>
                <w:sz w:val="20"/>
                <w:szCs w:val="20"/>
              </w:rPr>
            </w:pPr>
            <w:r w:rsidRPr="0019444B">
              <w:rPr>
                <w:rFonts w:ascii="Arial Narrow" w:hAnsi="Arial Narrow"/>
                <w:color w:val="000000" w:themeColor="text1"/>
                <w:sz w:val="20"/>
                <w:szCs w:val="20"/>
              </w:rPr>
              <w:t>12 (6.7)</w:t>
            </w:r>
          </w:p>
        </w:tc>
        <w:tc>
          <w:tcPr>
            <w:tcW w:w="1105" w:type="dxa"/>
            <w:shd w:val="clear" w:color="auto" w:fill="auto"/>
            <w:vAlign w:val="center"/>
          </w:tcPr>
          <w:p w14:paraId="2F9AA217" w14:textId="77777777" w:rsidR="00296471" w:rsidRPr="0019444B" w:rsidRDefault="00296471" w:rsidP="00CA022C">
            <w:pPr>
              <w:keepNext/>
              <w:keepLines/>
              <w:rPr>
                <w:rFonts w:ascii="Arial Narrow" w:hAnsi="Arial Narrow"/>
                <w:sz w:val="20"/>
                <w:szCs w:val="20"/>
              </w:rPr>
            </w:pPr>
            <w:r w:rsidRPr="0019444B">
              <w:rPr>
                <w:rFonts w:ascii="Arial Narrow" w:hAnsi="Arial Narrow"/>
                <w:color w:val="000000" w:themeColor="text1"/>
                <w:sz w:val="20"/>
                <w:szCs w:val="20"/>
              </w:rPr>
              <w:t>8 (4.5)</w:t>
            </w:r>
          </w:p>
        </w:tc>
        <w:tc>
          <w:tcPr>
            <w:tcW w:w="1134" w:type="dxa"/>
            <w:shd w:val="clear" w:color="auto" w:fill="auto"/>
            <w:vAlign w:val="center"/>
          </w:tcPr>
          <w:p w14:paraId="5A49163C" w14:textId="77777777" w:rsidR="00296471" w:rsidRPr="0019444B" w:rsidRDefault="00296471" w:rsidP="00CA022C">
            <w:pPr>
              <w:keepNext/>
              <w:keepLines/>
              <w:rPr>
                <w:rFonts w:ascii="Arial Narrow" w:hAnsi="Arial Narrow"/>
                <w:sz w:val="20"/>
                <w:szCs w:val="20"/>
              </w:rPr>
            </w:pPr>
            <w:r w:rsidRPr="0019444B">
              <w:rPr>
                <w:rFonts w:ascii="Arial Narrow" w:hAnsi="Arial Narrow"/>
                <w:color w:val="000000" w:themeColor="text1"/>
                <w:sz w:val="20"/>
                <w:szCs w:val="20"/>
              </w:rPr>
              <w:t>2 (1.2)</w:t>
            </w:r>
          </w:p>
        </w:tc>
        <w:tc>
          <w:tcPr>
            <w:tcW w:w="1021" w:type="dxa"/>
            <w:shd w:val="clear" w:color="auto" w:fill="auto"/>
            <w:vAlign w:val="center"/>
          </w:tcPr>
          <w:p w14:paraId="40E6D962" w14:textId="77777777" w:rsidR="00296471" w:rsidRPr="0019444B" w:rsidRDefault="00296471" w:rsidP="00CA022C">
            <w:pPr>
              <w:keepNext/>
              <w:keepLines/>
              <w:rPr>
                <w:rFonts w:ascii="Arial Narrow" w:hAnsi="Arial Narrow"/>
                <w:sz w:val="20"/>
                <w:szCs w:val="20"/>
              </w:rPr>
            </w:pPr>
            <w:r w:rsidRPr="0019444B">
              <w:rPr>
                <w:rFonts w:ascii="Arial Narrow" w:hAnsi="Arial Narrow"/>
                <w:color w:val="000000" w:themeColor="text1"/>
                <w:sz w:val="20"/>
                <w:szCs w:val="20"/>
              </w:rPr>
              <w:t>0</w:t>
            </w:r>
          </w:p>
        </w:tc>
      </w:tr>
      <w:tr w:rsidR="00296471" w:rsidRPr="0019444B" w14:paraId="1CF3FD10" w14:textId="77777777" w:rsidTr="000D2BBF">
        <w:trPr>
          <w:cantSplit/>
        </w:trPr>
        <w:tc>
          <w:tcPr>
            <w:tcW w:w="2694" w:type="dxa"/>
            <w:shd w:val="clear" w:color="auto" w:fill="auto"/>
          </w:tcPr>
          <w:p w14:paraId="54294F63" w14:textId="77777777" w:rsidR="00296471" w:rsidRPr="0019444B" w:rsidRDefault="00296471" w:rsidP="00CA022C">
            <w:pPr>
              <w:keepNext/>
              <w:keepLines/>
              <w:rPr>
                <w:rFonts w:ascii="Arial Narrow" w:hAnsi="Arial Narrow"/>
                <w:sz w:val="20"/>
                <w:szCs w:val="20"/>
              </w:rPr>
            </w:pPr>
            <w:r w:rsidRPr="0019444B">
              <w:rPr>
                <w:rFonts w:ascii="Arial Narrow" w:hAnsi="Arial Narrow"/>
                <w:color w:val="000000" w:themeColor="text1"/>
                <w:sz w:val="20"/>
                <w:szCs w:val="20"/>
              </w:rPr>
              <w:t>Infections</w:t>
            </w:r>
          </w:p>
        </w:tc>
        <w:tc>
          <w:tcPr>
            <w:tcW w:w="1134" w:type="dxa"/>
            <w:shd w:val="clear" w:color="auto" w:fill="auto"/>
            <w:vAlign w:val="center"/>
          </w:tcPr>
          <w:p w14:paraId="4FD769FF" w14:textId="77777777" w:rsidR="00296471" w:rsidRPr="0019444B" w:rsidRDefault="00296471" w:rsidP="00CA022C">
            <w:pPr>
              <w:keepNext/>
              <w:keepLines/>
              <w:rPr>
                <w:rFonts w:ascii="Arial Narrow" w:hAnsi="Arial Narrow"/>
                <w:sz w:val="20"/>
                <w:szCs w:val="20"/>
              </w:rPr>
            </w:pPr>
            <w:r w:rsidRPr="0019444B">
              <w:rPr>
                <w:rFonts w:ascii="Arial Narrow" w:hAnsi="Arial Narrow"/>
                <w:color w:val="000000" w:themeColor="text1"/>
                <w:sz w:val="20"/>
                <w:szCs w:val="20"/>
              </w:rPr>
              <w:t>135 (75.4)</w:t>
            </w:r>
          </w:p>
        </w:tc>
        <w:tc>
          <w:tcPr>
            <w:tcW w:w="992" w:type="dxa"/>
            <w:shd w:val="clear" w:color="auto" w:fill="auto"/>
            <w:vAlign w:val="center"/>
          </w:tcPr>
          <w:p w14:paraId="160A3E18" w14:textId="77777777" w:rsidR="00296471" w:rsidRPr="0019444B" w:rsidRDefault="00296471" w:rsidP="00CA022C">
            <w:pPr>
              <w:keepNext/>
              <w:keepLines/>
              <w:rPr>
                <w:rFonts w:ascii="Arial Narrow" w:hAnsi="Arial Narrow"/>
                <w:sz w:val="20"/>
                <w:szCs w:val="20"/>
              </w:rPr>
            </w:pPr>
            <w:r w:rsidRPr="0019444B">
              <w:rPr>
                <w:rFonts w:ascii="Arial Narrow" w:hAnsi="Arial Narrow"/>
                <w:color w:val="000000" w:themeColor="text1"/>
                <w:sz w:val="20"/>
                <w:szCs w:val="20"/>
              </w:rPr>
              <w:t>35 (19.6)</w:t>
            </w:r>
          </w:p>
        </w:tc>
        <w:tc>
          <w:tcPr>
            <w:tcW w:w="1134" w:type="dxa"/>
            <w:shd w:val="clear" w:color="auto" w:fill="auto"/>
            <w:vAlign w:val="center"/>
          </w:tcPr>
          <w:p w14:paraId="21FCEC1F" w14:textId="77777777" w:rsidR="00296471" w:rsidRPr="0019444B" w:rsidRDefault="00296471" w:rsidP="00CA022C">
            <w:pPr>
              <w:keepNext/>
              <w:keepLines/>
              <w:rPr>
                <w:rFonts w:ascii="Arial Narrow" w:hAnsi="Arial Narrow"/>
                <w:sz w:val="20"/>
                <w:szCs w:val="20"/>
              </w:rPr>
            </w:pPr>
            <w:r w:rsidRPr="0019444B">
              <w:rPr>
                <w:rFonts w:ascii="Arial Narrow" w:hAnsi="Arial Narrow"/>
                <w:color w:val="000000" w:themeColor="text1"/>
                <w:sz w:val="20"/>
                <w:szCs w:val="20"/>
              </w:rPr>
              <w:t>140 (78.7)</w:t>
            </w:r>
          </w:p>
        </w:tc>
        <w:tc>
          <w:tcPr>
            <w:tcW w:w="1105" w:type="dxa"/>
            <w:shd w:val="clear" w:color="auto" w:fill="auto"/>
            <w:vAlign w:val="center"/>
          </w:tcPr>
          <w:p w14:paraId="7EFB2D16" w14:textId="77777777" w:rsidR="00296471" w:rsidRPr="0019444B" w:rsidRDefault="00296471" w:rsidP="00CA022C">
            <w:pPr>
              <w:keepNext/>
              <w:keepLines/>
              <w:rPr>
                <w:rFonts w:ascii="Arial Narrow" w:hAnsi="Arial Narrow"/>
                <w:sz w:val="20"/>
                <w:szCs w:val="20"/>
              </w:rPr>
            </w:pPr>
            <w:r w:rsidRPr="0019444B">
              <w:rPr>
                <w:rFonts w:ascii="Arial Narrow" w:hAnsi="Arial Narrow"/>
                <w:color w:val="000000" w:themeColor="text1"/>
                <w:sz w:val="20"/>
                <w:szCs w:val="20"/>
              </w:rPr>
              <w:t>50 (28.1)</w:t>
            </w:r>
          </w:p>
        </w:tc>
        <w:tc>
          <w:tcPr>
            <w:tcW w:w="1134" w:type="dxa"/>
            <w:shd w:val="clear" w:color="auto" w:fill="auto"/>
            <w:vAlign w:val="center"/>
          </w:tcPr>
          <w:p w14:paraId="04FD9E4E" w14:textId="77777777" w:rsidR="00296471" w:rsidRPr="0019444B" w:rsidRDefault="00296471" w:rsidP="00CA022C">
            <w:pPr>
              <w:keepNext/>
              <w:keepLines/>
              <w:rPr>
                <w:rFonts w:ascii="Arial Narrow" w:hAnsi="Arial Narrow"/>
                <w:sz w:val="20"/>
                <w:szCs w:val="20"/>
              </w:rPr>
            </w:pPr>
            <w:r w:rsidRPr="0019444B">
              <w:rPr>
                <w:rFonts w:ascii="Arial Narrow" w:hAnsi="Arial Narrow"/>
                <w:color w:val="000000" w:themeColor="text1"/>
                <w:sz w:val="20"/>
                <w:szCs w:val="20"/>
              </w:rPr>
              <w:t>75 (44.4)</w:t>
            </w:r>
          </w:p>
        </w:tc>
        <w:tc>
          <w:tcPr>
            <w:tcW w:w="1021" w:type="dxa"/>
            <w:shd w:val="clear" w:color="auto" w:fill="auto"/>
            <w:vAlign w:val="center"/>
          </w:tcPr>
          <w:p w14:paraId="10AECCD0" w14:textId="77777777" w:rsidR="00296471" w:rsidRPr="0019444B" w:rsidRDefault="00296471" w:rsidP="00CA022C">
            <w:pPr>
              <w:keepNext/>
              <w:keepLines/>
              <w:rPr>
                <w:rFonts w:ascii="Arial Narrow" w:hAnsi="Arial Narrow"/>
                <w:sz w:val="20"/>
                <w:szCs w:val="20"/>
              </w:rPr>
            </w:pPr>
            <w:r w:rsidRPr="0019444B">
              <w:rPr>
                <w:rFonts w:ascii="Arial Narrow" w:hAnsi="Arial Narrow"/>
                <w:color w:val="000000" w:themeColor="text1"/>
                <w:sz w:val="20"/>
                <w:szCs w:val="20"/>
              </w:rPr>
              <w:t>14 (8.3)</w:t>
            </w:r>
          </w:p>
        </w:tc>
      </w:tr>
      <w:tr w:rsidR="00296471" w:rsidRPr="0019444B" w14:paraId="7BD8BC24" w14:textId="77777777" w:rsidTr="000D2BBF">
        <w:trPr>
          <w:cantSplit/>
        </w:trPr>
        <w:tc>
          <w:tcPr>
            <w:tcW w:w="2694" w:type="dxa"/>
            <w:shd w:val="clear" w:color="auto" w:fill="auto"/>
          </w:tcPr>
          <w:p w14:paraId="57401CD0" w14:textId="77777777" w:rsidR="00296471" w:rsidRPr="0019444B" w:rsidRDefault="00296471" w:rsidP="00CA022C">
            <w:pPr>
              <w:keepNext/>
              <w:keepLines/>
              <w:jc w:val="left"/>
              <w:rPr>
                <w:rFonts w:ascii="Arial Narrow" w:hAnsi="Arial Narrow"/>
                <w:sz w:val="19"/>
                <w:szCs w:val="19"/>
              </w:rPr>
            </w:pPr>
            <w:r w:rsidRPr="0019444B">
              <w:rPr>
                <w:rFonts w:ascii="Arial Narrow" w:hAnsi="Arial Narrow"/>
                <w:color w:val="000000" w:themeColor="text1"/>
                <w:sz w:val="20"/>
                <w:szCs w:val="20"/>
              </w:rPr>
              <w:t xml:space="preserve">Second primary malignancies* </w:t>
            </w:r>
          </w:p>
        </w:tc>
        <w:tc>
          <w:tcPr>
            <w:tcW w:w="1134" w:type="dxa"/>
            <w:shd w:val="clear" w:color="auto" w:fill="auto"/>
            <w:vAlign w:val="center"/>
          </w:tcPr>
          <w:p w14:paraId="519E34C6" w14:textId="77777777" w:rsidR="00296471" w:rsidRPr="0019444B" w:rsidRDefault="00296471" w:rsidP="00CA022C">
            <w:pPr>
              <w:keepNext/>
              <w:keepLines/>
              <w:rPr>
                <w:rFonts w:ascii="Arial Narrow" w:hAnsi="Arial Narrow"/>
                <w:sz w:val="20"/>
                <w:szCs w:val="20"/>
              </w:rPr>
            </w:pPr>
            <w:r w:rsidRPr="0019444B">
              <w:rPr>
                <w:rFonts w:ascii="Arial Narrow" w:hAnsi="Arial Narrow"/>
                <w:color w:val="000000" w:themeColor="text1"/>
                <w:sz w:val="20"/>
                <w:szCs w:val="20"/>
              </w:rPr>
              <w:t>17 (9.6)</w:t>
            </w:r>
          </w:p>
        </w:tc>
        <w:tc>
          <w:tcPr>
            <w:tcW w:w="992" w:type="dxa"/>
            <w:shd w:val="clear" w:color="auto" w:fill="auto"/>
            <w:vAlign w:val="center"/>
          </w:tcPr>
          <w:p w14:paraId="3D5B6845" w14:textId="77777777" w:rsidR="00296471" w:rsidRPr="0019444B" w:rsidRDefault="00296471" w:rsidP="00CA022C">
            <w:pPr>
              <w:keepNext/>
              <w:keepLines/>
              <w:rPr>
                <w:rFonts w:ascii="Arial Narrow" w:hAnsi="Arial Narrow"/>
                <w:sz w:val="20"/>
                <w:szCs w:val="20"/>
              </w:rPr>
            </w:pPr>
            <w:r w:rsidRPr="0019444B">
              <w:rPr>
                <w:rFonts w:ascii="Arial Narrow" w:hAnsi="Arial Narrow"/>
                <w:color w:val="000000" w:themeColor="text1"/>
                <w:sz w:val="20"/>
                <w:szCs w:val="20"/>
              </w:rPr>
              <w:t>12 (6.7)</w:t>
            </w:r>
          </w:p>
        </w:tc>
        <w:tc>
          <w:tcPr>
            <w:tcW w:w="1134" w:type="dxa"/>
            <w:shd w:val="clear" w:color="auto" w:fill="auto"/>
            <w:vAlign w:val="center"/>
          </w:tcPr>
          <w:p w14:paraId="76BBFED2" w14:textId="77777777" w:rsidR="00296471" w:rsidRPr="0019444B" w:rsidRDefault="00296471" w:rsidP="00CA022C">
            <w:pPr>
              <w:keepNext/>
              <w:keepLines/>
              <w:rPr>
                <w:rFonts w:ascii="Arial Narrow" w:hAnsi="Arial Narrow"/>
                <w:sz w:val="20"/>
                <w:szCs w:val="20"/>
              </w:rPr>
            </w:pPr>
            <w:r w:rsidRPr="0019444B">
              <w:rPr>
                <w:rFonts w:ascii="Arial Narrow" w:hAnsi="Arial Narrow"/>
                <w:color w:val="000000" w:themeColor="text1"/>
                <w:sz w:val="20"/>
                <w:szCs w:val="20"/>
              </w:rPr>
              <w:t>17 (9.6)</w:t>
            </w:r>
          </w:p>
        </w:tc>
        <w:tc>
          <w:tcPr>
            <w:tcW w:w="1105" w:type="dxa"/>
            <w:shd w:val="clear" w:color="auto" w:fill="auto"/>
            <w:vAlign w:val="center"/>
          </w:tcPr>
          <w:p w14:paraId="252BC3BD" w14:textId="77777777" w:rsidR="00296471" w:rsidRPr="0019444B" w:rsidRDefault="00296471" w:rsidP="00CA022C">
            <w:pPr>
              <w:keepNext/>
              <w:keepLines/>
              <w:rPr>
                <w:rFonts w:ascii="Arial Narrow" w:hAnsi="Arial Narrow"/>
                <w:sz w:val="20"/>
                <w:szCs w:val="20"/>
              </w:rPr>
            </w:pPr>
            <w:r w:rsidRPr="0019444B">
              <w:rPr>
                <w:rFonts w:ascii="Arial Narrow" w:hAnsi="Arial Narrow"/>
                <w:color w:val="000000" w:themeColor="text1"/>
                <w:sz w:val="20"/>
                <w:szCs w:val="20"/>
              </w:rPr>
              <w:t>12 (6.7)</w:t>
            </w:r>
          </w:p>
        </w:tc>
        <w:tc>
          <w:tcPr>
            <w:tcW w:w="1134" w:type="dxa"/>
            <w:shd w:val="clear" w:color="auto" w:fill="auto"/>
            <w:vAlign w:val="center"/>
          </w:tcPr>
          <w:p w14:paraId="1B00F078" w14:textId="77777777" w:rsidR="00296471" w:rsidRPr="0019444B" w:rsidRDefault="00296471" w:rsidP="00CA022C">
            <w:pPr>
              <w:keepNext/>
              <w:keepLines/>
              <w:rPr>
                <w:rFonts w:ascii="Arial Narrow" w:hAnsi="Arial Narrow"/>
                <w:sz w:val="20"/>
                <w:szCs w:val="20"/>
              </w:rPr>
            </w:pPr>
            <w:r w:rsidRPr="0019444B">
              <w:rPr>
                <w:rFonts w:ascii="Arial Narrow" w:hAnsi="Arial Narrow"/>
                <w:color w:val="000000" w:themeColor="text1"/>
                <w:sz w:val="20"/>
                <w:szCs w:val="20"/>
              </w:rPr>
              <w:t>3 (1.8)</w:t>
            </w:r>
          </w:p>
        </w:tc>
        <w:tc>
          <w:tcPr>
            <w:tcW w:w="1021" w:type="dxa"/>
            <w:shd w:val="clear" w:color="auto" w:fill="auto"/>
            <w:vAlign w:val="center"/>
          </w:tcPr>
          <w:p w14:paraId="0E15F806" w14:textId="77777777" w:rsidR="00296471" w:rsidRPr="0019444B" w:rsidRDefault="00296471" w:rsidP="00CA022C">
            <w:pPr>
              <w:keepNext/>
              <w:keepLines/>
              <w:rPr>
                <w:rFonts w:ascii="Arial Narrow" w:hAnsi="Arial Narrow"/>
                <w:sz w:val="20"/>
                <w:szCs w:val="20"/>
              </w:rPr>
            </w:pPr>
            <w:r w:rsidRPr="0019444B">
              <w:rPr>
                <w:rFonts w:ascii="Arial Narrow" w:hAnsi="Arial Narrow"/>
                <w:color w:val="000000" w:themeColor="text1"/>
                <w:sz w:val="20"/>
                <w:szCs w:val="20"/>
              </w:rPr>
              <w:t>2 (1.2)</w:t>
            </w:r>
          </w:p>
        </w:tc>
      </w:tr>
      <w:tr w:rsidR="00296471" w:rsidRPr="0019444B" w14:paraId="30FAFAA0" w14:textId="77777777" w:rsidTr="000D2BBF">
        <w:trPr>
          <w:cantSplit/>
        </w:trPr>
        <w:tc>
          <w:tcPr>
            <w:tcW w:w="9214" w:type="dxa"/>
            <w:gridSpan w:val="7"/>
            <w:shd w:val="clear" w:color="auto" w:fill="auto"/>
          </w:tcPr>
          <w:p w14:paraId="44B6B999" w14:textId="77777777" w:rsidR="00296471" w:rsidRPr="0019444B" w:rsidRDefault="00296471" w:rsidP="00CA022C">
            <w:pPr>
              <w:keepNext/>
              <w:keepLines/>
              <w:rPr>
                <w:rFonts w:ascii="Arial Narrow" w:hAnsi="Arial Narrow"/>
                <w:b/>
                <w:bCs/>
                <w:sz w:val="20"/>
                <w:szCs w:val="20"/>
              </w:rPr>
            </w:pPr>
            <w:bookmarkStart w:id="48" w:name="_Hlk131519555"/>
            <w:r w:rsidRPr="0019444B">
              <w:rPr>
                <w:rFonts w:ascii="Arial Narrow" w:hAnsi="Arial Narrow"/>
                <w:b/>
                <w:bCs/>
                <w:sz w:val="20"/>
                <w:szCs w:val="20"/>
              </w:rPr>
              <w:t>Serious adverse events, n (%)</w:t>
            </w:r>
          </w:p>
        </w:tc>
      </w:tr>
      <w:tr w:rsidR="00296471" w:rsidRPr="0019444B" w14:paraId="0DB51934" w14:textId="77777777" w:rsidTr="000D2BBF">
        <w:trPr>
          <w:cantSplit/>
        </w:trPr>
        <w:tc>
          <w:tcPr>
            <w:tcW w:w="2694" w:type="dxa"/>
            <w:shd w:val="clear" w:color="auto" w:fill="auto"/>
          </w:tcPr>
          <w:p w14:paraId="276D9003" w14:textId="16CC4CCB" w:rsidR="00296471" w:rsidRPr="0019444B" w:rsidRDefault="00296471" w:rsidP="00CA022C">
            <w:pPr>
              <w:keepNext/>
              <w:keepLines/>
              <w:rPr>
                <w:rFonts w:ascii="Arial Narrow" w:hAnsi="Arial Narrow"/>
                <w:sz w:val="20"/>
                <w:szCs w:val="20"/>
              </w:rPr>
            </w:pPr>
            <w:r w:rsidRPr="0019444B">
              <w:rPr>
                <w:rFonts w:ascii="Arial Narrow" w:hAnsi="Arial Narrow"/>
                <w:b/>
                <w:bCs/>
                <w:sz w:val="20"/>
                <w:szCs w:val="20"/>
              </w:rPr>
              <w:t>AEs Grades</w:t>
            </w:r>
          </w:p>
        </w:tc>
        <w:tc>
          <w:tcPr>
            <w:tcW w:w="1134" w:type="dxa"/>
            <w:shd w:val="clear" w:color="auto" w:fill="auto"/>
          </w:tcPr>
          <w:p w14:paraId="313A8C4C" w14:textId="77777777" w:rsidR="00296471" w:rsidRPr="0019444B" w:rsidRDefault="00296471" w:rsidP="00CA022C">
            <w:pPr>
              <w:keepNext/>
              <w:keepLines/>
              <w:rPr>
                <w:rFonts w:ascii="Arial Narrow" w:hAnsi="Arial Narrow"/>
                <w:sz w:val="20"/>
                <w:szCs w:val="20"/>
              </w:rPr>
            </w:pPr>
            <w:r w:rsidRPr="0019444B">
              <w:rPr>
                <w:rFonts w:ascii="Arial Narrow" w:hAnsi="Arial Narrow"/>
                <w:b/>
                <w:bCs/>
                <w:sz w:val="20"/>
                <w:szCs w:val="20"/>
              </w:rPr>
              <w:t>Any Grade</w:t>
            </w:r>
          </w:p>
        </w:tc>
        <w:tc>
          <w:tcPr>
            <w:tcW w:w="992" w:type="dxa"/>
            <w:shd w:val="clear" w:color="auto" w:fill="auto"/>
          </w:tcPr>
          <w:p w14:paraId="2E2504D8" w14:textId="77777777" w:rsidR="00296471" w:rsidRPr="0019444B" w:rsidRDefault="00296471" w:rsidP="00CA022C">
            <w:pPr>
              <w:keepNext/>
              <w:keepLines/>
              <w:rPr>
                <w:rFonts w:ascii="Arial Narrow" w:hAnsi="Arial Narrow"/>
                <w:sz w:val="20"/>
                <w:szCs w:val="20"/>
              </w:rPr>
            </w:pPr>
            <w:r w:rsidRPr="0019444B">
              <w:rPr>
                <w:rFonts w:ascii="Arial Narrow" w:hAnsi="Arial Narrow"/>
                <w:b/>
                <w:bCs/>
                <w:sz w:val="20"/>
                <w:szCs w:val="20"/>
              </w:rPr>
              <w:t>Grade ≥3</w:t>
            </w:r>
          </w:p>
        </w:tc>
        <w:tc>
          <w:tcPr>
            <w:tcW w:w="1134" w:type="dxa"/>
            <w:shd w:val="clear" w:color="auto" w:fill="auto"/>
          </w:tcPr>
          <w:p w14:paraId="5D37A603" w14:textId="77777777" w:rsidR="00296471" w:rsidRPr="0019444B" w:rsidRDefault="00296471" w:rsidP="00CA022C">
            <w:pPr>
              <w:keepNext/>
              <w:keepLines/>
              <w:rPr>
                <w:rFonts w:ascii="Arial Narrow" w:hAnsi="Arial Narrow"/>
                <w:sz w:val="20"/>
                <w:szCs w:val="20"/>
              </w:rPr>
            </w:pPr>
            <w:r w:rsidRPr="0019444B">
              <w:rPr>
                <w:rFonts w:ascii="Arial Narrow" w:hAnsi="Arial Narrow"/>
                <w:b/>
                <w:bCs/>
                <w:sz w:val="20"/>
                <w:szCs w:val="20"/>
              </w:rPr>
              <w:t>Any Grade</w:t>
            </w:r>
          </w:p>
        </w:tc>
        <w:tc>
          <w:tcPr>
            <w:tcW w:w="1105" w:type="dxa"/>
            <w:shd w:val="clear" w:color="auto" w:fill="auto"/>
          </w:tcPr>
          <w:p w14:paraId="3AE8AF3C" w14:textId="77777777" w:rsidR="00296471" w:rsidRPr="0019444B" w:rsidRDefault="00296471" w:rsidP="00CA022C">
            <w:pPr>
              <w:keepNext/>
              <w:keepLines/>
              <w:rPr>
                <w:rFonts w:ascii="Arial Narrow" w:hAnsi="Arial Narrow"/>
                <w:sz w:val="20"/>
                <w:szCs w:val="20"/>
              </w:rPr>
            </w:pPr>
            <w:r w:rsidRPr="0019444B">
              <w:rPr>
                <w:rFonts w:ascii="Arial Narrow" w:hAnsi="Arial Narrow"/>
                <w:b/>
                <w:bCs/>
                <w:sz w:val="20"/>
                <w:szCs w:val="20"/>
              </w:rPr>
              <w:t>Grade ≥3</w:t>
            </w:r>
          </w:p>
        </w:tc>
        <w:tc>
          <w:tcPr>
            <w:tcW w:w="1134" w:type="dxa"/>
            <w:shd w:val="clear" w:color="auto" w:fill="auto"/>
          </w:tcPr>
          <w:p w14:paraId="0B976B17" w14:textId="77777777" w:rsidR="00296471" w:rsidRPr="0019444B" w:rsidRDefault="00296471" w:rsidP="00CA022C">
            <w:pPr>
              <w:keepNext/>
              <w:keepLines/>
              <w:rPr>
                <w:rFonts w:ascii="Arial Narrow" w:hAnsi="Arial Narrow"/>
                <w:sz w:val="20"/>
                <w:szCs w:val="20"/>
              </w:rPr>
            </w:pPr>
            <w:r w:rsidRPr="0019444B">
              <w:rPr>
                <w:rFonts w:ascii="Arial Narrow" w:hAnsi="Arial Narrow"/>
                <w:b/>
                <w:bCs/>
                <w:sz w:val="20"/>
                <w:szCs w:val="20"/>
              </w:rPr>
              <w:t>Any Grade</w:t>
            </w:r>
          </w:p>
        </w:tc>
        <w:tc>
          <w:tcPr>
            <w:tcW w:w="1021" w:type="dxa"/>
            <w:shd w:val="clear" w:color="auto" w:fill="auto"/>
          </w:tcPr>
          <w:p w14:paraId="4AF4001C" w14:textId="77777777" w:rsidR="00296471" w:rsidRPr="0019444B" w:rsidRDefault="00296471" w:rsidP="00CA022C">
            <w:pPr>
              <w:keepNext/>
              <w:keepLines/>
              <w:rPr>
                <w:rFonts w:ascii="Arial Narrow" w:hAnsi="Arial Narrow"/>
                <w:sz w:val="20"/>
                <w:szCs w:val="20"/>
              </w:rPr>
            </w:pPr>
            <w:r w:rsidRPr="0019444B">
              <w:rPr>
                <w:rFonts w:ascii="Arial Narrow" w:hAnsi="Arial Narrow"/>
                <w:b/>
                <w:bCs/>
                <w:sz w:val="20"/>
                <w:szCs w:val="20"/>
              </w:rPr>
              <w:t>Grade ≥3</w:t>
            </w:r>
          </w:p>
        </w:tc>
      </w:tr>
      <w:tr w:rsidR="00296471" w:rsidRPr="0019444B" w14:paraId="631255D2" w14:textId="77777777" w:rsidTr="000D2BBF">
        <w:trPr>
          <w:cantSplit/>
        </w:trPr>
        <w:tc>
          <w:tcPr>
            <w:tcW w:w="2694" w:type="dxa"/>
            <w:shd w:val="clear" w:color="auto" w:fill="auto"/>
          </w:tcPr>
          <w:p w14:paraId="779489FF" w14:textId="77777777" w:rsidR="00296471" w:rsidRPr="0019444B" w:rsidRDefault="00296471" w:rsidP="00CA022C">
            <w:pPr>
              <w:keepNext/>
              <w:keepLines/>
              <w:rPr>
                <w:rFonts w:ascii="Arial Narrow" w:hAnsi="Arial Narrow"/>
                <w:b/>
                <w:bCs/>
                <w:sz w:val="20"/>
                <w:szCs w:val="20"/>
              </w:rPr>
            </w:pPr>
            <w:r w:rsidRPr="0019444B">
              <w:rPr>
                <w:rFonts w:ascii="Arial Narrow" w:hAnsi="Arial Narrow"/>
                <w:b/>
                <w:bCs/>
                <w:sz w:val="20"/>
                <w:szCs w:val="20"/>
              </w:rPr>
              <w:t>Subjects with ≥1 SAE</w:t>
            </w:r>
          </w:p>
        </w:tc>
        <w:tc>
          <w:tcPr>
            <w:tcW w:w="1134" w:type="dxa"/>
            <w:shd w:val="clear" w:color="auto" w:fill="auto"/>
          </w:tcPr>
          <w:p w14:paraId="187EFEFD"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77 (43.0)</w:t>
            </w:r>
          </w:p>
        </w:tc>
        <w:tc>
          <w:tcPr>
            <w:tcW w:w="992" w:type="dxa"/>
            <w:shd w:val="clear" w:color="auto" w:fill="auto"/>
          </w:tcPr>
          <w:p w14:paraId="5B08F36B"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72 (40.2)</w:t>
            </w:r>
          </w:p>
        </w:tc>
        <w:tc>
          <w:tcPr>
            <w:tcW w:w="1134" w:type="dxa"/>
            <w:shd w:val="clear" w:color="auto" w:fill="auto"/>
          </w:tcPr>
          <w:p w14:paraId="016F42F7"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95 (53.4)</w:t>
            </w:r>
          </w:p>
        </w:tc>
        <w:tc>
          <w:tcPr>
            <w:tcW w:w="1105" w:type="dxa"/>
            <w:shd w:val="clear" w:color="auto" w:fill="auto"/>
          </w:tcPr>
          <w:p w14:paraId="2468B135"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83 (46.6)</w:t>
            </w:r>
          </w:p>
        </w:tc>
        <w:tc>
          <w:tcPr>
            <w:tcW w:w="1134" w:type="dxa"/>
            <w:shd w:val="clear" w:color="auto" w:fill="auto"/>
          </w:tcPr>
          <w:p w14:paraId="5F630FED"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37 (21.9)</w:t>
            </w:r>
          </w:p>
        </w:tc>
        <w:tc>
          <w:tcPr>
            <w:tcW w:w="1021" w:type="dxa"/>
            <w:shd w:val="clear" w:color="auto" w:fill="auto"/>
          </w:tcPr>
          <w:p w14:paraId="7666DBFC"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33 (19.5)</w:t>
            </w:r>
          </w:p>
        </w:tc>
      </w:tr>
      <w:bookmarkEnd w:id="48"/>
      <w:tr w:rsidR="00296471" w:rsidRPr="0019444B" w14:paraId="1E039CF6" w14:textId="77777777" w:rsidTr="000D2BBF">
        <w:trPr>
          <w:cantSplit/>
        </w:trPr>
        <w:tc>
          <w:tcPr>
            <w:tcW w:w="2694" w:type="dxa"/>
            <w:shd w:val="clear" w:color="auto" w:fill="auto"/>
          </w:tcPr>
          <w:p w14:paraId="51733C1E"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Pneumonia</w:t>
            </w:r>
          </w:p>
        </w:tc>
        <w:tc>
          <w:tcPr>
            <w:tcW w:w="1134" w:type="dxa"/>
            <w:shd w:val="clear" w:color="auto" w:fill="auto"/>
          </w:tcPr>
          <w:p w14:paraId="4CD63B24"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11 (6.1)</w:t>
            </w:r>
          </w:p>
        </w:tc>
        <w:tc>
          <w:tcPr>
            <w:tcW w:w="992" w:type="dxa"/>
            <w:shd w:val="clear" w:color="auto" w:fill="auto"/>
          </w:tcPr>
          <w:p w14:paraId="51A7B1AA"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10 (5.6)</w:t>
            </w:r>
          </w:p>
        </w:tc>
        <w:tc>
          <w:tcPr>
            <w:tcW w:w="1134" w:type="dxa"/>
            <w:shd w:val="clear" w:color="auto" w:fill="auto"/>
          </w:tcPr>
          <w:p w14:paraId="29579B94"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12 (6.7)</w:t>
            </w:r>
          </w:p>
        </w:tc>
        <w:tc>
          <w:tcPr>
            <w:tcW w:w="1105" w:type="dxa"/>
            <w:shd w:val="clear" w:color="auto" w:fill="auto"/>
          </w:tcPr>
          <w:p w14:paraId="20F847EC"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8 (4.5)</w:t>
            </w:r>
          </w:p>
        </w:tc>
        <w:tc>
          <w:tcPr>
            <w:tcW w:w="1134" w:type="dxa"/>
            <w:shd w:val="clear" w:color="auto" w:fill="auto"/>
          </w:tcPr>
          <w:p w14:paraId="6FEBE353"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3 (1.8)</w:t>
            </w:r>
          </w:p>
        </w:tc>
        <w:tc>
          <w:tcPr>
            <w:tcW w:w="1021" w:type="dxa"/>
            <w:shd w:val="clear" w:color="auto" w:fill="auto"/>
          </w:tcPr>
          <w:p w14:paraId="477CE901"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3 (1.8)</w:t>
            </w:r>
          </w:p>
        </w:tc>
      </w:tr>
      <w:tr w:rsidR="00296471" w:rsidRPr="0019444B" w14:paraId="3570CB4F" w14:textId="77777777" w:rsidTr="000D2BBF">
        <w:trPr>
          <w:cantSplit/>
        </w:trPr>
        <w:tc>
          <w:tcPr>
            <w:tcW w:w="2694" w:type="dxa"/>
            <w:shd w:val="clear" w:color="auto" w:fill="auto"/>
          </w:tcPr>
          <w:p w14:paraId="0BA95BCB"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COVID-19</w:t>
            </w:r>
          </w:p>
        </w:tc>
        <w:tc>
          <w:tcPr>
            <w:tcW w:w="1134" w:type="dxa"/>
            <w:shd w:val="clear" w:color="auto" w:fill="auto"/>
          </w:tcPr>
          <w:p w14:paraId="7B3326BA"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4 (2.2)</w:t>
            </w:r>
          </w:p>
        </w:tc>
        <w:tc>
          <w:tcPr>
            <w:tcW w:w="992" w:type="dxa"/>
            <w:shd w:val="clear" w:color="auto" w:fill="auto"/>
          </w:tcPr>
          <w:p w14:paraId="74619F4F"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2 (1.1)</w:t>
            </w:r>
          </w:p>
        </w:tc>
        <w:tc>
          <w:tcPr>
            <w:tcW w:w="1134" w:type="dxa"/>
            <w:shd w:val="clear" w:color="auto" w:fill="auto"/>
          </w:tcPr>
          <w:p w14:paraId="60298FB6"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7 (3.9)</w:t>
            </w:r>
          </w:p>
        </w:tc>
        <w:tc>
          <w:tcPr>
            <w:tcW w:w="1105" w:type="dxa"/>
            <w:shd w:val="clear" w:color="auto" w:fill="auto"/>
          </w:tcPr>
          <w:p w14:paraId="357B1641"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7 (3.9)</w:t>
            </w:r>
          </w:p>
        </w:tc>
        <w:tc>
          <w:tcPr>
            <w:tcW w:w="1134" w:type="dxa"/>
            <w:shd w:val="clear" w:color="auto" w:fill="auto"/>
          </w:tcPr>
          <w:p w14:paraId="4E118CFC"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0</w:t>
            </w:r>
          </w:p>
        </w:tc>
        <w:tc>
          <w:tcPr>
            <w:tcW w:w="1021" w:type="dxa"/>
            <w:shd w:val="clear" w:color="auto" w:fill="auto"/>
          </w:tcPr>
          <w:p w14:paraId="125A836E"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0</w:t>
            </w:r>
          </w:p>
        </w:tc>
      </w:tr>
      <w:tr w:rsidR="00296471" w:rsidRPr="0019444B" w14:paraId="6DEC69B8" w14:textId="77777777" w:rsidTr="000D2BBF">
        <w:trPr>
          <w:cantSplit/>
        </w:trPr>
        <w:tc>
          <w:tcPr>
            <w:tcW w:w="2694" w:type="dxa"/>
            <w:shd w:val="clear" w:color="auto" w:fill="auto"/>
          </w:tcPr>
          <w:p w14:paraId="43345FF4"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Infusion-related reaction</w:t>
            </w:r>
          </w:p>
        </w:tc>
        <w:tc>
          <w:tcPr>
            <w:tcW w:w="1134" w:type="dxa"/>
            <w:shd w:val="clear" w:color="auto" w:fill="auto"/>
          </w:tcPr>
          <w:p w14:paraId="4B51EDB4"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0</w:t>
            </w:r>
          </w:p>
        </w:tc>
        <w:tc>
          <w:tcPr>
            <w:tcW w:w="992" w:type="dxa"/>
            <w:shd w:val="clear" w:color="auto" w:fill="auto"/>
          </w:tcPr>
          <w:p w14:paraId="2118F8F8"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0</w:t>
            </w:r>
          </w:p>
        </w:tc>
        <w:tc>
          <w:tcPr>
            <w:tcW w:w="1134" w:type="dxa"/>
            <w:shd w:val="clear" w:color="auto" w:fill="auto"/>
          </w:tcPr>
          <w:p w14:paraId="56140F1E"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4 (2.2)</w:t>
            </w:r>
          </w:p>
        </w:tc>
        <w:tc>
          <w:tcPr>
            <w:tcW w:w="1105" w:type="dxa"/>
            <w:shd w:val="clear" w:color="auto" w:fill="auto"/>
          </w:tcPr>
          <w:p w14:paraId="5A94E79C"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3 (1.7)</w:t>
            </w:r>
          </w:p>
        </w:tc>
        <w:tc>
          <w:tcPr>
            <w:tcW w:w="1134" w:type="dxa"/>
            <w:shd w:val="clear" w:color="auto" w:fill="auto"/>
          </w:tcPr>
          <w:p w14:paraId="1D86333A"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2 (1.2)</w:t>
            </w:r>
          </w:p>
        </w:tc>
        <w:tc>
          <w:tcPr>
            <w:tcW w:w="1021" w:type="dxa"/>
            <w:shd w:val="clear" w:color="auto" w:fill="auto"/>
          </w:tcPr>
          <w:p w14:paraId="4067EC98"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2 (1.2)</w:t>
            </w:r>
          </w:p>
        </w:tc>
      </w:tr>
      <w:tr w:rsidR="00296471" w:rsidRPr="0019444B" w14:paraId="39D566D9" w14:textId="77777777" w:rsidTr="000D2BBF">
        <w:trPr>
          <w:cantSplit/>
        </w:trPr>
        <w:tc>
          <w:tcPr>
            <w:tcW w:w="2694" w:type="dxa"/>
            <w:shd w:val="clear" w:color="auto" w:fill="auto"/>
          </w:tcPr>
          <w:p w14:paraId="21A0A444"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Anaemia</w:t>
            </w:r>
          </w:p>
        </w:tc>
        <w:tc>
          <w:tcPr>
            <w:tcW w:w="1134" w:type="dxa"/>
            <w:shd w:val="clear" w:color="auto" w:fill="auto"/>
          </w:tcPr>
          <w:p w14:paraId="2ACA9840"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5 (2.8)</w:t>
            </w:r>
          </w:p>
        </w:tc>
        <w:tc>
          <w:tcPr>
            <w:tcW w:w="992" w:type="dxa"/>
            <w:shd w:val="clear" w:color="auto" w:fill="auto"/>
          </w:tcPr>
          <w:p w14:paraId="393F9708"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5 (2.8)</w:t>
            </w:r>
          </w:p>
        </w:tc>
        <w:tc>
          <w:tcPr>
            <w:tcW w:w="1134" w:type="dxa"/>
            <w:shd w:val="clear" w:color="auto" w:fill="auto"/>
          </w:tcPr>
          <w:p w14:paraId="5791E832"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3 (1.7)</w:t>
            </w:r>
          </w:p>
        </w:tc>
        <w:tc>
          <w:tcPr>
            <w:tcW w:w="1105" w:type="dxa"/>
            <w:shd w:val="clear" w:color="auto" w:fill="auto"/>
          </w:tcPr>
          <w:p w14:paraId="13859B49"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3 (1.7)</w:t>
            </w:r>
          </w:p>
        </w:tc>
        <w:tc>
          <w:tcPr>
            <w:tcW w:w="1134" w:type="dxa"/>
            <w:shd w:val="clear" w:color="auto" w:fill="auto"/>
          </w:tcPr>
          <w:p w14:paraId="07A30030"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0</w:t>
            </w:r>
          </w:p>
        </w:tc>
        <w:tc>
          <w:tcPr>
            <w:tcW w:w="1021" w:type="dxa"/>
            <w:shd w:val="clear" w:color="auto" w:fill="auto"/>
          </w:tcPr>
          <w:p w14:paraId="134ADB8D"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0</w:t>
            </w:r>
          </w:p>
        </w:tc>
      </w:tr>
      <w:tr w:rsidR="00296471" w:rsidRPr="0019444B" w14:paraId="2ED63382" w14:textId="77777777" w:rsidTr="000D2BBF">
        <w:trPr>
          <w:cantSplit/>
          <w:trHeight w:val="64"/>
        </w:trPr>
        <w:tc>
          <w:tcPr>
            <w:tcW w:w="2694" w:type="dxa"/>
            <w:shd w:val="clear" w:color="auto" w:fill="auto"/>
          </w:tcPr>
          <w:p w14:paraId="4AD75644"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Febrile neutropenia</w:t>
            </w:r>
          </w:p>
        </w:tc>
        <w:tc>
          <w:tcPr>
            <w:tcW w:w="1134" w:type="dxa"/>
            <w:shd w:val="clear" w:color="auto" w:fill="auto"/>
          </w:tcPr>
          <w:p w14:paraId="42155AD3"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2 (1.1)</w:t>
            </w:r>
          </w:p>
        </w:tc>
        <w:tc>
          <w:tcPr>
            <w:tcW w:w="992" w:type="dxa"/>
            <w:shd w:val="clear" w:color="auto" w:fill="auto"/>
          </w:tcPr>
          <w:p w14:paraId="484A2E9D"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2 (1.1)</w:t>
            </w:r>
          </w:p>
        </w:tc>
        <w:tc>
          <w:tcPr>
            <w:tcW w:w="1134" w:type="dxa"/>
            <w:shd w:val="clear" w:color="auto" w:fill="auto"/>
          </w:tcPr>
          <w:p w14:paraId="60EB0E55"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3 (1.7)</w:t>
            </w:r>
          </w:p>
        </w:tc>
        <w:tc>
          <w:tcPr>
            <w:tcW w:w="1105" w:type="dxa"/>
            <w:shd w:val="clear" w:color="auto" w:fill="auto"/>
          </w:tcPr>
          <w:p w14:paraId="3491AFCA"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3 (1.7)</w:t>
            </w:r>
          </w:p>
        </w:tc>
        <w:tc>
          <w:tcPr>
            <w:tcW w:w="1134" w:type="dxa"/>
            <w:shd w:val="clear" w:color="auto" w:fill="auto"/>
          </w:tcPr>
          <w:p w14:paraId="5411BB36"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7 (4.1)</w:t>
            </w:r>
          </w:p>
        </w:tc>
        <w:tc>
          <w:tcPr>
            <w:tcW w:w="1021" w:type="dxa"/>
            <w:shd w:val="clear" w:color="auto" w:fill="auto"/>
          </w:tcPr>
          <w:p w14:paraId="4747F6DC"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7 (4.1)</w:t>
            </w:r>
          </w:p>
        </w:tc>
      </w:tr>
      <w:tr w:rsidR="00296471" w:rsidRPr="0019444B" w14:paraId="14FB37F5" w14:textId="77777777" w:rsidTr="000D2BBF">
        <w:trPr>
          <w:cantSplit/>
          <w:trHeight w:val="64"/>
        </w:trPr>
        <w:tc>
          <w:tcPr>
            <w:tcW w:w="2694" w:type="dxa"/>
            <w:shd w:val="clear" w:color="auto" w:fill="auto"/>
          </w:tcPr>
          <w:p w14:paraId="6A82D70B"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Dyspnoea</w:t>
            </w:r>
          </w:p>
        </w:tc>
        <w:tc>
          <w:tcPr>
            <w:tcW w:w="1134" w:type="dxa"/>
            <w:shd w:val="clear" w:color="auto" w:fill="auto"/>
          </w:tcPr>
          <w:p w14:paraId="3880B283"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4 (2.2)</w:t>
            </w:r>
          </w:p>
        </w:tc>
        <w:tc>
          <w:tcPr>
            <w:tcW w:w="992" w:type="dxa"/>
            <w:shd w:val="clear" w:color="auto" w:fill="auto"/>
          </w:tcPr>
          <w:p w14:paraId="3C4D2C8C"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4 (2.2)</w:t>
            </w:r>
          </w:p>
        </w:tc>
        <w:tc>
          <w:tcPr>
            <w:tcW w:w="1134" w:type="dxa"/>
            <w:shd w:val="clear" w:color="auto" w:fill="auto"/>
          </w:tcPr>
          <w:p w14:paraId="77B2D258"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1 (0.6)</w:t>
            </w:r>
          </w:p>
        </w:tc>
        <w:tc>
          <w:tcPr>
            <w:tcW w:w="1105" w:type="dxa"/>
            <w:shd w:val="clear" w:color="auto" w:fill="auto"/>
          </w:tcPr>
          <w:p w14:paraId="223C71DB"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1 (0.6)</w:t>
            </w:r>
          </w:p>
        </w:tc>
        <w:tc>
          <w:tcPr>
            <w:tcW w:w="1134" w:type="dxa"/>
            <w:shd w:val="clear" w:color="auto" w:fill="auto"/>
          </w:tcPr>
          <w:p w14:paraId="03E8AA04"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1 (0.6)</w:t>
            </w:r>
          </w:p>
        </w:tc>
        <w:tc>
          <w:tcPr>
            <w:tcW w:w="1021" w:type="dxa"/>
            <w:shd w:val="clear" w:color="auto" w:fill="auto"/>
          </w:tcPr>
          <w:p w14:paraId="0FCF0B8F"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1 (0.6)</w:t>
            </w:r>
          </w:p>
        </w:tc>
      </w:tr>
      <w:tr w:rsidR="00296471" w:rsidRPr="0019444B" w14:paraId="5E2CFDA4" w14:textId="77777777" w:rsidTr="000D2BBF">
        <w:trPr>
          <w:cantSplit/>
          <w:trHeight w:val="64"/>
        </w:trPr>
        <w:tc>
          <w:tcPr>
            <w:tcW w:w="2694" w:type="dxa"/>
            <w:shd w:val="clear" w:color="auto" w:fill="auto"/>
          </w:tcPr>
          <w:p w14:paraId="049E5EAA"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Respiratory tract infection</w:t>
            </w:r>
          </w:p>
        </w:tc>
        <w:tc>
          <w:tcPr>
            <w:tcW w:w="1134" w:type="dxa"/>
            <w:shd w:val="clear" w:color="auto" w:fill="auto"/>
          </w:tcPr>
          <w:p w14:paraId="4AA25D20"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4 (2.2)</w:t>
            </w:r>
          </w:p>
        </w:tc>
        <w:tc>
          <w:tcPr>
            <w:tcW w:w="992" w:type="dxa"/>
            <w:shd w:val="clear" w:color="auto" w:fill="auto"/>
          </w:tcPr>
          <w:p w14:paraId="51DB6566"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4 (2.2)</w:t>
            </w:r>
          </w:p>
        </w:tc>
        <w:tc>
          <w:tcPr>
            <w:tcW w:w="1134" w:type="dxa"/>
            <w:shd w:val="clear" w:color="auto" w:fill="auto"/>
          </w:tcPr>
          <w:p w14:paraId="68CDCC8C"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1 (0.6)</w:t>
            </w:r>
          </w:p>
        </w:tc>
        <w:tc>
          <w:tcPr>
            <w:tcW w:w="1105" w:type="dxa"/>
            <w:shd w:val="clear" w:color="auto" w:fill="auto"/>
          </w:tcPr>
          <w:p w14:paraId="3A2D168A"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1 (0.6)</w:t>
            </w:r>
          </w:p>
        </w:tc>
        <w:tc>
          <w:tcPr>
            <w:tcW w:w="1134" w:type="dxa"/>
            <w:shd w:val="clear" w:color="auto" w:fill="auto"/>
          </w:tcPr>
          <w:p w14:paraId="6EC67363"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1 (0.6)</w:t>
            </w:r>
          </w:p>
        </w:tc>
        <w:tc>
          <w:tcPr>
            <w:tcW w:w="1021" w:type="dxa"/>
            <w:shd w:val="clear" w:color="auto" w:fill="auto"/>
          </w:tcPr>
          <w:p w14:paraId="4E459333"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1 (0.6)</w:t>
            </w:r>
          </w:p>
        </w:tc>
      </w:tr>
      <w:tr w:rsidR="00296471" w:rsidRPr="0019444B" w14:paraId="4E164550" w14:textId="77777777" w:rsidTr="000D2BBF">
        <w:trPr>
          <w:cantSplit/>
        </w:trPr>
        <w:tc>
          <w:tcPr>
            <w:tcW w:w="2694" w:type="dxa"/>
            <w:shd w:val="clear" w:color="auto" w:fill="auto"/>
          </w:tcPr>
          <w:p w14:paraId="7F0B6EEA"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Tumour lysis syndrome</w:t>
            </w:r>
          </w:p>
        </w:tc>
        <w:tc>
          <w:tcPr>
            <w:tcW w:w="1134" w:type="dxa"/>
            <w:shd w:val="clear" w:color="auto" w:fill="auto"/>
          </w:tcPr>
          <w:p w14:paraId="74AB0E40"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0</w:t>
            </w:r>
          </w:p>
        </w:tc>
        <w:tc>
          <w:tcPr>
            <w:tcW w:w="992" w:type="dxa"/>
            <w:shd w:val="clear" w:color="auto" w:fill="auto"/>
          </w:tcPr>
          <w:p w14:paraId="614EA835"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0</w:t>
            </w:r>
          </w:p>
        </w:tc>
        <w:tc>
          <w:tcPr>
            <w:tcW w:w="1134" w:type="dxa"/>
            <w:shd w:val="clear" w:color="auto" w:fill="auto"/>
          </w:tcPr>
          <w:p w14:paraId="2197D5F1"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1 (0.6)</w:t>
            </w:r>
          </w:p>
        </w:tc>
        <w:tc>
          <w:tcPr>
            <w:tcW w:w="1105" w:type="dxa"/>
            <w:shd w:val="clear" w:color="auto" w:fill="auto"/>
          </w:tcPr>
          <w:p w14:paraId="58F74C7A"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1 (0.6)</w:t>
            </w:r>
          </w:p>
        </w:tc>
        <w:tc>
          <w:tcPr>
            <w:tcW w:w="1134" w:type="dxa"/>
            <w:shd w:val="clear" w:color="auto" w:fill="auto"/>
          </w:tcPr>
          <w:p w14:paraId="223DBA91"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8 (4.7)</w:t>
            </w:r>
          </w:p>
        </w:tc>
        <w:tc>
          <w:tcPr>
            <w:tcW w:w="1021" w:type="dxa"/>
            <w:shd w:val="clear" w:color="auto" w:fill="auto"/>
          </w:tcPr>
          <w:p w14:paraId="352B02C6" w14:textId="77777777" w:rsidR="00296471" w:rsidRPr="0019444B" w:rsidRDefault="00296471" w:rsidP="00CA022C">
            <w:pPr>
              <w:keepNext/>
              <w:keepLines/>
              <w:rPr>
                <w:rFonts w:ascii="Arial Narrow" w:hAnsi="Arial Narrow"/>
                <w:sz w:val="20"/>
                <w:szCs w:val="20"/>
              </w:rPr>
            </w:pPr>
            <w:r w:rsidRPr="0019444B">
              <w:rPr>
                <w:rFonts w:ascii="Arial Narrow" w:hAnsi="Arial Narrow"/>
                <w:sz w:val="20"/>
                <w:szCs w:val="20"/>
              </w:rPr>
              <w:t>8 (4.7)</w:t>
            </w:r>
          </w:p>
        </w:tc>
      </w:tr>
    </w:tbl>
    <w:p w14:paraId="476DF0AB" w14:textId="77777777" w:rsidR="00296471" w:rsidRPr="0019444B" w:rsidRDefault="00296471" w:rsidP="00CA022C">
      <w:pPr>
        <w:pStyle w:val="FooterTableFigure"/>
        <w:keepNext/>
        <w:keepLines/>
        <w:ind w:right="-143"/>
        <w:rPr>
          <w:szCs w:val="18"/>
        </w:rPr>
      </w:pPr>
      <w:r w:rsidRPr="0019444B">
        <w:rPr>
          <w:szCs w:val="18"/>
        </w:rPr>
        <w:t>Source: Table 2.53, p.153, Table 2.58, p.157, Table 2.61, p.159, Table 2.66, pp.164-165, Table 2.568 p.167, Table 2.71, p.170, Table 2.74, p.174, Table 2.79, p.177 of the resubmission.</w:t>
      </w:r>
    </w:p>
    <w:p w14:paraId="5FB6AB75" w14:textId="22E30E89" w:rsidR="00296471" w:rsidRPr="00012B7C" w:rsidRDefault="00296471" w:rsidP="00CA022C">
      <w:pPr>
        <w:pStyle w:val="FooterTableFigure"/>
        <w:keepNext/>
        <w:keepLines/>
        <w:ind w:right="-143"/>
        <w:rPr>
          <w:rFonts w:eastAsia="Calibri"/>
          <w:szCs w:val="18"/>
        </w:rPr>
      </w:pPr>
      <w:r w:rsidRPr="00012B7C">
        <w:rPr>
          <w:rFonts w:eastAsia="Calibri"/>
          <w:szCs w:val="18"/>
        </w:rPr>
        <w:t>ACA</w:t>
      </w:r>
      <w:r w:rsidR="00507A59" w:rsidRPr="00012B7C">
        <w:rPr>
          <w:rFonts w:eastAsia="Calibri"/>
          <w:szCs w:val="18"/>
        </w:rPr>
        <w:t xml:space="preserve"> </w:t>
      </w:r>
      <w:r w:rsidRPr="00012B7C">
        <w:rPr>
          <w:rFonts w:eastAsia="Calibri"/>
          <w:szCs w:val="18"/>
        </w:rPr>
        <w:t>=</w:t>
      </w:r>
      <w:r w:rsidR="00507A59" w:rsidRPr="00012B7C">
        <w:rPr>
          <w:rFonts w:eastAsia="Calibri"/>
          <w:szCs w:val="18"/>
        </w:rPr>
        <w:t xml:space="preserve"> </w:t>
      </w:r>
      <w:r w:rsidRPr="00012B7C">
        <w:rPr>
          <w:rFonts w:eastAsia="Calibri"/>
          <w:szCs w:val="18"/>
        </w:rPr>
        <w:t xml:space="preserve">acalabrutinib, </w:t>
      </w:r>
      <w:r w:rsidR="00507A59" w:rsidRPr="00012B7C">
        <w:rPr>
          <w:rFonts w:eastAsia="Calibri"/>
          <w:szCs w:val="18"/>
        </w:rPr>
        <w:t xml:space="preserve">AEs = adverse events, </w:t>
      </w:r>
      <w:r w:rsidRPr="00012B7C">
        <w:rPr>
          <w:rFonts w:eastAsia="Calibri"/>
          <w:szCs w:val="18"/>
        </w:rPr>
        <w:t>CHL</w:t>
      </w:r>
      <w:r w:rsidR="00507A59" w:rsidRPr="00012B7C">
        <w:rPr>
          <w:rFonts w:eastAsia="Calibri"/>
          <w:szCs w:val="18"/>
        </w:rPr>
        <w:t xml:space="preserve"> </w:t>
      </w:r>
      <w:r w:rsidRPr="00012B7C">
        <w:rPr>
          <w:rFonts w:eastAsia="Calibri"/>
          <w:szCs w:val="18"/>
        </w:rPr>
        <w:t>=</w:t>
      </w:r>
      <w:r w:rsidR="00507A59" w:rsidRPr="00012B7C">
        <w:rPr>
          <w:rFonts w:eastAsia="Calibri"/>
          <w:szCs w:val="18"/>
        </w:rPr>
        <w:t xml:space="preserve"> </w:t>
      </w:r>
      <w:r w:rsidRPr="00012B7C">
        <w:rPr>
          <w:rFonts w:eastAsia="Calibri"/>
          <w:szCs w:val="18"/>
        </w:rPr>
        <w:t>chlorambucil, OBIN</w:t>
      </w:r>
      <w:r w:rsidR="00507A59" w:rsidRPr="00012B7C">
        <w:rPr>
          <w:rFonts w:eastAsia="Calibri"/>
          <w:szCs w:val="18"/>
        </w:rPr>
        <w:t xml:space="preserve"> </w:t>
      </w:r>
      <w:r w:rsidRPr="00012B7C">
        <w:rPr>
          <w:rFonts w:eastAsia="Calibri"/>
          <w:szCs w:val="18"/>
        </w:rPr>
        <w:t xml:space="preserve">= obinutuzumab, </w:t>
      </w:r>
      <w:r w:rsidR="00507A59" w:rsidRPr="00012B7C">
        <w:rPr>
          <w:rFonts w:eastAsia="Calibri"/>
          <w:szCs w:val="18"/>
        </w:rPr>
        <w:t xml:space="preserve">SAE = serious adverse event, </w:t>
      </w:r>
      <w:r w:rsidRPr="00012B7C">
        <w:rPr>
          <w:rFonts w:eastAsia="Calibri"/>
          <w:szCs w:val="18"/>
        </w:rPr>
        <w:t>VTX</w:t>
      </w:r>
      <w:r w:rsidR="00507A59" w:rsidRPr="00012B7C">
        <w:rPr>
          <w:rFonts w:eastAsia="Calibri"/>
          <w:szCs w:val="18"/>
        </w:rPr>
        <w:t xml:space="preserve"> </w:t>
      </w:r>
      <w:r w:rsidRPr="00012B7C">
        <w:rPr>
          <w:rFonts w:eastAsia="Calibri"/>
          <w:szCs w:val="18"/>
        </w:rPr>
        <w:t>=</w:t>
      </w:r>
      <w:r w:rsidR="00507A59" w:rsidRPr="00012B7C">
        <w:rPr>
          <w:rFonts w:eastAsia="Calibri"/>
          <w:szCs w:val="18"/>
        </w:rPr>
        <w:t xml:space="preserve"> </w:t>
      </w:r>
      <w:r w:rsidRPr="00012B7C">
        <w:rPr>
          <w:rFonts w:eastAsia="Calibri"/>
          <w:szCs w:val="18"/>
        </w:rPr>
        <w:t>venetoclax</w:t>
      </w:r>
    </w:p>
    <w:p w14:paraId="7DDC9173" w14:textId="650F8969" w:rsidR="00296471" w:rsidRPr="0019444B" w:rsidRDefault="00296471" w:rsidP="006108A9">
      <w:pPr>
        <w:pStyle w:val="FooterTableFigure"/>
        <w:widowControl w:val="0"/>
        <w:ind w:right="-143"/>
        <w:rPr>
          <w:color w:val="000000" w:themeColor="text1"/>
          <w:szCs w:val="18"/>
        </w:rPr>
      </w:pPr>
      <w:r w:rsidRPr="0019444B">
        <w:rPr>
          <w:rFonts w:eastAsia="Calibri"/>
          <w:szCs w:val="18"/>
        </w:rPr>
        <w:t>*</w:t>
      </w:r>
      <w:r w:rsidRPr="0019444B">
        <w:rPr>
          <w:color w:val="000000" w:themeColor="text1"/>
          <w:szCs w:val="18"/>
        </w:rPr>
        <w:t xml:space="preserve">Excluding </w:t>
      </w:r>
      <w:r w:rsidR="00507A59" w:rsidRPr="0019444B">
        <w:rPr>
          <w:color w:val="000000" w:themeColor="text1"/>
          <w:szCs w:val="18"/>
        </w:rPr>
        <w:t>n</w:t>
      </w:r>
      <w:r w:rsidRPr="0019444B">
        <w:rPr>
          <w:color w:val="000000" w:themeColor="text1"/>
          <w:szCs w:val="18"/>
        </w:rPr>
        <w:t>onmelanoma skin cancer (NMSC)</w:t>
      </w:r>
    </w:p>
    <w:p w14:paraId="11FC69E6" w14:textId="06849662" w:rsidR="00E113EF" w:rsidRPr="0019444B" w:rsidRDefault="00332019" w:rsidP="00332019">
      <w:pPr>
        <w:pStyle w:val="Caption"/>
      </w:pPr>
      <w:bookmarkStart w:id="49" w:name="_Ref132529534"/>
      <w:r w:rsidRPr="0019444B">
        <w:t>Table</w:t>
      </w:r>
      <w:bookmarkEnd w:id="49"/>
      <w:r w:rsidR="00DC65C9" w:rsidRPr="0019444B">
        <w:t xml:space="preserve"> </w:t>
      </w:r>
      <w:r w:rsidR="007C4FC4" w:rsidRPr="00012B7C">
        <w:fldChar w:fldCharType="begin" w:fldLock="1"/>
      </w:r>
      <w:r w:rsidR="007C4FC4" w:rsidRPr="0019444B">
        <w:instrText xml:space="preserve"> SEQ Table \* ARABIC </w:instrText>
      </w:r>
      <w:r w:rsidR="007C4FC4" w:rsidRPr="00012B7C">
        <w:fldChar w:fldCharType="separate"/>
      </w:r>
      <w:r w:rsidR="007C39B4" w:rsidRPr="00012B7C">
        <w:t>10</w:t>
      </w:r>
      <w:r w:rsidR="007C4FC4" w:rsidRPr="00012B7C">
        <w:fldChar w:fldCharType="end"/>
      </w:r>
      <w:r w:rsidR="00E113EF" w:rsidRPr="0019444B">
        <w:t>: Summary of key adverse events in the CLL-14 trial for 39.</w:t>
      </w:r>
      <w:r w:rsidR="0071414E" w:rsidRPr="0019444B">
        <w:t>6</w:t>
      </w:r>
      <w:r w:rsidR="00E113EF" w:rsidRPr="0019444B">
        <w:t>-month</w:t>
      </w:r>
      <w:r w:rsidR="001F0A49" w:rsidRPr="0019444B">
        <w:t>s</w:t>
      </w:r>
      <w:r w:rsidR="00E113EF" w:rsidRPr="0019444B">
        <w:t xml:space="preserve"> of </w:t>
      </w:r>
      <w:proofErr w:type="gramStart"/>
      <w:r w:rsidR="00E113EF" w:rsidRPr="0019444B">
        <w:t>follow-up</w:t>
      </w:r>
      <w:proofErr w:type="gramEnd"/>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340"/>
        <w:gridCol w:w="1341"/>
        <w:gridCol w:w="1435"/>
        <w:gridCol w:w="1304"/>
      </w:tblGrid>
      <w:tr w:rsidR="00E113EF" w:rsidRPr="001C73CF" w14:paraId="464CB924" w14:textId="77777777" w:rsidTr="000D2BBF">
        <w:trPr>
          <w:cantSplit/>
          <w:trHeight w:val="254"/>
        </w:trPr>
        <w:tc>
          <w:tcPr>
            <w:tcW w:w="3794" w:type="dxa"/>
            <w:shd w:val="clear" w:color="auto" w:fill="auto"/>
          </w:tcPr>
          <w:p w14:paraId="1B7754FA" w14:textId="77777777" w:rsidR="00E113EF" w:rsidRPr="004E3AF5" w:rsidRDefault="00E113EF" w:rsidP="003965B7">
            <w:pPr>
              <w:keepNext/>
              <w:rPr>
                <w:rFonts w:ascii="Arial Narrow" w:hAnsi="Arial Narrow"/>
                <w:b/>
                <w:bCs/>
                <w:sz w:val="20"/>
                <w:szCs w:val="20"/>
              </w:rPr>
            </w:pPr>
            <w:r w:rsidRPr="004E3AF5">
              <w:rPr>
                <w:rFonts w:ascii="Arial Narrow" w:hAnsi="Arial Narrow"/>
                <w:b/>
                <w:bCs/>
                <w:sz w:val="20"/>
                <w:szCs w:val="20"/>
              </w:rPr>
              <w:t>CLL-14</w:t>
            </w:r>
          </w:p>
        </w:tc>
        <w:tc>
          <w:tcPr>
            <w:tcW w:w="2681" w:type="dxa"/>
            <w:gridSpan w:val="2"/>
            <w:tcBorders>
              <w:top w:val="single" w:sz="4" w:space="0" w:color="000000"/>
              <w:bottom w:val="single" w:sz="4" w:space="0" w:color="000000"/>
            </w:tcBorders>
          </w:tcPr>
          <w:p w14:paraId="4C03CC0B" w14:textId="77777777" w:rsidR="00E113EF" w:rsidRPr="004E3AF5" w:rsidRDefault="00E113EF" w:rsidP="003965B7">
            <w:pPr>
              <w:keepNext/>
              <w:rPr>
                <w:rFonts w:ascii="Arial Narrow" w:hAnsi="Arial Narrow"/>
                <w:b/>
                <w:bCs/>
                <w:sz w:val="20"/>
                <w:szCs w:val="20"/>
              </w:rPr>
            </w:pPr>
            <w:r w:rsidRPr="004E3AF5">
              <w:rPr>
                <w:rFonts w:ascii="Arial Narrow" w:hAnsi="Arial Narrow"/>
                <w:b/>
                <w:bCs/>
                <w:sz w:val="20"/>
                <w:szCs w:val="20"/>
              </w:rPr>
              <w:t>VTX+OBIN (N=212)</w:t>
            </w:r>
          </w:p>
        </w:tc>
        <w:tc>
          <w:tcPr>
            <w:tcW w:w="2739" w:type="dxa"/>
            <w:gridSpan w:val="2"/>
            <w:tcBorders>
              <w:top w:val="single" w:sz="4" w:space="0" w:color="000000"/>
              <w:bottom w:val="single" w:sz="4" w:space="0" w:color="000000"/>
              <w:right w:val="single" w:sz="4" w:space="0" w:color="auto"/>
            </w:tcBorders>
          </w:tcPr>
          <w:p w14:paraId="48B797F0" w14:textId="77777777" w:rsidR="00E113EF" w:rsidRPr="004E3AF5" w:rsidRDefault="00E113EF" w:rsidP="003965B7">
            <w:pPr>
              <w:keepNext/>
              <w:rPr>
                <w:rFonts w:ascii="Arial Narrow" w:hAnsi="Arial Narrow"/>
                <w:b/>
                <w:bCs/>
                <w:sz w:val="20"/>
                <w:szCs w:val="20"/>
              </w:rPr>
            </w:pPr>
            <w:r w:rsidRPr="004E3AF5">
              <w:rPr>
                <w:rFonts w:ascii="Arial Narrow" w:hAnsi="Arial Narrow"/>
                <w:b/>
                <w:bCs/>
                <w:sz w:val="20"/>
                <w:szCs w:val="20"/>
              </w:rPr>
              <w:t>OBIN+CHL (N=214)</w:t>
            </w:r>
          </w:p>
        </w:tc>
      </w:tr>
      <w:tr w:rsidR="00E113EF" w:rsidRPr="001C73CF" w14:paraId="01642C3D" w14:textId="77777777" w:rsidTr="000D2BBF">
        <w:trPr>
          <w:cantSplit/>
          <w:trHeight w:val="254"/>
        </w:trPr>
        <w:tc>
          <w:tcPr>
            <w:tcW w:w="9214" w:type="dxa"/>
            <w:gridSpan w:val="5"/>
            <w:shd w:val="clear" w:color="auto" w:fill="auto"/>
          </w:tcPr>
          <w:p w14:paraId="08676396" w14:textId="77777777" w:rsidR="00E113EF" w:rsidRPr="004E3AF5" w:rsidRDefault="00E113EF" w:rsidP="003965B7">
            <w:pPr>
              <w:keepNext/>
              <w:rPr>
                <w:rFonts w:ascii="Arial Narrow" w:hAnsi="Arial Narrow"/>
                <w:b/>
                <w:bCs/>
                <w:sz w:val="20"/>
                <w:szCs w:val="20"/>
              </w:rPr>
            </w:pPr>
            <w:r w:rsidRPr="004E3AF5">
              <w:rPr>
                <w:rFonts w:ascii="Arial Narrow" w:hAnsi="Arial Narrow"/>
                <w:b/>
                <w:bCs/>
                <w:sz w:val="20"/>
                <w:szCs w:val="20"/>
              </w:rPr>
              <w:t>Most common AEs (≥25% of patients), n (%)</w:t>
            </w:r>
          </w:p>
        </w:tc>
      </w:tr>
      <w:tr w:rsidR="00E113EF" w:rsidRPr="001C73CF" w14:paraId="2046F27E" w14:textId="77777777" w:rsidTr="000D2BBF">
        <w:trPr>
          <w:cantSplit/>
          <w:trHeight w:val="254"/>
        </w:trPr>
        <w:tc>
          <w:tcPr>
            <w:tcW w:w="3794" w:type="dxa"/>
            <w:shd w:val="clear" w:color="auto" w:fill="auto"/>
          </w:tcPr>
          <w:p w14:paraId="7B01E338" w14:textId="10786BBE" w:rsidR="00E113EF" w:rsidRPr="004E3AF5" w:rsidRDefault="00E113EF" w:rsidP="003965B7">
            <w:pPr>
              <w:keepNext/>
              <w:rPr>
                <w:rFonts w:ascii="Arial Narrow" w:hAnsi="Arial Narrow"/>
                <w:sz w:val="20"/>
                <w:szCs w:val="20"/>
              </w:rPr>
            </w:pPr>
            <w:r w:rsidRPr="004E3AF5">
              <w:rPr>
                <w:rFonts w:ascii="Arial Narrow" w:hAnsi="Arial Narrow"/>
                <w:b/>
                <w:bCs/>
                <w:sz w:val="20"/>
                <w:szCs w:val="20"/>
              </w:rPr>
              <w:t>AEs Grades</w:t>
            </w:r>
          </w:p>
        </w:tc>
        <w:tc>
          <w:tcPr>
            <w:tcW w:w="1340" w:type="dxa"/>
            <w:shd w:val="clear" w:color="auto" w:fill="auto"/>
          </w:tcPr>
          <w:p w14:paraId="1276CAFE" w14:textId="77777777" w:rsidR="00E113EF" w:rsidRPr="004E3AF5" w:rsidRDefault="00E113EF" w:rsidP="003965B7">
            <w:pPr>
              <w:keepNext/>
              <w:rPr>
                <w:rFonts w:ascii="Arial Narrow" w:hAnsi="Arial Narrow"/>
                <w:sz w:val="20"/>
                <w:szCs w:val="20"/>
              </w:rPr>
            </w:pPr>
            <w:r w:rsidRPr="004E3AF5">
              <w:rPr>
                <w:rFonts w:ascii="Arial Narrow" w:hAnsi="Arial Narrow"/>
                <w:b/>
                <w:bCs/>
                <w:sz w:val="20"/>
                <w:szCs w:val="20"/>
              </w:rPr>
              <w:t>Any Grade</w:t>
            </w:r>
          </w:p>
        </w:tc>
        <w:tc>
          <w:tcPr>
            <w:tcW w:w="1341" w:type="dxa"/>
            <w:shd w:val="clear" w:color="auto" w:fill="auto"/>
          </w:tcPr>
          <w:p w14:paraId="725623A6" w14:textId="77777777" w:rsidR="00E113EF" w:rsidRPr="004E3AF5" w:rsidRDefault="00E113EF" w:rsidP="003965B7">
            <w:pPr>
              <w:keepNext/>
              <w:rPr>
                <w:rFonts w:ascii="Arial Narrow" w:hAnsi="Arial Narrow"/>
                <w:sz w:val="20"/>
                <w:szCs w:val="20"/>
              </w:rPr>
            </w:pPr>
            <w:r w:rsidRPr="004E3AF5">
              <w:rPr>
                <w:rFonts w:ascii="Arial Narrow" w:hAnsi="Arial Narrow"/>
                <w:b/>
                <w:bCs/>
                <w:sz w:val="20"/>
                <w:szCs w:val="20"/>
              </w:rPr>
              <w:t>Grade ≥3</w:t>
            </w:r>
          </w:p>
        </w:tc>
        <w:tc>
          <w:tcPr>
            <w:tcW w:w="1435" w:type="dxa"/>
            <w:shd w:val="clear" w:color="auto" w:fill="auto"/>
          </w:tcPr>
          <w:p w14:paraId="6DA28C0A" w14:textId="77777777" w:rsidR="00E113EF" w:rsidRPr="004E3AF5" w:rsidRDefault="00E113EF" w:rsidP="003965B7">
            <w:pPr>
              <w:keepNext/>
              <w:rPr>
                <w:rFonts w:ascii="Arial Narrow" w:hAnsi="Arial Narrow"/>
                <w:sz w:val="20"/>
                <w:szCs w:val="20"/>
              </w:rPr>
            </w:pPr>
            <w:r w:rsidRPr="004E3AF5">
              <w:rPr>
                <w:rFonts w:ascii="Arial Narrow" w:hAnsi="Arial Narrow"/>
                <w:b/>
                <w:bCs/>
                <w:sz w:val="20"/>
                <w:szCs w:val="20"/>
              </w:rPr>
              <w:t>Any Grade</w:t>
            </w:r>
          </w:p>
        </w:tc>
        <w:tc>
          <w:tcPr>
            <w:tcW w:w="1304" w:type="dxa"/>
            <w:shd w:val="clear" w:color="auto" w:fill="auto"/>
          </w:tcPr>
          <w:p w14:paraId="0FE35BD7" w14:textId="77777777" w:rsidR="00E113EF" w:rsidRPr="004E3AF5" w:rsidRDefault="00E113EF" w:rsidP="003965B7">
            <w:pPr>
              <w:keepNext/>
              <w:rPr>
                <w:rFonts w:ascii="Arial Narrow" w:hAnsi="Arial Narrow"/>
                <w:sz w:val="20"/>
                <w:szCs w:val="20"/>
              </w:rPr>
            </w:pPr>
            <w:r w:rsidRPr="004E3AF5">
              <w:rPr>
                <w:rFonts w:ascii="Arial Narrow" w:hAnsi="Arial Narrow"/>
                <w:b/>
                <w:bCs/>
                <w:sz w:val="20"/>
                <w:szCs w:val="20"/>
              </w:rPr>
              <w:t>Grade ≥3</w:t>
            </w:r>
          </w:p>
        </w:tc>
      </w:tr>
      <w:tr w:rsidR="00E113EF" w:rsidRPr="001C73CF" w14:paraId="7D02801D" w14:textId="77777777" w:rsidTr="000D2BBF">
        <w:trPr>
          <w:cantSplit/>
          <w:trHeight w:val="254"/>
        </w:trPr>
        <w:tc>
          <w:tcPr>
            <w:tcW w:w="3794" w:type="dxa"/>
            <w:tcBorders>
              <w:top w:val="single" w:sz="4" w:space="0" w:color="000000"/>
              <w:bottom w:val="single" w:sz="4" w:space="0" w:color="000000"/>
              <w:right w:val="single" w:sz="4" w:space="0" w:color="000000"/>
            </w:tcBorders>
          </w:tcPr>
          <w:p w14:paraId="5CD185C4" w14:textId="77777777" w:rsidR="00E113EF" w:rsidRPr="004E3AF5" w:rsidRDefault="00E113EF" w:rsidP="003965B7">
            <w:pPr>
              <w:keepNext/>
              <w:jc w:val="left"/>
              <w:rPr>
                <w:rFonts w:ascii="Arial Narrow" w:hAnsi="Arial Narrow"/>
                <w:b/>
                <w:bCs/>
                <w:color w:val="000000" w:themeColor="text1"/>
                <w:sz w:val="20"/>
                <w:szCs w:val="20"/>
              </w:rPr>
            </w:pPr>
            <w:r w:rsidRPr="004E3AF5">
              <w:rPr>
                <w:rFonts w:ascii="Arial Narrow" w:hAnsi="Arial Narrow"/>
                <w:b/>
                <w:bCs/>
                <w:color w:val="000000" w:themeColor="text1"/>
                <w:sz w:val="20"/>
                <w:szCs w:val="20"/>
              </w:rPr>
              <w:t>Any adverse event</w:t>
            </w:r>
          </w:p>
        </w:tc>
        <w:tc>
          <w:tcPr>
            <w:tcW w:w="1340" w:type="dxa"/>
            <w:tcBorders>
              <w:top w:val="single" w:sz="4" w:space="0" w:color="000000"/>
              <w:bottom w:val="single" w:sz="4" w:space="0" w:color="000000"/>
            </w:tcBorders>
          </w:tcPr>
          <w:p w14:paraId="6D05A0AB" w14:textId="77777777" w:rsidR="00E113EF" w:rsidRPr="004E3AF5" w:rsidRDefault="00E113EF" w:rsidP="003965B7">
            <w:pPr>
              <w:keepNext/>
              <w:jc w:val="left"/>
              <w:rPr>
                <w:rFonts w:ascii="Arial Narrow" w:hAnsi="Arial Narrow"/>
                <w:sz w:val="20"/>
                <w:szCs w:val="20"/>
              </w:rPr>
            </w:pPr>
            <w:r w:rsidRPr="004E3AF5">
              <w:rPr>
                <w:rFonts w:ascii="Arial Narrow" w:hAnsi="Arial Narrow"/>
                <w:color w:val="000000" w:themeColor="text1"/>
                <w:sz w:val="20"/>
                <w:szCs w:val="20"/>
              </w:rPr>
              <w:t>201 (94.8)</w:t>
            </w:r>
          </w:p>
        </w:tc>
        <w:tc>
          <w:tcPr>
            <w:tcW w:w="1341" w:type="dxa"/>
            <w:tcBorders>
              <w:top w:val="single" w:sz="4" w:space="0" w:color="000000"/>
              <w:bottom w:val="single" w:sz="4" w:space="0" w:color="000000"/>
            </w:tcBorders>
          </w:tcPr>
          <w:p w14:paraId="0BF1B29D" w14:textId="77777777" w:rsidR="00E113EF" w:rsidRPr="004E3AF5" w:rsidRDefault="00E113EF" w:rsidP="003965B7">
            <w:pPr>
              <w:keepNext/>
              <w:jc w:val="left"/>
              <w:rPr>
                <w:rFonts w:ascii="Arial Narrow" w:hAnsi="Arial Narrow"/>
                <w:sz w:val="20"/>
                <w:szCs w:val="20"/>
              </w:rPr>
            </w:pPr>
            <w:r w:rsidRPr="004E3AF5">
              <w:rPr>
                <w:rFonts w:ascii="Arial Narrow" w:hAnsi="Arial Narrow"/>
                <w:color w:val="000000" w:themeColor="text1"/>
                <w:sz w:val="20"/>
                <w:szCs w:val="20"/>
              </w:rPr>
              <w:t>150 (70.8)</w:t>
            </w:r>
          </w:p>
        </w:tc>
        <w:tc>
          <w:tcPr>
            <w:tcW w:w="1435" w:type="dxa"/>
            <w:tcBorders>
              <w:top w:val="single" w:sz="4" w:space="0" w:color="000000"/>
              <w:bottom w:val="single" w:sz="4" w:space="0" w:color="000000"/>
            </w:tcBorders>
          </w:tcPr>
          <w:p w14:paraId="525DF97D" w14:textId="77777777" w:rsidR="00E113EF" w:rsidRPr="004E3AF5" w:rsidRDefault="00E113EF" w:rsidP="003965B7">
            <w:pPr>
              <w:keepNext/>
              <w:jc w:val="left"/>
              <w:rPr>
                <w:rFonts w:ascii="Arial Narrow" w:hAnsi="Arial Narrow"/>
                <w:sz w:val="20"/>
                <w:szCs w:val="20"/>
              </w:rPr>
            </w:pPr>
            <w:r w:rsidRPr="004E3AF5">
              <w:rPr>
                <w:rFonts w:ascii="Arial Narrow" w:hAnsi="Arial Narrow"/>
                <w:color w:val="000000" w:themeColor="text1"/>
                <w:sz w:val="20"/>
                <w:szCs w:val="20"/>
              </w:rPr>
              <w:t>213 (99.5)</w:t>
            </w:r>
          </w:p>
        </w:tc>
        <w:tc>
          <w:tcPr>
            <w:tcW w:w="1304" w:type="dxa"/>
            <w:tcBorders>
              <w:top w:val="single" w:sz="4" w:space="0" w:color="000000"/>
              <w:bottom w:val="single" w:sz="4" w:space="0" w:color="000000"/>
              <w:right w:val="single" w:sz="4" w:space="0" w:color="000000"/>
            </w:tcBorders>
          </w:tcPr>
          <w:p w14:paraId="7A39230C" w14:textId="77777777" w:rsidR="00E113EF" w:rsidRPr="004E3AF5" w:rsidRDefault="00E113EF" w:rsidP="003965B7">
            <w:pPr>
              <w:keepNext/>
              <w:jc w:val="left"/>
              <w:rPr>
                <w:rFonts w:ascii="Arial Narrow" w:hAnsi="Arial Narrow"/>
                <w:sz w:val="20"/>
                <w:szCs w:val="20"/>
              </w:rPr>
            </w:pPr>
            <w:r w:rsidRPr="004E3AF5">
              <w:rPr>
                <w:rFonts w:ascii="Arial Narrow" w:hAnsi="Arial Narrow"/>
                <w:color w:val="000000" w:themeColor="text1"/>
                <w:sz w:val="20"/>
                <w:szCs w:val="20"/>
              </w:rPr>
              <w:t>155 (72.4)</w:t>
            </w:r>
          </w:p>
        </w:tc>
      </w:tr>
      <w:tr w:rsidR="00E113EF" w:rsidRPr="001C73CF" w14:paraId="3713747B" w14:textId="77777777" w:rsidTr="000D2BBF">
        <w:trPr>
          <w:cantSplit/>
          <w:trHeight w:val="254"/>
        </w:trPr>
        <w:tc>
          <w:tcPr>
            <w:tcW w:w="3794" w:type="dxa"/>
            <w:tcBorders>
              <w:top w:val="single" w:sz="4" w:space="0" w:color="000000"/>
              <w:bottom w:val="single" w:sz="4" w:space="0" w:color="000000"/>
              <w:right w:val="single" w:sz="4" w:space="0" w:color="000000"/>
            </w:tcBorders>
          </w:tcPr>
          <w:p w14:paraId="63F9C302" w14:textId="77777777" w:rsidR="00E113EF" w:rsidRPr="004E3AF5" w:rsidRDefault="00E113EF" w:rsidP="003965B7">
            <w:pPr>
              <w:keepNext/>
              <w:jc w:val="left"/>
              <w:rPr>
                <w:rFonts w:ascii="Arial Narrow" w:hAnsi="Arial Narrow"/>
                <w:color w:val="000000" w:themeColor="text1"/>
                <w:sz w:val="20"/>
                <w:szCs w:val="20"/>
              </w:rPr>
            </w:pPr>
            <w:r w:rsidRPr="004E3AF5">
              <w:rPr>
                <w:rFonts w:ascii="Arial Narrow" w:hAnsi="Arial Narrow"/>
                <w:color w:val="000000" w:themeColor="text1"/>
                <w:sz w:val="20"/>
                <w:szCs w:val="20"/>
              </w:rPr>
              <w:t>Neutropenia</w:t>
            </w:r>
          </w:p>
        </w:tc>
        <w:tc>
          <w:tcPr>
            <w:tcW w:w="1340" w:type="dxa"/>
            <w:tcBorders>
              <w:top w:val="single" w:sz="4" w:space="0" w:color="000000"/>
              <w:bottom w:val="single" w:sz="4" w:space="0" w:color="000000"/>
            </w:tcBorders>
          </w:tcPr>
          <w:p w14:paraId="7FBB01E8" w14:textId="77777777" w:rsidR="00E113EF" w:rsidRPr="004E3AF5" w:rsidRDefault="00E113EF" w:rsidP="003965B7">
            <w:pPr>
              <w:keepNext/>
              <w:jc w:val="left"/>
              <w:rPr>
                <w:rFonts w:ascii="Arial Narrow" w:hAnsi="Arial Narrow"/>
                <w:color w:val="000000" w:themeColor="text1"/>
                <w:sz w:val="20"/>
                <w:szCs w:val="20"/>
              </w:rPr>
            </w:pPr>
            <w:r w:rsidRPr="004E3AF5">
              <w:rPr>
                <w:rFonts w:ascii="Arial Narrow" w:hAnsi="Arial Narrow"/>
                <w:color w:val="000000" w:themeColor="text1"/>
                <w:sz w:val="20"/>
                <w:szCs w:val="20"/>
              </w:rPr>
              <w:t>122 (57.5)</w:t>
            </w:r>
          </w:p>
        </w:tc>
        <w:tc>
          <w:tcPr>
            <w:tcW w:w="1341" w:type="dxa"/>
            <w:tcBorders>
              <w:top w:val="single" w:sz="4" w:space="0" w:color="000000"/>
              <w:bottom w:val="single" w:sz="4" w:space="0" w:color="000000"/>
            </w:tcBorders>
          </w:tcPr>
          <w:p w14:paraId="44452DD9" w14:textId="77777777" w:rsidR="00E113EF" w:rsidRPr="004E3AF5" w:rsidRDefault="00E113EF" w:rsidP="003965B7">
            <w:pPr>
              <w:keepNext/>
              <w:jc w:val="left"/>
              <w:rPr>
                <w:rFonts w:ascii="Arial Narrow" w:hAnsi="Arial Narrow"/>
                <w:color w:val="000000" w:themeColor="text1"/>
                <w:sz w:val="20"/>
                <w:szCs w:val="20"/>
              </w:rPr>
            </w:pPr>
            <w:r w:rsidRPr="004E3AF5">
              <w:rPr>
                <w:rFonts w:ascii="Arial Narrow" w:hAnsi="Arial Narrow"/>
                <w:color w:val="000000" w:themeColor="text1"/>
                <w:sz w:val="20"/>
                <w:szCs w:val="20"/>
              </w:rPr>
              <w:t>112 (52.8)</w:t>
            </w:r>
          </w:p>
        </w:tc>
        <w:tc>
          <w:tcPr>
            <w:tcW w:w="1435" w:type="dxa"/>
            <w:tcBorders>
              <w:top w:val="single" w:sz="4" w:space="0" w:color="000000"/>
              <w:bottom w:val="single" w:sz="4" w:space="0" w:color="000000"/>
            </w:tcBorders>
          </w:tcPr>
          <w:p w14:paraId="2CFCAE62" w14:textId="77777777" w:rsidR="00E113EF" w:rsidRPr="004E3AF5" w:rsidRDefault="00E113EF" w:rsidP="003965B7">
            <w:pPr>
              <w:keepNext/>
              <w:jc w:val="left"/>
              <w:rPr>
                <w:rFonts w:ascii="Arial Narrow" w:hAnsi="Arial Narrow"/>
                <w:color w:val="000000" w:themeColor="text1"/>
                <w:sz w:val="20"/>
                <w:szCs w:val="20"/>
              </w:rPr>
            </w:pPr>
            <w:r w:rsidRPr="004E3AF5">
              <w:rPr>
                <w:rFonts w:ascii="Arial Narrow" w:hAnsi="Arial Narrow"/>
                <w:color w:val="000000" w:themeColor="text1"/>
                <w:sz w:val="20"/>
                <w:szCs w:val="20"/>
              </w:rPr>
              <w:t>121 (56.5)</w:t>
            </w:r>
          </w:p>
        </w:tc>
        <w:tc>
          <w:tcPr>
            <w:tcW w:w="1304" w:type="dxa"/>
            <w:tcBorders>
              <w:top w:val="single" w:sz="4" w:space="0" w:color="000000"/>
              <w:bottom w:val="single" w:sz="4" w:space="0" w:color="000000"/>
              <w:right w:val="single" w:sz="4" w:space="0" w:color="000000"/>
            </w:tcBorders>
          </w:tcPr>
          <w:p w14:paraId="74BAA331" w14:textId="77777777" w:rsidR="00E113EF" w:rsidRPr="004E3AF5" w:rsidRDefault="00E113EF" w:rsidP="003965B7">
            <w:pPr>
              <w:keepNext/>
              <w:jc w:val="left"/>
              <w:rPr>
                <w:rFonts w:ascii="Arial Narrow" w:hAnsi="Arial Narrow"/>
                <w:color w:val="000000" w:themeColor="text1"/>
                <w:sz w:val="20"/>
                <w:szCs w:val="20"/>
              </w:rPr>
            </w:pPr>
            <w:r w:rsidRPr="004E3AF5">
              <w:rPr>
                <w:rFonts w:ascii="Arial Narrow" w:hAnsi="Arial Narrow"/>
                <w:color w:val="000000" w:themeColor="text1"/>
                <w:sz w:val="20"/>
                <w:szCs w:val="20"/>
              </w:rPr>
              <w:t>102 (47.7)</w:t>
            </w:r>
          </w:p>
        </w:tc>
      </w:tr>
      <w:tr w:rsidR="00E113EF" w:rsidRPr="001C73CF" w14:paraId="52FB8652" w14:textId="77777777" w:rsidTr="000D2BBF">
        <w:trPr>
          <w:cantSplit/>
          <w:trHeight w:val="254"/>
        </w:trPr>
        <w:tc>
          <w:tcPr>
            <w:tcW w:w="3794" w:type="dxa"/>
            <w:tcBorders>
              <w:top w:val="single" w:sz="4" w:space="0" w:color="000000"/>
              <w:bottom w:val="single" w:sz="4" w:space="0" w:color="000000"/>
              <w:right w:val="single" w:sz="4" w:space="0" w:color="000000"/>
            </w:tcBorders>
          </w:tcPr>
          <w:p w14:paraId="006858E5" w14:textId="77777777" w:rsidR="00E113EF" w:rsidRPr="004E3AF5" w:rsidRDefault="00E113EF" w:rsidP="003965B7">
            <w:pPr>
              <w:keepNext/>
              <w:jc w:val="left"/>
              <w:rPr>
                <w:rFonts w:ascii="Arial Narrow" w:hAnsi="Arial Narrow"/>
                <w:sz w:val="20"/>
                <w:szCs w:val="20"/>
              </w:rPr>
            </w:pPr>
            <w:r w:rsidRPr="004E3AF5">
              <w:rPr>
                <w:rFonts w:ascii="Arial Narrow" w:hAnsi="Arial Narrow"/>
                <w:color w:val="000000" w:themeColor="text1"/>
                <w:sz w:val="20"/>
                <w:szCs w:val="20"/>
              </w:rPr>
              <w:t>Infusion-related reaction</w:t>
            </w:r>
          </w:p>
        </w:tc>
        <w:tc>
          <w:tcPr>
            <w:tcW w:w="1340" w:type="dxa"/>
            <w:tcBorders>
              <w:top w:val="single" w:sz="4" w:space="0" w:color="000000"/>
              <w:bottom w:val="single" w:sz="4" w:space="0" w:color="000000"/>
            </w:tcBorders>
          </w:tcPr>
          <w:p w14:paraId="3E27043C" w14:textId="77777777" w:rsidR="00E113EF" w:rsidRPr="004E3AF5" w:rsidRDefault="00E113EF" w:rsidP="003965B7">
            <w:pPr>
              <w:keepNext/>
              <w:jc w:val="left"/>
              <w:rPr>
                <w:rFonts w:ascii="Arial Narrow" w:hAnsi="Arial Narrow"/>
                <w:sz w:val="20"/>
                <w:szCs w:val="20"/>
              </w:rPr>
            </w:pPr>
            <w:r w:rsidRPr="004E3AF5">
              <w:rPr>
                <w:rFonts w:ascii="Arial Narrow" w:hAnsi="Arial Narrow"/>
                <w:sz w:val="20"/>
                <w:szCs w:val="20"/>
              </w:rPr>
              <w:t>96 (45.3)</w:t>
            </w:r>
          </w:p>
        </w:tc>
        <w:tc>
          <w:tcPr>
            <w:tcW w:w="1341" w:type="dxa"/>
            <w:tcBorders>
              <w:top w:val="single" w:sz="4" w:space="0" w:color="000000"/>
              <w:bottom w:val="single" w:sz="4" w:space="0" w:color="000000"/>
            </w:tcBorders>
          </w:tcPr>
          <w:p w14:paraId="79DA50BB" w14:textId="77777777" w:rsidR="00E113EF" w:rsidRPr="004E3AF5" w:rsidRDefault="00E113EF" w:rsidP="003965B7">
            <w:pPr>
              <w:keepNext/>
              <w:jc w:val="left"/>
              <w:rPr>
                <w:rFonts w:ascii="Arial Narrow" w:hAnsi="Arial Narrow"/>
                <w:sz w:val="20"/>
                <w:szCs w:val="20"/>
              </w:rPr>
            </w:pPr>
            <w:r w:rsidRPr="004E3AF5">
              <w:rPr>
                <w:rFonts w:ascii="Arial Narrow" w:hAnsi="Arial Narrow"/>
                <w:sz w:val="20"/>
                <w:szCs w:val="20"/>
              </w:rPr>
              <w:t>22 (10.4)</w:t>
            </w:r>
          </w:p>
        </w:tc>
        <w:tc>
          <w:tcPr>
            <w:tcW w:w="1435" w:type="dxa"/>
            <w:tcBorders>
              <w:top w:val="single" w:sz="4" w:space="0" w:color="000000"/>
              <w:bottom w:val="single" w:sz="4" w:space="0" w:color="000000"/>
            </w:tcBorders>
          </w:tcPr>
          <w:p w14:paraId="4758037B" w14:textId="77777777" w:rsidR="00E113EF" w:rsidRPr="004E3AF5" w:rsidRDefault="00E113EF" w:rsidP="003965B7">
            <w:pPr>
              <w:keepNext/>
              <w:jc w:val="left"/>
              <w:rPr>
                <w:rFonts w:ascii="Arial Narrow" w:hAnsi="Arial Narrow"/>
                <w:sz w:val="20"/>
                <w:szCs w:val="20"/>
              </w:rPr>
            </w:pPr>
            <w:r w:rsidRPr="004E3AF5">
              <w:rPr>
                <w:rFonts w:ascii="Arial Narrow" w:hAnsi="Arial Narrow"/>
                <w:sz w:val="20"/>
                <w:szCs w:val="20"/>
              </w:rPr>
              <w:t>117 (54.7)</w:t>
            </w:r>
          </w:p>
        </w:tc>
        <w:tc>
          <w:tcPr>
            <w:tcW w:w="1304" w:type="dxa"/>
            <w:tcBorders>
              <w:top w:val="single" w:sz="4" w:space="0" w:color="000000"/>
              <w:bottom w:val="single" w:sz="4" w:space="0" w:color="000000"/>
              <w:right w:val="single" w:sz="4" w:space="0" w:color="000000"/>
            </w:tcBorders>
          </w:tcPr>
          <w:p w14:paraId="168A4EBE" w14:textId="77777777" w:rsidR="00E113EF" w:rsidRPr="004E3AF5" w:rsidRDefault="00E113EF" w:rsidP="003965B7">
            <w:pPr>
              <w:keepNext/>
              <w:jc w:val="left"/>
              <w:rPr>
                <w:rFonts w:ascii="Arial Narrow" w:hAnsi="Arial Narrow"/>
                <w:sz w:val="20"/>
                <w:szCs w:val="20"/>
              </w:rPr>
            </w:pPr>
            <w:r w:rsidRPr="004E3AF5">
              <w:rPr>
                <w:rFonts w:ascii="Arial Narrow" w:hAnsi="Arial Narrow"/>
                <w:sz w:val="20"/>
                <w:szCs w:val="20"/>
              </w:rPr>
              <w:t>22 (10.3)</w:t>
            </w:r>
          </w:p>
        </w:tc>
      </w:tr>
      <w:tr w:rsidR="00E113EF" w:rsidRPr="001C73CF" w14:paraId="757F86EB" w14:textId="77777777" w:rsidTr="000D2BBF">
        <w:trPr>
          <w:cantSplit/>
          <w:trHeight w:val="254"/>
        </w:trPr>
        <w:tc>
          <w:tcPr>
            <w:tcW w:w="3794" w:type="dxa"/>
            <w:tcBorders>
              <w:top w:val="single" w:sz="4" w:space="0" w:color="000000"/>
              <w:bottom w:val="single" w:sz="4" w:space="0" w:color="000000"/>
              <w:right w:val="single" w:sz="4" w:space="0" w:color="000000"/>
            </w:tcBorders>
          </w:tcPr>
          <w:p w14:paraId="165CD394" w14:textId="77777777" w:rsidR="00E113EF" w:rsidRPr="004E3AF5" w:rsidRDefault="00E113EF" w:rsidP="003965B7">
            <w:pPr>
              <w:keepNext/>
              <w:jc w:val="left"/>
              <w:rPr>
                <w:rFonts w:ascii="Arial Narrow" w:hAnsi="Arial Narrow"/>
                <w:sz w:val="20"/>
                <w:szCs w:val="20"/>
              </w:rPr>
            </w:pPr>
            <w:r w:rsidRPr="004E3AF5">
              <w:rPr>
                <w:rFonts w:ascii="Arial Narrow" w:hAnsi="Arial Narrow"/>
                <w:color w:val="000000" w:themeColor="text1"/>
                <w:sz w:val="20"/>
                <w:szCs w:val="20"/>
              </w:rPr>
              <w:t>Diarrhoea</w:t>
            </w:r>
          </w:p>
        </w:tc>
        <w:tc>
          <w:tcPr>
            <w:tcW w:w="1340" w:type="dxa"/>
            <w:tcBorders>
              <w:top w:val="single" w:sz="4" w:space="0" w:color="000000"/>
              <w:bottom w:val="single" w:sz="4" w:space="0" w:color="000000"/>
            </w:tcBorders>
          </w:tcPr>
          <w:p w14:paraId="022D9BCD" w14:textId="77777777" w:rsidR="00E113EF" w:rsidRPr="004E3AF5" w:rsidRDefault="00E113EF" w:rsidP="003965B7">
            <w:pPr>
              <w:keepNext/>
              <w:jc w:val="left"/>
              <w:rPr>
                <w:rFonts w:ascii="Arial Narrow" w:hAnsi="Arial Narrow"/>
                <w:sz w:val="20"/>
                <w:szCs w:val="20"/>
              </w:rPr>
            </w:pPr>
            <w:r w:rsidRPr="004E3AF5">
              <w:rPr>
                <w:rFonts w:ascii="Arial Narrow" w:hAnsi="Arial Narrow"/>
                <w:sz w:val="20"/>
                <w:szCs w:val="20"/>
              </w:rPr>
              <w:t>58 (27.4)</w:t>
            </w:r>
          </w:p>
        </w:tc>
        <w:tc>
          <w:tcPr>
            <w:tcW w:w="1341" w:type="dxa"/>
            <w:tcBorders>
              <w:top w:val="single" w:sz="4" w:space="0" w:color="000000"/>
              <w:bottom w:val="single" w:sz="4" w:space="0" w:color="000000"/>
            </w:tcBorders>
          </w:tcPr>
          <w:p w14:paraId="2ABEC271" w14:textId="77777777" w:rsidR="00E113EF" w:rsidRPr="004E3AF5" w:rsidRDefault="00E113EF" w:rsidP="003965B7">
            <w:pPr>
              <w:keepNext/>
              <w:jc w:val="left"/>
              <w:rPr>
                <w:rFonts w:ascii="Arial Narrow" w:hAnsi="Arial Narrow"/>
                <w:sz w:val="20"/>
                <w:szCs w:val="20"/>
              </w:rPr>
            </w:pPr>
            <w:r w:rsidRPr="004E3AF5">
              <w:rPr>
                <w:rFonts w:ascii="Arial Narrow" w:hAnsi="Arial Narrow"/>
                <w:sz w:val="20"/>
                <w:szCs w:val="20"/>
              </w:rPr>
              <w:t>8 (3.7)</w:t>
            </w:r>
          </w:p>
        </w:tc>
        <w:tc>
          <w:tcPr>
            <w:tcW w:w="1435" w:type="dxa"/>
            <w:tcBorders>
              <w:top w:val="single" w:sz="4" w:space="0" w:color="000000"/>
              <w:bottom w:val="single" w:sz="4" w:space="0" w:color="000000"/>
            </w:tcBorders>
          </w:tcPr>
          <w:p w14:paraId="73364104" w14:textId="77777777" w:rsidR="00E113EF" w:rsidRPr="004E3AF5" w:rsidRDefault="00E113EF" w:rsidP="003965B7">
            <w:pPr>
              <w:keepNext/>
              <w:jc w:val="left"/>
              <w:rPr>
                <w:rFonts w:ascii="Arial Narrow" w:hAnsi="Arial Narrow"/>
                <w:sz w:val="20"/>
                <w:szCs w:val="20"/>
              </w:rPr>
            </w:pPr>
            <w:r w:rsidRPr="004E3AF5">
              <w:rPr>
                <w:rFonts w:ascii="Arial Narrow" w:hAnsi="Arial Narrow"/>
                <w:sz w:val="20"/>
                <w:szCs w:val="20"/>
              </w:rPr>
              <w:t>34 (15.9)</w:t>
            </w:r>
          </w:p>
        </w:tc>
        <w:tc>
          <w:tcPr>
            <w:tcW w:w="1304" w:type="dxa"/>
            <w:tcBorders>
              <w:top w:val="single" w:sz="4" w:space="0" w:color="000000"/>
              <w:bottom w:val="single" w:sz="4" w:space="0" w:color="000000"/>
              <w:right w:val="single" w:sz="4" w:space="0" w:color="000000"/>
            </w:tcBorders>
          </w:tcPr>
          <w:p w14:paraId="036930BD" w14:textId="77777777" w:rsidR="00E113EF" w:rsidRPr="004E3AF5" w:rsidRDefault="00E113EF" w:rsidP="003965B7">
            <w:pPr>
              <w:keepNext/>
              <w:jc w:val="left"/>
              <w:rPr>
                <w:rFonts w:ascii="Arial Narrow" w:hAnsi="Arial Narrow"/>
                <w:sz w:val="20"/>
                <w:szCs w:val="20"/>
              </w:rPr>
            </w:pPr>
            <w:r w:rsidRPr="004E3AF5">
              <w:rPr>
                <w:rFonts w:ascii="Arial Narrow" w:hAnsi="Arial Narrow"/>
                <w:sz w:val="20"/>
                <w:szCs w:val="20"/>
              </w:rPr>
              <w:t>1 (0.5)</w:t>
            </w:r>
          </w:p>
        </w:tc>
      </w:tr>
      <w:tr w:rsidR="00E113EF" w:rsidRPr="001C73CF" w14:paraId="01D9CD04" w14:textId="77777777" w:rsidTr="000D2BBF">
        <w:trPr>
          <w:cantSplit/>
          <w:trHeight w:val="254"/>
        </w:trPr>
        <w:tc>
          <w:tcPr>
            <w:tcW w:w="9214" w:type="dxa"/>
            <w:gridSpan w:val="5"/>
            <w:shd w:val="clear" w:color="auto" w:fill="auto"/>
          </w:tcPr>
          <w:p w14:paraId="3867D16B" w14:textId="77777777" w:rsidR="00E113EF" w:rsidRPr="004E3AF5" w:rsidRDefault="00E113EF" w:rsidP="003965B7">
            <w:pPr>
              <w:keepNext/>
              <w:rPr>
                <w:rFonts w:ascii="Arial Narrow" w:hAnsi="Arial Narrow"/>
                <w:b/>
                <w:bCs/>
                <w:sz w:val="20"/>
                <w:szCs w:val="20"/>
              </w:rPr>
            </w:pPr>
            <w:r w:rsidRPr="004E3AF5">
              <w:rPr>
                <w:rFonts w:ascii="Arial Narrow" w:hAnsi="Arial Narrow"/>
                <w:b/>
                <w:bCs/>
                <w:sz w:val="20"/>
                <w:szCs w:val="20"/>
              </w:rPr>
              <w:t>Serious adverse events, n (%)</w:t>
            </w:r>
          </w:p>
        </w:tc>
      </w:tr>
      <w:tr w:rsidR="00E113EF" w:rsidRPr="001C73CF" w14:paraId="3C4D4B4C" w14:textId="77777777" w:rsidTr="000D2BBF">
        <w:trPr>
          <w:cantSplit/>
          <w:trHeight w:val="254"/>
        </w:trPr>
        <w:tc>
          <w:tcPr>
            <w:tcW w:w="3794" w:type="dxa"/>
            <w:shd w:val="clear" w:color="auto" w:fill="auto"/>
          </w:tcPr>
          <w:p w14:paraId="1B9ACF73" w14:textId="76CA1C48" w:rsidR="00E113EF" w:rsidRPr="004E3AF5" w:rsidRDefault="00E113EF" w:rsidP="003965B7">
            <w:pPr>
              <w:keepNext/>
              <w:rPr>
                <w:rFonts w:ascii="Arial Narrow" w:hAnsi="Arial Narrow"/>
                <w:sz w:val="20"/>
                <w:szCs w:val="20"/>
              </w:rPr>
            </w:pPr>
            <w:r w:rsidRPr="004E3AF5">
              <w:rPr>
                <w:rFonts w:ascii="Arial Narrow" w:hAnsi="Arial Narrow"/>
                <w:b/>
                <w:bCs/>
                <w:sz w:val="20"/>
                <w:szCs w:val="20"/>
              </w:rPr>
              <w:t>AEs Grades</w:t>
            </w:r>
          </w:p>
        </w:tc>
        <w:tc>
          <w:tcPr>
            <w:tcW w:w="2681" w:type="dxa"/>
            <w:gridSpan w:val="2"/>
            <w:shd w:val="clear" w:color="auto" w:fill="auto"/>
          </w:tcPr>
          <w:p w14:paraId="1D151CB7" w14:textId="77777777" w:rsidR="00E113EF" w:rsidRPr="004E3AF5" w:rsidRDefault="00E113EF" w:rsidP="003965B7">
            <w:pPr>
              <w:keepNext/>
              <w:rPr>
                <w:rFonts w:ascii="Arial Narrow" w:hAnsi="Arial Narrow"/>
                <w:sz w:val="20"/>
                <w:szCs w:val="20"/>
              </w:rPr>
            </w:pPr>
            <w:r w:rsidRPr="004E3AF5">
              <w:rPr>
                <w:rFonts w:ascii="Arial Narrow" w:hAnsi="Arial Narrow"/>
                <w:b/>
                <w:bCs/>
                <w:sz w:val="20"/>
                <w:szCs w:val="20"/>
              </w:rPr>
              <w:t>Any Grade</w:t>
            </w:r>
          </w:p>
        </w:tc>
        <w:tc>
          <w:tcPr>
            <w:tcW w:w="2739" w:type="dxa"/>
            <w:gridSpan w:val="2"/>
            <w:shd w:val="clear" w:color="auto" w:fill="auto"/>
          </w:tcPr>
          <w:p w14:paraId="4DFB49DC" w14:textId="77777777" w:rsidR="00E113EF" w:rsidRPr="004E3AF5" w:rsidRDefault="00E113EF" w:rsidP="003965B7">
            <w:pPr>
              <w:keepNext/>
              <w:rPr>
                <w:rFonts w:ascii="Arial Narrow" w:hAnsi="Arial Narrow"/>
                <w:sz w:val="20"/>
                <w:szCs w:val="20"/>
              </w:rPr>
            </w:pPr>
            <w:r w:rsidRPr="004E3AF5">
              <w:rPr>
                <w:rFonts w:ascii="Arial Narrow" w:hAnsi="Arial Narrow"/>
                <w:b/>
                <w:bCs/>
                <w:sz w:val="20"/>
                <w:szCs w:val="20"/>
              </w:rPr>
              <w:t>Any Grade</w:t>
            </w:r>
          </w:p>
        </w:tc>
      </w:tr>
      <w:tr w:rsidR="00E113EF" w:rsidRPr="001C73CF" w14:paraId="051FE172" w14:textId="77777777" w:rsidTr="000D2BBF">
        <w:trPr>
          <w:cantSplit/>
          <w:trHeight w:val="242"/>
        </w:trPr>
        <w:tc>
          <w:tcPr>
            <w:tcW w:w="3794" w:type="dxa"/>
            <w:tcBorders>
              <w:top w:val="single" w:sz="4" w:space="0" w:color="000000"/>
              <w:left w:val="single" w:sz="2" w:space="0" w:color="000000"/>
              <w:bottom w:val="single" w:sz="4" w:space="0" w:color="000000"/>
              <w:right w:val="single" w:sz="4" w:space="0" w:color="000000"/>
            </w:tcBorders>
          </w:tcPr>
          <w:p w14:paraId="7C4E7C4C" w14:textId="77777777" w:rsidR="00E113EF" w:rsidRPr="004E3AF5" w:rsidRDefault="00E113EF" w:rsidP="003965B7">
            <w:pPr>
              <w:keepNext/>
              <w:rPr>
                <w:rFonts w:ascii="Arial Narrow" w:hAnsi="Arial Narrow"/>
                <w:b/>
                <w:bCs/>
                <w:sz w:val="20"/>
                <w:szCs w:val="20"/>
              </w:rPr>
            </w:pPr>
            <w:r w:rsidRPr="004E3AF5">
              <w:rPr>
                <w:rFonts w:ascii="Arial Narrow" w:hAnsi="Arial Narrow"/>
                <w:b/>
                <w:bCs/>
                <w:sz w:val="20"/>
                <w:szCs w:val="20"/>
              </w:rPr>
              <w:t>Subjects with ≥1 SAE</w:t>
            </w:r>
          </w:p>
        </w:tc>
        <w:tc>
          <w:tcPr>
            <w:tcW w:w="2681" w:type="dxa"/>
            <w:gridSpan w:val="2"/>
            <w:tcBorders>
              <w:top w:val="single" w:sz="4" w:space="0" w:color="000000"/>
              <w:left w:val="single" w:sz="4" w:space="0" w:color="000000"/>
              <w:bottom w:val="single" w:sz="4" w:space="0" w:color="000000"/>
              <w:right w:val="single" w:sz="4" w:space="0" w:color="000000"/>
            </w:tcBorders>
          </w:tcPr>
          <w:p w14:paraId="6A0359B5" w14:textId="77777777" w:rsidR="00E113EF" w:rsidRPr="004E3AF5" w:rsidRDefault="00E113EF" w:rsidP="003965B7">
            <w:pPr>
              <w:keepNext/>
              <w:rPr>
                <w:rFonts w:ascii="Arial Narrow" w:hAnsi="Arial Narrow"/>
                <w:sz w:val="20"/>
                <w:szCs w:val="20"/>
              </w:rPr>
            </w:pPr>
            <w:r w:rsidRPr="004E3AF5">
              <w:rPr>
                <w:rFonts w:ascii="Arial Narrow" w:hAnsi="Arial Narrow"/>
                <w:sz w:val="20"/>
                <w:szCs w:val="20"/>
              </w:rPr>
              <w:t>115 (54.2)</w:t>
            </w:r>
          </w:p>
        </w:tc>
        <w:tc>
          <w:tcPr>
            <w:tcW w:w="2739" w:type="dxa"/>
            <w:gridSpan w:val="2"/>
            <w:tcBorders>
              <w:top w:val="single" w:sz="4" w:space="0" w:color="000000"/>
              <w:left w:val="single" w:sz="4" w:space="0" w:color="000000"/>
              <w:bottom w:val="single" w:sz="4" w:space="0" w:color="000000"/>
              <w:right w:val="single" w:sz="4" w:space="0" w:color="000000"/>
            </w:tcBorders>
          </w:tcPr>
          <w:p w14:paraId="1D955663" w14:textId="77777777" w:rsidR="00E113EF" w:rsidRPr="004E3AF5" w:rsidRDefault="00E113EF" w:rsidP="003965B7">
            <w:pPr>
              <w:keepNext/>
              <w:rPr>
                <w:rFonts w:ascii="Arial Narrow" w:hAnsi="Arial Narrow"/>
                <w:sz w:val="20"/>
                <w:szCs w:val="20"/>
              </w:rPr>
            </w:pPr>
            <w:r w:rsidRPr="004E3AF5">
              <w:rPr>
                <w:rFonts w:ascii="Arial Narrow" w:hAnsi="Arial Narrow"/>
                <w:sz w:val="20"/>
                <w:szCs w:val="20"/>
              </w:rPr>
              <w:t>95 (44.4)</w:t>
            </w:r>
          </w:p>
        </w:tc>
      </w:tr>
      <w:tr w:rsidR="00E113EF" w:rsidRPr="001C73CF" w14:paraId="532885FE" w14:textId="77777777" w:rsidTr="000D2BBF">
        <w:trPr>
          <w:cantSplit/>
          <w:trHeight w:val="242"/>
        </w:trPr>
        <w:tc>
          <w:tcPr>
            <w:tcW w:w="3794" w:type="dxa"/>
            <w:tcBorders>
              <w:top w:val="single" w:sz="4" w:space="0" w:color="000000"/>
              <w:left w:val="single" w:sz="2" w:space="0" w:color="000000"/>
              <w:bottom w:val="single" w:sz="4" w:space="0" w:color="000000"/>
              <w:right w:val="single" w:sz="4" w:space="0" w:color="000000"/>
            </w:tcBorders>
          </w:tcPr>
          <w:p w14:paraId="33187ED9" w14:textId="77777777" w:rsidR="00E113EF" w:rsidRPr="004E3AF5" w:rsidRDefault="00E113EF" w:rsidP="003965B7">
            <w:pPr>
              <w:keepNext/>
              <w:rPr>
                <w:rFonts w:ascii="Arial Narrow" w:hAnsi="Arial Narrow"/>
                <w:sz w:val="20"/>
                <w:szCs w:val="20"/>
              </w:rPr>
            </w:pPr>
            <w:r w:rsidRPr="004E3AF5">
              <w:rPr>
                <w:rFonts w:ascii="Arial Narrow" w:hAnsi="Arial Narrow"/>
                <w:sz w:val="20"/>
                <w:szCs w:val="20"/>
              </w:rPr>
              <w:t>VTX related SAE</w:t>
            </w:r>
          </w:p>
        </w:tc>
        <w:tc>
          <w:tcPr>
            <w:tcW w:w="2681" w:type="dxa"/>
            <w:gridSpan w:val="2"/>
            <w:tcBorders>
              <w:top w:val="single" w:sz="4" w:space="0" w:color="000000"/>
              <w:left w:val="single" w:sz="4" w:space="0" w:color="000000"/>
              <w:bottom w:val="single" w:sz="4" w:space="0" w:color="000000"/>
              <w:right w:val="single" w:sz="4" w:space="0" w:color="000000"/>
            </w:tcBorders>
          </w:tcPr>
          <w:p w14:paraId="4DC719A8" w14:textId="77777777" w:rsidR="00E113EF" w:rsidRPr="004E3AF5" w:rsidRDefault="00E113EF" w:rsidP="003965B7">
            <w:pPr>
              <w:keepNext/>
              <w:rPr>
                <w:rFonts w:ascii="Arial Narrow" w:hAnsi="Arial Narrow"/>
                <w:sz w:val="20"/>
                <w:szCs w:val="20"/>
              </w:rPr>
            </w:pPr>
            <w:r w:rsidRPr="004E3AF5">
              <w:rPr>
                <w:rFonts w:ascii="Arial Narrow" w:hAnsi="Arial Narrow"/>
                <w:sz w:val="20"/>
                <w:szCs w:val="20"/>
              </w:rPr>
              <w:t>30 (14.2)</w:t>
            </w:r>
          </w:p>
        </w:tc>
        <w:tc>
          <w:tcPr>
            <w:tcW w:w="2739" w:type="dxa"/>
            <w:gridSpan w:val="2"/>
            <w:tcBorders>
              <w:top w:val="single" w:sz="4" w:space="0" w:color="000000"/>
              <w:left w:val="single" w:sz="4" w:space="0" w:color="000000"/>
              <w:bottom w:val="single" w:sz="4" w:space="0" w:color="000000"/>
              <w:right w:val="single" w:sz="4" w:space="0" w:color="000000"/>
            </w:tcBorders>
          </w:tcPr>
          <w:p w14:paraId="6A301F2A" w14:textId="77777777" w:rsidR="00E113EF" w:rsidRPr="004E3AF5" w:rsidRDefault="00E113EF" w:rsidP="003965B7">
            <w:pPr>
              <w:keepNext/>
              <w:rPr>
                <w:rFonts w:ascii="Arial Narrow" w:hAnsi="Arial Narrow"/>
                <w:sz w:val="20"/>
                <w:szCs w:val="20"/>
              </w:rPr>
            </w:pPr>
            <w:r w:rsidRPr="004E3AF5">
              <w:rPr>
                <w:rFonts w:ascii="Arial Narrow" w:hAnsi="Arial Narrow"/>
                <w:sz w:val="20"/>
                <w:szCs w:val="20"/>
              </w:rPr>
              <w:t xml:space="preserve">NR </w:t>
            </w:r>
          </w:p>
        </w:tc>
      </w:tr>
      <w:tr w:rsidR="00E113EF" w:rsidRPr="001C73CF" w14:paraId="0283066B" w14:textId="77777777" w:rsidTr="000D2BBF">
        <w:trPr>
          <w:cantSplit/>
          <w:trHeight w:val="242"/>
        </w:trPr>
        <w:tc>
          <w:tcPr>
            <w:tcW w:w="3794" w:type="dxa"/>
            <w:tcBorders>
              <w:top w:val="single" w:sz="4" w:space="0" w:color="000000"/>
              <w:left w:val="single" w:sz="2" w:space="0" w:color="000000"/>
              <w:bottom w:val="single" w:sz="4" w:space="0" w:color="000000"/>
              <w:right w:val="single" w:sz="4" w:space="0" w:color="000000"/>
            </w:tcBorders>
          </w:tcPr>
          <w:p w14:paraId="54A94527" w14:textId="77777777" w:rsidR="00E113EF" w:rsidRPr="004E3AF5" w:rsidRDefault="00E113EF" w:rsidP="003965B7">
            <w:pPr>
              <w:keepNext/>
              <w:rPr>
                <w:rFonts w:ascii="Arial Narrow" w:hAnsi="Arial Narrow"/>
                <w:sz w:val="20"/>
                <w:szCs w:val="20"/>
              </w:rPr>
            </w:pPr>
            <w:r w:rsidRPr="004E3AF5">
              <w:rPr>
                <w:rFonts w:ascii="Arial Narrow" w:hAnsi="Arial Narrow"/>
                <w:sz w:val="20"/>
                <w:szCs w:val="20"/>
              </w:rPr>
              <w:t xml:space="preserve">     Infections</w:t>
            </w:r>
          </w:p>
        </w:tc>
        <w:tc>
          <w:tcPr>
            <w:tcW w:w="2681" w:type="dxa"/>
            <w:gridSpan w:val="2"/>
            <w:tcBorders>
              <w:top w:val="single" w:sz="4" w:space="0" w:color="000000"/>
              <w:left w:val="single" w:sz="4" w:space="0" w:color="000000"/>
              <w:bottom w:val="single" w:sz="4" w:space="0" w:color="000000"/>
              <w:right w:val="single" w:sz="4" w:space="0" w:color="000000"/>
            </w:tcBorders>
          </w:tcPr>
          <w:p w14:paraId="7CCEC7E0" w14:textId="77777777" w:rsidR="00E113EF" w:rsidRPr="004E3AF5" w:rsidRDefault="00E113EF" w:rsidP="003965B7">
            <w:pPr>
              <w:keepNext/>
              <w:rPr>
                <w:rFonts w:ascii="Arial Narrow" w:hAnsi="Arial Narrow"/>
                <w:sz w:val="20"/>
                <w:szCs w:val="20"/>
              </w:rPr>
            </w:pPr>
            <w:r w:rsidRPr="004E3AF5">
              <w:rPr>
                <w:rFonts w:ascii="Arial Narrow" w:hAnsi="Arial Narrow"/>
                <w:sz w:val="20"/>
                <w:szCs w:val="20"/>
              </w:rPr>
              <w:t>10 (4.7)</w:t>
            </w:r>
          </w:p>
        </w:tc>
        <w:tc>
          <w:tcPr>
            <w:tcW w:w="2739" w:type="dxa"/>
            <w:gridSpan w:val="2"/>
            <w:tcBorders>
              <w:top w:val="single" w:sz="4" w:space="0" w:color="000000"/>
              <w:left w:val="single" w:sz="4" w:space="0" w:color="000000"/>
              <w:bottom w:val="single" w:sz="4" w:space="0" w:color="000000"/>
              <w:right w:val="single" w:sz="4" w:space="0" w:color="000000"/>
            </w:tcBorders>
          </w:tcPr>
          <w:p w14:paraId="23D6CCFF" w14:textId="77777777" w:rsidR="00E113EF" w:rsidRPr="004E3AF5" w:rsidRDefault="00E113EF" w:rsidP="003965B7">
            <w:pPr>
              <w:keepNext/>
              <w:rPr>
                <w:rFonts w:ascii="Arial Narrow" w:hAnsi="Arial Narrow"/>
                <w:sz w:val="20"/>
                <w:szCs w:val="20"/>
              </w:rPr>
            </w:pPr>
            <w:r w:rsidRPr="004E3AF5">
              <w:rPr>
                <w:rFonts w:ascii="Arial Narrow" w:hAnsi="Arial Narrow"/>
                <w:sz w:val="20"/>
                <w:szCs w:val="20"/>
              </w:rPr>
              <w:t>12 (5.6)</w:t>
            </w:r>
          </w:p>
        </w:tc>
      </w:tr>
      <w:tr w:rsidR="00E113EF" w:rsidRPr="001C73CF" w14:paraId="0CD7CD26" w14:textId="77777777" w:rsidTr="000D2BBF">
        <w:trPr>
          <w:cantSplit/>
          <w:trHeight w:val="242"/>
        </w:trPr>
        <w:tc>
          <w:tcPr>
            <w:tcW w:w="3794" w:type="dxa"/>
            <w:tcBorders>
              <w:top w:val="single" w:sz="4" w:space="0" w:color="000000"/>
              <w:left w:val="single" w:sz="2" w:space="0" w:color="000000"/>
              <w:bottom w:val="single" w:sz="4" w:space="0" w:color="000000"/>
              <w:right w:val="single" w:sz="4" w:space="0" w:color="000000"/>
            </w:tcBorders>
          </w:tcPr>
          <w:p w14:paraId="7799D7B0" w14:textId="77777777" w:rsidR="00E113EF" w:rsidRPr="004E3AF5" w:rsidRDefault="00E113EF" w:rsidP="003965B7">
            <w:pPr>
              <w:keepNext/>
              <w:rPr>
                <w:rFonts w:ascii="Arial Narrow" w:hAnsi="Arial Narrow"/>
                <w:sz w:val="20"/>
                <w:szCs w:val="20"/>
              </w:rPr>
            </w:pPr>
            <w:r w:rsidRPr="004E3AF5">
              <w:rPr>
                <w:rFonts w:ascii="Arial Narrow" w:hAnsi="Arial Narrow"/>
                <w:sz w:val="20"/>
                <w:szCs w:val="20"/>
              </w:rPr>
              <w:t>OBIN related SAE</w:t>
            </w:r>
          </w:p>
        </w:tc>
        <w:tc>
          <w:tcPr>
            <w:tcW w:w="2681" w:type="dxa"/>
            <w:gridSpan w:val="2"/>
            <w:tcBorders>
              <w:top w:val="single" w:sz="4" w:space="0" w:color="000000"/>
              <w:left w:val="single" w:sz="4" w:space="0" w:color="000000"/>
              <w:bottom w:val="single" w:sz="4" w:space="0" w:color="000000"/>
              <w:right w:val="single" w:sz="4" w:space="0" w:color="000000"/>
            </w:tcBorders>
          </w:tcPr>
          <w:p w14:paraId="63F46A35" w14:textId="77777777" w:rsidR="00E113EF" w:rsidRPr="004E3AF5" w:rsidRDefault="00E113EF" w:rsidP="003965B7">
            <w:pPr>
              <w:keepNext/>
              <w:rPr>
                <w:rFonts w:ascii="Arial Narrow" w:hAnsi="Arial Narrow"/>
                <w:sz w:val="20"/>
                <w:szCs w:val="20"/>
              </w:rPr>
            </w:pPr>
            <w:r w:rsidRPr="004E3AF5">
              <w:rPr>
                <w:rFonts w:ascii="Arial Narrow" w:hAnsi="Arial Narrow"/>
                <w:sz w:val="20"/>
                <w:szCs w:val="20"/>
              </w:rPr>
              <w:t>39 (18.4)</w:t>
            </w:r>
          </w:p>
        </w:tc>
        <w:tc>
          <w:tcPr>
            <w:tcW w:w="2739" w:type="dxa"/>
            <w:gridSpan w:val="2"/>
            <w:tcBorders>
              <w:top w:val="single" w:sz="4" w:space="0" w:color="000000"/>
              <w:left w:val="single" w:sz="4" w:space="0" w:color="000000"/>
              <w:bottom w:val="single" w:sz="4" w:space="0" w:color="000000"/>
              <w:right w:val="single" w:sz="4" w:space="0" w:color="000000"/>
            </w:tcBorders>
          </w:tcPr>
          <w:p w14:paraId="329B59FB" w14:textId="77777777" w:rsidR="00E113EF" w:rsidRPr="004E3AF5" w:rsidRDefault="00E113EF" w:rsidP="003965B7">
            <w:pPr>
              <w:keepNext/>
              <w:rPr>
                <w:rFonts w:ascii="Arial Narrow" w:hAnsi="Arial Narrow"/>
                <w:sz w:val="20"/>
                <w:szCs w:val="20"/>
              </w:rPr>
            </w:pPr>
            <w:r w:rsidRPr="004E3AF5">
              <w:rPr>
                <w:rFonts w:ascii="Arial Narrow" w:hAnsi="Arial Narrow"/>
                <w:sz w:val="20"/>
                <w:szCs w:val="20"/>
              </w:rPr>
              <w:t>50 (23.4)</w:t>
            </w:r>
          </w:p>
        </w:tc>
      </w:tr>
      <w:tr w:rsidR="00E113EF" w:rsidRPr="001C73CF" w14:paraId="66C4E821" w14:textId="77777777" w:rsidTr="000D2BBF">
        <w:trPr>
          <w:cantSplit/>
          <w:trHeight w:val="242"/>
        </w:trPr>
        <w:tc>
          <w:tcPr>
            <w:tcW w:w="3794" w:type="dxa"/>
            <w:tcBorders>
              <w:top w:val="single" w:sz="4" w:space="0" w:color="000000"/>
              <w:left w:val="single" w:sz="2" w:space="0" w:color="000000"/>
              <w:bottom w:val="single" w:sz="4" w:space="0" w:color="000000"/>
              <w:right w:val="single" w:sz="4" w:space="0" w:color="000000"/>
            </w:tcBorders>
          </w:tcPr>
          <w:p w14:paraId="4DE5F1E9" w14:textId="77777777" w:rsidR="00E113EF" w:rsidRPr="004E3AF5" w:rsidRDefault="00E113EF" w:rsidP="003965B7">
            <w:pPr>
              <w:keepNext/>
              <w:rPr>
                <w:rFonts w:ascii="Arial Narrow" w:hAnsi="Arial Narrow"/>
                <w:sz w:val="20"/>
                <w:szCs w:val="20"/>
              </w:rPr>
            </w:pPr>
            <w:r w:rsidRPr="004E3AF5">
              <w:rPr>
                <w:rFonts w:ascii="Arial Narrow" w:hAnsi="Arial Narrow"/>
                <w:sz w:val="20"/>
                <w:szCs w:val="20"/>
              </w:rPr>
              <w:t xml:space="preserve">     Infusion-related reaction </w:t>
            </w:r>
          </w:p>
        </w:tc>
        <w:tc>
          <w:tcPr>
            <w:tcW w:w="2681" w:type="dxa"/>
            <w:gridSpan w:val="2"/>
            <w:tcBorders>
              <w:top w:val="single" w:sz="4" w:space="0" w:color="000000"/>
              <w:left w:val="single" w:sz="4" w:space="0" w:color="000000"/>
              <w:bottom w:val="single" w:sz="4" w:space="0" w:color="000000"/>
              <w:right w:val="single" w:sz="4" w:space="0" w:color="000000"/>
            </w:tcBorders>
          </w:tcPr>
          <w:p w14:paraId="097E5FF3" w14:textId="77777777" w:rsidR="00E113EF" w:rsidRPr="004E3AF5" w:rsidRDefault="00E113EF" w:rsidP="003965B7">
            <w:pPr>
              <w:keepNext/>
              <w:rPr>
                <w:rFonts w:ascii="Arial Narrow" w:hAnsi="Arial Narrow"/>
                <w:sz w:val="20"/>
                <w:szCs w:val="20"/>
              </w:rPr>
            </w:pPr>
            <w:r w:rsidRPr="004E3AF5">
              <w:rPr>
                <w:rFonts w:ascii="Arial Narrow" w:hAnsi="Arial Narrow"/>
                <w:sz w:val="20"/>
                <w:szCs w:val="20"/>
              </w:rPr>
              <w:t>10 (4.7)</w:t>
            </w:r>
          </w:p>
        </w:tc>
        <w:tc>
          <w:tcPr>
            <w:tcW w:w="2739" w:type="dxa"/>
            <w:gridSpan w:val="2"/>
            <w:tcBorders>
              <w:top w:val="single" w:sz="4" w:space="0" w:color="000000"/>
              <w:left w:val="single" w:sz="4" w:space="0" w:color="000000"/>
              <w:bottom w:val="single" w:sz="4" w:space="0" w:color="000000"/>
              <w:right w:val="single" w:sz="4" w:space="0" w:color="000000"/>
            </w:tcBorders>
          </w:tcPr>
          <w:p w14:paraId="50339AC2" w14:textId="77777777" w:rsidR="00E113EF" w:rsidRPr="004E3AF5" w:rsidRDefault="00E113EF" w:rsidP="003965B7">
            <w:pPr>
              <w:keepNext/>
              <w:rPr>
                <w:rFonts w:ascii="Arial Narrow" w:hAnsi="Arial Narrow"/>
                <w:sz w:val="20"/>
                <w:szCs w:val="20"/>
              </w:rPr>
            </w:pPr>
            <w:r w:rsidRPr="004E3AF5">
              <w:rPr>
                <w:rFonts w:ascii="Arial Narrow" w:hAnsi="Arial Narrow"/>
                <w:sz w:val="20"/>
                <w:szCs w:val="20"/>
              </w:rPr>
              <w:t>12 (5.6)</w:t>
            </w:r>
          </w:p>
        </w:tc>
      </w:tr>
      <w:tr w:rsidR="00E113EF" w:rsidRPr="001C73CF" w14:paraId="2B6E9B2B" w14:textId="77777777" w:rsidTr="000D2BBF">
        <w:trPr>
          <w:cantSplit/>
          <w:trHeight w:val="242"/>
        </w:trPr>
        <w:tc>
          <w:tcPr>
            <w:tcW w:w="3794" w:type="dxa"/>
            <w:tcBorders>
              <w:top w:val="single" w:sz="4" w:space="0" w:color="000000"/>
              <w:left w:val="single" w:sz="2" w:space="0" w:color="000000"/>
              <w:bottom w:val="single" w:sz="4" w:space="0" w:color="000000"/>
              <w:right w:val="single" w:sz="4" w:space="0" w:color="000000"/>
            </w:tcBorders>
          </w:tcPr>
          <w:p w14:paraId="2B0A2A28" w14:textId="77777777" w:rsidR="00E113EF" w:rsidRPr="004E3AF5" w:rsidRDefault="00E113EF" w:rsidP="003965B7">
            <w:pPr>
              <w:keepNext/>
              <w:rPr>
                <w:rFonts w:ascii="Arial Narrow" w:hAnsi="Arial Narrow"/>
                <w:sz w:val="20"/>
                <w:szCs w:val="20"/>
              </w:rPr>
            </w:pPr>
            <w:r w:rsidRPr="004E3AF5">
              <w:rPr>
                <w:rFonts w:ascii="Arial Narrow" w:hAnsi="Arial Narrow"/>
                <w:sz w:val="20"/>
                <w:szCs w:val="20"/>
              </w:rPr>
              <w:t xml:space="preserve">     Febrile neutropenia</w:t>
            </w:r>
          </w:p>
        </w:tc>
        <w:tc>
          <w:tcPr>
            <w:tcW w:w="2681" w:type="dxa"/>
            <w:gridSpan w:val="2"/>
            <w:tcBorders>
              <w:top w:val="single" w:sz="4" w:space="0" w:color="000000"/>
              <w:left w:val="single" w:sz="4" w:space="0" w:color="000000"/>
              <w:bottom w:val="single" w:sz="4" w:space="0" w:color="000000"/>
              <w:right w:val="single" w:sz="4" w:space="0" w:color="000000"/>
            </w:tcBorders>
          </w:tcPr>
          <w:p w14:paraId="40001726" w14:textId="77777777" w:rsidR="00E113EF" w:rsidRPr="004E3AF5" w:rsidRDefault="00E113EF" w:rsidP="003965B7">
            <w:pPr>
              <w:keepNext/>
              <w:rPr>
                <w:rFonts w:ascii="Arial Narrow" w:hAnsi="Arial Narrow"/>
                <w:sz w:val="20"/>
                <w:szCs w:val="20"/>
              </w:rPr>
            </w:pPr>
            <w:r w:rsidRPr="004E3AF5">
              <w:rPr>
                <w:rFonts w:ascii="Arial Narrow" w:hAnsi="Arial Narrow"/>
                <w:sz w:val="20"/>
                <w:szCs w:val="20"/>
              </w:rPr>
              <w:t>9 (4.2)</w:t>
            </w:r>
          </w:p>
        </w:tc>
        <w:tc>
          <w:tcPr>
            <w:tcW w:w="2739" w:type="dxa"/>
            <w:gridSpan w:val="2"/>
            <w:tcBorders>
              <w:top w:val="single" w:sz="4" w:space="0" w:color="000000"/>
              <w:left w:val="single" w:sz="4" w:space="0" w:color="000000"/>
              <w:bottom w:val="single" w:sz="4" w:space="0" w:color="000000"/>
              <w:right w:val="single" w:sz="4" w:space="0" w:color="000000"/>
            </w:tcBorders>
          </w:tcPr>
          <w:p w14:paraId="5E84E5BE" w14:textId="77777777" w:rsidR="00E113EF" w:rsidRPr="004E3AF5" w:rsidRDefault="00E113EF" w:rsidP="003965B7">
            <w:pPr>
              <w:keepNext/>
              <w:rPr>
                <w:rFonts w:ascii="Arial Narrow" w:hAnsi="Arial Narrow"/>
                <w:sz w:val="20"/>
                <w:szCs w:val="20"/>
              </w:rPr>
            </w:pPr>
            <w:r w:rsidRPr="004E3AF5">
              <w:rPr>
                <w:rFonts w:ascii="Arial Narrow" w:hAnsi="Arial Narrow"/>
                <w:sz w:val="20"/>
                <w:szCs w:val="20"/>
              </w:rPr>
              <w:t xml:space="preserve">NR </w:t>
            </w:r>
          </w:p>
        </w:tc>
      </w:tr>
      <w:tr w:rsidR="00E113EF" w:rsidRPr="001C73CF" w14:paraId="3C2184E2" w14:textId="77777777" w:rsidTr="000D2BBF">
        <w:trPr>
          <w:cantSplit/>
          <w:trHeight w:val="242"/>
        </w:trPr>
        <w:tc>
          <w:tcPr>
            <w:tcW w:w="3794" w:type="dxa"/>
            <w:tcBorders>
              <w:top w:val="single" w:sz="4" w:space="0" w:color="000000"/>
              <w:left w:val="single" w:sz="2" w:space="0" w:color="000000"/>
              <w:bottom w:val="single" w:sz="4" w:space="0" w:color="000000"/>
              <w:right w:val="single" w:sz="4" w:space="0" w:color="000000"/>
            </w:tcBorders>
          </w:tcPr>
          <w:p w14:paraId="4D437EBC" w14:textId="77777777" w:rsidR="00E113EF" w:rsidRPr="004E3AF5" w:rsidRDefault="00E113EF" w:rsidP="003965B7">
            <w:pPr>
              <w:keepNext/>
              <w:rPr>
                <w:rFonts w:ascii="Arial Narrow" w:hAnsi="Arial Narrow"/>
                <w:sz w:val="20"/>
                <w:szCs w:val="20"/>
              </w:rPr>
            </w:pPr>
            <w:r w:rsidRPr="004E3AF5">
              <w:rPr>
                <w:rFonts w:ascii="Arial Narrow" w:hAnsi="Arial Narrow"/>
                <w:sz w:val="20"/>
                <w:szCs w:val="20"/>
              </w:rPr>
              <w:t xml:space="preserve">     Infections</w:t>
            </w:r>
          </w:p>
        </w:tc>
        <w:tc>
          <w:tcPr>
            <w:tcW w:w="2681" w:type="dxa"/>
            <w:gridSpan w:val="2"/>
            <w:tcBorders>
              <w:top w:val="single" w:sz="4" w:space="0" w:color="000000"/>
              <w:left w:val="single" w:sz="4" w:space="0" w:color="000000"/>
              <w:bottom w:val="single" w:sz="4" w:space="0" w:color="000000"/>
              <w:right w:val="single" w:sz="4" w:space="0" w:color="000000"/>
            </w:tcBorders>
          </w:tcPr>
          <w:p w14:paraId="3161E264" w14:textId="77777777" w:rsidR="00E113EF" w:rsidRPr="004E3AF5" w:rsidRDefault="00E113EF" w:rsidP="003965B7">
            <w:pPr>
              <w:keepNext/>
              <w:rPr>
                <w:rFonts w:ascii="Arial Narrow" w:hAnsi="Arial Narrow"/>
                <w:sz w:val="20"/>
                <w:szCs w:val="20"/>
              </w:rPr>
            </w:pPr>
            <w:r w:rsidRPr="004E3AF5">
              <w:rPr>
                <w:rFonts w:ascii="Arial Narrow" w:hAnsi="Arial Narrow"/>
                <w:sz w:val="20"/>
                <w:szCs w:val="20"/>
              </w:rPr>
              <w:t>NR</w:t>
            </w:r>
          </w:p>
        </w:tc>
        <w:tc>
          <w:tcPr>
            <w:tcW w:w="2739" w:type="dxa"/>
            <w:gridSpan w:val="2"/>
            <w:tcBorders>
              <w:top w:val="single" w:sz="4" w:space="0" w:color="000000"/>
              <w:left w:val="single" w:sz="4" w:space="0" w:color="000000"/>
              <w:bottom w:val="single" w:sz="4" w:space="0" w:color="000000"/>
              <w:right w:val="single" w:sz="4" w:space="0" w:color="000000"/>
            </w:tcBorders>
          </w:tcPr>
          <w:p w14:paraId="1336E5FB" w14:textId="77777777" w:rsidR="00E113EF" w:rsidRPr="004E3AF5" w:rsidRDefault="00E113EF" w:rsidP="003965B7">
            <w:pPr>
              <w:keepNext/>
              <w:rPr>
                <w:rFonts w:ascii="Arial Narrow" w:hAnsi="Arial Narrow"/>
                <w:sz w:val="20"/>
                <w:szCs w:val="20"/>
              </w:rPr>
            </w:pPr>
            <w:r w:rsidRPr="004E3AF5">
              <w:rPr>
                <w:rFonts w:ascii="Arial Narrow" w:hAnsi="Arial Narrow"/>
                <w:sz w:val="20"/>
                <w:szCs w:val="20"/>
              </w:rPr>
              <w:t>12 (5.6)</w:t>
            </w:r>
          </w:p>
        </w:tc>
      </w:tr>
    </w:tbl>
    <w:p w14:paraId="6CF39C81" w14:textId="77777777" w:rsidR="00E113EF" w:rsidRPr="0019444B" w:rsidRDefault="00E113EF" w:rsidP="006108A9">
      <w:pPr>
        <w:pStyle w:val="FooterTableFigure"/>
        <w:keepNext/>
        <w:ind w:right="-143"/>
        <w:rPr>
          <w:szCs w:val="18"/>
        </w:rPr>
      </w:pPr>
      <w:r w:rsidRPr="0019444B">
        <w:rPr>
          <w:szCs w:val="18"/>
        </w:rPr>
        <w:t>Source: Table 2.55, pp. 154-155, Table 2.64, p. 161, Table 2.77, p. 175 of the resubmission</w:t>
      </w:r>
    </w:p>
    <w:p w14:paraId="58C7E8DD" w14:textId="0BB01C5A" w:rsidR="00E113EF" w:rsidRPr="0019444B" w:rsidRDefault="005C09FA" w:rsidP="00CA022C">
      <w:pPr>
        <w:pStyle w:val="FooterTableFigure"/>
        <w:ind w:right="-142"/>
        <w:rPr>
          <w:szCs w:val="18"/>
        </w:rPr>
      </w:pPr>
      <w:r w:rsidRPr="0019444B">
        <w:rPr>
          <w:rFonts w:eastAsia="Calibri"/>
          <w:szCs w:val="18"/>
        </w:rPr>
        <w:t xml:space="preserve">ACA = acalabrutinib, </w:t>
      </w:r>
      <w:r w:rsidR="00E113EF" w:rsidRPr="0019444B">
        <w:rPr>
          <w:rFonts w:eastAsia="Calibri"/>
          <w:szCs w:val="18"/>
        </w:rPr>
        <w:t>AEs</w:t>
      </w:r>
      <w:r w:rsidRPr="0019444B">
        <w:rPr>
          <w:rFonts w:eastAsia="Calibri"/>
          <w:szCs w:val="18"/>
        </w:rPr>
        <w:t xml:space="preserve"> </w:t>
      </w:r>
      <w:r w:rsidR="00E113EF" w:rsidRPr="0019444B">
        <w:rPr>
          <w:rFonts w:eastAsia="Calibri"/>
          <w:szCs w:val="18"/>
        </w:rPr>
        <w:t xml:space="preserve">= </w:t>
      </w:r>
      <w:r w:rsidRPr="0019444B">
        <w:rPr>
          <w:rFonts w:eastAsia="Calibri"/>
          <w:szCs w:val="18"/>
        </w:rPr>
        <w:t>a</w:t>
      </w:r>
      <w:r w:rsidR="00E113EF" w:rsidRPr="0019444B">
        <w:rPr>
          <w:rFonts w:eastAsia="Calibri"/>
          <w:szCs w:val="18"/>
        </w:rPr>
        <w:t xml:space="preserve">dverse </w:t>
      </w:r>
      <w:r w:rsidRPr="0019444B">
        <w:rPr>
          <w:rFonts w:eastAsia="Calibri"/>
          <w:szCs w:val="18"/>
        </w:rPr>
        <w:t>events</w:t>
      </w:r>
      <w:r w:rsidR="00E113EF" w:rsidRPr="0019444B">
        <w:rPr>
          <w:rFonts w:eastAsia="Calibri"/>
          <w:szCs w:val="18"/>
        </w:rPr>
        <w:t>, CHL</w:t>
      </w:r>
      <w:r w:rsidRPr="0019444B">
        <w:rPr>
          <w:rFonts w:eastAsia="Calibri"/>
          <w:szCs w:val="18"/>
        </w:rPr>
        <w:t xml:space="preserve"> </w:t>
      </w:r>
      <w:r w:rsidR="00E113EF" w:rsidRPr="0019444B">
        <w:rPr>
          <w:rFonts w:eastAsia="Calibri"/>
          <w:szCs w:val="18"/>
        </w:rPr>
        <w:t>=</w:t>
      </w:r>
      <w:r w:rsidRPr="0019444B">
        <w:rPr>
          <w:rFonts w:eastAsia="Calibri"/>
          <w:szCs w:val="18"/>
        </w:rPr>
        <w:t xml:space="preserve"> </w:t>
      </w:r>
      <w:r w:rsidR="00E113EF" w:rsidRPr="0019444B">
        <w:rPr>
          <w:rFonts w:eastAsia="Calibri"/>
          <w:szCs w:val="18"/>
        </w:rPr>
        <w:t xml:space="preserve">chlorambucil, </w:t>
      </w:r>
      <w:r w:rsidRPr="0019444B">
        <w:rPr>
          <w:rFonts w:eastAsia="Calibri"/>
          <w:szCs w:val="18"/>
        </w:rPr>
        <w:t xml:space="preserve">NR = not reported, </w:t>
      </w:r>
      <w:r w:rsidR="00E113EF" w:rsidRPr="0019444B">
        <w:rPr>
          <w:rFonts w:eastAsia="Calibri"/>
          <w:szCs w:val="18"/>
        </w:rPr>
        <w:t>OBIN</w:t>
      </w:r>
      <w:r w:rsidRPr="0019444B">
        <w:rPr>
          <w:rFonts w:eastAsia="Calibri"/>
          <w:szCs w:val="18"/>
        </w:rPr>
        <w:t xml:space="preserve"> </w:t>
      </w:r>
      <w:r w:rsidR="00E113EF" w:rsidRPr="0019444B">
        <w:rPr>
          <w:rFonts w:eastAsia="Calibri"/>
          <w:szCs w:val="18"/>
        </w:rPr>
        <w:t xml:space="preserve">= obinutuzumab, </w:t>
      </w:r>
      <w:r w:rsidRPr="0019444B">
        <w:rPr>
          <w:rFonts w:eastAsia="Calibri"/>
          <w:szCs w:val="18"/>
        </w:rPr>
        <w:t xml:space="preserve">SAE = serious adverse events, </w:t>
      </w:r>
      <w:r w:rsidR="00E113EF" w:rsidRPr="0019444B">
        <w:rPr>
          <w:rFonts w:eastAsia="Calibri"/>
          <w:szCs w:val="18"/>
        </w:rPr>
        <w:t>VTX</w:t>
      </w:r>
      <w:r w:rsidR="00397521" w:rsidRPr="0019444B">
        <w:rPr>
          <w:rFonts w:eastAsia="Calibri"/>
          <w:szCs w:val="18"/>
        </w:rPr>
        <w:t xml:space="preserve"> </w:t>
      </w:r>
      <w:r w:rsidR="00E113EF" w:rsidRPr="0019444B">
        <w:rPr>
          <w:rFonts w:eastAsia="Calibri"/>
          <w:szCs w:val="18"/>
        </w:rPr>
        <w:t>=</w:t>
      </w:r>
      <w:r w:rsidR="00397521" w:rsidRPr="0019444B">
        <w:rPr>
          <w:rFonts w:eastAsia="Calibri"/>
          <w:szCs w:val="18"/>
        </w:rPr>
        <w:t xml:space="preserve"> </w:t>
      </w:r>
      <w:r w:rsidR="00E113EF" w:rsidRPr="0019444B">
        <w:rPr>
          <w:rFonts w:eastAsia="Calibri"/>
          <w:szCs w:val="18"/>
        </w:rPr>
        <w:t>venetocla</w:t>
      </w:r>
      <w:r w:rsidRPr="0019444B">
        <w:rPr>
          <w:rFonts w:eastAsia="Calibri"/>
          <w:szCs w:val="18"/>
        </w:rPr>
        <w:t>x</w:t>
      </w:r>
      <w:r w:rsidR="00E113EF" w:rsidRPr="0019444B">
        <w:rPr>
          <w:rFonts w:eastAsia="Calibri"/>
          <w:szCs w:val="18"/>
        </w:rPr>
        <w:t xml:space="preserve"> </w:t>
      </w:r>
    </w:p>
    <w:bookmarkEnd w:id="45"/>
    <w:p w14:paraId="493F0189" w14:textId="7CC1DFA8" w:rsidR="00296471" w:rsidRPr="0019444B" w:rsidRDefault="00296471" w:rsidP="00A01412">
      <w:pPr>
        <w:spacing w:after="120"/>
        <w:rPr>
          <w:b/>
          <w:bCs/>
          <w:i/>
          <w:iCs/>
          <w:sz w:val="28"/>
          <w:szCs w:val="28"/>
        </w:rPr>
      </w:pPr>
      <w:r w:rsidRPr="0019444B">
        <w:rPr>
          <w:b/>
          <w:bCs/>
          <w:u w:val="single"/>
        </w:rPr>
        <w:t>Safety results: indirect comparison</w:t>
      </w:r>
    </w:p>
    <w:p w14:paraId="2FBF99C5" w14:textId="19B5A0B6" w:rsidR="00296471" w:rsidRPr="0019444B" w:rsidRDefault="00522E83" w:rsidP="00270DE2">
      <w:pPr>
        <w:pStyle w:val="3-BodyText"/>
        <w:numPr>
          <w:ilvl w:val="1"/>
          <w:numId w:val="1"/>
        </w:numPr>
        <w:ind w:left="709" w:hanging="709"/>
      </w:pPr>
      <w:r w:rsidRPr="0019444B">
        <w:t>The MAIC s</w:t>
      </w:r>
      <w:r w:rsidR="00296471" w:rsidRPr="0019444B">
        <w:t xml:space="preserve">afety outcomes for ACA (46.9-month median follow-up) vs VTX+OBIN (39.6-month median follow-up) are presented in </w:t>
      </w:r>
      <w:r w:rsidR="00332019" w:rsidRPr="0019444B">
        <w:fldChar w:fldCharType="begin" w:fldLock="1"/>
      </w:r>
      <w:r w:rsidR="00332019" w:rsidRPr="0019444B">
        <w:instrText xml:space="preserve"> REF _Ref132529558 \h </w:instrText>
      </w:r>
      <w:r w:rsidR="00332019" w:rsidRPr="0019444B">
        <w:fldChar w:fldCharType="separate"/>
      </w:r>
      <w:r w:rsidR="00332019" w:rsidRPr="0019444B">
        <w:t xml:space="preserve">Table </w:t>
      </w:r>
      <w:r w:rsidR="00332019" w:rsidRPr="00012B7C">
        <w:t>1</w:t>
      </w:r>
      <w:r w:rsidR="00332019" w:rsidRPr="0019444B">
        <w:fldChar w:fldCharType="end"/>
      </w:r>
      <w:r w:rsidR="0080529C" w:rsidRPr="0019444B">
        <w:t>1</w:t>
      </w:r>
      <w:r w:rsidR="00332019" w:rsidRPr="0019444B">
        <w:t xml:space="preserve"> </w:t>
      </w:r>
      <w:r w:rsidR="00296471" w:rsidRPr="0019444B">
        <w:t xml:space="preserve">and </w:t>
      </w:r>
      <w:r w:rsidR="00332019" w:rsidRPr="0019444B">
        <w:fldChar w:fldCharType="begin" w:fldLock="1"/>
      </w:r>
      <w:r w:rsidR="00332019" w:rsidRPr="0019444B">
        <w:instrText xml:space="preserve"> REF _Ref132529581 \h </w:instrText>
      </w:r>
      <w:r w:rsidR="00332019" w:rsidRPr="0019444B">
        <w:fldChar w:fldCharType="separate"/>
      </w:r>
      <w:r w:rsidR="00332019" w:rsidRPr="0019444B">
        <w:t xml:space="preserve">Table </w:t>
      </w:r>
      <w:r w:rsidR="00332019" w:rsidRPr="00012B7C">
        <w:t>1</w:t>
      </w:r>
      <w:r w:rsidR="00332019" w:rsidRPr="0019444B">
        <w:fldChar w:fldCharType="end"/>
      </w:r>
      <w:r w:rsidR="0080529C" w:rsidRPr="0019444B">
        <w:t>2</w:t>
      </w:r>
      <w:r w:rsidR="00270DE2" w:rsidRPr="0019444B">
        <w:t>.</w:t>
      </w:r>
    </w:p>
    <w:p w14:paraId="5739626A" w14:textId="70AB4B0D" w:rsidR="00296471" w:rsidRPr="0019444B" w:rsidRDefault="00332019" w:rsidP="00A1411D">
      <w:pPr>
        <w:pStyle w:val="Caption"/>
        <w:ind w:right="141"/>
      </w:pPr>
      <w:bookmarkStart w:id="50" w:name="_Ref132529558"/>
      <w:bookmarkStart w:id="51" w:name="_Toc128756717"/>
      <w:bookmarkStart w:id="52" w:name="_Toc129165700"/>
      <w:r w:rsidRPr="0019444B">
        <w:t xml:space="preserve">Table </w:t>
      </w:r>
      <w:bookmarkEnd w:id="50"/>
      <w:r w:rsidR="00D13D0B" w:rsidRPr="00012B7C">
        <w:fldChar w:fldCharType="begin" w:fldLock="1"/>
      </w:r>
      <w:r w:rsidR="00D13D0B" w:rsidRPr="0019444B">
        <w:instrText xml:space="preserve"> SEQ Table \* ARABIC </w:instrText>
      </w:r>
      <w:r w:rsidR="00D13D0B" w:rsidRPr="00012B7C">
        <w:fldChar w:fldCharType="separate"/>
      </w:r>
      <w:r w:rsidR="007C39B4" w:rsidRPr="00012B7C">
        <w:t>11</w:t>
      </w:r>
      <w:r w:rsidR="00D13D0B" w:rsidRPr="00012B7C">
        <w:fldChar w:fldCharType="end"/>
      </w:r>
      <w:r w:rsidRPr="0019444B">
        <w:t>:</w:t>
      </w:r>
      <w:bookmarkStart w:id="53" w:name="_Hlk132282457"/>
      <w:r w:rsidRPr="0019444B">
        <w:t xml:space="preserve"> </w:t>
      </w:r>
      <w:r w:rsidR="00296471" w:rsidRPr="0019444B">
        <w:t xml:space="preserve">Safety outcomes MAIC update for ACA </w:t>
      </w:r>
      <w:r w:rsidR="00296471" w:rsidRPr="00012B7C">
        <w:t>(46.9</w:t>
      </w:r>
      <w:r w:rsidR="00FD0F12">
        <w:t>-</w:t>
      </w:r>
      <w:r w:rsidR="00296471" w:rsidRPr="00012B7C">
        <w:t xml:space="preserve">month median follow-up) </w:t>
      </w:r>
      <w:r w:rsidR="00296471" w:rsidRPr="0019444B">
        <w:t>vs VTX+OBIN (39.6</w:t>
      </w:r>
      <w:r w:rsidR="00FD0F12">
        <w:t>-</w:t>
      </w:r>
      <w:r w:rsidR="00296471" w:rsidRPr="0019444B">
        <w:t>month median follow-up)</w:t>
      </w:r>
      <w:bookmarkEnd w:id="51"/>
      <w:bookmarkEnd w:id="52"/>
    </w:p>
    <w:tbl>
      <w:tblPr>
        <w:tblStyle w:val="TableGrid"/>
        <w:tblW w:w="5000" w:type="pct"/>
        <w:tblInd w:w="-5" w:type="dxa"/>
        <w:tblLayout w:type="fixed"/>
        <w:tblLook w:val="04A0" w:firstRow="1" w:lastRow="0" w:firstColumn="1" w:lastColumn="0" w:noHBand="0" w:noVBand="1"/>
      </w:tblPr>
      <w:tblGrid>
        <w:gridCol w:w="2277"/>
        <w:gridCol w:w="1030"/>
        <w:gridCol w:w="1120"/>
        <w:gridCol w:w="967"/>
        <w:gridCol w:w="1082"/>
        <w:gridCol w:w="2541"/>
      </w:tblGrid>
      <w:tr w:rsidR="00774896" w:rsidRPr="0019444B" w14:paraId="486C3D9E" w14:textId="77777777" w:rsidTr="000D2BBF">
        <w:tc>
          <w:tcPr>
            <w:tcW w:w="1263" w:type="pct"/>
            <w:vMerge w:val="restart"/>
            <w:vAlign w:val="center"/>
          </w:tcPr>
          <w:p w14:paraId="4F816EFF" w14:textId="77777777" w:rsidR="00296471" w:rsidRPr="0019444B" w:rsidRDefault="00296471" w:rsidP="003965B7">
            <w:pPr>
              <w:pStyle w:val="TableText0"/>
              <w:widowControl w:val="0"/>
              <w:rPr>
                <w:b/>
                <w:bCs w:val="0"/>
              </w:rPr>
            </w:pPr>
            <w:bookmarkStart w:id="54" w:name="_Hlk132210213"/>
            <w:bookmarkEnd w:id="53"/>
            <w:r w:rsidRPr="0019444B">
              <w:rPr>
                <w:b/>
              </w:rPr>
              <w:t>Grade ≥3 adverse event</w:t>
            </w:r>
          </w:p>
        </w:tc>
        <w:tc>
          <w:tcPr>
            <w:tcW w:w="1192" w:type="pct"/>
            <w:gridSpan w:val="2"/>
          </w:tcPr>
          <w:p w14:paraId="338C1B75" w14:textId="77777777" w:rsidR="00296471" w:rsidRPr="0019444B" w:rsidRDefault="00296471" w:rsidP="003965B7">
            <w:pPr>
              <w:pStyle w:val="TableText0"/>
              <w:widowControl w:val="0"/>
              <w:jc w:val="center"/>
              <w:rPr>
                <w:b/>
                <w:bCs w:val="0"/>
              </w:rPr>
            </w:pPr>
            <w:r w:rsidRPr="0019444B">
              <w:rPr>
                <w:b/>
              </w:rPr>
              <w:t>Before matching</w:t>
            </w:r>
          </w:p>
        </w:tc>
        <w:tc>
          <w:tcPr>
            <w:tcW w:w="1135" w:type="pct"/>
            <w:gridSpan w:val="2"/>
          </w:tcPr>
          <w:p w14:paraId="210623C8" w14:textId="77777777" w:rsidR="00296471" w:rsidRPr="0019444B" w:rsidRDefault="00296471" w:rsidP="003965B7">
            <w:pPr>
              <w:pStyle w:val="TableText0"/>
              <w:widowControl w:val="0"/>
              <w:jc w:val="center"/>
              <w:rPr>
                <w:b/>
                <w:bCs w:val="0"/>
              </w:rPr>
            </w:pPr>
            <w:r w:rsidRPr="0019444B">
              <w:rPr>
                <w:b/>
              </w:rPr>
              <w:t>After matching</w:t>
            </w:r>
          </w:p>
        </w:tc>
        <w:tc>
          <w:tcPr>
            <w:tcW w:w="1410" w:type="pct"/>
            <w:vMerge w:val="restart"/>
          </w:tcPr>
          <w:p w14:paraId="0397860D" w14:textId="77777777" w:rsidR="00296471" w:rsidRPr="0019444B" w:rsidRDefault="00296471" w:rsidP="003965B7">
            <w:pPr>
              <w:pStyle w:val="TableText0"/>
              <w:widowControl w:val="0"/>
              <w:jc w:val="center"/>
              <w:rPr>
                <w:b/>
              </w:rPr>
            </w:pPr>
            <w:r w:rsidRPr="0019444B">
              <w:rPr>
                <w:b/>
              </w:rPr>
              <w:t xml:space="preserve">Risk difference </w:t>
            </w:r>
          </w:p>
          <w:p w14:paraId="66FE64C1" w14:textId="77777777" w:rsidR="00296471" w:rsidRPr="0019444B" w:rsidRDefault="00296471" w:rsidP="003965B7">
            <w:pPr>
              <w:pStyle w:val="TableText0"/>
              <w:widowControl w:val="0"/>
              <w:jc w:val="center"/>
              <w:rPr>
                <w:b/>
                <w:bCs w:val="0"/>
              </w:rPr>
            </w:pPr>
            <w:r w:rsidRPr="0019444B">
              <w:rPr>
                <w:b/>
              </w:rPr>
              <w:t>(95% CI), p-value</w:t>
            </w:r>
          </w:p>
        </w:tc>
      </w:tr>
      <w:tr w:rsidR="00774896" w:rsidRPr="0019444B" w14:paraId="50A9372C" w14:textId="77777777" w:rsidTr="000D2BBF">
        <w:tc>
          <w:tcPr>
            <w:tcW w:w="1263" w:type="pct"/>
            <w:vMerge/>
          </w:tcPr>
          <w:p w14:paraId="7B84B9C0" w14:textId="77777777" w:rsidR="00296471" w:rsidRPr="0019444B" w:rsidRDefault="00296471" w:rsidP="003965B7">
            <w:pPr>
              <w:pStyle w:val="TableText0"/>
              <w:widowControl w:val="0"/>
            </w:pPr>
          </w:p>
        </w:tc>
        <w:tc>
          <w:tcPr>
            <w:tcW w:w="571" w:type="pct"/>
            <w:vAlign w:val="center"/>
          </w:tcPr>
          <w:p w14:paraId="2DD6F569" w14:textId="77777777" w:rsidR="00296471" w:rsidRPr="0019444B" w:rsidRDefault="00296471" w:rsidP="003965B7">
            <w:pPr>
              <w:pStyle w:val="TableText0"/>
              <w:widowControl w:val="0"/>
              <w:jc w:val="center"/>
              <w:rPr>
                <w:b/>
                <w:bCs w:val="0"/>
              </w:rPr>
            </w:pPr>
            <w:r w:rsidRPr="0019444B">
              <w:rPr>
                <w:b/>
              </w:rPr>
              <w:t>ACA</w:t>
            </w:r>
          </w:p>
          <w:p w14:paraId="2A917DF6" w14:textId="77777777" w:rsidR="00296471" w:rsidRPr="0019444B" w:rsidRDefault="00296471" w:rsidP="003965B7">
            <w:pPr>
              <w:pStyle w:val="TableText0"/>
              <w:widowControl w:val="0"/>
              <w:jc w:val="center"/>
              <w:rPr>
                <w:b/>
                <w:bCs w:val="0"/>
                <w:vertAlign w:val="superscript"/>
              </w:rPr>
            </w:pPr>
            <w:r w:rsidRPr="0019444B">
              <w:rPr>
                <w:b/>
              </w:rPr>
              <w:t xml:space="preserve">N=176 </w:t>
            </w:r>
            <w:r w:rsidRPr="0019444B">
              <w:rPr>
                <w:b/>
                <w:vertAlign w:val="superscript"/>
              </w:rPr>
              <w:t>a</w:t>
            </w:r>
          </w:p>
        </w:tc>
        <w:tc>
          <w:tcPr>
            <w:tcW w:w="621" w:type="pct"/>
            <w:vAlign w:val="center"/>
          </w:tcPr>
          <w:p w14:paraId="2A99FE6A" w14:textId="77777777" w:rsidR="00296471" w:rsidRPr="0019444B" w:rsidRDefault="00296471" w:rsidP="003965B7">
            <w:pPr>
              <w:pStyle w:val="TableText0"/>
              <w:widowControl w:val="0"/>
              <w:jc w:val="center"/>
              <w:rPr>
                <w:b/>
                <w:bCs w:val="0"/>
              </w:rPr>
            </w:pPr>
            <w:r w:rsidRPr="0019444B">
              <w:rPr>
                <w:b/>
              </w:rPr>
              <w:t>VTX+OBIN</w:t>
            </w:r>
          </w:p>
          <w:p w14:paraId="70C1FD40" w14:textId="77777777" w:rsidR="00296471" w:rsidRPr="0019444B" w:rsidRDefault="00296471" w:rsidP="003965B7">
            <w:pPr>
              <w:pStyle w:val="TableText0"/>
              <w:widowControl w:val="0"/>
              <w:jc w:val="center"/>
              <w:rPr>
                <w:b/>
                <w:bCs w:val="0"/>
              </w:rPr>
            </w:pPr>
            <w:r w:rsidRPr="0019444B">
              <w:rPr>
                <w:b/>
              </w:rPr>
              <w:t>N=216</w:t>
            </w:r>
          </w:p>
        </w:tc>
        <w:tc>
          <w:tcPr>
            <w:tcW w:w="536" w:type="pct"/>
            <w:vAlign w:val="center"/>
          </w:tcPr>
          <w:p w14:paraId="5D1D6ACC" w14:textId="77777777" w:rsidR="00296471" w:rsidRPr="0019444B" w:rsidRDefault="00296471" w:rsidP="003965B7">
            <w:pPr>
              <w:pStyle w:val="TableText0"/>
              <w:widowControl w:val="0"/>
              <w:jc w:val="center"/>
              <w:rPr>
                <w:b/>
                <w:bCs w:val="0"/>
              </w:rPr>
            </w:pPr>
            <w:r w:rsidRPr="0019444B">
              <w:rPr>
                <w:b/>
              </w:rPr>
              <w:t>ACA</w:t>
            </w:r>
          </w:p>
          <w:p w14:paraId="4C96F956" w14:textId="77777777" w:rsidR="00296471" w:rsidRPr="0019444B" w:rsidRDefault="00296471" w:rsidP="003965B7">
            <w:pPr>
              <w:pStyle w:val="TableText0"/>
              <w:widowControl w:val="0"/>
              <w:jc w:val="center"/>
              <w:rPr>
                <w:b/>
                <w:bCs w:val="0"/>
              </w:rPr>
            </w:pPr>
            <w:r w:rsidRPr="0019444B">
              <w:rPr>
                <w:b/>
              </w:rPr>
              <w:t>N=96</w:t>
            </w:r>
          </w:p>
        </w:tc>
        <w:tc>
          <w:tcPr>
            <w:tcW w:w="600" w:type="pct"/>
            <w:vAlign w:val="center"/>
          </w:tcPr>
          <w:p w14:paraId="56E8414A" w14:textId="77777777" w:rsidR="00296471" w:rsidRPr="0019444B" w:rsidRDefault="00296471" w:rsidP="003965B7">
            <w:pPr>
              <w:pStyle w:val="TableText0"/>
              <w:widowControl w:val="0"/>
              <w:jc w:val="center"/>
              <w:rPr>
                <w:b/>
                <w:bCs w:val="0"/>
              </w:rPr>
            </w:pPr>
            <w:r w:rsidRPr="0019444B">
              <w:rPr>
                <w:b/>
              </w:rPr>
              <w:t>VTX+OBIN</w:t>
            </w:r>
          </w:p>
          <w:p w14:paraId="271DA70D" w14:textId="77777777" w:rsidR="00296471" w:rsidRPr="0019444B" w:rsidRDefault="00296471" w:rsidP="003965B7">
            <w:pPr>
              <w:pStyle w:val="TableText0"/>
              <w:widowControl w:val="0"/>
              <w:jc w:val="center"/>
              <w:rPr>
                <w:b/>
                <w:bCs w:val="0"/>
              </w:rPr>
            </w:pPr>
            <w:r w:rsidRPr="0019444B">
              <w:rPr>
                <w:b/>
              </w:rPr>
              <w:t>N=216</w:t>
            </w:r>
          </w:p>
        </w:tc>
        <w:tc>
          <w:tcPr>
            <w:tcW w:w="1410" w:type="pct"/>
            <w:vMerge/>
          </w:tcPr>
          <w:p w14:paraId="379E582B" w14:textId="77777777" w:rsidR="00296471" w:rsidRPr="0019444B" w:rsidRDefault="00296471" w:rsidP="003965B7">
            <w:pPr>
              <w:pStyle w:val="TableText0"/>
              <w:widowControl w:val="0"/>
              <w:jc w:val="center"/>
              <w:rPr>
                <w:b/>
                <w:bCs w:val="0"/>
              </w:rPr>
            </w:pPr>
          </w:p>
        </w:tc>
      </w:tr>
      <w:tr w:rsidR="00774896" w:rsidRPr="0019444B" w14:paraId="3E9958B2" w14:textId="77777777" w:rsidTr="000D2BBF">
        <w:tc>
          <w:tcPr>
            <w:tcW w:w="1263" w:type="pct"/>
          </w:tcPr>
          <w:p w14:paraId="06B66CC1" w14:textId="77777777" w:rsidR="00296471" w:rsidRPr="0019444B" w:rsidRDefault="00296471" w:rsidP="003965B7">
            <w:pPr>
              <w:pStyle w:val="TableText0"/>
              <w:widowControl w:val="0"/>
            </w:pPr>
            <w:r w:rsidRPr="0019444B">
              <w:t>Anaemia</w:t>
            </w:r>
          </w:p>
        </w:tc>
        <w:tc>
          <w:tcPr>
            <w:tcW w:w="571" w:type="pct"/>
            <w:vAlign w:val="center"/>
          </w:tcPr>
          <w:p w14:paraId="1F76CC75" w14:textId="77777777" w:rsidR="00296471" w:rsidRPr="0019444B" w:rsidRDefault="00296471" w:rsidP="003965B7">
            <w:pPr>
              <w:pStyle w:val="TableText0"/>
              <w:widowControl w:val="0"/>
              <w:jc w:val="center"/>
            </w:pPr>
            <w:r w:rsidRPr="0019444B">
              <w:t>NR</w:t>
            </w:r>
          </w:p>
        </w:tc>
        <w:tc>
          <w:tcPr>
            <w:tcW w:w="621" w:type="pct"/>
            <w:vAlign w:val="center"/>
          </w:tcPr>
          <w:p w14:paraId="2B8E5BA7" w14:textId="77777777" w:rsidR="00296471" w:rsidRPr="0019444B" w:rsidRDefault="00296471" w:rsidP="003965B7">
            <w:pPr>
              <w:pStyle w:val="TableText0"/>
              <w:widowControl w:val="0"/>
              <w:jc w:val="center"/>
            </w:pPr>
            <w:r w:rsidRPr="0019444B">
              <w:t>NR</w:t>
            </w:r>
          </w:p>
        </w:tc>
        <w:tc>
          <w:tcPr>
            <w:tcW w:w="536" w:type="pct"/>
            <w:vAlign w:val="center"/>
          </w:tcPr>
          <w:p w14:paraId="0F5EE386" w14:textId="77777777" w:rsidR="00296471" w:rsidRPr="0019444B" w:rsidRDefault="00296471" w:rsidP="003965B7">
            <w:pPr>
              <w:pStyle w:val="TableText0"/>
              <w:widowControl w:val="0"/>
              <w:jc w:val="center"/>
            </w:pPr>
            <w:r w:rsidRPr="0019444B">
              <w:t>8.7%</w:t>
            </w:r>
          </w:p>
        </w:tc>
        <w:tc>
          <w:tcPr>
            <w:tcW w:w="600" w:type="pct"/>
            <w:vAlign w:val="center"/>
          </w:tcPr>
          <w:p w14:paraId="464B3497" w14:textId="77777777" w:rsidR="00296471" w:rsidRPr="0019444B" w:rsidRDefault="00296471" w:rsidP="003965B7">
            <w:pPr>
              <w:pStyle w:val="TableText0"/>
              <w:widowControl w:val="0"/>
              <w:jc w:val="center"/>
            </w:pPr>
            <w:r w:rsidRPr="0019444B">
              <w:t>8%</w:t>
            </w:r>
          </w:p>
        </w:tc>
        <w:tc>
          <w:tcPr>
            <w:tcW w:w="1410" w:type="pct"/>
            <w:vAlign w:val="center"/>
          </w:tcPr>
          <w:p w14:paraId="4E2D6570" w14:textId="77777777" w:rsidR="00296471" w:rsidRPr="0019444B" w:rsidRDefault="00296471" w:rsidP="003965B7">
            <w:pPr>
              <w:pStyle w:val="TableText0"/>
              <w:widowControl w:val="0"/>
            </w:pPr>
            <w:r w:rsidRPr="0019444B">
              <w:t>−0.7 (−6.3, 7.6), p=0.841</w:t>
            </w:r>
          </w:p>
        </w:tc>
      </w:tr>
      <w:tr w:rsidR="00774896" w:rsidRPr="0019444B" w14:paraId="6B044C52" w14:textId="77777777" w:rsidTr="000D2BBF">
        <w:tc>
          <w:tcPr>
            <w:tcW w:w="1263" w:type="pct"/>
          </w:tcPr>
          <w:p w14:paraId="1BEC8ACB" w14:textId="77777777" w:rsidR="00296471" w:rsidRPr="0019444B" w:rsidRDefault="00296471" w:rsidP="003965B7">
            <w:pPr>
              <w:pStyle w:val="TableText0"/>
              <w:widowControl w:val="0"/>
            </w:pPr>
            <w:r w:rsidRPr="0019444B">
              <w:t>Diarrhoea</w:t>
            </w:r>
          </w:p>
        </w:tc>
        <w:tc>
          <w:tcPr>
            <w:tcW w:w="571" w:type="pct"/>
            <w:vAlign w:val="center"/>
          </w:tcPr>
          <w:p w14:paraId="5C955753" w14:textId="77777777" w:rsidR="00296471" w:rsidRPr="0019444B" w:rsidRDefault="00296471" w:rsidP="003965B7">
            <w:pPr>
              <w:pStyle w:val="TableText0"/>
              <w:widowControl w:val="0"/>
              <w:jc w:val="center"/>
            </w:pPr>
            <w:r w:rsidRPr="0019444B">
              <w:t>NR</w:t>
            </w:r>
          </w:p>
        </w:tc>
        <w:tc>
          <w:tcPr>
            <w:tcW w:w="621" w:type="pct"/>
            <w:vAlign w:val="center"/>
          </w:tcPr>
          <w:p w14:paraId="6843F33A" w14:textId="77777777" w:rsidR="00296471" w:rsidRPr="0019444B" w:rsidRDefault="00296471" w:rsidP="003965B7">
            <w:pPr>
              <w:pStyle w:val="TableText0"/>
              <w:widowControl w:val="0"/>
              <w:jc w:val="center"/>
            </w:pPr>
            <w:r w:rsidRPr="0019444B">
              <w:t>NR</w:t>
            </w:r>
          </w:p>
        </w:tc>
        <w:tc>
          <w:tcPr>
            <w:tcW w:w="536" w:type="pct"/>
            <w:vAlign w:val="center"/>
          </w:tcPr>
          <w:p w14:paraId="11D6DD60" w14:textId="77777777" w:rsidR="00296471" w:rsidRPr="0019444B" w:rsidRDefault="00296471" w:rsidP="003965B7">
            <w:pPr>
              <w:pStyle w:val="TableText0"/>
              <w:widowControl w:val="0"/>
              <w:jc w:val="center"/>
            </w:pPr>
            <w:r w:rsidRPr="0019444B">
              <w:t>1.0%</w:t>
            </w:r>
          </w:p>
        </w:tc>
        <w:tc>
          <w:tcPr>
            <w:tcW w:w="600" w:type="pct"/>
            <w:vAlign w:val="center"/>
          </w:tcPr>
          <w:p w14:paraId="7AF77587" w14:textId="77777777" w:rsidR="00296471" w:rsidRPr="0019444B" w:rsidRDefault="00296471" w:rsidP="003965B7">
            <w:pPr>
              <w:pStyle w:val="TableText0"/>
              <w:widowControl w:val="0"/>
              <w:jc w:val="center"/>
            </w:pPr>
            <w:r w:rsidRPr="0019444B">
              <w:t>3.8%</w:t>
            </w:r>
          </w:p>
        </w:tc>
        <w:tc>
          <w:tcPr>
            <w:tcW w:w="1410" w:type="pct"/>
            <w:vAlign w:val="center"/>
          </w:tcPr>
          <w:p w14:paraId="0264AB17" w14:textId="77777777" w:rsidR="00296471" w:rsidRPr="0019444B" w:rsidRDefault="00296471" w:rsidP="003965B7">
            <w:pPr>
              <w:pStyle w:val="TableText0"/>
              <w:widowControl w:val="0"/>
            </w:pPr>
            <w:r w:rsidRPr="0019444B">
              <w:t>−2.8 (−6.0, 0.5), p=0.1</w:t>
            </w:r>
          </w:p>
        </w:tc>
      </w:tr>
      <w:tr w:rsidR="00774896" w:rsidRPr="0019444B" w14:paraId="6735591D" w14:textId="77777777" w:rsidTr="000D2BBF">
        <w:tc>
          <w:tcPr>
            <w:tcW w:w="1263" w:type="pct"/>
          </w:tcPr>
          <w:p w14:paraId="1EF0E41F" w14:textId="77777777" w:rsidR="00296471" w:rsidRPr="0019444B" w:rsidRDefault="00296471" w:rsidP="003965B7">
            <w:pPr>
              <w:pStyle w:val="TableText0"/>
              <w:widowControl w:val="0"/>
              <w:rPr>
                <w:b/>
                <w:bCs w:val="0"/>
              </w:rPr>
            </w:pPr>
            <w:r w:rsidRPr="0019444B">
              <w:rPr>
                <w:b/>
                <w:bCs w:val="0"/>
              </w:rPr>
              <w:t>Febrile neutropenia</w:t>
            </w:r>
          </w:p>
        </w:tc>
        <w:tc>
          <w:tcPr>
            <w:tcW w:w="571" w:type="pct"/>
            <w:vAlign w:val="center"/>
          </w:tcPr>
          <w:p w14:paraId="1A6C4D42" w14:textId="77777777" w:rsidR="00296471" w:rsidRPr="0019444B" w:rsidRDefault="00296471" w:rsidP="003965B7">
            <w:pPr>
              <w:pStyle w:val="TableText0"/>
              <w:widowControl w:val="0"/>
              <w:jc w:val="center"/>
              <w:rPr>
                <w:b/>
                <w:bCs w:val="0"/>
              </w:rPr>
            </w:pPr>
            <w:r w:rsidRPr="0019444B">
              <w:rPr>
                <w:b/>
                <w:bCs w:val="0"/>
              </w:rPr>
              <w:t>NR</w:t>
            </w:r>
          </w:p>
        </w:tc>
        <w:tc>
          <w:tcPr>
            <w:tcW w:w="621" w:type="pct"/>
            <w:vAlign w:val="center"/>
          </w:tcPr>
          <w:p w14:paraId="47DCA834" w14:textId="77777777" w:rsidR="00296471" w:rsidRPr="0019444B" w:rsidRDefault="00296471" w:rsidP="003965B7">
            <w:pPr>
              <w:pStyle w:val="TableText0"/>
              <w:widowControl w:val="0"/>
              <w:jc w:val="center"/>
              <w:rPr>
                <w:b/>
                <w:bCs w:val="0"/>
              </w:rPr>
            </w:pPr>
            <w:r w:rsidRPr="0019444B">
              <w:rPr>
                <w:b/>
                <w:bCs w:val="0"/>
              </w:rPr>
              <w:t>NR</w:t>
            </w:r>
          </w:p>
        </w:tc>
        <w:tc>
          <w:tcPr>
            <w:tcW w:w="536" w:type="pct"/>
            <w:vAlign w:val="center"/>
          </w:tcPr>
          <w:p w14:paraId="772DBAD0" w14:textId="77777777" w:rsidR="00296471" w:rsidRPr="0019444B" w:rsidRDefault="00296471" w:rsidP="003965B7">
            <w:pPr>
              <w:pStyle w:val="TableText0"/>
              <w:widowControl w:val="0"/>
              <w:jc w:val="center"/>
              <w:rPr>
                <w:b/>
                <w:bCs w:val="0"/>
              </w:rPr>
            </w:pPr>
            <w:r w:rsidRPr="0019444B">
              <w:rPr>
                <w:b/>
                <w:bCs w:val="0"/>
              </w:rPr>
              <w:t>0.3%</w:t>
            </w:r>
          </w:p>
        </w:tc>
        <w:tc>
          <w:tcPr>
            <w:tcW w:w="600" w:type="pct"/>
            <w:vAlign w:val="center"/>
          </w:tcPr>
          <w:p w14:paraId="3064BB4B" w14:textId="77777777" w:rsidR="00296471" w:rsidRPr="0019444B" w:rsidRDefault="00296471" w:rsidP="003965B7">
            <w:pPr>
              <w:pStyle w:val="TableText0"/>
              <w:widowControl w:val="0"/>
              <w:jc w:val="center"/>
              <w:rPr>
                <w:b/>
                <w:bCs w:val="0"/>
              </w:rPr>
            </w:pPr>
            <w:r w:rsidRPr="0019444B">
              <w:rPr>
                <w:b/>
                <w:bCs w:val="0"/>
              </w:rPr>
              <w:t>5.2%</w:t>
            </w:r>
          </w:p>
        </w:tc>
        <w:tc>
          <w:tcPr>
            <w:tcW w:w="1410" w:type="pct"/>
            <w:vAlign w:val="center"/>
          </w:tcPr>
          <w:p w14:paraId="2371FE4B" w14:textId="77777777" w:rsidR="00296471" w:rsidRPr="0019444B" w:rsidRDefault="00296471" w:rsidP="003965B7">
            <w:pPr>
              <w:pStyle w:val="TableText0"/>
              <w:widowControl w:val="0"/>
              <w:rPr>
                <w:b/>
                <w:bCs w:val="0"/>
              </w:rPr>
            </w:pPr>
            <w:r w:rsidRPr="0019444B">
              <w:rPr>
                <w:b/>
                <w:bCs w:val="0"/>
              </w:rPr>
              <w:t>−4.9 (−8.0, −1.9), p=0.002*</w:t>
            </w:r>
          </w:p>
        </w:tc>
      </w:tr>
      <w:tr w:rsidR="00774896" w:rsidRPr="0019444B" w14:paraId="4FCBCD49" w14:textId="77777777" w:rsidTr="000D2BBF">
        <w:tc>
          <w:tcPr>
            <w:tcW w:w="1263" w:type="pct"/>
          </w:tcPr>
          <w:p w14:paraId="04A88D86" w14:textId="77777777" w:rsidR="00296471" w:rsidRPr="0019444B" w:rsidRDefault="00296471" w:rsidP="003965B7">
            <w:pPr>
              <w:pStyle w:val="TableText0"/>
              <w:widowControl w:val="0"/>
              <w:rPr>
                <w:b/>
                <w:bCs w:val="0"/>
              </w:rPr>
            </w:pPr>
            <w:r w:rsidRPr="0019444B">
              <w:rPr>
                <w:b/>
                <w:bCs w:val="0"/>
              </w:rPr>
              <w:t>Infusion-related reaction</w:t>
            </w:r>
          </w:p>
        </w:tc>
        <w:tc>
          <w:tcPr>
            <w:tcW w:w="571" w:type="pct"/>
            <w:vAlign w:val="center"/>
          </w:tcPr>
          <w:p w14:paraId="5149F4F1" w14:textId="77777777" w:rsidR="00296471" w:rsidRPr="0019444B" w:rsidRDefault="00296471" w:rsidP="003965B7">
            <w:pPr>
              <w:pStyle w:val="TableText0"/>
              <w:widowControl w:val="0"/>
              <w:jc w:val="center"/>
              <w:rPr>
                <w:b/>
                <w:bCs w:val="0"/>
              </w:rPr>
            </w:pPr>
            <w:r w:rsidRPr="0019444B">
              <w:rPr>
                <w:b/>
                <w:bCs w:val="0"/>
              </w:rPr>
              <w:t>NR</w:t>
            </w:r>
          </w:p>
        </w:tc>
        <w:tc>
          <w:tcPr>
            <w:tcW w:w="621" w:type="pct"/>
            <w:vAlign w:val="center"/>
          </w:tcPr>
          <w:p w14:paraId="1D46A249" w14:textId="77777777" w:rsidR="00296471" w:rsidRPr="0019444B" w:rsidRDefault="00296471" w:rsidP="003965B7">
            <w:pPr>
              <w:pStyle w:val="TableText0"/>
              <w:widowControl w:val="0"/>
              <w:jc w:val="center"/>
              <w:rPr>
                <w:b/>
                <w:bCs w:val="0"/>
              </w:rPr>
            </w:pPr>
            <w:r w:rsidRPr="0019444B">
              <w:rPr>
                <w:b/>
                <w:bCs w:val="0"/>
              </w:rPr>
              <w:t>NR</w:t>
            </w:r>
          </w:p>
        </w:tc>
        <w:tc>
          <w:tcPr>
            <w:tcW w:w="536" w:type="pct"/>
            <w:vAlign w:val="center"/>
          </w:tcPr>
          <w:p w14:paraId="39CC911A" w14:textId="77777777" w:rsidR="00296471" w:rsidRPr="0019444B" w:rsidRDefault="00296471" w:rsidP="003965B7">
            <w:pPr>
              <w:pStyle w:val="TableText0"/>
              <w:widowControl w:val="0"/>
              <w:jc w:val="center"/>
              <w:rPr>
                <w:b/>
                <w:bCs w:val="0"/>
              </w:rPr>
            </w:pPr>
            <w:r w:rsidRPr="0019444B">
              <w:rPr>
                <w:b/>
                <w:bCs w:val="0"/>
              </w:rPr>
              <w:t>0%</w:t>
            </w:r>
          </w:p>
        </w:tc>
        <w:tc>
          <w:tcPr>
            <w:tcW w:w="600" w:type="pct"/>
            <w:vAlign w:val="center"/>
          </w:tcPr>
          <w:p w14:paraId="77E77054" w14:textId="77777777" w:rsidR="00296471" w:rsidRPr="0019444B" w:rsidRDefault="00296471" w:rsidP="003965B7">
            <w:pPr>
              <w:pStyle w:val="TableText0"/>
              <w:widowControl w:val="0"/>
              <w:jc w:val="center"/>
              <w:rPr>
                <w:b/>
                <w:bCs w:val="0"/>
              </w:rPr>
            </w:pPr>
            <w:r w:rsidRPr="0019444B">
              <w:rPr>
                <w:b/>
                <w:bCs w:val="0"/>
              </w:rPr>
              <w:t>9%</w:t>
            </w:r>
          </w:p>
        </w:tc>
        <w:tc>
          <w:tcPr>
            <w:tcW w:w="1410" w:type="pct"/>
            <w:vAlign w:val="center"/>
          </w:tcPr>
          <w:p w14:paraId="04CD3736" w14:textId="77777777" w:rsidR="00296471" w:rsidRPr="0019444B" w:rsidRDefault="00296471" w:rsidP="003965B7">
            <w:pPr>
              <w:pStyle w:val="TableText0"/>
              <w:widowControl w:val="0"/>
              <w:rPr>
                <w:b/>
                <w:bCs w:val="0"/>
              </w:rPr>
            </w:pPr>
            <w:r w:rsidRPr="0019444B">
              <w:rPr>
                <w:b/>
                <w:bCs w:val="0"/>
              </w:rPr>
              <w:t>−9.0 (−12.9, −5.1), p&lt;0.001*</w:t>
            </w:r>
          </w:p>
        </w:tc>
      </w:tr>
      <w:tr w:rsidR="00774896" w:rsidRPr="0019444B" w14:paraId="51A9ADFE" w14:textId="77777777" w:rsidTr="000D2BBF">
        <w:tc>
          <w:tcPr>
            <w:tcW w:w="1263" w:type="pct"/>
          </w:tcPr>
          <w:p w14:paraId="588F4BF9" w14:textId="77777777" w:rsidR="00296471" w:rsidRPr="0019444B" w:rsidRDefault="00296471" w:rsidP="003965B7">
            <w:pPr>
              <w:pStyle w:val="TableText0"/>
              <w:widowControl w:val="0"/>
            </w:pPr>
            <w:r w:rsidRPr="0019444B">
              <w:t>Leukopenia</w:t>
            </w:r>
          </w:p>
        </w:tc>
        <w:tc>
          <w:tcPr>
            <w:tcW w:w="571" w:type="pct"/>
            <w:vAlign w:val="center"/>
          </w:tcPr>
          <w:p w14:paraId="0C62833A" w14:textId="77777777" w:rsidR="00296471" w:rsidRPr="0019444B" w:rsidRDefault="00296471" w:rsidP="003965B7">
            <w:pPr>
              <w:pStyle w:val="TableText0"/>
              <w:widowControl w:val="0"/>
              <w:jc w:val="center"/>
            </w:pPr>
            <w:r w:rsidRPr="0019444B">
              <w:t>NR</w:t>
            </w:r>
          </w:p>
        </w:tc>
        <w:tc>
          <w:tcPr>
            <w:tcW w:w="621" w:type="pct"/>
            <w:vAlign w:val="center"/>
          </w:tcPr>
          <w:p w14:paraId="3A50ED89" w14:textId="77777777" w:rsidR="00296471" w:rsidRPr="0019444B" w:rsidRDefault="00296471" w:rsidP="003965B7">
            <w:pPr>
              <w:pStyle w:val="TableText0"/>
              <w:widowControl w:val="0"/>
              <w:jc w:val="center"/>
            </w:pPr>
            <w:r w:rsidRPr="0019444B">
              <w:t>NR</w:t>
            </w:r>
          </w:p>
        </w:tc>
        <w:tc>
          <w:tcPr>
            <w:tcW w:w="536" w:type="pct"/>
            <w:vAlign w:val="center"/>
          </w:tcPr>
          <w:p w14:paraId="4DB573B7" w14:textId="77777777" w:rsidR="00296471" w:rsidRPr="0019444B" w:rsidRDefault="00296471" w:rsidP="003965B7">
            <w:pPr>
              <w:pStyle w:val="TableText0"/>
              <w:widowControl w:val="0"/>
              <w:jc w:val="center"/>
            </w:pPr>
            <w:r w:rsidRPr="0019444B">
              <w:t>0%</w:t>
            </w:r>
          </w:p>
        </w:tc>
        <w:tc>
          <w:tcPr>
            <w:tcW w:w="600" w:type="pct"/>
            <w:vAlign w:val="center"/>
          </w:tcPr>
          <w:p w14:paraId="4525103E" w14:textId="77777777" w:rsidR="00296471" w:rsidRPr="0019444B" w:rsidRDefault="00296471" w:rsidP="003965B7">
            <w:pPr>
              <w:pStyle w:val="TableText0"/>
              <w:widowControl w:val="0"/>
              <w:jc w:val="center"/>
            </w:pPr>
            <w:r w:rsidRPr="0019444B">
              <w:t>2.4%</w:t>
            </w:r>
          </w:p>
        </w:tc>
        <w:tc>
          <w:tcPr>
            <w:tcW w:w="1410" w:type="pct"/>
            <w:vAlign w:val="center"/>
          </w:tcPr>
          <w:p w14:paraId="39ECEF6B" w14:textId="77777777" w:rsidR="00296471" w:rsidRPr="0019444B" w:rsidRDefault="00296471" w:rsidP="003965B7">
            <w:pPr>
              <w:pStyle w:val="TableText0"/>
              <w:widowControl w:val="0"/>
            </w:pPr>
            <w:r w:rsidRPr="0019444B">
              <w:t>−2.4 (−4.5, −0.3), p=0.029</w:t>
            </w:r>
          </w:p>
        </w:tc>
      </w:tr>
      <w:tr w:rsidR="00774896" w:rsidRPr="0019444B" w14:paraId="7399C151" w14:textId="77777777" w:rsidTr="000D2BBF">
        <w:tc>
          <w:tcPr>
            <w:tcW w:w="1263" w:type="pct"/>
          </w:tcPr>
          <w:p w14:paraId="7584C61B" w14:textId="77777777" w:rsidR="00296471" w:rsidRPr="0019444B" w:rsidRDefault="00296471" w:rsidP="003965B7">
            <w:pPr>
              <w:pStyle w:val="TableText0"/>
              <w:widowControl w:val="0"/>
              <w:rPr>
                <w:b/>
                <w:bCs w:val="0"/>
              </w:rPr>
            </w:pPr>
            <w:r w:rsidRPr="0019444B">
              <w:rPr>
                <w:b/>
                <w:bCs w:val="0"/>
              </w:rPr>
              <w:t>Neutropenia</w:t>
            </w:r>
          </w:p>
        </w:tc>
        <w:tc>
          <w:tcPr>
            <w:tcW w:w="571" w:type="pct"/>
            <w:vAlign w:val="center"/>
          </w:tcPr>
          <w:p w14:paraId="01B0FC0A" w14:textId="77777777" w:rsidR="00296471" w:rsidRPr="0019444B" w:rsidRDefault="00296471" w:rsidP="003965B7">
            <w:pPr>
              <w:pStyle w:val="TableText0"/>
              <w:widowControl w:val="0"/>
              <w:jc w:val="center"/>
              <w:rPr>
                <w:b/>
                <w:bCs w:val="0"/>
              </w:rPr>
            </w:pPr>
            <w:r w:rsidRPr="0019444B">
              <w:rPr>
                <w:b/>
                <w:bCs w:val="0"/>
              </w:rPr>
              <w:t>NR</w:t>
            </w:r>
          </w:p>
        </w:tc>
        <w:tc>
          <w:tcPr>
            <w:tcW w:w="621" w:type="pct"/>
            <w:vAlign w:val="center"/>
          </w:tcPr>
          <w:p w14:paraId="7DC1B36B" w14:textId="77777777" w:rsidR="00296471" w:rsidRPr="0019444B" w:rsidRDefault="00296471" w:rsidP="003965B7">
            <w:pPr>
              <w:pStyle w:val="TableText0"/>
              <w:widowControl w:val="0"/>
              <w:jc w:val="center"/>
              <w:rPr>
                <w:b/>
                <w:bCs w:val="0"/>
              </w:rPr>
            </w:pPr>
            <w:r w:rsidRPr="0019444B">
              <w:rPr>
                <w:b/>
                <w:bCs w:val="0"/>
              </w:rPr>
              <w:t>NR</w:t>
            </w:r>
          </w:p>
        </w:tc>
        <w:tc>
          <w:tcPr>
            <w:tcW w:w="536" w:type="pct"/>
            <w:vAlign w:val="center"/>
          </w:tcPr>
          <w:p w14:paraId="0B0CFB06" w14:textId="77777777" w:rsidR="00296471" w:rsidRPr="0019444B" w:rsidRDefault="00296471" w:rsidP="003965B7">
            <w:pPr>
              <w:pStyle w:val="TableText0"/>
              <w:widowControl w:val="0"/>
              <w:jc w:val="center"/>
              <w:rPr>
                <w:b/>
                <w:bCs w:val="0"/>
              </w:rPr>
            </w:pPr>
            <w:r w:rsidRPr="0019444B">
              <w:rPr>
                <w:b/>
                <w:bCs w:val="0"/>
              </w:rPr>
              <w:t>9%</w:t>
            </w:r>
          </w:p>
        </w:tc>
        <w:tc>
          <w:tcPr>
            <w:tcW w:w="600" w:type="pct"/>
            <w:vAlign w:val="center"/>
          </w:tcPr>
          <w:p w14:paraId="0C06D5FF" w14:textId="77777777" w:rsidR="00296471" w:rsidRPr="0019444B" w:rsidRDefault="00296471" w:rsidP="003965B7">
            <w:pPr>
              <w:pStyle w:val="TableText0"/>
              <w:widowControl w:val="0"/>
              <w:jc w:val="center"/>
              <w:rPr>
                <w:b/>
                <w:bCs w:val="0"/>
              </w:rPr>
            </w:pPr>
            <w:r w:rsidRPr="0019444B">
              <w:rPr>
                <w:b/>
                <w:bCs w:val="0"/>
              </w:rPr>
              <w:t>52.8%</w:t>
            </w:r>
          </w:p>
        </w:tc>
        <w:tc>
          <w:tcPr>
            <w:tcW w:w="1410" w:type="pct"/>
            <w:vAlign w:val="center"/>
          </w:tcPr>
          <w:p w14:paraId="7D4C4FAE" w14:textId="77777777" w:rsidR="00296471" w:rsidRPr="0019444B" w:rsidRDefault="00296471" w:rsidP="003965B7">
            <w:pPr>
              <w:pStyle w:val="TableText0"/>
              <w:widowControl w:val="0"/>
              <w:rPr>
                <w:b/>
                <w:bCs w:val="0"/>
              </w:rPr>
            </w:pPr>
            <w:r w:rsidRPr="0019444B">
              <w:rPr>
                <w:b/>
                <w:bCs w:val="0"/>
              </w:rPr>
              <w:t>−43.8 (−52.0, −35.5), p&lt;0.001*</w:t>
            </w:r>
          </w:p>
        </w:tc>
      </w:tr>
      <w:tr w:rsidR="00774896" w:rsidRPr="0019444B" w14:paraId="5606716D" w14:textId="77777777" w:rsidTr="000D2BBF">
        <w:tc>
          <w:tcPr>
            <w:tcW w:w="1263" w:type="pct"/>
          </w:tcPr>
          <w:p w14:paraId="6C9A2B0C" w14:textId="77777777" w:rsidR="00296471" w:rsidRPr="0019444B" w:rsidRDefault="00296471" w:rsidP="003965B7">
            <w:pPr>
              <w:pStyle w:val="TableText0"/>
              <w:widowControl w:val="0"/>
              <w:rPr>
                <w:b/>
                <w:bCs w:val="0"/>
              </w:rPr>
            </w:pPr>
            <w:r w:rsidRPr="0019444B">
              <w:rPr>
                <w:b/>
                <w:bCs w:val="0"/>
              </w:rPr>
              <w:t>NMSC</w:t>
            </w:r>
          </w:p>
        </w:tc>
        <w:tc>
          <w:tcPr>
            <w:tcW w:w="571" w:type="pct"/>
            <w:vAlign w:val="center"/>
          </w:tcPr>
          <w:p w14:paraId="7172577A" w14:textId="77777777" w:rsidR="00296471" w:rsidRPr="0019444B" w:rsidRDefault="00296471" w:rsidP="003965B7">
            <w:pPr>
              <w:pStyle w:val="TableText0"/>
              <w:widowControl w:val="0"/>
              <w:jc w:val="center"/>
              <w:rPr>
                <w:b/>
                <w:bCs w:val="0"/>
              </w:rPr>
            </w:pPr>
            <w:r w:rsidRPr="0019444B">
              <w:rPr>
                <w:b/>
                <w:bCs w:val="0"/>
              </w:rPr>
              <w:t>NR</w:t>
            </w:r>
          </w:p>
        </w:tc>
        <w:tc>
          <w:tcPr>
            <w:tcW w:w="621" w:type="pct"/>
            <w:vAlign w:val="center"/>
          </w:tcPr>
          <w:p w14:paraId="4A92E7B8" w14:textId="77777777" w:rsidR="00296471" w:rsidRPr="0019444B" w:rsidRDefault="00296471" w:rsidP="003965B7">
            <w:pPr>
              <w:pStyle w:val="TableText0"/>
              <w:widowControl w:val="0"/>
              <w:jc w:val="center"/>
              <w:rPr>
                <w:b/>
                <w:bCs w:val="0"/>
              </w:rPr>
            </w:pPr>
            <w:r w:rsidRPr="0019444B">
              <w:rPr>
                <w:b/>
                <w:bCs w:val="0"/>
              </w:rPr>
              <w:t>NR</w:t>
            </w:r>
          </w:p>
        </w:tc>
        <w:tc>
          <w:tcPr>
            <w:tcW w:w="536" w:type="pct"/>
            <w:vAlign w:val="center"/>
          </w:tcPr>
          <w:p w14:paraId="00D05630" w14:textId="77777777" w:rsidR="00296471" w:rsidRPr="0019444B" w:rsidRDefault="00296471" w:rsidP="003965B7">
            <w:pPr>
              <w:pStyle w:val="TableText0"/>
              <w:widowControl w:val="0"/>
              <w:jc w:val="center"/>
              <w:rPr>
                <w:b/>
                <w:bCs w:val="0"/>
              </w:rPr>
            </w:pPr>
            <w:r w:rsidRPr="0019444B">
              <w:rPr>
                <w:b/>
                <w:bCs w:val="0"/>
              </w:rPr>
              <w:t>0.4%</w:t>
            </w:r>
          </w:p>
        </w:tc>
        <w:tc>
          <w:tcPr>
            <w:tcW w:w="600" w:type="pct"/>
            <w:vAlign w:val="center"/>
          </w:tcPr>
          <w:p w14:paraId="538728D5" w14:textId="77777777" w:rsidR="00296471" w:rsidRPr="0019444B" w:rsidRDefault="00296471" w:rsidP="003965B7">
            <w:pPr>
              <w:pStyle w:val="TableText0"/>
              <w:widowControl w:val="0"/>
              <w:jc w:val="center"/>
              <w:rPr>
                <w:b/>
                <w:bCs w:val="0"/>
              </w:rPr>
            </w:pPr>
            <w:r w:rsidRPr="0019444B">
              <w:rPr>
                <w:b/>
                <w:bCs w:val="0"/>
              </w:rPr>
              <w:t>8%</w:t>
            </w:r>
          </w:p>
        </w:tc>
        <w:tc>
          <w:tcPr>
            <w:tcW w:w="1410" w:type="pct"/>
            <w:vAlign w:val="center"/>
          </w:tcPr>
          <w:p w14:paraId="03365278" w14:textId="77777777" w:rsidR="00296471" w:rsidRPr="0019444B" w:rsidRDefault="00296471" w:rsidP="003965B7">
            <w:pPr>
              <w:pStyle w:val="TableText0"/>
              <w:widowControl w:val="0"/>
              <w:rPr>
                <w:b/>
                <w:bCs w:val="0"/>
              </w:rPr>
            </w:pPr>
            <w:r w:rsidRPr="0019444B">
              <w:rPr>
                <w:b/>
                <w:bCs w:val="0"/>
              </w:rPr>
              <w:t>−7.6 (−11.3, −3.9), p&lt;0.001*</w:t>
            </w:r>
          </w:p>
        </w:tc>
      </w:tr>
      <w:tr w:rsidR="00774896" w:rsidRPr="0019444B" w14:paraId="3D3ADFE0" w14:textId="77777777" w:rsidTr="000D2BBF">
        <w:tc>
          <w:tcPr>
            <w:tcW w:w="1263" w:type="pct"/>
          </w:tcPr>
          <w:p w14:paraId="503A4667" w14:textId="77777777" w:rsidR="00296471" w:rsidRPr="0019444B" w:rsidRDefault="00296471" w:rsidP="003965B7">
            <w:pPr>
              <w:pStyle w:val="TableText0"/>
              <w:widowControl w:val="0"/>
            </w:pPr>
            <w:r w:rsidRPr="0019444B">
              <w:t>Pneumonia</w:t>
            </w:r>
          </w:p>
        </w:tc>
        <w:tc>
          <w:tcPr>
            <w:tcW w:w="571" w:type="pct"/>
            <w:vAlign w:val="center"/>
          </w:tcPr>
          <w:p w14:paraId="66ABCC29" w14:textId="77777777" w:rsidR="00296471" w:rsidRPr="0019444B" w:rsidRDefault="00296471" w:rsidP="003965B7">
            <w:pPr>
              <w:pStyle w:val="TableText0"/>
              <w:widowControl w:val="0"/>
              <w:jc w:val="center"/>
            </w:pPr>
            <w:r w:rsidRPr="0019444B">
              <w:t>NR</w:t>
            </w:r>
          </w:p>
        </w:tc>
        <w:tc>
          <w:tcPr>
            <w:tcW w:w="621" w:type="pct"/>
            <w:vAlign w:val="center"/>
          </w:tcPr>
          <w:p w14:paraId="67C42C90" w14:textId="77777777" w:rsidR="00296471" w:rsidRPr="0019444B" w:rsidRDefault="00296471" w:rsidP="003965B7">
            <w:pPr>
              <w:pStyle w:val="TableText0"/>
              <w:widowControl w:val="0"/>
              <w:jc w:val="center"/>
            </w:pPr>
            <w:r w:rsidRPr="0019444B">
              <w:t>NR</w:t>
            </w:r>
          </w:p>
        </w:tc>
        <w:tc>
          <w:tcPr>
            <w:tcW w:w="536" w:type="pct"/>
            <w:vAlign w:val="center"/>
          </w:tcPr>
          <w:p w14:paraId="6BEE9130" w14:textId="77777777" w:rsidR="00296471" w:rsidRPr="0019444B" w:rsidRDefault="00296471" w:rsidP="003965B7">
            <w:pPr>
              <w:pStyle w:val="TableText0"/>
              <w:widowControl w:val="0"/>
              <w:jc w:val="center"/>
            </w:pPr>
            <w:r w:rsidRPr="0019444B">
              <w:t>4.3%</w:t>
            </w:r>
          </w:p>
        </w:tc>
        <w:tc>
          <w:tcPr>
            <w:tcW w:w="600" w:type="pct"/>
            <w:vAlign w:val="center"/>
          </w:tcPr>
          <w:p w14:paraId="3A44C876" w14:textId="77777777" w:rsidR="00296471" w:rsidRPr="0019444B" w:rsidRDefault="00296471" w:rsidP="003965B7">
            <w:pPr>
              <w:pStyle w:val="TableText0"/>
              <w:widowControl w:val="0"/>
              <w:jc w:val="center"/>
            </w:pPr>
            <w:r w:rsidRPr="0019444B">
              <w:t>5.7%</w:t>
            </w:r>
          </w:p>
        </w:tc>
        <w:tc>
          <w:tcPr>
            <w:tcW w:w="1410" w:type="pct"/>
            <w:vAlign w:val="center"/>
          </w:tcPr>
          <w:p w14:paraId="7BCB319A" w14:textId="77777777" w:rsidR="00296471" w:rsidRPr="0019444B" w:rsidRDefault="00296471" w:rsidP="003965B7">
            <w:pPr>
              <w:pStyle w:val="TableText0"/>
              <w:widowControl w:val="0"/>
            </w:pPr>
            <w:r w:rsidRPr="0019444B">
              <w:t>−1.4 (−6.1, 3.4), p=0.56</w:t>
            </w:r>
          </w:p>
        </w:tc>
      </w:tr>
      <w:tr w:rsidR="00774896" w:rsidRPr="0019444B" w14:paraId="2E5E6424" w14:textId="77777777" w:rsidTr="000D2BBF">
        <w:tc>
          <w:tcPr>
            <w:tcW w:w="1263" w:type="pct"/>
          </w:tcPr>
          <w:p w14:paraId="16AB62D4" w14:textId="77777777" w:rsidR="00296471" w:rsidRPr="0019444B" w:rsidRDefault="00296471" w:rsidP="003965B7">
            <w:pPr>
              <w:pStyle w:val="TableText0"/>
              <w:widowControl w:val="0"/>
              <w:rPr>
                <w:b/>
                <w:bCs w:val="0"/>
              </w:rPr>
            </w:pPr>
            <w:r w:rsidRPr="0019444B">
              <w:rPr>
                <w:b/>
                <w:bCs w:val="0"/>
              </w:rPr>
              <w:t>SPM (excluding NMSC)</w:t>
            </w:r>
          </w:p>
        </w:tc>
        <w:tc>
          <w:tcPr>
            <w:tcW w:w="571" w:type="pct"/>
            <w:vAlign w:val="center"/>
          </w:tcPr>
          <w:p w14:paraId="47FB194F" w14:textId="77777777" w:rsidR="00296471" w:rsidRPr="0019444B" w:rsidRDefault="00296471" w:rsidP="003965B7">
            <w:pPr>
              <w:pStyle w:val="TableText0"/>
              <w:widowControl w:val="0"/>
              <w:jc w:val="center"/>
              <w:rPr>
                <w:b/>
                <w:bCs w:val="0"/>
              </w:rPr>
            </w:pPr>
            <w:r w:rsidRPr="0019444B">
              <w:rPr>
                <w:b/>
                <w:bCs w:val="0"/>
              </w:rPr>
              <w:t>NR</w:t>
            </w:r>
          </w:p>
        </w:tc>
        <w:tc>
          <w:tcPr>
            <w:tcW w:w="621" w:type="pct"/>
            <w:vAlign w:val="center"/>
          </w:tcPr>
          <w:p w14:paraId="0706D1AE" w14:textId="77777777" w:rsidR="00296471" w:rsidRPr="0019444B" w:rsidRDefault="00296471" w:rsidP="003965B7">
            <w:pPr>
              <w:pStyle w:val="TableText0"/>
              <w:widowControl w:val="0"/>
              <w:jc w:val="center"/>
              <w:rPr>
                <w:b/>
                <w:bCs w:val="0"/>
              </w:rPr>
            </w:pPr>
            <w:r w:rsidRPr="0019444B">
              <w:rPr>
                <w:b/>
                <w:bCs w:val="0"/>
              </w:rPr>
              <w:t>NR</w:t>
            </w:r>
          </w:p>
        </w:tc>
        <w:tc>
          <w:tcPr>
            <w:tcW w:w="536" w:type="pct"/>
            <w:vAlign w:val="center"/>
          </w:tcPr>
          <w:p w14:paraId="2BA6BBDB" w14:textId="77777777" w:rsidR="00296471" w:rsidRPr="0019444B" w:rsidRDefault="00296471" w:rsidP="003965B7">
            <w:pPr>
              <w:pStyle w:val="TableText0"/>
              <w:widowControl w:val="0"/>
              <w:jc w:val="center"/>
              <w:rPr>
                <w:b/>
                <w:bCs w:val="0"/>
              </w:rPr>
            </w:pPr>
            <w:r w:rsidRPr="0019444B">
              <w:rPr>
                <w:b/>
                <w:bCs w:val="0"/>
              </w:rPr>
              <w:t>3%</w:t>
            </w:r>
          </w:p>
        </w:tc>
        <w:tc>
          <w:tcPr>
            <w:tcW w:w="600" w:type="pct"/>
            <w:vAlign w:val="center"/>
          </w:tcPr>
          <w:p w14:paraId="36818A84" w14:textId="77777777" w:rsidR="00296471" w:rsidRPr="0019444B" w:rsidRDefault="00296471" w:rsidP="003965B7">
            <w:pPr>
              <w:pStyle w:val="TableText0"/>
              <w:widowControl w:val="0"/>
              <w:jc w:val="center"/>
              <w:rPr>
                <w:b/>
                <w:bCs w:val="0"/>
              </w:rPr>
            </w:pPr>
            <w:r w:rsidRPr="0019444B">
              <w:rPr>
                <w:b/>
                <w:bCs w:val="0"/>
              </w:rPr>
              <w:t>9%</w:t>
            </w:r>
          </w:p>
        </w:tc>
        <w:tc>
          <w:tcPr>
            <w:tcW w:w="1410" w:type="pct"/>
            <w:vAlign w:val="center"/>
          </w:tcPr>
          <w:p w14:paraId="22ABA825" w14:textId="77777777" w:rsidR="00296471" w:rsidRPr="0019444B" w:rsidRDefault="00296471" w:rsidP="003965B7">
            <w:pPr>
              <w:pStyle w:val="TableText0"/>
              <w:widowControl w:val="0"/>
              <w:rPr>
                <w:b/>
                <w:bCs w:val="0"/>
              </w:rPr>
            </w:pPr>
            <w:r w:rsidRPr="0019444B">
              <w:rPr>
                <w:b/>
                <w:bCs w:val="0"/>
              </w:rPr>
              <w:t>−6.0 (−11.1, −1.0), p=0.021*</w:t>
            </w:r>
          </w:p>
        </w:tc>
      </w:tr>
      <w:tr w:rsidR="00774896" w:rsidRPr="0019444B" w14:paraId="3890CB10" w14:textId="77777777" w:rsidTr="000D2BBF">
        <w:tc>
          <w:tcPr>
            <w:tcW w:w="1263" w:type="pct"/>
          </w:tcPr>
          <w:p w14:paraId="7634849A" w14:textId="77777777" w:rsidR="00296471" w:rsidRPr="0019444B" w:rsidRDefault="00296471" w:rsidP="003965B7">
            <w:pPr>
              <w:pStyle w:val="TableText0"/>
              <w:widowControl w:val="0"/>
              <w:rPr>
                <w:b/>
                <w:bCs w:val="0"/>
              </w:rPr>
            </w:pPr>
            <w:r w:rsidRPr="0019444B">
              <w:rPr>
                <w:b/>
                <w:bCs w:val="0"/>
              </w:rPr>
              <w:t>Thrombocytopenia</w:t>
            </w:r>
          </w:p>
        </w:tc>
        <w:tc>
          <w:tcPr>
            <w:tcW w:w="571" w:type="pct"/>
            <w:vAlign w:val="center"/>
          </w:tcPr>
          <w:p w14:paraId="57D00BBE" w14:textId="77777777" w:rsidR="00296471" w:rsidRPr="0019444B" w:rsidRDefault="00296471" w:rsidP="003965B7">
            <w:pPr>
              <w:pStyle w:val="TableText0"/>
              <w:widowControl w:val="0"/>
              <w:jc w:val="center"/>
              <w:rPr>
                <w:b/>
                <w:bCs w:val="0"/>
              </w:rPr>
            </w:pPr>
            <w:r w:rsidRPr="0019444B">
              <w:rPr>
                <w:b/>
                <w:bCs w:val="0"/>
              </w:rPr>
              <w:t>NR</w:t>
            </w:r>
          </w:p>
        </w:tc>
        <w:tc>
          <w:tcPr>
            <w:tcW w:w="621" w:type="pct"/>
            <w:vAlign w:val="center"/>
          </w:tcPr>
          <w:p w14:paraId="635F6558" w14:textId="77777777" w:rsidR="00296471" w:rsidRPr="0019444B" w:rsidRDefault="00296471" w:rsidP="003965B7">
            <w:pPr>
              <w:pStyle w:val="TableText0"/>
              <w:widowControl w:val="0"/>
              <w:jc w:val="center"/>
              <w:rPr>
                <w:b/>
                <w:bCs w:val="0"/>
              </w:rPr>
            </w:pPr>
            <w:r w:rsidRPr="0019444B">
              <w:rPr>
                <w:b/>
                <w:bCs w:val="0"/>
              </w:rPr>
              <w:t>NR</w:t>
            </w:r>
          </w:p>
        </w:tc>
        <w:tc>
          <w:tcPr>
            <w:tcW w:w="536" w:type="pct"/>
            <w:vAlign w:val="center"/>
          </w:tcPr>
          <w:p w14:paraId="5DBFBB55" w14:textId="77777777" w:rsidR="00296471" w:rsidRPr="0019444B" w:rsidRDefault="00296471" w:rsidP="003965B7">
            <w:pPr>
              <w:pStyle w:val="TableText0"/>
              <w:widowControl w:val="0"/>
              <w:jc w:val="center"/>
              <w:rPr>
                <w:b/>
                <w:bCs w:val="0"/>
              </w:rPr>
            </w:pPr>
            <w:r w:rsidRPr="0019444B">
              <w:rPr>
                <w:b/>
                <w:bCs w:val="0"/>
              </w:rPr>
              <w:t>2.2%</w:t>
            </w:r>
          </w:p>
        </w:tc>
        <w:tc>
          <w:tcPr>
            <w:tcW w:w="600" w:type="pct"/>
            <w:vAlign w:val="center"/>
          </w:tcPr>
          <w:p w14:paraId="1F8287F8" w14:textId="77777777" w:rsidR="00296471" w:rsidRPr="0019444B" w:rsidRDefault="00296471" w:rsidP="003965B7">
            <w:pPr>
              <w:pStyle w:val="TableText0"/>
              <w:widowControl w:val="0"/>
              <w:jc w:val="center"/>
              <w:rPr>
                <w:b/>
                <w:bCs w:val="0"/>
              </w:rPr>
            </w:pPr>
            <w:r w:rsidRPr="0019444B">
              <w:rPr>
                <w:b/>
                <w:bCs w:val="0"/>
              </w:rPr>
              <w:t>13.7%</w:t>
            </w:r>
          </w:p>
        </w:tc>
        <w:tc>
          <w:tcPr>
            <w:tcW w:w="1410" w:type="pct"/>
            <w:vAlign w:val="center"/>
          </w:tcPr>
          <w:p w14:paraId="6DA6F1A2" w14:textId="77777777" w:rsidR="00296471" w:rsidRPr="0019444B" w:rsidRDefault="00296471" w:rsidP="003965B7">
            <w:pPr>
              <w:pStyle w:val="TableText0"/>
              <w:widowControl w:val="0"/>
              <w:rPr>
                <w:b/>
                <w:bCs w:val="0"/>
              </w:rPr>
            </w:pPr>
            <w:r w:rsidRPr="0019444B">
              <w:rPr>
                <w:b/>
                <w:bCs w:val="0"/>
              </w:rPr>
              <w:t>−11.5 (−16.6, −6.4), p&lt;0.001*</w:t>
            </w:r>
          </w:p>
        </w:tc>
      </w:tr>
      <w:tr w:rsidR="00774896" w:rsidRPr="0019444B" w14:paraId="4349E624" w14:textId="77777777" w:rsidTr="000D2BBF">
        <w:tc>
          <w:tcPr>
            <w:tcW w:w="1263" w:type="pct"/>
          </w:tcPr>
          <w:p w14:paraId="25CAFE5B" w14:textId="77777777" w:rsidR="00296471" w:rsidRPr="0019444B" w:rsidRDefault="00296471" w:rsidP="003965B7">
            <w:pPr>
              <w:pStyle w:val="TableText0"/>
              <w:widowControl w:val="0"/>
            </w:pPr>
            <w:r w:rsidRPr="0019444B">
              <w:t>Tumour lysis syndrome</w:t>
            </w:r>
          </w:p>
        </w:tc>
        <w:tc>
          <w:tcPr>
            <w:tcW w:w="571" w:type="pct"/>
            <w:vAlign w:val="center"/>
          </w:tcPr>
          <w:p w14:paraId="778C9EDB" w14:textId="77777777" w:rsidR="00296471" w:rsidRPr="0019444B" w:rsidRDefault="00296471" w:rsidP="003965B7">
            <w:pPr>
              <w:pStyle w:val="TableText0"/>
              <w:widowControl w:val="0"/>
              <w:jc w:val="center"/>
            </w:pPr>
            <w:r w:rsidRPr="0019444B">
              <w:t>NR</w:t>
            </w:r>
          </w:p>
        </w:tc>
        <w:tc>
          <w:tcPr>
            <w:tcW w:w="621" w:type="pct"/>
            <w:vAlign w:val="center"/>
          </w:tcPr>
          <w:p w14:paraId="68B7216E" w14:textId="77777777" w:rsidR="00296471" w:rsidRPr="0019444B" w:rsidRDefault="00296471" w:rsidP="003965B7">
            <w:pPr>
              <w:pStyle w:val="TableText0"/>
              <w:widowControl w:val="0"/>
              <w:jc w:val="center"/>
            </w:pPr>
            <w:r w:rsidRPr="0019444B">
              <w:t>NR</w:t>
            </w:r>
          </w:p>
        </w:tc>
        <w:tc>
          <w:tcPr>
            <w:tcW w:w="536" w:type="pct"/>
            <w:vAlign w:val="center"/>
          </w:tcPr>
          <w:p w14:paraId="548A6C20" w14:textId="77777777" w:rsidR="00296471" w:rsidRPr="0019444B" w:rsidRDefault="00296471" w:rsidP="003965B7">
            <w:pPr>
              <w:pStyle w:val="TableText0"/>
              <w:widowControl w:val="0"/>
              <w:jc w:val="center"/>
            </w:pPr>
            <w:r w:rsidRPr="0019444B">
              <w:t>0%</w:t>
            </w:r>
          </w:p>
        </w:tc>
        <w:tc>
          <w:tcPr>
            <w:tcW w:w="600" w:type="pct"/>
            <w:vAlign w:val="center"/>
          </w:tcPr>
          <w:p w14:paraId="5D62E86E" w14:textId="77777777" w:rsidR="00296471" w:rsidRPr="0019444B" w:rsidRDefault="00296471" w:rsidP="003965B7">
            <w:pPr>
              <w:pStyle w:val="TableText0"/>
              <w:widowControl w:val="0"/>
              <w:jc w:val="center"/>
            </w:pPr>
            <w:r w:rsidRPr="0019444B">
              <w:t>1.4%</w:t>
            </w:r>
          </w:p>
        </w:tc>
        <w:tc>
          <w:tcPr>
            <w:tcW w:w="1410" w:type="pct"/>
            <w:vAlign w:val="center"/>
          </w:tcPr>
          <w:p w14:paraId="367BB7E0" w14:textId="77777777" w:rsidR="00296471" w:rsidRPr="0019444B" w:rsidRDefault="00296471" w:rsidP="003965B7">
            <w:pPr>
              <w:pStyle w:val="TableText0"/>
              <w:widowControl w:val="0"/>
            </w:pPr>
            <w:r w:rsidRPr="0019444B">
              <w:t>−1.4 (−3.0, 0.2), p=0.08</w:t>
            </w:r>
          </w:p>
        </w:tc>
      </w:tr>
    </w:tbl>
    <w:bookmarkEnd w:id="54"/>
    <w:p w14:paraId="050EBDC9" w14:textId="7D3DBA13" w:rsidR="00296471" w:rsidRPr="0019444B" w:rsidRDefault="004B7F89" w:rsidP="000326AD">
      <w:pPr>
        <w:pStyle w:val="Tablenotes"/>
        <w:keepNext/>
        <w:spacing w:after="0" w:line="240" w:lineRule="auto"/>
      </w:pPr>
      <w:r w:rsidRPr="0019444B">
        <w:t xml:space="preserve">Source: </w:t>
      </w:r>
      <w:r w:rsidR="00296471" w:rsidRPr="0019444B">
        <w:t>Table 2.97, p. 196 of the resubmission</w:t>
      </w:r>
    </w:p>
    <w:p w14:paraId="21937F2B" w14:textId="114502EE" w:rsidR="00296471" w:rsidRPr="0019444B" w:rsidRDefault="00296471" w:rsidP="000326AD">
      <w:pPr>
        <w:pStyle w:val="Tablenotes"/>
        <w:keepNext/>
        <w:spacing w:after="0" w:line="240" w:lineRule="auto"/>
        <w:rPr>
          <w:rFonts w:eastAsia="SimSun"/>
          <w:snapToGrid/>
        </w:rPr>
      </w:pPr>
      <w:r w:rsidRPr="0019444B">
        <w:rPr>
          <w:rFonts w:eastAsia="SimSun"/>
          <w:snapToGrid/>
        </w:rPr>
        <w:t>ACA</w:t>
      </w:r>
      <w:r w:rsidR="00CF0CAB" w:rsidRPr="0019444B">
        <w:rPr>
          <w:rFonts w:eastAsia="SimSun"/>
          <w:snapToGrid/>
        </w:rPr>
        <w:t xml:space="preserve"> </w:t>
      </w:r>
      <w:r w:rsidRPr="0019444B">
        <w:rPr>
          <w:rFonts w:eastAsia="SimSun"/>
          <w:snapToGrid/>
        </w:rPr>
        <w:t xml:space="preserve">= acalabrutinib, </w:t>
      </w:r>
      <w:r w:rsidR="00CF0CAB" w:rsidRPr="0019444B">
        <w:rPr>
          <w:rFonts w:eastAsia="SimSun"/>
          <w:snapToGrid/>
        </w:rPr>
        <w:t xml:space="preserve">CI = confidence interval, </w:t>
      </w:r>
      <w:r w:rsidRPr="0019444B">
        <w:rPr>
          <w:rFonts w:eastAsia="SimSun"/>
          <w:snapToGrid/>
        </w:rPr>
        <w:t>ESS</w:t>
      </w:r>
      <w:r w:rsidR="00CF0CAB" w:rsidRPr="0019444B">
        <w:rPr>
          <w:rFonts w:eastAsia="SimSun"/>
          <w:snapToGrid/>
        </w:rPr>
        <w:t xml:space="preserve"> </w:t>
      </w:r>
      <w:r w:rsidRPr="0019444B">
        <w:rPr>
          <w:rFonts w:eastAsia="SimSun"/>
          <w:snapToGrid/>
        </w:rPr>
        <w:t xml:space="preserve">= effective sample size, </w:t>
      </w:r>
      <w:r w:rsidR="00397521" w:rsidRPr="0019444B">
        <w:rPr>
          <w:rFonts w:eastAsia="SimSun"/>
          <w:snapToGrid/>
        </w:rPr>
        <w:t xml:space="preserve">MAIC = matching adjusted indirect comparison, </w:t>
      </w:r>
      <w:r w:rsidRPr="0019444B">
        <w:rPr>
          <w:rFonts w:eastAsia="SimSun"/>
          <w:snapToGrid/>
        </w:rPr>
        <w:t>NMSC</w:t>
      </w:r>
      <w:r w:rsidR="00CF0CAB" w:rsidRPr="0019444B">
        <w:rPr>
          <w:rFonts w:eastAsia="SimSun"/>
          <w:snapToGrid/>
        </w:rPr>
        <w:t xml:space="preserve"> </w:t>
      </w:r>
      <w:r w:rsidRPr="0019444B">
        <w:rPr>
          <w:rFonts w:eastAsia="SimSun"/>
          <w:snapToGrid/>
        </w:rPr>
        <w:t xml:space="preserve">= non melanoma skin cancer, </w:t>
      </w:r>
      <w:r w:rsidR="00CF0CAB" w:rsidRPr="0019444B">
        <w:rPr>
          <w:rFonts w:eastAsia="SimSun"/>
          <w:snapToGrid/>
        </w:rPr>
        <w:t xml:space="preserve">NR = not reported, </w:t>
      </w:r>
      <w:r w:rsidRPr="0019444B">
        <w:rPr>
          <w:rFonts w:eastAsia="SimSun"/>
          <w:snapToGrid/>
        </w:rPr>
        <w:t>OBIN</w:t>
      </w:r>
      <w:r w:rsidR="00CF0CAB" w:rsidRPr="0019444B">
        <w:rPr>
          <w:rFonts w:eastAsia="SimSun"/>
          <w:snapToGrid/>
        </w:rPr>
        <w:t xml:space="preserve"> </w:t>
      </w:r>
      <w:r w:rsidRPr="0019444B">
        <w:rPr>
          <w:rFonts w:eastAsia="SimSun"/>
          <w:snapToGrid/>
        </w:rPr>
        <w:t>= obinutuzumab, SPM</w:t>
      </w:r>
      <w:r w:rsidR="00CF0CAB" w:rsidRPr="0019444B">
        <w:rPr>
          <w:rFonts w:eastAsia="SimSun"/>
          <w:snapToGrid/>
        </w:rPr>
        <w:t xml:space="preserve"> </w:t>
      </w:r>
      <w:r w:rsidRPr="0019444B">
        <w:rPr>
          <w:rFonts w:eastAsia="SimSun"/>
          <w:snapToGrid/>
        </w:rPr>
        <w:t>= secondary primary malignancy, VTX</w:t>
      </w:r>
      <w:r w:rsidR="00CF0CAB" w:rsidRPr="0019444B">
        <w:rPr>
          <w:rFonts w:eastAsia="SimSun"/>
          <w:snapToGrid/>
        </w:rPr>
        <w:t xml:space="preserve"> </w:t>
      </w:r>
      <w:r w:rsidRPr="0019444B">
        <w:rPr>
          <w:rFonts w:eastAsia="SimSun"/>
          <w:snapToGrid/>
        </w:rPr>
        <w:t>= venetoclax</w:t>
      </w:r>
      <w:r w:rsidR="00CF0CAB" w:rsidRPr="0019444B">
        <w:rPr>
          <w:rFonts w:eastAsia="SimSun"/>
          <w:snapToGrid/>
        </w:rPr>
        <w:t>.</w:t>
      </w:r>
      <w:r w:rsidR="003001C3" w:rsidRPr="0019444B">
        <w:rPr>
          <w:rFonts w:eastAsia="SimSun"/>
          <w:snapToGrid/>
        </w:rPr>
        <w:t xml:space="preserve"> </w:t>
      </w:r>
    </w:p>
    <w:p w14:paraId="32826279" w14:textId="77777777" w:rsidR="00296471" w:rsidRPr="0019444B" w:rsidRDefault="00296471" w:rsidP="000326AD">
      <w:pPr>
        <w:pStyle w:val="Tablenotes"/>
        <w:keepNext/>
        <w:spacing w:after="0" w:line="240" w:lineRule="auto"/>
        <w:rPr>
          <w:b/>
          <w:bCs/>
        </w:rPr>
      </w:pPr>
      <w:r w:rsidRPr="0019444B">
        <w:t xml:space="preserve">* </w:t>
      </w:r>
      <w:proofErr w:type="gramStart"/>
      <w:r w:rsidRPr="0019444B">
        <w:t>denotes</w:t>
      </w:r>
      <w:proofErr w:type="gramEnd"/>
      <w:r w:rsidRPr="0019444B">
        <w:t xml:space="preserve"> p-value &lt;0.05: In bold</w:t>
      </w:r>
    </w:p>
    <w:p w14:paraId="4F088B3B" w14:textId="77777777" w:rsidR="00296471" w:rsidRPr="0019444B" w:rsidRDefault="00296471" w:rsidP="00CA022C">
      <w:pPr>
        <w:pStyle w:val="Tablenotes"/>
        <w:spacing w:after="120" w:line="240" w:lineRule="auto"/>
      </w:pPr>
      <w:r w:rsidRPr="0019444B">
        <w:rPr>
          <w:vertAlign w:val="superscript"/>
        </w:rPr>
        <w:t xml:space="preserve">a </w:t>
      </w:r>
      <w:r w:rsidRPr="0019444B">
        <w:t>Pre-match N does not necessarily match N of ELEVATE-TN due to incomplete baseline data recording for some patients in outcomes.</w:t>
      </w:r>
    </w:p>
    <w:p w14:paraId="4C7B5BFE" w14:textId="06F47F0B" w:rsidR="00296471" w:rsidRPr="0019444B" w:rsidRDefault="00332019" w:rsidP="00332019">
      <w:pPr>
        <w:pStyle w:val="Caption"/>
      </w:pPr>
      <w:bookmarkStart w:id="55" w:name="_Ref132529581"/>
      <w:bookmarkStart w:id="56" w:name="_Toc128756718"/>
      <w:bookmarkStart w:id="57" w:name="_Toc129165701"/>
      <w:r w:rsidRPr="0019444B">
        <w:t xml:space="preserve">Table </w:t>
      </w:r>
      <w:bookmarkEnd w:id="55"/>
      <w:r w:rsidR="00D13D0B" w:rsidRPr="00012B7C">
        <w:fldChar w:fldCharType="begin" w:fldLock="1"/>
      </w:r>
      <w:r w:rsidR="00D13D0B" w:rsidRPr="0019444B">
        <w:instrText xml:space="preserve"> SEQ Table \* ARABIC </w:instrText>
      </w:r>
      <w:r w:rsidR="00D13D0B" w:rsidRPr="00012B7C">
        <w:fldChar w:fldCharType="separate"/>
      </w:r>
      <w:r w:rsidR="007C39B4" w:rsidRPr="00012B7C">
        <w:t>12</w:t>
      </w:r>
      <w:r w:rsidR="00D13D0B" w:rsidRPr="00012B7C">
        <w:fldChar w:fldCharType="end"/>
      </w:r>
      <w:r w:rsidR="00DC65C9" w:rsidRPr="00012B7C">
        <w:t>:</w:t>
      </w:r>
      <w:r w:rsidRPr="0019444B">
        <w:t xml:space="preserve"> </w:t>
      </w:r>
      <w:r w:rsidR="00296471" w:rsidRPr="0019444B">
        <w:t xml:space="preserve">Safety outcomes MAIC update for ACA+OBIN </w:t>
      </w:r>
      <w:r w:rsidR="00296471" w:rsidRPr="00012B7C">
        <w:t>(46.9</w:t>
      </w:r>
      <w:r w:rsidR="00FD0F12">
        <w:t>-</w:t>
      </w:r>
      <w:r w:rsidR="00296471" w:rsidRPr="00012B7C">
        <w:t xml:space="preserve">month median follow-up) </w:t>
      </w:r>
      <w:r w:rsidR="00296471" w:rsidRPr="0019444B">
        <w:t>vs VTX+OBIN (39.6-month median follow-up)</w:t>
      </w:r>
      <w:bookmarkEnd w:id="56"/>
      <w:bookmarkEnd w:id="57"/>
    </w:p>
    <w:tbl>
      <w:tblPr>
        <w:tblStyle w:val="TableGrid"/>
        <w:tblW w:w="5000" w:type="pct"/>
        <w:tblInd w:w="-5" w:type="dxa"/>
        <w:tblLayout w:type="fixed"/>
        <w:tblLook w:val="04A0" w:firstRow="1" w:lastRow="0" w:firstColumn="1" w:lastColumn="0" w:noHBand="0" w:noVBand="1"/>
      </w:tblPr>
      <w:tblGrid>
        <w:gridCol w:w="2332"/>
        <w:gridCol w:w="979"/>
        <w:gridCol w:w="999"/>
        <w:gridCol w:w="1086"/>
        <w:gridCol w:w="1082"/>
        <w:gridCol w:w="2539"/>
      </w:tblGrid>
      <w:tr w:rsidR="00FE6A10" w:rsidRPr="0019444B" w14:paraId="52F7DA1F" w14:textId="77777777" w:rsidTr="000D2BBF">
        <w:tc>
          <w:tcPr>
            <w:tcW w:w="1293" w:type="pct"/>
            <w:vMerge w:val="restart"/>
            <w:vAlign w:val="center"/>
          </w:tcPr>
          <w:p w14:paraId="33850F38" w14:textId="77777777" w:rsidR="00296471" w:rsidRPr="0019444B" w:rsidRDefault="00296471" w:rsidP="003965B7">
            <w:pPr>
              <w:pStyle w:val="TableText0"/>
              <w:widowControl w:val="0"/>
              <w:rPr>
                <w:b/>
                <w:bCs w:val="0"/>
              </w:rPr>
            </w:pPr>
            <w:bookmarkStart w:id="58" w:name="_Hlk132210062"/>
            <w:r w:rsidRPr="0019444B">
              <w:rPr>
                <w:b/>
              </w:rPr>
              <w:t>Grade ≥3 adverse event</w:t>
            </w:r>
          </w:p>
        </w:tc>
        <w:tc>
          <w:tcPr>
            <w:tcW w:w="1096" w:type="pct"/>
            <w:gridSpan w:val="2"/>
          </w:tcPr>
          <w:p w14:paraId="12A5990F" w14:textId="77777777" w:rsidR="00296471" w:rsidRPr="0019444B" w:rsidRDefault="00296471" w:rsidP="003965B7">
            <w:pPr>
              <w:pStyle w:val="TableText0"/>
              <w:widowControl w:val="0"/>
              <w:jc w:val="center"/>
              <w:rPr>
                <w:b/>
                <w:bCs w:val="0"/>
              </w:rPr>
            </w:pPr>
            <w:r w:rsidRPr="0019444B">
              <w:rPr>
                <w:b/>
              </w:rPr>
              <w:t>Before matching</w:t>
            </w:r>
          </w:p>
        </w:tc>
        <w:tc>
          <w:tcPr>
            <w:tcW w:w="1201" w:type="pct"/>
            <w:gridSpan w:val="2"/>
          </w:tcPr>
          <w:p w14:paraId="75ED9363" w14:textId="77777777" w:rsidR="00296471" w:rsidRPr="0019444B" w:rsidRDefault="00296471" w:rsidP="003965B7">
            <w:pPr>
              <w:pStyle w:val="TableText0"/>
              <w:widowControl w:val="0"/>
              <w:jc w:val="center"/>
              <w:rPr>
                <w:b/>
                <w:bCs w:val="0"/>
              </w:rPr>
            </w:pPr>
            <w:r w:rsidRPr="0019444B">
              <w:rPr>
                <w:b/>
              </w:rPr>
              <w:t>After matching</w:t>
            </w:r>
          </w:p>
        </w:tc>
        <w:tc>
          <w:tcPr>
            <w:tcW w:w="1410" w:type="pct"/>
            <w:vMerge w:val="restart"/>
          </w:tcPr>
          <w:p w14:paraId="363C2CFC" w14:textId="77777777" w:rsidR="00296471" w:rsidRPr="0019444B" w:rsidRDefault="00296471" w:rsidP="003965B7">
            <w:pPr>
              <w:pStyle w:val="TableText0"/>
              <w:widowControl w:val="0"/>
              <w:jc w:val="center"/>
              <w:rPr>
                <w:b/>
              </w:rPr>
            </w:pPr>
            <w:r w:rsidRPr="0019444B">
              <w:rPr>
                <w:b/>
              </w:rPr>
              <w:t xml:space="preserve">Risk difference </w:t>
            </w:r>
          </w:p>
          <w:p w14:paraId="3D96884D" w14:textId="77777777" w:rsidR="00296471" w:rsidRPr="0019444B" w:rsidRDefault="00296471" w:rsidP="003965B7">
            <w:pPr>
              <w:pStyle w:val="TableText0"/>
              <w:widowControl w:val="0"/>
              <w:jc w:val="center"/>
              <w:rPr>
                <w:b/>
                <w:bCs w:val="0"/>
              </w:rPr>
            </w:pPr>
            <w:r w:rsidRPr="0019444B">
              <w:rPr>
                <w:b/>
              </w:rPr>
              <w:t>(95% CI), p-value</w:t>
            </w:r>
          </w:p>
        </w:tc>
      </w:tr>
      <w:tr w:rsidR="00FE6A10" w:rsidRPr="0019444B" w14:paraId="39225243" w14:textId="77777777" w:rsidTr="000D2BBF">
        <w:tc>
          <w:tcPr>
            <w:tcW w:w="1293" w:type="pct"/>
            <w:vMerge/>
          </w:tcPr>
          <w:p w14:paraId="0977C389" w14:textId="77777777" w:rsidR="00296471" w:rsidRPr="0019444B" w:rsidRDefault="00296471" w:rsidP="003965B7">
            <w:pPr>
              <w:pStyle w:val="TableText0"/>
              <w:widowControl w:val="0"/>
            </w:pPr>
          </w:p>
        </w:tc>
        <w:tc>
          <w:tcPr>
            <w:tcW w:w="543" w:type="pct"/>
            <w:vAlign w:val="center"/>
          </w:tcPr>
          <w:p w14:paraId="5295244D" w14:textId="77777777" w:rsidR="00296471" w:rsidRPr="0019444B" w:rsidRDefault="00296471" w:rsidP="003965B7">
            <w:pPr>
              <w:pStyle w:val="TableText0"/>
              <w:widowControl w:val="0"/>
              <w:ind w:right="-96"/>
              <w:jc w:val="center"/>
              <w:rPr>
                <w:b/>
                <w:bCs w:val="0"/>
              </w:rPr>
            </w:pPr>
            <w:r w:rsidRPr="0019444B">
              <w:rPr>
                <w:b/>
              </w:rPr>
              <w:t>ACA+OBIN</w:t>
            </w:r>
          </w:p>
          <w:p w14:paraId="3E9E8D64" w14:textId="77777777" w:rsidR="00296471" w:rsidRPr="0019444B" w:rsidRDefault="00296471" w:rsidP="003965B7">
            <w:pPr>
              <w:pStyle w:val="TableText0"/>
              <w:widowControl w:val="0"/>
              <w:ind w:right="-96"/>
              <w:jc w:val="center"/>
              <w:rPr>
                <w:b/>
                <w:bCs w:val="0"/>
                <w:vertAlign w:val="superscript"/>
              </w:rPr>
            </w:pPr>
            <w:r w:rsidRPr="0019444B">
              <w:rPr>
                <w:b/>
              </w:rPr>
              <w:t xml:space="preserve">N=172 </w:t>
            </w:r>
            <w:r w:rsidRPr="0019444B">
              <w:rPr>
                <w:b/>
                <w:vertAlign w:val="superscript"/>
              </w:rPr>
              <w:t>a</w:t>
            </w:r>
          </w:p>
        </w:tc>
        <w:tc>
          <w:tcPr>
            <w:tcW w:w="554" w:type="pct"/>
            <w:vAlign w:val="center"/>
          </w:tcPr>
          <w:p w14:paraId="63A312FD" w14:textId="77777777" w:rsidR="00296471" w:rsidRPr="0019444B" w:rsidRDefault="00296471" w:rsidP="003965B7">
            <w:pPr>
              <w:pStyle w:val="TableText0"/>
              <w:widowControl w:val="0"/>
              <w:jc w:val="center"/>
              <w:rPr>
                <w:b/>
                <w:bCs w:val="0"/>
              </w:rPr>
            </w:pPr>
            <w:r w:rsidRPr="0019444B">
              <w:rPr>
                <w:b/>
              </w:rPr>
              <w:t>VTX+OBIN</w:t>
            </w:r>
          </w:p>
          <w:p w14:paraId="021C4FB4" w14:textId="77777777" w:rsidR="00296471" w:rsidRPr="0019444B" w:rsidRDefault="00296471" w:rsidP="003965B7">
            <w:pPr>
              <w:pStyle w:val="TableText0"/>
              <w:widowControl w:val="0"/>
              <w:jc w:val="center"/>
              <w:rPr>
                <w:b/>
                <w:bCs w:val="0"/>
              </w:rPr>
            </w:pPr>
            <w:r w:rsidRPr="0019444B">
              <w:rPr>
                <w:b/>
              </w:rPr>
              <w:t>N=216</w:t>
            </w:r>
          </w:p>
        </w:tc>
        <w:tc>
          <w:tcPr>
            <w:tcW w:w="602" w:type="pct"/>
            <w:vAlign w:val="center"/>
          </w:tcPr>
          <w:p w14:paraId="132A4D10" w14:textId="77777777" w:rsidR="00296471" w:rsidRPr="0019444B" w:rsidRDefault="00296471" w:rsidP="003965B7">
            <w:pPr>
              <w:pStyle w:val="TableText0"/>
              <w:widowControl w:val="0"/>
              <w:ind w:right="-109"/>
              <w:jc w:val="center"/>
              <w:rPr>
                <w:b/>
                <w:bCs w:val="0"/>
              </w:rPr>
            </w:pPr>
            <w:r w:rsidRPr="0019444B">
              <w:rPr>
                <w:b/>
              </w:rPr>
              <w:t>ACA+OBIN</w:t>
            </w:r>
          </w:p>
          <w:p w14:paraId="58DB19C8" w14:textId="77777777" w:rsidR="00296471" w:rsidRPr="0019444B" w:rsidRDefault="00296471" w:rsidP="003965B7">
            <w:pPr>
              <w:pStyle w:val="TableText0"/>
              <w:widowControl w:val="0"/>
              <w:ind w:right="-109"/>
              <w:jc w:val="center"/>
              <w:rPr>
                <w:b/>
                <w:bCs w:val="0"/>
              </w:rPr>
            </w:pPr>
            <w:r w:rsidRPr="0019444B">
              <w:rPr>
                <w:b/>
              </w:rPr>
              <w:t>N=104</w:t>
            </w:r>
          </w:p>
        </w:tc>
        <w:tc>
          <w:tcPr>
            <w:tcW w:w="600" w:type="pct"/>
            <w:vAlign w:val="center"/>
          </w:tcPr>
          <w:p w14:paraId="6878FC9F" w14:textId="77777777" w:rsidR="00296471" w:rsidRPr="0019444B" w:rsidRDefault="00296471" w:rsidP="003965B7">
            <w:pPr>
              <w:pStyle w:val="TableText0"/>
              <w:widowControl w:val="0"/>
              <w:jc w:val="center"/>
              <w:rPr>
                <w:b/>
                <w:bCs w:val="0"/>
              </w:rPr>
            </w:pPr>
            <w:r w:rsidRPr="0019444B">
              <w:rPr>
                <w:b/>
              </w:rPr>
              <w:t>VTX+OBIN</w:t>
            </w:r>
          </w:p>
          <w:p w14:paraId="04806058" w14:textId="77777777" w:rsidR="00296471" w:rsidRPr="0019444B" w:rsidRDefault="00296471" w:rsidP="003965B7">
            <w:pPr>
              <w:pStyle w:val="TableText0"/>
              <w:widowControl w:val="0"/>
              <w:jc w:val="center"/>
              <w:rPr>
                <w:b/>
                <w:bCs w:val="0"/>
              </w:rPr>
            </w:pPr>
            <w:r w:rsidRPr="0019444B">
              <w:rPr>
                <w:b/>
              </w:rPr>
              <w:t>N=216</w:t>
            </w:r>
          </w:p>
        </w:tc>
        <w:tc>
          <w:tcPr>
            <w:tcW w:w="1410" w:type="pct"/>
            <w:vMerge/>
          </w:tcPr>
          <w:p w14:paraId="4BFCB7C1" w14:textId="77777777" w:rsidR="00296471" w:rsidRPr="0019444B" w:rsidRDefault="00296471" w:rsidP="003965B7">
            <w:pPr>
              <w:pStyle w:val="TableText0"/>
              <w:widowControl w:val="0"/>
              <w:jc w:val="center"/>
              <w:rPr>
                <w:b/>
                <w:bCs w:val="0"/>
              </w:rPr>
            </w:pPr>
          </w:p>
        </w:tc>
      </w:tr>
      <w:tr w:rsidR="00FE6A10" w:rsidRPr="0019444B" w14:paraId="64EFE21F" w14:textId="77777777" w:rsidTr="000D2BBF">
        <w:tc>
          <w:tcPr>
            <w:tcW w:w="1293" w:type="pct"/>
            <w:vAlign w:val="center"/>
          </w:tcPr>
          <w:p w14:paraId="74BAA46F" w14:textId="77777777" w:rsidR="00296471" w:rsidRPr="0019444B" w:rsidRDefault="00296471" w:rsidP="003965B7">
            <w:pPr>
              <w:pStyle w:val="TableText0"/>
              <w:widowControl w:val="0"/>
            </w:pPr>
            <w:r w:rsidRPr="0019444B">
              <w:t>Anaemia</w:t>
            </w:r>
          </w:p>
        </w:tc>
        <w:tc>
          <w:tcPr>
            <w:tcW w:w="543" w:type="pct"/>
            <w:vAlign w:val="center"/>
          </w:tcPr>
          <w:p w14:paraId="37433D32" w14:textId="77777777" w:rsidR="00296471" w:rsidRPr="0019444B" w:rsidRDefault="00296471" w:rsidP="003965B7">
            <w:pPr>
              <w:pStyle w:val="TableText0"/>
              <w:widowControl w:val="0"/>
              <w:jc w:val="center"/>
            </w:pPr>
            <w:r w:rsidRPr="0019444B">
              <w:t>NR</w:t>
            </w:r>
          </w:p>
        </w:tc>
        <w:tc>
          <w:tcPr>
            <w:tcW w:w="554" w:type="pct"/>
            <w:vAlign w:val="center"/>
          </w:tcPr>
          <w:p w14:paraId="298F7F35" w14:textId="77777777" w:rsidR="00296471" w:rsidRPr="0019444B" w:rsidRDefault="00296471" w:rsidP="003965B7">
            <w:pPr>
              <w:pStyle w:val="TableText0"/>
              <w:widowControl w:val="0"/>
              <w:jc w:val="center"/>
            </w:pPr>
            <w:r w:rsidRPr="0019444B">
              <w:t>NR</w:t>
            </w:r>
          </w:p>
        </w:tc>
        <w:tc>
          <w:tcPr>
            <w:tcW w:w="602" w:type="pct"/>
            <w:vAlign w:val="center"/>
          </w:tcPr>
          <w:p w14:paraId="010FD825" w14:textId="77777777" w:rsidR="00296471" w:rsidRPr="0019444B" w:rsidRDefault="00296471" w:rsidP="003965B7">
            <w:pPr>
              <w:pStyle w:val="TableText0"/>
              <w:widowControl w:val="0"/>
              <w:jc w:val="center"/>
            </w:pPr>
            <w:r w:rsidRPr="0019444B">
              <w:t>6.0%</w:t>
            </w:r>
          </w:p>
        </w:tc>
        <w:tc>
          <w:tcPr>
            <w:tcW w:w="600" w:type="pct"/>
            <w:vAlign w:val="center"/>
          </w:tcPr>
          <w:p w14:paraId="57E3A648" w14:textId="77777777" w:rsidR="00296471" w:rsidRPr="0019444B" w:rsidRDefault="00296471" w:rsidP="003965B7">
            <w:pPr>
              <w:pStyle w:val="TableText0"/>
              <w:widowControl w:val="0"/>
              <w:jc w:val="center"/>
            </w:pPr>
            <w:r w:rsidRPr="0019444B">
              <w:t>8,0%</w:t>
            </w:r>
          </w:p>
        </w:tc>
        <w:tc>
          <w:tcPr>
            <w:tcW w:w="1410" w:type="pct"/>
            <w:vAlign w:val="center"/>
          </w:tcPr>
          <w:p w14:paraId="536F03C1" w14:textId="77777777" w:rsidR="00296471" w:rsidRPr="0019444B" w:rsidRDefault="00296471" w:rsidP="003965B7">
            <w:pPr>
              <w:pStyle w:val="TableText0"/>
              <w:widowControl w:val="0"/>
            </w:pPr>
            <w:r w:rsidRPr="0019444B">
              <w:t>−2.0 (−7.4, 3.3), p=0.459</w:t>
            </w:r>
          </w:p>
        </w:tc>
      </w:tr>
      <w:tr w:rsidR="00FE6A10" w:rsidRPr="0019444B" w14:paraId="2E77318D" w14:textId="77777777" w:rsidTr="000D2BBF">
        <w:tc>
          <w:tcPr>
            <w:tcW w:w="1293" w:type="pct"/>
            <w:vAlign w:val="center"/>
          </w:tcPr>
          <w:p w14:paraId="61C2A563" w14:textId="77777777" w:rsidR="00296471" w:rsidRPr="0019444B" w:rsidRDefault="00296471" w:rsidP="003965B7">
            <w:pPr>
              <w:pStyle w:val="TableText0"/>
              <w:widowControl w:val="0"/>
            </w:pPr>
            <w:r w:rsidRPr="0019444B">
              <w:t>Diarrhoea</w:t>
            </w:r>
          </w:p>
        </w:tc>
        <w:tc>
          <w:tcPr>
            <w:tcW w:w="543" w:type="pct"/>
            <w:vAlign w:val="center"/>
          </w:tcPr>
          <w:p w14:paraId="034FB6E9" w14:textId="77777777" w:rsidR="00296471" w:rsidRPr="0019444B" w:rsidRDefault="00296471" w:rsidP="003965B7">
            <w:pPr>
              <w:pStyle w:val="TableText0"/>
              <w:widowControl w:val="0"/>
              <w:jc w:val="center"/>
            </w:pPr>
            <w:r w:rsidRPr="0019444B">
              <w:t>NR</w:t>
            </w:r>
          </w:p>
        </w:tc>
        <w:tc>
          <w:tcPr>
            <w:tcW w:w="554" w:type="pct"/>
            <w:vAlign w:val="center"/>
          </w:tcPr>
          <w:p w14:paraId="2428CA5C" w14:textId="77777777" w:rsidR="00296471" w:rsidRPr="0019444B" w:rsidRDefault="00296471" w:rsidP="003965B7">
            <w:pPr>
              <w:pStyle w:val="TableText0"/>
              <w:widowControl w:val="0"/>
              <w:jc w:val="center"/>
            </w:pPr>
            <w:r w:rsidRPr="0019444B">
              <w:t>NR</w:t>
            </w:r>
          </w:p>
        </w:tc>
        <w:tc>
          <w:tcPr>
            <w:tcW w:w="602" w:type="pct"/>
            <w:vAlign w:val="center"/>
          </w:tcPr>
          <w:p w14:paraId="4BE7EA5D" w14:textId="77777777" w:rsidR="00296471" w:rsidRPr="0019444B" w:rsidRDefault="00296471" w:rsidP="003965B7">
            <w:pPr>
              <w:pStyle w:val="TableText0"/>
              <w:widowControl w:val="0"/>
              <w:jc w:val="center"/>
            </w:pPr>
            <w:r w:rsidRPr="0019444B">
              <w:t>3.5%</w:t>
            </w:r>
          </w:p>
        </w:tc>
        <w:tc>
          <w:tcPr>
            <w:tcW w:w="600" w:type="pct"/>
            <w:vAlign w:val="center"/>
          </w:tcPr>
          <w:p w14:paraId="1B16D272" w14:textId="77777777" w:rsidR="00296471" w:rsidRPr="0019444B" w:rsidRDefault="00296471" w:rsidP="003965B7">
            <w:pPr>
              <w:pStyle w:val="TableText0"/>
              <w:widowControl w:val="0"/>
              <w:jc w:val="center"/>
            </w:pPr>
            <w:r w:rsidRPr="0019444B">
              <w:t>3.8%</w:t>
            </w:r>
          </w:p>
        </w:tc>
        <w:tc>
          <w:tcPr>
            <w:tcW w:w="1410" w:type="pct"/>
            <w:vAlign w:val="center"/>
          </w:tcPr>
          <w:p w14:paraId="55941F07" w14:textId="77777777" w:rsidR="00296471" w:rsidRPr="0019444B" w:rsidRDefault="00296471" w:rsidP="003965B7">
            <w:pPr>
              <w:pStyle w:val="TableText0"/>
              <w:widowControl w:val="0"/>
            </w:pPr>
            <w:r w:rsidRPr="0019444B">
              <w:t>−0.3 (−4.1, 3.5), p=0.875</w:t>
            </w:r>
          </w:p>
        </w:tc>
      </w:tr>
      <w:tr w:rsidR="00FE6A10" w:rsidRPr="0019444B" w14:paraId="48287110" w14:textId="77777777" w:rsidTr="000D2BBF">
        <w:tc>
          <w:tcPr>
            <w:tcW w:w="1293" w:type="pct"/>
            <w:vAlign w:val="center"/>
          </w:tcPr>
          <w:p w14:paraId="2DB4B82E" w14:textId="77777777" w:rsidR="00296471" w:rsidRPr="0019444B" w:rsidRDefault="00296471" w:rsidP="003965B7">
            <w:pPr>
              <w:pStyle w:val="TableText0"/>
              <w:widowControl w:val="0"/>
            </w:pPr>
            <w:r w:rsidRPr="0019444B">
              <w:t>Febrile neutropenia</w:t>
            </w:r>
          </w:p>
        </w:tc>
        <w:tc>
          <w:tcPr>
            <w:tcW w:w="543" w:type="pct"/>
            <w:vAlign w:val="center"/>
          </w:tcPr>
          <w:p w14:paraId="090A7AE8" w14:textId="77777777" w:rsidR="00296471" w:rsidRPr="0019444B" w:rsidRDefault="00296471" w:rsidP="003965B7">
            <w:pPr>
              <w:pStyle w:val="TableText0"/>
              <w:widowControl w:val="0"/>
              <w:jc w:val="center"/>
            </w:pPr>
            <w:r w:rsidRPr="0019444B">
              <w:t>NR</w:t>
            </w:r>
          </w:p>
        </w:tc>
        <w:tc>
          <w:tcPr>
            <w:tcW w:w="554" w:type="pct"/>
            <w:vAlign w:val="center"/>
          </w:tcPr>
          <w:p w14:paraId="7219C09D" w14:textId="77777777" w:rsidR="00296471" w:rsidRPr="0019444B" w:rsidRDefault="00296471" w:rsidP="003965B7">
            <w:pPr>
              <w:pStyle w:val="TableText0"/>
              <w:widowControl w:val="0"/>
              <w:jc w:val="center"/>
            </w:pPr>
            <w:r w:rsidRPr="0019444B">
              <w:t>NR</w:t>
            </w:r>
          </w:p>
        </w:tc>
        <w:tc>
          <w:tcPr>
            <w:tcW w:w="602" w:type="pct"/>
            <w:vAlign w:val="center"/>
          </w:tcPr>
          <w:p w14:paraId="60FF38ED" w14:textId="77777777" w:rsidR="00296471" w:rsidRPr="0019444B" w:rsidRDefault="00296471" w:rsidP="003965B7">
            <w:pPr>
              <w:pStyle w:val="TableText0"/>
              <w:widowControl w:val="0"/>
              <w:jc w:val="center"/>
            </w:pPr>
            <w:r w:rsidRPr="0019444B">
              <w:t>3.3%</w:t>
            </w:r>
          </w:p>
        </w:tc>
        <w:tc>
          <w:tcPr>
            <w:tcW w:w="600" w:type="pct"/>
            <w:vAlign w:val="center"/>
          </w:tcPr>
          <w:p w14:paraId="3A37B989" w14:textId="77777777" w:rsidR="00296471" w:rsidRPr="0019444B" w:rsidRDefault="00296471" w:rsidP="003965B7">
            <w:pPr>
              <w:pStyle w:val="TableText0"/>
              <w:widowControl w:val="0"/>
              <w:jc w:val="center"/>
            </w:pPr>
            <w:r w:rsidRPr="0019444B">
              <w:t>5.2%</w:t>
            </w:r>
          </w:p>
        </w:tc>
        <w:tc>
          <w:tcPr>
            <w:tcW w:w="1410" w:type="pct"/>
            <w:vAlign w:val="center"/>
          </w:tcPr>
          <w:p w14:paraId="06D583A8" w14:textId="77777777" w:rsidR="00296471" w:rsidRPr="0019444B" w:rsidRDefault="00296471" w:rsidP="003965B7">
            <w:pPr>
              <w:pStyle w:val="TableText0"/>
              <w:widowControl w:val="0"/>
            </w:pPr>
            <w:r w:rsidRPr="0019444B">
              <w:t>−1.9 (−6.4, 2.5), p=0.409</w:t>
            </w:r>
          </w:p>
        </w:tc>
      </w:tr>
      <w:tr w:rsidR="00FE6A10" w:rsidRPr="0019444B" w14:paraId="1DDF01AF" w14:textId="77777777" w:rsidTr="000D2BBF">
        <w:tc>
          <w:tcPr>
            <w:tcW w:w="1293" w:type="pct"/>
            <w:vAlign w:val="center"/>
          </w:tcPr>
          <w:p w14:paraId="52865305" w14:textId="77777777" w:rsidR="00296471" w:rsidRPr="0019444B" w:rsidRDefault="00296471" w:rsidP="003965B7">
            <w:pPr>
              <w:pStyle w:val="TableText0"/>
              <w:widowControl w:val="0"/>
              <w:rPr>
                <w:b/>
                <w:bCs w:val="0"/>
              </w:rPr>
            </w:pPr>
            <w:r w:rsidRPr="0019444B">
              <w:rPr>
                <w:b/>
                <w:bCs w:val="0"/>
              </w:rPr>
              <w:t>Infusion-related reaction</w:t>
            </w:r>
          </w:p>
        </w:tc>
        <w:tc>
          <w:tcPr>
            <w:tcW w:w="543" w:type="pct"/>
            <w:vAlign w:val="center"/>
          </w:tcPr>
          <w:p w14:paraId="062BC95A" w14:textId="77777777" w:rsidR="00296471" w:rsidRPr="0019444B" w:rsidRDefault="00296471" w:rsidP="003965B7">
            <w:pPr>
              <w:pStyle w:val="TableText0"/>
              <w:widowControl w:val="0"/>
              <w:jc w:val="center"/>
              <w:rPr>
                <w:b/>
                <w:bCs w:val="0"/>
              </w:rPr>
            </w:pPr>
            <w:r w:rsidRPr="0019444B">
              <w:rPr>
                <w:b/>
                <w:bCs w:val="0"/>
              </w:rPr>
              <w:t>NR</w:t>
            </w:r>
          </w:p>
        </w:tc>
        <w:tc>
          <w:tcPr>
            <w:tcW w:w="554" w:type="pct"/>
            <w:vAlign w:val="center"/>
          </w:tcPr>
          <w:p w14:paraId="58D82FB3" w14:textId="77777777" w:rsidR="00296471" w:rsidRPr="0019444B" w:rsidRDefault="00296471" w:rsidP="003965B7">
            <w:pPr>
              <w:pStyle w:val="TableText0"/>
              <w:widowControl w:val="0"/>
              <w:jc w:val="center"/>
              <w:rPr>
                <w:b/>
                <w:bCs w:val="0"/>
              </w:rPr>
            </w:pPr>
            <w:r w:rsidRPr="0019444B">
              <w:rPr>
                <w:b/>
                <w:bCs w:val="0"/>
              </w:rPr>
              <w:t>NR</w:t>
            </w:r>
          </w:p>
        </w:tc>
        <w:tc>
          <w:tcPr>
            <w:tcW w:w="602" w:type="pct"/>
            <w:vAlign w:val="center"/>
          </w:tcPr>
          <w:p w14:paraId="78AAD418" w14:textId="77777777" w:rsidR="00296471" w:rsidRPr="0019444B" w:rsidRDefault="00296471" w:rsidP="003965B7">
            <w:pPr>
              <w:pStyle w:val="TableText0"/>
              <w:widowControl w:val="0"/>
              <w:jc w:val="center"/>
              <w:rPr>
                <w:b/>
                <w:bCs w:val="0"/>
              </w:rPr>
            </w:pPr>
            <w:r w:rsidRPr="0019444B">
              <w:rPr>
                <w:b/>
                <w:bCs w:val="0"/>
              </w:rPr>
              <w:t>1.4%</w:t>
            </w:r>
          </w:p>
        </w:tc>
        <w:tc>
          <w:tcPr>
            <w:tcW w:w="600" w:type="pct"/>
            <w:vAlign w:val="center"/>
          </w:tcPr>
          <w:p w14:paraId="4C979667" w14:textId="77777777" w:rsidR="00296471" w:rsidRPr="0019444B" w:rsidRDefault="00296471" w:rsidP="003965B7">
            <w:pPr>
              <w:pStyle w:val="TableText0"/>
              <w:widowControl w:val="0"/>
              <w:jc w:val="center"/>
              <w:rPr>
                <w:b/>
                <w:bCs w:val="0"/>
              </w:rPr>
            </w:pPr>
            <w:r w:rsidRPr="0019444B">
              <w:rPr>
                <w:b/>
                <w:bCs w:val="0"/>
              </w:rPr>
              <w:t>9.0%</w:t>
            </w:r>
          </w:p>
        </w:tc>
        <w:tc>
          <w:tcPr>
            <w:tcW w:w="1410" w:type="pct"/>
            <w:vAlign w:val="center"/>
          </w:tcPr>
          <w:p w14:paraId="6E71C6A8" w14:textId="77777777" w:rsidR="00296471" w:rsidRPr="0019444B" w:rsidRDefault="00296471" w:rsidP="003965B7">
            <w:pPr>
              <w:pStyle w:val="TableText0"/>
              <w:widowControl w:val="0"/>
              <w:rPr>
                <w:b/>
                <w:bCs w:val="0"/>
              </w:rPr>
            </w:pPr>
            <w:r w:rsidRPr="0019444B">
              <w:rPr>
                <w:b/>
                <w:bCs w:val="0"/>
              </w:rPr>
              <w:t>−7.6 (−11.8, −3.4), p&lt;0.001*</w:t>
            </w:r>
          </w:p>
        </w:tc>
      </w:tr>
      <w:tr w:rsidR="00FE6A10" w:rsidRPr="0019444B" w14:paraId="5AED16DB" w14:textId="77777777" w:rsidTr="000D2BBF">
        <w:tc>
          <w:tcPr>
            <w:tcW w:w="1293" w:type="pct"/>
            <w:vAlign w:val="center"/>
          </w:tcPr>
          <w:p w14:paraId="0F506AB9" w14:textId="77777777" w:rsidR="00296471" w:rsidRPr="0019444B" w:rsidRDefault="00296471" w:rsidP="003965B7">
            <w:pPr>
              <w:pStyle w:val="TableText0"/>
              <w:widowControl w:val="0"/>
              <w:rPr>
                <w:b/>
                <w:bCs w:val="0"/>
              </w:rPr>
            </w:pPr>
            <w:r w:rsidRPr="0019444B">
              <w:rPr>
                <w:b/>
                <w:bCs w:val="0"/>
              </w:rPr>
              <w:t>Leukopenia</w:t>
            </w:r>
          </w:p>
        </w:tc>
        <w:tc>
          <w:tcPr>
            <w:tcW w:w="543" w:type="pct"/>
            <w:vAlign w:val="center"/>
          </w:tcPr>
          <w:p w14:paraId="1B1AEE03" w14:textId="77777777" w:rsidR="00296471" w:rsidRPr="0019444B" w:rsidRDefault="00296471" w:rsidP="003965B7">
            <w:pPr>
              <w:pStyle w:val="TableText0"/>
              <w:widowControl w:val="0"/>
              <w:jc w:val="center"/>
              <w:rPr>
                <w:b/>
                <w:bCs w:val="0"/>
              </w:rPr>
            </w:pPr>
            <w:r w:rsidRPr="0019444B">
              <w:rPr>
                <w:b/>
                <w:bCs w:val="0"/>
              </w:rPr>
              <w:t>NR</w:t>
            </w:r>
          </w:p>
        </w:tc>
        <w:tc>
          <w:tcPr>
            <w:tcW w:w="554" w:type="pct"/>
            <w:vAlign w:val="center"/>
          </w:tcPr>
          <w:p w14:paraId="7329A268" w14:textId="77777777" w:rsidR="00296471" w:rsidRPr="0019444B" w:rsidRDefault="00296471" w:rsidP="003965B7">
            <w:pPr>
              <w:pStyle w:val="TableText0"/>
              <w:widowControl w:val="0"/>
              <w:jc w:val="center"/>
              <w:rPr>
                <w:b/>
                <w:bCs w:val="0"/>
              </w:rPr>
            </w:pPr>
            <w:r w:rsidRPr="0019444B">
              <w:rPr>
                <w:b/>
                <w:bCs w:val="0"/>
              </w:rPr>
              <w:t>NR</w:t>
            </w:r>
          </w:p>
        </w:tc>
        <w:tc>
          <w:tcPr>
            <w:tcW w:w="602" w:type="pct"/>
            <w:vAlign w:val="center"/>
          </w:tcPr>
          <w:p w14:paraId="1F486E43" w14:textId="77777777" w:rsidR="00296471" w:rsidRPr="0019444B" w:rsidRDefault="00296471" w:rsidP="003965B7">
            <w:pPr>
              <w:pStyle w:val="TableText0"/>
              <w:widowControl w:val="0"/>
              <w:jc w:val="center"/>
              <w:rPr>
                <w:b/>
                <w:bCs w:val="0"/>
              </w:rPr>
            </w:pPr>
            <w:r w:rsidRPr="0019444B">
              <w:rPr>
                <w:b/>
                <w:bCs w:val="0"/>
              </w:rPr>
              <w:t>0.2%</w:t>
            </w:r>
          </w:p>
        </w:tc>
        <w:tc>
          <w:tcPr>
            <w:tcW w:w="600" w:type="pct"/>
            <w:vAlign w:val="center"/>
          </w:tcPr>
          <w:p w14:paraId="38BACB32" w14:textId="77777777" w:rsidR="00296471" w:rsidRPr="0019444B" w:rsidRDefault="00296471" w:rsidP="003965B7">
            <w:pPr>
              <w:pStyle w:val="TableText0"/>
              <w:widowControl w:val="0"/>
              <w:jc w:val="center"/>
              <w:rPr>
                <w:b/>
                <w:bCs w:val="0"/>
              </w:rPr>
            </w:pPr>
            <w:r w:rsidRPr="0019444B">
              <w:rPr>
                <w:b/>
                <w:bCs w:val="0"/>
              </w:rPr>
              <w:t>2.4%</w:t>
            </w:r>
          </w:p>
        </w:tc>
        <w:tc>
          <w:tcPr>
            <w:tcW w:w="1410" w:type="pct"/>
            <w:vAlign w:val="center"/>
          </w:tcPr>
          <w:p w14:paraId="7112023F" w14:textId="77777777" w:rsidR="00296471" w:rsidRPr="0019444B" w:rsidRDefault="00296471" w:rsidP="003965B7">
            <w:pPr>
              <w:pStyle w:val="TableText0"/>
              <w:widowControl w:val="0"/>
              <w:rPr>
                <w:b/>
                <w:bCs w:val="0"/>
              </w:rPr>
            </w:pPr>
            <w:r w:rsidRPr="0019444B">
              <w:rPr>
                <w:b/>
                <w:bCs w:val="0"/>
              </w:rPr>
              <w:t>−2.2 (−4.3, −0.1), p=0.046*</w:t>
            </w:r>
          </w:p>
        </w:tc>
      </w:tr>
      <w:tr w:rsidR="00FE6A10" w:rsidRPr="0019444B" w14:paraId="674A01FE" w14:textId="77777777" w:rsidTr="000D2BBF">
        <w:tc>
          <w:tcPr>
            <w:tcW w:w="1293" w:type="pct"/>
            <w:vAlign w:val="center"/>
          </w:tcPr>
          <w:p w14:paraId="5492C605" w14:textId="77777777" w:rsidR="00296471" w:rsidRPr="0019444B" w:rsidRDefault="00296471" w:rsidP="003965B7">
            <w:pPr>
              <w:pStyle w:val="TableText0"/>
              <w:widowControl w:val="0"/>
              <w:rPr>
                <w:b/>
                <w:bCs w:val="0"/>
              </w:rPr>
            </w:pPr>
            <w:r w:rsidRPr="0019444B">
              <w:rPr>
                <w:b/>
                <w:bCs w:val="0"/>
              </w:rPr>
              <w:t>Neutropenia</w:t>
            </w:r>
          </w:p>
        </w:tc>
        <w:tc>
          <w:tcPr>
            <w:tcW w:w="543" w:type="pct"/>
            <w:vAlign w:val="center"/>
          </w:tcPr>
          <w:p w14:paraId="1DC38E54" w14:textId="77777777" w:rsidR="00296471" w:rsidRPr="0019444B" w:rsidRDefault="00296471" w:rsidP="003965B7">
            <w:pPr>
              <w:pStyle w:val="TableText0"/>
              <w:widowControl w:val="0"/>
              <w:jc w:val="center"/>
              <w:rPr>
                <w:b/>
                <w:bCs w:val="0"/>
              </w:rPr>
            </w:pPr>
            <w:r w:rsidRPr="0019444B">
              <w:rPr>
                <w:b/>
                <w:bCs w:val="0"/>
              </w:rPr>
              <w:t>NR</w:t>
            </w:r>
          </w:p>
        </w:tc>
        <w:tc>
          <w:tcPr>
            <w:tcW w:w="554" w:type="pct"/>
            <w:vAlign w:val="center"/>
          </w:tcPr>
          <w:p w14:paraId="7237DE31" w14:textId="77777777" w:rsidR="00296471" w:rsidRPr="0019444B" w:rsidRDefault="00296471" w:rsidP="003965B7">
            <w:pPr>
              <w:pStyle w:val="TableText0"/>
              <w:widowControl w:val="0"/>
              <w:jc w:val="center"/>
              <w:rPr>
                <w:b/>
                <w:bCs w:val="0"/>
              </w:rPr>
            </w:pPr>
            <w:r w:rsidRPr="0019444B">
              <w:rPr>
                <w:b/>
                <w:bCs w:val="0"/>
              </w:rPr>
              <w:t>NR</w:t>
            </w:r>
          </w:p>
        </w:tc>
        <w:tc>
          <w:tcPr>
            <w:tcW w:w="602" w:type="pct"/>
            <w:vAlign w:val="center"/>
          </w:tcPr>
          <w:p w14:paraId="6453E80C" w14:textId="77777777" w:rsidR="00296471" w:rsidRPr="0019444B" w:rsidRDefault="00296471" w:rsidP="003965B7">
            <w:pPr>
              <w:pStyle w:val="TableText0"/>
              <w:widowControl w:val="0"/>
              <w:jc w:val="center"/>
              <w:rPr>
                <w:b/>
                <w:bCs w:val="0"/>
              </w:rPr>
            </w:pPr>
            <w:r w:rsidRPr="0019444B">
              <w:rPr>
                <w:b/>
                <w:bCs w:val="0"/>
              </w:rPr>
              <w:t>29.1%</w:t>
            </w:r>
          </w:p>
        </w:tc>
        <w:tc>
          <w:tcPr>
            <w:tcW w:w="600" w:type="pct"/>
            <w:vAlign w:val="center"/>
          </w:tcPr>
          <w:p w14:paraId="01FA0415" w14:textId="77777777" w:rsidR="00296471" w:rsidRPr="0019444B" w:rsidRDefault="00296471" w:rsidP="003965B7">
            <w:pPr>
              <w:pStyle w:val="TableText0"/>
              <w:widowControl w:val="0"/>
              <w:jc w:val="center"/>
              <w:rPr>
                <w:b/>
                <w:bCs w:val="0"/>
              </w:rPr>
            </w:pPr>
            <w:r w:rsidRPr="0019444B">
              <w:rPr>
                <w:b/>
                <w:bCs w:val="0"/>
              </w:rPr>
              <w:t>52.8%</w:t>
            </w:r>
          </w:p>
        </w:tc>
        <w:tc>
          <w:tcPr>
            <w:tcW w:w="1410" w:type="pct"/>
            <w:vAlign w:val="center"/>
          </w:tcPr>
          <w:p w14:paraId="6F7B466F" w14:textId="77777777" w:rsidR="00296471" w:rsidRPr="0019444B" w:rsidRDefault="00296471" w:rsidP="003965B7">
            <w:pPr>
              <w:pStyle w:val="TableText0"/>
              <w:widowControl w:val="0"/>
              <w:rPr>
                <w:b/>
                <w:bCs w:val="0"/>
              </w:rPr>
            </w:pPr>
            <w:r w:rsidRPr="0019444B">
              <w:rPr>
                <w:b/>
                <w:bCs w:val="0"/>
              </w:rPr>
              <w:t>−23.7 (−34.5, −12.8), p&lt;0.001*</w:t>
            </w:r>
          </w:p>
        </w:tc>
      </w:tr>
      <w:tr w:rsidR="00FE6A10" w:rsidRPr="0019444B" w14:paraId="489E95F7" w14:textId="77777777" w:rsidTr="000D2BBF">
        <w:tc>
          <w:tcPr>
            <w:tcW w:w="1293" w:type="pct"/>
            <w:vAlign w:val="center"/>
          </w:tcPr>
          <w:p w14:paraId="1D3B4CCF" w14:textId="77777777" w:rsidR="00296471" w:rsidRPr="0019444B" w:rsidRDefault="00296471" w:rsidP="003965B7">
            <w:pPr>
              <w:pStyle w:val="TableText0"/>
              <w:widowControl w:val="0"/>
              <w:rPr>
                <w:b/>
                <w:bCs w:val="0"/>
              </w:rPr>
            </w:pPr>
            <w:r w:rsidRPr="0019444B">
              <w:rPr>
                <w:b/>
                <w:bCs w:val="0"/>
              </w:rPr>
              <w:t>NMSC</w:t>
            </w:r>
          </w:p>
        </w:tc>
        <w:tc>
          <w:tcPr>
            <w:tcW w:w="543" w:type="pct"/>
            <w:vAlign w:val="center"/>
          </w:tcPr>
          <w:p w14:paraId="06FE6B62" w14:textId="77777777" w:rsidR="00296471" w:rsidRPr="0019444B" w:rsidRDefault="00296471" w:rsidP="003965B7">
            <w:pPr>
              <w:pStyle w:val="TableText0"/>
              <w:widowControl w:val="0"/>
              <w:jc w:val="center"/>
              <w:rPr>
                <w:b/>
                <w:bCs w:val="0"/>
              </w:rPr>
            </w:pPr>
            <w:r w:rsidRPr="0019444B">
              <w:rPr>
                <w:b/>
                <w:bCs w:val="0"/>
              </w:rPr>
              <w:t>NR</w:t>
            </w:r>
          </w:p>
        </w:tc>
        <w:tc>
          <w:tcPr>
            <w:tcW w:w="554" w:type="pct"/>
            <w:vAlign w:val="center"/>
          </w:tcPr>
          <w:p w14:paraId="696A3B55" w14:textId="77777777" w:rsidR="00296471" w:rsidRPr="0019444B" w:rsidRDefault="00296471" w:rsidP="003965B7">
            <w:pPr>
              <w:pStyle w:val="TableText0"/>
              <w:widowControl w:val="0"/>
              <w:jc w:val="center"/>
              <w:rPr>
                <w:b/>
                <w:bCs w:val="0"/>
              </w:rPr>
            </w:pPr>
            <w:r w:rsidRPr="0019444B">
              <w:rPr>
                <w:b/>
                <w:bCs w:val="0"/>
              </w:rPr>
              <w:t>NR</w:t>
            </w:r>
          </w:p>
        </w:tc>
        <w:tc>
          <w:tcPr>
            <w:tcW w:w="602" w:type="pct"/>
            <w:vAlign w:val="center"/>
          </w:tcPr>
          <w:p w14:paraId="2B731694" w14:textId="77777777" w:rsidR="00296471" w:rsidRPr="0019444B" w:rsidRDefault="00296471" w:rsidP="003965B7">
            <w:pPr>
              <w:pStyle w:val="TableText0"/>
              <w:widowControl w:val="0"/>
              <w:jc w:val="center"/>
              <w:rPr>
                <w:b/>
                <w:bCs w:val="0"/>
              </w:rPr>
            </w:pPr>
            <w:r w:rsidRPr="0019444B">
              <w:rPr>
                <w:b/>
                <w:bCs w:val="0"/>
              </w:rPr>
              <w:t>1.3%</w:t>
            </w:r>
          </w:p>
        </w:tc>
        <w:tc>
          <w:tcPr>
            <w:tcW w:w="600" w:type="pct"/>
            <w:vAlign w:val="center"/>
          </w:tcPr>
          <w:p w14:paraId="7935F86A" w14:textId="77777777" w:rsidR="00296471" w:rsidRPr="0019444B" w:rsidRDefault="00296471" w:rsidP="003965B7">
            <w:pPr>
              <w:pStyle w:val="TableText0"/>
              <w:widowControl w:val="0"/>
              <w:jc w:val="center"/>
              <w:rPr>
                <w:b/>
                <w:bCs w:val="0"/>
              </w:rPr>
            </w:pPr>
            <w:r w:rsidRPr="0019444B">
              <w:rPr>
                <w:b/>
                <w:bCs w:val="0"/>
              </w:rPr>
              <w:t>8.0%</w:t>
            </w:r>
          </w:p>
        </w:tc>
        <w:tc>
          <w:tcPr>
            <w:tcW w:w="1410" w:type="pct"/>
            <w:vAlign w:val="center"/>
          </w:tcPr>
          <w:p w14:paraId="2687F3BE" w14:textId="77777777" w:rsidR="00296471" w:rsidRPr="0019444B" w:rsidRDefault="00296471" w:rsidP="003965B7">
            <w:pPr>
              <w:pStyle w:val="TableText0"/>
              <w:widowControl w:val="0"/>
              <w:rPr>
                <w:b/>
                <w:bCs w:val="0"/>
              </w:rPr>
            </w:pPr>
            <w:r w:rsidRPr="0019444B">
              <w:rPr>
                <w:b/>
                <w:bCs w:val="0"/>
              </w:rPr>
              <w:t>−6.7 (−10.7, −2.7), p=0.001*</w:t>
            </w:r>
          </w:p>
        </w:tc>
      </w:tr>
      <w:tr w:rsidR="00FE6A10" w:rsidRPr="0019444B" w14:paraId="54BEDF88" w14:textId="77777777" w:rsidTr="000D2BBF">
        <w:tc>
          <w:tcPr>
            <w:tcW w:w="1293" w:type="pct"/>
            <w:vAlign w:val="center"/>
          </w:tcPr>
          <w:p w14:paraId="06EC0BB0" w14:textId="77777777" w:rsidR="00296471" w:rsidRPr="0019444B" w:rsidRDefault="00296471" w:rsidP="003965B7">
            <w:pPr>
              <w:pStyle w:val="TableText0"/>
              <w:widowControl w:val="0"/>
            </w:pPr>
            <w:r w:rsidRPr="0019444B">
              <w:t>Pneumonia</w:t>
            </w:r>
          </w:p>
        </w:tc>
        <w:tc>
          <w:tcPr>
            <w:tcW w:w="543" w:type="pct"/>
            <w:vAlign w:val="center"/>
          </w:tcPr>
          <w:p w14:paraId="28890215" w14:textId="77777777" w:rsidR="00296471" w:rsidRPr="0019444B" w:rsidRDefault="00296471" w:rsidP="003965B7">
            <w:pPr>
              <w:pStyle w:val="TableText0"/>
              <w:widowControl w:val="0"/>
              <w:jc w:val="center"/>
            </w:pPr>
            <w:r w:rsidRPr="0019444B">
              <w:t>NR</w:t>
            </w:r>
          </w:p>
        </w:tc>
        <w:tc>
          <w:tcPr>
            <w:tcW w:w="554" w:type="pct"/>
            <w:vAlign w:val="center"/>
          </w:tcPr>
          <w:p w14:paraId="2B219A60" w14:textId="77777777" w:rsidR="00296471" w:rsidRPr="0019444B" w:rsidRDefault="00296471" w:rsidP="003965B7">
            <w:pPr>
              <w:pStyle w:val="TableText0"/>
              <w:widowControl w:val="0"/>
              <w:jc w:val="center"/>
            </w:pPr>
            <w:r w:rsidRPr="0019444B">
              <w:t>NR</w:t>
            </w:r>
          </w:p>
        </w:tc>
        <w:tc>
          <w:tcPr>
            <w:tcW w:w="602" w:type="pct"/>
            <w:vAlign w:val="center"/>
          </w:tcPr>
          <w:p w14:paraId="432C17F0" w14:textId="77777777" w:rsidR="00296471" w:rsidRPr="0019444B" w:rsidRDefault="00296471" w:rsidP="003965B7">
            <w:pPr>
              <w:pStyle w:val="TableText0"/>
              <w:widowControl w:val="0"/>
              <w:jc w:val="center"/>
            </w:pPr>
            <w:r w:rsidRPr="0019444B">
              <w:t>7.3%</w:t>
            </w:r>
          </w:p>
        </w:tc>
        <w:tc>
          <w:tcPr>
            <w:tcW w:w="600" w:type="pct"/>
            <w:vAlign w:val="center"/>
          </w:tcPr>
          <w:p w14:paraId="0D9F1B79" w14:textId="77777777" w:rsidR="00296471" w:rsidRPr="0019444B" w:rsidRDefault="00296471" w:rsidP="003965B7">
            <w:pPr>
              <w:pStyle w:val="TableText0"/>
              <w:widowControl w:val="0"/>
              <w:jc w:val="center"/>
            </w:pPr>
            <w:r w:rsidRPr="0019444B">
              <w:t>5.7%</w:t>
            </w:r>
          </w:p>
        </w:tc>
        <w:tc>
          <w:tcPr>
            <w:tcW w:w="1410" w:type="pct"/>
            <w:vAlign w:val="center"/>
          </w:tcPr>
          <w:p w14:paraId="2BED96CC" w14:textId="77777777" w:rsidR="00296471" w:rsidRPr="0019444B" w:rsidRDefault="00296471" w:rsidP="003965B7">
            <w:pPr>
              <w:pStyle w:val="TableText0"/>
              <w:widowControl w:val="0"/>
            </w:pPr>
            <w:r w:rsidRPr="0019444B">
              <w:t>1.6 (−4.7, 8.0), p=0.617</w:t>
            </w:r>
          </w:p>
        </w:tc>
      </w:tr>
      <w:tr w:rsidR="00FE6A10" w:rsidRPr="0019444B" w14:paraId="5AC8772D" w14:textId="77777777" w:rsidTr="000D2BBF">
        <w:tc>
          <w:tcPr>
            <w:tcW w:w="1293" w:type="pct"/>
            <w:vAlign w:val="center"/>
          </w:tcPr>
          <w:p w14:paraId="399252ED" w14:textId="77777777" w:rsidR="00296471" w:rsidRPr="0019444B" w:rsidRDefault="00296471" w:rsidP="003965B7">
            <w:pPr>
              <w:pStyle w:val="TableText0"/>
              <w:widowControl w:val="0"/>
            </w:pPr>
            <w:r w:rsidRPr="0019444B">
              <w:t>SPM (excluding NMSC)</w:t>
            </w:r>
          </w:p>
        </w:tc>
        <w:tc>
          <w:tcPr>
            <w:tcW w:w="543" w:type="pct"/>
            <w:vAlign w:val="center"/>
          </w:tcPr>
          <w:p w14:paraId="3D8424DD" w14:textId="77777777" w:rsidR="00296471" w:rsidRPr="0019444B" w:rsidRDefault="00296471" w:rsidP="003965B7">
            <w:pPr>
              <w:pStyle w:val="TableText0"/>
              <w:widowControl w:val="0"/>
              <w:jc w:val="center"/>
            </w:pPr>
            <w:r w:rsidRPr="0019444B">
              <w:t>NR</w:t>
            </w:r>
          </w:p>
        </w:tc>
        <w:tc>
          <w:tcPr>
            <w:tcW w:w="554" w:type="pct"/>
            <w:vAlign w:val="center"/>
          </w:tcPr>
          <w:p w14:paraId="1187192A" w14:textId="77777777" w:rsidR="00296471" w:rsidRPr="0019444B" w:rsidRDefault="00296471" w:rsidP="003965B7">
            <w:pPr>
              <w:pStyle w:val="TableText0"/>
              <w:widowControl w:val="0"/>
              <w:jc w:val="center"/>
            </w:pPr>
            <w:r w:rsidRPr="0019444B">
              <w:t>NR</w:t>
            </w:r>
          </w:p>
        </w:tc>
        <w:tc>
          <w:tcPr>
            <w:tcW w:w="602" w:type="pct"/>
            <w:vAlign w:val="center"/>
          </w:tcPr>
          <w:p w14:paraId="06DD22CC" w14:textId="77777777" w:rsidR="00296471" w:rsidRPr="0019444B" w:rsidRDefault="00296471" w:rsidP="003965B7">
            <w:pPr>
              <w:pStyle w:val="TableText0"/>
              <w:widowControl w:val="0"/>
              <w:jc w:val="center"/>
            </w:pPr>
            <w:r w:rsidRPr="0019444B">
              <w:t>5.3%</w:t>
            </w:r>
          </w:p>
        </w:tc>
        <w:tc>
          <w:tcPr>
            <w:tcW w:w="600" w:type="pct"/>
            <w:vAlign w:val="center"/>
          </w:tcPr>
          <w:p w14:paraId="6C8CAAF9" w14:textId="77777777" w:rsidR="00296471" w:rsidRPr="0019444B" w:rsidRDefault="00296471" w:rsidP="003965B7">
            <w:pPr>
              <w:pStyle w:val="TableText0"/>
              <w:widowControl w:val="0"/>
              <w:jc w:val="center"/>
            </w:pPr>
            <w:r w:rsidRPr="0019444B">
              <w:t>9.0%</w:t>
            </w:r>
          </w:p>
        </w:tc>
        <w:tc>
          <w:tcPr>
            <w:tcW w:w="1410" w:type="pct"/>
            <w:vAlign w:val="center"/>
          </w:tcPr>
          <w:p w14:paraId="6B87FB81" w14:textId="77777777" w:rsidR="00296471" w:rsidRPr="0019444B" w:rsidRDefault="00296471" w:rsidP="003965B7">
            <w:pPr>
              <w:pStyle w:val="TableText0"/>
              <w:widowControl w:val="0"/>
            </w:pPr>
            <w:r w:rsidRPr="0019444B">
              <w:t>−3.7 (−10.0, 2.6), p=0.248</w:t>
            </w:r>
          </w:p>
        </w:tc>
      </w:tr>
      <w:tr w:rsidR="00FE6A10" w:rsidRPr="0019444B" w14:paraId="7E7D2361" w14:textId="77777777" w:rsidTr="000D2BBF">
        <w:tc>
          <w:tcPr>
            <w:tcW w:w="1293" w:type="pct"/>
            <w:vAlign w:val="center"/>
          </w:tcPr>
          <w:p w14:paraId="5790E82A" w14:textId="77777777" w:rsidR="00296471" w:rsidRPr="0019444B" w:rsidRDefault="00296471" w:rsidP="003965B7">
            <w:pPr>
              <w:pStyle w:val="TableText0"/>
              <w:widowControl w:val="0"/>
            </w:pPr>
            <w:r w:rsidRPr="0019444B">
              <w:t>Thrombocytopenia</w:t>
            </w:r>
          </w:p>
        </w:tc>
        <w:tc>
          <w:tcPr>
            <w:tcW w:w="543" w:type="pct"/>
            <w:vAlign w:val="center"/>
          </w:tcPr>
          <w:p w14:paraId="6D2785E5" w14:textId="77777777" w:rsidR="00296471" w:rsidRPr="0019444B" w:rsidRDefault="00296471" w:rsidP="003965B7">
            <w:pPr>
              <w:pStyle w:val="TableText0"/>
              <w:widowControl w:val="0"/>
              <w:jc w:val="center"/>
            </w:pPr>
            <w:r w:rsidRPr="0019444B">
              <w:t>NR</w:t>
            </w:r>
          </w:p>
        </w:tc>
        <w:tc>
          <w:tcPr>
            <w:tcW w:w="554" w:type="pct"/>
            <w:vAlign w:val="center"/>
          </w:tcPr>
          <w:p w14:paraId="20489EF3" w14:textId="77777777" w:rsidR="00296471" w:rsidRPr="0019444B" w:rsidRDefault="00296471" w:rsidP="003965B7">
            <w:pPr>
              <w:pStyle w:val="TableText0"/>
              <w:widowControl w:val="0"/>
              <w:jc w:val="center"/>
            </w:pPr>
            <w:r w:rsidRPr="0019444B">
              <w:t>NR</w:t>
            </w:r>
          </w:p>
        </w:tc>
        <w:tc>
          <w:tcPr>
            <w:tcW w:w="602" w:type="pct"/>
            <w:vAlign w:val="center"/>
          </w:tcPr>
          <w:p w14:paraId="1D069464" w14:textId="77777777" w:rsidR="00296471" w:rsidRPr="0019444B" w:rsidRDefault="00296471" w:rsidP="003965B7">
            <w:pPr>
              <w:pStyle w:val="TableText0"/>
              <w:widowControl w:val="0"/>
              <w:jc w:val="center"/>
            </w:pPr>
            <w:r w:rsidRPr="0019444B">
              <w:t>9.6%</w:t>
            </w:r>
          </w:p>
        </w:tc>
        <w:tc>
          <w:tcPr>
            <w:tcW w:w="600" w:type="pct"/>
            <w:vAlign w:val="center"/>
          </w:tcPr>
          <w:p w14:paraId="20777814" w14:textId="77777777" w:rsidR="00296471" w:rsidRPr="0019444B" w:rsidRDefault="00296471" w:rsidP="003965B7">
            <w:pPr>
              <w:pStyle w:val="TableText0"/>
              <w:widowControl w:val="0"/>
              <w:jc w:val="center"/>
            </w:pPr>
            <w:r w:rsidRPr="0019444B">
              <w:t>13.7%</w:t>
            </w:r>
          </w:p>
        </w:tc>
        <w:tc>
          <w:tcPr>
            <w:tcW w:w="1410" w:type="pct"/>
            <w:vAlign w:val="center"/>
          </w:tcPr>
          <w:p w14:paraId="22465023" w14:textId="77777777" w:rsidR="00296471" w:rsidRPr="0019444B" w:rsidRDefault="00296471" w:rsidP="003965B7">
            <w:pPr>
              <w:pStyle w:val="TableText0"/>
              <w:widowControl w:val="0"/>
            </w:pPr>
            <w:r w:rsidRPr="0019444B">
              <w:t>−4.1 (−11.2, 3.1), p=0.268</w:t>
            </w:r>
          </w:p>
        </w:tc>
      </w:tr>
      <w:tr w:rsidR="00FE6A10" w:rsidRPr="0019444B" w14:paraId="6BE4FA57" w14:textId="77777777" w:rsidTr="000D2BBF">
        <w:tc>
          <w:tcPr>
            <w:tcW w:w="1293" w:type="pct"/>
            <w:vAlign w:val="center"/>
          </w:tcPr>
          <w:p w14:paraId="21C34A2F" w14:textId="77777777" w:rsidR="00296471" w:rsidRPr="0019444B" w:rsidRDefault="00296471" w:rsidP="003965B7">
            <w:pPr>
              <w:pStyle w:val="TableText0"/>
              <w:widowControl w:val="0"/>
            </w:pPr>
            <w:r w:rsidRPr="0019444B">
              <w:t>Tumour lysis syndrome</w:t>
            </w:r>
          </w:p>
        </w:tc>
        <w:tc>
          <w:tcPr>
            <w:tcW w:w="543" w:type="pct"/>
            <w:vAlign w:val="center"/>
          </w:tcPr>
          <w:p w14:paraId="5C01AFFC" w14:textId="77777777" w:rsidR="00296471" w:rsidRPr="0019444B" w:rsidRDefault="00296471" w:rsidP="003965B7">
            <w:pPr>
              <w:pStyle w:val="TableText0"/>
              <w:widowControl w:val="0"/>
              <w:jc w:val="center"/>
            </w:pPr>
            <w:r w:rsidRPr="0019444B">
              <w:t>NR</w:t>
            </w:r>
          </w:p>
        </w:tc>
        <w:tc>
          <w:tcPr>
            <w:tcW w:w="554" w:type="pct"/>
            <w:vAlign w:val="center"/>
          </w:tcPr>
          <w:p w14:paraId="47C93841" w14:textId="77777777" w:rsidR="00296471" w:rsidRPr="0019444B" w:rsidRDefault="00296471" w:rsidP="003965B7">
            <w:pPr>
              <w:pStyle w:val="TableText0"/>
              <w:widowControl w:val="0"/>
              <w:jc w:val="center"/>
            </w:pPr>
            <w:r w:rsidRPr="0019444B">
              <w:t>NR</w:t>
            </w:r>
          </w:p>
        </w:tc>
        <w:tc>
          <w:tcPr>
            <w:tcW w:w="602" w:type="pct"/>
            <w:vAlign w:val="center"/>
          </w:tcPr>
          <w:p w14:paraId="0D7FEA10" w14:textId="77777777" w:rsidR="00296471" w:rsidRPr="0019444B" w:rsidRDefault="00296471" w:rsidP="003965B7">
            <w:pPr>
              <w:pStyle w:val="TableText0"/>
              <w:widowControl w:val="0"/>
              <w:jc w:val="center"/>
            </w:pPr>
            <w:r w:rsidRPr="0019444B">
              <w:t>1.4%</w:t>
            </w:r>
          </w:p>
        </w:tc>
        <w:tc>
          <w:tcPr>
            <w:tcW w:w="600" w:type="pct"/>
            <w:vAlign w:val="center"/>
          </w:tcPr>
          <w:p w14:paraId="7F43101F" w14:textId="77777777" w:rsidR="00296471" w:rsidRPr="0019444B" w:rsidRDefault="00296471" w:rsidP="003965B7">
            <w:pPr>
              <w:pStyle w:val="TableText0"/>
              <w:widowControl w:val="0"/>
              <w:jc w:val="center"/>
            </w:pPr>
            <w:r w:rsidRPr="0019444B">
              <w:t>1.4%</w:t>
            </w:r>
          </w:p>
        </w:tc>
        <w:tc>
          <w:tcPr>
            <w:tcW w:w="1410" w:type="pct"/>
            <w:vAlign w:val="center"/>
          </w:tcPr>
          <w:p w14:paraId="4ACE6AD3" w14:textId="77777777" w:rsidR="00296471" w:rsidRPr="0019444B" w:rsidRDefault="00296471" w:rsidP="003965B7">
            <w:pPr>
              <w:pStyle w:val="TableText0"/>
              <w:widowControl w:val="0"/>
            </w:pPr>
            <w:r w:rsidRPr="0019444B">
              <w:t>0 (−2.4, 2.4), p=1</w:t>
            </w:r>
          </w:p>
        </w:tc>
      </w:tr>
    </w:tbl>
    <w:bookmarkEnd w:id="58"/>
    <w:p w14:paraId="4A64C5B4" w14:textId="233945E2" w:rsidR="00296471" w:rsidRPr="0019444B" w:rsidRDefault="004B7F89" w:rsidP="000326AD">
      <w:pPr>
        <w:pStyle w:val="Tablenotes"/>
        <w:keepNext/>
        <w:spacing w:after="0" w:line="240" w:lineRule="auto"/>
      </w:pPr>
      <w:r w:rsidRPr="0019444B">
        <w:t xml:space="preserve">Source: </w:t>
      </w:r>
      <w:r w:rsidR="00296471" w:rsidRPr="0019444B">
        <w:t>Table 2.98, p. 197 of the resubmission</w:t>
      </w:r>
      <w:r w:rsidR="00CF0CAB" w:rsidRPr="0019444B">
        <w:t>.</w:t>
      </w:r>
    </w:p>
    <w:p w14:paraId="17016C06" w14:textId="2DB1120A" w:rsidR="00296471" w:rsidRPr="0019444B" w:rsidRDefault="00296471" w:rsidP="000326AD">
      <w:pPr>
        <w:pStyle w:val="Tablenotes"/>
        <w:keepNext/>
        <w:spacing w:after="0" w:line="240" w:lineRule="auto"/>
        <w:rPr>
          <w:rFonts w:eastAsia="SimSun"/>
          <w:snapToGrid/>
        </w:rPr>
      </w:pPr>
      <w:r w:rsidRPr="0019444B">
        <w:rPr>
          <w:rFonts w:eastAsia="SimSun"/>
          <w:snapToGrid/>
        </w:rPr>
        <w:t>ACA</w:t>
      </w:r>
      <w:r w:rsidR="00C521EB" w:rsidRPr="0019444B">
        <w:rPr>
          <w:rFonts w:eastAsia="SimSun"/>
          <w:snapToGrid/>
        </w:rPr>
        <w:t xml:space="preserve"> </w:t>
      </w:r>
      <w:r w:rsidRPr="0019444B">
        <w:rPr>
          <w:rFonts w:eastAsia="SimSun"/>
          <w:snapToGrid/>
        </w:rPr>
        <w:t xml:space="preserve">= acalabrutinib, </w:t>
      </w:r>
      <w:r w:rsidR="00CF0CAB" w:rsidRPr="0019444B">
        <w:rPr>
          <w:rFonts w:eastAsia="SimSun"/>
          <w:snapToGrid/>
        </w:rPr>
        <w:t xml:space="preserve">CI = confidence interval, </w:t>
      </w:r>
      <w:r w:rsidRPr="0019444B">
        <w:rPr>
          <w:rFonts w:eastAsia="SimSun"/>
          <w:snapToGrid/>
        </w:rPr>
        <w:t>ESS</w:t>
      </w:r>
      <w:r w:rsidR="00C521EB" w:rsidRPr="0019444B">
        <w:rPr>
          <w:rFonts w:eastAsia="SimSun"/>
          <w:snapToGrid/>
        </w:rPr>
        <w:t xml:space="preserve"> </w:t>
      </w:r>
      <w:r w:rsidRPr="0019444B">
        <w:rPr>
          <w:rFonts w:eastAsia="SimSun"/>
          <w:snapToGrid/>
        </w:rPr>
        <w:t xml:space="preserve">= effective sample size, </w:t>
      </w:r>
      <w:r w:rsidR="00397521" w:rsidRPr="0019444B">
        <w:rPr>
          <w:rFonts w:eastAsia="SimSun"/>
          <w:snapToGrid/>
        </w:rPr>
        <w:t xml:space="preserve">MAIC = matching adjusted indirect comparison, </w:t>
      </w:r>
      <w:r w:rsidRPr="0019444B">
        <w:rPr>
          <w:rFonts w:eastAsia="SimSun"/>
          <w:snapToGrid/>
        </w:rPr>
        <w:t>NMSC</w:t>
      </w:r>
      <w:r w:rsidR="00C521EB" w:rsidRPr="0019444B">
        <w:rPr>
          <w:rFonts w:eastAsia="SimSun"/>
          <w:snapToGrid/>
        </w:rPr>
        <w:t xml:space="preserve"> </w:t>
      </w:r>
      <w:r w:rsidRPr="0019444B">
        <w:rPr>
          <w:rFonts w:eastAsia="SimSun"/>
          <w:snapToGrid/>
        </w:rPr>
        <w:t xml:space="preserve">= non melanoma skin cancer, </w:t>
      </w:r>
      <w:r w:rsidR="00C521EB" w:rsidRPr="0019444B">
        <w:rPr>
          <w:rFonts w:eastAsia="SimSun"/>
          <w:snapToGrid/>
        </w:rPr>
        <w:t xml:space="preserve">NR = not reported, </w:t>
      </w:r>
      <w:r w:rsidRPr="0019444B">
        <w:rPr>
          <w:rFonts w:eastAsia="SimSun"/>
          <w:snapToGrid/>
        </w:rPr>
        <w:t>OBIN</w:t>
      </w:r>
      <w:r w:rsidR="00C521EB" w:rsidRPr="0019444B">
        <w:rPr>
          <w:rFonts w:eastAsia="SimSun"/>
          <w:snapToGrid/>
        </w:rPr>
        <w:t xml:space="preserve"> </w:t>
      </w:r>
      <w:r w:rsidRPr="0019444B">
        <w:rPr>
          <w:rFonts w:eastAsia="SimSun"/>
          <w:snapToGrid/>
        </w:rPr>
        <w:t>= obinutuzumab, SPM</w:t>
      </w:r>
      <w:r w:rsidR="00C521EB" w:rsidRPr="0019444B">
        <w:rPr>
          <w:rFonts w:eastAsia="SimSun"/>
          <w:snapToGrid/>
        </w:rPr>
        <w:t xml:space="preserve"> </w:t>
      </w:r>
      <w:r w:rsidRPr="0019444B">
        <w:rPr>
          <w:rFonts w:eastAsia="SimSun"/>
          <w:snapToGrid/>
        </w:rPr>
        <w:t>= secondary primary malignancy, VTX</w:t>
      </w:r>
      <w:r w:rsidR="00C521EB" w:rsidRPr="0019444B">
        <w:rPr>
          <w:rFonts w:eastAsia="SimSun"/>
          <w:snapToGrid/>
        </w:rPr>
        <w:t xml:space="preserve"> </w:t>
      </w:r>
      <w:r w:rsidRPr="0019444B">
        <w:rPr>
          <w:rFonts w:eastAsia="SimSun"/>
          <w:snapToGrid/>
        </w:rPr>
        <w:t>= venetoclax</w:t>
      </w:r>
      <w:r w:rsidR="00C521EB" w:rsidRPr="0019444B">
        <w:rPr>
          <w:rFonts w:eastAsia="SimSun"/>
          <w:snapToGrid/>
        </w:rPr>
        <w:t>.</w:t>
      </w:r>
      <w:r w:rsidR="002E7228" w:rsidRPr="0019444B">
        <w:rPr>
          <w:rFonts w:eastAsia="SimSun"/>
          <w:snapToGrid/>
        </w:rPr>
        <w:t xml:space="preserve"> </w:t>
      </w:r>
    </w:p>
    <w:p w14:paraId="2C99EFA8" w14:textId="77777777" w:rsidR="00296471" w:rsidRPr="0019444B" w:rsidRDefault="00296471" w:rsidP="000326AD">
      <w:pPr>
        <w:pStyle w:val="Tablenotes"/>
        <w:keepNext/>
        <w:spacing w:after="0" w:line="240" w:lineRule="auto"/>
      </w:pPr>
      <w:r w:rsidRPr="0019444B">
        <w:t xml:space="preserve">* </w:t>
      </w:r>
      <w:proofErr w:type="gramStart"/>
      <w:r w:rsidRPr="0019444B">
        <w:t>denotes</w:t>
      </w:r>
      <w:proofErr w:type="gramEnd"/>
      <w:r w:rsidRPr="0019444B">
        <w:t xml:space="preserve"> p-value &lt;0.05: In bold</w:t>
      </w:r>
    </w:p>
    <w:p w14:paraId="1723DDD8" w14:textId="30E414CD" w:rsidR="00296471" w:rsidRPr="0019444B" w:rsidRDefault="00296471" w:rsidP="00CA022C">
      <w:pPr>
        <w:pStyle w:val="Tablenotes"/>
        <w:spacing w:after="120" w:line="240" w:lineRule="auto"/>
      </w:pPr>
      <w:r w:rsidRPr="0019444B">
        <w:rPr>
          <w:vertAlign w:val="superscript"/>
        </w:rPr>
        <w:t xml:space="preserve">a </w:t>
      </w:r>
      <w:r w:rsidRPr="0019444B">
        <w:t>Pre-match N does not necessarily match N of ELEVATE-TN due to incomplete baseline data recording for some patients in outcomes.</w:t>
      </w:r>
    </w:p>
    <w:p w14:paraId="56025E3E" w14:textId="165EAB86" w:rsidR="00296471" w:rsidRPr="0019444B" w:rsidRDefault="00AC7CC6" w:rsidP="00270DE2">
      <w:pPr>
        <w:pStyle w:val="3-BodyText"/>
        <w:numPr>
          <w:ilvl w:val="1"/>
          <w:numId w:val="1"/>
        </w:numPr>
        <w:ind w:left="709" w:hanging="709"/>
      </w:pPr>
      <w:r w:rsidRPr="0019444B">
        <w:t xml:space="preserve">Based on </w:t>
      </w:r>
      <w:r w:rsidR="00F82835" w:rsidRPr="0019444B">
        <w:t xml:space="preserve">the </w:t>
      </w:r>
      <w:r w:rsidR="00296471" w:rsidRPr="0019444B">
        <w:t xml:space="preserve">MAIC, ACA </w:t>
      </w:r>
      <w:r w:rsidR="00406FC0" w:rsidRPr="0019444B">
        <w:t>monotherapy</w:t>
      </w:r>
      <w:r w:rsidR="00296471" w:rsidRPr="0019444B">
        <w:t xml:space="preserve"> </w:t>
      </w:r>
      <w:r w:rsidR="00A97F82" w:rsidRPr="0019444B">
        <w:t xml:space="preserve">compared to VTX+OBIN </w:t>
      </w:r>
      <w:r w:rsidR="006B64AC" w:rsidRPr="0019444B">
        <w:t xml:space="preserve">was associated with </w:t>
      </w:r>
      <w:r w:rsidR="00296471" w:rsidRPr="0019444B">
        <w:t xml:space="preserve">statistically significantly </w:t>
      </w:r>
      <w:r w:rsidR="006B64AC" w:rsidRPr="0019444B">
        <w:t>fewer</w:t>
      </w:r>
      <w:r w:rsidR="00296471" w:rsidRPr="0019444B">
        <w:t xml:space="preserve"> </w:t>
      </w:r>
      <w:r w:rsidR="00A97F82" w:rsidRPr="0019444B">
        <w:t xml:space="preserve">events of </w:t>
      </w:r>
      <w:r w:rsidR="00296471" w:rsidRPr="0019444B">
        <w:t xml:space="preserve">Grade 3-4 febrile neutropenia (0.3% vs 5.2%, p=0.002), infusion-related reactions (0% vs 9%, p&lt;0.001), neutropenia (9% vs 52.8%, p&lt;0.001), non-melanoma skin cancer (0.4% vs 8%, p&lt;0.001), secondary primary malignancy (3% vs 9%, p&lt;0.021), </w:t>
      </w:r>
      <w:r w:rsidR="004E1933" w:rsidRPr="0019444B">
        <w:t xml:space="preserve">and </w:t>
      </w:r>
      <w:r w:rsidR="00296471" w:rsidRPr="0019444B">
        <w:t>thrombocytopenia (2.2% vs 13.7%, p&lt;0.001).</w:t>
      </w:r>
    </w:p>
    <w:p w14:paraId="33E641E6" w14:textId="761BE1A6" w:rsidR="00296471" w:rsidRPr="0019444B" w:rsidRDefault="00296471" w:rsidP="00270DE2">
      <w:pPr>
        <w:pStyle w:val="3-BodyText"/>
        <w:numPr>
          <w:ilvl w:val="1"/>
          <w:numId w:val="1"/>
        </w:numPr>
        <w:ind w:left="709" w:hanging="709"/>
      </w:pPr>
      <w:r w:rsidRPr="0019444B">
        <w:t xml:space="preserve">ACA+OBIN </w:t>
      </w:r>
      <w:r w:rsidR="00A97F82" w:rsidRPr="0019444B">
        <w:t xml:space="preserve">compared to VTX+OBIN </w:t>
      </w:r>
      <w:r w:rsidR="006B64AC" w:rsidRPr="0019444B">
        <w:t xml:space="preserve">was associated with </w:t>
      </w:r>
      <w:r w:rsidRPr="0019444B">
        <w:t xml:space="preserve">statistically significantly </w:t>
      </w:r>
      <w:r w:rsidR="006B64AC" w:rsidRPr="0019444B">
        <w:t>fewer</w:t>
      </w:r>
      <w:r w:rsidRPr="0019444B">
        <w:t xml:space="preserve"> </w:t>
      </w:r>
      <w:r w:rsidR="00A97F82" w:rsidRPr="0019444B">
        <w:t xml:space="preserve">events of </w:t>
      </w:r>
      <w:r w:rsidRPr="0019444B">
        <w:t>Grade 3-4 infusion-related reactions (1.4% vs 9.0%, p&lt;0.001), leukopenia (0.2% vs 2.4%, p=0.046), neutropenia (29.1% vs 52.8%, p&lt;0.001) and non-melanoma skin cancer (2.3% vs 8.0%, p=0.001) compared to VTX+OBIN.</w:t>
      </w:r>
    </w:p>
    <w:p w14:paraId="65D7ED2A" w14:textId="49257443" w:rsidR="003965B7" w:rsidRPr="0019444B" w:rsidRDefault="00296471" w:rsidP="00270DE2">
      <w:pPr>
        <w:pStyle w:val="3-BodyText"/>
        <w:numPr>
          <w:ilvl w:val="1"/>
          <w:numId w:val="1"/>
        </w:numPr>
        <w:ind w:left="709" w:hanging="709"/>
        <w:rPr>
          <w:iCs/>
        </w:rPr>
      </w:pPr>
      <w:r w:rsidRPr="0019444B">
        <w:rPr>
          <w:iCs/>
        </w:rPr>
        <w:t xml:space="preserve">The PBAC </w:t>
      </w:r>
      <w:r w:rsidR="006B64AC" w:rsidRPr="0019444B">
        <w:rPr>
          <w:iCs/>
        </w:rPr>
        <w:t xml:space="preserve">at </w:t>
      </w:r>
      <w:r w:rsidRPr="0019444B">
        <w:rPr>
          <w:iCs/>
        </w:rPr>
        <w:t xml:space="preserve">its December 2022 meeting considered that these results should be interpreted with caution due to inadequate justification for the application of the MAIC methodology to specific AEs, the limited matching of prognostic variables and differences in follow-up durations in the data-cuts used (paragraph 6.50, ACA, </w:t>
      </w:r>
      <w:r w:rsidR="00531289" w:rsidRPr="0019444B">
        <w:rPr>
          <w:iCs/>
        </w:rPr>
        <w:t>PSD</w:t>
      </w:r>
      <w:r w:rsidRPr="0019444B">
        <w:rPr>
          <w:iCs/>
        </w:rPr>
        <w:t>, December 2022 PBAC meeting).</w:t>
      </w:r>
    </w:p>
    <w:p w14:paraId="2133DDBD" w14:textId="5F87752D" w:rsidR="00D549F0" w:rsidRPr="0019444B" w:rsidRDefault="00D549F0" w:rsidP="00D549F0">
      <w:pPr>
        <w:pStyle w:val="4-SubsectionHeading"/>
      </w:pPr>
      <w:r w:rsidRPr="0019444B">
        <w:t xml:space="preserve">Comparative effectiveness: </w:t>
      </w:r>
      <w:bookmarkStart w:id="59" w:name="_Hlk138062318"/>
      <w:r w:rsidRPr="0019444B">
        <w:t>ACA+/-OBIN versus ZANU</w:t>
      </w:r>
      <w:bookmarkEnd w:id="59"/>
    </w:p>
    <w:p w14:paraId="18213C25" w14:textId="7A70B10F" w:rsidR="00D549F0" w:rsidRPr="0019444B" w:rsidRDefault="008B1584" w:rsidP="00C83142">
      <w:pPr>
        <w:pStyle w:val="3-BodyText"/>
        <w:numPr>
          <w:ilvl w:val="1"/>
          <w:numId w:val="1"/>
        </w:numPr>
        <w:ind w:left="709" w:hanging="709"/>
        <w:rPr>
          <w:iCs/>
        </w:rPr>
      </w:pPr>
      <w:r w:rsidRPr="0019444B">
        <w:rPr>
          <w:iCs/>
        </w:rPr>
        <w:t>The resubmission presented a</w:t>
      </w:r>
      <w:r w:rsidR="0011405D" w:rsidRPr="0019444B">
        <w:rPr>
          <w:iCs/>
        </w:rPr>
        <w:t xml:space="preserve">n unanchored </w:t>
      </w:r>
      <w:r w:rsidR="00D13D05">
        <w:rPr>
          <w:iCs/>
        </w:rPr>
        <w:t>unmatched (naïve)</w:t>
      </w:r>
      <w:r w:rsidR="00D13D05" w:rsidRPr="0019444B">
        <w:rPr>
          <w:iCs/>
        </w:rPr>
        <w:t xml:space="preserve"> </w:t>
      </w:r>
      <w:r w:rsidRPr="0019444B">
        <w:rPr>
          <w:iCs/>
        </w:rPr>
        <w:t xml:space="preserve">comparison of ACA+/-OBIN and ZANU based on the ELEVATE-TN and SEQUOIA trials. The control arms in the two trials differed, OBIN+CHL in ELEVATE-TN and BEND+RIT in SEQUOIA. </w:t>
      </w:r>
      <w:r w:rsidR="009E38AC" w:rsidRPr="0019444B">
        <w:rPr>
          <w:iCs/>
        </w:rPr>
        <w:t>The PFS</w:t>
      </w:r>
      <w:r w:rsidRPr="0019444B">
        <w:rPr>
          <w:iCs/>
        </w:rPr>
        <w:t xml:space="preserve"> and OS results from</w:t>
      </w:r>
      <w:r w:rsidR="009E38AC" w:rsidRPr="0019444B">
        <w:rPr>
          <w:iCs/>
        </w:rPr>
        <w:t xml:space="preserve"> ELEVATE-TN</w:t>
      </w:r>
      <w:r w:rsidRPr="0019444B">
        <w:rPr>
          <w:iCs/>
        </w:rPr>
        <w:t xml:space="preserve"> (median follow-up of 28</w:t>
      </w:r>
      <w:r w:rsidR="00C83142" w:rsidRPr="0019444B">
        <w:rPr>
          <w:iCs/>
        </w:rPr>
        <w:t>.</w:t>
      </w:r>
      <w:r w:rsidR="008B4E0E" w:rsidRPr="0019444B">
        <w:rPr>
          <w:iCs/>
        </w:rPr>
        <w:t>0</w:t>
      </w:r>
      <w:r w:rsidR="00C83142" w:rsidRPr="0019444B">
        <w:rPr>
          <w:iCs/>
        </w:rPr>
        <w:t>-28.5</w:t>
      </w:r>
      <w:r w:rsidRPr="0019444B">
        <w:rPr>
          <w:iCs/>
        </w:rPr>
        <w:t xml:space="preserve"> months)</w:t>
      </w:r>
      <w:r w:rsidR="009E38AC" w:rsidRPr="0019444B">
        <w:rPr>
          <w:iCs/>
        </w:rPr>
        <w:t xml:space="preserve"> and SEQUOIA for the population without 17p deletion</w:t>
      </w:r>
      <w:r w:rsidRPr="0019444B">
        <w:rPr>
          <w:iCs/>
        </w:rPr>
        <w:t xml:space="preserve"> </w:t>
      </w:r>
      <w:r w:rsidR="00C83142" w:rsidRPr="0019444B">
        <w:rPr>
          <w:iCs/>
        </w:rPr>
        <w:t xml:space="preserve">status </w:t>
      </w:r>
      <w:r w:rsidRPr="0019444B">
        <w:rPr>
          <w:iCs/>
        </w:rPr>
        <w:t xml:space="preserve">(median follow-up of </w:t>
      </w:r>
      <w:r w:rsidR="00C83142" w:rsidRPr="0019444B">
        <w:rPr>
          <w:iCs/>
        </w:rPr>
        <w:t>26.2-30.5 months)</w:t>
      </w:r>
      <w:r w:rsidR="009E38AC" w:rsidRPr="0019444B">
        <w:rPr>
          <w:iCs/>
        </w:rPr>
        <w:t xml:space="preserve"> </w:t>
      </w:r>
      <w:r w:rsidR="00C83142" w:rsidRPr="0019444B">
        <w:rPr>
          <w:iCs/>
        </w:rPr>
        <w:t>are</w:t>
      </w:r>
      <w:r w:rsidR="009E38AC" w:rsidRPr="0019444B">
        <w:rPr>
          <w:iCs/>
        </w:rPr>
        <w:t xml:space="preserve"> presented in </w:t>
      </w:r>
      <w:r w:rsidR="009E38AC" w:rsidRPr="0019444B">
        <w:rPr>
          <w:iCs/>
        </w:rPr>
        <w:fldChar w:fldCharType="begin" w:fldLock="1"/>
      </w:r>
      <w:r w:rsidR="009E38AC" w:rsidRPr="0019444B">
        <w:rPr>
          <w:iCs/>
        </w:rPr>
        <w:instrText xml:space="preserve"> REF _Ref138061199 \h  \* MERGEFORMAT </w:instrText>
      </w:r>
      <w:r w:rsidR="009E38AC" w:rsidRPr="0019444B">
        <w:rPr>
          <w:iCs/>
        </w:rPr>
      </w:r>
      <w:r w:rsidR="009E38AC" w:rsidRPr="0019444B">
        <w:rPr>
          <w:iCs/>
        </w:rPr>
        <w:fldChar w:fldCharType="separate"/>
      </w:r>
      <w:r w:rsidR="009E38AC" w:rsidRPr="0019444B">
        <w:rPr>
          <w:iCs/>
        </w:rPr>
        <w:t xml:space="preserve">Table </w:t>
      </w:r>
      <w:r w:rsidR="009E38AC" w:rsidRPr="000F66F8">
        <w:rPr>
          <w:iCs/>
        </w:rPr>
        <w:t>13</w:t>
      </w:r>
      <w:r w:rsidR="009E38AC" w:rsidRPr="0019444B">
        <w:rPr>
          <w:iCs/>
        </w:rPr>
        <w:fldChar w:fldCharType="end"/>
      </w:r>
      <w:r w:rsidR="00C83142" w:rsidRPr="0019444B">
        <w:rPr>
          <w:iCs/>
        </w:rPr>
        <w:t xml:space="preserve"> and </w:t>
      </w:r>
      <w:r w:rsidR="00C83142" w:rsidRPr="0019444B">
        <w:rPr>
          <w:iCs/>
        </w:rPr>
        <w:fldChar w:fldCharType="begin" w:fldLock="1"/>
      </w:r>
      <w:r w:rsidR="00C83142" w:rsidRPr="0019444B">
        <w:rPr>
          <w:iCs/>
        </w:rPr>
        <w:instrText xml:space="preserve"> REF _Ref138062646 \h </w:instrText>
      </w:r>
      <w:r w:rsidR="00F11B7E" w:rsidRPr="0019444B">
        <w:rPr>
          <w:iCs/>
        </w:rPr>
        <w:instrText xml:space="preserve"> \* MERGEFORMAT </w:instrText>
      </w:r>
      <w:r w:rsidR="00C83142" w:rsidRPr="0019444B">
        <w:rPr>
          <w:iCs/>
        </w:rPr>
      </w:r>
      <w:r w:rsidR="00C83142" w:rsidRPr="0019444B">
        <w:rPr>
          <w:iCs/>
        </w:rPr>
        <w:fldChar w:fldCharType="separate"/>
      </w:r>
      <w:r w:rsidR="00C83142" w:rsidRPr="0019444B">
        <w:rPr>
          <w:iCs/>
        </w:rPr>
        <w:t xml:space="preserve">Table </w:t>
      </w:r>
      <w:r w:rsidR="00C83142" w:rsidRPr="000F66F8">
        <w:rPr>
          <w:iCs/>
        </w:rPr>
        <w:t>14</w:t>
      </w:r>
      <w:r w:rsidR="00C83142" w:rsidRPr="0019444B">
        <w:rPr>
          <w:iCs/>
        </w:rPr>
        <w:fldChar w:fldCharType="end"/>
      </w:r>
      <w:r w:rsidR="009E38AC" w:rsidRPr="0019444B">
        <w:rPr>
          <w:iCs/>
        </w:rPr>
        <w:t>.</w:t>
      </w:r>
    </w:p>
    <w:p w14:paraId="2D7853EC" w14:textId="7E560B2D" w:rsidR="009E38AC" w:rsidRPr="0019444B" w:rsidRDefault="009E38AC" w:rsidP="009E38AC">
      <w:pPr>
        <w:pStyle w:val="3-BodyText"/>
        <w:numPr>
          <w:ilvl w:val="0"/>
          <w:numId w:val="0"/>
        </w:numPr>
        <w:rPr>
          <w:iCs/>
        </w:rPr>
      </w:pPr>
    </w:p>
    <w:p w14:paraId="29D88C2D" w14:textId="291DED61" w:rsidR="009E38AC" w:rsidRPr="0019444B" w:rsidRDefault="009E38AC" w:rsidP="009E38AC">
      <w:pPr>
        <w:pStyle w:val="TableFigureHeading"/>
        <w:jc w:val="both"/>
        <w:rPr>
          <w:u w:val="single"/>
        </w:rPr>
      </w:pPr>
      <w:bookmarkStart w:id="60" w:name="_Ref138061199"/>
      <w:r w:rsidRPr="0019444B">
        <w:t xml:space="preserve">Table </w:t>
      </w:r>
      <w:r w:rsidR="007C4FC4" w:rsidRPr="00D13D05">
        <w:fldChar w:fldCharType="begin" w:fldLock="1"/>
      </w:r>
      <w:r w:rsidR="007C4FC4" w:rsidRPr="0019444B">
        <w:instrText xml:space="preserve"> SEQ Table \* ARABIC </w:instrText>
      </w:r>
      <w:r w:rsidR="007C4FC4" w:rsidRPr="00D13D05">
        <w:fldChar w:fldCharType="separate"/>
      </w:r>
      <w:r w:rsidRPr="00D13D05">
        <w:t>13</w:t>
      </w:r>
      <w:r w:rsidR="007C4FC4" w:rsidRPr="00D13D05">
        <w:fldChar w:fldCharType="end"/>
      </w:r>
      <w:bookmarkEnd w:id="60"/>
      <w:r w:rsidRPr="00D13D05">
        <w:t>:</w:t>
      </w:r>
      <w:r w:rsidRPr="0019444B">
        <w:t xml:space="preserve"> </w:t>
      </w:r>
      <w:r w:rsidRPr="0019444B">
        <w:rPr>
          <w:rFonts w:eastAsia="Times New Roman"/>
        </w:rPr>
        <w:t xml:space="preserve">Comparison of PFS in ELEVATE-TN and SEQUOIA </w:t>
      </w:r>
      <w:r w:rsidRPr="0019444B">
        <w:rPr>
          <w:rFonts w:eastAsia="Times New Roman"/>
          <w:u w:val="single"/>
        </w:rPr>
        <w:t>without</w:t>
      </w:r>
      <w:r w:rsidRPr="0019444B">
        <w:rPr>
          <w:rFonts w:eastAsia="Times New Roman"/>
        </w:rPr>
        <w:t xml:space="preserve"> 17p deletion </w:t>
      </w:r>
      <w:proofErr w:type="gramStart"/>
      <w:r w:rsidRPr="0019444B">
        <w:rPr>
          <w:rFonts w:eastAsia="Times New Roman"/>
        </w:rPr>
        <w:t>status</w:t>
      </w:r>
      <w:proofErr w:type="gramEnd"/>
    </w:p>
    <w:tbl>
      <w:tblPr>
        <w:tblStyle w:val="AZTable"/>
        <w:tblW w:w="9072" w:type="dxa"/>
        <w:tblInd w:w="-5" w:type="dxa"/>
        <w:tblLook w:val="0420" w:firstRow="1" w:lastRow="0" w:firstColumn="0" w:lastColumn="0" w:noHBand="0" w:noVBand="1"/>
      </w:tblPr>
      <w:tblGrid>
        <w:gridCol w:w="2462"/>
        <w:gridCol w:w="1398"/>
        <w:gridCol w:w="1405"/>
        <w:gridCol w:w="1256"/>
        <w:gridCol w:w="1276"/>
        <w:gridCol w:w="1275"/>
      </w:tblGrid>
      <w:tr w:rsidR="009E38AC" w:rsidRPr="0019444B" w14:paraId="0E6C9737" w14:textId="77777777" w:rsidTr="002B56EE">
        <w:trPr>
          <w:cnfStyle w:val="100000000000" w:firstRow="1" w:lastRow="0" w:firstColumn="0" w:lastColumn="0" w:oddVBand="0" w:evenVBand="0" w:oddHBand="0" w:evenHBand="0" w:firstRowFirstColumn="0" w:firstRowLastColumn="0" w:lastRowFirstColumn="0" w:lastRowLastColumn="0"/>
          <w:trHeight w:val="73"/>
        </w:trPr>
        <w:tc>
          <w:tcPr>
            <w:tcW w:w="2462" w:type="dxa"/>
            <w:vMerge w:val="restart"/>
          </w:tcPr>
          <w:p w14:paraId="738670BD" w14:textId="77777777" w:rsidR="009E38AC" w:rsidRPr="0019444B" w:rsidRDefault="009E38AC" w:rsidP="002B56EE">
            <w:pPr>
              <w:keepNext/>
              <w:ind w:right="-94"/>
              <w:rPr>
                <w:rFonts w:ascii="Arial Narrow" w:hAnsi="Arial Narrow"/>
                <w:b/>
                <w:bCs/>
                <w:sz w:val="20"/>
                <w:szCs w:val="20"/>
              </w:rPr>
            </w:pPr>
            <w:r w:rsidRPr="0019444B">
              <w:rPr>
                <w:rFonts w:ascii="Arial Narrow" w:hAnsi="Arial Narrow"/>
                <w:b/>
                <w:bCs/>
                <w:sz w:val="20"/>
                <w:szCs w:val="20"/>
              </w:rPr>
              <w:t>PFS</w:t>
            </w:r>
          </w:p>
        </w:tc>
        <w:tc>
          <w:tcPr>
            <w:tcW w:w="4059" w:type="dxa"/>
            <w:gridSpan w:val="3"/>
          </w:tcPr>
          <w:p w14:paraId="079FED10" w14:textId="77777777" w:rsidR="009E38AC" w:rsidRPr="0019444B" w:rsidRDefault="009E38AC" w:rsidP="002B56EE">
            <w:pPr>
              <w:keepNext/>
              <w:jc w:val="center"/>
              <w:rPr>
                <w:rFonts w:ascii="Arial Narrow" w:hAnsi="Arial Narrow"/>
                <w:b/>
                <w:bCs/>
                <w:sz w:val="20"/>
                <w:szCs w:val="20"/>
              </w:rPr>
            </w:pPr>
            <w:r w:rsidRPr="0019444B">
              <w:rPr>
                <w:rFonts w:ascii="Arial Narrow" w:hAnsi="Arial Narrow"/>
                <w:b/>
                <w:bCs/>
                <w:spacing w:val="-2"/>
                <w:sz w:val="20"/>
                <w:szCs w:val="20"/>
              </w:rPr>
              <w:t>ELEVATE-TN</w:t>
            </w:r>
          </w:p>
        </w:tc>
        <w:tc>
          <w:tcPr>
            <w:tcW w:w="2551" w:type="dxa"/>
            <w:gridSpan w:val="2"/>
          </w:tcPr>
          <w:p w14:paraId="1D562F98" w14:textId="77777777" w:rsidR="009E38AC" w:rsidRPr="0019444B" w:rsidRDefault="009E38AC" w:rsidP="002B56EE">
            <w:pPr>
              <w:keepNext/>
              <w:jc w:val="center"/>
              <w:rPr>
                <w:rFonts w:ascii="Arial Narrow" w:hAnsi="Arial Narrow"/>
                <w:b/>
                <w:bCs/>
                <w:sz w:val="20"/>
                <w:szCs w:val="20"/>
              </w:rPr>
            </w:pPr>
            <w:r w:rsidRPr="0019444B">
              <w:rPr>
                <w:rFonts w:ascii="Arial Narrow" w:hAnsi="Arial Narrow"/>
                <w:b/>
                <w:bCs/>
                <w:sz w:val="20"/>
                <w:szCs w:val="20"/>
              </w:rPr>
              <w:t>SEQUOIA</w:t>
            </w:r>
          </w:p>
        </w:tc>
      </w:tr>
      <w:tr w:rsidR="009E38AC" w:rsidRPr="0019444B" w14:paraId="2058843E" w14:textId="77777777" w:rsidTr="002B56EE">
        <w:trPr>
          <w:trHeight w:val="64"/>
        </w:trPr>
        <w:tc>
          <w:tcPr>
            <w:tcW w:w="2462" w:type="dxa"/>
            <w:vMerge/>
          </w:tcPr>
          <w:p w14:paraId="76F1C6E9" w14:textId="77777777" w:rsidR="009E38AC" w:rsidRPr="0019444B" w:rsidRDefault="009E38AC" w:rsidP="002B56EE">
            <w:pPr>
              <w:keepNext/>
              <w:ind w:right="-94"/>
              <w:rPr>
                <w:rFonts w:ascii="Arial Narrow" w:hAnsi="Arial Narrow"/>
                <w:b/>
                <w:bCs/>
                <w:sz w:val="20"/>
                <w:szCs w:val="20"/>
              </w:rPr>
            </w:pPr>
          </w:p>
        </w:tc>
        <w:tc>
          <w:tcPr>
            <w:tcW w:w="1398" w:type="dxa"/>
          </w:tcPr>
          <w:p w14:paraId="3468BFBF" w14:textId="77777777" w:rsidR="009E38AC" w:rsidRPr="0019444B" w:rsidRDefault="009E38AC" w:rsidP="002B56EE">
            <w:pPr>
              <w:pStyle w:val="TableHeading0"/>
              <w:keepLines w:val="0"/>
              <w:widowControl w:val="0"/>
              <w:spacing w:before="0" w:after="0" w:line="240" w:lineRule="auto"/>
              <w:ind w:right="-108"/>
              <w:jc w:val="both"/>
              <w:rPr>
                <w:bCs/>
                <w:sz w:val="20"/>
              </w:rPr>
            </w:pPr>
            <w:r w:rsidRPr="0019444B">
              <w:rPr>
                <w:bCs/>
              </w:rPr>
              <w:t>ACA</w:t>
            </w:r>
          </w:p>
        </w:tc>
        <w:tc>
          <w:tcPr>
            <w:tcW w:w="1405" w:type="dxa"/>
          </w:tcPr>
          <w:p w14:paraId="3190D9D4" w14:textId="77777777" w:rsidR="009E38AC" w:rsidRPr="0019444B" w:rsidRDefault="009E38AC" w:rsidP="002B56EE">
            <w:pPr>
              <w:pStyle w:val="TableHeading0"/>
              <w:keepLines w:val="0"/>
              <w:widowControl w:val="0"/>
              <w:spacing w:before="0" w:after="0" w:line="240" w:lineRule="auto"/>
              <w:ind w:right="-108"/>
              <w:jc w:val="both"/>
              <w:rPr>
                <w:bCs/>
                <w:sz w:val="20"/>
              </w:rPr>
            </w:pPr>
            <w:r w:rsidRPr="0019444B">
              <w:rPr>
                <w:bCs/>
                <w:spacing w:val="-2"/>
              </w:rPr>
              <w:t xml:space="preserve">ACA+OBIN </w:t>
            </w:r>
          </w:p>
        </w:tc>
        <w:tc>
          <w:tcPr>
            <w:tcW w:w="1256" w:type="dxa"/>
          </w:tcPr>
          <w:p w14:paraId="1D0172E2" w14:textId="77777777" w:rsidR="009E38AC" w:rsidRPr="0019444B" w:rsidRDefault="009E38AC" w:rsidP="002B56EE">
            <w:pPr>
              <w:pStyle w:val="TableHeading0"/>
              <w:keepLines w:val="0"/>
              <w:widowControl w:val="0"/>
              <w:spacing w:before="0" w:after="0" w:line="240" w:lineRule="auto"/>
              <w:ind w:right="-108"/>
              <w:jc w:val="both"/>
              <w:rPr>
                <w:bCs/>
                <w:spacing w:val="-2"/>
                <w:sz w:val="20"/>
              </w:rPr>
            </w:pPr>
            <w:r w:rsidRPr="0019444B">
              <w:rPr>
                <w:bCs/>
                <w:spacing w:val="-2"/>
              </w:rPr>
              <w:t>OBIN+CHL</w:t>
            </w:r>
          </w:p>
        </w:tc>
        <w:tc>
          <w:tcPr>
            <w:tcW w:w="1276" w:type="dxa"/>
          </w:tcPr>
          <w:p w14:paraId="5BA10BE9" w14:textId="77777777" w:rsidR="009E38AC" w:rsidRPr="0019444B" w:rsidRDefault="009E38AC" w:rsidP="002B56EE">
            <w:pPr>
              <w:pStyle w:val="TableHeading0"/>
              <w:keepLines w:val="0"/>
              <w:widowControl w:val="0"/>
              <w:spacing w:before="0" w:after="0" w:line="240" w:lineRule="auto"/>
              <w:ind w:right="-108"/>
              <w:jc w:val="both"/>
              <w:rPr>
                <w:bCs/>
                <w:spacing w:val="-2"/>
                <w:sz w:val="20"/>
              </w:rPr>
            </w:pPr>
            <w:r w:rsidRPr="0019444B">
              <w:rPr>
                <w:bCs/>
                <w:spacing w:val="-2"/>
              </w:rPr>
              <w:t>ZANU</w:t>
            </w:r>
          </w:p>
        </w:tc>
        <w:tc>
          <w:tcPr>
            <w:tcW w:w="1275" w:type="dxa"/>
          </w:tcPr>
          <w:p w14:paraId="4C52D23E" w14:textId="36316762" w:rsidR="009E38AC" w:rsidRPr="0019444B" w:rsidRDefault="009E38AC" w:rsidP="002B56EE">
            <w:pPr>
              <w:pStyle w:val="TableHeading0"/>
              <w:keepLines w:val="0"/>
              <w:widowControl w:val="0"/>
              <w:spacing w:before="0" w:after="0" w:line="240" w:lineRule="auto"/>
              <w:ind w:right="-108"/>
              <w:jc w:val="both"/>
              <w:rPr>
                <w:bCs/>
                <w:spacing w:val="-2"/>
                <w:sz w:val="20"/>
              </w:rPr>
            </w:pPr>
            <w:r w:rsidRPr="0019444B">
              <w:rPr>
                <w:bCs/>
                <w:spacing w:val="-2"/>
              </w:rPr>
              <w:t>BEND+RIT</w:t>
            </w:r>
          </w:p>
        </w:tc>
      </w:tr>
      <w:tr w:rsidR="009E38AC" w:rsidRPr="0019444B" w14:paraId="068E5328" w14:textId="77777777" w:rsidTr="002B56EE">
        <w:tc>
          <w:tcPr>
            <w:tcW w:w="2462" w:type="dxa"/>
          </w:tcPr>
          <w:p w14:paraId="7ED611B1" w14:textId="77777777" w:rsidR="009E38AC" w:rsidRPr="0019444B" w:rsidRDefault="009E38AC" w:rsidP="002B56EE">
            <w:pPr>
              <w:keepNext/>
              <w:ind w:right="-94"/>
              <w:rPr>
                <w:rFonts w:ascii="Arial Narrow" w:hAnsi="Arial Narrow"/>
                <w:sz w:val="20"/>
                <w:szCs w:val="20"/>
              </w:rPr>
            </w:pPr>
            <w:r w:rsidRPr="0019444B">
              <w:rPr>
                <w:rFonts w:ascii="Arial Narrow" w:hAnsi="Arial Narrow"/>
                <w:sz w:val="20"/>
                <w:szCs w:val="20"/>
              </w:rPr>
              <w:t>N</w:t>
            </w:r>
          </w:p>
        </w:tc>
        <w:tc>
          <w:tcPr>
            <w:tcW w:w="1398" w:type="dxa"/>
          </w:tcPr>
          <w:p w14:paraId="7571A4F7" w14:textId="77777777" w:rsidR="009E38AC" w:rsidRPr="0019444B" w:rsidRDefault="009E38AC" w:rsidP="002B56EE">
            <w:pPr>
              <w:pStyle w:val="TableHeading0"/>
              <w:keepLines w:val="0"/>
              <w:widowControl w:val="0"/>
              <w:spacing w:before="0" w:after="0" w:line="240" w:lineRule="auto"/>
              <w:jc w:val="both"/>
              <w:rPr>
                <w:b w:val="0"/>
                <w:sz w:val="20"/>
              </w:rPr>
            </w:pPr>
            <w:r w:rsidRPr="0019444B">
              <w:rPr>
                <w:b w:val="0"/>
              </w:rPr>
              <w:t>179</w:t>
            </w:r>
          </w:p>
        </w:tc>
        <w:tc>
          <w:tcPr>
            <w:tcW w:w="1405" w:type="dxa"/>
          </w:tcPr>
          <w:p w14:paraId="23D286B4" w14:textId="77777777" w:rsidR="009E38AC" w:rsidRPr="0019444B" w:rsidRDefault="009E38AC" w:rsidP="002B56EE">
            <w:pPr>
              <w:pStyle w:val="TableHeading0"/>
              <w:keepLines w:val="0"/>
              <w:widowControl w:val="0"/>
              <w:spacing w:before="0" w:after="0" w:line="240" w:lineRule="auto"/>
              <w:jc w:val="both"/>
              <w:rPr>
                <w:b w:val="0"/>
                <w:spacing w:val="-2"/>
                <w:sz w:val="20"/>
              </w:rPr>
            </w:pPr>
            <w:r w:rsidRPr="0019444B">
              <w:rPr>
                <w:b w:val="0"/>
                <w:spacing w:val="-2"/>
              </w:rPr>
              <w:t>177</w:t>
            </w:r>
          </w:p>
        </w:tc>
        <w:tc>
          <w:tcPr>
            <w:tcW w:w="1256" w:type="dxa"/>
          </w:tcPr>
          <w:p w14:paraId="5E865B50" w14:textId="77777777" w:rsidR="009E38AC" w:rsidRPr="0019444B" w:rsidRDefault="009E38AC" w:rsidP="002B56EE">
            <w:pPr>
              <w:pStyle w:val="TableHeading0"/>
              <w:keepLines w:val="0"/>
              <w:widowControl w:val="0"/>
              <w:spacing w:before="0" w:after="0" w:line="240" w:lineRule="auto"/>
              <w:jc w:val="both"/>
              <w:rPr>
                <w:b w:val="0"/>
                <w:spacing w:val="-2"/>
                <w:sz w:val="20"/>
              </w:rPr>
            </w:pPr>
            <w:r w:rsidRPr="0019444B">
              <w:rPr>
                <w:b w:val="0"/>
                <w:spacing w:val="-2"/>
              </w:rPr>
              <w:t>179</w:t>
            </w:r>
          </w:p>
        </w:tc>
        <w:tc>
          <w:tcPr>
            <w:tcW w:w="1276" w:type="dxa"/>
          </w:tcPr>
          <w:p w14:paraId="636A078B" w14:textId="77777777" w:rsidR="009E38AC" w:rsidRPr="0019444B" w:rsidRDefault="009E38AC" w:rsidP="002B56EE">
            <w:pPr>
              <w:pStyle w:val="TableHeading0"/>
              <w:keepLines w:val="0"/>
              <w:widowControl w:val="0"/>
              <w:spacing w:before="0" w:after="0" w:line="240" w:lineRule="auto"/>
              <w:jc w:val="both"/>
              <w:rPr>
                <w:b w:val="0"/>
                <w:spacing w:val="-2"/>
                <w:sz w:val="20"/>
              </w:rPr>
            </w:pPr>
            <w:r w:rsidRPr="0019444B">
              <w:rPr>
                <w:b w:val="0"/>
                <w:spacing w:val="-2"/>
              </w:rPr>
              <w:t>241</w:t>
            </w:r>
          </w:p>
        </w:tc>
        <w:tc>
          <w:tcPr>
            <w:tcW w:w="1275" w:type="dxa"/>
          </w:tcPr>
          <w:p w14:paraId="75B04685" w14:textId="77777777" w:rsidR="009E38AC" w:rsidRPr="0019444B" w:rsidRDefault="009E38AC" w:rsidP="002B56EE">
            <w:pPr>
              <w:pStyle w:val="TableHeading0"/>
              <w:keepLines w:val="0"/>
              <w:widowControl w:val="0"/>
              <w:spacing w:before="0" w:after="0" w:line="240" w:lineRule="auto"/>
              <w:jc w:val="both"/>
              <w:rPr>
                <w:b w:val="0"/>
                <w:spacing w:val="-2"/>
                <w:sz w:val="20"/>
              </w:rPr>
            </w:pPr>
            <w:r w:rsidRPr="0019444B">
              <w:rPr>
                <w:b w:val="0"/>
                <w:spacing w:val="-2"/>
              </w:rPr>
              <w:t>238</w:t>
            </w:r>
          </w:p>
        </w:tc>
      </w:tr>
      <w:tr w:rsidR="009E38AC" w:rsidRPr="0019444B" w14:paraId="312CE03D" w14:textId="77777777" w:rsidTr="002B56EE">
        <w:tc>
          <w:tcPr>
            <w:tcW w:w="2462" w:type="dxa"/>
          </w:tcPr>
          <w:p w14:paraId="1D18DC4E" w14:textId="77777777" w:rsidR="009E38AC" w:rsidRPr="0019444B" w:rsidRDefault="009E38AC" w:rsidP="002B56EE">
            <w:pPr>
              <w:keepNext/>
              <w:ind w:right="-94"/>
              <w:rPr>
                <w:rFonts w:ascii="Arial Narrow" w:hAnsi="Arial Narrow"/>
                <w:sz w:val="20"/>
                <w:szCs w:val="20"/>
              </w:rPr>
            </w:pPr>
            <w:r w:rsidRPr="0019444B">
              <w:rPr>
                <w:rFonts w:ascii="Arial Narrow" w:hAnsi="Arial Narrow"/>
                <w:sz w:val="20"/>
                <w:szCs w:val="20"/>
              </w:rPr>
              <w:t>Median follow-up, months</w:t>
            </w:r>
          </w:p>
        </w:tc>
        <w:tc>
          <w:tcPr>
            <w:tcW w:w="1398" w:type="dxa"/>
          </w:tcPr>
          <w:p w14:paraId="5DC86DB5" w14:textId="77777777" w:rsidR="009E38AC" w:rsidRPr="0019444B" w:rsidRDefault="009E38AC" w:rsidP="002B56EE">
            <w:pPr>
              <w:keepNext/>
              <w:ind w:right="-108"/>
              <w:rPr>
                <w:rFonts w:ascii="Arial Narrow" w:hAnsi="Arial Narrow"/>
                <w:sz w:val="20"/>
                <w:szCs w:val="20"/>
              </w:rPr>
            </w:pPr>
            <w:r w:rsidRPr="0019444B">
              <w:rPr>
                <w:rFonts w:ascii="Arial Narrow" w:hAnsi="Arial Narrow"/>
                <w:sz w:val="20"/>
                <w:szCs w:val="20"/>
              </w:rPr>
              <w:t>28.4</w:t>
            </w:r>
          </w:p>
        </w:tc>
        <w:tc>
          <w:tcPr>
            <w:tcW w:w="1405" w:type="dxa"/>
          </w:tcPr>
          <w:p w14:paraId="6D259CA2" w14:textId="77777777" w:rsidR="009E38AC" w:rsidRPr="0019444B" w:rsidRDefault="009E38AC" w:rsidP="002B56EE">
            <w:pPr>
              <w:keepNext/>
              <w:ind w:right="-123"/>
              <w:rPr>
                <w:rFonts w:ascii="Arial Narrow" w:hAnsi="Arial Narrow"/>
                <w:sz w:val="20"/>
                <w:szCs w:val="20"/>
              </w:rPr>
            </w:pPr>
            <w:r w:rsidRPr="0019444B">
              <w:rPr>
                <w:rFonts w:ascii="Arial Narrow" w:hAnsi="Arial Narrow"/>
                <w:sz w:val="20"/>
                <w:szCs w:val="20"/>
              </w:rPr>
              <w:t>28.5</w:t>
            </w:r>
          </w:p>
        </w:tc>
        <w:tc>
          <w:tcPr>
            <w:tcW w:w="1256" w:type="dxa"/>
          </w:tcPr>
          <w:p w14:paraId="56F6D18F" w14:textId="77777777" w:rsidR="009E38AC" w:rsidRPr="0019444B" w:rsidRDefault="009E38AC" w:rsidP="002B56EE">
            <w:pPr>
              <w:keepNext/>
              <w:ind w:right="-123"/>
              <w:rPr>
                <w:rFonts w:ascii="Arial Narrow" w:hAnsi="Arial Narrow"/>
                <w:sz w:val="20"/>
                <w:szCs w:val="20"/>
              </w:rPr>
            </w:pPr>
            <w:r w:rsidRPr="0019444B">
              <w:rPr>
                <w:rFonts w:ascii="Arial Narrow" w:hAnsi="Arial Narrow"/>
                <w:sz w:val="20"/>
                <w:szCs w:val="20"/>
              </w:rPr>
              <w:t>28.0</w:t>
            </w:r>
          </w:p>
        </w:tc>
        <w:tc>
          <w:tcPr>
            <w:tcW w:w="1276" w:type="dxa"/>
          </w:tcPr>
          <w:p w14:paraId="55D24B91" w14:textId="77777777" w:rsidR="009E38AC" w:rsidRPr="0019444B" w:rsidRDefault="009E38AC" w:rsidP="002B56EE">
            <w:pPr>
              <w:keepNext/>
              <w:ind w:right="-151"/>
              <w:rPr>
                <w:rFonts w:ascii="Arial Narrow" w:hAnsi="Arial Narrow"/>
                <w:sz w:val="20"/>
                <w:szCs w:val="20"/>
              </w:rPr>
            </w:pPr>
            <w:r w:rsidRPr="0019444B">
              <w:rPr>
                <w:rFonts w:ascii="Arial Narrow" w:hAnsi="Arial Narrow"/>
                <w:sz w:val="20"/>
                <w:szCs w:val="20"/>
              </w:rPr>
              <w:t>30.5</w:t>
            </w:r>
          </w:p>
        </w:tc>
        <w:tc>
          <w:tcPr>
            <w:tcW w:w="1275" w:type="dxa"/>
          </w:tcPr>
          <w:p w14:paraId="7FA9D3BC" w14:textId="77777777" w:rsidR="009E38AC" w:rsidRPr="0019444B" w:rsidRDefault="009E38AC" w:rsidP="002B56EE">
            <w:pPr>
              <w:keepNext/>
              <w:ind w:right="-151"/>
              <w:rPr>
                <w:rFonts w:ascii="Arial Narrow" w:hAnsi="Arial Narrow"/>
                <w:sz w:val="20"/>
                <w:szCs w:val="20"/>
              </w:rPr>
            </w:pPr>
            <w:r w:rsidRPr="0019444B">
              <w:rPr>
                <w:rFonts w:ascii="Arial Narrow" w:hAnsi="Arial Narrow"/>
                <w:sz w:val="20"/>
                <w:szCs w:val="20"/>
              </w:rPr>
              <w:t>26.2</w:t>
            </w:r>
          </w:p>
        </w:tc>
      </w:tr>
      <w:tr w:rsidR="009E38AC" w:rsidRPr="0019444B" w14:paraId="11714DA9" w14:textId="77777777" w:rsidTr="002B56EE">
        <w:tc>
          <w:tcPr>
            <w:tcW w:w="9072" w:type="dxa"/>
            <w:gridSpan w:val="6"/>
          </w:tcPr>
          <w:p w14:paraId="21A35143" w14:textId="77777777" w:rsidR="009E38AC" w:rsidRPr="0019444B" w:rsidRDefault="009E38AC" w:rsidP="002B56EE">
            <w:pPr>
              <w:keepNext/>
              <w:ind w:right="-151"/>
              <w:rPr>
                <w:rFonts w:ascii="Arial Narrow" w:hAnsi="Arial Narrow"/>
                <w:b/>
                <w:bCs/>
                <w:sz w:val="20"/>
                <w:szCs w:val="20"/>
              </w:rPr>
            </w:pPr>
            <w:r w:rsidRPr="0019444B">
              <w:rPr>
                <w:rFonts w:ascii="Arial Narrow" w:hAnsi="Arial Narrow"/>
                <w:b/>
                <w:bCs/>
                <w:sz w:val="20"/>
                <w:szCs w:val="20"/>
              </w:rPr>
              <w:t>IRC PFS</w:t>
            </w:r>
          </w:p>
        </w:tc>
      </w:tr>
      <w:tr w:rsidR="009E38AC" w:rsidRPr="0019444B" w14:paraId="6D6848CA" w14:textId="77777777" w:rsidTr="002B56EE">
        <w:tc>
          <w:tcPr>
            <w:tcW w:w="2462" w:type="dxa"/>
          </w:tcPr>
          <w:p w14:paraId="42BD0976" w14:textId="77777777" w:rsidR="009E38AC" w:rsidRPr="0019444B" w:rsidRDefault="009E38AC" w:rsidP="002B56EE">
            <w:pPr>
              <w:keepNext/>
              <w:ind w:right="-94"/>
              <w:rPr>
                <w:rFonts w:ascii="Arial Narrow" w:hAnsi="Arial Narrow"/>
                <w:sz w:val="20"/>
                <w:szCs w:val="20"/>
              </w:rPr>
            </w:pPr>
            <w:r w:rsidRPr="0019444B">
              <w:rPr>
                <w:rFonts w:ascii="Arial Narrow" w:hAnsi="Arial Narrow"/>
                <w:sz w:val="20"/>
                <w:szCs w:val="20"/>
              </w:rPr>
              <w:t>n/N (%)</w:t>
            </w:r>
          </w:p>
        </w:tc>
        <w:tc>
          <w:tcPr>
            <w:tcW w:w="1398" w:type="dxa"/>
          </w:tcPr>
          <w:p w14:paraId="6920CF21" w14:textId="77777777" w:rsidR="009E38AC" w:rsidRPr="0019444B" w:rsidRDefault="009E38AC" w:rsidP="002B56EE">
            <w:pPr>
              <w:keepNext/>
              <w:ind w:right="-108"/>
              <w:rPr>
                <w:rFonts w:ascii="Arial Narrow" w:hAnsi="Arial Narrow"/>
                <w:sz w:val="20"/>
                <w:szCs w:val="20"/>
              </w:rPr>
            </w:pPr>
            <w:r w:rsidRPr="0019444B">
              <w:rPr>
                <w:rFonts w:ascii="Arial Narrow" w:hAnsi="Arial Narrow"/>
                <w:sz w:val="20"/>
                <w:szCs w:val="20"/>
              </w:rPr>
              <w:t>26 (14.5)</w:t>
            </w:r>
          </w:p>
        </w:tc>
        <w:tc>
          <w:tcPr>
            <w:tcW w:w="1405" w:type="dxa"/>
          </w:tcPr>
          <w:p w14:paraId="2AB707F8" w14:textId="77777777" w:rsidR="009E38AC" w:rsidRPr="0019444B" w:rsidRDefault="009E38AC" w:rsidP="002B56EE">
            <w:pPr>
              <w:keepNext/>
              <w:ind w:right="-123"/>
              <w:rPr>
                <w:rFonts w:ascii="Arial Narrow" w:hAnsi="Arial Narrow"/>
                <w:sz w:val="20"/>
                <w:szCs w:val="20"/>
              </w:rPr>
            </w:pPr>
            <w:r w:rsidRPr="0019444B">
              <w:rPr>
                <w:rFonts w:ascii="Arial Narrow" w:hAnsi="Arial Narrow"/>
                <w:sz w:val="20"/>
                <w:szCs w:val="20"/>
              </w:rPr>
              <w:t>14 (7.8)</w:t>
            </w:r>
          </w:p>
        </w:tc>
        <w:tc>
          <w:tcPr>
            <w:tcW w:w="1256" w:type="dxa"/>
          </w:tcPr>
          <w:p w14:paraId="4AB98CE9" w14:textId="77777777" w:rsidR="009E38AC" w:rsidRPr="0019444B" w:rsidRDefault="009E38AC" w:rsidP="002B56EE">
            <w:pPr>
              <w:keepNext/>
              <w:ind w:right="-123"/>
              <w:rPr>
                <w:rFonts w:ascii="Arial Narrow" w:hAnsi="Arial Narrow"/>
                <w:sz w:val="20"/>
                <w:szCs w:val="20"/>
              </w:rPr>
            </w:pPr>
            <w:r w:rsidRPr="0019444B">
              <w:rPr>
                <w:rFonts w:ascii="Arial Narrow" w:hAnsi="Arial Narrow"/>
                <w:sz w:val="20"/>
                <w:szCs w:val="20"/>
              </w:rPr>
              <w:t>93 (52.5)</w:t>
            </w:r>
          </w:p>
        </w:tc>
        <w:tc>
          <w:tcPr>
            <w:tcW w:w="1276" w:type="dxa"/>
          </w:tcPr>
          <w:p w14:paraId="4B5F9BFD" w14:textId="77777777" w:rsidR="009E38AC" w:rsidRPr="0019444B" w:rsidRDefault="009E38AC" w:rsidP="002B56EE">
            <w:pPr>
              <w:keepNext/>
              <w:ind w:right="-151"/>
              <w:rPr>
                <w:rFonts w:ascii="Arial Narrow" w:hAnsi="Arial Narrow"/>
                <w:sz w:val="20"/>
                <w:szCs w:val="20"/>
              </w:rPr>
            </w:pPr>
            <w:r w:rsidRPr="0019444B">
              <w:rPr>
                <w:rFonts w:ascii="Arial Narrow" w:hAnsi="Arial Narrow"/>
                <w:sz w:val="20"/>
                <w:szCs w:val="20"/>
              </w:rPr>
              <w:t>36 (14.9)</w:t>
            </w:r>
          </w:p>
        </w:tc>
        <w:tc>
          <w:tcPr>
            <w:tcW w:w="1275" w:type="dxa"/>
          </w:tcPr>
          <w:p w14:paraId="2DF00E7B" w14:textId="77777777" w:rsidR="009E38AC" w:rsidRPr="0019444B" w:rsidRDefault="009E38AC" w:rsidP="002B56EE">
            <w:pPr>
              <w:keepNext/>
              <w:ind w:right="-151"/>
              <w:rPr>
                <w:rFonts w:ascii="Arial Narrow" w:hAnsi="Arial Narrow"/>
                <w:sz w:val="20"/>
                <w:szCs w:val="20"/>
              </w:rPr>
            </w:pPr>
            <w:r w:rsidRPr="0019444B">
              <w:rPr>
                <w:rFonts w:ascii="Arial Narrow" w:hAnsi="Arial Narrow"/>
                <w:sz w:val="20"/>
                <w:szCs w:val="20"/>
              </w:rPr>
              <w:t>71 (29.8)</w:t>
            </w:r>
          </w:p>
        </w:tc>
      </w:tr>
      <w:tr w:rsidR="009E38AC" w:rsidRPr="0019444B" w14:paraId="785A6121" w14:textId="77777777" w:rsidTr="002B56EE">
        <w:tc>
          <w:tcPr>
            <w:tcW w:w="2462" w:type="dxa"/>
          </w:tcPr>
          <w:p w14:paraId="54BD71DB" w14:textId="77777777" w:rsidR="009E38AC" w:rsidRPr="0019444B" w:rsidRDefault="009E38AC" w:rsidP="002B56EE">
            <w:pPr>
              <w:keepNext/>
              <w:ind w:right="-94"/>
              <w:rPr>
                <w:rFonts w:ascii="Arial Narrow" w:hAnsi="Arial Narrow"/>
                <w:sz w:val="20"/>
                <w:szCs w:val="20"/>
              </w:rPr>
            </w:pPr>
            <w:r w:rsidRPr="0019444B">
              <w:rPr>
                <w:rFonts w:ascii="Arial Narrow" w:hAnsi="Arial Narrow"/>
                <w:sz w:val="20"/>
                <w:szCs w:val="20"/>
              </w:rPr>
              <w:t>Median time to event (95% CI)</w:t>
            </w:r>
          </w:p>
        </w:tc>
        <w:tc>
          <w:tcPr>
            <w:tcW w:w="1398" w:type="dxa"/>
          </w:tcPr>
          <w:p w14:paraId="02C5BDCC" w14:textId="77777777" w:rsidR="009E38AC" w:rsidRPr="0019444B" w:rsidRDefault="009E38AC" w:rsidP="002B56EE">
            <w:pPr>
              <w:keepNext/>
              <w:ind w:right="-108"/>
              <w:rPr>
                <w:rFonts w:ascii="Arial Narrow" w:hAnsi="Arial Narrow"/>
                <w:sz w:val="20"/>
                <w:szCs w:val="20"/>
              </w:rPr>
            </w:pPr>
            <w:r w:rsidRPr="0019444B">
              <w:rPr>
                <w:rFonts w:ascii="Arial Narrow" w:hAnsi="Arial Narrow"/>
                <w:sz w:val="20"/>
                <w:szCs w:val="20"/>
              </w:rPr>
              <w:t>NR</w:t>
            </w:r>
          </w:p>
        </w:tc>
        <w:tc>
          <w:tcPr>
            <w:tcW w:w="1405" w:type="dxa"/>
          </w:tcPr>
          <w:p w14:paraId="770EE969" w14:textId="77777777" w:rsidR="009E38AC" w:rsidRPr="0019444B" w:rsidRDefault="009E38AC" w:rsidP="002B56EE">
            <w:pPr>
              <w:keepNext/>
              <w:ind w:right="-123"/>
              <w:rPr>
                <w:rFonts w:ascii="Arial Narrow" w:hAnsi="Arial Narrow"/>
                <w:sz w:val="20"/>
                <w:szCs w:val="20"/>
              </w:rPr>
            </w:pPr>
            <w:r w:rsidRPr="0019444B">
              <w:rPr>
                <w:rFonts w:ascii="Arial Narrow" w:hAnsi="Arial Narrow"/>
                <w:sz w:val="20"/>
                <w:szCs w:val="20"/>
              </w:rPr>
              <w:t>NR</w:t>
            </w:r>
          </w:p>
        </w:tc>
        <w:tc>
          <w:tcPr>
            <w:tcW w:w="1256" w:type="dxa"/>
          </w:tcPr>
          <w:p w14:paraId="121D6B18" w14:textId="77777777" w:rsidR="009E38AC" w:rsidRPr="0019444B" w:rsidRDefault="009E38AC" w:rsidP="002B56EE">
            <w:pPr>
              <w:keepNext/>
              <w:ind w:right="-123"/>
              <w:rPr>
                <w:rFonts w:ascii="Arial Narrow" w:hAnsi="Arial Narrow"/>
                <w:sz w:val="20"/>
                <w:szCs w:val="20"/>
              </w:rPr>
            </w:pPr>
            <w:r w:rsidRPr="0019444B">
              <w:rPr>
                <w:rFonts w:ascii="Arial Narrow" w:hAnsi="Arial Narrow"/>
                <w:sz w:val="20"/>
                <w:szCs w:val="20"/>
              </w:rPr>
              <w:t>NR</w:t>
            </w:r>
          </w:p>
        </w:tc>
        <w:tc>
          <w:tcPr>
            <w:tcW w:w="1276" w:type="dxa"/>
          </w:tcPr>
          <w:p w14:paraId="0DA22B33" w14:textId="77777777" w:rsidR="009E38AC" w:rsidRPr="0019444B" w:rsidRDefault="009E38AC" w:rsidP="002B56EE">
            <w:pPr>
              <w:keepNext/>
              <w:ind w:right="-151"/>
              <w:rPr>
                <w:rFonts w:ascii="Arial Narrow" w:hAnsi="Arial Narrow"/>
                <w:sz w:val="20"/>
                <w:szCs w:val="20"/>
              </w:rPr>
            </w:pPr>
            <w:r w:rsidRPr="0019444B">
              <w:rPr>
                <w:rFonts w:ascii="Arial Narrow" w:hAnsi="Arial Narrow"/>
                <w:sz w:val="20"/>
                <w:szCs w:val="20"/>
              </w:rPr>
              <w:t>NR</w:t>
            </w:r>
          </w:p>
        </w:tc>
        <w:tc>
          <w:tcPr>
            <w:tcW w:w="1275" w:type="dxa"/>
          </w:tcPr>
          <w:p w14:paraId="215FEED7" w14:textId="77777777" w:rsidR="009E38AC" w:rsidRPr="0019444B" w:rsidRDefault="009E38AC" w:rsidP="002B56EE">
            <w:pPr>
              <w:keepNext/>
              <w:ind w:right="-151"/>
              <w:rPr>
                <w:rFonts w:ascii="Arial Narrow" w:hAnsi="Arial Narrow"/>
                <w:sz w:val="20"/>
                <w:szCs w:val="20"/>
              </w:rPr>
            </w:pPr>
            <w:r w:rsidRPr="0019444B">
              <w:rPr>
                <w:rFonts w:ascii="Arial Narrow" w:hAnsi="Arial Narrow"/>
                <w:sz w:val="20"/>
                <w:szCs w:val="20"/>
              </w:rPr>
              <w:t>NR</w:t>
            </w:r>
          </w:p>
        </w:tc>
      </w:tr>
      <w:tr w:rsidR="009E38AC" w:rsidRPr="0019444B" w14:paraId="2D2DD9D8" w14:textId="77777777" w:rsidTr="002B56EE">
        <w:tc>
          <w:tcPr>
            <w:tcW w:w="2462" w:type="dxa"/>
          </w:tcPr>
          <w:p w14:paraId="3E4D2394" w14:textId="77777777" w:rsidR="009E38AC" w:rsidRPr="0019444B" w:rsidRDefault="009E38AC" w:rsidP="002B56EE">
            <w:pPr>
              <w:keepNext/>
              <w:ind w:right="-94"/>
              <w:rPr>
                <w:rFonts w:ascii="Arial Narrow" w:hAnsi="Arial Narrow"/>
                <w:sz w:val="20"/>
                <w:szCs w:val="20"/>
              </w:rPr>
            </w:pPr>
            <w:r w:rsidRPr="0019444B">
              <w:rPr>
                <w:rFonts w:ascii="Arial Narrow" w:hAnsi="Arial Narrow"/>
                <w:sz w:val="20"/>
                <w:szCs w:val="20"/>
              </w:rPr>
              <w:t xml:space="preserve">HR </w:t>
            </w:r>
          </w:p>
          <w:p w14:paraId="305AB085" w14:textId="77777777" w:rsidR="009E38AC" w:rsidRPr="0019444B" w:rsidRDefault="009E38AC" w:rsidP="002B56EE">
            <w:pPr>
              <w:keepNext/>
              <w:ind w:right="-94"/>
              <w:rPr>
                <w:rFonts w:ascii="Arial Narrow" w:hAnsi="Arial Narrow"/>
                <w:sz w:val="20"/>
                <w:szCs w:val="20"/>
              </w:rPr>
            </w:pPr>
            <w:r w:rsidRPr="0019444B">
              <w:rPr>
                <w:rFonts w:ascii="Arial Narrow" w:hAnsi="Arial Narrow"/>
                <w:sz w:val="20"/>
                <w:szCs w:val="20"/>
              </w:rPr>
              <w:t xml:space="preserve">(95% </w:t>
            </w:r>
            <w:proofErr w:type="gramStart"/>
            <w:r w:rsidRPr="0019444B">
              <w:rPr>
                <w:rFonts w:ascii="Arial Narrow" w:hAnsi="Arial Narrow"/>
                <w:sz w:val="20"/>
                <w:szCs w:val="20"/>
              </w:rPr>
              <w:t>CI)*</w:t>
            </w:r>
            <w:proofErr w:type="gramEnd"/>
            <w:r w:rsidRPr="0019444B">
              <w:rPr>
                <w:rFonts w:ascii="Arial Narrow" w:hAnsi="Arial Narrow"/>
                <w:sz w:val="20"/>
                <w:szCs w:val="20"/>
              </w:rPr>
              <w:t xml:space="preserve"> </w:t>
            </w:r>
          </w:p>
          <w:p w14:paraId="2232AA4C" w14:textId="77777777" w:rsidR="009E38AC" w:rsidRPr="0019444B" w:rsidRDefault="009E38AC" w:rsidP="002B56EE">
            <w:pPr>
              <w:keepNext/>
              <w:ind w:right="-94"/>
              <w:rPr>
                <w:rFonts w:ascii="Arial Narrow" w:hAnsi="Arial Narrow"/>
                <w:sz w:val="20"/>
                <w:szCs w:val="20"/>
              </w:rPr>
            </w:pPr>
            <w:r w:rsidRPr="0019444B">
              <w:rPr>
                <w:rFonts w:ascii="Arial Narrow" w:hAnsi="Arial Narrow"/>
                <w:sz w:val="20"/>
                <w:szCs w:val="20"/>
              </w:rPr>
              <w:t>p-value (log-rank test)</w:t>
            </w:r>
          </w:p>
        </w:tc>
        <w:tc>
          <w:tcPr>
            <w:tcW w:w="1398" w:type="dxa"/>
          </w:tcPr>
          <w:p w14:paraId="0CBBE022" w14:textId="77777777" w:rsidR="009E38AC" w:rsidRPr="0019444B" w:rsidRDefault="009E38AC" w:rsidP="002B56EE">
            <w:pPr>
              <w:pStyle w:val="TableText0"/>
              <w:ind w:right="-111"/>
              <w:jc w:val="both"/>
              <w:rPr>
                <w:bCs w:val="0"/>
                <w:sz w:val="20"/>
                <w:szCs w:val="20"/>
              </w:rPr>
            </w:pPr>
            <w:r w:rsidRPr="0019444B">
              <w:rPr>
                <w:bCs w:val="0"/>
                <w:szCs w:val="20"/>
              </w:rPr>
              <w:t xml:space="preserve">0.20 </w:t>
            </w:r>
          </w:p>
          <w:p w14:paraId="1E922682" w14:textId="77777777" w:rsidR="009E38AC" w:rsidRPr="0019444B" w:rsidRDefault="009E38AC" w:rsidP="002B56EE">
            <w:pPr>
              <w:pStyle w:val="TableText0"/>
              <w:ind w:right="-111"/>
              <w:jc w:val="both"/>
              <w:rPr>
                <w:bCs w:val="0"/>
                <w:sz w:val="20"/>
                <w:szCs w:val="20"/>
              </w:rPr>
            </w:pPr>
            <w:r w:rsidRPr="0019444B">
              <w:rPr>
                <w:bCs w:val="0"/>
                <w:szCs w:val="20"/>
              </w:rPr>
              <w:t>(0.13, 0.30)</w:t>
            </w:r>
          </w:p>
          <w:p w14:paraId="67DC1EDE" w14:textId="77777777" w:rsidR="009E38AC" w:rsidRPr="0019444B" w:rsidRDefault="009E38AC" w:rsidP="002B56EE">
            <w:pPr>
              <w:keepNext/>
              <w:ind w:right="-111"/>
              <w:rPr>
                <w:rFonts w:ascii="Arial Narrow" w:hAnsi="Arial Narrow"/>
                <w:sz w:val="20"/>
                <w:szCs w:val="20"/>
              </w:rPr>
            </w:pPr>
            <w:r w:rsidRPr="0019444B">
              <w:rPr>
                <w:rFonts w:ascii="Arial Narrow" w:hAnsi="Arial Narrow"/>
                <w:sz w:val="20"/>
                <w:szCs w:val="20"/>
              </w:rPr>
              <w:t>&lt;0.0001</w:t>
            </w:r>
          </w:p>
        </w:tc>
        <w:tc>
          <w:tcPr>
            <w:tcW w:w="1405" w:type="dxa"/>
          </w:tcPr>
          <w:p w14:paraId="02991C18" w14:textId="77777777" w:rsidR="009E38AC" w:rsidRPr="0019444B" w:rsidRDefault="009E38AC" w:rsidP="002B56EE">
            <w:pPr>
              <w:pStyle w:val="TableText0"/>
              <w:ind w:right="-102"/>
              <w:jc w:val="both"/>
              <w:rPr>
                <w:bCs w:val="0"/>
                <w:sz w:val="20"/>
                <w:szCs w:val="20"/>
              </w:rPr>
            </w:pPr>
            <w:r w:rsidRPr="0019444B">
              <w:rPr>
                <w:bCs w:val="0"/>
                <w:szCs w:val="20"/>
              </w:rPr>
              <w:t xml:space="preserve">0.10 </w:t>
            </w:r>
          </w:p>
          <w:p w14:paraId="46D77858" w14:textId="77777777" w:rsidR="009E38AC" w:rsidRPr="0019444B" w:rsidRDefault="009E38AC" w:rsidP="002B56EE">
            <w:pPr>
              <w:pStyle w:val="TableText0"/>
              <w:ind w:right="-102"/>
              <w:jc w:val="both"/>
              <w:rPr>
                <w:bCs w:val="0"/>
                <w:sz w:val="20"/>
                <w:szCs w:val="20"/>
              </w:rPr>
            </w:pPr>
            <w:r w:rsidRPr="0019444B">
              <w:rPr>
                <w:bCs w:val="0"/>
                <w:szCs w:val="20"/>
              </w:rPr>
              <w:t>(0.06, 0.17)</w:t>
            </w:r>
          </w:p>
          <w:p w14:paraId="5330A794" w14:textId="77777777" w:rsidR="009E38AC" w:rsidRPr="0019444B" w:rsidRDefault="009E38AC" w:rsidP="002B56EE">
            <w:pPr>
              <w:keepNext/>
              <w:ind w:right="-102"/>
              <w:rPr>
                <w:rFonts w:ascii="Arial Narrow" w:hAnsi="Arial Narrow"/>
                <w:sz w:val="20"/>
                <w:szCs w:val="20"/>
              </w:rPr>
            </w:pPr>
            <w:r w:rsidRPr="0019444B">
              <w:rPr>
                <w:rFonts w:ascii="Arial Narrow" w:hAnsi="Arial Narrow"/>
                <w:sz w:val="20"/>
                <w:szCs w:val="20"/>
              </w:rPr>
              <w:t>&lt;0.0001</w:t>
            </w:r>
          </w:p>
        </w:tc>
        <w:tc>
          <w:tcPr>
            <w:tcW w:w="1256" w:type="dxa"/>
          </w:tcPr>
          <w:p w14:paraId="0C99C0EB" w14:textId="77777777" w:rsidR="009E38AC" w:rsidRPr="0019444B" w:rsidRDefault="009E38AC" w:rsidP="002B56EE">
            <w:pPr>
              <w:keepNext/>
              <w:ind w:right="-123"/>
              <w:rPr>
                <w:rFonts w:ascii="Arial Narrow" w:hAnsi="Arial Narrow"/>
                <w:sz w:val="20"/>
                <w:szCs w:val="20"/>
              </w:rPr>
            </w:pPr>
            <w:r w:rsidRPr="0019444B">
              <w:rPr>
                <w:rFonts w:ascii="Arial Narrow" w:hAnsi="Arial Narrow"/>
                <w:sz w:val="20"/>
                <w:szCs w:val="20"/>
              </w:rPr>
              <w:t>NA</w:t>
            </w:r>
          </w:p>
        </w:tc>
        <w:tc>
          <w:tcPr>
            <w:tcW w:w="1276" w:type="dxa"/>
          </w:tcPr>
          <w:p w14:paraId="018ABD49" w14:textId="77777777" w:rsidR="009E38AC" w:rsidRPr="0019444B" w:rsidRDefault="009E38AC" w:rsidP="002B56EE">
            <w:pPr>
              <w:pStyle w:val="TableText0"/>
              <w:ind w:right="-113"/>
              <w:jc w:val="both"/>
              <w:rPr>
                <w:bCs w:val="0"/>
                <w:sz w:val="20"/>
                <w:szCs w:val="20"/>
              </w:rPr>
            </w:pPr>
            <w:r w:rsidRPr="0019444B">
              <w:rPr>
                <w:bCs w:val="0"/>
                <w:szCs w:val="20"/>
              </w:rPr>
              <w:t xml:space="preserve">0.42 </w:t>
            </w:r>
          </w:p>
          <w:p w14:paraId="428C38B1" w14:textId="77777777" w:rsidR="009E38AC" w:rsidRPr="0019444B" w:rsidRDefault="009E38AC" w:rsidP="002B56EE">
            <w:pPr>
              <w:pStyle w:val="TableText0"/>
              <w:ind w:right="-113"/>
              <w:jc w:val="both"/>
              <w:rPr>
                <w:bCs w:val="0"/>
                <w:sz w:val="20"/>
                <w:szCs w:val="20"/>
              </w:rPr>
            </w:pPr>
            <w:r w:rsidRPr="0019444B">
              <w:rPr>
                <w:bCs w:val="0"/>
                <w:szCs w:val="20"/>
              </w:rPr>
              <w:t>(0.28, 0.63)</w:t>
            </w:r>
          </w:p>
          <w:p w14:paraId="1867A75C" w14:textId="77777777" w:rsidR="009E38AC" w:rsidRPr="0019444B" w:rsidRDefault="009E38AC" w:rsidP="002B56EE">
            <w:pPr>
              <w:keepNext/>
              <w:ind w:right="-113"/>
              <w:rPr>
                <w:rFonts w:ascii="Arial Narrow" w:hAnsi="Arial Narrow"/>
                <w:sz w:val="20"/>
                <w:szCs w:val="20"/>
              </w:rPr>
            </w:pPr>
            <w:r w:rsidRPr="0019444B">
              <w:rPr>
                <w:rFonts w:ascii="Arial Narrow" w:hAnsi="Arial Narrow"/>
                <w:sz w:val="20"/>
                <w:szCs w:val="20"/>
              </w:rPr>
              <w:t>&lt;0.0001</w:t>
            </w:r>
          </w:p>
        </w:tc>
        <w:tc>
          <w:tcPr>
            <w:tcW w:w="1275" w:type="dxa"/>
          </w:tcPr>
          <w:p w14:paraId="5B8C372E" w14:textId="77777777" w:rsidR="009E38AC" w:rsidRPr="0019444B" w:rsidRDefault="009E38AC" w:rsidP="002B56EE">
            <w:pPr>
              <w:keepNext/>
              <w:ind w:right="-151"/>
              <w:rPr>
                <w:rFonts w:ascii="Arial Narrow" w:hAnsi="Arial Narrow"/>
                <w:sz w:val="20"/>
                <w:szCs w:val="20"/>
              </w:rPr>
            </w:pPr>
            <w:r w:rsidRPr="0019444B">
              <w:rPr>
                <w:rFonts w:ascii="Arial Narrow" w:hAnsi="Arial Narrow"/>
                <w:sz w:val="20"/>
                <w:szCs w:val="20"/>
              </w:rPr>
              <w:t>NA</w:t>
            </w:r>
          </w:p>
        </w:tc>
      </w:tr>
      <w:tr w:rsidR="009E38AC" w:rsidRPr="0019444B" w14:paraId="083004A4" w14:textId="77777777" w:rsidTr="002B56EE">
        <w:tc>
          <w:tcPr>
            <w:tcW w:w="2462" w:type="dxa"/>
          </w:tcPr>
          <w:p w14:paraId="530B1027" w14:textId="77777777" w:rsidR="009E38AC" w:rsidRPr="0019444B" w:rsidRDefault="009E38AC" w:rsidP="002B56EE">
            <w:pPr>
              <w:keepNext/>
              <w:ind w:right="-94"/>
              <w:rPr>
                <w:rFonts w:ascii="Arial Narrow" w:hAnsi="Arial Narrow"/>
                <w:sz w:val="20"/>
                <w:szCs w:val="20"/>
              </w:rPr>
            </w:pPr>
            <w:r w:rsidRPr="0019444B">
              <w:rPr>
                <w:rFonts w:ascii="Arial Narrow" w:hAnsi="Arial Narrow"/>
                <w:sz w:val="20"/>
                <w:szCs w:val="20"/>
              </w:rPr>
              <w:t xml:space="preserve">24-month PFS rate, % </w:t>
            </w:r>
          </w:p>
          <w:p w14:paraId="6A779C74" w14:textId="77777777" w:rsidR="009E38AC" w:rsidRPr="0019444B" w:rsidRDefault="009E38AC" w:rsidP="002B56EE">
            <w:pPr>
              <w:keepNext/>
              <w:ind w:right="-94"/>
              <w:rPr>
                <w:rFonts w:ascii="Arial Narrow" w:hAnsi="Arial Narrow"/>
                <w:sz w:val="20"/>
                <w:szCs w:val="20"/>
              </w:rPr>
            </w:pPr>
            <w:r w:rsidRPr="0019444B">
              <w:rPr>
                <w:rFonts w:ascii="Arial Narrow" w:hAnsi="Arial Narrow"/>
                <w:sz w:val="20"/>
                <w:szCs w:val="20"/>
              </w:rPr>
              <w:t xml:space="preserve">(95% CI) </w:t>
            </w:r>
          </w:p>
        </w:tc>
        <w:tc>
          <w:tcPr>
            <w:tcW w:w="1398" w:type="dxa"/>
          </w:tcPr>
          <w:p w14:paraId="09BA0AC0" w14:textId="77777777" w:rsidR="009E38AC" w:rsidRPr="0019444B" w:rsidRDefault="009E38AC" w:rsidP="002B56EE">
            <w:pPr>
              <w:pStyle w:val="TableText0"/>
              <w:ind w:right="-113"/>
              <w:jc w:val="both"/>
              <w:rPr>
                <w:bCs w:val="0"/>
                <w:sz w:val="20"/>
                <w:szCs w:val="20"/>
              </w:rPr>
            </w:pPr>
            <w:r w:rsidRPr="0019444B">
              <w:rPr>
                <w:bCs w:val="0"/>
                <w:szCs w:val="20"/>
              </w:rPr>
              <w:t xml:space="preserve">87.3 </w:t>
            </w:r>
          </w:p>
          <w:p w14:paraId="413B1DD9" w14:textId="77777777" w:rsidR="009E38AC" w:rsidRPr="0019444B" w:rsidRDefault="009E38AC" w:rsidP="002B56EE">
            <w:pPr>
              <w:pStyle w:val="TableText0"/>
              <w:ind w:right="-113"/>
              <w:jc w:val="both"/>
              <w:rPr>
                <w:bCs w:val="0"/>
                <w:sz w:val="20"/>
                <w:szCs w:val="20"/>
              </w:rPr>
            </w:pPr>
            <w:r w:rsidRPr="0019444B">
              <w:rPr>
                <w:bCs w:val="0"/>
                <w:szCs w:val="20"/>
              </w:rPr>
              <w:t>(80.9, 91.7)</w:t>
            </w:r>
          </w:p>
        </w:tc>
        <w:tc>
          <w:tcPr>
            <w:tcW w:w="1405" w:type="dxa"/>
          </w:tcPr>
          <w:p w14:paraId="13F4ED38" w14:textId="77777777" w:rsidR="009E38AC" w:rsidRPr="0019444B" w:rsidRDefault="009E38AC" w:rsidP="002B56EE">
            <w:pPr>
              <w:pStyle w:val="TableText0"/>
              <w:ind w:right="-113"/>
              <w:jc w:val="both"/>
              <w:rPr>
                <w:bCs w:val="0"/>
                <w:sz w:val="20"/>
                <w:szCs w:val="20"/>
              </w:rPr>
            </w:pPr>
            <w:r w:rsidRPr="0019444B">
              <w:rPr>
                <w:bCs w:val="0"/>
                <w:szCs w:val="20"/>
              </w:rPr>
              <w:t xml:space="preserve">92.7 </w:t>
            </w:r>
          </w:p>
          <w:p w14:paraId="363D3996" w14:textId="77777777" w:rsidR="009E38AC" w:rsidRPr="0019444B" w:rsidRDefault="009E38AC" w:rsidP="002B56EE">
            <w:pPr>
              <w:pStyle w:val="TableText0"/>
              <w:ind w:right="-113"/>
              <w:jc w:val="both"/>
              <w:rPr>
                <w:bCs w:val="0"/>
                <w:sz w:val="20"/>
                <w:szCs w:val="20"/>
              </w:rPr>
            </w:pPr>
            <w:r w:rsidRPr="0019444B">
              <w:rPr>
                <w:bCs w:val="0"/>
                <w:szCs w:val="20"/>
              </w:rPr>
              <w:t>(87.4, 95.8)</w:t>
            </w:r>
          </w:p>
        </w:tc>
        <w:tc>
          <w:tcPr>
            <w:tcW w:w="1256" w:type="dxa"/>
          </w:tcPr>
          <w:p w14:paraId="65D70AD4" w14:textId="77777777" w:rsidR="009E38AC" w:rsidRPr="0019444B" w:rsidRDefault="009E38AC" w:rsidP="002B56EE">
            <w:pPr>
              <w:pStyle w:val="TableText0"/>
              <w:ind w:right="-113"/>
              <w:jc w:val="both"/>
              <w:rPr>
                <w:bCs w:val="0"/>
                <w:sz w:val="20"/>
                <w:szCs w:val="20"/>
              </w:rPr>
            </w:pPr>
            <w:r w:rsidRPr="0019444B">
              <w:rPr>
                <w:bCs w:val="0"/>
                <w:szCs w:val="20"/>
              </w:rPr>
              <w:t xml:space="preserve">46.7 </w:t>
            </w:r>
          </w:p>
          <w:p w14:paraId="05C750F8" w14:textId="77777777" w:rsidR="009E38AC" w:rsidRPr="0019444B" w:rsidRDefault="009E38AC" w:rsidP="002B56EE">
            <w:pPr>
              <w:pStyle w:val="TableText0"/>
              <w:ind w:right="-113"/>
              <w:jc w:val="both"/>
              <w:rPr>
                <w:bCs w:val="0"/>
                <w:sz w:val="20"/>
                <w:szCs w:val="20"/>
              </w:rPr>
            </w:pPr>
            <w:r w:rsidRPr="0019444B">
              <w:rPr>
                <w:bCs w:val="0"/>
                <w:szCs w:val="20"/>
              </w:rPr>
              <w:t>(38.5, 54.6)</w:t>
            </w:r>
          </w:p>
        </w:tc>
        <w:tc>
          <w:tcPr>
            <w:tcW w:w="1276" w:type="dxa"/>
          </w:tcPr>
          <w:p w14:paraId="4A79E76D" w14:textId="77777777" w:rsidR="009E38AC" w:rsidRPr="0019444B" w:rsidRDefault="009E38AC" w:rsidP="002B56EE">
            <w:pPr>
              <w:pStyle w:val="TableText0"/>
              <w:ind w:right="-106"/>
              <w:jc w:val="both"/>
              <w:rPr>
                <w:bCs w:val="0"/>
                <w:sz w:val="20"/>
                <w:szCs w:val="20"/>
              </w:rPr>
            </w:pPr>
            <w:r w:rsidRPr="0019444B">
              <w:rPr>
                <w:bCs w:val="0"/>
                <w:szCs w:val="20"/>
              </w:rPr>
              <w:t xml:space="preserve">85.5 </w:t>
            </w:r>
          </w:p>
          <w:p w14:paraId="41B01651" w14:textId="77777777" w:rsidR="009E38AC" w:rsidRPr="0019444B" w:rsidRDefault="009E38AC" w:rsidP="002B56EE">
            <w:pPr>
              <w:pStyle w:val="TableText0"/>
              <w:ind w:right="-106"/>
              <w:jc w:val="both"/>
              <w:rPr>
                <w:bCs w:val="0"/>
                <w:sz w:val="20"/>
                <w:szCs w:val="20"/>
              </w:rPr>
            </w:pPr>
            <w:r w:rsidRPr="0019444B">
              <w:rPr>
                <w:bCs w:val="0"/>
                <w:szCs w:val="20"/>
              </w:rPr>
              <w:t>(80.1, 89.6)</w:t>
            </w:r>
          </w:p>
        </w:tc>
        <w:tc>
          <w:tcPr>
            <w:tcW w:w="1275" w:type="dxa"/>
          </w:tcPr>
          <w:p w14:paraId="1B54F37A" w14:textId="77777777" w:rsidR="009E38AC" w:rsidRPr="0019444B" w:rsidRDefault="009E38AC" w:rsidP="002B56EE">
            <w:pPr>
              <w:pStyle w:val="TableText0"/>
              <w:ind w:right="-113"/>
              <w:jc w:val="both"/>
              <w:rPr>
                <w:bCs w:val="0"/>
                <w:sz w:val="20"/>
                <w:szCs w:val="20"/>
              </w:rPr>
            </w:pPr>
            <w:bookmarkStart w:id="61" w:name="_Hlk131610127"/>
            <w:r w:rsidRPr="0019444B">
              <w:rPr>
                <w:bCs w:val="0"/>
                <w:szCs w:val="20"/>
              </w:rPr>
              <w:t xml:space="preserve">69.5 </w:t>
            </w:r>
          </w:p>
          <w:p w14:paraId="250D3ED4" w14:textId="77777777" w:rsidR="009E38AC" w:rsidRPr="0019444B" w:rsidRDefault="009E38AC" w:rsidP="002B56EE">
            <w:pPr>
              <w:pStyle w:val="TableText0"/>
              <w:ind w:right="-113"/>
              <w:jc w:val="both"/>
              <w:rPr>
                <w:bCs w:val="0"/>
                <w:sz w:val="20"/>
                <w:szCs w:val="20"/>
              </w:rPr>
            </w:pPr>
            <w:r w:rsidRPr="0019444B">
              <w:rPr>
                <w:bCs w:val="0"/>
                <w:szCs w:val="20"/>
              </w:rPr>
              <w:t>(62.4, 75.5)</w:t>
            </w:r>
            <w:bookmarkEnd w:id="61"/>
          </w:p>
        </w:tc>
      </w:tr>
      <w:tr w:rsidR="009E38AC" w:rsidRPr="0019444B" w14:paraId="5AF64ED6" w14:textId="77777777" w:rsidTr="002B56EE">
        <w:tc>
          <w:tcPr>
            <w:tcW w:w="9072" w:type="dxa"/>
            <w:gridSpan w:val="6"/>
          </w:tcPr>
          <w:p w14:paraId="352EAED7" w14:textId="77777777" w:rsidR="009E38AC" w:rsidRPr="0019444B" w:rsidRDefault="009E38AC" w:rsidP="002B56EE">
            <w:pPr>
              <w:keepNext/>
              <w:ind w:right="-151"/>
              <w:rPr>
                <w:rFonts w:ascii="Arial Narrow" w:hAnsi="Arial Narrow"/>
                <w:b/>
                <w:bCs/>
                <w:sz w:val="20"/>
                <w:szCs w:val="20"/>
              </w:rPr>
            </w:pPr>
            <w:r w:rsidRPr="0019444B">
              <w:rPr>
                <w:rFonts w:ascii="Arial Narrow" w:hAnsi="Arial Narrow"/>
                <w:b/>
                <w:bCs/>
                <w:sz w:val="20"/>
                <w:szCs w:val="20"/>
              </w:rPr>
              <w:t>INV PFS</w:t>
            </w:r>
          </w:p>
        </w:tc>
      </w:tr>
      <w:tr w:rsidR="009E38AC" w:rsidRPr="0019444B" w14:paraId="04F9E730" w14:textId="77777777" w:rsidTr="002B56EE">
        <w:tc>
          <w:tcPr>
            <w:tcW w:w="2462" w:type="dxa"/>
          </w:tcPr>
          <w:p w14:paraId="363B54B0" w14:textId="77777777" w:rsidR="009E38AC" w:rsidRPr="0019444B" w:rsidRDefault="009E38AC" w:rsidP="002B56EE">
            <w:pPr>
              <w:keepNext/>
              <w:ind w:right="-94"/>
              <w:rPr>
                <w:rFonts w:ascii="Arial Narrow" w:hAnsi="Arial Narrow"/>
                <w:sz w:val="20"/>
                <w:szCs w:val="20"/>
              </w:rPr>
            </w:pPr>
            <w:r w:rsidRPr="0019444B">
              <w:rPr>
                <w:rFonts w:ascii="Arial Narrow" w:hAnsi="Arial Narrow"/>
                <w:sz w:val="20"/>
                <w:szCs w:val="20"/>
              </w:rPr>
              <w:t>n/N (%)</w:t>
            </w:r>
          </w:p>
        </w:tc>
        <w:tc>
          <w:tcPr>
            <w:tcW w:w="1398" w:type="dxa"/>
          </w:tcPr>
          <w:p w14:paraId="1D2CC1D3" w14:textId="77777777" w:rsidR="009E38AC" w:rsidRPr="0019444B" w:rsidRDefault="009E38AC" w:rsidP="002B56EE">
            <w:pPr>
              <w:keepNext/>
              <w:ind w:right="-108"/>
              <w:rPr>
                <w:rFonts w:ascii="Arial Narrow" w:hAnsi="Arial Narrow"/>
                <w:sz w:val="20"/>
                <w:szCs w:val="20"/>
              </w:rPr>
            </w:pPr>
            <w:r w:rsidRPr="0019444B">
              <w:rPr>
                <w:rFonts w:ascii="Arial Narrow" w:hAnsi="Arial Narrow"/>
                <w:sz w:val="20"/>
                <w:szCs w:val="20"/>
              </w:rPr>
              <w:t>19 (10.6)</w:t>
            </w:r>
          </w:p>
        </w:tc>
        <w:tc>
          <w:tcPr>
            <w:tcW w:w="1405" w:type="dxa"/>
          </w:tcPr>
          <w:p w14:paraId="591485FB" w14:textId="77777777" w:rsidR="009E38AC" w:rsidRPr="0019444B" w:rsidRDefault="009E38AC" w:rsidP="002B56EE">
            <w:pPr>
              <w:keepNext/>
              <w:ind w:right="-123"/>
              <w:rPr>
                <w:rFonts w:ascii="Arial Narrow" w:hAnsi="Arial Narrow"/>
                <w:sz w:val="20"/>
                <w:szCs w:val="20"/>
              </w:rPr>
            </w:pPr>
            <w:r w:rsidRPr="0019444B">
              <w:rPr>
                <w:rFonts w:ascii="Arial Narrow" w:hAnsi="Arial Narrow"/>
                <w:sz w:val="20"/>
                <w:szCs w:val="20"/>
              </w:rPr>
              <w:t>15 (8.4)</w:t>
            </w:r>
          </w:p>
        </w:tc>
        <w:tc>
          <w:tcPr>
            <w:tcW w:w="1256" w:type="dxa"/>
          </w:tcPr>
          <w:p w14:paraId="0364CF38" w14:textId="77777777" w:rsidR="009E38AC" w:rsidRPr="0019444B" w:rsidRDefault="009E38AC" w:rsidP="002B56EE">
            <w:pPr>
              <w:keepNext/>
              <w:ind w:right="-123"/>
              <w:rPr>
                <w:rFonts w:ascii="Arial Narrow" w:hAnsi="Arial Narrow"/>
                <w:sz w:val="20"/>
                <w:szCs w:val="20"/>
              </w:rPr>
            </w:pPr>
            <w:r w:rsidRPr="0019444B">
              <w:rPr>
                <w:rFonts w:ascii="Arial Narrow" w:hAnsi="Arial Narrow"/>
                <w:sz w:val="20"/>
                <w:szCs w:val="20"/>
              </w:rPr>
              <w:t>86 (48.6)</w:t>
            </w:r>
          </w:p>
        </w:tc>
        <w:tc>
          <w:tcPr>
            <w:tcW w:w="1276" w:type="dxa"/>
          </w:tcPr>
          <w:p w14:paraId="4D6E5370" w14:textId="77777777" w:rsidR="009E38AC" w:rsidRPr="0019444B" w:rsidRDefault="009E38AC" w:rsidP="002B56EE">
            <w:pPr>
              <w:keepNext/>
              <w:ind w:right="-151"/>
              <w:rPr>
                <w:rFonts w:ascii="Arial Narrow" w:hAnsi="Arial Narrow"/>
                <w:sz w:val="20"/>
                <w:szCs w:val="20"/>
              </w:rPr>
            </w:pPr>
            <w:r w:rsidRPr="0019444B">
              <w:rPr>
                <w:rFonts w:ascii="Arial Narrow" w:hAnsi="Arial Narrow"/>
                <w:sz w:val="20"/>
                <w:szCs w:val="20"/>
              </w:rPr>
              <w:t>29 (12.0)</w:t>
            </w:r>
          </w:p>
        </w:tc>
        <w:tc>
          <w:tcPr>
            <w:tcW w:w="1275" w:type="dxa"/>
          </w:tcPr>
          <w:p w14:paraId="1C83BD17" w14:textId="77777777" w:rsidR="009E38AC" w:rsidRPr="0019444B" w:rsidRDefault="009E38AC" w:rsidP="002B56EE">
            <w:pPr>
              <w:keepNext/>
              <w:ind w:right="-151"/>
              <w:rPr>
                <w:rFonts w:ascii="Arial Narrow" w:hAnsi="Arial Narrow"/>
                <w:sz w:val="20"/>
                <w:szCs w:val="20"/>
              </w:rPr>
            </w:pPr>
            <w:r w:rsidRPr="0019444B">
              <w:rPr>
                <w:rFonts w:ascii="Arial Narrow" w:hAnsi="Arial Narrow"/>
                <w:sz w:val="20"/>
                <w:szCs w:val="20"/>
              </w:rPr>
              <w:t>57 (23.9)</w:t>
            </w:r>
          </w:p>
        </w:tc>
      </w:tr>
      <w:tr w:rsidR="009E38AC" w:rsidRPr="0019444B" w14:paraId="202C9623" w14:textId="77777777" w:rsidTr="002B56EE">
        <w:tc>
          <w:tcPr>
            <w:tcW w:w="2462" w:type="dxa"/>
          </w:tcPr>
          <w:p w14:paraId="0226C906" w14:textId="77777777" w:rsidR="009E38AC" w:rsidRPr="0019444B" w:rsidRDefault="009E38AC" w:rsidP="002B56EE">
            <w:pPr>
              <w:keepNext/>
              <w:ind w:right="-94"/>
              <w:rPr>
                <w:rFonts w:ascii="Arial Narrow" w:hAnsi="Arial Narrow"/>
                <w:sz w:val="20"/>
                <w:szCs w:val="20"/>
              </w:rPr>
            </w:pPr>
            <w:r w:rsidRPr="0019444B">
              <w:rPr>
                <w:rFonts w:ascii="Arial Narrow" w:hAnsi="Arial Narrow"/>
                <w:sz w:val="20"/>
                <w:szCs w:val="20"/>
              </w:rPr>
              <w:t>Median time to event (95% CI)</w:t>
            </w:r>
          </w:p>
        </w:tc>
        <w:tc>
          <w:tcPr>
            <w:tcW w:w="1398" w:type="dxa"/>
          </w:tcPr>
          <w:p w14:paraId="24FAA194" w14:textId="77777777" w:rsidR="009E38AC" w:rsidRPr="0019444B" w:rsidRDefault="009E38AC" w:rsidP="002B56EE">
            <w:pPr>
              <w:keepNext/>
              <w:ind w:right="-108"/>
              <w:rPr>
                <w:rFonts w:ascii="Arial Narrow" w:hAnsi="Arial Narrow"/>
                <w:sz w:val="20"/>
                <w:szCs w:val="20"/>
              </w:rPr>
            </w:pPr>
            <w:r w:rsidRPr="0019444B">
              <w:rPr>
                <w:rFonts w:ascii="Arial Narrow" w:hAnsi="Arial Narrow"/>
                <w:sz w:val="20"/>
                <w:szCs w:val="20"/>
              </w:rPr>
              <w:t>NR</w:t>
            </w:r>
          </w:p>
        </w:tc>
        <w:tc>
          <w:tcPr>
            <w:tcW w:w="1405" w:type="dxa"/>
          </w:tcPr>
          <w:p w14:paraId="3E157FAA" w14:textId="77777777" w:rsidR="009E38AC" w:rsidRPr="0019444B" w:rsidRDefault="009E38AC" w:rsidP="002B56EE">
            <w:pPr>
              <w:keepNext/>
              <w:ind w:right="-123"/>
              <w:rPr>
                <w:rFonts w:ascii="Arial Narrow" w:hAnsi="Arial Narrow"/>
                <w:sz w:val="20"/>
                <w:szCs w:val="20"/>
              </w:rPr>
            </w:pPr>
            <w:r w:rsidRPr="0019444B">
              <w:rPr>
                <w:rFonts w:ascii="Arial Narrow" w:hAnsi="Arial Narrow"/>
                <w:sz w:val="20"/>
                <w:szCs w:val="20"/>
              </w:rPr>
              <w:t>NR</w:t>
            </w:r>
          </w:p>
        </w:tc>
        <w:tc>
          <w:tcPr>
            <w:tcW w:w="1256" w:type="dxa"/>
          </w:tcPr>
          <w:p w14:paraId="59CF5F85" w14:textId="77777777" w:rsidR="009E38AC" w:rsidRPr="0019444B" w:rsidRDefault="009E38AC" w:rsidP="002B56EE">
            <w:pPr>
              <w:keepNext/>
              <w:ind w:right="-123"/>
              <w:rPr>
                <w:rFonts w:ascii="Arial Narrow" w:hAnsi="Arial Narrow"/>
                <w:sz w:val="20"/>
                <w:szCs w:val="20"/>
              </w:rPr>
            </w:pPr>
            <w:r w:rsidRPr="0019444B">
              <w:rPr>
                <w:rFonts w:ascii="Arial Narrow" w:hAnsi="Arial Narrow"/>
                <w:sz w:val="20"/>
                <w:szCs w:val="20"/>
              </w:rPr>
              <w:t>NR</w:t>
            </w:r>
          </w:p>
        </w:tc>
        <w:tc>
          <w:tcPr>
            <w:tcW w:w="1276" w:type="dxa"/>
          </w:tcPr>
          <w:p w14:paraId="03904517" w14:textId="77777777" w:rsidR="009E38AC" w:rsidRPr="0019444B" w:rsidRDefault="009E38AC" w:rsidP="002B56EE">
            <w:pPr>
              <w:keepNext/>
              <w:ind w:right="-151"/>
              <w:rPr>
                <w:rFonts w:ascii="Arial Narrow" w:hAnsi="Arial Narrow"/>
                <w:sz w:val="20"/>
                <w:szCs w:val="20"/>
              </w:rPr>
            </w:pPr>
            <w:r w:rsidRPr="0019444B">
              <w:rPr>
                <w:rFonts w:ascii="Arial Narrow" w:hAnsi="Arial Narrow"/>
                <w:sz w:val="20"/>
                <w:szCs w:val="20"/>
              </w:rPr>
              <w:t>NR</w:t>
            </w:r>
          </w:p>
        </w:tc>
        <w:tc>
          <w:tcPr>
            <w:tcW w:w="1275" w:type="dxa"/>
          </w:tcPr>
          <w:p w14:paraId="50B739AE" w14:textId="77777777" w:rsidR="009E38AC" w:rsidRPr="0019444B" w:rsidRDefault="009E38AC" w:rsidP="002B56EE">
            <w:pPr>
              <w:keepNext/>
              <w:ind w:right="-151"/>
              <w:rPr>
                <w:rFonts w:ascii="Arial Narrow" w:hAnsi="Arial Narrow"/>
                <w:sz w:val="20"/>
                <w:szCs w:val="20"/>
              </w:rPr>
            </w:pPr>
            <w:r w:rsidRPr="0019444B">
              <w:rPr>
                <w:rFonts w:ascii="Arial Narrow" w:hAnsi="Arial Narrow"/>
                <w:sz w:val="20"/>
                <w:szCs w:val="20"/>
              </w:rPr>
              <w:t>NR</w:t>
            </w:r>
          </w:p>
        </w:tc>
      </w:tr>
      <w:tr w:rsidR="009E38AC" w:rsidRPr="0019444B" w14:paraId="7400A56D" w14:textId="77777777" w:rsidTr="002B56EE">
        <w:tc>
          <w:tcPr>
            <w:tcW w:w="2462" w:type="dxa"/>
          </w:tcPr>
          <w:p w14:paraId="698892F5" w14:textId="77777777" w:rsidR="009E38AC" w:rsidRPr="0019444B" w:rsidRDefault="009E38AC" w:rsidP="002B56EE">
            <w:pPr>
              <w:keepNext/>
              <w:ind w:right="-94"/>
              <w:rPr>
                <w:rFonts w:ascii="Arial Narrow" w:hAnsi="Arial Narrow"/>
                <w:sz w:val="20"/>
                <w:szCs w:val="20"/>
              </w:rPr>
            </w:pPr>
            <w:r w:rsidRPr="0019444B">
              <w:rPr>
                <w:rFonts w:ascii="Arial Narrow" w:hAnsi="Arial Narrow"/>
                <w:sz w:val="20"/>
                <w:szCs w:val="20"/>
              </w:rPr>
              <w:t xml:space="preserve">HR (95% </w:t>
            </w:r>
            <w:proofErr w:type="gramStart"/>
            <w:r w:rsidRPr="0019444B">
              <w:rPr>
                <w:rFonts w:ascii="Arial Narrow" w:hAnsi="Arial Narrow"/>
                <w:sz w:val="20"/>
                <w:szCs w:val="20"/>
              </w:rPr>
              <w:t>CI)*</w:t>
            </w:r>
            <w:proofErr w:type="gramEnd"/>
            <w:r w:rsidRPr="0019444B">
              <w:rPr>
                <w:rFonts w:ascii="Arial Narrow" w:hAnsi="Arial Narrow"/>
                <w:sz w:val="20"/>
                <w:szCs w:val="20"/>
              </w:rPr>
              <w:t xml:space="preserve"> </w:t>
            </w:r>
          </w:p>
          <w:p w14:paraId="377A9D77" w14:textId="77777777" w:rsidR="009E38AC" w:rsidRPr="0019444B" w:rsidRDefault="009E38AC" w:rsidP="002B56EE">
            <w:pPr>
              <w:keepNext/>
              <w:ind w:right="-94"/>
              <w:rPr>
                <w:rFonts w:ascii="Arial Narrow" w:hAnsi="Arial Narrow"/>
                <w:sz w:val="20"/>
                <w:szCs w:val="20"/>
              </w:rPr>
            </w:pPr>
            <w:r w:rsidRPr="0019444B">
              <w:rPr>
                <w:rFonts w:ascii="Arial Narrow" w:hAnsi="Arial Narrow"/>
                <w:sz w:val="20"/>
                <w:szCs w:val="20"/>
              </w:rPr>
              <w:t>p-value (log-rank test)</w:t>
            </w:r>
          </w:p>
        </w:tc>
        <w:tc>
          <w:tcPr>
            <w:tcW w:w="1398" w:type="dxa"/>
          </w:tcPr>
          <w:p w14:paraId="75F7BD9C" w14:textId="77777777" w:rsidR="009E38AC" w:rsidRPr="0019444B" w:rsidRDefault="009E38AC" w:rsidP="002B56EE">
            <w:pPr>
              <w:pStyle w:val="TableText0"/>
              <w:ind w:right="-111"/>
              <w:jc w:val="both"/>
              <w:rPr>
                <w:bCs w:val="0"/>
                <w:sz w:val="20"/>
                <w:szCs w:val="20"/>
              </w:rPr>
            </w:pPr>
            <w:r w:rsidRPr="0019444B">
              <w:rPr>
                <w:bCs w:val="0"/>
                <w:szCs w:val="20"/>
              </w:rPr>
              <w:t xml:space="preserve">0.16 </w:t>
            </w:r>
          </w:p>
          <w:p w14:paraId="3C3212A4" w14:textId="77777777" w:rsidR="009E38AC" w:rsidRPr="0019444B" w:rsidRDefault="009E38AC" w:rsidP="002B56EE">
            <w:pPr>
              <w:pStyle w:val="TableText0"/>
              <w:ind w:right="-111"/>
              <w:jc w:val="both"/>
              <w:rPr>
                <w:bCs w:val="0"/>
                <w:sz w:val="20"/>
                <w:szCs w:val="20"/>
              </w:rPr>
            </w:pPr>
            <w:r w:rsidRPr="0019444B">
              <w:rPr>
                <w:bCs w:val="0"/>
                <w:szCs w:val="20"/>
              </w:rPr>
              <w:t>(0.10, 0.27)</w:t>
            </w:r>
          </w:p>
          <w:p w14:paraId="6801F8EA" w14:textId="77777777" w:rsidR="009E38AC" w:rsidRPr="0019444B" w:rsidRDefault="009E38AC" w:rsidP="002B56EE">
            <w:pPr>
              <w:keepNext/>
              <w:ind w:right="-111"/>
              <w:rPr>
                <w:rFonts w:ascii="Arial Narrow" w:hAnsi="Arial Narrow"/>
                <w:sz w:val="20"/>
                <w:szCs w:val="20"/>
              </w:rPr>
            </w:pPr>
            <w:r w:rsidRPr="0019444B">
              <w:rPr>
                <w:rFonts w:ascii="Arial Narrow" w:hAnsi="Arial Narrow"/>
                <w:sz w:val="20"/>
                <w:szCs w:val="20"/>
              </w:rPr>
              <w:t>&lt;0.0001</w:t>
            </w:r>
          </w:p>
        </w:tc>
        <w:tc>
          <w:tcPr>
            <w:tcW w:w="1405" w:type="dxa"/>
          </w:tcPr>
          <w:p w14:paraId="2EB712F5" w14:textId="77777777" w:rsidR="009E38AC" w:rsidRPr="0019444B" w:rsidRDefault="009E38AC" w:rsidP="002B56EE">
            <w:pPr>
              <w:pStyle w:val="TableText0"/>
              <w:ind w:right="-111"/>
              <w:jc w:val="both"/>
              <w:rPr>
                <w:bCs w:val="0"/>
                <w:sz w:val="20"/>
                <w:szCs w:val="20"/>
              </w:rPr>
            </w:pPr>
            <w:r w:rsidRPr="0019444B">
              <w:rPr>
                <w:bCs w:val="0"/>
                <w:szCs w:val="20"/>
              </w:rPr>
              <w:t xml:space="preserve">0.12 </w:t>
            </w:r>
          </w:p>
          <w:p w14:paraId="405F14B3" w14:textId="77777777" w:rsidR="009E38AC" w:rsidRPr="0019444B" w:rsidRDefault="009E38AC" w:rsidP="002B56EE">
            <w:pPr>
              <w:pStyle w:val="TableText0"/>
              <w:ind w:right="-111"/>
              <w:jc w:val="both"/>
              <w:rPr>
                <w:bCs w:val="0"/>
                <w:sz w:val="20"/>
                <w:szCs w:val="20"/>
              </w:rPr>
            </w:pPr>
            <w:r w:rsidRPr="0019444B">
              <w:rPr>
                <w:bCs w:val="0"/>
                <w:szCs w:val="20"/>
              </w:rPr>
              <w:t>(0.07–0.21)</w:t>
            </w:r>
          </w:p>
          <w:p w14:paraId="1AA9ECBF" w14:textId="77777777" w:rsidR="009E38AC" w:rsidRPr="0019444B" w:rsidRDefault="009E38AC" w:rsidP="002B56EE">
            <w:pPr>
              <w:pStyle w:val="TableHeading0"/>
              <w:keepLines w:val="0"/>
              <w:widowControl w:val="0"/>
              <w:spacing w:before="0" w:after="0" w:line="240" w:lineRule="auto"/>
              <w:ind w:right="-111"/>
              <w:jc w:val="both"/>
              <w:rPr>
                <w:b w:val="0"/>
                <w:sz w:val="20"/>
              </w:rPr>
            </w:pPr>
            <w:r w:rsidRPr="0019444B">
              <w:rPr>
                <w:b w:val="0"/>
              </w:rPr>
              <w:t>&lt;0.0001</w:t>
            </w:r>
          </w:p>
        </w:tc>
        <w:tc>
          <w:tcPr>
            <w:tcW w:w="1256" w:type="dxa"/>
          </w:tcPr>
          <w:p w14:paraId="03EC2D70" w14:textId="77777777" w:rsidR="009E38AC" w:rsidRPr="0019444B" w:rsidRDefault="009E38AC" w:rsidP="002B56EE">
            <w:pPr>
              <w:keepNext/>
              <w:ind w:right="-111"/>
              <w:rPr>
                <w:rFonts w:ascii="Arial Narrow" w:hAnsi="Arial Narrow"/>
                <w:sz w:val="20"/>
                <w:szCs w:val="20"/>
              </w:rPr>
            </w:pPr>
            <w:r w:rsidRPr="0019444B">
              <w:rPr>
                <w:rFonts w:ascii="Arial Narrow" w:hAnsi="Arial Narrow"/>
                <w:sz w:val="20"/>
                <w:szCs w:val="20"/>
              </w:rPr>
              <w:t>NR</w:t>
            </w:r>
          </w:p>
        </w:tc>
        <w:tc>
          <w:tcPr>
            <w:tcW w:w="1276" w:type="dxa"/>
          </w:tcPr>
          <w:p w14:paraId="1697D132" w14:textId="77777777" w:rsidR="009E38AC" w:rsidRPr="0019444B" w:rsidRDefault="009E38AC" w:rsidP="002B56EE">
            <w:pPr>
              <w:pStyle w:val="TableText0"/>
              <w:ind w:right="-111"/>
              <w:jc w:val="both"/>
              <w:rPr>
                <w:bCs w:val="0"/>
                <w:sz w:val="20"/>
                <w:szCs w:val="20"/>
              </w:rPr>
            </w:pPr>
            <w:r w:rsidRPr="0019444B">
              <w:rPr>
                <w:bCs w:val="0"/>
                <w:szCs w:val="20"/>
              </w:rPr>
              <w:t xml:space="preserve">0.42 </w:t>
            </w:r>
          </w:p>
          <w:p w14:paraId="594124C8" w14:textId="77777777" w:rsidR="009E38AC" w:rsidRPr="0019444B" w:rsidRDefault="009E38AC" w:rsidP="002B56EE">
            <w:pPr>
              <w:pStyle w:val="TableText0"/>
              <w:ind w:right="-111"/>
              <w:jc w:val="both"/>
              <w:rPr>
                <w:bCs w:val="0"/>
                <w:sz w:val="20"/>
                <w:szCs w:val="20"/>
              </w:rPr>
            </w:pPr>
            <w:r w:rsidRPr="0019444B">
              <w:rPr>
                <w:bCs w:val="0"/>
                <w:szCs w:val="20"/>
              </w:rPr>
              <w:t>(0.27, 0.66)</w:t>
            </w:r>
          </w:p>
          <w:p w14:paraId="332D00A5" w14:textId="77777777" w:rsidR="009E38AC" w:rsidRPr="0019444B" w:rsidRDefault="009E38AC" w:rsidP="002B56EE">
            <w:pPr>
              <w:keepNext/>
              <w:ind w:right="-111"/>
              <w:rPr>
                <w:rFonts w:ascii="Arial Narrow" w:hAnsi="Arial Narrow"/>
                <w:sz w:val="20"/>
                <w:szCs w:val="20"/>
              </w:rPr>
            </w:pPr>
            <w:r w:rsidRPr="0019444B">
              <w:rPr>
                <w:rFonts w:ascii="Arial Narrow" w:hAnsi="Arial Narrow"/>
                <w:sz w:val="20"/>
                <w:szCs w:val="20"/>
              </w:rPr>
              <w:t>0.00011</w:t>
            </w:r>
          </w:p>
        </w:tc>
        <w:tc>
          <w:tcPr>
            <w:tcW w:w="1275" w:type="dxa"/>
          </w:tcPr>
          <w:p w14:paraId="607E9AAC" w14:textId="77777777" w:rsidR="009E38AC" w:rsidRPr="0019444B" w:rsidRDefault="009E38AC" w:rsidP="002B56EE">
            <w:pPr>
              <w:keepNext/>
              <w:ind w:right="-111"/>
              <w:rPr>
                <w:rFonts w:ascii="Arial Narrow" w:hAnsi="Arial Narrow"/>
                <w:sz w:val="20"/>
                <w:szCs w:val="20"/>
              </w:rPr>
            </w:pPr>
            <w:r w:rsidRPr="0019444B">
              <w:rPr>
                <w:rFonts w:ascii="Arial Narrow" w:hAnsi="Arial Narrow"/>
                <w:sz w:val="20"/>
                <w:szCs w:val="20"/>
              </w:rPr>
              <w:t>NR</w:t>
            </w:r>
          </w:p>
        </w:tc>
      </w:tr>
      <w:tr w:rsidR="009E38AC" w:rsidRPr="0019444B" w14:paraId="6D4E40DA" w14:textId="77777777" w:rsidTr="002B56EE">
        <w:tc>
          <w:tcPr>
            <w:tcW w:w="2462" w:type="dxa"/>
          </w:tcPr>
          <w:p w14:paraId="57D74AD8" w14:textId="77777777" w:rsidR="009E38AC" w:rsidRPr="0019444B" w:rsidRDefault="009E38AC" w:rsidP="002B56EE">
            <w:pPr>
              <w:keepNext/>
              <w:ind w:right="-94"/>
              <w:rPr>
                <w:rFonts w:ascii="Arial Narrow" w:hAnsi="Arial Narrow"/>
                <w:sz w:val="20"/>
                <w:szCs w:val="20"/>
              </w:rPr>
            </w:pPr>
            <w:r w:rsidRPr="0019444B">
              <w:rPr>
                <w:rFonts w:ascii="Arial Narrow" w:hAnsi="Arial Narrow"/>
                <w:sz w:val="20"/>
                <w:szCs w:val="20"/>
              </w:rPr>
              <w:t xml:space="preserve">24-month PFS rate, % </w:t>
            </w:r>
          </w:p>
          <w:p w14:paraId="795F313C" w14:textId="77777777" w:rsidR="009E38AC" w:rsidRPr="0019444B" w:rsidRDefault="009E38AC" w:rsidP="002B56EE">
            <w:pPr>
              <w:keepNext/>
              <w:ind w:right="-94"/>
              <w:rPr>
                <w:rFonts w:ascii="Arial Narrow" w:hAnsi="Arial Narrow"/>
                <w:sz w:val="20"/>
                <w:szCs w:val="20"/>
              </w:rPr>
            </w:pPr>
            <w:r w:rsidRPr="0019444B">
              <w:rPr>
                <w:rFonts w:ascii="Arial Narrow" w:hAnsi="Arial Narrow"/>
                <w:sz w:val="20"/>
                <w:szCs w:val="20"/>
              </w:rPr>
              <w:t xml:space="preserve">(95% CI) </w:t>
            </w:r>
          </w:p>
        </w:tc>
        <w:tc>
          <w:tcPr>
            <w:tcW w:w="1398" w:type="dxa"/>
          </w:tcPr>
          <w:p w14:paraId="53F0B2CC" w14:textId="77777777" w:rsidR="009E38AC" w:rsidRPr="0019444B" w:rsidRDefault="009E38AC" w:rsidP="002B56EE">
            <w:pPr>
              <w:pStyle w:val="TableText0"/>
              <w:ind w:right="-106"/>
              <w:jc w:val="both"/>
              <w:rPr>
                <w:bCs w:val="0"/>
                <w:sz w:val="20"/>
                <w:szCs w:val="20"/>
              </w:rPr>
            </w:pPr>
            <w:r w:rsidRPr="0019444B">
              <w:rPr>
                <w:bCs w:val="0"/>
                <w:szCs w:val="20"/>
              </w:rPr>
              <w:t xml:space="preserve">90.4 </w:t>
            </w:r>
          </w:p>
          <w:p w14:paraId="54081A71" w14:textId="77777777" w:rsidR="009E38AC" w:rsidRPr="0019444B" w:rsidRDefault="009E38AC" w:rsidP="002B56EE">
            <w:pPr>
              <w:pStyle w:val="TableText0"/>
              <w:ind w:right="-106"/>
              <w:jc w:val="both"/>
              <w:rPr>
                <w:bCs w:val="0"/>
                <w:sz w:val="20"/>
                <w:szCs w:val="20"/>
              </w:rPr>
            </w:pPr>
            <w:r w:rsidRPr="0019444B">
              <w:rPr>
                <w:bCs w:val="0"/>
                <w:szCs w:val="20"/>
              </w:rPr>
              <w:t>(84.9, 94.0)</w:t>
            </w:r>
          </w:p>
        </w:tc>
        <w:tc>
          <w:tcPr>
            <w:tcW w:w="1405" w:type="dxa"/>
          </w:tcPr>
          <w:p w14:paraId="55EB5530" w14:textId="77777777" w:rsidR="009E38AC" w:rsidRPr="0019444B" w:rsidRDefault="009E38AC" w:rsidP="002B56EE">
            <w:pPr>
              <w:pStyle w:val="TableText0"/>
              <w:ind w:right="-106"/>
              <w:jc w:val="both"/>
              <w:rPr>
                <w:bCs w:val="0"/>
                <w:sz w:val="20"/>
                <w:szCs w:val="20"/>
              </w:rPr>
            </w:pPr>
            <w:r w:rsidRPr="0019444B">
              <w:rPr>
                <w:bCs w:val="0"/>
                <w:szCs w:val="20"/>
              </w:rPr>
              <w:t xml:space="preserve">91.9 </w:t>
            </w:r>
          </w:p>
          <w:p w14:paraId="4030011B" w14:textId="77777777" w:rsidR="009E38AC" w:rsidRPr="0019444B" w:rsidRDefault="009E38AC" w:rsidP="002B56EE">
            <w:pPr>
              <w:pStyle w:val="TableText0"/>
              <w:ind w:right="-106"/>
              <w:jc w:val="both"/>
              <w:rPr>
                <w:bCs w:val="0"/>
                <w:sz w:val="20"/>
                <w:szCs w:val="20"/>
              </w:rPr>
            </w:pPr>
            <w:r w:rsidRPr="0019444B">
              <w:rPr>
                <w:bCs w:val="0"/>
                <w:szCs w:val="20"/>
              </w:rPr>
              <w:t>(86.7, 95.1)</w:t>
            </w:r>
          </w:p>
        </w:tc>
        <w:tc>
          <w:tcPr>
            <w:tcW w:w="1256" w:type="dxa"/>
          </w:tcPr>
          <w:p w14:paraId="0CA74D84" w14:textId="77777777" w:rsidR="009E38AC" w:rsidRPr="0019444B" w:rsidRDefault="009E38AC" w:rsidP="002B56EE">
            <w:pPr>
              <w:pStyle w:val="TableText0"/>
              <w:ind w:right="-106"/>
              <w:jc w:val="both"/>
              <w:rPr>
                <w:bCs w:val="0"/>
                <w:sz w:val="20"/>
                <w:szCs w:val="20"/>
              </w:rPr>
            </w:pPr>
            <w:r w:rsidRPr="0019444B">
              <w:rPr>
                <w:bCs w:val="0"/>
                <w:szCs w:val="20"/>
              </w:rPr>
              <w:t xml:space="preserve">54.7 </w:t>
            </w:r>
          </w:p>
          <w:p w14:paraId="0955793A" w14:textId="77777777" w:rsidR="009E38AC" w:rsidRPr="0019444B" w:rsidRDefault="009E38AC" w:rsidP="002B56EE">
            <w:pPr>
              <w:pStyle w:val="TableText0"/>
              <w:ind w:right="-106"/>
              <w:jc w:val="both"/>
              <w:rPr>
                <w:bCs w:val="0"/>
                <w:sz w:val="20"/>
                <w:szCs w:val="20"/>
              </w:rPr>
            </w:pPr>
            <w:r w:rsidRPr="0019444B">
              <w:rPr>
                <w:bCs w:val="0"/>
                <w:szCs w:val="20"/>
              </w:rPr>
              <w:t>(46.7, 62.0)</w:t>
            </w:r>
          </w:p>
        </w:tc>
        <w:tc>
          <w:tcPr>
            <w:tcW w:w="1276" w:type="dxa"/>
          </w:tcPr>
          <w:p w14:paraId="2F18695B" w14:textId="77777777" w:rsidR="009E38AC" w:rsidRPr="0019444B" w:rsidRDefault="009E38AC" w:rsidP="002B56EE">
            <w:pPr>
              <w:pStyle w:val="TableText0"/>
              <w:ind w:right="-106"/>
              <w:jc w:val="both"/>
              <w:rPr>
                <w:bCs w:val="0"/>
                <w:sz w:val="20"/>
                <w:szCs w:val="20"/>
              </w:rPr>
            </w:pPr>
            <w:r w:rsidRPr="0019444B">
              <w:rPr>
                <w:bCs w:val="0"/>
                <w:szCs w:val="20"/>
              </w:rPr>
              <w:t xml:space="preserve">87.7 </w:t>
            </w:r>
          </w:p>
          <w:p w14:paraId="568EA63E" w14:textId="77777777" w:rsidR="009E38AC" w:rsidRPr="0019444B" w:rsidRDefault="009E38AC" w:rsidP="002B56EE">
            <w:pPr>
              <w:pStyle w:val="TableText0"/>
              <w:ind w:right="-106"/>
              <w:jc w:val="both"/>
              <w:rPr>
                <w:bCs w:val="0"/>
                <w:sz w:val="20"/>
                <w:szCs w:val="20"/>
              </w:rPr>
            </w:pPr>
            <w:r w:rsidRPr="0019444B">
              <w:rPr>
                <w:bCs w:val="0"/>
                <w:szCs w:val="20"/>
              </w:rPr>
              <w:t>(82.1, 91.6)</w:t>
            </w:r>
          </w:p>
        </w:tc>
        <w:tc>
          <w:tcPr>
            <w:tcW w:w="1275" w:type="dxa"/>
          </w:tcPr>
          <w:p w14:paraId="398C7EBA" w14:textId="77777777" w:rsidR="009E38AC" w:rsidRPr="0019444B" w:rsidRDefault="009E38AC" w:rsidP="002B56EE">
            <w:pPr>
              <w:pStyle w:val="TableText0"/>
              <w:ind w:right="-106"/>
              <w:jc w:val="both"/>
              <w:rPr>
                <w:bCs w:val="0"/>
                <w:sz w:val="20"/>
                <w:szCs w:val="20"/>
              </w:rPr>
            </w:pPr>
            <w:bookmarkStart w:id="62" w:name="_Hlk131610485"/>
            <w:r w:rsidRPr="0019444B">
              <w:rPr>
                <w:bCs w:val="0"/>
                <w:szCs w:val="20"/>
              </w:rPr>
              <w:t xml:space="preserve">76.5 </w:t>
            </w:r>
          </w:p>
          <w:p w14:paraId="5DE6761E" w14:textId="77777777" w:rsidR="009E38AC" w:rsidRPr="0019444B" w:rsidRDefault="009E38AC" w:rsidP="002B56EE">
            <w:pPr>
              <w:pStyle w:val="TableText0"/>
              <w:ind w:right="-106"/>
              <w:jc w:val="both"/>
              <w:rPr>
                <w:bCs w:val="0"/>
                <w:sz w:val="20"/>
                <w:szCs w:val="20"/>
              </w:rPr>
            </w:pPr>
            <w:r w:rsidRPr="0019444B">
              <w:rPr>
                <w:bCs w:val="0"/>
                <w:szCs w:val="20"/>
              </w:rPr>
              <w:t>(69.6, 82.1)</w:t>
            </w:r>
            <w:bookmarkEnd w:id="62"/>
          </w:p>
        </w:tc>
      </w:tr>
    </w:tbl>
    <w:p w14:paraId="6E1AD0DF" w14:textId="77777777" w:rsidR="009E38AC" w:rsidRPr="0019444B" w:rsidRDefault="009E38AC" w:rsidP="009E38AC">
      <w:pPr>
        <w:keepNext/>
        <w:ind w:right="-1"/>
        <w:rPr>
          <w:rFonts w:ascii="Arial Narrow" w:hAnsi="Arial Narrow"/>
          <w:snapToGrid w:val="0"/>
          <w:sz w:val="18"/>
          <w:szCs w:val="18"/>
        </w:rPr>
      </w:pPr>
      <w:r w:rsidRPr="0019444B">
        <w:rPr>
          <w:rFonts w:ascii="Arial Narrow" w:hAnsi="Arial Narrow"/>
          <w:snapToGrid w:val="0"/>
          <w:sz w:val="18"/>
          <w:szCs w:val="18"/>
        </w:rPr>
        <w:t>Source: Table 2.100, p.201 of the resubmission</w:t>
      </w:r>
    </w:p>
    <w:p w14:paraId="15CBE796" w14:textId="27A9BFD7" w:rsidR="009E38AC" w:rsidRPr="0019444B" w:rsidRDefault="009E38AC" w:rsidP="00CA022C">
      <w:pPr>
        <w:spacing w:after="120"/>
        <w:rPr>
          <w:rFonts w:ascii="Arial Narrow" w:hAnsi="Arial Narrow"/>
          <w:snapToGrid w:val="0"/>
          <w:sz w:val="18"/>
          <w:szCs w:val="18"/>
        </w:rPr>
      </w:pPr>
      <w:r w:rsidRPr="0019444B">
        <w:rPr>
          <w:rFonts w:ascii="Arial Narrow" w:hAnsi="Arial Narrow"/>
          <w:snapToGrid w:val="0"/>
          <w:sz w:val="18"/>
          <w:szCs w:val="18"/>
        </w:rPr>
        <w:t>ACA= acalabrutinib, BEND= bendamustine, CHL= chlorambucil, INV= investigator-assessment, IRC= independent review com, NR= not reported, OBIN= obinutuzumab, PFS= progression-free survival, RIT= rituximab, ZANU= zanubrutinib</w:t>
      </w:r>
      <w:r w:rsidR="003B643E" w:rsidRPr="0019444B">
        <w:rPr>
          <w:rFonts w:ascii="Arial Narrow" w:hAnsi="Arial Narrow"/>
          <w:snapToGrid w:val="0"/>
          <w:sz w:val="18"/>
          <w:szCs w:val="18"/>
        </w:rPr>
        <w:t>, HR = hazard ratio</w:t>
      </w:r>
    </w:p>
    <w:p w14:paraId="39227B75" w14:textId="56AA21A2" w:rsidR="008B1584" w:rsidRPr="0019444B" w:rsidRDefault="008B1584" w:rsidP="008B1584">
      <w:pPr>
        <w:pStyle w:val="TableFigureHeading"/>
        <w:keepLines/>
        <w:widowControl w:val="0"/>
        <w:jc w:val="both"/>
        <w:rPr>
          <w:u w:val="single"/>
        </w:rPr>
      </w:pPr>
      <w:bookmarkStart w:id="63" w:name="_Ref138062646"/>
      <w:r w:rsidRPr="0019444B">
        <w:t xml:space="preserve">Table </w:t>
      </w:r>
      <w:r w:rsidR="007C4FC4" w:rsidRPr="00D13D05">
        <w:fldChar w:fldCharType="begin" w:fldLock="1"/>
      </w:r>
      <w:r w:rsidR="007C4FC4" w:rsidRPr="0019444B">
        <w:instrText xml:space="preserve"> SEQ Table \* ARABIC </w:instrText>
      </w:r>
      <w:r w:rsidR="007C4FC4" w:rsidRPr="00D13D05">
        <w:fldChar w:fldCharType="separate"/>
      </w:r>
      <w:r w:rsidRPr="00D13D05">
        <w:t>14</w:t>
      </w:r>
      <w:r w:rsidR="007C4FC4" w:rsidRPr="00D13D05">
        <w:fldChar w:fldCharType="end"/>
      </w:r>
      <w:bookmarkEnd w:id="63"/>
      <w:r w:rsidRPr="0019444B">
        <w:t xml:space="preserve">: </w:t>
      </w:r>
      <w:r w:rsidRPr="0019444B">
        <w:rPr>
          <w:rFonts w:eastAsia="Times New Roman"/>
        </w:rPr>
        <w:t xml:space="preserve">Comparison of OS in ELEVATE-TN and SEQUOIA </w:t>
      </w:r>
      <w:r w:rsidRPr="0019444B">
        <w:rPr>
          <w:rFonts w:eastAsia="Times New Roman"/>
          <w:u w:val="single"/>
        </w:rPr>
        <w:t>without</w:t>
      </w:r>
      <w:r w:rsidRPr="0019444B">
        <w:rPr>
          <w:rFonts w:eastAsia="Times New Roman"/>
        </w:rPr>
        <w:t xml:space="preserve"> 17p deletion </w:t>
      </w:r>
      <w:proofErr w:type="gramStart"/>
      <w:r w:rsidRPr="0019444B">
        <w:rPr>
          <w:rFonts w:eastAsia="Times New Roman"/>
        </w:rPr>
        <w:t>status</w:t>
      </w:r>
      <w:proofErr w:type="gramEnd"/>
    </w:p>
    <w:tbl>
      <w:tblPr>
        <w:tblStyle w:val="AZTable"/>
        <w:tblW w:w="9072" w:type="dxa"/>
        <w:tblInd w:w="-5" w:type="dxa"/>
        <w:tblLook w:val="0420" w:firstRow="1" w:lastRow="0" w:firstColumn="0" w:lastColumn="0" w:noHBand="0" w:noVBand="1"/>
      </w:tblPr>
      <w:tblGrid>
        <w:gridCol w:w="2482"/>
        <w:gridCol w:w="1541"/>
        <w:gridCol w:w="1410"/>
        <w:gridCol w:w="1270"/>
        <w:gridCol w:w="1262"/>
        <w:gridCol w:w="1107"/>
      </w:tblGrid>
      <w:tr w:rsidR="008B1584" w:rsidRPr="0019444B" w14:paraId="482D93AF" w14:textId="77777777" w:rsidTr="002B56EE">
        <w:trPr>
          <w:cnfStyle w:val="100000000000" w:firstRow="1" w:lastRow="0" w:firstColumn="0" w:lastColumn="0" w:oddVBand="0" w:evenVBand="0" w:oddHBand="0" w:evenHBand="0" w:firstRowFirstColumn="0" w:firstRowLastColumn="0" w:lastRowFirstColumn="0" w:lastRowLastColumn="0"/>
          <w:trHeight w:val="73"/>
        </w:trPr>
        <w:tc>
          <w:tcPr>
            <w:tcW w:w="2488" w:type="dxa"/>
            <w:vMerge w:val="restart"/>
          </w:tcPr>
          <w:p w14:paraId="7AE711F0" w14:textId="77777777" w:rsidR="008B1584" w:rsidRPr="0019444B" w:rsidRDefault="008B1584" w:rsidP="002B56EE">
            <w:pPr>
              <w:keepNext/>
              <w:keepLines/>
              <w:widowControl w:val="0"/>
              <w:ind w:right="-94"/>
              <w:rPr>
                <w:rFonts w:ascii="Arial Narrow" w:hAnsi="Arial Narrow"/>
                <w:b/>
                <w:bCs/>
                <w:sz w:val="20"/>
                <w:szCs w:val="20"/>
              </w:rPr>
            </w:pPr>
            <w:r w:rsidRPr="0019444B">
              <w:rPr>
                <w:rFonts w:ascii="Arial Narrow" w:hAnsi="Arial Narrow"/>
                <w:b/>
                <w:bCs/>
                <w:sz w:val="20"/>
                <w:szCs w:val="20"/>
              </w:rPr>
              <w:t>OS</w:t>
            </w:r>
          </w:p>
        </w:tc>
        <w:tc>
          <w:tcPr>
            <w:tcW w:w="4226" w:type="dxa"/>
            <w:gridSpan w:val="3"/>
          </w:tcPr>
          <w:p w14:paraId="0DA82D9C" w14:textId="77777777" w:rsidR="008B1584" w:rsidRPr="0019444B" w:rsidRDefault="008B1584" w:rsidP="002B56EE">
            <w:pPr>
              <w:keepNext/>
              <w:keepLines/>
              <w:widowControl w:val="0"/>
              <w:jc w:val="center"/>
              <w:rPr>
                <w:rFonts w:ascii="Arial Narrow" w:hAnsi="Arial Narrow"/>
                <w:b/>
                <w:bCs/>
                <w:sz w:val="20"/>
                <w:szCs w:val="20"/>
              </w:rPr>
            </w:pPr>
            <w:r w:rsidRPr="0019444B">
              <w:rPr>
                <w:rFonts w:ascii="Arial Narrow" w:hAnsi="Arial Narrow"/>
                <w:b/>
                <w:bCs/>
                <w:spacing w:val="-2"/>
                <w:sz w:val="20"/>
                <w:szCs w:val="20"/>
              </w:rPr>
              <w:t>ELEVATE-TN</w:t>
            </w:r>
          </w:p>
        </w:tc>
        <w:tc>
          <w:tcPr>
            <w:tcW w:w="2358" w:type="dxa"/>
            <w:gridSpan w:val="2"/>
          </w:tcPr>
          <w:p w14:paraId="07EA723F" w14:textId="77777777" w:rsidR="008B1584" w:rsidRPr="0019444B" w:rsidRDefault="008B1584" w:rsidP="002B56EE">
            <w:pPr>
              <w:keepNext/>
              <w:keepLines/>
              <w:widowControl w:val="0"/>
              <w:jc w:val="center"/>
              <w:rPr>
                <w:rFonts w:ascii="Arial Narrow" w:hAnsi="Arial Narrow"/>
                <w:b/>
                <w:bCs/>
                <w:sz w:val="20"/>
                <w:szCs w:val="20"/>
              </w:rPr>
            </w:pPr>
            <w:r w:rsidRPr="0019444B">
              <w:rPr>
                <w:rFonts w:ascii="Arial Narrow" w:hAnsi="Arial Narrow"/>
                <w:b/>
                <w:bCs/>
                <w:sz w:val="20"/>
                <w:szCs w:val="20"/>
              </w:rPr>
              <w:t>SEQUOIA</w:t>
            </w:r>
          </w:p>
        </w:tc>
      </w:tr>
      <w:tr w:rsidR="008B1584" w:rsidRPr="0019444B" w14:paraId="1601575C" w14:textId="77777777" w:rsidTr="002B56EE">
        <w:trPr>
          <w:trHeight w:val="64"/>
        </w:trPr>
        <w:tc>
          <w:tcPr>
            <w:tcW w:w="2488" w:type="dxa"/>
            <w:vMerge/>
          </w:tcPr>
          <w:p w14:paraId="17876E47" w14:textId="77777777" w:rsidR="008B1584" w:rsidRPr="0019444B" w:rsidRDefault="008B1584" w:rsidP="002B56EE">
            <w:pPr>
              <w:keepNext/>
              <w:keepLines/>
              <w:widowControl w:val="0"/>
              <w:ind w:right="-94"/>
              <w:rPr>
                <w:rFonts w:ascii="Arial Narrow" w:hAnsi="Arial Narrow"/>
                <w:b/>
                <w:bCs/>
                <w:sz w:val="20"/>
                <w:szCs w:val="20"/>
              </w:rPr>
            </w:pPr>
          </w:p>
        </w:tc>
        <w:tc>
          <w:tcPr>
            <w:tcW w:w="1544" w:type="dxa"/>
          </w:tcPr>
          <w:p w14:paraId="419E5B21" w14:textId="77777777" w:rsidR="008B1584" w:rsidRPr="0019444B" w:rsidRDefault="008B1584" w:rsidP="002B56EE">
            <w:pPr>
              <w:pStyle w:val="TableHeading0"/>
              <w:widowControl w:val="0"/>
              <w:spacing w:before="0" w:after="0" w:line="240" w:lineRule="auto"/>
              <w:ind w:right="-108"/>
              <w:jc w:val="both"/>
              <w:rPr>
                <w:bCs/>
                <w:sz w:val="20"/>
              </w:rPr>
            </w:pPr>
            <w:r w:rsidRPr="0019444B">
              <w:rPr>
                <w:bCs/>
              </w:rPr>
              <w:t>ACA</w:t>
            </w:r>
          </w:p>
        </w:tc>
        <w:tc>
          <w:tcPr>
            <w:tcW w:w="1411" w:type="dxa"/>
          </w:tcPr>
          <w:p w14:paraId="731AE9CF" w14:textId="77777777" w:rsidR="008B1584" w:rsidRPr="0019444B" w:rsidRDefault="008B1584" w:rsidP="002B56EE">
            <w:pPr>
              <w:pStyle w:val="TableHeading0"/>
              <w:widowControl w:val="0"/>
              <w:spacing w:before="0" w:after="0" w:line="240" w:lineRule="auto"/>
              <w:ind w:right="-108"/>
              <w:jc w:val="both"/>
              <w:rPr>
                <w:bCs/>
                <w:sz w:val="20"/>
              </w:rPr>
            </w:pPr>
            <w:r w:rsidRPr="0019444B">
              <w:rPr>
                <w:bCs/>
                <w:spacing w:val="-2"/>
              </w:rPr>
              <w:t xml:space="preserve">ACA+OBIN </w:t>
            </w:r>
          </w:p>
        </w:tc>
        <w:tc>
          <w:tcPr>
            <w:tcW w:w="1271" w:type="dxa"/>
          </w:tcPr>
          <w:p w14:paraId="6A88AED2" w14:textId="77777777" w:rsidR="008B1584" w:rsidRPr="0019444B" w:rsidRDefault="008B1584" w:rsidP="002B56EE">
            <w:pPr>
              <w:pStyle w:val="TableHeading0"/>
              <w:widowControl w:val="0"/>
              <w:spacing w:before="0" w:after="0" w:line="240" w:lineRule="auto"/>
              <w:ind w:right="-108"/>
              <w:jc w:val="both"/>
              <w:rPr>
                <w:bCs/>
                <w:spacing w:val="-2"/>
                <w:sz w:val="20"/>
              </w:rPr>
            </w:pPr>
            <w:r w:rsidRPr="0019444B">
              <w:rPr>
                <w:bCs/>
                <w:spacing w:val="-2"/>
              </w:rPr>
              <w:t>OBIN+CHL</w:t>
            </w:r>
          </w:p>
        </w:tc>
        <w:tc>
          <w:tcPr>
            <w:tcW w:w="1264" w:type="dxa"/>
          </w:tcPr>
          <w:p w14:paraId="18A79B9D" w14:textId="77777777" w:rsidR="008B1584" w:rsidRPr="0019444B" w:rsidRDefault="008B1584" w:rsidP="002B56EE">
            <w:pPr>
              <w:pStyle w:val="TableHeading0"/>
              <w:widowControl w:val="0"/>
              <w:spacing w:before="0" w:after="0" w:line="240" w:lineRule="auto"/>
              <w:ind w:right="-108"/>
              <w:jc w:val="both"/>
              <w:rPr>
                <w:bCs/>
                <w:spacing w:val="-2"/>
                <w:sz w:val="20"/>
              </w:rPr>
            </w:pPr>
            <w:r w:rsidRPr="0019444B">
              <w:rPr>
                <w:bCs/>
                <w:spacing w:val="-2"/>
              </w:rPr>
              <w:t>ZANU</w:t>
            </w:r>
          </w:p>
        </w:tc>
        <w:tc>
          <w:tcPr>
            <w:tcW w:w="1094" w:type="dxa"/>
          </w:tcPr>
          <w:p w14:paraId="71098A08" w14:textId="6CBA6CBC" w:rsidR="008B1584" w:rsidRPr="0019444B" w:rsidRDefault="008B1584" w:rsidP="002B56EE">
            <w:pPr>
              <w:pStyle w:val="TableHeading0"/>
              <w:widowControl w:val="0"/>
              <w:spacing w:before="0" w:after="0" w:line="240" w:lineRule="auto"/>
              <w:ind w:right="-108"/>
              <w:jc w:val="both"/>
              <w:rPr>
                <w:bCs/>
                <w:spacing w:val="-2"/>
                <w:sz w:val="20"/>
              </w:rPr>
            </w:pPr>
            <w:r w:rsidRPr="0019444B">
              <w:rPr>
                <w:bCs/>
                <w:spacing w:val="-2"/>
              </w:rPr>
              <w:t>BEND+RIT</w:t>
            </w:r>
          </w:p>
        </w:tc>
      </w:tr>
      <w:tr w:rsidR="008B1584" w:rsidRPr="0019444B" w14:paraId="623AD08C" w14:textId="77777777" w:rsidTr="002B56EE">
        <w:tc>
          <w:tcPr>
            <w:tcW w:w="2488" w:type="dxa"/>
          </w:tcPr>
          <w:p w14:paraId="4C81210A" w14:textId="77777777" w:rsidR="008B1584" w:rsidRPr="0019444B" w:rsidRDefault="008B1584" w:rsidP="002B56EE">
            <w:pPr>
              <w:keepNext/>
              <w:keepLines/>
              <w:widowControl w:val="0"/>
              <w:ind w:right="-94"/>
              <w:rPr>
                <w:rFonts w:ascii="Arial Narrow" w:hAnsi="Arial Narrow"/>
                <w:sz w:val="20"/>
                <w:szCs w:val="20"/>
              </w:rPr>
            </w:pPr>
            <w:r w:rsidRPr="0019444B">
              <w:rPr>
                <w:rFonts w:ascii="Arial Narrow" w:hAnsi="Arial Narrow"/>
                <w:sz w:val="20"/>
                <w:szCs w:val="20"/>
              </w:rPr>
              <w:t>N</w:t>
            </w:r>
          </w:p>
        </w:tc>
        <w:tc>
          <w:tcPr>
            <w:tcW w:w="1544" w:type="dxa"/>
          </w:tcPr>
          <w:p w14:paraId="10DD5474" w14:textId="77777777" w:rsidR="008B1584" w:rsidRPr="0019444B" w:rsidRDefault="008B1584" w:rsidP="002B56EE">
            <w:pPr>
              <w:pStyle w:val="TableHeading0"/>
              <w:widowControl w:val="0"/>
              <w:spacing w:before="0" w:after="0" w:line="240" w:lineRule="auto"/>
              <w:jc w:val="both"/>
              <w:rPr>
                <w:b w:val="0"/>
                <w:sz w:val="20"/>
              </w:rPr>
            </w:pPr>
            <w:r w:rsidRPr="0019444B">
              <w:rPr>
                <w:b w:val="0"/>
              </w:rPr>
              <w:t>179</w:t>
            </w:r>
          </w:p>
        </w:tc>
        <w:tc>
          <w:tcPr>
            <w:tcW w:w="1411" w:type="dxa"/>
          </w:tcPr>
          <w:p w14:paraId="15FD9520" w14:textId="77777777" w:rsidR="008B1584" w:rsidRPr="0019444B" w:rsidRDefault="008B1584" w:rsidP="002B56EE">
            <w:pPr>
              <w:pStyle w:val="TableHeading0"/>
              <w:widowControl w:val="0"/>
              <w:spacing w:before="0" w:after="0" w:line="240" w:lineRule="auto"/>
              <w:ind w:right="-102"/>
              <w:jc w:val="both"/>
              <w:rPr>
                <w:b w:val="0"/>
                <w:spacing w:val="-2"/>
                <w:sz w:val="20"/>
              </w:rPr>
            </w:pPr>
            <w:r w:rsidRPr="0019444B">
              <w:rPr>
                <w:b w:val="0"/>
                <w:spacing w:val="-2"/>
              </w:rPr>
              <w:t>179</w:t>
            </w:r>
          </w:p>
        </w:tc>
        <w:tc>
          <w:tcPr>
            <w:tcW w:w="1271" w:type="dxa"/>
          </w:tcPr>
          <w:p w14:paraId="3C4E9BD5" w14:textId="77777777" w:rsidR="008B1584" w:rsidRPr="0019444B" w:rsidRDefault="008B1584" w:rsidP="002B56EE">
            <w:pPr>
              <w:pStyle w:val="TableHeading0"/>
              <w:widowControl w:val="0"/>
              <w:spacing w:before="0" w:after="0" w:line="240" w:lineRule="auto"/>
              <w:ind w:right="-102"/>
              <w:jc w:val="both"/>
              <w:rPr>
                <w:b w:val="0"/>
                <w:spacing w:val="-2"/>
                <w:sz w:val="20"/>
              </w:rPr>
            </w:pPr>
            <w:r w:rsidRPr="0019444B">
              <w:rPr>
                <w:b w:val="0"/>
                <w:spacing w:val="-2"/>
              </w:rPr>
              <w:t>177</w:t>
            </w:r>
          </w:p>
        </w:tc>
        <w:tc>
          <w:tcPr>
            <w:tcW w:w="1264" w:type="dxa"/>
          </w:tcPr>
          <w:p w14:paraId="2EBCFE7D" w14:textId="77777777" w:rsidR="008B1584" w:rsidRPr="0019444B" w:rsidRDefault="008B1584" w:rsidP="002B56EE">
            <w:pPr>
              <w:pStyle w:val="TableHeading0"/>
              <w:widowControl w:val="0"/>
              <w:spacing w:before="0" w:after="0" w:line="240" w:lineRule="auto"/>
              <w:ind w:right="-113"/>
              <w:jc w:val="both"/>
              <w:rPr>
                <w:b w:val="0"/>
                <w:spacing w:val="-2"/>
                <w:sz w:val="20"/>
              </w:rPr>
            </w:pPr>
            <w:r w:rsidRPr="0019444B">
              <w:rPr>
                <w:b w:val="0"/>
                <w:spacing w:val="-2"/>
              </w:rPr>
              <w:t>241</w:t>
            </w:r>
          </w:p>
        </w:tc>
        <w:tc>
          <w:tcPr>
            <w:tcW w:w="1094" w:type="dxa"/>
          </w:tcPr>
          <w:p w14:paraId="237BDF86" w14:textId="77777777" w:rsidR="008B1584" w:rsidRPr="0019444B" w:rsidRDefault="008B1584" w:rsidP="002B56EE">
            <w:pPr>
              <w:pStyle w:val="TableHeading0"/>
              <w:widowControl w:val="0"/>
              <w:spacing w:before="0" w:after="0" w:line="240" w:lineRule="auto"/>
              <w:ind w:right="-112"/>
              <w:jc w:val="both"/>
              <w:rPr>
                <w:b w:val="0"/>
                <w:spacing w:val="-2"/>
                <w:sz w:val="20"/>
              </w:rPr>
            </w:pPr>
            <w:r w:rsidRPr="0019444B">
              <w:rPr>
                <w:b w:val="0"/>
                <w:spacing w:val="-2"/>
              </w:rPr>
              <w:t>238</w:t>
            </w:r>
          </w:p>
        </w:tc>
      </w:tr>
      <w:tr w:rsidR="008B1584" w:rsidRPr="0019444B" w14:paraId="14233C0B" w14:textId="77777777" w:rsidTr="002B56EE">
        <w:tc>
          <w:tcPr>
            <w:tcW w:w="2488" w:type="dxa"/>
          </w:tcPr>
          <w:p w14:paraId="055F85E5" w14:textId="77777777" w:rsidR="008B1584" w:rsidRPr="0019444B" w:rsidRDefault="008B1584" w:rsidP="002B56EE">
            <w:pPr>
              <w:keepNext/>
              <w:keepLines/>
              <w:widowControl w:val="0"/>
              <w:ind w:right="-94"/>
              <w:rPr>
                <w:rFonts w:ascii="Arial Narrow" w:hAnsi="Arial Narrow"/>
                <w:sz w:val="20"/>
                <w:szCs w:val="20"/>
              </w:rPr>
            </w:pPr>
            <w:r w:rsidRPr="0019444B">
              <w:rPr>
                <w:rFonts w:ascii="Arial Narrow" w:hAnsi="Arial Narrow"/>
                <w:sz w:val="20"/>
                <w:szCs w:val="20"/>
              </w:rPr>
              <w:t>Median follow-up, months</w:t>
            </w:r>
          </w:p>
        </w:tc>
        <w:tc>
          <w:tcPr>
            <w:tcW w:w="1544" w:type="dxa"/>
          </w:tcPr>
          <w:p w14:paraId="3CA05F69" w14:textId="77777777" w:rsidR="008B1584" w:rsidRPr="0019444B" w:rsidRDefault="008B1584" w:rsidP="002B56EE">
            <w:pPr>
              <w:keepNext/>
              <w:keepLines/>
              <w:widowControl w:val="0"/>
              <w:ind w:right="-108"/>
              <w:rPr>
                <w:rFonts w:ascii="Arial Narrow" w:hAnsi="Arial Narrow"/>
                <w:sz w:val="20"/>
                <w:szCs w:val="20"/>
              </w:rPr>
            </w:pPr>
            <w:r w:rsidRPr="0019444B">
              <w:rPr>
                <w:rFonts w:ascii="Arial Narrow" w:hAnsi="Arial Narrow"/>
                <w:sz w:val="20"/>
                <w:szCs w:val="20"/>
              </w:rPr>
              <w:t>28.4</w:t>
            </w:r>
          </w:p>
        </w:tc>
        <w:tc>
          <w:tcPr>
            <w:tcW w:w="1411" w:type="dxa"/>
          </w:tcPr>
          <w:p w14:paraId="6F7901FA" w14:textId="77777777" w:rsidR="008B1584" w:rsidRPr="0019444B" w:rsidRDefault="008B1584" w:rsidP="002B56EE">
            <w:pPr>
              <w:keepNext/>
              <w:keepLines/>
              <w:widowControl w:val="0"/>
              <w:ind w:right="-102"/>
              <w:rPr>
                <w:rFonts w:ascii="Arial Narrow" w:hAnsi="Arial Narrow"/>
                <w:sz w:val="20"/>
                <w:szCs w:val="20"/>
              </w:rPr>
            </w:pPr>
            <w:r w:rsidRPr="0019444B">
              <w:rPr>
                <w:rFonts w:ascii="Arial Narrow" w:hAnsi="Arial Narrow"/>
                <w:sz w:val="20"/>
                <w:szCs w:val="20"/>
              </w:rPr>
              <w:t>28.5</w:t>
            </w:r>
          </w:p>
        </w:tc>
        <w:tc>
          <w:tcPr>
            <w:tcW w:w="1271" w:type="dxa"/>
          </w:tcPr>
          <w:p w14:paraId="104DD4ED" w14:textId="77777777" w:rsidR="008B1584" w:rsidRPr="0019444B" w:rsidRDefault="008B1584" w:rsidP="002B56EE">
            <w:pPr>
              <w:keepNext/>
              <w:keepLines/>
              <w:widowControl w:val="0"/>
              <w:ind w:right="-102"/>
              <w:rPr>
                <w:rFonts w:ascii="Arial Narrow" w:hAnsi="Arial Narrow"/>
                <w:sz w:val="20"/>
                <w:szCs w:val="20"/>
              </w:rPr>
            </w:pPr>
            <w:r w:rsidRPr="0019444B">
              <w:rPr>
                <w:rFonts w:ascii="Arial Narrow" w:hAnsi="Arial Narrow"/>
                <w:sz w:val="20"/>
                <w:szCs w:val="20"/>
              </w:rPr>
              <w:t>28.0</w:t>
            </w:r>
          </w:p>
        </w:tc>
        <w:tc>
          <w:tcPr>
            <w:tcW w:w="1264" w:type="dxa"/>
          </w:tcPr>
          <w:p w14:paraId="14EE3A61" w14:textId="77777777" w:rsidR="008B1584" w:rsidRPr="0019444B" w:rsidRDefault="008B1584" w:rsidP="002B56EE">
            <w:pPr>
              <w:keepNext/>
              <w:keepLines/>
              <w:widowControl w:val="0"/>
              <w:ind w:right="-113"/>
              <w:rPr>
                <w:rFonts w:ascii="Arial Narrow" w:hAnsi="Arial Narrow"/>
                <w:sz w:val="20"/>
                <w:szCs w:val="20"/>
              </w:rPr>
            </w:pPr>
            <w:r w:rsidRPr="0019444B">
              <w:rPr>
                <w:rFonts w:ascii="Arial Narrow" w:hAnsi="Arial Narrow"/>
                <w:sz w:val="20"/>
                <w:szCs w:val="20"/>
              </w:rPr>
              <w:t>26.2</w:t>
            </w:r>
          </w:p>
        </w:tc>
        <w:tc>
          <w:tcPr>
            <w:tcW w:w="1094" w:type="dxa"/>
          </w:tcPr>
          <w:p w14:paraId="12424A26" w14:textId="77777777" w:rsidR="008B1584" w:rsidRPr="0019444B" w:rsidRDefault="008B1584" w:rsidP="002B56EE">
            <w:pPr>
              <w:keepNext/>
              <w:keepLines/>
              <w:widowControl w:val="0"/>
              <w:ind w:right="-112"/>
              <w:rPr>
                <w:rFonts w:ascii="Arial Narrow" w:hAnsi="Arial Narrow"/>
                <w:sz w:val="20"/>
                <w:szCs w:val="20"/>
              </w:rPr>
            </w:pPr>
            <w:r w:rsidRPr="0019444B">
              <w:rPr>
                <w:rFonts w:ascii="Arial Narrow" w:hAnsi="Arial Narrow"/>
                <w:sz w:val="20"/>
                <w:szCs w:val="20"/>
              </w:rPr>
              <w:t>26.2</w:t>
            </w:r>
          </w:p>
        </w:tc>
      </w:tr>
      <w:tr w:rsidR="008B1584" w:rsidRPr="0019444B" w14:paraId="02EB55BE" w14:textId="77777777" w:rsidTr="002B56EE">
        <w:tc>
          <w:tcPr>
            <w:tcW w:w="2488" w:type="dxa"/>
            <w:vAlign w:val="center"/>
          </w:tcPr>
          <w:p w14:paraId="26C33A3B" w14:textId="77777777" w:rsidR="008B1584" w:rsidRPr="0019444B" w:rsidRDefault="008B1584" w:rsidP="002B56EE">
            <w:pPr>
              <w:keepNext/>
              <w:keepLines/>
              <w:widowControl w:val="0"/>
              <w:ind w:right="-94"/>
              <w:rPr>
                <w:rFonts w:ascii="Arial Narrow" w:hAnsi="Arial Narrow"/>
                <w:sz w:val="20"/>
                <w:szCs w:val="20"/>
              </w:rPr>
            </w:pPr>
            <w:r w:rsidRPr="0019444B">
              <w:rPr>
                <w:rFonts w:ascii="Arial Narrow" w:hAnsi="Arial Narrow"/>
                <w:sz w:val="20"/>
                <w:szCs w:val="20"/>
              </w:rPr>
              <w:t>Patients who have died, n (%)</w:t>
            </w:r>
          </w:p>
        </w:tc>
        <w:tc>
          <w:tcPr>
            <w:tcW w:w="1544" w:type="dxa"/>
            <w:tcBorders>
              <w:top w:val="single" w:sz="4" w:space="0" w:color="000000"/>
              <w:left w:val="single" w:sz="4" w:space="0" w:color="000000"/>
              <w:bottom w:val="single" w:sz="4" w:space="0" w:color="000000"/>
              <w:right w:val="single" w:sz="4" w:space="0" w:color="000000"/>
            </w:tcBorders>
          </w:tcPr>
          <w:p w14:paraId="2A9DA0CF" w14:textId="77777777" w:rsidR="008B1584" w:rsidRPr="0019444B" w:rsidRDefault="008B1584" w:rsidP="002B56EE">
            <w:pPr>
              <w:keepNext/>
              <w:keepLines/>
              <w:widowControl w:val="0"/>
              <w:ind w:right="-108"/>
              <w:rPr>
                <w:rFonts w:ascii="Arial Narrow" w:hAnsi="Arial Narrow"/>
                <w:sz w:val="20"/>
                <w:szCs w:val="20"/>
              </w:rPr>
            </w:pPr>
            <w:r w:rsidRPr="0019444B">
              <w:rPr>
                <w:rFonts w:ascii="Arial Narrow" w:hAnsi="Arial Narrow"/>
                <w:sz w:val="20"/>
                <w:szCs w:val="20"/>
              </w:rPr>
              <w:t>11 (6.1)</w:t>
            </w:r>
          </w:p>
        </w:tc>
        <w:tc>
          <w:tcPr>
            <w:tcW w:w="1411" w:type="dxa"/>
            <w:tcBorders>
              <w:top w:val="single" w:sz="4" w:space="0" w:color="000000"/>
              <w:left w:val="single" w:sz="4" w:space="0" w:color="000000"/>
              <w:bottom w:val="single" w:sz="4" w:space="0" w:color="000000"/>
              <w:right w:val="single" w:sz="4" w:space="0" w:color="000000"/>
            </w:tcBorders>
          </w:tcPr>
          <w:p w14:paraId="7C2EE197" w14:textId="77777777" w:rsidR="008B1584" w:rsidRPr="0019444B" w:rsidRDefault="008B1584" w:rsidP="002B56EE">
            <w:pPr>
              <w:keepNext/>
              <w:keepLines/>
              <w:widowControl w:val="0"/>
              <w:ind w:right="-102"/>
              <w:rPr>
                <w:rFonts w:ascii="Arial Narrow" w:hAnsi="Arial Narrow"/>
                <w:sz w:val="20"/>
                <w:szCs w:val="20"/>
              </w:rPr>
            </w:pPr>
            <w:r w:rsidRPr="0019444B">
              <w:rPr>
                <w:rFonts w:ascii="Arial Narrow" w:hAnsi="Arial Narrow"/>
                <w:sz w:val="20"/>
                <w:szCs w:val="20"/>
              </w:rPr>
              <w:t>9 (5.0)</w:t>
            </w:r>
          </w:p>
        </w:tc>
        <w:tc>
          <w:tcPr>
            <w:tcW w:w="1271" w:type="dxa"/>
            <w:tcBorders>
              <w:top w:val="single" w:sz="4" w:space="0" w:color="000000"/>
              <w:left w:val="single" w:sz="4" w:space="0" w:color="000000"/>
              <w:bottom w:val="single" w:sz="4" w:space="0" w:color="000000"/>
            </w:tcBorders>
          </w:tcPr>
          <w:p w14:paraId="2D914722" w14:textId="77777777" w:rsidR="008B1584" w:rsidRPr="0019444B" w:rsidRDefault="008B1584" w:rsidP="002B56EE">
            <w:pPr>
              <w:keepNext/>
              <w:keepLines/>
              <w:widowControl w:val="0"/>
              <w:ind w:right="-102"/>
              <w:rPr>
                <w:rFonts w:ascii="Arial Narrow" w:hAnsi="Arial Narrow"/>
                <w:sz w:val="20"/>
                <w:szCs w:val="20"/>
              </w:rPr>
            </w:pPr>
            <w:r w:rsidRPr="0019444B">
              <w:rPr>
                <w:rFonts w:ascii="Arial Narrow" w:hAnsi="Arial Narrow"/>
                <w:sz w:val="20"/>
                <w:szCs w:val="20"/>
              </w:rPr>
              <w:t>17 (9.6)</w:t>
            </w:r>
          </w:p>
        </w:tc>
        <w:tc>
          <w:tcPr>
            <w:tcW w:w="1264" w:type="dxa"/>
            <w:tcBorders>
              <w:top w:val="single" w:sz="4" w:space="0" w:color="000000"/>
              <w:left w:val="single" w:sz="4" w:space="0" w:color="000000"/>
              <w:bottom w:val="single" w:sz="4" w:space="0" w:color="000000"/>
            </w:tcBorders>
          </w:tcPr>
          <w:p w14:paraId="39629EC5" w14:textId="77777777" w:rsidR="008B1584" w:rsidRPr="0019444B" w:rsidRDefault="008B1584" w:rsidP="002B56EE">
            <w:pPr>
              <w:keepNext/>
              <w:keepLines/>
              <w:widowControl w:val="0"/>
              <w:ind w:right="-113"/>
              <w:rPr>
                <w:rFonts w:ascii="Arial Narrow" w:hAnsi="Arial Narrow"/>
                <w:sz w:val="20"/>
                <w:szCs w:val="20"/>
              </w:rPr>
            </w:pPr>
            <w:r w:rsidRPr="0019444B">
              <w:rPr>
                <w:rFonts w:ascii="Arial Narrow" w:hAnsi="Arial Narrow"/>
                <w:sz w:val="20"/>
                <w:szCs w:val="20"/>
              </w:rPr>
              <w:t>16 (6.7)</w:t>
            </w:r>
          </w:p>
        </w:tc>
        <w:tc>
          <w:tcPr>
            <w:tcW w:w="1094" w:type="dxa"/>
            <w:tcBorders>
              <w:top w:val="single" w:sz="4" w:space="0" w:color="000000"/>
              <w:left w:val="single" w:sz="4" w:space="0" w:color="000000"/>
              <w:bottom w:val="single" w:sz="4" w:space="0" w:color="000000"/>
              <w:right w:val="single" w:sz="4" w:space="0" w:color="000000"/>
            </w:tcBorders>
          </w:tcPr>
          <w:p w14:paraId="1771C6FB" w14:textId="77777777" w:rsidR="008B1584" w:rsidRPr="0019444B" w:rsidRDefault="008B1584" w:rsidP="002B56EE">
            <w:pPr>
              <w:keepNext/>
              <w:keepLines/>
              <w:widowControl w:val="0"/>
              <w:ind w:right="-112"/>
              <w:rPr>
                <w:rFonts w:ascii="Arial Narrow" w:hAnsi="Arial Narrow"/>
                <w:sz w:val="20"/>
                <w:szCs w:val="20"/>
              </w:rPr>
            </w:pPr>
            <w:r w:rsidRPr="0019444B">
              <w:rPr>
                <w:rFonts w:ascii="Arial Narrow" w:hAnsi="Arial Narrow"/>
                <w:sz w:val="20"/>
                <w:szCs w:val="20"/>
              </w:rPr>
              <w:t>14 (6.2)</w:t>
            </w:r>
          </w:p>
        </w:tc>
      </w:tr>
      <w:tr w:rsidR="008B1584" w:rsidRPr="0019444B" w14:paraId="56D0CADE" w14:textId="77777777" w:rsidTr="002B56EE">
        <w:tc>
          <w:tcPr>
            <w:tcW w:w="2488" w:type="dxa"/>
            <w:vAlign w:val="center"/>
          </w:tcPr>
          <w:p w14:paraId="1945033D" w14:textId="77777777" w:rsidR="008B1584" w:rsidRPr="0019444B" w:rsidRDefault="008B1584" w:rsidP="002B56EE">
            <w:pPr>
              <w:keepNext/>
              <w:keepLines/>
              <w:widowControl w:val="0"/>
              <w:ind w:right="-94"/>
              <w:rPr>
                <w:rFonts w:ascii="Arial Narrow" w:hAnsi="Arial Narrow"/>
                <w:sz w:val="20"/>
                <w:szCs w:val="20"/>
              </w:rPr>
            </w:pPr>
            <w:r w:rsidRPr="0019444B">
              <w:rPr>
                <w:rFonts w:ascii="Arial Narrow" w:hAnsi="Arial Narrow"/>
                <w:sz w:val="20"/>
                <w:szCs w:val="20"/>
              </w:rPr>
              <w:t>Median OS, months (95% CI)</w:t>
            </w:r>
          </w:p>
        </w:tc>
        <w:tc>
          <w:tcPr>
            <w:tcW w:w="1544" w:type="dxa"/>
            <w:vAlign w:val="center"/>
          </w:tcPr>
          <w:p w14:paraId="0799EAE5" w14:textId="77777777" w:rsidR="008B1584" w:rsidRPr="0019444B" w:rsidRDefault="008B1584" w:rsidP="002B56EE">
            <w:pPr>
              <w:keepNext/>
              <w:keepLines/>
              <w:widowControl w:val="0"/>
              <w:ind w:right="-108"/>
              <w:rPr>
                <w:rFonts w:ascii="Arial Narrow" w:hAnsi="Arial Narrow"/>
                <w:sz w:val="20"/>
                <w:szCs w:val="20"/>
              </w:rPr>
            </w:pPr>
            <w:r w:rsidRPr="0019444B">
              <w:rPr>
                <w:rFonts w:ascii="Arial Narrow" w:hAnsi="Arial Narrow"/>
                <w:snapToGrid w:val="0"/>
                <w:sz w:val="20"/>
                <w:szCs w:val="20"/>
              </w:rPr>
              <w:t>NtR</w:t>
            </w:r>
          </w:p>
        </w:tc>
        <w:tc>
          <w:tcPr>
            <w:tcW w:w="1411" w:type="dxa"/>
            <w:vAlign w:val="center"/>
          </w:tcPr>
          <w:p w14:paraId="36D5125B" w14:textId="77777777" w:rsidR="008B1584" w:rsidRPr="0019444B" w:rsidRDefault="008B1584" w:rsidP="002B56EE">
            <w:pPr>
              <w:keepNext/>
              <w:keepLines/>
              <w:widowControl w:val="0"/>
              <w:ind w:right="-102"/>
              <w:rPr>
                <w:rFonts w:ascii="Arial Narrow" w:hAnsi="Arial Narrow"/>
                <w:sz w:val="20"/>
                <w:szCs w:val="20"/>
              </w:rPr>
            </w:pPr>
            <w:r w:rsidRPr="0019444B">
              <w:rPr>
                <w:rFonts w:ascii="Arial Narrow" w:hAnsi="Arial Narrow"/>
                <w:snapToGrid w:val="0"/>
                <w:sz w:val="20"/>
                <w:szCs w:val="20"/>
              </w:rPr>
              <w:t>NtR</w:t>
            </w:r>
          </w:p>
        </w:tc>
        <w:tc>
          <w:tcPr>
            <w:tcW w:w="1271" w:type="dxa"/>
            <w:vAlign w:val="center"/>
          </w:tcPr>
          <w:p w14:paraId="272E0B9F" w14:textId="77777777" w:rsidR="008B1584" w:rsidRPr="0019444B" w:rsidRDefault="008B1584" w:rsidP="002B56EE">
            <w:pPr>
              <w:keepNext/>
              <w:keepLines/>
              <w:widowControl w:val="0"/>
              <w:ind w:right="-102"/>
              <w:rPr>
                <w:rFonts w:ascii="Arial Narrow" w:hAnsi="Arial Narrow"/>
                <w:sz w:val="20"/>
                <w:szCs w:val="20"/>
              </w:rPr>
            </w:pPr>
            <w:r w:rsidRPr="0019444B">
              <w:rPr>
                <w:rFonts w:ascii="Arial Narrow" w:hAnsi="Arial Narrow"/>
                <w:snapToGrid w:val="0"/>
                <w:sz w:val="20"/>
                <w:szCs w:val="20"/>
              </w:rPr>
              <w:t>NtR</w:t>
            </w:r>
          </w:p>
        </w:tc>
        <w:tc>
          <w:tcPr>
            <w:tcW w:w="1264" w:type="dxa"/>
            <w:vAlign w:val="center"/>
          </w:tcPr>
          <w:p w14:paraId="2C808F15" w14:textId="77777777" w:rsidR="008B1584" w:rsidRPr="0019444B" w:rsidRDefault="008B1584" w:rsidP="002B56EE">
            <w:pPr>
              <w:keepNext/>
              <w:keepLines/>
              <w:widowControl w:val="0"/>
              <w:ind w:right="-113"/>
              <w:rPr>
                <w:rFonts w:ascii="Arial Narrow" w:hAnsi="Arial Narrow"/>
                <w:sz w:val="20"/>
                <w:szCs w:val="20"/>
              </w:rPr>
            </w:pPr>
            <w:r w:rsidRPr="0019444B">
              <w:rPr>
                <w:rFonts w:ascii="Arial Narrow" w:hAnsi="Arial Narrow"/>
                <w:snapToGrid w:val="0"/>
                <w:sz w:val="20"/>
                <w:szCs w:val="20"/>
              </w:rPr>
              <w:t>NtR</w:t>
            </w:r>
          </w:p>
        </w:tc>
        <w:tc>
          <w:tcPr>
            <w:tcW w:w="1094" w:type="dxa"/>
            <w:vAlign w:val="center"/>
          </w:tcPr>
          <w:p w14:paraId="5AFDD492" w14:textId="77777777" w:rsidR="008B1584" w:rsidRPr="0019444B" w:rsidRDefault="008B1584" w:rsidP="002B56EE">
            <w:pPr>
              <w:keepNext/>
              <w:keepLines/>
              <w:widowControl w:val="0"/>
              <w:ind w:right="-112"/>
              <w:rPr>
                <w:rFonts w:ascii="Arial Narrow" w:hAnsi="Arial Narrow"/>
                <w:sz w:val="20"/>
                <w:szCs w:val="20"/>
              </w:rPr>
            </w:pPr>
            <w:r w:rsidRPr="0019444B">
              <w:rPr>
                <w:rFonts w:ascii="Arial Narrow" w:hAnsi="Arial Narrow"/>
                <w:snapToGrid w:val="0"/>
                <w:sz w:val="20"/>
                <w:szCs w:val="20"/>
              </w:rPr>
              <w:t>NtR</w:t>
            </w:r>
          </w:p>
        </w:tc>
      </w:tr>
      <w:tr w:rsidR="008B1584" w:rsidRPr="0019444B" w14:paraId="135429B1" w14:textId="77777777" w:rsidTr="002B56EE">
        <w:tc>
          <w:tcPr>
            <w:tcW w:w="2488" w:type="dxa"/>
            <w:vAlign w:val="center"/>
          </w:tcPr>
          <w:p w14:paraId="23037AB8" w14:textId="77777777" w:rsidR="008B1584" w:rsidRPr="0019444B" w:rsidRDefault="008B1584" w:rsidP="002B56EE">
            <w:pPr>
              <w:keepNext/>
              <w:keepLines/>
              <w:widowControl w:val="0"/>
              <w:ind w:right="-94"/>
              <w:rPr>
                <w:rFonts w:ascii="Arial Narrow" w:hAnsi="Arial Narrow"/>
                <w:sz w:val="20"/>
                <w:szCs w:val="20"/>
              </w:rPr>
            </w:pPr>
            <w:r w:rsidRPr="0019444B">
              <w:rPr>
                <w:rFonts w:ascii="Arial Narrow" w:hAnsi="Arial Narrow"/>
                <w:sz w:val="20"/>
                <w:szCs w:val="20"/>
              </w:rPr>
              <w:t xml:space="preserve">HR </w:t>
            </w:r>
          </w:p>
          <w:p w14:paraId="5787B70A" w14:textId="77777777" w:rsidR="008B1584" w:rsidRPr="0019444B" w:rsidRDefault="008B1584" w:rsidP="002B56EE">
            <w:pPr>
              <w:keepNext/>
              <w:keepLines/>
              <w:widowControl w:val="0"/>
              <w:ind w:right="-94"/>
              <w:rPr>
                <w:rFonts w:ascii="Arial Narrow" w:hAnsi="Arial Narrow"/>
                <w:sz w:val="20"/>
                <w:szCs w:val="20"/>
              </w:rPr>
            </w:pPr>
            <w:r w:rsidRPr="0019444B">
              <w:rPr>
                <w:rFonts w:ascii="Arial Narrow" w:hAnsi="Arial Narrow"/>
                <w:sz w:val="20"/>
                <w:szCs w:val="20"/>
              </w:rPr>
              <w:t xml:space="preserve">(95% CI) </w:t>
            </w:r>
          </w:p>
          <w:p w14:paraId="0C85DE71" w14:textId="77777777" w:rsidR="008B1584" w:rsidRPr="0019444B" w:rsidRDefault="008B1584" w:rsidP="002B56EE">
            <w:pPr>
              <w:keepNext/>
              <w:keepLines/>
              <w:widowControl w:val="0"/>
              <w:ind w:right="-94"/>
              <w:rPr>
                <w:rFonts w:ascii="Arial Narrow" w:hAnsi="Arial Narrow"/>
                <w:sz w:val="20"/>
                <w:szCs w:val="20"/>
              </w:rPr>
            </w:pPr>
            <w:r w:rsidRPr="0019444B">
              <w:rPr>
                <w:rFonts w:ascii="Arial Narrow" w:hAnsi="Arial Narrow"/>
                <w:sz w:val="20"/>
                <w:szCs w:val="20"/>
              </w:rPr>
              <w:t>p-value (log-rank test)</w:t>
            </w:r>
          </w:p>
        </w:tc>
        <w:tc>
          <w:tcPr>
            <w:tcW w:w="1544" w:type="dxa"/>
          </w:tcPr>
          <w:p w14:paraId="06B3466F" w14:textId="77777777" w:rsidR="008B1584" w:rsidRPr="0019444B" w:rsidRDefault="008B1584" w:rsidP="002B56EE">
            <w:pPr>
              <w:pStyle w:val="TableText0"/>
              <w:keepLines/>
              <w:widowControl w:val="0"/>
              <w:jc w:val="both"/>
              <w:rPr>
                <w:sz w:val="20"/>
                <w:szCs w:val="20"/>
              </w:rPr>
            </w:pPr>
            <w:r w:rsidRPr="0019444B">
              <w:rPr>
                <w:szCs w:val="20"/>
              </w:rPr>
              <w:t xml:space="preserve">0.60 </w:t>
            </w:r>
          </w:p>
          <w:p w14:paraId="26A1B856" w14:textId="77777777" w:rsidR="008B1584" w:rsidRPr="0019444B" w:rsidRDefault="008B1584" w:rsidP="002B56EE">
            <w:pPr>
              <w:pStyle w:val="TableText0"/>
              <w:keepLines/>
              <w:widowControl w:val="0"/>
              <w:jc w:val="both"/>
              <w:rPr>
                <w:sz w:val="20"/>
                <w:szCs w:val="20"/>
              </w:rPr>
            </w:pPr>
            <w:r w:rsidRPr="0019444B">
              <w:rPr>
                <w:szCs w:val="20"/>
              </w:rPr>
              <w:t>(0.28, 1.27)</w:t>
            </w:r>
          </w:p>
          <w:p w14:paraId="252994EF" w14:textId="77777777" w:rsidR="008B1584" w:rsidRPr="0019444B" w:rsidRDefault="008B1584" w:rsidP="002B56EE">
            <w:pPr>
              <w:keepNext/>
              <w:keepLines/>
              <w:widowControl w:val="0"/>
              <w:ind w:right="-108"/>
              <w:rPr>
                <w:rFonts w:ascii="Arial Narrow" w:hAnsi="Arial Narrow"/>
                <w:sz w:val="20"/>
                <w:szCs w:val="20"/>
              </w:rPr>
            </w:pPr>
            <w:r w:rsidRPr="0019444B">
              <w:rPr>
                <w:rFonts w:ascii="Arial Narrow" w:hAnsi="Arial Narrow"/>
                <w:sz w:val="20"/>
                <w:szCs w:val="20"/>
              </w:rPr>
              <w:t>0.1556</w:t>
            </w:r>
          </w:p>
        </w:tc>
        <w:tc>
          <w:tcPr>
            <w:tcW w:w="1411" w:type="dxa"/>
          </w:tcPr>
          <w:p w14:paraId="4743588F" w14:textId="77777777" w:rsidR="008B1584" w:rsidRPr="0019444B" w:rsidRDefault="008B1584" w:rsidP="002B56EE">
            <w:pPr>
              <w:pStyle w:val="TableText0"/>
              <w:keepLines/>
              <w:widowControl w:val="0"/>
              <w:ind w:right="-102"/>
              <w:jc w:val="both"/>
              <w:rPr>
                <w:sz w:val="20"/>
                <w:szCs w:val="20"/>
              </w:rPr>
            </w:pPr>
            <w:r w:rsidRPr="0019444B">
              <w:rPr>
                <w:szCs w:val="20"/>
              </w:rPr>
              <w:t xml:space="preserve">0.47 </w:t>
            </w:r>
          </w:p>
          <w:p w14:paraId="7DA94794" w14:textId="77777777" w:rsidR="008B1584" w:rsidRPr="0019444B" w:rsidRDefault="008B1584" w:rsidP="002B56EE">
            <w:pPr>
              <w:pStyle w:val="TableText0"/>
              <w:keepLines/>
              <w:widowControl w:val="0"/>
              <w:ind w:right="-102"/>
              <w:jc w:val="both"/>
              <w:rPr>
                <w:sz w:val="20"/>
                <w:szCs w:val="20"/>
              </w:rPr>
            </w:pPr>
            <w:r w:rsidRPr="0019444B">
              <w:rPr>
                <w:szCs w:val="20"/>
              </w:rPr>
              <w:t>(0.21, 1.06)</w:t>
            </w:r>
          </w:p>
          <w:p w14:paraId="622BEC9A" w14:textId="77777777" w:rsidR="008B1584" w:rsidRPr="0019444B" w:rsidRDefault="008B1584" w:rsidP="002B56EE">
            <w:pPr>
              <w:keepNext/>
              <w:keepLines/>
              <w:widowControl w:val="0"/>
              <w:ind w:right="-102"/>
              <w:rPr>
                <w:rFonts w:ascii="Arial Narrow" w:hAnsi="Arial Narrow"/>
                <w:sz w:val="20"/>
                <w:szCs w:val="20"/>
              </w:rPr>
            </w:pPr>
            <w:r w:rsidRPr="0019444B">
              <w:rPr>
                <w:rFonts w:ascii="Arial Narrow" w:hAnsi="Arial Narrow"/>
                <w:sz w:val="20"/>
                <w:szCs w:val="20"/>
              </w:rPr>
              <w:t>0.0577</w:t>
            </w:r>
          </w:p>
        </w:tc>
        <w:tc>
          <w:tcPr>
            <w:tcW w:w="1271" w:type="dxa"/>
          </w:tcPr>
          <w:p w14:paraId="4A20C941" w14:textId="77777777" w:rsidR="008B1584" w:rsidRPr="0019444B" w:rsidRDefault="008B1584" w:rsidP="002B56EE">
            <w:pPr>
              <w:keepNext/>
              <w:keepLines/>
              <w:widowControl w:val="0"/>
              <w:ind w:right="-102"/>
              <w:rPr>
                <w:rFonts w:ascii="Arial Narrow" w:hAnsi="Arial Narrow"/>
                <w:sz w:val="20"/>
                <w:szCs w:val="20"/>
              </w:rPr>
            </w:pPr>
            <w:r w:rsidRPr="0019444B">
              <w:rPr>
                <w:rFonts w:ascii="Arial Narrow" w:hAnsi="Arial Narrow"/>
                <w:sz w:val="20"/>
                <w:szCs w:val="20"/>
              </w:rPr>
              <w:t>NR</w:t>
            </w:r>
          </w:p>
        </w:tc>
        <w:tc>
          <w:tcPr>
            <w:tcW w:w="1264" w:type="dxa"/>
          </w:tcPr>
          <w:p w14:paraId="66D59F5F" w14:textId="77777777" w:rsidR="008B1584" w:rsidRPr="0019444B" w:rsidRDefault="008B1584" w:rsidP="002B56EE">
            <w:pPr>
              <w:keepNext/>
              <w:keepLines/>
              <w:widowControl w:val="0"/>
              <w:ind w:right="-113"/>
              <w:rPr>
                <w:rFonts w:ascii="Arial Narrow" w:hAnsi="Arial Narrow"/>
                <w:sz w:val="20"/>
                <w:szCs w:val="20"/>
              </w:rPr>
            </w:pPr>
            <w:r w:rsidRPr="0019444B">
              <w:rPr>
                <w:rFonts w:ascii="Arial Narrow" w:hAnsi="Arial Narrow"/>
                <w:sz w:val="20"/>
                <w:szCs w:val="20"/>
              </w:rPr>
              <w:t>NR</w:t>
            </w:r>
          </w:p>
        </w:tc>
        <w:tc>
          <w:tcPr>
            <w:tcW w:w="1094" w:type="dxa"/>
          </w:tcPr>
          <w:p w14:paraId="2C4FFAC5" w14:textId="77777777" w:rsidR="008B1584" w:rsidRPr="0019444B" w:rsidRDefault="008B1584" w:rsidP="002B56EE">
            <w:pPr>
              <w:keepNext/>
              <w:keepLines/>
              <w:widowControl w:val="0"/>
              <w:ind w:right="-112"/>
              <w:rPr>
                <w:rFonts w:ascii="Arial Narrow" w:hAnsi="Arial Narrow"/>
                <w:sz w:val="20"/>
                <w:szCs w:val="20"/>
              </w:rPr>
            </w:pPr>
            <w:r w:rsidRPr="0019444B">
              <w:rPr>
                <w:rFonts w:ascii="Arial Narrow" w:hAnsi="Arial Narrow"/>
                <w:sz w:val="20"/>
                <w:szCs w:val="20"/>
              </w:rPr>
              <w:t>NR</w:t>
            </w:r>
          </w:p>
        </w:tc>
      </w:tr>
      <w:tr w:rsidR="008B1584" w:rsidRPr="0019444B" w14:paraId="27DA1F9B" w14:textId="77777777" w:rsidTr="002B56EE">
        <w:tc>
          <w:tcPr>
            <w:tcW w:w="2488" w:type="dxa"/>
            <w:vAlign w:val="center"/>
          </w:tcPr>
          <w:p w14:paraId="1ED021C7" w14:textId="77777777" w:rsidR="008B1584" w:rsidRPr="0019444B" w:rsidRDefault="008B1584" w:rsidP="002B56EE">
            <w:pPr>
              <w:keepNext/>
              <w:keepLines/>
              <w:widowControl w:val="0"/>
              <w:ind w:right="-94"/>
              <w:rPr>
                <w:rFonts w:ascii="Arial Narrow" w:hAnsi="Arial Narrow"/>
                <w:sz w:val="20"/>
                <w:szCs w:val="20"/>
              </w:rPr>
            </w:pPr>
            <w:r w:rsidRPr="0019444B">
              <w:rPr>
                <w:rFonts w:ascii="Arial Narrow" w:hAnsi="Arial Narrow"/>
                <w:sz w:val="20"/>
                <w:szCs w:val="20"/>
              </w:rPr>
              <w:t xml:space="preserve">24-month OS rate, % </w:t>
            </w:r>
          </w:p>
          <w:p w14:paraId="31AC84CB" w14:textId="77777777" w:rsidR="008B1584" w:rsidRPr="0019444B" w:rsidRDefault="008B1584" w:rsidP="002B56EE">
            <w:pPr>
              <w:keepNext/>
              <w:keepLines/>
              <w:widowControl w:val="0"/>
              <w:ind w:right="-94"/>
              <w:rPr>
                <w:rFonts w:ascii="Arial Narrow" w:hAnsi="Arial Narrow"/>
                <w:sz w:val="20"/>
                <w:szCs w:val="20"/>
              </w:rPr>
            </w:pPr>
            <w:r w:rsidRPr="0019444B">
              <w:rPr>
                <w:rFonts w:ascii="Arial Narrow" w:hAnsi="Arial Narrow"/>
                <w:sz w:val="20"/>
                <w:szCs w:val="20"/>
              </w:rPr>
              <w:t xml:space="preserve">(95% CI) </w:t>
            </w:r>
          </w:p>
        </w:tc>
        <w:tc>
          <w:tcPr>
            <w:tcW w:w="1544" w:type="dxa"/>
          </w:tcPr>
          <w:p w14:paraId="426F2DBF" w14:textId="77777777" w:rsidR="008B1584" w:rsidRPr="0019444B" w:rsidRDefault="008B1584" w:rsidP="002B56EE">
            <w:pPr>
              <w:pStyle w:val="TableText0"/>
              <w:keepLines/>
              <w:widowControl w:val="0"/>
              <w:jc w:val="both"/>
              <w:rPr>
                <w:sz w:val="20"/>
                <w:szCs w:val="20"/>
              </w:rPr>
            </w:pPr>
            <w:r w:rsidRPr="0019444B">
              <w:rPr>
                <w:szCs w:val="20"/>
              </w:rPr>
              <w:t xml:space="preserve">94.7 </w:t>
            </w:r>
          </w:p>
          <w:p w14:paraId="3E3AD599" w14:textId="77777777" w:rsidR="008B1584" w:rsidRPr="0019444B" w:rsidRDefault="008B1584" w:rsidP="002B56EE">
            <w:pPr>
              <w:pStyle w:val="TableText0"/>
              <w:keepLines/>
              <w:widowControl w:val="0"/>
              <w:jc w:val="both"/>
              <w:rPr>
                <w:bCs w:val="0"/>
                <w:sz w:val="20"/>
                <w:szCs w:val="20"/>
              </w:rPr>
            </w:pPr>
            <w:r w:rsidRPr="0019444B">
              <w:rPr>
                <w:szCs w:val="20"/>
              </w:rPr>
              <w:t>(90.2, 97.2)</w:t>
            </w:r>
          </w:p>
        </w:tc>
        <w:tc>
          <w:tcPr>
            <w:tcW w:w="1411" w:type="dxa"/>
          </w:tcPr>
          <w:p w14:paraId="722126EB" w14:textId="77777777" w:rsidR="008B1584" w:rsidRPr="0019444B" w:rsidRDefault="008B1584" w:rsidP="002B56EE">
            <w:pPr>
              <w:pStyle w:val="TableText0"/>
              <w:keepLines/>
              <w:widowControl w:val="0"/>
              <w:ind w:right="-102"/>
              <w:jc w:val="both"/>
              <w:rPr>
                <w:sz w:val="20"/>
                <w:szCs w:val="20"/>
              </w:rPr>
            </w:pPr>
            <w:r w:rsidRPr="0019444B">
              <w:rPr>
                <w:szCs w:val="20"/>
              </w:rPr>
              <w:t xml:space="preserve">94.9 </w:t>
            </w:r>
          </w:p>
          <w:p w14:paraId="7CDF0B7D" w14:textId="77777777" w:rsidR="008B1584" w:rsidRPr="0019444B" w:rsidRDefault="008B1584" w:rsidP="002B56EE">
            <w:pPr>
              <w:pStyle w:val="TableText0"/>
              <w:keepLines/>
              <w:widowControl w:val="0"/>
              <w:ind w:right="-102"/>
              <w:jc w:val="both"/>
              <w:rPr>
                <w:bCs w:val="0"/>
                <w:sz w:val="20"/>
                <w:szCs w:val="20"/>
              </w:rPr>
            </w:pPr>
            <w:r w:rsidRPr="0019444B">
              <w:rPr>
                <w:szCs w:val="20"/>
              </w:rPr>
              <w:t>(90.5, 97.3)</w:t>
            </w:r>
          </w:p>
        </w:tc>
        <w:tc>
          <w:tcPr>
            <w:tcW w:w="1271" w:type="dxa"/>
          </w:tcPr>
          <w:p w14:paraId="13C8C003" w14:textId="77777777" w:rsidR="008B1584" w:rsidRPr="0019444B" w:rsidRDefault="008B1584" w:rsidP="002B56EE">
            <w:pPr>
              <w:pStyle w:val="TableText0"/>
              <w:keepLines/>
              <w:widowControl w:val="0"/>
              <w:ind w:right="-102"/>
              <w:jc w:val="both"/>
              <w:rPr>
                <w:sz w:val="20"/>
                <w:szCs w:val="20"/>
              </w:rPr>
            </w:pPr>
            <w:r w:rsidRPr="0019444B">
              <w:rPr>
                <w:szCs w:val="20"/>
              </w:rPr>
              <w:t xml:space="preserve">91.7 </w:t>
            </w:r>
          </w:p>
          <w:p w14:paraId="177AE179" w14:textId="77777777" w:rsidR="008B1584" w:rsidRPr="0019444B" w:rsidRDefault="008B1584" w:rsidP="002B56EE">
            <w:pPr>
              <w:pStyle w:val="TableText0"/>
              <w:keepLines/>
              <w:widowControl w:val="0"/>
              <w:ind w:right="-102"/>
              <w:jc w:val="both"/>
              <w:rPr>
                <w:bCs w:val="0"/>
                <w:sz w:val="20"/>
                <w:szCs w:val="20"/>
              </w:rPr>
            </w:pPr>
            <w:r w:rsidRPr="0019444B">
              <w:rPr>
                <w:szCs w:val="20"/>
              </w:rPr>
              <w:t>(86.3, 95.0)</w:t>
            </w:r>
          </w:p>
        </w:tc>
        <w:tc>
          <w:tcPr>
            <w:tcW w:w="1264" w:type="dxa"/>
          </w:tcPr>
          <w:p w14:paraId="6028A324" w14:textId="77777777" w:rsidR="008B1584" w:rsidRPr="0019444B" w:rsidRDefault="008B1584" w:rsidP="002B56EE">
            <w:pPr>
              <w:pStyle w:val="TableText0"/>
              <w:keepLines/>
              <w:widowControl w:val="0"/>
              <w:ind w:right="-113"/>
              <w:jc w:val="both"/>
              <w:rPr>
                <w:sz w:val="20"/>
                <w:szCs w:val="20"/>
              </w:rPr>
            </w:pPr>
            <w:r w:rsidRPr="0019444B">
              <w:rPr>
                <w:szCs w:val="20"/>
              </w:rPr>
              <w:t xml:space="preserve">94.3 </w:t>
            </w:r>
          </w:p>
          <w:p w14:paraId="12078129" w14:textId="77777777" w:rsidR="008B1584" w:rsidRPr="0019444B" w:rsidRDefault="008B1584" w:rsidP="002B56EE">
            <w:pPr>
              <w:pStyle w:val="TableText0"/>
              <w:keepLines/>
              <w:widowControl w:val="0"/>
              <w:ind w:right="-113"/>
              <w:jc w:val="both"/>
              <w:rPr>
                <w:sz w:val="20"/>
                <w:szCs w:val="20"/>
              </w:rPr>
            </w:pPr>
            <w:r w:rsidRPr="0019444B">
              <w:rPr>
                <w:szCs w:val="20"/>
              </w:rPr>
              <w:t>(90.4, 96.7)</w:t>
            </w:r>
          </w:p>
        </w:tc>
        <w:tc>
          <w:tcPr>
            <w:tcW w:w="1094" w:type="dxa"/>
          </w:tcPr>
          <w:p w14:paraId="44F2B6A5" w14:textId="77777777" w:rsidR="008B1584" w:rsidRPr="0019444B" w:rsidRDefault="008B1584" w:rsidP="002B56EE">
            <w:pPr>
              <w:pStyle w:val="TableText0"/>
              <w:keepLines/>
              <w:widowControl w:val="0"/>
              <w:ind w:right="-112"/>
              <w:jc w:val="both"/>
              <w:rPr>
                <w:sz w:val="20"/>
                <w:szCs w:val="20"/>
              </w:rPr>
            </w:pPr>
            <w:r w:rsidRPr="0019444B">
              <w:rPr>
                <w:szCs w:val="20"/>
              </w:rPr>
              <w:t xml:space="preserve">94.6 </w:t>
            </w:r>
          </w:p>
          <w:p w14:paraId="2E55ACFD" w14:textId="77777777" w:rsidR="008B1584" w:rsidRPr="0019444B" w:rsidRDefault="008B1584" w:rsidP="002B56EE">
            <w:pPr>
              <w:pStyle w:val="TableText0"/>
              <w:keepLines/>
              <w:widowControl w:val="0"/>
              <w:ind w:right="-112"/>
              <w:jc w:val="both"/>
              <w:rPr>
                <w:sz w:val="20"/>
                <w:szCs w:val="20"/>
              </w:rPr>
            </w:pPr>
            <w:r w:rsidRPr="0019444B">
              <w:rPr>
                <w:szCs w:val="20"/>
              </w:rPr>
              <w:t>(90.6, 96.9)</w:t>
            </w:r>
          </w:p>
        </w:tc>
      </w:tr>
    </w:tbl>
    <w:p w14:paraId="75FB51E6" w14:textId="77777777" w:rsidR="008B1584" w:rsidRPr="0019444B" w:rsidRDefault="008B1584" w:rsidP="008B1584">
      <w:pPr>
        <w:keepNext/>
        <w:keepLines/>
        <w:widowControl w:val="0"/>
        <w:ind w:right="-187"/>
        <w:rPr>
          <w:rFonts w:ascii="Arial Narrow" w:hAnsi="Arial Narrow"/>
          <w:snapToGrid w:val="0"/>
          <w:sz w:val="18"/>
          <w:szCs w:val="18"/>
        </w:rPr>
      </w:pPr>
      <w:r w:rsidRPr="0019444B">
        <w:rPr>
          <w:rFonts w:ascii="Arial Narrow" w:hAnsi="Arial Narrow"/>
          <w:snapToGrid w:val="0"/>
          <w:sz w:val="18"/>
          <w:szCs w:val="18"/>
        </w:rPr>
        <w:t>Source: Table 2.100, p.201 of the resubmission</w:t>
      </w:r>
    </w:p>
    <w:p w14:paraId="73A4FA4A" w14:textId="46EA5ACA" w:rsidR="008B1584" w:rsidRPr="0019444B" w:rsidRDefault="008B1584" w:rsidP="008B1584">
      <w:pPr>
        <w:pStyle w:val="3-BodyText"/>
        <w:numPr>
          <w:ilvl w:val="0"/>
          <w:numId w:val="0"/>
        </w:numPr>
      </w:pPr>
      <w:r w:rsidRPr="0019444B">
        <w:rPr>
          <w:rFonts w:ascii="Arial Narrow" w:hAnsi="Arial Narrow"/>
          <w:sz w:val="18"/>
          <w:szCs w:val="18"/>
        </w:rPr>
        <w:t>ACA= acalabrutinib, BEND= bendamustine, CHL= chlorambucil, NtR= not reached, NR= not reported, OBIN= obinutuzumab, RIT= rituximab, ZANU= zanubrutin</w:t>
      </w:r>
      <w:r w:rsidR="00916857" w:rsidRPr="0019444B">
        <w:rPr>
          <w:rFonts w:ascii="Arial Narrow" w:hAnsi="Arial Narrow"/>
          <w:sz w:val="18"/>
          <w:szCs w:val="18"/>
        </w:rPr>
        <w:t>i</w:t>
      </w:r>
      <w:r w:rsidRPr="0019444B">
        <w:rPr>
          <w:rFonts w:ascii="Arial Narrow" w:hAnsi="Arial Narrow"/>
          <w:sz w:val="18"/>
          <w:szCs w:val="18"/>
        </w:rPr>
        <w:t>b</w:t>
      </w:r>
      <w:r w:rsidR="00383E36" w:rsidRPr="0019444B">
        <w:rPr>
          <w:rFonts w:ascii="Arial Narrow" w:hAnsi="Arial Narrow"/>
          <w:sz w:val="18"/>
          <w:szCs w:val="18"/>
        </w:rPr>
        <w:t>, HR = hazard</w:t>
      </w:r>
      <w:r w:rsidR="00401210">
        <w:rPr>
          <w:rFonts w:ascii="Arial Narrow" w:hAnsi="Arial Narrow"/>
          <w:sz w:val="18"/>
          <w:szCs w:val="18"/>
        </w:rPr>
        <w:t xml:space="preserve"> </w:t>
      </w:r>
      <w:r w:rsidR="00383E36" w:rsidRPr="0019444B">
        <w:rPr>
          <w:rFonts w:ascii="Arial Narrow" w:hAnsi="Arial Narrow"/>
          <w:sz w:val="18"/>
          <w:szCs w:val="18"/>
        </w:rPr>
        <w:t>ratio</w:t>
      </w:r>
    </w:p>
    <w:p w14:paraId="6D558400" w14:textId="06638A93" w:rsidR="00C83142" w:rsidRPr="0019444B" w:rsidRDefault="00C83142" w:rsidP="00C83142">
      <w:pPr>
        <w:pStyle w:val="4-SubsectionHeading"/>
      </w:pPr>
      <w:r w:rsidRPr="0019444B">
        <w:t>Comparative harms: ACA+/-OBIN versus ZANU</w:t>
      </w:r>
    </w:p>
    <w:p w14:paraId="4A41A342" w14:textId="7B174A1D" w:rsidR="00C83142" w:rsidRPr="0019444B" w:rsidRDefault="00C83142" w:rsidP="00C83142">
      <w:pPr>
        <w:pStyle w:val="3-BodyText"/>
        <w:numPr>
          <w:ilvl w:val="1"/>
          <w:numId w:val="1"/>
        </w:numPr>
        <w:ind w:left="709" w:hanging="709"/>
        <w:rPr>
          <w:iCs/>
        </w:rPr>
      </w:pPr>
      <w:r w:rsidRPr="0019444B">
        <w:rPr>
          <w:iCs/>
        </w:rPr>
        <w:t xml:space="preserve">The safety results from ELEVATE-TN and SEQUOIA are presented in </w:t>
      </w:r>
      <w:r w:rsidRPr="0019444B">
        <w:rPr>
          <w:iCs/>
        </w:rPr>
        <w:fldChar w:fldCharType="begin" w:fldLock="1"/>
      </w:r>
      <w:r w:rsidRPr="0019444B">
        <w:rPr>
          <w:iCs/>
        </w:rPr>
        <w:instrText xml:space="preserve"> REF _Ref138062858 \h </w:instrText>
      </w:r>
      <w:r w:rsidR="00F11B7E" w:rsidRPr="0019444B">
        <w:rPr>
          <w:iCs/>
        </w:rPr>
        <w:instrText xml:space="preserve"> \* MERGEFORMAT </w:instrText>
      </w:r>
      <w:r w:rsidRPr="0019444B">
        <w:rPr>
          <w:iCs/>
        </w:rPr>
      </w:r>
      <w:r w:rsidRPr="0019444B">
        <w:rPr>
          <w:iCs/>
        </w:rPr>
        <w:fldChar w:fldCharType="separate"/>
      </w:r>
      <w:r w:rsidRPr="0019444B">
        <w:rPr>
          <w:iCs/>
        </w:rPr>
        <w:t xml:space="preserve">Table </w:t>
      </w:r>
      <w:r w:rsidRPr="000F66F8">
        <w:rPr>
          <w:iCs/>
        </w:rPr>
        <w:t>15</w:t>
      </w:r>
      <w:r w:rsidRPr="0019444B">
        <w:rPr>
          <w:iCs/>
        </w:rPr>
        <w:fldChar w:fldCharType="end"/>
      </w:r>
      <w:r w:rsidRPr="0019444B">
        <w:rPr>
          <w:iCs/>
        </w:rPr>
        <w:t>.</w:t>
      </w:r>
    </w:p>
    <w:p w14:paraId="475B3ADB" w14:textId="2CBA331E" w:rsidR="00C83142" w:rsidRPr="0019444B" w:rsidRDefault="00C83142" w:rsidP="00C83142">
      <w:pPr>
        <w:pStyle w:val="TableFigureHeading"/>
        <w:jc w:val="both"/>
        <w:rPr>
          <w:u w:val="single"/>
        </w:rPr>
      </w:pPr>
      <w:bookmarkStart w:id="64" w:name="_Ref138062858"/>
      <w:r w:rsidRPr="0019444B">
        <w:t xml:space="preserve">Table </w:t>
      </w:r>
      <w:r w:rsidR="007C4FC4" w:rsidRPr="00D13D05">
        <w:fldChar w:fldCharType="begin" w:fldLock="1"/>
      </w:r>
      <w:r w:rsidR="007C4FC4" w:rsidRPr="0019444B">
        <w:instrText xml:space="preserve"> SEQ Table \* ARABIC </w:instrText>
      </w:r>
      <w:r w:rsidR="007C4FC4" w:rsidRPr="00D13D05">
        <w:fldChar w:fldCharType="separate"/>
      </w:r>
      <w:r w:rsidRPr="00D13D05">
        <w:t>15</w:t>
      </w:r>
      <w:r w:rsidR="007C4FC4" w:rsidRPr="00D13D05">
        <w:fldChar w:fldCharType="end"/>
      </w:r>
      <w:bookmarkEnd w:id="64"/>
      <w:r w:rsidRPr="0019444B">
        <w:t xml:space="preserve">: </w:t>
      </w:r>
      <w:r w:rsidRPr="0019444B">
        <w:rPr>
          <w:rFonts w:eastAsia="Times New Roman"/>
        </w:rPr>
        <w:t>Comparison of AEs in ELEVATE-TN and SEQUOIA</w:t>
      </w:r>
    </w:p>
    <w:tbl>
      <w:tblPr>
        <w:tblStyle w:val="AZTable"/>
        <w:tblW w:w="9072" w:type="dxa"/>
        <w:tblInd w:w="-5" w:type="dxa"/>
        <w:tblLook w:val="0420" w:firstRow="1" w:lastRow="0" w:firstColumn="0" w:lastColumn="0" w:noHBand="0" w:noVBand="1"/>
      </w:tblPr>
      <w:tblGrid>
        <w:gridCol w:w="2922"/>
        <w:gridCol w:w="988"/>
        <w:gridCol w:w="1023"/>
        <w:gridCol w:w="1003"/>
        <w:gridCol w:w="1128"/>
        <w:gridCol w:w="988"/>
        <w:gridCol w:w="1020"/>
      </w:tblGrid>
      <w:tr w:rsidR="00C83142" w:rsidRPr="0019444B" w14:paraId="46D755B5" w14:textId="77777777" w:rsidTr="002B56EE">
        <w:trPr>
          <w:cnfStyle w:val="100000000000" w:firstRow="1" w:lastRow="0" w:firstColumn="0" w:lastColumn="0" w:oddVBand="0" w:evenVBand="0" w:oddHBand="0" w:evenHBand="0" w:firstRowFirstColumn="0" w:firstRowLastColumn="0" w:lastRowFirstColumn="0" w:lastRowLastColumn="0"/>
          <w:trHeight w:val="73"/>
        </w:trPr>
        <w:tc>
          <w:tcPr>
            <w:tcW w:w="2948" w:type="dxa"/>
            <w:vMerge w:val="restart"/>
          </w:tcPr>
          <w:p w14:paraId="11EDC5F1" w14:textId="77777777" w:rsidR="00C83142" w:rsidRPr="0019444B" w:rsidRDefault="00C83142" w:rsidP="002B56EE">
            <w:pPr>
              <w:keepNext/>
              <w:ind w:right="-94"/>
              <w:rPr>
                <w:rFonts w:ascii="Arial Narrow" w:hAnsi="Arial Narrow"/>
                <w:b/>
                <w:bCs/>
                <w:sz w:val="20"/>
                <w:szCs w:val="20"/>
              </w:rPr>
            </w:pPr>
            <w:r w:rsidRPr="0019444B">
              <w:rPr>
                <w:rFonts w:ascii="Arial Narrow" w:hAnsi="Arial Narrow"/>
                <w:b/>
                <w:bCs/>
                <w:sz w:val="20"/>
                <w:szCs w:val="20"/>
              </w:rPr>
              <w:t>AEs</w:t>
            </w:r>
          </w:p>
        </w:tc>
        <w:tc>
          <w:tcPr>
            <w:tcW w:w="2977" w:type="dxa"/>
            <w:gridSpan w:val="3"/>
          </w:tcPr>
          <w:p w14:paraId="69CF74FB" w14:textId="77777777" w:rsidR="00C83142" w:rsidRPr="0019444B" w:rsidRDefault="00C83142" w:rsidP="002B56EE">
            <w:pPr>
              <w:keepNext/>
              <w:jc w:val="center"/>
              <w:rPr>
                <w:rFonts w:ascii="Arial Narrow" w:hAnsi="Arial Narrow"/>
                <w:b/>
                <w:bCs/>
                <w:sz w:val="20"/>
                <w:szCs w:val="20"/>
              </w:rPr>
            </w:pPr>
            <w:r w:rsidRPr="0019444B">
              <w:rPr>
                <w:rFonts w:ascii="Arial Narrow" w:hAnsi="Arial Narrow"/>
                <w:b/>
                <w:bCs/>
                <w:spacing w:val="-2"/>
                <w:sz w:val="20"/>
                <w:szCs w:val="20"/>
              </w:rPr>
              <w:t>ELEVATE-TN</w:t>
            </w:r>
          </w:p>
        </w:tc>
        <w:tc>
          <w:tcPr>
            <w:tcW w:w="3147" w:type="dxa"/>
            <w:gridSpan w:val="3"/>
          </w:tcPr>
          <w:p w14:paraId="56C7B77F" w14:textId="77777777" w:rsidR="00C83142" w:rsidRPr="0019444B" w:rsidRDefault="00C83142" w:rsidP="002B56EE">
            <w:pPr>
              <w:keepNext/>
              <w:jc w:val="center"/>
              <w:rPr>
                <w:rFonts w:ascii="Arial Narrow" w:hAnsi="Arial Narrow"/>
                <w:b/>
                <w:bCs/>
                <w:sz w:val="20"/>
                <w:szCs w:val="20"/>
              </w:rPr>
            </w:pPr>
            <w:r w:rsidRPr="0019444B">
              <w:rPr>
                <w:rFonts w:ascii="Arial Narrow" w:hAnsi="Arial Narrow"/>
                <w:b/>
                <w:bCs/>
                <w:sz w:val="20"/>
                <w:szCs w:val="20"/>
              </w:rPr>
              <w:t>SEQUOIA</w:t>
            </w:r>
          </w:p>
        </w:tc>
      </w:tr>
      <w:tr w:rsidR="00C83142" w:rsidRPr="0019444B" w14:paraId="75AD4B2E" w14:textId="77777777" w:rsidTr="002B56EE">
        <w:trPr>
          <w:trHeight w:val="70"/>
        </w:trPr>
        <w:tc>
          <w:tcPr>
            <w:tcW w:w="2948" w:type="dxa"/>
            <w:vMerge/>
            <w:vAlign w:val="center"/>
          </w:tcPr>
          <w:p w14:paraId="4DFFE109" w14:textId="77777777" w:rsidR="00C83142" w:rsidRPr="0019444B" w:rsidRDefault="00C83142" w:rsidP="002B56EE">
            <w:pPr>
              <w:keepNext/>
              <w:ind w:right="-94"/>
              <w:rPr>
                <w:rFonts w:ascii="Arial Narrow" w:hAnsi="Arial Narrow"/>
                <w:b/>
                <w:bCs/>
                <w:sz w:val="20"/>
                <w:szCs w:val="20"/>
              </w:rPr>
            </w:pPr>
          </w:p>
        </w:tc>
        <w:tc>
          <w:tcPr>
            <w:tcW w:w="993" w:type="dxa"/>
            <w:vAlign w:val="center"/>
          </w:tcPr>
          <w:p w14:paraId="6C68FFC4" w14:textId="77777777" w:rsidR="00C83142" w:rsidRPr="0019444B" w:rsidRDefault="00C83142" w:rsidP="002B56EE">
            <w:pPr>
              <w:pStyle w:val="TableHeading0"/>
              <w:keepLines w:val="0"/>
              <w:widowControl w:val="0"/>
              <w:spacing w:before="0" w:after="0" w:line="240" w:lineRule="auto"/>
              <w:ind w:left="-124" w:right="-108"/>
              <w:jc w:val="center"/>
              <w:rPr>
                <w:bCs/>
                <w:sz w:val="20"/>
              </w:rPr>
            </w:pPr>
            <w:r w:rsidRPr="0019444B">
              <w:rPr>
                <w:bCs/>
              </w:rPr>
              <w:t>ACA</w:t>
            </w:r>
          </w:p>
          <w:p w14:paraId="1328F8D1" w14:textId="77777777" w:rsidR="00C83142" w:rsidRPr="0019444B" w:rsidRDefault="00C83142" w:rsidP="002B56EE">
            <w:pPr>
              <w:pStyle w:val="TableHeading0"/>
              <w:keepLines w:val="0"/>
              <w:widowControl w:val="0"/>
              <w:spacing w:before="0" w:after="0" w:line="240" w:lineRule="auto"/>
              <w:ind w:left="-124" w:right="-108"/>
              <w:jc w:val="center"/>
              <w:rPr>
                <w:bCs/>
                <w:sz w:val="20"/>
              </w:rPr>
            </w:pPr>
            <w:r w:rsidRPr="0019444B">
              <w:rPr>
                <w:bCs/>
              </w:rPr>
              <w:t>(SP)</w:t>
            </w:r>
          </w:p>
        </w:tc>
        <w:tc>
          <w:tcPr>
            <w:tcW w:w="992" w:type="dxa"/>
            <w:vAlign w:val="center"/>
          </w:tcPr>
          <w:p w14:paraId="25DE3215" w14:textId="77777777" w:rsidR="00C83142" w:rsidRPr="0019444B" w:rsidRDefault="00C83142" w:rsidP="002B56EE">
            <w:pPr>
              <w:pStyle w:val="TableHeading0"/>
              <w:keepLines w:val="0"/>
              <w:widowControl w:val="0"/>
              <w:spacing w:before="0" w:after="0" w:line="240" w:lineRule="auto"/>
              <w:ind w:left="-124" w:right="-108"/>
              <w:jc w:val="center"/>
              <w:rPr>
                <w:bCs/>
                <w:spacing w:val="-2"/>
                <w:sz w:val="20"/>
              </w:rPr>
            </w:pPr>
            <w:r w:rsidRPr="0019444B">
              <w:rPr>
                <w:bCs/>
                <w:spacing w:val="-2"/>
              </w:rPr>
              <w:t>ACA+OBIN</w:t>
            </w:r>
          </w:p>
          <w:p w14:paraId="58342665" w14:textId="77777777" w:rsidR="00C83142" w:rsidRPr="0019444B" w:rsidRDefault="00C83142" w:rsidP="002B56EE">
            <w:pPr>
              <w:pStyle w:val="TableHeading0"/>
              <w:keepLines w:val="0"/>
              <w:widowControl w:val="0"/>
              <w:spacing w:before="0" w:after="0" w:line="240" w:lineRule="auto"/>
              <w:ind w:left="-124" w:right="-108"/>
              <w:jc w:val="center"/>
              <w:rPr>
                <w:bCs/>
                <w:sz w:val="20"/>
              </w:rPr>
            </w:pPr>
            <w:r w:rsidRPr="0019444B">
              <w:rPr>
                <w:bCs/>
                <w:spacing w:val="-2"/>
              </w:rPr>
              <w:t>(SP)</w:t>
            </w:r>
          </w:p>
        </w:tc>
        <w:tc>
          <w:tcPr>
            <w:tcW w:w="992" w:type="dxa"/>
            <w:vAlign w:val="center"/>
          </w:tcPr>
          <w:p w14:paraId="63B1D791" w14:textId="77777777" w:rsidR="00C83142" w:rsidRPr="0019444B" w:rsidRDefault="00C83142" w:rsidP="002B56EE">
            <w:pPr>
              <w:pStyle w:val="TableHeading0"/>
              <w:keepLines w:val="0"/>
              <w:widowControl w:val="0"/>
              <w:spacing w:before="0" w:after="0" w:line="240" w:lineRule="auto"/>
              <w:ind w:left="-124" w:right="-108"/>
              <w:jc w:val="center"/>
              <w:rPr>
                <w:bCs/>
                <w:spacing w:val="-2"/>
                <w:sz w:val="20"/>
              </w:rPr>
            </w:pPr>
            <w:r w:rsidRPr="0019444B">
              <w:rPr>
                <w:bCs/>
                <w:spacing w:val="-2"/>
              </w:rPr>
              <w:t>OBIN+CHL</w:t>
            </w:r>
          </w:p>
          <w:p w14:paraId="38A7BE93" w14:textId="77777777" w:rsidR="00C83142" w:rsidRPr="0019444B" w:rsidRDefault="00C83142" w:rsidP="002B56EE">
            <w:pPr>
              <w:pStyle w:val="TableHeading0"/>
              <w:keepLines w:val="0"/>
              <w:widowControl w:val="0"/>
              <w:spacing w:before="0" w:after="0" w:line="240" w:lineRule="auto"/>
              <w:ind w:left="-124" w:right="-108"/>
              <w:jc w:val="center"/>
              <w:rPr>
                <w:bCs/>
                <w:sz w:val="20"/>
              </w:rPr>
            </w:pPr>
            <w:r w:rsidRPr="0019444B">
              <w:rPr>
                <w:bCs/>
                <w:spacing w:val="-2"/>
              </w:rPr>
              <w:t>(SP)</w:t>
            </w:r>
          </w:p>
        </w:tc>
        <w:tc>
          <w:tcPr>
            <w:tcW w:w="1134" w:type="dxa"/>
            <w:vAlign w:val="center"/>
          </w:tcPr>
          <w:p w14:paraId="1646F2A2" w14:textId="77777777" w:rsidR="00C83142" w:rsidRPr="0021218C" w:rsidRDefault="00C83142" w:rsidP="002B56EE">
            <w:pPr>
              <w:pStyle w:val="TableHeading0"/>
              <w:widowControl w:val="0"/>
              <w:spacing w:before="0" w:after="0" w:line="240" w:lineRule="auto"/>
              <w:ind w:left="-124" w:right="-108"/>
              <w:jc w:val="center"/>
              <w:rPr>
                <w:bCs/>
                <w:spacing w:val="-2"/>
                <w:sz w:val="20"/>
              </w:rPr>
            </w:pPr>
            <w:r w:rsidRPr="0021218C">
              <w:rPr>
                <w:bCs/>
                <w:spacing w:val="-2"/>
              </w:rPr>
              <w:t>ZANU</w:t>
            </w:r>
          </w:p>
          <w:p w14:paraId="3AD6F38A" w14:textId="77777777" w:rsidR="00C83142" w:rsidRPr="0021218C" w:rsidRDefault="00C83142" w:rsidP="002B56EE">
            <w:pPr>
              <w:pStyle w:val="TableHeading0"/>
              <w:keepLines w:val="0"/>
              <w:widowControl w:val="0"/>
              <w:spacing w:before="0" w:after="0" w:line="240" w:lineRule="auto"/>
              <w:ind w:left="-124" w:right="-108"/>
              <w:jc w:val="center"/>
              <w:rPr>
                <w:bCs/>
                <w:spacing w:val="-2"/>
                <w:sz w:val="20"/>
              </w:rPr>
            </w:pPr>
            <w:r w:rsidRPr="0021218C">
              <w:rPr>
                <w:bCs/>
                <w:spacing w:val="-2"/>
              </w:rPr>
              <w:t>w/o del(17p)</w:t>
            </w:r>
          </w:p>
        </w:tc>
        <w:tc>
          <w:tcPr>
            <w:tcW w:w="992" w:type="dxa"/>
            <w:vAlign w:val="center"/>
          </w:tcPr>
          <w:p w14:paraId="6349C1EF" w14:textId="77777777" w:rsidR="00C83142" w:rsidRPr="0019444B" w:rsidRDefault="00C83142" w:rsidP="002B56EE">
            <w:pPr>
              <w:pStyle w:val="TableHeading0"/>
              <w:widowControl w:val="0"/>
              <w:spacing w:before="0" w:after="0" w:line="240" w:lineRule="auto"/>
              <w:ind w:left="-124" w:right="-108"/>
              <w:jc w:val="center"/>
              <w:rPr>
                <w:bCs/>
                <w:spacing w:val="-2"/>
                <w:sz w:val="20"/>
              </w:rPr>
            </w:pPr>
            <w:r w:rsidRPr="0019444B">
              <w:rPr>
                <w:bCs/>
                <w:spacing w:val="-2"/>
                <w:sz w:val="20"/>
              </w:rPr>
              <w:t>ZANU</w:t>
            </w:r>
          </w:p>
          <w:p w14:paraId="1FA1CEA2" w14:textId="77777777" w:rsidR="00C83142" w:rsidRPr="0019444B" w:rsidRDefault="00C83142" w:rsidP="002B56EE">
            <w:pPr>
              <w:pStyle w:val="TableHeading0"/>
              <w:keepLines w:val="0"/>
              <w:widowControl w:val="0"/>
              <w:spacing w:before="0" w:after="0" w:line="240" w:lineRule="auto"/>
              <w:ind w:left="-124" w:right="-108"/>
              <w:jc w:val="center"/>
              <w:rPr>
                <w:bCs/>
                <w:spacing w:val="-2"/>
                <w:sz w:val="20"/>
              </w:rPr>
            </w:pPr>
            <w:r w:rsidRPr="0019444B">
              <w:rPr>
                <w:bCs/>
                <w:spacing w:val="-2"/>
              </w:rPr>
              <w:t>w del(17p)</w:t>
            </w:r>
          </w:p>
        </w:tc>
        <w:tc>
          <w:tcPr>
            <w:tcW w:w="1021" w:type="dxa"/>
            <w:vAlign w:val="center"/>
          </w:tcPr>
          <w:p w14:paraId="1D80EA68" w14:textId="39F79E42" w:rsidR="00C83142" w:rsidRPr="0019444B" w:rsidRDefault="00C83142" w:rsidP="002B56EE">
            <w:pPr>
              <w:pStyle w:val="TableHeading0"/>
              <w:keepLines w:val="0"/>
              <w:widowControl w:val="0"/>
              <w:spacing w:before="0" w:after="0" w:line="240" w:lineRule="auto"/>
              <w:ind w:left="-124" w:right="-108"/>
              <w:jc w:val="center"/>
              <w:rPr>
                <w:bCs/>
                <w:spacing w:val="-2"/>
                <w:sz w:val="20"/>
              </w:rPr>
            </w:pPr>
            <w:r w:rsidRPr="0019444B">
              <w:rPr>
                <w:bCs/>
                <w:spacing w:val="-2"/>
              </w:rPr>
              <w:t>BEND+RIT</w:t>
            </w:r>
          </w:p>
        </w:tc>
      </w:tr>
      <w:tr w:rsidR="00C83142" w:rsidRPr="0019444B" w14:paraId="3230A34A" w14:textId="77777777" w:rsidTr="002B56EE">
        <w:tc>
          <w:tcPr>
            <w:tcW w:w="2948" w:type="dxa"/>
            <w:vAlign w:val="center"/>
          </w:tcPr>
          <w:p w14:paraId="142A14C8" w14:textId="77777777" w:rsidR="00C83142" w:rsidRPr="0019444B" w:rsidRDefault="00C83142" w:rsidP="002B56EE">
            <w:pPr>
              <w:keepNext/>
              <w:ind w:right="-94"/>
              <w:rPr>
                <w:rFonts w:ascii="Arial Narrow" w:hAnsi="Arial Narrow"/>
                <w:sz w:val="20"/>
                <w:szCs w:val="20"/>
              </w:rPr>
            </w:pPr>
            <w:r w:rsidRPr="0019444B">
              <w:rPr>
                <w:rFonts w:ascii="Arial Narrow" w:hAnsi="Arial Narrow"/>
                <w:sz w:val="20"/>
                <w:szCs w:val="20"/>
              </w:rPr>
              <w:t>N</w:t>
            </w:r>
          </w:p>
        </w:tc>
        <w:tc>
          <w:tcPr>
            <w:tcW w:w="993" w:type="dxa"/>
            <w:vAlign w:val="center"/>
          </w:tcPr>
          <w:p w14:paraId="2D6BF3E1" w14:textId="77777777" w:rsidR="00C83142" w:rsidRPr="0019444B" w:rsidRDefault="00C83142" w:rsidP="002B56EE">
            <w:pPr>
              <w:pStyle w:val="TableHeading0"/>
              <w:keepLines w:val="0"/>
              <w:widowControl w:val="0"/>
              <w:spacing w:before="0" w:after="0" w:line="240" w:lineRule="auto"/>
              <w:ind w:right="-114"/>
              <w:jc w:val="both"/>
              <w:rPr>
                <w:b w:val="0"/>
                <w:sz w:val="20"/>
              </w:rPr>
            </w:pPr>
            <w:r w:rsidRPr="0019444B">
              <w:rPr>
                <w:b w:val="0"/>
              </w:rPr>
              <w:t>179</w:t>
            </w:r>
          </w:p>
        </w:tc>
        <w:tc>
          <w:tcPr>
            <w:tcW w:w="992" w:type="dxa"/>
            <w:vAlign w:val="center"/>
          </w:tcPr>
          <w:p w14:paraId="2177D38F" w14:textId="77777777" w:rsidR="00C83142" w:rsidRPr="0019444B" w:rsidRDefault="00C83142" w:rsidP="002B56EE">
            <w:pPr>
              <w:pStyle w:val="TableHeading0"/>
              <w:keepLines w:val="0"/>
              <w:widowControl w:val="0"/>
              <w:spacing w:before="0" w:after="0" w:line="240" w:lineRule="auto"/>
              <w:ind w:right="-114"/>
              <w:jc w:val="both"/>
              <w:rPr>
                <w:b w:val="0"/>
                <w:sz w:val="20"/>
              </w:rPr>
            </w:pPr>
            <w:r w:rsidRPr="0019444B">
              <w:rPr>
                <w:b w:val="0"/>
              </w:rPr>
              <w:t>178</w:t>
            </w:r>
          </w:p>
        </w:tc>
        <w:tc>
          <w:tcPr>
            <w:tcW w:w="992" w:type="dxa"/>
            <w:vAlign w:val="center"/>
          </w:tcPr>
          <w:p w14:paraId="0CFBE01B" w14:textId="77777777" w:rsidR="00C83142" w:rsidRPr="0019444B" w:rsidRDefault="00C83142" w:rsidP="002B56EE">
            <w:pPr>
              <w:pStyle w:val="TableHeading0"/>
              <w:keepLines w:val="0"/>
              <w:widowControl w:val="0"/>
              <w:spacing w:before="0" w:after="0" w:line="240" w:lineRule="auto"/>
              <w:ind w:right="-114"/>
              <w:jc w:val="both"/>
              <w:rPr>
                <w:b w:val="0"/>
                <w:spacing w:val="-2"/>
                <w:sz w:val="20"/>
              </w:rPr>
            </w:pPr>
            <w:r w:rsidRPr="0019444B">
              <w:rPr>
                <w:b w:val="0"/>
                <w:spacing w:val="-2"/>
              </w:rPr>
              <w:t>169</w:t>
            </w:r>
          </w:p>
        </w:tc>
        <w:tc>
          <w:tcPr>
            <w:tcW w:w="1134" w:type="dxa"/>
            <w:vAlign w:val="center"/>
          </w:tcPr>
          <w:p w14:paraId="35D12667" w14:textId="77777777" w:rsidR="00C83142" w:rsidRPr="0019444B" w:rsidRDefault="00C83142" w:rsidP="002B56EE">
            <w:pPr>
              <w:pStyle w:val="TableHeading0"/>
              <w:keepLines w:val="0"/>
              <w:widowControl w:val="0"/>
              <w:spacing w:before="0" w:after="0" w:line="240" w:lineRule="auto"/>
              <w:ind w:right="-114"/>
              <w:jc w:val="both"/>
              <w:rPr>
                <w:b w:val="0"/>
                <w:spacing w:val="-2"/>
                <w:sz w:val="20"/>
              </w:rPr>
            </w:pPr>
            <w:r w:rsidRPr="0019444B">
              <w:rPr>
                <w:b w:val="0"/>
                <w:spacing w:val="-2"/>
              </w:rPr>
              <w:t>240</w:t>
            </w:r>
          </w:p>
        </w:tc>
        <w:tc>
          <w:tcPr>
            <w:tcW w:w="992" w:type="dxa"/>
            <w:vAlign w:val="center"/>
          </w:tcPr>
          <w:p w14:paraId="33BB18E8" w14:textId="77777777" w:rsidR="00C83142" w:rsidRPr="0019444B" w:rsidRDefault="00C83142" w:rsidP="002B56EE">
            <w:pPr>
              <w:pStyle w:val="TableHeading0"/>
              <w:keepLines w:val="0"/>
              <w:widowControl w:val="0"/>
              <w:spacing w:before="0" w:after="0" w:line="240" w:lineRule="auto"/>
              <w:ind w:right="-114"/>
              <w:jc w:val="both"/>
              <w:rPr>
                <w:b w:val="0"/>
                <w:spacing w:val="-2"/>
                <w:sz w:val="20"/>
              </w:rPr>
            </w:pPr>
            <w:r w:rsidRPr="0019444B">
              <w:rPr>
                <w:b w:val="0"/>
                <w:spacing w:val="-2"/>
              </w:rPr>
              <w:t>111</w:t>
            </w:r>
          </w:p>
        </w:tc>
        <w:tc>
          <w:tcPr>
            <w:tcW w:w="1021" w:type="dxa"/>
            <w:vAlign w:val="center"/>
          </w:tcPr>
          <w:p w14:paraId="2BB74DCE" w14:textId="77777777" w:rsidR="00C83142" w:rsidRPr="0019444B" w:rsidRDefault="00C83142" w:rsidP="002B56EE">
            <w:pPr>
              <w:pStyle w:val="TableHeading0"/>
              <w:keepLines w:val="0"/>
              <w:widowControl w:val="0"/>
              <w:spacing w:before="0" w:after="0" w:line="240" w:lineRule="auto"/>
              <w:ind w:right="-114"/>
              <w:jc w:val="both"/>
              <w:rPr>
                <w:b w:val="0"/>
                <w:spacing w:val="-2"/>
                <w:sz w:val="20"/>
              </w:rPr>
            </w:pPr>
            <w:r w:rsidRPr="0019444B">
              <w:rPr>
                <w:b w:val="0"/>
                <w:spacing w:val="-2"/>
              </w:rPr>
              <w:t>227</w:t>
            </w:r>
          </w:p>
        </w:tc>
      </w:tr>
      <w:tr w:rsidR="00C83142" w:rsidRPr="0019444B" w14:paraId="78A2BB14" w14:textId="77777777" w:rsidTr="002B56EE">
        <w:tc>
          <w:tcPr>
            <w:tcW w:w="2948" w:type="dxa"/>
            <w:tcBorders>
              <w:top w:val="single" w:sz="4" w:space="0" w:color="000000"/>
              <w:bottom w:val="single" w:sz="4" w:space="0" w:color="000000"/>
              <w:right w:val="single" w:sz="4" w:space="0" w:color="000000"/>
            </w:tcBorders>
            <w:vAlign w:val="center"/>
          </w:tcPr>
          <w:p w14:paraId="0EF5245A" w14:textId="77777777" w:rsidR="00C83142" w:rsidRPr="0019444B" w:rsidRDefault="00C83142" w:rsidP="002B56EE">
            <w:pPr>
              <w:keepNext/>
              <w:ind w:right="-94"/>
              <w:rPr>
                <w:rFonts w:ascii="Arial Narrow" w:hAnsi="Arial Narrow" w:cs="Calibri"/>
                <w:sz w:val="20"/>
                <w:szCs w:val="20"/>
              </w:rPr>
            </w:pPr>
            <w:r w:rsidRPr="0019444B">
              <w:rPr>
                <w:rFonts w:ascii="Arial Narrow" w:hAnsi="Arial Narrow" w:cs="Calibri"/>
                <w:sz w:val="20"/>
                <w:szCs w:val="20"/>
              </w:rPr>
              <w:t>Median duration of follow-up, months</w:t>
            </w:r>
          </w:p>
        </w:tc>
        <w:tc>
          <w:tcPr>
            <w:tcW w:w="993" w:type="dxa"/>
            <w:tcBorders>
              <w:top w:val="single" w:sz="4" w:space="0" w:color="000000"/>
              <w:left w:val="single" w:sz="4" w:space="0" w:color="000000"/>
              <w:bottom w:val="single" w:sz="4" w:space="0" w:color="000000"/>
              <w:right w:val="single" w:sz="4" w:space="0" w:color="000000"/>
            </w:tcBorders>
            <w:vAlign w:val="center"/>
          </w:tcPr>
          <w:p w14:paraId="6D805BB2" w14:textId="77777777" w:rsidR="00C83142" w:rsidRPr="0019444B" w:rsidRDefault="00C83142" w:rsidP="002B56EE">
            <w:pPr>
              <w:keepNext/>
              <w:ind w:right="-114"/>
              <w:rPr>
                <w:rFonts w:ascii="Arial Narrow" w:hAnsi="Arial Narrow" w:cs="Calibri"/>
                <w:sz w:val="20"/>
                <w:szCs w:val="20"/>
              </w:rPr>
            </w:pPr>
            <w:r w:rsidRPr="0019444B">
              <w:rPr>
                <w:rFonts w:ascii="Arial Narrow" w:hAnsi="Arial Narrow" w:cs="Calibri"/>
                <w:sz w:val="20"/>
                <w:szCs w:val="20"/>
              </w:rPr>
              <w:t>28.4</w:t>
            </w:r>
          </w:p>
        </w:tc>
        <w:tc>
          <w:tcPr>
            <w:tcW w:w="992" w:type="dxa"/>
            <w:tcBorders>
              <w:top w:val="single" w:sz="4" w:space="0" w:color="000000"/>
              <w:left w:val="single" w:sz="4" w:space="0" w:color="000000"/>
              <w:bottom w:val="single" w:sz="4" w:space="0" w:color="000000"/>
              <w:right w:val="single" w:sz="4" w:space="0" w:color="000000"/>
            </w:tcBorders>
            <w:vAlign w:val="center"/>
          </w:tcPr>
          <w:p w14:paraId="704AB50C" w14:textId="77777777" w:rsidR="00C83142" w:rsidRPr="0019444B" w:rsidRDefault="00C83142" w:rsidP="002B56EE">
            <w:pPr>
              <w:keepNext/>
              <w:ind w:right="-114"/>
              <w:rPr>
                <w:rFonts w:ascii="Arial Narrow" w:hAnsi="Arial Narrow" w:cs="Calibri"/>
                <w:sz w:val="20"/>
                <w:szCs w:val="20"/>
              </w:rPr>
            </w:pPr>
            <w:r w:rsidRPr="0019444B">
              <w:rPr>
                <w:rFonts w:ascii="Arial Narrow" w:hAnsi="Arial Narrow" w:cs="Calibri"/>
                <w:sz w:val="20"/>
                <w:szCs w:val="20"/>
              </w:rPr>
              <w:t>28.5</w:t>
            </w:r>
          </w:p>
        </w:tc>
        <w:tc>
          <w:tcPr>
            <w:tcW w:w="992" w:type="dxa"/>
            <w:tcBorders>
              <w:top w:val="single" w:sz="4" w:space="0" w:color="000000"/>
              <w:left w:val="single" w:sz="4" w:space="0" w:color="000000"/>
              <w:bottom w:val="single" w:sz="4" w:space="0" w:color="000000"/>
            </w:tcBorders>
            <w:vAlign w:val="center"/>
          </w:tcPr>
          <w:p w14:paraId="7D107116" w14:textId="77777777" w:rsidR="00C83142" w:rsidRPr="0019444B" w:rsidRDefault="00C83142" w:rsidP="002B56EE">
            <w:pPr>
              <w:keepNext/>
              <w:ind w:right="-114"/>
              <w:rPr>
                <w:rFonts w:ascii="Arial Narrow" w:hAnsi="Arial Narrow" w:cs="Calibri"/>
                <w:sz w:val="20"/>
                <w:szCs w:val="20"/>
              </w:rPr>
            </w:pPr>
            <w:r w:rsidRPr="0019444B">
              <w:rPr>
                <w:rFonts w:ascii="Arial Narrow" w:hAnsi="Arial Narrow" w:cs="Calibri"/>
                <w:sz w:val="20"/>
                <w:szCs w:val="20"/>
              </w:rPr>
              <w:t>28.0</w:t>
            </w:r>
          </w:p>
        </w:tc>
        <w:tc>
          <w:tcPr>
            <w:tcW w:w="1134" w:type="dxa"/>
            <w:tcBorders>
              <w:top w:val="single" w:sz="4" w:space="0" w:color="000000"/>
              <w:left w:val="single" w:sz="4" w:space="0" w:color="000000"/>
              <w:bottom w:val="single" w:sz="4" w:space="0" w:color="000000"/>
              <w:right w:val="single" w:sz="4" w:space="0" w:color="000000"/>
            </w:tcBorders>
            <w:vAlign w:val="center"/>
          </w:tcPr>
          <w:p w14:paraId="7ACF5033" w14:textId="77777777" w:rsidR="00C83142" w:rsidRPr="0019444B" w:rsidRDefault="00C83142" w:rsidP="002B56EE">
            <w:pPr>
              <w:keepNext/>
              <w:ind w:right="-114"/>
              <w:rPr>
                <w:rFonts w:ascii="Arial Narrow" w:hAnsi="Arial Narrow" w:cs="Calibri"/>
                <w:sz w:val="20"/>
                <w:szCs w:val="20"/>
              </w:rPr>
            </w:pPr>
            <w:r w:rsidRPr="0019444B">
              <w:rPr>
                <w:rFonts w:ascii="Arial Narrow" w:hAnsi="Arial Narrow" w:cs="Calibri"/>
                <w:sz w:val="20"/>
                <w:szCs w:val="20"/>
              </w:rPr>
              <w:t>26.4</w:t>
            </w:r>
          </w:p>
        </w:tc>
        <w:tc>
          <w:tcPr>
            <w:tcW w:w="992" w:type="dxa"/>
            <w:tcBorders>
              <w:top w:val="single" w:sz="4" w:space="0" w:color="000000"/>
              <w:left w:val="single" w:sz="4" w:space="0" w:color="000000"/>
              <w:bottom w:val="single" w:sz="4" w:space="0" w:color="000000"/>
              <w:right w:val="single" w:sz="4" w:space="0" w:color="000000"/>
            </w:tcBorders>
            <w:vAlign w:val="center"/>
          </w:tcPr>
          <w:p w14:paraId="7E44B46D" w14:textId="77777777" w:rsidR="00C83142" w:rsidRPr="0019444B" w:rsidRDefault="00C83142" w:rsidP="002B56EE">
            <w:pPr>
              <w:keepNext/>
              <w:ind w:right="-114"/>
              <w:rPr>
                <w:rFonts w:ascii="Arial Narrow" w:hAnsi="Arial Narrow" w:cs="Calibri"/>
                <w:sz w:val="20"/>
                <w:szCs w:val="20"/>
              </w:rPr>
            </w:pPr>
            <w:r w:rsidRPr="0019444B">
              <w:rPr>
                <w:rFonts w:ascii="Arial Narrow" w:hAnsi="Arial Narrow" w:cs="Calibri"/>
                <w:sz w:val="20"/>
                <w:szCs w:val="20"/>
              </w:rPr>
              <w:t>30.0</w:t>
            </w:r>
          </w:p>
        </w:tc>
        <w:tc>
          <w:tcPr>
            <w:tcW w:w="1021" w:type="dxa"/>
            <w:tcBorders>
              <w:top w:val="single" w:sz="4" w:space="0" w:color="000000"/>
              <w:left w:val="single" w:sz="4" w:space="0" w:color="000000"/>
              <w:bottom w:val="single" w:sz="4" w:space="0" w:color="000000"/>
              <w:right w:val="single" w:sz="4" w:space="0" w:color="000000"/>
            </w:tcBorders>
            <w:vAlign w:val="center"/>
          </w:tcPr>
          <w:p w14:paraId="2CCABC33" w14:textId="77777777" w:rsidR="00C83142" w:rsidRPr="0019444B" w:rsidRDefault="00C83142" w:rsidP="002B56EE">
            <w:pPr>
              <w:keepNext/>
              <w:ind w:right="-114"/>
              <w:rPr>
                <w:rFonts w:ascii="Arial Narrow" w:hAnsi="Arial Narrow" w:cs="Calibri"/>
                <w:sz w:val="20"/>
                <w:szCs w:val="20"/>
              </w:rPr>
            </w:pPr>
            <w:r w:rsidRPr="0019444B">
              <w:rPr>
                <w:rFonts w:ascii="Arial Narrow" w:hAnsi="Arial Narrow" w:cs="Calibri"/>
                <w:sz w:val="20"/>
                <w:szCs w:val="20"/>
              </w:rPr>
              <w:t>25.9</w:t>
            </w:r>
          </w:p>
        </w:tc>
      </w:tr>
      <w:tr w:rsidR="00C83142" w:rsidRPr="0019444B" w14:paraId="618E752F" w14:textId="77777777" w:rsidTr="002B56EE">
        <w:tc>
          <w:tcPr>
            <w:tcW w:w="2948" w:type="dxa"/>
            <w:tcBorders>
              <w:top w:val="single" w:sz="4" w:space="0" w:color="000000"/>
              <w:bottom w:val="single" w:sz="4" w:space="0" w:color="000000"/>
              <w:right w:val="single" w:sz="4" w:space="0" w:color="000000"/>
            </w:tcBorders>
            <w:vAlign w:val="center"/>
          </w:tcPr>
          <w:p w14:paraId="15EFE435" w14:textId="77777777" w:rsidR="00C83142" w:rsidRPr="0019444B" w:rsidRDefault="00C83142" w:rsidP="002B56EE">
            <w:pPr>
              <w:keepNext/>
              <w:ind w:right="-94"/>
              <w:rPr>
                <w:rFonts w:ascii="Arial Narrow" w:hAnsi="Arial Narrow" w:cs="Calibri"/>
                <w:sz w:val="20"/>
                <w:szCs w:val="20"/>
              </w:rPr>
            </w:pPr>
            <w:r w:rsidRPr="0019444B">
              <w:rPr>
                <w:rFonts w:ascii="Arial Narrow" w:hAnsi="Arial Narrow" w:cs="Calibri"/>
                <w:sz w:val="20"/>
                <w:szCs w:val="20"/>
              </w:rPr>
              <w:t>Grade 3 or 4 AE, n (%)</w:t>
            </w:r>
          </w:p>
        </w:tc>
        <w:tc>
          <w:tcPr>
            <w:tcW w:w="993" w:type="dxa"/>
            <w:tcBorders>
              <w:top w:val="single" w:sz="4" w:space="0" w:color="000000"/>
              <w:left w:val="single" w:sz="4" w:space="0" w:color="000000"/>
              <w:bottom w:val="single" w:sz="4" w:space="0" w:color="000000"/>
              <w:right w:val="single" w:sz="4" w:space="0" w:color="000000"/>
            </w:tcBorders>
            <w:vAlign w:val="center"/>
          </w:tcPr>
          <w:p w14:paraId="2F127522" w14:textId="77777777" w:rsidR="00C83142" w:rsidRPr="0019444B" w:rsidRDefault="00C83142" w:rsidP="002B56EE">
            <w:pPr>
              <w:keepNext/>
              <w:ind w:right="-114"/>
              <w:rPr>
                <w:rFonts w:ascii="Arial Narrow" w:hAnsi="Arial Narrow" w:cs="Calibri"/>
                <w:sz w:val="20"/>
                <w:szCs w:val="20"/>
              </w:rPr>
            </w:pPr>
            <w:r w:rsidRPr="0019444B">
              <w:rPr>
                <w:rFonts w:ascii="Arial Narrow" w:hAnsi="Arial Narrow" w:cs="Calibri"/>
                <w:sz w:val="20"/>
                <w:szCs w:val="20"/>
              </w:rPr>
              <w:t>89 (49.7)</w:t>
            </w:r>
          </w:p>
        </w:tc>
        <w:tc>
          <w:tcPr>
            <w:tcW w:w="992" w:type="dxa"/>
            <w:tcBorders>
              <w:top w:val="single" w:sz="4" w:space="0" w:color="000000"/>
              <w:left w:val="single" w:sz="4" w:space="0" w:color="000000"/>
              <w:bottom w:val="single" w:sz="4" w:space="0" w:color="000000"/>
              <w:right w:val="single" w:sz="4" w:space="0" w:color="000000"/>
            </w:tcBorders>
            <w:vAlign w:val="center"/>
          </w:tcPr>
          <w:p w14:paraId="722475CF" w14:textId="77777777" w:rsidR="00C83142" w:rsidRPr="0019444B" w:rsidRDefault="00C83142" w:rsidP="002B56EE">
            <w:pPr>
              <w:keepNext/>
              <w:ind w:right="-114"/>
              <w:rPr>
                <w:rFonts w:ascii="Arial Narrow" w:hAnsi="Arial Narrow" w:cs="Calibri"/>
                <w:sz w:val="20"/>
                <w:szCs w:val="20"/>
              </w:rPr>
            </w:pPr>
            <w:r w:rsidRPr="0019444B">
              <w:rPr>
                <w:rFonts w:ascii="Arial Narrow" w:hAnsi="Arial Narrow" w:cs="Calibri"/>
                <w:sz w:val="20"/>
                <w:szCs w:val="20"/>
              </w:rPr>
              <w:t>125 (70.2)</w:t>
            </w:r>
          </w:p>
        </w:tc>
        <w:tc>
          <w:tcPr>
            <w:tcW w:w="992" w:type="dxa"/>
            <w:tcBorders>
              <w:top w:val="single" w:sz="4" w:space="0" w:color="000000"/>
              <w:left w:val="single" w:sz="4" w:space="0" w:color="000000"/>
              <w:bottom w:val="single" w:sz="4" w:space="0" w:color="000000"/>
            </w:tcBorders>
            <w:vAlign w:val="center"/>
          </w:tcPr>
          <w:p w14:paraId="7BC88BF1" w14:textId="77777777" w:rsidR="00C83142" w:rsidRPr="0019444B" w:rsidRDefault="00C83142" w:rsidP="002B56EE">
            <w:pPr>
              <w:keepNext/>
              <w:ind w:right="-114"/>
              <w:rPr>
                <w:rFonts w:ascii="Arial Narrow" w:hAnsi="Arial Narrow" w:cs="Calibri"/>
                <w:sz w:val="20"/>
                <w:szCs w:val="20"/>
              </w:rPr>
            </w:pPr>
            <w:r w:rsidRPr="0019444B">
              <w:rPr>
                <w:rFonts w:ascii="Arial Narrow" w:hAnsi="Arial Narrow" w:cs="Calibri"/>
                <w:sz w:val="20"/>
                <w:szCs w:val="20"/>
              </w:rPr>
              <w:t>118 (69.8)</w:t>
            </w:r>
          </w:p>
        </w:tc>
        <w:tc>
          <w:tcPr>
            <w:tcW w:w="1134" w:type="dxa"/>
            <w:tcBorders>
              <w:top w:val="single" w:sz="4" w:space="0" w:color="000000"/>
              <w:left w:val="single" w:sz="4" w:space="0" w:color="000000"/>
              <w:bottom w:val="single" w:sz="4" w:space="0" w:color="000000"/>
            </w:tcBorders>
            <w:vAlign w:val="center"/>
          </w:tcPr>
          <w:p w14:paraId="57ADA598" w14:textId="77777777" w:rsidR="00C83142" w:rsidRPr="0019444B" w:rsidRDefault="00C83142" w:rsidP="002B56EE">
            <w:pPr>
              <w:keepNext/>
              <w:ind w:right="-114"/>
              <w:rPr>
                <w:rFonts w:ascii="Arial Narrow" w:hAnsi="Arial Narrow" w:cs="Calibri"/>
                <w:sz w:val="20"/>
                <w:szCs w:val="20"/>
              </w:rPr>
            </w:pPr>
            <w:r w:rsidRPr="0019444B">
              <w:rPr>
                <w:rFonts w:ascii="Arial Narrow" w:hAnsi="Arial Narrow" w:cs="Calibri"/>
                <w:sz w:val="20"/>
                <w:szCs w:val="20"/>
              </w:rPr>
              <w:t>39 (16.3)</w:t>
            </w:r>
          </w:p>
        </w:tc>
        <w:tc>
          <w:tcPr>
            <w:tcW w:w="992" w:type="dxa"/>
            <w:tcBorders>
              <w:top w:val="single" w:sz="4" w:space="0" w:color="000000"/>
              <w:left w:val="single" w:sz="4" w:space="0" w:color="000000"/>
              <w:bottom w:val="single" w:sz="4" w:space="0" w:color="000000"/>
            </w:tcBorders>
            <w:vAlign w:val="center"/>
          </w:tcPr>
          <w:p w14:paraId="3BB69A9A" w14:textId="77777777" w:rsidR="00C83142" w:rsidRPr="0019444B" w:rsidRDefault="00C83142" w:rsidP="002B56EE">
            <w:pPr>
              <w:keepNext/>
              <w:ind w:right="-114"/>
              <w:rPr>
                <w:rFonts w:ascii="Arial Narrow" w:hAnsi="Arial Narrow" w:cs="Calibri"/>
                <w:sz w:val="20"/>
                <w:szCs w:val="20"/>
              </w:rPr>
            </w:pPr>
            <w:r w:rsidRPr="0019444B">
              <w:rPr>
                <w:rFonts w:ascii="Arial Narrow" w:hAnsi="Arial Narrow" w:cs="Calibri"/>
                <w:sz w:val="20"/>
                <w:szCs w:val="20"/>
              </w:rPr>
              <w:t>19 (17.1)</w:t>
            </w:r>
          </w:p>
        </w:tc>
        <w:tc>
          <w:tcPr>
            <w:tcW w:w="1021" w:type="dxa"/>
            <w:tcBorders>
              <w:top w:val="single" w:sz="4" w:space="0" w:color="000000"/>
              <w:left w:val="single" w:sz="4" w:space="0" w:color="000000"/>
              <w:bottom w:val="single" w:sz="4" w:space="0" w:color="000000"/>
              <w:right w:val="single" w:sz="4" w:space="0" w:color="000000"/>
            </w:tcBorders>
            <w:vAlign w:val="center"/>
          </w:tcPr>
          <w:p w14:paraId="6755CC60" w14:textId="77777777" w:rsidR="00C83142" w:rsidRPr="0019444B" w:rsidRDefault="00C83142" w:rsidP="002B56EE">
            <w:pPr>
              <w:keepNext/>
              <w:ind w:right="-114"/>
              <w:rPr>
                <w:rFonts w:ascii="Arial Narrow" w:hAnsi="Arial Narrow" w:cs="Calibri"/>
                <w:sz w:val="20"/>
                <w:szCs w:val="20"/>
              </w:rPr>
            </w:pPr>
            <w:r w:rsidRPr="0019444B">
              <w:rPr>
                <w:rFonts w:ascii="Arial Narrow" w:hAnsi="Arial Narrow" w:cs="Calibri"/>
                <w:sz w:val="20"/>
                <w:szCs w:val="20"/>
              </w:rPr>
              <w:t xml:space="preserve">43 (18.9) </w:t>
            </w:r>
          </w:p>
        </w:tc>
      </w:tr>
      <w:tr w:rsidR="00C83142" w:rsidRPr="0019444B" w14:paraId="6A7EC66A" w14:textId="77777777" w:rsidTr="002B56EE">
        <w:tc>
          <w:tcPr>
            <w:tcW w:w="2948" w:type="dxa"/>
            <w:tcBorders>
              <w:top w:val="single" w:sz="4" w:space="0" w:color="000000"/>
              <w:bottom w:val="single" w:sz="4" w:space="0" w:color="000000"/>
              <w:right w:val="single" w:sz="4" w:space="0" w:color="000000"/>
            </w:tcBorders>
            <w:vAlign w:val="center"/>
          </w:tcPr>
          <w:p w14:paraId="31328502" w14:textId="77777777" w:rsidR="00C83142" w:rsidRPr="0019444B" w:rsidRDefault="00C83142" w:rsidP="002B56EE">
            <w:pPr>
              <w:keepNext/>
              <w:ind w:right="-94"/>
              <w:rPr>
                <w:rFonts w:ascii="Arial Narrow" w:hAnsi="Arial Narrow" w:cs="Calibri"/>
                <w:sz w:val="20"/>
                <w:szCs w:val="20"/>
              </w:rPr>
            </w:pPr>
            <w:r w:rsidRPr="0019444B">
              <w:rPr>
                <w:rFonts w:ascii="Arial Narrow" w:hAnsi="Arial Narrow" w:cs="Calibri"/>
                <w:sz w:val="20"/>
                <w:szCs w:val="20"/>
              </w:rPr>
              <w:t>SAEs, n (%)</w:t>
            </w:r>
          </w:p>
        </w:tc>
        <w:tc>
          <w:tcPr>
            <w:tcW w:w="993" w:type="dxa"/>
            <w:tcBorders>
              <w:top w:val="single" w:sz="4" w:space="0" w:color="000000"/>
              <w:left w:val="single" w:sz="4" w:space="0" w:color="000000"/>
              <w:bottom w:val="single" w:sz="4" w:space="0" w:color="000000"/>
              <w:right w:val="single" w:sz="4" w:space="0" w:color="000000"/>
            </w:tcBorders>
            <w:vAlign w:val="center"/>
          </w:tcPr>
          <w:p w14:paraId="7A257E02" w14:textId="77777777" w:rsidR="00C83142" w:rsidRPr="0019444B" w:rsidRDefault="00C83142" w:rsidP="002B56EE">
            <w:pPr>
              <w:keepNext/>
              <w:ind w:right="-114"/>
              <w:rPr>
                <w:rFonts w:ascii="Arial Narrow" w:hAnsi="Arial Narrow" w:cs="Calibri"/>
                <w:sz w:val="20"/>
                <w:szCs w:val="20"/>
              </w:rPr>
            </w:pPr>
            <w:r w:rsidRPr="0019444B">
              <w:rPr>
                <w:rFonts w:ascii="Arial Narrow" w:hAnsi="Arial Narrow" w:cs="Calibri"/>
                <w:sz w:val="20"/>
                <w:szCs w:val="20"/>
              </w:rPr>
              <w:t>57 (31.8)</w:t>
            </w:r>
          </w:p>
        </w:tc>
        <w:tc>
          <w:tcPr>
            <w:tcW w:w="992" w:type="dxa"/>
            <w:tcBorders>
              <w:top w:val="single" w:sz="4" w:space="0" w:color="000000"/>
              <w:left w:val="single" w:sz="4" w:space="0" w:color="000000"/>
              <w:bottom w:val="single" w:sz="4" w:space="0" w:color="000000"/>
              <w:right w:val="single" w:sz="4" w:space="0" w:color="000000"/>
            </w:tcBorders>
            <w:vAlign w:val="center"/>
          </w:tcPr>
          <w:p w14:paraId="0B5FFC3B" w14:textId="77777777" w:rsidR="00C83142" w:rsidRPr="0019444B" w:rsidRDefault="00C83142" w:rsidP="002B56EE">
            <w:pPr>
              <w:keepNext/>
              <w:ind w:right="-114"/>
              <w:rPr>
                <w:rFonts w:ascii="Arial Narrow" w:hAnsi="Arial Narrow" w:cs="Calibri"/>
                <w:sz w:val="20"/>
                <w:szCs w:val="20"/>
              </w:rPr>
            </w:pPr>
            <w:r w:rsidRPr="0019444B">
              <w:rPr>
                <w:rFonts w:ascii="Arial Narrow" w:hAnsi="Arial Narrow" w:cs="Calibri"/>
                <w:sz w:val="20"/>
                <w:szCs w:val="20"/>
              </w:rPr>
              <w:t>69 (38.8)</w:t>
            </w:r>
          </w:p>
        </w:tc>
        <w:tc>
          <w:tcPr>
            <w:tcW w:w="992" w:type="dxa"/>
            <w:tcBorders>
              <w:top w:val="single" w:sz="4" w:space="0" w:color="000000"/>
              <w:left w:val="single" w:sz="4" w:space="0" w:color="000000"/>
              <w:bottom w:val="single" w:sz="4" w:space="0" w:color="000000"/>
            </w:tcBorders>
            <w:vAlign w:val="center"/>
          </w:tcPr>
          <w:p w14:paraId="7C5C0D51" w14:textId="77777777" w:rsidR="00C83142" w:rsidRPr="0019444B" w:rsidRDefault="00C83142" w:rsidP="002B56EE">
            <w:pPr>
              <w:keepNext/>
              <w:ind w:right="-114"/>
              <w:rPr>
                <w:rFonts w:ascii="Arial Narrow" w:hAnsi="Arial Narrow" w:cs="Calibri"/>
                <w:sz w:val="20"/>
                <w:szCs w:val="20"/>
              </w:rPr>
            </w:pPr>
            <w:r w:rsidRPr="0019444B">
              <w:rPr>
                <w:rFonts w:ascii="Arial Narrow" w:hAnsi="Arial Narrow" w:cs="Calibri"/>
                <w:sz w:val="20"/>
                <w:szCs w:val="20"/>
              </w:rPr>
              <w:t>37 (21.9)</w:t>
            </w:r>
          </w:p>
        </w:tc>
        <w:tc>
          <w:tcPr>
            <w:tcW w:w="1134" w:type="dxa"/>
            <w:tcBorders>
              <w:top w:val="single" w:sz="4" w:space="0" w:color="000000"/>
              <w:left w:val="single" w:sz="4" w:space="0" w:color="000000"/>
              <w:bottom w:val="single" w:sz="4" w:space="0" w:color="000000"/>
            </w:tcBorders>
            <w:vAlign w:val="center"/>
          </w:tcPr>
          <w:p w14:paraId="7277CADE" w14:textId="77777777" w:rsidR="00C83142" w:rsidRPr="0019444B" w:rsidRDefault="00C83142" w:rsidP="002B56EE">
            <w:pPr>
              <w:keepNext/>
              <w:ind w:right="-114"/>
              <w:rPr>
                <w:rFonts w:ascii="Arial Narrow" w:hAnsi="Arial Narrow" w:cs="Calibri"/>
                <w:sz w:val="20"/>
                <w:szCs w:val="20"/>
              </w:rPr>
            </w:pPr>
            <w:r w:rsidRPr="0019444B">
              <w:rPr>
                <w:rFonts w:ascii="Arial Narrow" w:hAnsi="Arial Narrow" w:cs="Calibri"/>
                <w:sz w:val="20"/>
                <w:szCs w:val="20"/>
              </w:rPr>
              <w:t>88 (36.7)</w:t>
            </w:r>
          </w:p>
        </w:tc>
        <w:tc>
          <w:tcPr>
            <w:tcW w:w="992" w:type="dxa"/>
            <w:tcBorders>
              <w:top w:val="single" w:sz="4" w:space="0" w:color="000000"/>
              <w:left w:val="single" w:sz="4" w:space="0" w:color="000000"/>
              <w:bottom w:val="single" w:sz="4" w:space="0" w:color="000000"/>
            </w:tcBorders>
            <w:vAlign w:val="center"/>
          </w:tcPr>
          <w:p w14:paraId="78AE9CF5" w14:textId="77777777" w:rsidR="00C83142" w:rsidRPr="0019444B" w:rsidRDefault="00C83142" w:rsidP="002B56EE">
            <w:pPr>
              <w:keepNext/>
              <w:ind w:right="-114"/>
              <w:rPr>
                <w:rFonts w:ascii="Arial Narrow" w:hAnsi="Arial Narrow" w:cs="Calibri"/>
                <w:sz w:val="20"/>
                <w:szCs w:val="20"/>
              </w:rPr>
            </w:pPr>
            <w:r w:rsidRPr="0019444B">
              <w:rPr>
                <w:rFonts w:ascii="Arial Narrow" w:hAnsi="Arial Narrow" w:cs="Calibri"/>
                <w:sz w:val="20"/>
                <w:szCs w:val="20"/>
              </w:rPr>
              <w:t>45 (40.5)</w:t>
            </w:r>
          </w:p>
        </w:tc>
        <w:tc>
          <w:tcPr>
            <w:tcW w:w="1021" w:type="dxa"/>
            <w:tcBorders>
              <w:top w:val="single" w:sz="4" w:space="0" w:color="000000"/>
              <w:left w:val="single" w:sz="4" w:space="0" w:color="000000"/>
              <w:bottom w:val="single" w:sz="4" w:space="0" w:color="000000"/>
              <w:right w:val="single" w:sz="4" w:space="0" w:color="000000"/>
            </w:tcBorders>
            <w:vAlign w:val="center"/>
          </w:tcPr>
          <w:p w14:paraId="5DC85C03" w14:textId="77777777" w:rsidR="00C83142" w:rsidRPr="0019444B" w:rsidRDefault="00C83142" w:rsidP="002B56EE">
            <w:pPr>
              <w:keepNext/>
              <w:ind w:right="-114"/>
              <w:rPr>
                <w:rFonts w:ascii="Arial Narrow" w:hAnsi="Arial Narrow" w:cs="Calibri"/>
                <w:sz w:val="20"/>
                <w:szCs w:val="20"/>
              </w:rPr>
            </w:pPr>
            <w:r w:rsidRPr="0019444B">
              <w:rPr>
                <w:rFonts w:ascii="Arial Narrow" w:hAnsi="Arial Narrow" w:cs="Calibri"/>
                <w:sz w:val="20"/>
                <w:szCs w:val="20"/>
              </w:rPr>
              <w:t>113 (49.8)</w:t>
            </w:r>
          </w:p>
        </w:tc>
      </w:tr>
      <w:tr w:rsidR="00C83142" w:rsidRPr="0019444B" w14:paraId="11D575B7" w14:textId="77777777" w:rsidTr="002B56EE">
        <w:tc>
          <w:tcPr>
            <w:tcW w:w="2948" w:type="dxa"/>
            <w:tcBorders>
              <w:top w:val="single" w:sz="4" w:space="0" w:color="000000"/>
              <w:bottom w:val="single" w:sz="4" w:space="0" w:color="000000"/>
              <w:right w:val="single" w:sz="4" w:space="0" w:color="000000"/>
            </w:tcBorders>
            <w:vAlign w:val="center"/>
          </w:tcPr>
          <w:p w14:paraId="1C8EBCDB" w14:textId="77777777" w:rsidR="00C83142" w:rsidRPr="0019444B" w:rsidRDefault="00C83142" w:rsidP="002B56EE">
            <w:pPr>
              <w:keepNext/>
              <w:ind w:right="-94"/>
              <w:rPr>
                <w:rFonts w:ascii="Arial Narrow" w:hAnsi="Arial Narrow" w:cs="Calibri"/>
                <w:sz w:val="20"/>
                <w:szCs w:val="20"/>
              </w:rPr>
            </w:pPr>
            <w:r w:rsidRPr="0019444B">
              <w:rPr>
                <w:rFonts w:ascii="Arial Narrow" w:hAnsi="Arial Narrow" w:cs="Calibri"/>
                <w:sz w:val="20"/>
                <w:szCs w:val="20"/>
              </w:rPr>
              <w:t>TRAEs, n (%)</w:t>
            </w:r>
          </w:p>
        </w:tc>
        <w:tc>
          <w:tcPr>
            <w:tcW w:w="993" w:type="dxa"/>
            <w:tcBorders>
              <w:top w:val="single" w:sz="4" w:space="0" w:color="000000"/>
              <w:left w:val="single" w:sz="4" w:space="0" w:color="000000"/>
              <w:bottom w:val="single" w:sz="4" w:space="0" w:color="000000"/>
              <w:right w:val="single" w:sz="4" w:space="0" w:color="000000"/>
            </w:tcBorders>
            <w:vAlign w:val="center"/>
          </w:tcPr>
          <w:p w14:paraId="2AEFEA10" w14:textId="77777777" w:rsidR="00C83142" w:rsidRPr="0019444B" w:rsidRDefault="00C83142" w:rsidP="002B56EE">
            <w:pPr>
              <w:keepNext/>
              <w:ind w:right="-114"/>
              <w:rPr>
                <w:rFonts w:ascii="Arial Narrow" w:hAnsi="Arial Narrow" w:cs="Calibri"/>
                <w:sz w:val="20"/>
                <w:szCs w:val="20"/>
              </w:rPr>
            </w:pPr>
            <w:r w:rsidRPr="0019444B">
              <w:rPr>
                <w:rFonts w:ascii="Arial Narrow" w:hAnsi="Arial Narrow" w:cs="Calibri"/>
                <w:sz w:val="20"/>
                <w:szCs w:val="20"/>
              </w:rPr>
              <w:t>118 (65.9)</w:t>
            </w:r>
          </w:p>
        </w:tc>
        <w:tc>
          <w:tcPr>
            <w:tcW w:w="992" w:type="dxa"/>
            <w:tcBorders>
              <w:top w:val="single" w:sz="4" w:space="0" w:color="000000"/>
              <w:left w:val="single" w:sz="4" w:space="0" w:color="000000"/>
              <w:bottom w:val="single" w:sz="4" w:space="0" w:color="000000"/>
              <w:right w:val="single" w:sz="4" w:space="0" w:color="000000"/>
            </w:tcBorders>
            <w:vAlign w:val="center"/>
          </w:tcPr>
          <w:p w14:paraId="50F32CBF" w14:textId="77777777" w:rsidR="00C83142" w:rsidRPr="0019444B" w:rsidRDefault="00C83142" w:rsidP="002B56EE">
            <w:pPr>
              <w:keepNext/>
              <w:ind w:right="-114"/>
              <w:rPr>
                <w:rFonts w:ascii="Arial Narrow" w:hAnsi="Arial Narrow" w:cs="Calibri"/>
                <w:sz w:val="20"/>
                <w:szCs w:val="20"/>
              </w:rPr>
            </w:pPr>
            <w:r w:rsidRPr="0019444B">
              <w:rPr>
                <w:rFonts w:ascii="Arial Narrow" w:hAnsi="Arial Narrow" w:cs="Calibri"/>
                <w:sz w:val="20"/>
                <w:szCs w:val="20"/>
              </w:rPr>
              <w:t>144 (80.9)</w:t>
            </w:r>
          </w:p>
        </w:tc>
        <w:tc>
          <w:tcPr>
            <w:tcW w:w="992" w:type="dxa"/>
            <w:tcBorders>
              <w:top w:val="single" w:sz="4" w:space="0" w:color="000000"/>
              <w:left w:val="single" w:sz="4" w:space="0" w:color="000000"/>
              <w:bottom w:val="single" w:sz="4" w:space="0" w:color="000000"/>
            </w:tcBorders>
            <w:vAlign w:val="center"/>
          </w:tcPr>
          <w:p w14:paraId="1C08796D" w14:textId="77777777" w:rsidR="00C83142" w:rsidRPr="0019444B" w:rsidRDefault="00C83142" w:rsidP="002B56EE">
            <w:pPr>
              <w:keepNext/>
              <w:ind w:right="-114"/>
              <w:rPr>
                <w:rFonts w:ascii="Arial Narrow" w:hAnsi="Arial Narrow" w:cs="Calibri"/>
                <w:sz w:val="20"/>
                <w:szCs w:val="20"/>
              </w:rPr>
            </w:pPr>
            <w:r w:rsidRPr="0019444B">
              <w:rPr>
                <w:rFonts w:ascii="Arial Narrow" w:hAnsi="Arial Narrow" w:cs="Calibri"/>
                <w:sz w:val="20"/>
                <w:szCs w:val="20"/>
              </w:rPr>
              <w:t>154 (91.1)</w:t>
            </w:r>
          </w:p>
        </w:tc>
        <w:tc>
          <w:tcPr>
            <w:tcW w:w="1134" w:type="dxa"/>
            <w:tcBorders>
              <w:top w:val="single" w:sz="4" w:space="0" w:color="000000"/>
              <w:left w:val="single" w:sz="4" w:space="0" w:color="000000"/>
              <w:bottom w:val="single" w:sz="4" w:space="0" w:color="000000"/>
            </w:tcBorders>
            <w:vAlign w:val="center"/>
          </w:tcPr>
          <w:p w14:paraId="0C26FC81" w14:textId="77777777" w:rsidR="00C83142" w:rsidRPr="0019444B" w:rsidRDefault="00C83142" w:rsidP="002B56EE">
            <w:pPr>
              <w:keepNext/>
              <w:ind w:right="-114"/>
              <w:rPr>
                <w:rFonts w:ascii="Arial Narrow" w:hAnsi="Arial Narrow" w:cs="Calibri"/>
                <w:sz w:val="20"/>
                <w:szCs w:val="20"/>
              </w:rPr>
            </w:pPr>
            <w:r w:rsidRPr="0019444B">
              <w:rPr>
                <w:rFonts w:ascii="Arial Narrow" w:hAnsi="Arial Narrow" w:cs="Calibri"/>
                <w:sz w:val="20"/>
                <w:szCs w:val="20"/>
              </w:rPr>
              <w:t>224 (93.3)</w:t>
            </w:r>
          </w:p>
        </w:tc>
        <w:tc>
          <w:tcPr>
            <w:tcW w:w="992" w:type="dxa"/>
            <w:tcBorders>
              <w:top w:val="single" w:sz="4" w:space="0" w:color="000000"/>
              <w:left w:val="single" w:sz="4" w:space="0" w:color="000000"/>
              <w:bottom w:val="single" w:sz="4" w:space="0" w:color="000000"/>
            </w:tcBorders>
            <w:vAlign w:val="center"/>
          </w:tcPr>
          <w:p w14:paraId="4EB1934A" w14:textId="77777777" w:rsidR="00C83142" w:rsidRPr="0019444B" w:rsidRDefault="00C83142" w:rsidP="002B56EE">
            <w:pPr>
              <w:keepNext/>
              <w:ind w:right="-114"/>
              <w:rPr>
                <w:rFonts w:ascii="Arial Narrow" w:hAnsi="Arial Narrow" w:cs="Calibri"/>
                <w:sz w:val="20"/>
                <w:szCs w:val="20"/>
              </w:rPr>
            </w:pPr>
            <w:r w:rsidRPr="0019444B">
              <w:rPr>
                <w:rFonts w:ascii="Arial Narrow" w:hAnsi="Arial Narrow" w:cs="Calibri"/>
                <w:sz w:val="20"/>
                <w:szCs w:val="20"/>
              </w:rPr>
              <w:t>109 (98.2)</w:t>
            </w:r>
          </w:p>
        </w:tc>
        <w:tc>
          <w:tcPr>
            <w:tcW w:w="1021" w:type="dxa"/>
            <w:tcBorders>
              <w:top w:val="single" w:sz="4" w:space="0" w:color="000000"/>
              <w:left w:val="single" w:sz="4" w:space="0" w:color="000000"/>
              <w:bottom w:val="single" w:sz="4" w:space="0" w:color="000000"/>
              <w:right w:val="single" w:sz="4" w:space="0" w:color="000000"/>
            </w:tcBorders>
            <w:vAlign w:val="center"/>
          </w:tcPr>
          <w:p w14:paraId="0D6C6117" w14:textId="77777777" w:rsidR="00C83142" w:rsidRPr="0019444B" w:rsidRDefault="00C83142" w:rsidP="002B56EE">
            <w:pPr>
              <w:keepNext/>
              <w:ind w:right="-114"/>
              <w:rPr>
                <w:rFonts w:ascii="Arial Narrow" w:hAnsi="Arial Narrow" w:cs="Calibri"/>
                <w:sz w:val="20"/>
                <w:szCs w:val="20"/>
              </w:rPr>
            </w:pPr>
            <w:r w:rsidRPr="0019444B">
              <w:rPr>
                <w:rFonts w:ascii="Arial Narrow" w:hAnsi="Arial Narrow" w:cs="Calibri"/>
                <w:sz w:val="20"/>
                <w:szCs w:val="20"/>
              </w:rPr>
              <w:t>214 (94.3)</w:t>
            </w:r>
          </w:p>
        </w:tc>
      </w:tr>
      <w:tr w:rsidR="00C83142" w:rsidRPr="0019444B" w14:paraId="5320D96F" w14:textId="77777777" w:rsidTr="002B56EE">
        <w:tc>
          <w:tcPr>
            <w:tcW w:w="2948" w:type="dxa"/>
            <w:tcBorders>
              <w:top w:val="single" w:sz="4" w:space="0" w:color="000000"/>
              <w:bottom w:val="single" w:sz="4" w:space="0" w:color="000000"/>
              <w:right w:val="single" w:sz="4" w:space="0" w:color="000000"/>
            </w:tcBorders>
            <w:vAlign w:val="center"/>
          </w:tcPr>
          <w:p w14:paraId="4511B676" w14:textId="77777777" w:rsidR="00C83142" w:rsidRPr="0019444B" w:rsidRDefault="00C83142" w:rsidP="002B56EE">
            <w:pPr>
              <w:keepNext/>
              <w:ind w:right="-94"/>
              <w:rPr>
                <w:rFonts w:ascii="Arial Narrow" w:hAnsi="Arial Narrow" w:cs="Calibri"/>
                <w:sz w:val="20"/>
                <w:szCs w:val="20"/>
              </w:rPr>
            </w:pPr>
            <w:r w:rsidRPr="0019444B">
              <w:rPr>
                <w:rFonts w:ascii="Arial Narrow" w:hAnsi="Arial Narrow" w:cs="Calibri"/>
                <w:sz w:val="20"/>
                <w:szCs w:val="20"/>
              </w:rPr>
              <w:t>Discontinuation due to AEs, n (%)</w:t>
            </w:r>
          </w:p>
        </w:tc>
        <w:tc>
          <w:tcPr>
            <w:tcW w:w="993" w:type="dxa"/>
            <w:tcBorders>
              <w:top w:val="single" w:sz="4" w:space="0" w:color="000000"/>
              <w:left w:val="single" w:sz="4" w:space="0" w:color="000000"/>
              <w:bottom w:val="single" w:sz="4" w:space="0" w:color="000000"/>
              <w:right w:val="single" w:sz="4" w:space="0" w:color="000000"/>
            </w:tcBorders>
            <w:vAlign w:val="center"/>
          </w:tcPr>
          <w:p w14:paraId="5391A38F" w14:textId="77777777" w:rsidR="00C83142" w:rsidRPr="0019444B" w:rsidRDefault="00C83142" w:rsidP="002B56EE">
            <w:pPr>
              <w:keepNext/>
              <w:ind w:right="-114"/>
              <w:rPr>
                <w:rFonts w:ascii="Arial Narrow" w:hAnsi="Arial Narrow" w:cs="Calibri"/>
                <w:snapToGrid w:val="0"/>
                <w:sz w:val="20"/>
                <w:szCs w:val="20"/>
              </w:rPr>
            </w:pPr>
            <w:r w:rsidRPr="0019444B">
              <w:rPr>
                <w:rFonts w:ascii="Arial Narrow" w:hAnsi="Arial Narrow" w:cs="Calibri"/>
                <w:sz w:val="20"/>
                <w:szCs w:val="20"/>
              </w:rPr>
              <w:t>17 (9.5)</w:t>
            </w:r>
          </w:p>
        </w:tc>
        <w:tc>
          <w:tcPr>
            <w:tcW w:w="992" w:type="dxa"/>
            <w:tcBorders>
              <w:top w:val="single" w:sz="4" w:space="0" w:color="000000"/>
              <w:left w:val="single" w:sz="4" w:space="0" w:color="000000"/>
              <w:bottom w:val="single" w:sz="4" w:space="0" w:color="000000"/>
              <w:right w:val="single" w:sz="4" w:space="0" w:color="000000"/>
            </w:tcBorders>
            <w:vAlign w:val="center"/>
          </w:tcPr>
          <w:p w14:paraId="153C84DC" w14:textId="77777777" w:rsidR="00C83142" w:rsidRPr="0019444B" w:rsidRDefault="00C83142" w:rsidP="002B56EE">
            <w:pPr>
              <w:keepNext/>
              <w:ind w:right="-114"/>
              <w:rPr>
                <w:rFonts w:ascii="Arial Narrow" w:hAnsi="Arial Narrow" w:cs="Calibri"/>
                <w:sz w:val="20"/>
                <w:szCs w:val="20"/>
              </w:rPr>
            </w:pPr>
            <w:r w:rsidRPr="0019444B">
              <w:rPr>
                <w:rFonts w:ascii="Arial Narrow" w:hAnsi="Arial Narrow" w:cs="Calibri"/>
                <w:sz w:val="20"/>
                <w:szCs w:val="20"/>
              </w:rPr>
              <w:t>30 (15.8)</w:t>
            </w:r>
          </w:p>
        </w:tc>
        <w:tc>
          <w:tcPr>
            <w:tcW w:w="992" w:type="dxa"/>
            <w:tcBorders>
              <w:top w:val="single" w:sz="4" w:space="0" w:color="000000"/>
              <w:left w:val="single" w:sz="4" w:space="0" w:color="000000"/>
              <w:bottom w:val="single" w:sz="4" w:space="0" w:color="000000"/>
            </w:tcBorders>
            <w:vAlign w:val="center"/>
          </w:tcPr>
          <w:p w14:paraId="4DC1B294" w14:textId="77777777" w:rsidR="00C83142" w:rsidRPr="0019444B" w:rsidRDefault="00C83142" w:rsidP="002B56EE">
            <w:pPr>
              <w:keepNext/>
              <w:ind w:right="-114"/>
              <w:rPr>
                <w:rFonts w:ascii="Arial Narrow" w:hAnsi="Arial Narrow" w:cs="Calibri"/>
                <w:sz w:val="20"/>
                <w:szCs w:val="20"/>
              </w:rPr>
            </w:pPr>
            <w:r w:rsidRPr="0019444B">
              <w:rPr>
                <w:rFonts w:ascii="Arial Narrow" w:hAnsi="Arial Narrow" w:cs="Calibri"/>
                <w:sz w:val="20"/>
                <w:szCs w:val="20"/>
              </w:rPr>
              <w:t>34 (20.1)</w:t>
            </w:r>
          </w:p>
        </w:tc>
        <w:tc>
          <w:tcPr>
            <w:tcW w:w="1134" w:type="dxa"/>
            <w:tcBorders>
              <w:top w:val="single" w:sz="4" w:space="0" w:color="000000"/>
              <w:left w:val="single" w:sz="4" w:space="0" w:color="000000"/>
              <w:bottom w:val="single" w:sz="4" w:space="0" w:color="000000"/>
              <w:right w:val="single" w:sz="4" w:space="0" w:color="000000"/>
            </w:tcBorders>
            <w:vAlign w:val="center"/>
          </w:tcPr>
          <w:p w14:paraId="1AECBC9F" w14:textId="77777777" w:rsidR="00C83142" w:rsidRPr="0019444B" w:rsidRDefault="00C83142" w:rsidP="002B56EE">
            <w:pPr>
              <w:keepNext/>
              <w:ind w:right="-114"/>
              <w:rPr>
                <w:rFonts w:ascii="Arial Narrow" w:hAnsi="Arial Narrow" w:cs="Calibri"/>
                <w:sz w:val="20"/>
                <w:szCs w:val="20"/>
              </w:rPr>
            </w:pPr>
            <w:r w:rsidRPr="0019444B">
              <w:rPr>
                <w:rFonts w:ascii="Arial Narrow" w:hAnsi="Arial Narrow" w:cs="Calibri"/>
                <w:sz w:val="20"/>
                <w:szCs w:val="20"/>
              </w:rPr>
              <w:t>20 (8.3)</w:t>
            </w:r>
          </w:p>
        </w:tc>
        <w:tc>
          <w:tcPr>
            <w:tcW w:w="992" w:type="dxa"/>
            <w:tcBorders>
              <w:top w:val="single" w:sz="4" w:space="0" w:color="000000"/>
              <w:left w:val="single" w:sz="4" w:space="0" w:color="000000"/>
              <w:bottom w:val="single" w:sz="4" w:space="0" w:color="000000"/>
              <w:right w:val="single" w:sz="4" w:space="0" w:color="000000"/>
            </w:tcBorders>
            <w:vAlign w:val="center"/>
          </w:tcPr>
          <w:p w14:paraId="070CE5F9" w14:textId="77777777" w:rsidR="00C83142" w:rsidRPr="0019444B" w:rsidRDefault="00C83142" w:rsidP="002B56EE">
            <w:pPr>
              <w:keepNext/>
              <w:ind w:right="-114"/>
              <w:rPr>
                <w:rFonts w:ascii="Arial Narrow" w:hAnsi="Arial Narrow" w:cs="Calibri"/>
                <w:sz w:val="20"/>
                <w:szCs w:val="20"/>
              </w:rPr>
            </w:pPr>
            <w:r w:rsidRPr="0019444B">
              <w:rPr>
                <w:rFonts w:ascii="Arial Narrow" w:hAnsi="Arial Narrow" w:cs="Calibri"/>
                <w:sz w:val="20"/>
                <w:szCs w:val="20"/>
              </w:rPr>
              <w:t>6 (5.4)</w:t>
            </w:r>
          </w:p>
        </w:tc>
        <w:tc>
          <w:tcPr>
            <w:tcW w:w="1021" w:type="dxa"/>
            <w:tcBorders>
              <w:top w:val="single" w:sz="4" w:space="0" w:color="000000"/>
              <w:left w:val="single" w:sz="4" w:space="0" w:color="000000"/>
              <w:bottom w:val="single" w:sz="4" w:space="0" w:color="000000"/>
              <w:right w:val="single" w:sz="4" w:space="0" w:color="000000"/>
            </w:tcBorders>
            <w:vAlign w:val="center"/>
          </w:tcPr>
          <w:p w14:paraId="14DF3C81" w14:textId="77777777" w:rsidR="00C83142" w:rsidRPr="0019444B" w:rsidRDefault="00C83142" w:rsidP="002B56EE">
            <w:pPr>
              <w:keepNext/>
              <w:ind w:right="-114"/>
              <w:rPr>
                <w:rFonts w:ascii="Arial Narrow" w:hAnsi="Arial Narrow" w:cs="Calibri"/>
                <w:sz w:val="20"/>
                <w:szCs w:val="20"/>
              </w:rPr>
            </w:pPr>
            <w:r w:rsidRPr="0019444B">
              <w:rPr>
                <w:rFonts w:ascii="Arial Narrow" w:hAnsi="Arial Narrow" w:cs="Calibri"/>
                <w:sz w:val="20"/>
                <w:szCs w:val="20"/>
              </w:rPr>
              <w:t>31 (13.7)</w:t>
            </w:r>
          </w:p>
        </w:tc>
      </w:tr>
      <w:tr w:rsidR="00C83142" w:rsidRPr="0019444B" w14:paraId="3CC5C164" w14:textId="77777777" w:rsidTr="002B56EE">
        <w:tc>
          <w:tcPr>
            <w:tcW w:w="2948" w:type="dxa"/>
            <w:tcBorders>
              <w:top w:val="single" w:sz="4" w:space="0" w:color="000000"/>
              <w:bottom w:val="single" w:sz="4" w:space="0" w:color="000000"/>
              <w:right w:val="single" w:sz="4" w:space="0" w:color="000000"/>
            </w:tcBorders>
            <w:vAlign w:val="center"/>
          </w:tcPr>
          <w:p w14:paraId="2E42567C" w14:textId="77777777" w:rsidR="00C83142" w:rsidRPr="0019444B" w:rsidRDefault="00C83142" w:rsidP="002B56EE">
            <w:pPr>
              <w:keepNext/>
              <w:ind w:right="-94"/>
              <w:rPr>
                <w:rFonts w:ascii="Arial Narrow" w:hAnsi="Arial Narrow" w:cs="Calibri"/>
                <w:sz w:val="20"/>
                <w:szCs w:val="20"/>
              </w:rPr>
            </w:pPr>
            <w:r w:rsidRPr="0019444B">
              <w:rPr>
                <w:rFonts w:ascii="Arial Narrow" w:hAnsi="Arial Narrow" w:cs="Calibri"/>
                <w:sz w:val="20"/>
                <w:szCs w:val="20"/>
              </w:rPr>
              <w:t>AE leading to death, n (%)</w:t>
            </w:r>
          </w:p>
        </w:tc>
        <w:tc>
          <w:tcPr>
            <w:tcW w:w="993" w:type="dxa"/>
            <w:tcBorders>
              <w:top w:val="single" w:sz="4" w:space="0" w:color="000000"/>
              <w:left w:val="single" w:sz="4" w:space="0" w:color="000000"/>
              <w:bottom w:val="single" w:sz="4" w:space="0" w:color="000000"/>
              <w:right w:val="single" w:sz="4" w:space="0" w:color="000000"/>
            </w:tcBorders>
            <w:vAlign w:val="center"/>
          </w:tcPr>
          <w:p w14:paraId="41FCA0BF" w14:textId="77777777" w:rsidR="00C83142" w:rsidRPr="0019444B" w:rsidRDefault="00C83142" w:rsidP="002B56EE">
            <w:pPr>
              <w:pStyle w:val="TableText0"/>
              <w:ind w:right="-114"/>
              <w:jc w:val="both"/>
              <w:rPr>
                <w:rFonts w:cs="Calibri"/>
                <w:sz w:val="20"/>
                <w:szCs w:val="20"/>
              </w:rPr>
            </w:pPr>
            <w:r w:rsidRPr="0019444B">
              <w:rPr>
                <w:rFonts w:cs="Calibri"/>
                <w:szCs w:val="20"/>
              </w:rPr>
              <w:t>6 (3.4)</w:t>
            </w:r>
          </w:p>
        </w:tc>
        <w:tc>
          <w:tcPr>
            <w:tcW w:w="992" w:type="dxa"/>
            <w:tcBorders>
              <w:top w:val="single" w:sz="4" w:space="0" w:color="000000"/>
              <w:left w:val="single" w:sz="4" w:space="0" w:color="000000"/>
              <w:bottom w:val="single" w:sz="4" w:space="0" w:color="000000"/>
              <w:right w:val="single" w:sz="4" w:space="0" w:color="000000"/>
            </w:tcBorders>
            <w:vAlign w:val="center"/>
          </w:tcPr>
          <w:p w14:paraId="13AFA717" w14:textId="77777777" w:rsidR="00C83142" w:rsidRPr="0019444B" w:rsidRDefault="00C83142" w:rsidP="002B56EE">
            <w:pPr>
              <w:keepNext/>
              <w:ind w:right="-114"/>
              <w:rPr>
                <w:rFonts w:ascii="Arial Narrow" w:hAnsi="Arial Narrow" w:cs="Calibri"/>
                <w:sz w:val="20"/>
                <w:szCs w:val="20"/>
              </w:rPr>
            </w:pPr>
            <w:r w:rsidRPr="0019444B">
              <w:rPr>
                <w:rFonts w:ascii="Arial Narrow" w:hAnsi="Arial Narrow" w:cs="Calibri"/>
                <w:sz w:val="20"/>
                <w:szCs w:val="20"/>
              </w:rPr>
              <w:t>4 (2.2)</w:t>
            </w:r>
          </w:p>
        </w:tc>
        <w:tc>
          <w:tcPr>
            <w:tcW w:w="992" w:type="dxa"/>
            <w:tcBorders>
              <w:top w:val="single" w:sz="4" w:space="0" w:color="000000"/>
              <w:left w:val="single" w:sz="4" w:space="0" w:color="000000"/>
              <w:bottom w:val="single" w:sz="4" w:space="0" w:color="000000"/>
            </w:tcBorders>
            <w:vAlign w:val="center"/>
          </w:tcPr>
          <w:p w14:paraId="54A9DFD1" w14:textId="77777777" w:rsidR="00C83142" w:rsidRPr="0019444B" w:rsidRDefault="00C83142" w:rsidP="002B56EE">
            <w:pPr>
              <w:keepNext/>
              <w:ind w:right="-114"/>
              <w:rPr>
                <w:rFonts w:ascii="Arial Narrow" w:hAnsi="Arial Narrow" w:cs="Calibri"/>
                <w:sz w:val="20"/>
                <w:szCs w:val="20"/>
              </w:rPr>
            </w:pPr>
            <w:r w:rsidRPr="0019444B">
              <w:rPr>
                <w:rFonts w:ascii="Arial Narrow" w:hAnsi="Arial Narrow" w:cs="Calibri"/>
                <w:sz w:val="20"/>
                <w:szCs w:val="20"/>
              </w:rPr>
              <w:t>10 (5.9)</w:t>
            </w:r>
          </w:p>
        </w:tc>
        <w:tc>
          <w:tcPr>
            <w:tcW w:w="1134" w:type="dxa"/>
            <w:tcBorders>
              <w:top w:val="single" w:sz="4" w:space="0" w:color="000000"/>
              <w:left w:val="single" w:sz="4" w:space="0" w:color="000000"/>
              <w:bottom w:val="single" w:sz="4" w:space="0" w:color="000000"/>
              <w:right w:val="single" w:sz="4" w:space="0" w:color="000000"/>
            </w:tcBorders>
            <w:vAlign w:val="center"/>
          </w:tcPr>
          <w:p w14:paraId="13FC3330" w14:textId="77777777" w:rsidR="00C83142" w:rsidRPr="0019444B" w:rsidRDefault="00C83142" w:rsidP="002B56EE">
            <w:pPr>
              <w:keepNext/>
              <w:ind w:right="-114"/>
              <w:rPr>
                <w:rFonts w:ascii="Arial Narrow" w:hAnsi="Arial Narrow" w:cs="Calibri"/>
                <w:sz w:val="20"/>
                <w:szCs w:val="20"/>
              </w:rPr>
            </w:pPr>
            <w:r w:rsidRPr="0019444B">
              <w:rPr>
                <w:rFonts w:ascii="Arial Narrow" w:hAnsi="Arial Narrow" w:cs="Calibri"/>
                <w:sz w:val="20"/>
                <w:szCs w:val="20"/>
              </w:rPr>
              <w:t>11 (4.6)</w:t>
            </w:r>
          </w:p>
        </w:tc>
        <w:tc>
          <w:tcPr>
            <w:tcW w:w="992" w:type="dxa"/>
            <w:tcBorders>
              <w:top w:val="single" w:sz="4" w:space="0" w:color="000000"/>
              <w:left w:val="single" w:sz="4" w:space="0" w:color="000000"/>
              <w:bottom w:val="single" w:sz="4" w:space="0" w:color="000000"/>
              <w:right w:val="single" w:sz="4" w:space="0" w:color="000000"/>
            </w:tcBorders>
            <w:vAlign w:val="center"/>
          </w:tcPr>
          <w:p w14:paraId="4D447F3F" w14:textId="77777777" w:rsidR="00C83142" w:rsidRPr="0019444B" w:rsidRDefault="00C83142" w:rsidP="002B56EE">
            <w:pPr>
              <w:keepNext/>
              <w:ind w:right="-114"/>
              <w:rPr>
                <w:rFonts w:ascii="Arial Narrow" w:hAnsi="Arial Narrow" w:cs="Calibri"/>
                <w:sz w:val="20"/>
                <w:szCs w:val="20"/>
              </w:rPr>
            </w:pPr>
            <w:r w:rsidRPr="0019444B">
              <w:rPr>
                <w:rFonts w:ascii="Arial Narrow" w:hAnsi="Arial Narrow" w:cs="Calibri"/>
                <w:sz w:val="20"/>
                <w:szCs w:val="20"/>
              </w:rPr>
              <w:t>3 (2.7)</w:t>
            </w:r>
          </w:p>
        </w:tc>
        <w:tc>
          <w:tcPr>
            <w:tcW w:w="1021" w:type="dxa"/>
            <w:tcBorders>
              <w:top w:val="single" w:sz="4" w:space="0" w:color="000000"/>
              <w:left w:val="single" w:sz="4" w:space="0" w:color="000000"/>
              <w:bottom w:val="single" w:sz="4" w:space="0" w:color="000000"/>
              <w:right w:val="single" w:sz="4" w:space="0" w:color="000000"/>
            </w:tcBorders>
            <w:vAlign w:val="center"/>
          </w:tcPr>
          <w:p w14:paraId="57D26050" w14:textId="77777777" w:rsidR="00C83142" w:rsidRPr="0019444B" w:rsidRDefault="00C83142" w:rsidP="002B56EE">
            <w:pPr>
              <w:keepNext/>
              <w:ind w:right="-114"/>
              <w:rPr>
                <w:rFonts w:ascii="Arial Narrow" w:hAnsi="Arial Narrow" w:cs="Calibri"/>
                <w:sz w:val="20"/>
                <w:szCs w:val="20"/>
              </w:rPr>
            </w:pPr>
            <w:r w:rsidRPr="0019444B">
              <w:rPr>
                <w:rFonts w:ascii="Arial Narrow" w:hAnsi="Arial Narrow" w:cs="Calibri"/>
                <w:sz w:val="20"/>
                <w:szCs w:val="20"/>
              </w:rPr>
              <w:t>11 (4.8)</w:t>
            </w:r>
          </w:p>
        </w:tc>
      </w:tr>
      <w:tr w:rsidR="00C83142" w:rsidRPr="0019444B" w14:paraId="5AD25F65" w14:textId="77777777" w:rsidTr="002B56EE">
        <w:tc>
          <w:tcPr>
            <w:tcW w:w="2948" w:type="dxa"/>
            <w:tcBorders>
              <w:top w:val="single" w:sz="4" w:space="0" w:color="000000"/>
              <w:bottom w:val="single" w:sz="4" w:space="0" w:color="000000"/>
              <w:right w:val="single" w:sz="4" w:space="0" w:color="000000"/>
            </w:tcBorders>
            <w:vAlign w:val="center"/>
          </w:tcPr>
          <w:p w14:paraId="0998FB7D" w14:textId="77777777" w:rsidR="00C83142" w:rsidRPr="0019444B" w:rsidRDefault="00C83142" w:rsidP="002B56EE">
            <w:pPr>
              <w:keepNext/>
              <w:ind w:right="-94"/>
              <w:rPr>
                <w:rFonts w:ascii="Arial Narrow" w:hAnsi="Arial Narrow" w:cs="Calibri"/>
                <w:sz w:val="20"/>
                <w:szCs w:val="20"/>
              </w:rPr>
            </w:pPr>
            <w:r w:rsidRPr="0019444B">
              <w:rPr>
                <w:rFonts w:ascii="Arial Narrow" w:hAnsi="Arial Narrow" w:cs="Calibri"/>
                <w:sz w:val="20"/>
                <w:szCs w:val="20"/>
              </w:rPr>
              <w:t>Any AE, n (%)</w:t>
            </w:r>
          </w:p>
        </w:tc>
        <w:tc>
          <w:tcPr>
            <w:tcW w:w="993" w:type="dxa"/>
            <w:tcBorders>
              <w:top w:val="single" w:sz="4" w:space="0" w:color="000000"/>
              <w:left w:val="single" w:sz="4" w:space="0" w:color="000000"/>
              <w:bottom w:val="single" w:sz="4" w:space="0" w:color="000000"/>
              <w:right w:val="single" w:sz="4" w:space="0" w:color="000000"/>
            </w:tcBorders>
            <w:vAlign w:val="center"/>
          </w:tcPr>
          <w:p w14:paraId="4CF49BF0" w14:textId="77777777" w:rsidR="00C83142" w:rsidRPr="0019444B" w:rsidRDefault="00C83142" w:rsidP="002B56EE">
            <w:pPr>
              <w:pStyle w:val="TableText0"/>
              <w:ind w:right="-114"/>
              <w:jc w:val="both"/>
              <w:rPr>
                <w:rFonts w:cs="Calibri"/>
                <w:sz w:val="20"/>
                <w:szCs w:val="20"/>
              </w:rPr>
            </w:pPr>
            <w:r w:rsidRPr="0019444B">
              <w:rPr>
                <w:rFonts w:cs="Calibri"/>
                <w:szCs w:val="20"/>
              </w:rPr>
              <w:t>170 (95.0)</w:t>
            </w:r>
          </w:p>
        </w:tc>
        <w:tc>
          <w:tcPr>
            <w:tcW w:w="992" w:type="dxa"/>
            <w:tcBorders>
              <w:top w:val="single" w:sz="4" w:space="0" w:color="000000"/>
              <w:left w:val="single" w:sz="4" w:space="0" w:color="000000"/>
              <w:bottom w:val="single" w:sz="4" w:space="0" w:color="000000"/>
              <w:right w:val="single" w:sz="4" w:space="0" w:color="000000"/>
            </w:tcBorders>
            <w:vAlign w:val="center"/>
          </w:tcPr>
          <w:p w14:paraId="5F0F227F" w14:textId="77777777" w:rsidR="00C83142" w:rsidRPr="0019444B" w:rsidRDefault="00C83142" w:rsidP="002B56EE">
            <w:pPr>
              <w:pStyle w:val="TableText0"/>
              <w:ind w:right="-114"/>
              <w:jc w:val="both"/>
              <w:rPr>
                <w:rFonts w:cs="Calibri"/>
                <w:bCs w:val="0"/>
                <w:sz w:val="20"/>
                <w:szCs w:val="20"/>
              </w:rPr>
            </w:pPr>
            <w:r w:rsidRPr="0019444B">
              <w:rPr>
                <w:rFonts w:cs="Calibri"/>
                <w:szCs w:val="20"/>
              </w:rPr>
              <w:t>171 (96.1)</w:t>
            </w:r>
          </w:p>
        </w:tc>
        <w:tc>
          <w:tcPr>
            <w:tcW w:w="992" w:type="dxa"/>
            <w:tcBorders>
              <w:top w:val="single" w:sz="4" w:space="0" w:color="000000"/>
              <w:left w:val="single" w:sz="4" w:space="0" w:color="000000"/>
              <w:bottom w:val="single" w:sz="4" w:space="0" w:color="000000"/>
            </w:tcBorders>
            <w:vAlign w:val="center"/>
          </w:tcPr>
          <w:p w14:paraId="62AB59F2" w14:textId="77777777" w:rsidR="00C83142" w:rsidRPr="0019444B" w:rsidRDefault="00C83142" w:rsidP="002B56EE">
            <w:pPr>
              <w:pStyle w:val="TableText0"/>
              <w:ind w:right="-114"/>
              <w:jc w:val="both"/>
              <w:rPr>
                <w:rFonts w:cs="Calibri"/>
                <w:bCs w:val="0"/>
                <w:sz w:val="20"/>
                <w:szCs w:val="20"/>
              </w:rPr>
            </w:pPr>
            <w:r w:rsidRPr="0019444B">
              <w:rPr>
                <w:rFonts w:cs="Calibri"/>
                <w:szCs w:val="20"/>
              </w:rPr>
              <w:t>167 (98.8)</w:t>
            </w:r>
          </w:p>
        </w:tc>
        <w:tc>
          <w:tcPr>
            <w:tcW w:w="1134" w:type="dxa"/>
            <w:tcBorders>
              <w:top w:val="single" w:sz="4" w:space="0" w:color="000000"/>
              <w:left w:val="single" w:sz="4" w:space="0" w:color="000000"/>
              <w:bottom w:val="single" w:sz="4" w:space="0" w:color="000000"/>
            </w:tcBorders>
            <w:vAlign w:val="center"/>
          </w:tcPr>
          <w:p w14:paraId="62A683C3" w14:textId="77777777" w:rsidR="00C83142" w:rsidRPr="0019444B" w:rsidRDefault="00C83142" w:rsidP="002B56EE">
            <w:pPr>
              <w:pStyle w:val="TableText0"/>
              <w:ind w:right="-114"/>
              <w:jc w:val="both"/>
              <w:rPr>
                <w:rFonts w:cs="Calibri"/>
                <w:bCs w:val="0"/>
                <w:sz w:val="20"/>
                <w:szCs w:val="20"/>
              </w:rPr>
            </w:pPr>
            <w:r w:rsidRPr="0019444B">
              <w:rPr>
                <w:rFonts w:cs="Calibri"/>
                <w:szCs w:val="20"/>
              </w:rPr>
              <w:t>224 (93.3)</w:t>
            </w:r>
          </w:p>
        </w:tc>
        <w:tc>
          <w:tcPr>
            <w:tcW w:w="992" w:type="dxa"/>
            <w:tcBorders>
              <w:top w:val="single" w:sz="4" w:space="0" w:color="000000"/>
              <w:left w:val="single" w:sz="4" w:space="0" w:color="000000"/>
              <w:bottom w:val="single" w:sz="4" w:space="0" w:color="000000"/>
            </w:tcBorders>
            <w:vAlign w:val="center"/>
          </w:tcPr>
          <w:p w14:paraId="2919AA6E" w14:textId="77777777" w:rsidR="00C83142" w:rsidRPr="0019444B" w:rsidRDefault="00C83142" w:rsidP="002B56EE">
            <w:pPr>
              <w:pStyle w:val="TableText0"/>
              <w:ind w:right="-114"/>
              <w:jc w:val="both"/>
              <w:rPr>
                <w:rFonts w:cs="Calibri"/>
                <w:sz w:val="20"/>
                <w:szCs w:val="20"/>
              </w:rPr>
            </w:pPr>
            <w:r w:rsidRPr="0019444B">
              <w:rPr>
                <w:rFonts w:cs="Calibri"/>
                <w:szCs w:val="20"/>
              </w:rPr>
              <w:t>109 (98.2)</w:t>
            </w:r>
          </w:p>
        </w:tc>
        <w:tc>
          <w:tcPr>
            <w:tcW w:w="1021" w:type="dxa"/>
            <w:tcBorders>
              <w:top w:val="single" w:sz="4" w:space="0" w:color="000000"/>
              <w:left w:val="single" w:sz="4" w:space="0" w:color="000000"/>
              <w:bottom w:val="single" w:sz="4" w:space="0" w:color="000000"/>
              <w:right w:val="single" w:sz="4" w:space="0" w:color="000000"/>
            </w:tcBorders>
            <w:vAlign w:val="center"/>
          </w:tcPr>
          <w:p w14:paraId="58AC0897" w14:textId="77777777" w:rsidR="00C83142" w:rsidRPr="0019444B" w:rsidRDefault="00C83142" w:rsidP="002B56EE">
            <w:pPr>
              <w:pStyle w:val="TableText0"/>
              <w:ind w:right="-114"/>
              <w:jc w:val="both"/>
              <w:rPr>
                <w:rFonts w:cs="Calibri"/>
                <w:sz w:val="20"/>
                <w:szCs w:val="20"/>
              </w:rPr>
            </w:pPr>
            <w:r w:rsidRPr="0019444B">
              <w:rPr>
                <w:rFonts w:cs="Calibri"/>
                <w:szCs w:val="20"/>
              </w:rPr>
              <w:t>218 (96.0)</w:t>
            </w:r>
          </w:p>
        </w:tc>
      </w:tr>
    </w:tbl>
    <w:p w14:paraId="53A29E06" w14:textId="77777777" w:rsidR="00C83142" w:rsidRPr="0019444B" w:rsidRDefault="00C83142" w:rsidP="00C83142">
      <w:pPr>
        <w:keepNext/>
        <w:rPr>
          <w:rFonts w:ascii="Arial Narrow" w:hAnsi="Arial Narrow"/>
          <w:snapToGrid w:val="0"/>
          <w:sz w:val="18"/>
          <w:szCs w:val="18"/>
        </w:rPr>
      </w:pPr>
      <w:r w:rsidRPr="0019444B">
        <w:rPr>
          <w:rFonts w:ascii="Arial Narrow" w:hAnsi="Arial Narrow"/>
          <w:snapToGrid w:val="0"/>
          <w:sz w:val="18"/>
          <w:szCs w:val="18"/>
        </w:rPr>
        <w:t>Source: Table 2.105, p.206 of the resubmission</w:t>
      </w:r>
    </w:p>
    <w:p w14:paraId="20954172" w14:textId="6B7F2E87" w:rsidR="00C83142" w:rsidRPr="0019444B" w:rsidRDefault="00C83142" w:rsidP="00CA022C">
      <w:pPr>
        <w:spacing w:after="120"/>
        <w:rPr>
          <w:rFonts w:ascii="Arial Narrow" w:hAnsi="Arial Narrow"/>
          <w:snapToGrid w:val="0"/>
          <w:sz w:val="18"/>
          <w:szCs w:val="18"/>
        </w:rPr>
      </w:pPr>
      <w:r w:rsidRPr="0019444B">
        <w:rPr>
          <w:rFonts w:ascii="Arial Narrow" w:hAnsi="Arial Narrow"/>
          <w:snapToGrid w:val="0"/>
          <w:sz w:val="18"/>
          <w:szCs w:val="18"/>
        </w:rPr>
        <w:t>ACA= acalabrutinib, BEND= bendamustine, CHL= chlorambucil, OBIN= obinutuzumab, RIT= rituximab, ZANU= zanubrutin</w:t>
      </w:r>
      <w:r w:rsidR="00916857" w:rsidRPr="0019444B">
        <w:rPr>
          <w:rFonts w:ascii="Arial Narrow" w:hAnsi="Arial Narrow"/>
          <w:snapToGrid w:val="0"/>
          <w:sz w:val="18"/>
          <w:szCs w:val="18"/>
        </w:rPr>
        <w:t>i</w:t>
      </w:r>
      <w:r w:rsidRPr="0019444B">
        <w:rPr>
          <w:rFonts w:ascii="Arial Narrow" w:hAnsi="Arial Narrow"/>
          <w:snapToGrid w:val="0"/>
          <w:sz w:val="18"/>
          <w:szCs w:val="18"/>
        </w:rPr>
        <w:t>b, SAEs= serious adverse events, SP= safety population, TRAEs= treatment related adverse events, w/o= without, w=with</w:t>
      </w:r>
    </w:p>
    <w:p w14:paraId="25166B4D" w14:textId="77777777" w:rsidR="003965B7" w:rsidRPr="0019444B" w:rsidRDefault="007F1017" w:rsidP="00E9094A">
      <w:pPr>
        <w:pStyle w:val="4-SubsectionHeading"/>
      </w:pPr>
      <w:bookmarkStart w:id="65" w:name="_Toc135225274"/>
      <w:r w:rsidRPr="0019444B">
        <w:t>Benefits/harms</w:t>
      </w:r>
      <w:bookmarkStart w:id="66" w:name="_Toc22897644"/>
      <w:bookmarkEnd w:id="42"/>
      <w:bookmarkEnd w:id="65"/>
    </w:p>
    <w:p w14:paraId="7D79DE63" w14:textId="31D84642" w:rsidR="00901360" w:rsidRPr="0019444B" w:rsidRDefault="00395B12" w:rsidP="00270DE2">
      <w:pPr>
        <w:pStyle w:val="3-BodyText"/>
        <w:numPr>
          <w:ilvl w:val="1"/>
          <w:numId w:val="1"/>
        </w:numPr>
        <w:ind w:left="709" w:hanging="709"/>
        <w:rPr>
          <w:iCs/>
        </w:rPr>
      </w:pPr>
      <w:bookmarkStart w:id="67" w:name="_Hlk132293420"/>
      <w:r w:rsidRPr="0019444B">
        <w:t xml:space="preserve">A benefits and harms table </w:t>
      </w:r>
      <w:proofErr w:type="gramStart"/>
      <w:r w:rsidRPr="0019444B">
        <w:t>was</w:t>
      </w:r>
      <w:proofErr w:type="gramEnd"/>
      <w:r w:rsidRPr="0019444B">
        <w:t xml:space="preserve"> not presented as the submission made a claim of non-inferiority for effectiveness.</w:t>
      </w:r>
    </w:p>
    <w:p w14:paraId="7A1772B6" w14:textId="2DECFDA0" w:rsidR="00B60939" w:rsidRPr="0019444B" w:rsidRDefault="00B60939" w:rsidP="00E9094A">
      <w:pPr>
        <w:pStyle w:val="4-SubsectionHeading"/>
      </w:pPr>
      <w:bookmarkStart w:id="68" w:name="_Toc135225275"/>
      <w:bookmarkEnd w:id="67"/>
      <w:r w:rsidRPr="0019444B">
        <w:t>Clinical</w:t>
      </w:r>
      <w:r w:rsidR="00C21220" w:rsidRPr="0019444B">
        <w:t xml:space="preserve"> </w:t>
      </w:r>
      <w:r w:rsidRPr="0019444B">
        <w:t>claim</w:t>
      </w:r>
      <w:bookmarkEnd w:id="66"/>
      <w:bookmarkEnd w:id="68"/>
    </w:p>
    <w:p w14:paraId="59D77B29" w14:textId="77777777" w:rsidR="007101A1" w:rsidRPr="0019444B" w:rsidRDefault="00901360" w:rsidP="00270DE2">
      <w:pPr>
        <w:pStyle w:val="3-BodyText"/>
        <w:numPr>
          <w:ilvl w:val="1"/>
          <w:numId w:val="1"/>
        </w:numPr>
        <w:ind w:left="709" w:hanging="709"/>
        <w:rPr>
          <w:iCs/>
        </w:rPr>
      </w:pPr>
      <w:bookmarkStart w:id="69" w:name="_Toc22897645"/>
      <w:r w:rsidRPr="0019444B">
        <w:t xml:space="preserve">The </w:t>
      </w:r>
      <w:r w:rsidR="00EB7C29" w:rsidRPr="0019444B">
        <w:t>re</w:t>
      </w:r>
      <w:r w:rsidRPr="0019444B">
        <w:t>submission described ACA</w:t>
      </w:r>
      <w:r w:rsidR="00A45ED6" w:rsidRPr="0019444B">
        <w:t>+/-</w:t>
      </w:r>
      <w:r w:rsidRPr="0019444B">
        <w:t>OBIN as non-inferior in terms of effectiveness compared with VTX+OBIN and superior in terms of safety compared to VTX+OBIN in patients with previously untreated CLL/SLL.</w:t>
      </w:r>
      <w:r w:rsidRPr="0019444B">
        <w:rPr>
          <w:iCs/>
        </w:rPr>
        <w:t xml:space="preserve"> </w:t>
      </w:r>
    </w:p>
    <w:p w14:paraId="74D35B0D" w14:textId="5650550A" w:rsidR="00A50AA4" w:rsidRPr="0019444B" w:rsidRDefault="00901360" w:rsidP="00270DE2">
      <w:pPr>
        <w:pStyle w:val="3-BodyText"/>
        <w:numPr>
          <w:ilvl w:val="1"/>
          <w:numId w:val="1"/>
        </w:numPr>
        <w:ind w:left="709" w:hanging="709"/>
        <w:rPr>
          <w:iCs/>
        </w:rPr>
      </w:pPr>
      <w:r w:rsidRPr="0019444B">
        <w:rPr>
          <w:iCs/>
        </w:rPr>
        <w:t xml:space="preserve">The </w:t>
      </w:r>
      <w:r w:rsidR="00A50AA4" w:rsidRPr="0019444B">
        <w:rPr>
          <w:iCs/>
        </w:rPr>
        <w:t xml:space="preserve">ESC considered </w:t>
      </w:r>
      <w:r w:rsidR="007101A1" w:rsidRPr="0019444B">
        <w:rPr>
          <w:iCs/>
        </w:rPr>
        <w:t>the effectiveness</w:t>
      </w:r>
      <w:r w:rsidR="00A50AA4" w:rsidRPr="0019444B">
        <w:rPr>
          <w:iCs/>
        </w:rPr>
        <w:t xml:space="preserve"> claim was likely supported but with a high degree of uncertainty due to a lack of transparency regarding the details of the MAIC, </w:t>
      </w:r>
      <w:r w:rsidR="0080529C" w:rsidRPr="0019444B">
        <w:rPr>
          <w:iCs/>
        </w:rPr>
        <w:t>and</w:t>
      </w:r>
      <w:r w:rsidR="00522E83" w:rsidRPr="0019444B">
        <w:rPr>
          <w:iCs/>
        </w:rPr>
        <w:t xml:space="preserve"> potentially</w:t>
      </w:r>
      <w:r w:rsidR="0080529C" w:rsidRPr="0019444B">
        <w:rPr>
          <w:iCs/>
        </w:rPr>
        <w:t xml:space="preserve"> </w:t>
      </w:r>
      <w:r w:rsidR="00A50AA4" w:rsidRPr="0019444B">
        <w:rPr>
          <w:iCs/>
        </w:rPr>
        <w:t>lack of appropriate adjustment of effect modifiers in the MAIC.</w:t>
      </w:r>
    </w:p>
    <w:p w14:paraId="3003FFA1" w14:textId="67A5A451" w:rsidR="008F6085" w:rsidRPr="0019444B" w:rsidRDefault="00A50AA4" w:rsidP="0080529C">
      <w:pPr>
        <w:pStyle w:val="3-BodyText"/>
        <w:numPr>
          <w:ilvl w:val="1"/>
          <w:numId w:val="1"/>
        </w:numPr>
        <w:ind w:left="709" w:hanging="709"/>
      </w:pPr>
      <w:r w:rsidRPr="0019444B">
        <w:t xml:space="preserve">For the claim of </w:t>
      </w:r>
      <w:r w:rsidR="00EC6C4F" w:rsidRPr="0019444B">
        <w:t xml:space="preserve">superior </w:t>
      </w:r>
      <w:r w:rsidRPr="0019444B">
        <w:t xml:space="preserve">safety, the </w:t>
      </w:r>
      <w:r w:rsidRPr="0019444B">
        <w:rPr>
          <w:iCs/>
        </w:rPr>
        <w:t>issues regarding the MAIC methodology presented in the previous submission remain</w:t>
      </w:r>
      <w:r w:rsidR="00694111" w:rsidRPr="0019444B">
        <w:rPr>
          <w:iCs/>
        </w:rPr>
        <w:t>ed</w:t>
      </w:r>
      <w:r w:rsidRPr="0019444B">
        <w:rPr>
          <w:iCs/>
        </w:rPr>
        <w:t>, introducing uncertainty to the results.</w:t>
      </w:r>
      <w:r w:rsidR="00925494" w:rsidRPr="0019444B">
        <w:rPr>
          <w:iCs/>
        </w:rPr>
        <w:t xml:space="preserve"> </w:t>
      </w:r>
      <w:r w:rsidR="00694111" w:rsidRPr="0019444B">
        <w:rPr>
          <w:iCs/>
        </w:rPr>
        <w:t>I</w:t>
      </w:r>
      <w:r w:rsidR="00925494" w:rsidRPr="0019444B">
        <w:rPr>
          <w:iCs/>
        </w:rPr>
        <w:t>ndividual trial safety results</w:t>
      </w:r>
      <w:r w:rsidR="00694111" w:rsidRPr="0019444B">
        <w:rPr>
          <w:iCs/>
        </w:rPr>
        <w:t xml:space="preserve"> also</w:t>
      </w:r>
      <w:r w:rsidR="00925494" w:rsidRPr="0019444B">
        <w:rPr>
          <w:iCs/>
        </w:rPr>
        <w:t xml:space="preserve"> showed some inconsistencies that ma</w:t>
      </w:r>
      <w:r w:rsidR="00694111" w:rsidRPr="0019444B">
        <w:rPr>
          <w:iCs/>
        </w:rPr>
        <w:t>de</w:t>
      </w:r>
      <w:r w:rsidR="00925494" w:rsidRPr="0019444B">
        <w:rPr>
          <w:iCs/>
        </w:rPr>
        <w:t xml:space="preserve"> the claim of safety superiority uncertain. </w:t>
      </w:r>
      <w:r w:rsidR="00694111" w:rsidRPr="0019444B">
        <w:rPr>
          <w:iCs/>
        </w:rPr>
        <w:t xml:space="preserve">Patients treated with </w:t>
      </w:r>
      <w:r w:rsidR="00925494" w:rsidRPr="0019444B">
        <w:rPr>
          <w:iCs/>
        </w:rPr>
        <w:t xml:space="preserve">ACA+OBIN at 58.2 months median follow-up </w:t>
      </w:r>
      <w:r w:rsidR="00694111" w:rsidRPr="0019444B">
        <w:rPr>
          <w:iCs/>
        </w:rPr>
        <w:t>ha</w:t>
      </w:r>
      <w:r w:rsidR="00925494" w:rsidRPr="0019444B">
        <w:rPr>
          <w:iCs/>
        </w:rPr>
        <w:t>d a higher proportion of Grade ≥3 TEAEs than VTX+OBIN at 39.</w:t>
      </w:r>
      <w:r w:rsidR="0071414E" w:rsidRPr="0019444B">
        <w:rPr>
          <w:iCs/>
        </w:rPr>
        <w:t>6</w:t>
      </w:r>
      <w:r w:rsidR="00925494" w:rsidRPr="0019444B">
        <w:rPr>
          <w:iCs/>
        </w:rPr>
        <w:t xml:space="preserve"> months median follow-up, while ACA showed a lower proportion. Regarding AEs leading to death for the available longest VTX+OBIN follow-up of 52.4 months, </w:t>
      </w:r>
      <w:r w:rsidR="00694111" w:rsidRPr="0019444B">
        <w:rPr>
          <w:iCs/>
        </w:rPr>
        <w:t xml:space="preserve">patients treated with </w:t>
      </w:r>
      <w:r w:rsidR="00925494" w:rsidRPr="0019444B">
        <w:rPr>
          <w:iCs/>
        </w:rPr>
        <w:t xml:space="preserve">ACA+OBIN </w:t>
      </w:r>
      <w:r w:rsidR="00694111" w:rsidRPr="0019444B">
        <w:rPr>
          <w:iCs/>
        </w:rPr>
        <w:t>ha</w:t>
      </w:r>
      <w:r w:rsidR="00925494" w:rsidRPr="0019444B">
        <w:rPr>
          <w:iCs/>
        </w:rPr>
        <w:t xml:space="preserve">d a lower proportion of AEs leading to death than VTX+OBIN, while </w:t>
      </w:r>
      <w:r w:rsidR="00694111" w:rsidRPr="0019444B">
        <w:rPr>
          <w:iCs/>
        </w:rPr>
        <w:t xml:space="preserve">patients treated with </w:t>
      </w:r>
      <w:r w:rsidR="00925494" w:rsidRPr="0019444B">
        <w:rPr>
          <w:iCs/>
        </w:rPr>
        <w:t xml:space="preserve">ACA </w:t>
      </w:r>
      <w:r w:rsidR="00694111" w:rsidRPr="0019444B">
        <w:rPr>
          <w:iCs/>
        </w:rPr>
        <w:t>ha</w:t>
      </w:r>
      <w:r w:rsidR="00925494" w:rsidRPr="0019444B">
        <w:rPr>
          <w:iCs/>
        </w:rPr>
        <w:t>d a similar proportion. No other</w:t>
      </w:r>
      <w:r w:rsidR="00925494" w:rsidRPr="0019444B">
        <w:t xml:space="preserve"> detailed safety analyses have been reported after the 39.</w:t>
      </w:r>
      <w:r w:rsidR="0071414E" w:rsidRPr="0019444B">
        <w:t>6</w:t>
      </w:r>
      <w:r w:rsidR="00925494" w:rsidRPr="0019444B">
        <w:t xml:space="preserve"> months of follow-up data for CLL-14, which limit</w:t>
      </w:r>
      <w:r w:rsidR="00694111" w:rsidRPr="0019444B">
        <w:t>ed</w:t>
      </w:r>
      <w:r w:rsidR="00925494" w:rsidRPr="0019444B">
        <w:t xml:space="preserve"> performing an updated MAIC for safety outcomes based on a longer follow-up. </w:t>
      </w:r>
      <w:r w:rsidR="00522E83" w:rsidRPr="0019444B">
        <w:t>T</w:t>
      </w:r>
      <w:r w:rsidR="00925494" w:rsidRPr="0019444B">
        <w:t>he ESC considered the resubmission’s claim</w:t>
      </w:r>
      <w:r w:rsidR="00522E83" w:rsidRPr="0019444B">
        <w:t xml:space="preserve"> of superiority</w:t>
      </w:r>
      <w:r w:rsidR="00925494" w:rsidRPr="0019444B">
        <w:t xml:space="preserve"> was not supported and a claim of non-inferior safety would be more appropriate.</w:t>
      </w:r>
      <w:r w:rsidR="00925494" w:rsidRPr="0019444B">
        <w:rPr>
          <w:i/>
          <w:iCs/>
        </w:rPr>
        <w:t xml:space="preserve"> </w:t>
      </w:r>
      <w:r w:rsidR="00DF3E65" w:rsidRPr="0019444B">
        <w:t>The pre-PBAC response stated that the sponsor pragmatically accept</w:t>
      </w:r>
      <w:r w:rsidR="00694111" w:rsidRPr="0019444B">
        <w:t>ed</w:t>
      </w:r>
      <w:r w:rsidR="00DF3E65" w:rsidRPr="0019444B">
        <w:t xml:space="preserve"> a clinical claim of non-inferior safety for ACA+/-OBIN compared to VTX+OBIN in this patient population.</w:t>
      </w:r>
    </w:p>
    <w:p w14:paraId="5E56266D" w14:textId="0928E81C" w:rsidR="004F2A19" w:rsidRPr="0019444B" w:rsidRDefault="004F2A19" w:rsidP="004F2A19">
      <w:pPr>
        <w:widowControl w:val="0"/>
        <w:numPr>
          <w:ilvl w:val="1"/>
          <w:numId w:val="1"/>
        </w:numPr>
        <w:spacing w:after="120"/>
        <w:rPr>
          <w:rFonts w:asciiTheme="minorHAnsi" w:hAnsiTheme="minorHAnsi"/>
          <w:snapToGrid w:val="0"/>
          <w:szCs w:val="20"/>
        </w:rPr>
      </w:pPr>
      <w:bookmarkStart w:id="70" w:name="_Hlk76376200"/>
      <w:r w:rsidRPr="0019444B">
        <w:rPr>
          <w:rFonts w:asciiTheme="minorHAnsi" w:hAnsiTheme="minorHAnsi"/>
          <w:iCs/>
          <w:snapToGrid w:val="0"/>
        </w:rPr>
        <w:t>The</w:t>
      </w:r>
      <w:r w:rsidRPr="0019444B">
        <w:rPr>
          <w:rFonts w:asciiTheme="minorHAnsi" w:hAnsiTheme="minorHAnsi"/>
          <w:snapToGrid w:val="0"/>
          <w:szCs w:val="20"/>
        </w:rPr>
        <w:t xml:space="preserve"> PBAC considered that the claim of non-inferior comparative effectiveness </w:t>
      </w:r>
      <w:r w:rsidR="00F37D4A" w:rsidRPr="0019444B">
        <w:rPr>
          <w:rFonts w:asciiTheme="minorHAnsi" w:hAnsiTheme="minorHAnsi"/>
          <w:snapToGrid w:val="0"/>
          <w:szCs w:val="20"/>
        </w:rPr>
        <w:t xml:space="preserve">of ACA +/- OBIN compared to VTX+OBIN </w:t>
      </w:r>
      <w:r w:rsidRPr="0019444B">
        <w:rPr>
          <w:rFonts w:asciiTheme="minorHAnsi" w:hAnsiTheme="minorHAnsi"/>
          <w:snapToGrid w:val="0"/>
          <w:szCs w:val="20"/>
        </w:rPr>
        <w:t>was reasonable</w:t>
      </w:r>
      <w:r w:rsidR="00F37D4A" w:rsidRPr="0019444B">
        <w:rPr>
          <w:rFonts w:asciiTheme="minorHAnsi" w:hAnsiTheme="minorHAnsi"/>
          <w:snapToGrid w:val="0"/>
          <w:szCs w:val="20"/>
        </w:rPr>
        <w:t>, with a high degree of uncertainty given the issues identified surrounding the MAIC</w:t>
      </w:r>
      <w:r w:rsidR="00C15C4C" w:rsidRPr="0019444B">
        <w:rPr>
          <w:rFonts w:asciiTheme="minorHAnsi" w:hAnsiTheme="minorHAnsi"/>
          <w:snapToGrid w:val="0"/>
          <w:szCs w:val="20"/>
        </w:rPr>
        <w:t>.</w:t>
      </w:r>
      <w:r w:rsidR="00F37D4A" w:rsidRPr="0019444B">
        <w:rPr>
          <w:rFonts w:asciiTheme="minorHAnsi" w:hAnsiTheme="minorHAnsi"/>
          <w:snapToGrid w:val="0"/>
          <w:szCs w:val="20"/>
        </w:rPr>
        <w:t xml:space="preserve"> The PBAC considered that the claim of non-inferior comparative effectiveness of ACA+/- OBIN compared to ZANU was </w:t>
      </w:r>
      <w:r w:rsidR="00347A48">
        <w:rPr>
          <w:rFonts w:asciiTheme="minorHAnsi" w:hAnsiTheme="minorHAnsi"/>
          <w:snapToGrid w:val="0"/>
          <w:szCs w:val="20"/>
        </w:rPr>
        <w:t xml:space="preserve">likely </w:t>
      </w:r>
      <w:r w:rsidR="00F37D4A" w:rsidRPr="0019444B">
        <w:rPr>
          <w:rFonts w:asciiTheme="minorHAnsi" w:hAnsiTheme="minorHAnsi"/>
          <w:snapToGrid w:val="0"/>
          <w:szCs w:val="20"/>
        </w:rPr>
        <w:t>reasonable.</w:t>
      </w:r>
    </w:p>
    <w:p w14:paraId="2A0D0754" w14:textId="4A794FD4" w:rsidR="004F2A19" w:rsidRPr="0019444B" w:rsidRDefault="004F2A19" w:rsidP="004F2A19">
      <w:pPr>
        <w:widowControl w:val="0"/>
        <w:numPr>
          <w:ilvl w:val="1"/>
          <w:numId w:val="1"/>
        </w:numPr>
        <w:spacing w:after="120"/>
        <w:rPr>
          <w:rFonts w:asciiTheme="minorHAnsi" w:hAnsiTheme="minorHAnsi"/>
          <w:snapToGrid w:val="0"/>
          <w:szCs w:val="20"/>
        </w:rPr>
      </w:pPr>
      <w:r w:rsidRPr="0019444B">
        <w:rPr>
          <w:rFonts w:asciiTheme="minorHAnsi" w:hAnsiTheme="minorHAnsi"/>
          <w:snapToGrid w:val="0"/>
          <w:szCs w:val="20"/>
        </w:rPr>
        <w:t xml:space="preserve">The PBAC considered that the claim of superior comparative safety </w:t>
      </w:r>
      <w:r w:rsidR="00F37D4A" w:rsidRPr="0019444B">
        <w:rPr>
          <w:rFonts w:asciiTheme="minorHAnsi" w:hAnsiTheme="minorHAnsi"/>
          <w:snapToGrid w:val="0"/>
          <w:szCs w:val="20"/>
        </w:rPr>
        <w:t xml:space="preserve">of ACA+/-OBIN compared to VTX+OBIN </w:t>
      </w:r>
      <w:r w:rsidRPr="0019444B">
        <w:rPr>
          <w:rFonts w:asciiTheme="minorHAnsi" w:hAnsiTheme="minorHAnsi"/>
          <w:snapToGrid w:val="0"/>
          <w:szCs w:val="20"/>
        </w:rPr>
        <w:t>was not adequately supported by the data</w:t>
      </w:r>
      <w:r w:rsidR="00475A26" w:rsidRPr="0019444B">
        <w:rPr>
          <w:rFonts w:asciiTheme="minorHAnsi" w:hAnsiTheme="minorHAnsi"/>
          <w:snapToGrid w:val="0"/>
          <w:szCs w:val="20"/>
        </w:rPr>
        <w:t xml:space="preserve"> and noted that the sponsor had agreed to pragmatically accept a claim of non-inferior safety in their pre-PBAC response</w:t>
      </w:r>
      <w:r w:rsidRPr="0019444B">
        <w:rPr>
          <w:rFonts w:asciiTheme="minorHAnsi" w:hAnsiTheme="minorHAnsi"/>
          <w:snapToGrid w:val="0"/>
          <w:szCs w:val="20"/>
        </w:rPr>
        <w:t>.</w:t>
      </w:r>
      <w:r w:rsidR="00347A48" w:rsidRPr="00347A48">
        <w:rPr>
          <w:rFonts w:asciiTheme="minorHAnsi" w:hAnsiTheme="minorHAnsi"/>
          <w:snapToGrid w:val="0"/>
          <w:szCs w:val="20"/>
        </w:rPr>
        <w:t xml:space="preserve"> </w:t>
      </w:r>
      <w:r w:rsidR="00347A48" w:rsidRPr="0019444B">
        <w:rPr>
          <w:rFonts w:asciiTheme="minorHAnsi" w:hAnsiTheme="minorHAnsi"/>
          <w:snapToGrid w:val="0"/>
          <w:szCs w:val="20"/>
        </w:rPr>
        <w:t xml:space="preserve">The PBAC considered that the claim of non-inferior comparative </w:t>
      </w:r>
      <w:r w:rsidR="00347A48">
        <w:rPr>
          <w:rFonts w:asciiTheme="minorHAnsi" w:hAnsiTheme="minorHAnsi"/>
          <w:snapToGrid w:val="0"/>
          <w:szCs w:val="20"/>
        </w:rPr>
        <w:t>safety</w:t>
      </w:r>
      <w:r w:rsidR="00347A48" w:rsidRPr="0019444B">
        <w:rPr>
          <w:rFonts w:asciiTheme="minorHAnsi" w:hAnsiTheme="minorHAnsi"/>
          <w:snapToGrid w:val="0"/>
          <w:szCs w:val="20"/>
        </w:rPr>
        <w:t xml:space="preserve"> of ACA+/- OBIN compared to ZANU was </w:t>
      </w:r>
      <w:r w:rsidR="00347A48">
        <w:rPr>
          <w:rFonts w:asciiTheme="minorHAnsi" w:hAnsiTheme="minorHAnsi"/>
          <w:snapToGrid w:val="0"/>
          <w:szCs w:val="20"/>
        </w:rPr>
        <w:t xml:space="preserve">likely </w:t>
      </w:r>
      <w:r w:rsidR="00347A48" w:rsidRPr="0019444B">
        <w:rPr>
          <w:rFonts w:asciiTheme="minorHAnsi" w:hAnsiTheme="minorHAnsi"/>
          <w:snapToGrid w:val="0"/>
          <w:szCs w:val="20"/>
        </w:rPr>
        <w:t>reasonable.</w:t>
      </w:r>
    </w:p>
    <w:p w14:paraId="74A1172E" w14:textId="5DAF03A4" w:rsidR="00B60939" w:rsidRPr="0019444B" w:rsidRDefault="00B60939" w:rsidP="00E9094A">
      <w:pPr>
        <w:pStyle w:val="4-SubsectionHeading"/>
      </w:pPr>
      <w:bookmarkStart w:id="71" w:name="_Toc135225276"/>
      <w:bookmarkEnd w:id="70"/>
      <w:r w:rsidRPr="0019444B">
        <w:t>Economic analysis</w:t>
      </w:r>
      <w:bookmarkEnd w:id="69"/>
      <w:bookmarkEnd w:id="71"/>
      <w:r w:rsidR="00491B3A" w:rsidRPr="0019444B">
        <w:t xml:space="preserve"> </w:t>
      </w:r>
    </w:p>
    <w:p w14:paraId="3BF6837E" w14:textId="25AB52D3" w:rsidR="006032D5" w:rsidRPr="005B7189" w:rsidRDefault="003F25C5" w:rsidP="005B7189">
      <w:pPr>
        <w:pStyle w:val="3-BodyText"/>
      </w:pPr>
      <w:r w:rsidRPr="005B7189">
        <w:t xml:space="preserve">The </w:t>
      </w:r>
      <w:r w:rsidR="00D76BB7" w:rsidRPr="005B7189">
        <w:t xml:space="preserve">resubmission employed a cost-minimisation approach </w:t>
      </w:r>
      <w:r w:rsidR="00FC2A35" w:rsidRPr="005B7189">
        <w:t xml:space="preserve">(CMA) </w:t>
      </w:r>
      <w:r w:rsidR="00D76BB7" w:rsidRPr="005B7189">
        <w:t>of ACA</w:t>
      </w:r>
      <w:r w:rsidR="00A45ED6" w:rsidRPr="005B7189">
        <w:t>+/-</w:t>
      </w:r>
      <w:r w:rsidR="00D76BB7" w:rsidRPr="005B7189">
        <w:t xml:space="preserve">OBIN versus VTX+OBIN in patients with previously untreated CLL/SLL. </w:t>
      </w:r>
      <w:r w:rsidR="00AC574B" w:rsidRPr="005B7189">
        <w:t xml:space="preserve">The CMA was undertaken assuming a relative uptake ratio of 90%/10% for </w:t>
      </w:r>
      <w:r w:rsidR="000E0B52" w:rsidRPr="005B7189">
        <w:t>ACA</w:t>
      </w:r>
      <w:r w:rsidR="00946512" w:rsidRPr="005B7189">
        <w:t xml:space="preserve"> monotherapy</w:t>
      </w:r>
      <w:r w:rsidR="000E0B52" w:rsidRPr="005B7189">
        <w:t>/</w:t>
      </w:r>
      <w:r w:rsidR="00AC574B" w:rsidRPr="005B7189">
        <w:t>ACA</w:t>
      </w:r>
      <w:r w:rsidR="0088107B" w:rsidRPr="005B7189">
        <w:t>+</w:t>
      </w:r>
      <w:r w:rsidR="00294489" w:rsidRPr="005B7189">
        <w:t>O</w:t>
      </w:r>
      <w:r w:rsidR="00AC574B" w:rsidRPr="005B7189">
        <w:t>BIN.</w:t>
      </w:r>
      <w:r w:rsidR="00634EC6" w:rsidRPr="005B7189">
        <w:t xml:space="preserve"> </w:t>
      </w:r>
      <w:r w:rsidR="00501020" w:rsidRPr="005B7189">
        <w:t xml:space="preserve">The previous </w:t>
      </w:r>
      <w:r w:rsidR="00522E83" w:rsidRPr="005B7189">
        <w:t>re</w:t>
      </w:r>
      <w:r w:rsidR="00501020" w:rsidRPr="005B7189">
        <w:t>submission presented a cost-effectiveness analysis between ACA</w:t>
      </w:r>
      <w:r w:rsidR="00737641" w:rsidRPr="005B7189">
        <w:t>+OBIN</w:t>
      </w:r>
      <w:r w:rsidR="00501020" w:rsidRPr="005B7189">
        <w:t xml:space="preserve"> versus VTX+OBIN. </w:t>
      </w:r>
    </w:p>
    <w:p w14:paraId="4D594940" w14:textId="6C8AE38C" w:rsidR="00634EC6" w:rsidRPr="005B7189" w:rsidRDefault="00634EC6" w:rsidP="005B7189">
      <w:pPr>
        <w:pStyle w:val="3-BodyText"/>
      </w:pPr>
      <w:bookmarkStart w:id="72" w:name="_Ref138099085"/>
      <w:r w:rsidRPr="005B7189">
        <w:t xml:space="preserve">The ESC considered that the assumption of 90% ACA monotherapy use in clinical practice was not well justified. The ESC acknowledged the uncertainty in the monotherapy – combination therapy </w:t>
      </w:r>
      <w:r w:rsidR="002D08CD" w:rsidRPr="005B7189">
        <w:t>split but</w:t>
      </w:r>
      <w:r w:rsidRPr="005B7189">
        <w:t xml:space="preserve"> considered that the use of ACA monotherapy is likely to account for </w:t>
      </w:r>
      <w:proofErr w:type="gramStart"/>
      <w:r w:rsidRPr="005B7189">
        <w:t>the majority of</w:t>
      </w:r>
      <w:proofErr w:type="gramEnd"/>
      <w:r w:rsidRPr="005B7189">
        <w:t xml:space="preserve"> use given the lack of a </w:t>
      </w:r>
      <w:r w:rsidR="001C4793" w:rsidRPr="005B7189">
        <w:t xml:space="preserve">substantial </w:t>
      </w:r>
      <w:r w:rsidRPr="005B7189">
        <w:t xml:space="preserve">clinical benefit and increased toxicity with the addition of OBIN. The ESC suggested that </w:t>
      </w:r>
      <w:proofErr w:type="gramStart"/>
      <w:r w:rsidRPr="005B7189">
        <w:t>a</w:t>
      </w:r>
      <w:proofErr w:type="gramEnd"/>
      <w:r w:rsidRPr="005B7189">
        <w:t xml:space="preserve"> 80% - 90% ACA monotherapy/10% - 20% ACA+OBIN split would be appropriate.</w:t>
      </w:r>
      <w:bookmarkEnd w:id="72"/>
      <w:r w:rsidR="00C4096A" w:rsidRPr="005B7189">
        <w:t xml:space="preserve"> The pre-PBAC response </w:t>
      </w:r>
      <w:r w:rsidR="00E36EDD" w:rsidRPr="005B7189">
        <w:t>stated that the sponsor ha</w:t>
      </w:r>
      <w:r w:rsidR="001B524B" w:rsidRPr="005B7189">
        <w:t>s</w:t>
      </w:r>
      <w:r w:rsidR="00E36EDD" w:rsidRPr="005B7189">
        <w:t xml:space="preserve"> received very few requests for access to ACA+OBIN, and regular requests for access to ACA monotherapy and that they established a patient access program for ACA monotherapy in early June 2023. The pre-PBAC response further stated that the sponsor believe</w:t>
      </w:r>
      <w:r w:rsidR="009858DC" w:rsidRPr="005B7189">
        <w:t>s</w:t>
      </w:r>
      <w:r w:rsidR="00E36EDD" w:rsidRPr="005B7189">
        <w:t xml:space="preserve"> that while ACA+OBIN should remain a treatment option for suitable patients, combination use is expected to be small. For the purposes of deriving a weighted price for ACA+/-OBIN, the sponsor </w:t>
      </w:r>
      <w:r w:rsidR="00C4096A" w:rsidRPr="005B7189">
        <w:t>proposed a split of 85% ACA monotherapy/15% ACA+OBIN combination therapy</w:t>
      </w:r>
      <w:r w:rsidR="00E36EDD" w:rsidRPr="005B7189">
        <w:t>.</w:t>
      </w:r>
    </w:p>
    <w:p w14:paraId="21B71175" w14:textId="280F4F8A" w:rsidR="00D76BB7" w:rsidRPr="005B7189" w:rsidRDefault="00294489" w:rsidP="005B7189">
      <w:pPr>
        <w:pStyle w:val="3-BodyText"/>
      </w:pPr>
      <w:r w:rsidRPr="005B7189">
        <w:t>The CMA</w:t>
      </w:r>
      <w:r w:rsidR="00501020" w:rsidRPr="005B7189">
        <w:t xml:space="preserve"> was consistent with the claim of non-inferior efficacy and aligned with previous feedback from the PBAC in December 2022</w:t>
      </w:r>
      <w:r w:rsidR="0019444B" w:rsidRPr="005B7189">
        <w:t xml:space="preserve">. </w:t>
      </w:r>
    </w:p>
    <w:p w14:paraId="5DA85044" w14:textId="77777777" w:rsidR="00F460B4" w:rsidRPr="005B7189" w:rsidRDefault="001C302C" w:rsidP="005B7189">
      <w:pPr>
        <w:pStyle w:val="3-BodyText"/>
      </w:pPr>
      <w:r w:rsidRPr="005B7189">
        <w:t>The resubmission presented the equi-effective doses as</w:t>
      </w:r>
      <w:r w:rsidR="00F460B4" w:rsidRPr="005B7189">
        <w:t>:</w:t>
      </w:r>
    </w:p>
    <w:p w14:paraId="06ECE31E" w14:textId="6098E490" w:rsidR="0043231A" w:rsidRPr="0019444B" w:rsidRDefault="0043231A" w:rsidP="00CA022C">
      <w:pPr>
        <w:pStyle w:val="ListParagraph"/>
      </w:pPr>
      <w:r w:rsidRPr="0019444B">
        <w:t xml:space="preserve">ACA monotherapy: ACA </w:t>
      </w:r>
      <w:r w:rsidR="005B7189" w:rsidRPr="0019444B">
        <w:t>100</w:t>
      </w:r>
      <w:r w:rsidR="005B7189">
        <w:t> </w:t>
      </w:r>
      <w:r w:rsidRPr="0019444B">
        <w:t xml:space="preserve">mg twice daily until disease progression or unacceptable toxicity is equi-effective to a combination of VTX </w:t>
      </w:r>
      <w:r w:rsidR="005B7189" w:rsidRPr="0019444B">
        <w:t>400</w:t>
      </w:r>
      <w:r w:rsidR="005B7189">
        <w:t> </w:t>
      </w:r>
      <w:r w:rsidRPr="0019444B">
        <w:t xml:space="preserve">mg daily (following an initial dose up-titration over the first 5 weeks) until disease progression or unacceptable toxicity for a maximum of 12 cycles plus OBIN </w:t>
      </w:r>
      <w:r w:rsidR="005B7189" w:rsidRPr="0019444B">
        <w:t>1000</w:t>
      </w:r>
      <w:r w:rsidR="005B7189">
        <w:t> </w:t>
      </w:r>
      <w:r w:rsidRPr="0019444B">
        <w:t xml:space="preserve">mg (following an initial dose up-titration over the first two doses) for a maximum of 6 cycles. </w:t>
      </w:r>
    </w:p>
    <w:p w14:paraId="48D198D1" w14:textId="7207D103" w:rsidR="0043231A" w:rsidRPr="0019444B" w:rsidRDefault="0043231A" w:rsidP="00CA022C">
      <w:pPr>
        <w:pStyle w:val="ListParagraph"/>
      </w:pPr>
      <w:r w:rsidRPr="0019444B">
        <w:t xml:space="preserve">ACA+OBIN: ACA </w:t>
      </w:r>
      <w:r w:rsidR="005B7189" w:rsidRPr="0019444B">
        <w:t>100</w:t>
      </w:r>
      <w:r w:rsidR="005B7189">
        <w:t> </w:t>
      </w:r>
      <w:r w:rsidRPr="0019444B">
        <w:t>mg twice daily until disease progression or unacceptable toxicity plus OBIN 1000</w:t>
      </w:r>
      <w:r w:rsidR="005B7189">
        <w:t> </w:t>
      </w:r>
      <w:r w:rsidRPr="0019444B">
        <w:t>mg (following an initial dose up-titration over the first two doses) for a maximum of 6 cycles is equi-effective to a combination of VTX 400</w:t>
      </w:r>
      <w:r w:rsidR="005B7189">
        <w:t> </w:t>
      </w:r>
      <w:r w:rsidRPr="0019444B">
        <w:t>mg daily (following an initial dose up-titration over the first 5 weeks) until disease progression or unacceptable toxicity for a maximum of 12 cycles plus OBIN 1000</w:t>
      </w:r>
      <w:r w:rsidR="005B7189">
        <w:t> </w:t>
      </w:r>
      <w:r w:rsidRPr="0019444B">
        <w:t xml:space="preserve">mg (following an initial dose up-titration over the first two doses) for a maximum of 6 cycles. </w:t>
      </w:r>
    </w:p>
    <w:p w14:paraId="759C74A2" w14:textId="7F18FB0E" w:rsidR="001C302C" w:rsidRPr="00CA022C" w:rsidRDefault="001C302C" w:rsidP="00CA022C">
      <w:pPr>
        <w:pStyle w:val="3-BodyText"/>
      </w:pPr>
      <w:r w:rsidRPr="005B7189">
        <w:t>Based on the economic model</w:t>
      </w:r>
      <w:r w:rsidR="009049C8" w:rsidRPr="005B7189">
        <w:t xml:space="preserve"> provided by the resubmission</w:t>
      </w:r>
      <w:r w:rsidRPr="005B7189">
        <w:t xml:space="preserve">, the equi-effective doses were </w:t>
      </w:r>
      <w:r w:rsidR="00702CEA" w:rsidRPr="005B7189">
        <w:t>adjusted</w:t>
      </w:r>
      <w:r w:rsidRPr="005B7189">
        <w:t xml:space="preserve"> as</w:t>
      </w:r>
      <w:r w:rsidR="00E93210" w:rsidRPr="005B7189">
        <w:t xml:space="preserve"> </w:t>
      </w:r>
      <w:r w:rsidR="00702CEA" w:rsidRPr="005B7189">
        <w:t xml:space="preserve">per </w:t>
      </w:r>
      <w:r w:rsidR="00E93210" w:rsidRPr="005B7189">
        <w:t>actual mean doses administered in the trials</w:t>
      </w:r>
      <w:r w:rsidRPr="005B7189">
        <w:t>:</w:t>
      </w:r>
    </w:p>
    <w:p w14:paraId="67C2B884" w14:textId="72B1326B" w:rsidR="001C302C" w:rsidRPr="0019444B" w:rsidRDefault="001C302C" w:rsidP="00CA022C">
      <w:pPr>
        <w:pStyle w:val="ListParagraph"/>
      </w:pPr>
      <w:r w:rsidRPr="0019444B">
        <w:t>293,000</w:t>
      </w:r>
      <w:r w:rsidR="005B7189">
        <w:t> </w:t>
      </w:r>
      <w:r w:rsidRPr="0019444B">
        <w:t>mg of ACA plus 7,553</w:t>
      </w:r>
      <w:r w:rsidR="005B7189">
        <w:t> </w:t>
      </w:r>
      <w:r w:rsidRPr="0019444B">
        <w:t>mg of OBIN is equi-effective to 90,883</w:t>
      </w:r>
      <w:r w:rsidR="005B7189">
        <w:t> </w:t>
      </w:r>
      <w:r w:rsidRPr="0019444B">
        <w:t>mg of VTX plus 7,355</w:t>
      </w:r>
      <w:r w:rsidR="005B7189">
        <w:t> </w:t>
      </w:r>
      <w:r w:rsidRPr="0019444B">
        <w:t>mg of OBIN</w:t>
      </w:r>
      <w:r w:rsidR="00F50E01" w:rsidRPr="0019444B">
        <w:t>.</w:t>
      </w:r>
    </w:p>
    <w:p w14:paraId="7411A5DC" w14:textId="0A61FB12" w:rsidR="001F3EF1" w:rsidRPr="0019444B" w:rsidRDefault="001C302C" w:rsidP="00CA022C">
      <w:pPr>
        <w:pStyle w:val="ListParagraph"/>
        <w:rPr>
          <w:b/>
          <w:bCs/>
        </w:rPr>
      </w:pPr>
      <w:r w:rsidRPr="0019444B">
        <w:t>284,100</w:t>
      </w:r>
      <w:r w:rsidR="005B7189">
        <w:t> </w:t>
      </w:r>
      <w:r w:rsidRPr="0019444B">
        <w:t>mg of ACA is equi-effective to 90,883</w:t>
      </w:r>
      <w:r w:rsidR="005B7189">
        <w:t> </w:t>
      </w:r>
      <w:r w:rsidRPr="0019444B">
        <w:t>mg of VTX plus 7,355</w:t>
      </w:r>
      <w:r w:rsidR="005B7189">
        <w:t> </w:t>
      </w:r>
      <w:r w:rsidRPr="0019444B">
        <w:t>mg of OBIN.</w:t>
      </w:r>
      <w:bookmarkStart w:id="73" w:name="_Hlk133487743"/>
    </w:p>
    <w:p w14:paraId="78F51206" w14:textId="6E6B34D3" w:rsidR="001C302C" w:rsidRPr="0019444B" w:rsidRDefault="001C302C" w:rsidP="00D76BB7">
      <w:pPr>
        <w:pStyle w:val="3-BodyText"/>
        <w:numPr>
          <w:ilvl w:val="1"/>
          <w:numId w:val="1"/>
        </w:numPr>
        <w:rPr>
          <w:iCs/>
        </w:rPr>
      </w:pPr>
      <w:bookmarkStart w:id="74" w:name="_Ref138099105"/>
      <w:bookmarkEnd w:id="73"/>
      <w:r w:rsidRPr="0019444B">
        <w:t>The equi-effective dose</w:t>
      </w:r>
      <w:r w:rsidR="00270163" w:rsidRPr="0019444B">
        <w:t>s</w:t>
      </w:r>
      <w:r w:rsidRPr="0019444B">
        <w:t xml:space="preserve"> w</w:t>
      </w:r>
      <w:r w:rsidR="00270163" w:rsidRPr="0019444B">
        <w:t>ere</w:t>
      </w:r>
      <w:r w:rsidRPr="0019444B">
        <w:t xml:space="preserve"> based on the </w:t>
      </w:r>
      <w:r w:rsidR="003F25C5" w:rsidRPr="0019444B">
        <w:t xml:space="preserve">cumulative dose patients received in the ELEVATE-TN trial, up to the </w:t>
      </w:r>
      <w:r w:rsidR="001F1109" w:rsidRPr="0019444B">
        <w:t>58.2-month</w:t>
      </w:r>
      <w:r w:rsidR="003F25C5" w:rsidRPr="0019444B">
        <w:t xml:space="preserve"> cut-off, for ACA</w:t>
      </w:r>
      <w:r w:rsidR="00A45ED6" w:rsidRPr="0019444B">
        <w:rPr>
          <w:rFonts w:cstheme="minorHAnsi"/>
        </w:rPr>
        <w:t>+/-</w:t>
      </w:r>
      <w:r w:rsidR="003F25C5" w:rsidRPr="0019444B">
        <w:t xml:space="preserve">OBIN and the CLL-14 trial for VTX+OBIN. </w:t>
      </w:r>
      <w:r w:rsidR="003F25C5" w:rsidRPr="0019444B">
        <w:rPr>
          <w:iCs/>
        </w:rPr>
        <w:t xml:space="preserve">Given that a significant proportion of participants remained on treatment at 58.2 months in the ELEVATE-TN trial (ACA= 59.8%, ACA+OBIN= 67%), the </w:t>
      </w:r>
      <w:r w:rsidR="002D08CD" w:rsidRPr="0019444B">
        <w:rPr>
          <w:iCs/>
        </w:rPr>
        <w:t>ACAL</w:t>
      </w:r>
      <w:r w:rsidR="003F25C5" w:rsidRPr="0019444B">
        <w:rPr>
          <w:iCs/>
        </w:rPr>
        <w:t xml:space="preserve"> dose</w:t>
      </w:r>
      <w:r w:rsidR="00EC35EC" w:rsidRPr="0019444B">
        <w:rPr>
          <w:iCs/>
        </w:rPr>
        <w:t>s were</w:t>
      </w:r>
      <w:r w:rsidR="003F25C5" w:rsidRPr="0019444B">
        <w:rPr>
          <w:iCs/>
        </w:rPr>
        <w:t xml:space="preserve"> significantly underestimated.</w:t>
      </w:r>
      <w:r w:rsidR="001F1109" w:rsidRPr="0019444B">
        <w:rPr>
          <w:iCs/>
        </w:rPr>
        <w:t xml:space="preserve"> A more appropriate estimate for the equi-effective dose</w:t>
      </w:r>
      <w:r w:rsidR="00EC35EC" w:rsidRPr="0019444B">
        <w:rPr>
          <w:iCs/>
        </w:rPr>
        <w:t>s</w:t>
      </w:r>
      <w:r w:rsidR="001F1109" w:rsidRPr="0019444B">
        <w:rPr>
          <w:iCs/>
        </w:rPr>
        <w:t xml:space="preserve"> could be obtained if the</w:t>
      </w:r>
      <w:r w:rsidR="00EC35EC" w:rsidRPr="0019444B">
        <w:rPr>
          <w:iCs/>
        </w:rPr>
        <w:t>y</w:t>
      </w:r>
      <w:r w:rsidR="002F17F5" w:rsidRPr="0019444B">
        <w:rPr>
          <w:iCs/>
        </w:rPr>
        <w:t xml:space="preserve"> were</w:t>
      </w:r>
      <w:r w:rsidR="001F1109" w:rsidRPr="0019444B">
        <w:rPr>
          <w:iCs/>
        </w:rPr>
        <w:t xml:space="preserve"> calculated from a 10-year extrapolation of the time to treatment </w:t>
      </w:r>
      <w:r w:rsidR="00F65685" w:rsidRPr="0019444B">
        <w:rPr>
          <w:iCs/>
        </w:rPr>
        <w:t xml:space="preserve">discontinuation </w:t>
      </w:r>
      <w:r w:rsidR="001F1109" w:rsidRPr="0019444B">
        <w:rPr>
          <w:iCs/>
        </w:rPr>
        <w:t>curves from the ELEVATE-TN trial.</w:t>
      </w:r>
      <w:r w:rsidR="0084700F" w:rsidRPr="0019444B">
        <w:rPr>
          <w:iCs/>
        </w:rPr>
        <w:t xml:space="preserve"> </w:t>
      </w:r>
      <w:r w:rsidR="003E159E" w:rsidRPr="0019444B">
        <w:rPr>
          <w:iCs/>
        </w:rPr>
        <w:t xml:space="preserve">The ESC considered that </w:t>
      </w:r>
      <w:r w:rsidR="0080529C" w:rsidRPr="0019444B">
        <w:rPr>
          <w:iCs/>
        </w:rPr>
        <w:t xml:space="preserve">the </w:t>
      </w:r>
      <w:r w:rsidR="0009617D" w:rsidRPr="0019444B">
        <w:rPr>
          <w:iCs/>
        </w:rPr>
        <w:t>approach taken by the resubmission</w:t>
      </w:r>
      <w:r w:rsidR="003E159E" w:rsidRPr="0019444B">
        <w:rPr>
          <w:iCs/>
        </w:rPr>
        <w:t xml:space="preserve"> </w:t>
      </w:r>
      <w:r w:rsidR="002D08CD" w:rsidRPr="0019444B">
        <w:rPr>
          <w:iCs/>
        </w:rPr>
        <w:t xml:space="preserve">underestimated the use of ACA and hence </w:t>
      </w:r>
      <w:r w:rsidR="003E159E" w:rsidRPr="0019444B">
        <w:rPr>
          <w:iCs/>
        </w:rPr>
        <w:t>favour</w:t>
      </w:r>
      <w:r w:rsidR="00D731FE" w:rsidRPr="0019444B">
        <w:rPr>
          <w:iCs/>
        </w:rPr>
        <w:t>ed</w:t>
      </w:r>
      <w:r w:rsidR="003E159E" w:rsidRPr="0019444B">
        <w:rPr>
          <w:iCs/>
        </w:rPr>
        <w:t xml:space="preserve"> ACA+/-OBIN</w:t>
      </w:r>
      <w:r w:rsidR="00EB0B99" w:rsidRPr="0019444B">
        <w:rPr>
          <w:iCs/>
        </w:rPr>
        <w:t xml:space="preserve"> (resulted in a higher cost-minimised price for ACA</w:t>
      </w:r>
      <w:r w:rsidR="00EB0B99" w:rsidRPr="0019444B">
        <w:rPr>
          <w:rFonts w:cstheme="minorHAnsi"/>
          <w:iCs/>
        </w:rPr>
        <w:t>+/-</w:t>
      </w:r>
      <w:r w:rsidR="00EB0B99" w:rsidRPr="0019444B">
        <w:rPr>
          <w:iCs/>
        </w:rPr>
        <w:t>OBIN)</w:t>
      </w:r>
      <w:r w:rsidR="003E159E" w:rsidRPr="0019444B">
        <w:rPr>
          <w:iCs/>
        </w:rPr>
        <w:t>.</w:t>
      </w:r>
      <w:bookmarkEnd w:id="74"/>
      <w:r w:rsidR="003E5FCA" w:rsidRPr="0019444B">
        <w:rPr>
          <w:iCs/>
        </w:rPr>
        <w:t xml:space="preserve"> The pre-PBAC response stated that the sponsor acknowledged a significant proportion of patients remained on treatment with ACA at this data cut, and that this may have led to an underestimation of mean time on treatment and total mean doses for the CMA.</w:t>
      </w:r>
    </w:p>
    <w:p w14:paraId="6DBC353B" w14:textId="3E55D513" w:rsidR="00973915" w:rsidRPr="0019444B" w:rsidRDefault="00251E32" w:rsidP="00D76BB7">
      <w:pPr>
        <w:pStyle w:val="3-BodyText"/>
        <w:numPr>
          <w:ilvl w:val="1"/>
          <w:numId w:val="1"/>
        </w:numPr>
        <w:rPr>
          <w:iCs/>
        </w:rPr>
      </w:pPr>
      <w:r w:rsidRPr="0019444B">
        <w:rPr>
          <w:iCs/>
        </w:rPr>
        <w:t xml:space="preserve">No discounting was applied in the economic evaluation. </w:t>
      </w:r>
      <w:r w:rsidR="006C25EA" w:rsidRPr="0019444B">
        <w:rPr>
          <w:iCs/>
        </w:rPr>
        <w:t>The ESC noted discounting has an impact on the CMA because of the different treatment durations for ACA</w:t>
      </w:r>
      <w:r w:rsidR="006C25EA" w:rsidRPr="0019444B">
        <w:rPr>
          <w:rFonts w:cstheme="minorHAnsi"/>
          <w:iCs/>
        </w:rPr>
        <w:t>+/-</w:t>
      </w:r>
      <w:r w:rsidR="006C25EA" w:rsidRPr="0019444B">
        <w:rPr>
          <w:iCs/>
        </w:rPr>
        <w:t>OBIN</w:t>
      </w:r>
      <w:r w:rsidR="0011405D" w:rsidRPr="0019444B">
        <w:rPr>
          <w:iCs/>
        </w:rPr>
        <w:t xml:space="preserve"> versus VTX+</w:t>
      </w:r>
      <w:proofErr w:type="gramStart"/>
      <w:r w:rsidR="0011405D" w:rsidRPr="0019444B">
        <w:rPr>
          <w:iCs/>
        </w:rPr>
        <w:t>OBIN</w:t>
      </w:r>
      <w:r w:rsidR="00EB0B99" w:rsidRPr="0019444B">
        <w:rPr>
          <w:iCs/>
        </w:rPr>
        <w:t>,</w:t>
      </w:r>
      <w:r w:rsidR="006C25EA" w:rsidRPr="0019444B">
        <w:rPr>
          <w:iCs/>
        </w:rPr>
        <w:t xml:space="preserve"> and</w:t>
      </w:r>
      <w:proofErr w:type="gramEnd"/>
      <w:r w:rsidR="006C25EA" w:rsidRPr="0019444B">
        <w:rPr>
          <w:iCs/>
        </w:rPr>
        <w:t xml:space="preserve"> applying discounting at 5% per annum would be consistent with the approach for the CMA for </w:t>
      </w:r>
      <w:r w:rsidR="00EB0B99" w:rsidRPr="0019444B">
        <w:rPr>
          <w:iCs/>
        </w:rPr>
        <w:t>onasemnogene-abeparvovec</w:t>
      </w:r>
      <w:r w:rsidR="006C25EA" w:rsidRPr="0019444B">
        <w:rPr>
          <w:iCs/>
        </w:rPr>
        <w:t xml:space="preserve"> versus nusinersen and risdiplam considered at the September 2021 PBAC meeting (</w:t>
      </w:r>
      <w:r w:rsidR="00EB0B99" w:rsidRPr="0019444B">
        <w:rPr>
          <w:iCs/>
        </w:rPr>
        <w:t>paragraph 9.10, onasemnogene-abeparvovec, PSD, September 2021).</w:t>
      </w:r>
      <w:r w:rsidR="006C25EA" w:rsidRPr="0019444B">
        <w:rPr>
          <w:iCs/>
        </w:rPr>
        <w:t xml:space="preserve"> </w:t>
      </w:r>
      <w:r w:rsidR="00EB0B99" w:rsidRPr="0019444B">
        <w:rPr>
          <w:iCs/>
        </w:rPr>
        <w:t>The ESC noted due to the longer treatment duration for ACA</w:t>
      </w:r>
      <w:r w:rsidR="00EB0B99" w:rsidRPr="0019444B">
        <w:rPr>
          <w:rFonts w:cstheme="minorHAnsi"/>
          <w:iCs/>
        </w:rPr>
        <w:t>+/-</w:t>
      </w:r>
      <w:r w:rsidR="00EB0B99" w:rsidRPr="0019444B">
        <w:rPr>
          <w:iCs/>
        </w:rPr>
        <w:t xml:space="preserve">OBIN, </w:t>
      </w:r>
      <w:r w:rsidR="003E159E" w:rsidRPr="0019444B">
        <w:rPr>
          <w:iCs/>
        </w:rPr>
        <w:t xml:space="preserve">without discounting, </w:t>
      </w:r>
      <w:r w:rsidR="00EB0B99" w:rsidRPr="0019444B">
        <w:rPr>
          <w:iCs/>
        </w:rPr>
        <w:t>the cost-minimised price for ACA</w:t>
      </w:r>
      <w:r w:rsidR="00EB0B99" w:rsidRPr="0019444B">
        <w:rPr>
          <w:rFonts w:cstheme="minorHAnsi"/>
          <w:iCs/>
        </w:rPr>
        <w:t>+/-</w:t>
      </w:r>
      <w:r w:rsidR="00EB0B99" w:rsidRPr="0019444B">
        <w:rPr>
          <w:iCs/>
        </w:rPr>
        <w:t xml:space="preserve">OBIN </w:t>
      </w:r>
      <w:r w:rsidR="008B4E0E" w:rsidRPr="0019444B">
        <w:rPr>
          <w:iCs/>
        </w:rPr>
        <w:t>is</w:t>
      </w:r>
      <w:r w:rsidR="00EB0B99" w:rsidRPr="0019444B">
        <w:rPr>
          <w:iCs/>
        </w:rPr>
        <w:t xml:space="preserve"> lower</w:t>
      </w:r>
      <w:r w:rsidR="00A97D76" w:rsidRPr="0019444B">
        <w:rPr>
          <w:iCs/>
        </w:rPr>
        <w:t>.</w:t>
      </w:r>
    </w:p>
    <w:p w14:paraId="0B19D087" w14:textId="23255C92" w:rsidR="003F25C5" w:rsidRPr="0019444B" w:rsidRDefault="001F1109" w:rsidP="00D76BB7">
      <w:pPr>
        <w:pStyle w:val="3-BodyText"/>
        <w:numPr>
          <w:ilvl w:val="1"/>
          <w:numId w:val="1"/>
        </w:numPr>
        <w:rPr>
          <w:i/>
          <w:iCs/>
        </w:rPr>
      </w:pPr>
      <w:r w:rsidRPr="0019444B">
        <w:t xml:space="preserve">The resubmission considered additional costs and cost-offsets related to drug administration, adverse event management and tumour lysis syndrome </w:t>
      </w:r>
      <w:r w:rsidR="008B4E0E" w:rsidRPr="0019444B">
        <w:t>prophylaxis</w:t>
      </w:r>
      <w:r w:rsidRPr="0019444B">
        <w:t>.</w:t>
      </w:r>
      <w:r w:rsidR="00101328" w:rsidRPr="0019444B">
        <w:t xml:space="preserve"> </w:t>
      </w:r>
    </w:p>
    <w:p w14:paraId="129A4124" w14:textId="7CC4042B" w:rsidR="00670313" w:rsidRPr="0019444B" w:rsidRDefault="00670313">
      <w:pPr>
        <w:pStyle w:val="3-BodyText"/>
        <w:numPr>
          <w:ilvl w:val="1"/>
          <w:numId w:val="1"/>
        </w:numPr>
        <w:rPr>
          <w:iCs/>
        </w:rPr>
      </w:pPr>
      <w:r w:rsidRPr="0019444B">
        <w:t xml:space="preserve">The resubmission assumed 9 infusions would be required for OBIN in </w:t>
      </w:r>
      <w:r w:rsidR="003717B6" w:rsidRPr="0019444B">
        <w:t>patients treated with regimens of either</w:t>
      </w:r>
      <w:r w:rsidRPr="0019444B">
        <w:t xml:space="preserve"> ACA</w:t>
      </w:r>
      <w:r w:rsidR="00DA3C17" w:rsidRPr="0019444B">
        <w:rPr>
          <w:rFonts w:cstheme="minorHAnsi"/>
        </w:rPr>
        <w:t>+</w:t>
      </w:r>
      <w:r w:rsidRPr="0019444B">
        <w:t xml:space="preserve">OBIN </w:t>
      </w:r>
      <w:r w:rsidR="003717B6" w:rsidRPr="0019444B">
        <w:t xml:space="preserve">or </w:t>
      </w:r>
      <w:r w:rsidRPr="0019444B">
        <w:t xml:space="preserve">VTX+OBIN. </w:t>
      </w:r>
      <w:r w:rsidRPr="0019444B">
        <w:rPr>
          <w:iCs/>
        </w:rPr>
        <w:t xml:space="preserve">However, the actual number of infusions </w:t>
      </w:r>
      <w:r w:rsidR="00F60A6E" w:rsidRPr="0019444B">
        <w:rPr>
          <w:iCs/>
        </w:rPr>
        <w:t>required</w:t>
      </w:r>
      <w:r w:rsidRPr="0019444B">
        <w:rPr>
          <w:iCs/>
        </w:rPr>
        <w:t xml:space="preserve"> in clinical practice would be lower given that not all patients would receive all infusions. In the ELEVATE-TN trial, the ACA+OBIN group on average, received 7.553</w:t>
      </w:r>
      <w:r w:rsidR="004934B1">
        <w:rPr>
          <w:iCs/>
        </w:rPr>
        <w:t xml:space="preserve"> OBIN</w:t>
      </w:r>
      <w:r w:rsidRPr="0019444B">
        <w:rPr>
          <w:iCs/>
        </w:rPr>
        <w:t xml:space="preserve"> </w:t>
      </w:r>
      <w:r w:rsidR="008B31A6" w:rsidRPr="0019444B">
        <w:rPr>
          <w:iCs/>
        </w:rPr>
        <w:t>infusions</w:t>
      </w:r>
      <w:r w:rsidRPr="0019444B">
        <w:rPr>
          <w:iCs/>
        </w:rPr>
        <w:t>. In the CLL-14 trial, the VTX+OBIN group received 7.355</w:t>
      </w:r>
      <w:r w:rsidR="005B7189">
        <w:t> </w:t>
      </w:r>
      <w:r w:rsidR="004934B1">
        <w:rPr>
          <w:iCs/>
        </w:rPr>
        <w:t xml:space="preserve">OBIN </w:t>
      </w:r>
      <w:r w:rsidR="008B31A6" w:rsidRPr="0019444B">
        <w:rPr>
          <w:iCs/>
        </w:rPr>
        <w:t>infusion</w:t>
      </w:r>
      <w:r w:rsidRPr="0019444B">
        <w:rPr>
          <w:iCs/>
        </w:rPr>
        <w:t xml:space="preserve">s on average. If the trial data was utilised </w:t>
      </w:r>
      <w:r w:rsidR="000259BB" w:rsidRPr="0019444B">
        <w:rPr>
          <w:iCs/>
        </w:rPr>
        <w:t>to estimate</w:t>
      </w:r>
      <w:r w:rsidRPr="0019444B">
        <w:rPr>
          <w:iCs/>
        </w:rPr>
        <w:t xml:space="preserve"> the number of infusions</w:t>
      </w:r>
      <w:r w:rsidR="00392F26" w:rsidRPr="0019444B">
        <w:rPr>
          <w:iCs/>
        </w:rPr>
        <w:t xml:space="preserve"> used in the CMA</w:t>
      </w:r>
      <w:r w:rsidRPr="0019444B">
        <w:rPr>
          <w:iCs/>
        </w:rPr>
        <w:t xml:space="preserve">, this would </w:t>
      </w:r>
      <w:r w:rsidR="00004C3E" w:rsidRPr="0019444B">
        <w:rPr>
          <w:iCs/>
        </w:rPr>
        <w:t>result</w:t>
      </w:r>
      <w:r w:rsidRPr="0019444B">
        <w:rPr>
          <w:iCs/>
        </w:rPr>
        <w:t xml:space="preserve"> in a lower CMA price for ACA. For administration of OBIN, the resubmission only assumed that there would be an infusion </w:t>
      </w:r>
      <w:r w:rsidR="001B2AF6" w:rsidRPr="0019444B">
        <w:rPr>
          <w:iCs/>
        </w:rPr>
        <w:t xml:space="preserve">administration </w:t>
      </w:r>
      <w:r w:rsidRPr="0019444B">
        <w:rPr>
          <w:iCs/>
        </w:rPr>
        <w:t>cost based on MBS 13950 and did not consider</w:t>
      </w:r>
      <w:r w:rsidR="00CF6B9F" w:rsidRPr="0019444B">
        <w:rPr>
          <w:iCs/>
        </w:rPr>
        <w:t xml:space="preserve"> the costs of a specialist vis</w:t>
      </w:r>
      <w:r w:rsidR="00004C3E" w:rsidRPr="0019444B">
        <w:rPr>
          <w:iCs/>
        </w:rPr>
        <w:t>i</w:t>
      </w:r>
      <w:r w:rsidR="00CF6B9F" w:rsidRPr="0019444B">
        <w:rPr>
          <w:iCs/>
        </w:rPr>
        <w:t xml:space="preserve">t </w:t>
      </w:r>
      <w:r w:rsidR="0011100A" w:rsidRPr="0019444B">
        <w:rPr>
          <w:iCs/>
        </w:rPr>
        <w:t>and</w:t>
      </w:r>
      <w:r w:rsidR="00CF6B9F" w:rsidRPr="0019444B">
        <w:rPr>
          <w:iCs/>
        </w:rPr>
        <w:t xml:space="preserve"> premedication costs</w:t>
      </w:r>
      <w:r w:rsidR="001551CC" w:rsidRPr="0019444B">
        <w:rPr>
          <w:iCs/>
        </w:rPr>
        <w:t xml:space="preserve"> associated with the infusion administration</w:t>
      </w:r>
      <w:r w:rsidR="00CF6B9F" w:rsidRPr="0019444B">
        <w:rPr>
          <w:iCs/>
        </w:rPr>
        <w:t xml:space="preserve">. </w:t>
      </w:r>
    </w:p>
    <w:p w14:paraId="38879D7B" w14:textId="701AB886" w:rsidR="00CF6B9F" w:rsidRPr="0019444B" w:rsidRDefault="00CF6B9F">
      <w:pPr>
        <w:pStyle w:val="3-BodyText"/>
        <w:numPr>
          <w:ilvl w:val="1"/>
          <w:numId w:val="1"/>
        </w:numPr>
        <w:rPr>
          <w:iCs/>
        </w:rPr>
      </w:pPr>
      <w:r w:rsidRPr="0019444B">
        <w:t xml:space="preserve">The resubmission considered cost-offsets from decreased management of Grade 3 or greater AEs in the CMA. </w:t>
      </w:r>
      <w:r w:rsidRPr="0019444B">
        <w:rPr>
          <w:iCs/>
        </w:rPr>
        <w:t xml:space="preserve">The PBAC previously considered that the claim of superior comparative safety was not adequately supported by the data (paragraph 6.59, ACA, </w:t>
      </w:r>
      <w:r w:rsidR="007A680E" w:rsidRPr="0019444B">
        <w:rPr>
          <w:iCs/>
        </w:rPr>
        <w:t>PSD</w:t>
      </w:r>
      <w:r w:rsidR="00270163" w:rsidRPr="0019444B">
        <w:rPr>
          <w:iCs/>
        </w:rPr>
        <w:t xml:space="preserve">, </w:t>
      </w:r>
      <w:r w:rsidRPr="0019444B">
        <w:rPr>
          <w:iCs/>
        </w:rPr>
        <w:t xml:space="preserve">December 2022 PBAC </w:t>
      </w:r>
      <w:r w:rsidR="00270163" w:rsidRPr="0019444B">
        <w:rPr>
          <w:iCs/>
        </w:rPr>
        <w:t>intracycle meeting</w:t>
      </w:r>
      <w:r w:rsidRPr="0019444B">
        <w:rPr>
          <w:iCs/>
        </w:rPr>
        <w:t xml:space="preserve">). Given no modifications were made to the previous safety data presented, a claim of a non-inferior safety profile would have been more appropriate </w:t>
      </w:r>
      <w:r w:rsidR="00DF2FFE" w:rsidRPr="0019444B">
        <w:rPr>
          <w:iCs/>
        </w:rPr>
        <w:t xml:space="preserve">and </w:t>
      </w:r>
      <w:r w:rsidRPr="0019444B">
        <w:rPr>
          <w:iCs/>
        </w:rPr>
        <w:t>with</w:t>
      </w:r>
      <w:r w:rsidR="00DF2FFE" w:rsidRPr="0019444B">
        <w:rPr>
          <w:iCs/>
        </w:rPr>
        <w:t xml:space="preserve"> that claim, </w:t>
      </w:r>
      <w:r w:rsidRPr="0019444B">
        <w:rPr>
          <w:iCs/>
        </w:rPr>
        <w:t xml:space="preserve">AEs </w:t>
      </w:r>
      <w:r w:rsidR="00DF2FFE" w:rsidRPr="0019444B">
        <w:rPr>
          <w:iCs/>
        </w:rPr>
        <w:t xml:space="preserve">would </w:t>
      </w:r>
      <w:r w:rsidRPr="0019444B">
        <w:rPr>
          <w:iCs/>
        </w:rPr>
        <w:t xml:space="preserve">not </w:t>
      </w:r>
      <w:r w:rsidR="00DF2FFE" w:rsidRPr="0019444B">
        <w:rPr>
          <w:iCs/>
        </w:rPr>
        <w:t xml:space="preserve">have been included </w:t>
      </w:r>
      <w:r w:rsidRPr="0019444B">
        <w:rPr>
          <w:iCs/>
        </w:rPr>
        <w:t>in the CMA.</w:t>
      </w:r>
      <w:r w:rsidR="00A15987" w:rsidRPr="0019444B">
        <w:rPr>
          <w:iCs/>
        </w:rPr>
        <w:t xml:space="preserve"> </w:t>
      </w:r>
      <w:r w:rsidR="00A15987" w:rsidRPr="0019444B">
        <w:t>The PSCR acknowledged the claim of superior safety, and thus calculation of associated cost offsets, were based on a MAIC analysis</w:t>
      </w:r>
      <w:r w:rsidR="009858DC" w:rsidRPr="0019444B">
        <w:t>,</w:t>
      </w:r>
      <w:r w:rsidR="00A15987" w:rsidRPr="0019444B">
        <w:t xml:space="preserve"> which may be associated with uncertainty and hence that the sponsor would conservatively accept removal of cost offsets related to AEs from the CMA. The ESC considered the claim of superior safety was not supported and therefore it would be appropriate to remove the costs to manage AEs from the CMA.</w:t>
      </w:r>
      <w:r w:rsidR="003E5FCA" w:rsidRPr="0019444B">
        <w:t xml:space="preserve"> The pre-PBAC response stated that a clinical claim of non-inferior safety versus VTX+OBIN was pragmatically accepted. </w:t>
      </w:r>
    </w:p>
    <w:p w14:paraId="6F39BA79" w14:textId="64A639D3" w:rsidR="00133054" w:rsidRPr="0019444B" w:rsidRDefault="00670313" w:rsidP="00D76BB7">
      <w:pPr>
        <w:pStyle w:val="3-BodyText"/>
        <w:numPr>
          <w:ilvl w:val="1"/>
          <w:numId w:val="1"/>
        </w:numPr>
        <w:rPr>
          <w:iCs/>
        </w:rPr>
      </w:pPr>
      <w:r w:rsidRPr="0019444B">
        <w:t xml:space="preserve">The resubmission assumed that </w:t>
      </w:r>
      <w:r w:rsidR="00133054" w:rsidRPr="0019444B">
        <w:t xml:space="preserve">there would be a cost-offset from decreased utilisation of TLS prophylaxis associated with VTX treatment. </w:t>
      </w:r>
      <w:r w:rsidR="00133054" w:rsidRPr="0019444B">
        <w:rPr>
          <w:iCs/>
        </w:rPr>
        <w:t xml:space="preserve">This cost-offset was likely significantly </w:t>
      </w:r>
      <w:r w:rsidR="001D5F87" w:rsidRPr="0019444B">
        <w:rPr>
          <w:iCs/>
        </w:rPr>
        <w:t xml:space="preserve">overestimated </w:t>
      </w:r>
      <w:r w:rsidR="00133054" w:rsidRPr="0019444B">
        <w:rPr>
          <w:iCs/>
        </w:rPr>
        <w:t>due to the following:</w:t>
      </w:r>
    </w:p>
    <w:p w14:paraId="535DD678" w14:textId="458DC726" w:rsidR="001F1109" w:rsidRPr="0019444B" w:rsidRDefault="00133054" w:rsidP="00CA022C">
      <w:pPr>
        <w:pStyle w:val="ListParagraph"/>
      </w:pPr>
      <w:r w:rsidRPr="0019444B">
        <w:t xml:space="preserve">The calculated estimated cost per patient of $3,784 to manage TLS was significantly greater than the $1,329 (2023 adjusted value) per patient previously utilised in the July 2020 </w:t>
      </w:r>
      <w:r w:rsidR="000326AD" w:rsidRPr="0019444B">
        <w:t xml:space="preserve">VTX </w:t>
      </w:r>
      <w:r w:rsidRPr="0019444B">
        <w:t>submission (</w:t>
      </w:r>
      <w:r w:rsidR="00FC1A82" w:rsidRPr="0019444B">
        <w:rPr>
          <w:szCs w:val="20"/>
        </w:rPr>
        <w:t xml:space="preserve">Table 8, </w:t>
      </w:r>
      <w:r w:rsidR="00651FCB" w:rsidRPr="0019444B">
        <w:rPr>
          <w:szCs w:val="20"/>
        </w:rPr>
        <w:t>VTX</w:t>
      </w:r>
      <w:r w:rsidR="00FC1A82" w:rsidRPr="0019444B">
        <w:rPr>
          <w:szCs w:val="20"/>
        </w:rPr>
        <w:t xml:space="preserve"> PSD, July 2020 PBAC meeting</w:t>
      </w:r>
      <w:r w:rsidRPr="0019444B">
        <w:t>)</w:t>
      </w:r>
      <w:r w:rsidR="00661558">
        <w:t>.</w:t>
      </w:r>
    </w:p>
    <w:p w14:paraId="518C5397" w14:textId="6AAC4F5D" w:rsidR="00133054" w:rsidRPr="0019444B" w:rsidRDefault="00AC574B" w:rsidP="00CA022C">
      <w:pPr>
        <w:pStyle w:val="ListParagraph"/>
      </w:pPr>
      <w:r w:rsidRPr="0019444B">
        <w:t xml:space="preserve">The resubmission assumed patients on ACA+OBIN treatment would not require TLS prophylaxis. This was unlikely as the ELEVATE-TN trial indicated that TLS was associated with </w:t>
      </w:r>
      <w:r w:rsidR="00760645" w:rsidRPr="0019444B">
        <w:t xml:space="preserve">the </w:t>
      </w:r>
      <w:r w:rsidRPr="0019444B">
        <w:t xml:space="preserve">ACA+OBIN combination and the rate of TLS between ACA+OBIN versus VTX+OBIN was not statistically </w:t>
      </w:r>
      <w:r w:rsidR="001F1B4A" w:rsidRPr="0019444B">
        <w:t>different</w:t>
      </w:r>
      <w:r w:rsidRPr="0019444B">
        <w:t xml:space="preserve"> (p=1). </w:t>
      </w:r>
    </w:p>
    <w:p w14:paraId="3C8BE515" w14:textId="06E50A9C" w:rsidR="00651FCB" w:rsidRPr="0019444B" w:rsidRDefault="00651FCB" w:rsidP="00754E58">
      <w:pPr>
        <w:pStyle w:val="3-BodyText"/>
        <w:numPr>
          <w:ilvl w:val="1"/>
          <w:numId w:val="1"/>
        </w:numPr>
        <w:rPr>
          <w:bCs/>
          <w:iCs/>
        </w:rPr>
      </w:pPr>
      <w:bookmarkStart w:id="75" w:name="_Ref138099120"/>
      <w:r w:rsidRPr="0019444B">
        <w:rPr>
          <w:bCs/>
          <w:iCs/>
        </w:rPr>
        <w:t xml:space="preserve">The PSCR stated the cost of TLS prophylaxis was based on monitoring and healthcare resource requirements reported in the Venclexta® PI, indexed to the appropriate PBS and MBS costs and considered the cost of $1,329 per patient noted </w:t>
      </w:r>
      <w:r w:rsidR="003C1BA0" w:rsidRPr="0019444B">
        <w:rPr>
          <w:bCs/>
          <w:iCs/>
        </w:rPr>
        <w:t>in the evaluation</w:t>
      </w:r>
      <w:r w:rsidRPr="0019444B">
        <w:rPr>
          <w:bCs/>
          <w:iCs/>
        </w:rPr>
        <w:t xml:space="preserve"> to likely be a significant underestimate, especially considering the significant healthcare resource requirements required to prevent TLS </w:t>
      </w:r>
      <w:r w:rsidRPr="0019444B">
        <w:rPr>
          <w:bCs/>
          <w:iCs/>
        </w:rPr>
        <w:fldChar w:fldCharType="begin" w:fldLock="1">
          <w:fldData xml:space="preserve">PEVuZE5vdGU+PENpdGU+PEF1dGhvcj5HcmliYmVuPC9BdXRob3I+PFllYXI+MjAyMDwvWWVhcj48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</w:fldData>
        </w:fldChar>
      </w:r>
      <w:r w:rsidRPr="0019444B">
        <w:rPr>
          <w:bCs/>
          <w:iCs/>
        </w:rPr>
        <w:instrText xml:space="preserve"> ADDIN EN.CITE </w:instrText>
      </w:r>
      <w:r w:rsidRPr="00B465C7">
        <w:rPr>
          <w:bCs/>
          <w:iCs/>
        </w:rPr>
        <w:fldChar w:fldCharType="begin" w:fldLock="1">
          <w:fldData xml:space="preserve">PEVuZE5vdGU+PENpdGU+PEF1dGhvcj5HcmliYmVuPC9BdXRob3I+PFllYXI+MjAyMDwvWWVhcj48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</w:fldData>
        </w:fldChar>
      </w:r>
      <w:r w:rsidRPr="0019444B">
        <w:rPr>
          <w:bCs/>
          <w:iCs/>
        </w:rPr>
        <w:instrText xml:space="preserve"> ADDIN EN.CITE.DATA </w:instrText>
      </w:r>
      <w:r w:rsidRPr="00B465C7">
        <w:rPr>
          <w:bCs/>
          <w:iCs/>
        </w:rPr>
      </w:r>
      <w:r w:rsidRPr="00B465C7">
        <w:rPr>
          <w:bCs/>
          <w:iCs/>
        </w:rPr>
        <w:fldChar w:fldCharType="end"/>
      </w:r>
      <w:r w:rsidRPr="0019444B">
        <w:rPr>
          <w:bCs/>
          <w:iCs/>
        </w:rPr>
      </w:r>
      <w:r w:rsidRPr="0019444B">
        <w:rPr>
          <w:bCs/>
          <w:iCs/>
        </w:rPr>
        <w:fldChar w:fldCharType="separate"/>
      </w:r>
      <w:r w:rsidRPr="0019444B">
        <w:rPr>
          <w:bCs/>
          <w:iCs/>
        </w:rPr>
        <w:t>(Gribben, 2020</w:t>
      </w:r>
      <w:r w:rsidR="0011405D" w:rsidRPr="0019444B">
        <w:rPr>
          <w:rStyle w:val="FootnoteReference"/>
          <w:bCs/>
          <w:iCs/>
        </w:rPr>
        <w:footnoteReference w:id="2"/>
      </w:r>
      <w:r w:rsidRPr="0019444B">
        <w:rPr>
          <w:bCs/>
          <w:iCs/>
        </w:rPr>
        <w:t>, Mato et al., 2018</w:t>
      </w:r>
      <w:r w:rsidR="0011405D" w:rsidRPr="0019444B">
        <w:rPr>
          <w:rStyle w:val="FootnoteReference"/>
          <w:bCs/>
          <w:iCs/>
        </w:rPr>
        <w:footnoteReference w:id="3"/>
      </w:r>
      <w:r w:rsidRPr="0019444B">
        <w:rPr>
          <w:bCs/>
          <w:iCs/>
        </w:rPr>
        <w:t>)</w:t>
      </w:r>
      <w:r w:rsidRPr="0019444B">
        <w:rPr>
          <w:bCs/>
          <w:iCs/>
        </w:rPr>
        <w:fldChar w:fldCharType="end"/>
      </w:r>
      <w:r w:rsidRPr="0019444B">
        <w:rPr>
          <w:bCs/>
          <w:iCs/>
        </w:rPr>
        <w:t>. The PSCR stated TLS prophylaxis is not a requirement for ACA containing regimens (not specified in the Calquence® PI) and no such management was adopted in ELEVATE-TN for ACA or ACA+OBIN. The PSCR further noted the risk of TLS and the need for appropriate prophylactic management is recognised in the Venclexta® PI and was adopted in CLL-14 for patients treated with VTX+OBIN. The PSCR considered it likely that rates of TLS are comparable between ACA+OBIN and VTX+OBIN due to the different prophylaxis and management strategies adopted for patients treated with VTX+OBIN in CLL-14</w:t>
      </w:r>
      <w:r w:rsidRPr="00B465C7">
        <w:rPr>
          <w:bCs/>
          <w:iCs/>
        </w:rPr>
        <w:fldChar w:fldCharType="begin" w:fldLock="1">
          <w:fldData xml:space="preserve">PEVuZE5vdGU+PENpdGU+PEF1dGhvcj5GaXNjaGVyPC9BdXRob3I+PFllYXI+MjAxOTwvWWVhcj48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=
</w:fldData>
        </w:fldChar>
      </w:r>
      <w:r w:rsidRPr="0019444B">
        <w:rPr>
          <w:bCs/>
          <w:iCs/>
        </w:rPr>
        <w:instrText xml:space="preserve"> ADDIN EN.CITE </w:instrText>
      </w:r>
      <w:r w:rsidRPr="00B465C7">
        <w:rPr>
          <w:bCs/>
          <w:iCs/>
        </w:rPr>
        <w:fldChar w:fldCharType="begin" w:fldLock="1">
          <w:fldData xml:space="preserve">PEVuZE5vdGU+PENpdGU+PEF1dGhvcj5GaXNjaGVyPC9BdXRob3I+PFllYXI+MjAxOTwvWWVhcj48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=
</w:fldData>
        </w:fldChar>
      </w:r>
      <w:r w:rsidRPr="0019444B">
        <w:rPr>
          <w:bCs/>
          <w:iCs/>
        </w:rPr>
        <w:instrText xml:space="preserve"> ADDIN EN.CITE.DATA </w:instrText>
      </w:r>
      <w:r w:rsidRPr="00B465C7">
        <w:rPr>
          <w:bCs/>
          <w:iCs/>
        </w:rPr>
      </w:r>
      <w:r w:rsidRPr="00B465C7">
        <w:rPr>
          <w:bCs/>
          <w:iCs/>
        </w:rPr>
        <w:fldChar w:fldCharType="end"/>
      </w:r>
      <w:r w:rsidR="00FF5E98">
        <w:rPr>
          <w:bCs/>
          <w:iCs/>
        </w:rPr>
      </w:r>
      <w:r w:rsidR="00FF5E98">
        <w:rPr>
          <w:bCs/>
          <w:iCs/>
        </w:rPr>
        <w:fldChar w:fldCharType="separate"/>
      </w:r>
      <w:r w:rsidRPr="00B465C7">
        <w:rPr>
          <w:bCs/>
          <w:iCs/>
        </w:rPr>
        <w:fldChar w:fldCharType="end"/>
      </w:r>
      <w:r w:rsidRPr="0019444B">
        <w:rPr>
          <w:bCs/>
          <w:iCs/>
        </w:rPr>
        <w:t>.</w:t>
      </w:r>
      <w:r w:rsidR="00B15780" w:rsidRPr="0019444B">
        <w:rPr>
          <w:bCs/>
          <w:iCs/>
        </w:rPr>
        <w:t xml:space="preserve"> The ESC noted that TLS is generally due to the </w:t>
      </w:r>
      <w:r w:rsidR="003C1BA0" w:rsidRPr="0019444B">
        <w:rPr>
          <w:bCs/>
          <w:iCs/>
        </w:rPr>
        <w:t>VTX</w:t>
      </w:r>
      <w:r w:rsidR="00B15780" w:rsidRPr="0019444B">
        <w:rPr>
          <w:bCs/>
          <w:iCs/>
        </w:rPr>
        <w:t xml:space="preserve"> component of VTX+OBIN</w:t>
      </w:r>
      <w:bookmarkEnd w:id="75"/>
      <w:r w:rsidR="00B15780" w:rsidRPr="0019444B">
        <w:rPr>
          <w:bCs/>
          <w:iCs/>
        </w:rPr>
        <w:t xml:space="preserve"> and therefore it would be appropriate to apply the TLS prophylaxis cost to the VEN+OBIN arm only. The ESC considered the cost </w:t>
      </w:r>
      <w:r w:rsidR="004E7D64" w:rsidRPr="0019444B">
        <w:rPr>
          <w:bCs/>
          <w:iCs/>
        </w:rPr>
        <w:t>included in the</w:t>
      </w:r>
      <w:r w:rsidR="00B15780" w:rsidRPr="0019444B">
        <w:rPr>
          <w:bCs/>
          <w:iCs/>
        </w:rPr>
        <w:t xml:space="preserve"> </w:t>
      </w:r>
      <w:r w:rsidR="004E7D64" w:rsidRPr="0019444B">
        <w:rPr>
          <w:iCs/>
        </w:rPr>
        <w:t>July 2020 VTX submission ($1,329, adjusted to 2023 value) to be a reasonable estimate for this cost.</w:t>
      </w:r>
      <w:r w:rsidR="003E5FCA" w:rsidRPr="0019444B">
        <w:rPr>
          <w:iCs/>
        </w:rPr>
        <w:t xml:space="preserve"> The pre-PBAC response stated that it considered that a cost of $1,329 for TLS prophylaxis would be an acceptable estimate of the cost of TLS prophylaxis associated with cost of VTX, to be applied to the VTX</w:t>
      </w:r>
      <w:r w:rsidR="00622C9B" w:rsidRPr="0019444B">
        <w:rPr>
          <w:iCs/>
        </w:rPr>
        <w:t>+</w:t>
      </w:r>
      <w:r w:rsidR="003E5FCA" w:rsidRPr="0019444B">
        <w:rPr>
          <w:iCs/>
        </w:rPr>
        <w:t>OBIN arm of the CMA only.</w:t>
      </w:r>
    </w:p>
    <w:p w14:paraId="440934BF" w14:textId="06DFD6C9" w:rsidR="00A211E1" w:rsidRPr="0019444B" w:rsidRDefault="00AC574B" w:rsidP="00A211E1">
      <w:pPr>
        <w:pStyle w:val="3-BodyText"/>
        <w:numPr>
          <w:ilvl w:val="1"/>
          <w:numId w:val="1"/>
        </w:numPr>
        <w:rPr>
          <w:bCs/>
        </w:rPr>
      </w:pPr>
      <w:r w:rsidRPr="0019444B">
        <w:rPr>
          <w:bCs/>
          <w:iCs/>
        </w:rPr>
        <w:t>The resubmission did not present any</w:t>
      </w:r>
      <w:r w:rsidR="001F1B4A" w:rsidRPr="0019444B">
        <w:rPr>
          <w:bCs/>
          <w:iCs/>
        </w:rPr>
        <w:t xml:space="preserve"> final</w:t>
      </w:r>
      <w:r w:rsidRPr="0019444B">
        <w:rPr>
          <w:bCs/>
          <w:iCs/>
        </w:rPr>
        <w:t xml:space="preserve"> CMA results as the sponsor did not have access to the effective prices of VTX. </w:t>
      </w:r>
      <w:r w:rsidR="00A211E1" w:rsidRPr="0019444B">
        <w:rPr>
          <w:bCs/>
        </w:rPr>
        <w:t xml:space="preserve">The results of the economic evaluation </w:t>
      </w:r>
      <w:r w:rsidR="001F1B4A" w:rsidRPr="0019444B">
        <w:rPr>
          <w:bCs/>
        </w:rPr>
        <w:t>as calculated during the evaluation</w:t>
      </w:r>
      <w:r w:rsidR="00760645" w:rsidRPr="0019444B">
        <w:rPr>
          <w:bCs/>
        </w:rPr>
        <w:t xml:space="preserve"> using the published price for VTX</w:t>
      </w:r>
      <w:r w:rsidR="001F1B4A" w:rsidRPr="0019444B">
        <w:rPr>
          <w:bCs/>
        </w:rPr>
        <w:t xml:space="preserve"> </w:t>
      </w:r>
      <w:r w:rsidR="00A211E1" w:rsidRPr="0019444B">
        <w:rPr>
          <w:bCs/>
        </w:rPr>
        <w:t>are presented in</w:t>
      </w:r>
      <w:r w:rsidR="00EA2F24" w:rsidRPr="0019444B">
        <w:rPr>
          <w:bCs/>
        </w:rPr>
        <w:t xml:space="preserve"> </w:t>
      </w:r>
      <w:r w:rsidR="00EA2F24" w:rsidRPr="0019444B">
        <w:rPr>
          <w:bCs/>
        </w:rPr>
        <w:fldChar w:fldCharType="begin" w:fldLock="1"/>
      </w:r>
      <w:r w:rsidR="00EA2F24" w:rsidRPr="0019444B">
        <w:rPr>
          <w:bCs/>
        </w:rPr>
        <w:instrText xml:space="preserve"> REF _Ref132529607 \h </w:instrText>
      </w:r>
      <w:r w:rsidR="00EA2F24" w:rsidRPr="0019444B">
        <w:rPr>
          <w:bCs/>
        </w:rPr>
      </w:r>
      <w:r w:rsidR="00EA2F24" w:rsidRPr="0019444B">
        <w:rPr>
          <w:bCs/>
        </w:rPr>
        <w:fldChar w:fldCharType="separate"/>
      </w:r>
      <w:r w:rsidR="00EA2F24" w:rsidRPr="0019444B">
        <w:t xml:space="preserve">Table </w:t>
      </w:r>
      <w:r w:rsidR="00EA2F24" w:rsidRPr="00661558">
        <w:t>16</w:t>
      </w:r>
      <w:r w:rsidR="00EA2F24" w:rsidRPr="0019444B">
        <w:rPr>
          <w:bCs/>
        </w:rPr>
        <w:fldChar w:fldCharType="end"/>
      </w:r>
      <w:r w:rsidR="00332019" w:rsidRPr="0019444B">
        <w:rPr>
          <w:bCs/>
        </w:rPr>
        <w:t>.</w:t>
      </w:r>
    </w:p>
    <w:p w14:paraId="6AE70A5A" w14:textId="221F0C91" w:rsidR="00352846" w:rsidRPr="0019444B" w:rsidRDefault="00352846" w:rsidP="00352846">
      <w:pPr>
        <w:pStyle w:val="Caption"/>
        <w:rPr>
          <w:rStyle w:val="CommentReference"/>
          <w:b/>
          <w:szCs w:val="24"/>
        </w:rPr>
      </w:pPr>
      <w:bookmarkStart w:id="76" w:name="_Ref132529607"/>
      <w:r w:rsidRPr="0019444B">
        <w:t xml:space="preserve">Table </w:t>
      </w:r>
      <w:fldSimple w:instr=" SEQ Table \* ARABIC " w:fldLock="1">
        <w:r w:rsidR="00EA2F24" w:rsidRPr="00661558">
          <w:t>16</w:t>
        </w:r>
      </w:fldSimple>
      <w:bookmarkEnd w:id="76"/>
      <w:r w:rsidRPr="0019444B">
        <w:rPr>
          <w:rStyle w:val="CommentReference"/>
          <w:b/>
          <w:szCs w:val="24"/>
        </w:rPr>
        <w:t xml:space="preserve">: </w:t>
      </w:r>
      <w:bookmarkStart w:id="77" w:name="_Hlk132320039"/>
      <w:r w:rsidRPr="0019444B">
        <w:rPr>
          <w:rStyle w:val="CommentReference"/>
          <w:b/>
          <w:szCs w:val="24"/>
        </w:rPr>
        <w:t>Results of the economic evaluation</w:t>
      </w:r>
      <w:bookmarkEnd w:id="77"/>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267"/>
        <w:gridCol w:w="1269"/>
        <w:gridCol w:w="1087"/>
        <w:gridCol w:w="1128"/>
        <w:gridCol w:w="1128"/>
      </w:tblGrid>
      <w:tr w:rsidR="00352846" w:rsidRPr="0019444B" w14:paraId="4BF748E0" w14:textId="77777777" w:rsidTr="00425DCE">
        <w:trPr>
          <w:trHeight w:val="70"/>
        </w:trPr>
        <w:tc>
          <w:tcPr>
            <w:tcW w:w="3160" w:type="dxa"/>
            <w:vMerge w:val="restart"/>
            <w:tcBorders>
              <w:top w:val="single" w:sz="4" w:space="0" w:color="auto"/>
              <w:left w:val="single" w:sz="4" w:space="0" w:color="auto"/>
              <w:bottom w:val="single" w:sz="4" w:space="0" w:color="auto"/>
              <w:right w:val="single" w:sz="4" w:space="0" w:color="auto"/>
            </w:tcBorders>
            <w:vAlign w:val="center"/>
            <w:hideMark/>
          </w:tcPr>
          <w:p w14:paraId="5CE2E7D6" w14:textId="77777777" w:rsidR="00352846" w:rsidRPr="0019444B" w:rsidRDefault="00352846" w:rsidP="00384271">
            <w:pPr>
              <w:pStyle w:val="In-tableHeading"/>
              <w:widowControl w:val="0"/>
              <w:rPr>
                <w:lang w:val="en-AU"/>
              </w:rPr>
            </w:pPr>
            <w:r w:rsidRPr="0019444B">
              <w:rPr>
                <w:lang w:val="en-AU"/>
              </w:rPr>
              <w:t>Component</w:t>
            </w:r>
          </w:p>
        </w:tc>
        <w:tc>
          <w:tcPr>
            <w:tcW w:w="3644" w:type="dxa"/>
            <w:gridSpan w:val="3"/>
            <w:tcBorders>
              <w:top w:val="single" w:sz="4" w:space="0" w:color="auto"/>
              <w:left w:val="single" w:sz="4" w:space="0" w:color="auto"/>
              <w:bottom w:val="single" w:sz="4" w:space="0" w:color="auto"/>
              <w:right w:val="single" w:sz="4" w:space="0" w:color="auto"/>
            </w:tcBorders>
            <w:vAlign w:val="center"/>
            <w:hideMark/>
          </w:tcPr>
          <w:p w14:paraId="07E4D277" w14:textId="77777777" w:rsidR="00352846" w:rsidRPr="0019444B" w:rsidRDefault="00352846" w:rsidP="00384271">
            <w:pPr>
              <w:pStyle w:val="In-tableHeading"/>
              <w:widowControl w:val="0"/>
              <w:rPr>
                <w:lang w:val="en-AU"/>
              </w:rPr>
            </w:pPr>
            <w:r w:rsidRPr="0019444B">
              <w:rPr>
                <w:lang w:val="en-AU"/>
              </w:rPr>
              <w:t>Proposed medicine</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706ACAE9" w14:textId="77777777" w:rsidR="00352846" w:rsidRPr="0019444B" w:rsidRDefault="00352846" w:rsidP="00384271">
            <w:pPr>
              <w:pStyle w:val="In-tableHeading"/>
              <w:widowControl w:val="0"/>
              <w:rPr>
                <w:lang w:val="en-AU"/>
              </w:rPr>
            </w:pPr>
            <w:r w:rsidRPr="0019444B">
              <w:rPr>
                <w:lang w:val="en-AU"/>
              </w:rPr>
              <w:t>Comparator</w:t>
            </w:r>
          </w:p>
        </w:tc>
      </w:tr>
      <w:tr w:rsidR="00352846" w:rsidRPr="0019444B" w14:paraId="32514A99" w14:textId="77777777" w:rsidTr="00425DCE">
        <w:trPr>
          <w:trHeight w:val="70"/>
        </w:trPr>
        <w:tc>
          <w:tcPr>
            <w:tcW w:w="3160" w:type="dxa"/>
            <w:vMerge/>
            <w:tcBorders>
              <w:top w:val="single" w:sz="4" w:space="0" w:color="auto"/>
              <w:left w:val="single" w:sz="4" w:space="0" w:color="auto"/>
              <w:bottom w:val="single" w:sz="4" w:space="0" w:color="auto"/>
              <w:right w:val="single" w:sz="4" w:space="0" w:color="auto"/>
            </w:tcBorders>
            <w:vAlign w:val="center"/>
            <w:hideMark/>
          </w:tcPr>
          <w:p w14:paraId="68B39981" w14:textId="77777777" w:rsidR="00352846" w:rsidRPr="0019444B" w:rsidRDefault="00352846" w:rsidP="00384271">
            <w:pPr>
              <w:keepNext/>
              <w:widowControl w:val="0"/>
              <w:jc w:val="left"/>
              <w:rPr>
                <w:rFonts w:ascii="Arial Narrow" w:eastAsiaTheme="majorEastAsia" w:hAnsi="Arial Narrow" w:cs="Times New Roman"/>
                <w:b/>
                <w:sz w:val="20"/>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4D14EBCA" w14:textId="77777777" w:rsidR="00352846" w:rsidRPr="0019444B" w:rsidRDefault="00352846" w:rsidP="00384271">
            <w:pPr>
              <w:pStyle w:val="In-tableHeading"/>
              <w:widowControl w:val="0"/>
              <w:rPr>
                <w:lang w:val="en-AU"/>
              </w:rPr>
            </w:pPr>
            <w:r w:rsidRPr="0019444B">
              <w:rPr>
                <w:lang w:val="en-AU"/>
              </w:rPr>
              <w:t>ACA</w:t>
            </w:r>
          </w:p>
        </w:tc>
        <w:tc>
          <w:tcPr>
            <w:tcW w:w="2369" w:type="dxa"/>
            <w:gridSpan w:val="2"/>
            <w:tcBorders>
              <w:top w:val="single" w:sz="4" w:space="0" w:color="auto"/>
              <w:left w:val="single" w:sz="4" w:space="0" w:color="auto"/>
              <w:bottom w:val="single" w:sz="4" w:space="0" w:color="auto"/>
              <w:right w:val="single" w:sz="4" w:space="0" w:color="auto"/>
            </w:tcBorders>
            <w:vAlign w:val="center"/>
            <w:hideMark/>
          </w:tcPr>
          <w:p w14:paraId="36A67CE0" w14:textId="77777777" w:rsidR="00352846" w:rsidRPr="0019444B" w:rsidRDefault="00352846" w:rsidP="00384271">
            <w:pPr>
              <w:pStyle w:val="In-tableHeading"/>
              <w:widowControl w:val="0"/>
              <w:rPr>
                <w:lang w:val="en-AU"/>
              </w:rPr>
            </w:pPr>
            <w:r w:rsidRPr="0019444B">
              <w:rPr>
                <w:lang w:val="en-AU"/>
              </w:rPr>
              <w:t>ACA + OBIN</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2C1164B5" w14:textId="77777777" w:rsidR="00352846" w:rsidRPr="0019444B" w:rsidRDefault="00352846" w:rsidP="00384271">
            <w:pPr>
              <w:pStyle w:val="In-tableHeading"/>
              <w:widowControl w:val="0"/>
              <w:rPr>
                <w:lang w:val="en-AU"/>
              </w:rPr>
            </w:pPr>
            <w:r w:rsidRPr="0019444B">
              <w:rPr>
                <w:lang w:val="en-AU"/>
              </w:rPr>
              <w:t>VTX +OBIN</w:t>
            </w:r>
          </w:p>
        </w:tc>
      </w:tr>
      <w:tr w:rsidR="00473A24" w:rsidRPr="0019444B" w14:paraId="05079587" w14:textId="77777777" w:rsidTr="00425DCE">
        <w:trPr>
          <w:trHeight w:val="70"/>
        </w:trPr>
        <w:tc>
          <w:tcPr>
            <w:tcW w:w="3160" w:type="dxa"/>
            <w:vMerge/>
            <w:tcBorders>
              <w:top w:val="single" w:sz="4" w:space="0" w:color="auto"/>
              <w:left w:val="single" w:sz="4" w:space="0" w:color="auto"/>
              <w:bottom w:val="single" w:sz="4" w:space="0" w:color="auto"/>
              <w:right w:val="single" w:sz="4" w:space="0" w:color="auto"/>
            </w:tcBorders>
            <w:vAlign w:val="center"/>
            <w:hideMark/>
          </w:tcPr>
          <w:p w14:paraId="73A79710" w14:textId="77777777" w:rsidR="00352846" w:rsidRPr="0019444B" w:rsidRDefault="00352846" w:rsidP="00384271">
            <w:pPr>
              <w:keepNext/>
              <w:widowControl w:val="0"/>
              <w:jc w:val="left"/>
              <w:rPr>
                <w:rFonts w:ascii="Arial Narrow" w:eastAsiaTheme="majorEastAsia" w:hAnsi="Arial Narrow" w:cs="Times New Roman"/>
                <w:b/>
                <w:sz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F5B2596" w14:textId="77777777" w:rsidR="00352846" w:rsidRPr="0019444B" w:rsidRDefault="00352846" w:rsidP="00384271">
            <w:pPr>
              <w:keepNext/>
              <w:widowControl w:val="0"/>
              <w:jc w:val="left"/>
              <w:rPr>
                <w:rFonts w:ascii="Arial Narrow" w:eastAsiaTheme="majorEastAsia" w:hAnsi="Arial Narrow" w:cs="Times New Roman"/>
                <w:b/>
                <w:sz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6BDF788" w14:textId="77777777" w:rsidR="00352846" w:rsidRPr="0019444B" w:rsidRDefault="00352846" w:rsidP="00384271">
            <w:pPr>
              <w:pStyle w:val="TableText0"/>
              <w:widowControl w:val="0"/>
              <w:rPr>
                <w:b/>
                <w:bCs w:val="0"/>
              </w:rPr>
            </w:pPr>
            <w:r w:rsidRPr="0019444B">
              <w:rPr>
                <w:b/>
                <w:bCs w:val="0"/>
              </w:rPr>
              <w:t>ACA</w:t>
            </w:r>
          </w:p>
        </w:tc>
        <w:tc>
          <w:tcPr>
            <w:tcW w:w="1093" w:type="dxa"/>
            <w:tcBorders>
              <w:top w:val="single" w:sz="4" w:space="0" w:color="auto"/>
              <w:left w:val="single" w:sz="4" w:space="0" w:color="auto"/>
              <w:bottom w:val="single" w:sz="4" w:space="0" w:color="auto"/>
              <w:right w:val="single" w:sz="4" w:space="0" w:color="auto"/>
            </w:tcBorders>
            <w:vAlign w:val="center"/>
            <w:hideMark/>
          </w:tcPr>
          <w:p w14:paraId="20CE08FB" w14:textId="77777777" w:rsidR="00352846" w:rsidRPr="0019444B" w:rsidRDefault="00352846" w:rsidP="00384271">
            <w:pPr>
              <w:pStyle w:val="TableText0"/>
              <w:widowControl w:val="0"/>
              <w:rPr>
                <w:b/>
                <w:bCs w:val="0"/>
              </w:rPr>
            </w:pPr>
            <w:r w:rsidRPr="0019444B">
              <w:rPr>
                <w:b/>
                <w:bCs w:val="0"/>
              </w:rPr>
              <w:t>OBIN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3B403B" w14:textId="77777777" w:rsidR="00352846" w:rsidRPr="0019444B" w:rsidRDefault="00352846" w:rsidP="00384271">
            <w:pPr>
              <w:pStyle w:val="TableText0"/>
              <w:widowControl w:val="0"/>
              <w:rPr>
                <w:b/>
                <w:bCs w:val="0"/>
              </w:rPr>
            </w:pPr>
            <w:r w:rsidRPr="0019444B">
              <w:rPr>
                <w:b/>
                <w:bCs w:val="0"/>
              </w:rPr>
              <w:t>VTX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1BD001" w14:textId="77777777" w:rsidR="00352846" w:rsidRPr="0019444B" w:rsidRDefault="00352846" w:rsidP="00384271">
            <w:pPr>
              <w:pStyle w:val="TableText0"/>
              <w:widowControl w:val="0"/>
              <w:rPr>
                <w:b/>
                <w:bCs w:val="0"/>
              </w:rPr>
            </w:pPr>
            <w:r w:rsidRPr="0019444B">
              <w:rPr>
                <w:b/>
                <w:bCs w:val="0"/>
              </w:rPr>
              <w:t>OBIN</w:t>
            </w:r>
          </w:p>
        </w:tc>
      </w:tr>
      <w:tr w:rsidR="00473A24" w:rsidRPr="0019444B" w14:paraId="295010C6" w14:textId="77777777" w:rsidTr="00425DCE">
        <w:trPr>
          <w:trHeight w:val="70"/>
        </w:trPr>
        <w:tc>
          <w:tcPr>
            <w:tcW w:w="3160" w:type="dxa"/>
            <w:tcBorders>
              <w:top w:val="single" w:sz="4" w:space="0" w:color="auto"/>
              <w:left w:val="single" w:sz="4" w:space="0" w:color="auto"/>
              <w:bottom w:val="single" w:sz="4" w:space="0" w:color="auto"/>
              <w:right w:val="single" w:sz="4" w:space="0" w:color="auto"/>
            </w:tcBorders>
            <w:vAlign w:val="center"/>
            <w:hideMark/>
          </w:tcPr>
          <w:p w14:paraId="0F000362" w14:textId="77777777" w:rsidR="00352846" w:rsidRPr="0019444B" w:rsidRDefault="00352846" w:rsidP="00384271">
            <w:pPr>
              <w:pStyle w:val="TableText0"/>
              <w:widowControl w:val="0"/>
            </w:pPr>
            <w:r w:rsidRPr="0019444B">
              <w:t>Dose duration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E8E87F1" w14:textId="77777777" w:rsidR="00352846" w:rsidRPr="0019444B" w:rsidRDefault="00352846" w:rsidP="00384271">
            <w:pPr>
              <w:pStyle w:val="TableText0"/>
              <w:widowControl w:val="0"/>
            </w:pPr>
            <w:r w:rsidRPr="0019444B">
              <w:t xml:space="preserve">1,473.18 days </w:t>
            </w:r>
          </w:p>
          <w:p w14:paraId="0D01EB04" w14:textId="77777777" w:rsidR="00352846" w:rsidRPr="0019444B" w:rsidRDefault="00352846" w:rsidP="00384271">
            <w:pPr>
              <w:pStyle w:val="TableText0"/>
              <w:widowControl w:val="0"/>
            </w:pPr>
            <w:r w:rsidRPr="0019444B">
              <w:t>(48.4 months)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A1B05A" w14:textId="77777777" w:rsidR="00352846" w:rsidRPr="0019444B" w:rsidRDefault="00352846" w:rsidP="00384271">
            <w:pPr>
              <w:pStyle w:val="TableText0"/>
              <w:widowControl w:val="0"/>
            </w:pPr>
            <w:r w:rsidRPr="0019444B">
              <w:t>1,543.18 days (50.7 months)</w:t>
            </w:r>
          </w:p>
        </w:tc>
        <w:tc>
          <w:tcPr>
            <w:tcW w:w="1093" w:type="dxa"/>
            <w:tcBorders>
              <w:top w:val="single" w:sz="4" w:space="0" w:color="auto"/>
              <w:left w:val="single" w:sz="4" w:space="0" w:color="auto"/>
              <w:bottom w:val="single" w:sz="4" w:space="0" w:color="auto"/>
              <w:right w:val="single" w:sz="4" w:space="0" w:color="auto"/>
            </w:tcBorders>
            <w:vAlign w:val="center"/>
            <w:hideMark/>
          </w:tcPr>
          <w:p w14:paraId="5EF73380" w14:textId="77777777" w:rsidR="00352846" w:rsidRPr="0019444B" w:rsidRDefault="00352846" w:rsidP="00384271">
            <w:pPr>
              <w:pStyle w:val="TableText0"/>
              <w:widowControl w:val="0"/>
            </w:pPr>
            <w:r w:rsidRPr="0019444B">
              <w:t>163.4 days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7FA84A" w14:textId="77777777" w:rsidR="00352846" w:rsidRPr="0019444B" w:rsidRDefault="00352846" w:rsidP="00384271">
            <w:pPr>
              <w:pStyle w:val="TableText0"/>
              <w:widowControl w:val="0"/>
            </w:pPr>
            <w:r w:rsidRPr="0019444B">
              <w:t>288.1 days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680336" w14:textId="77777777" w:rsidR="00352846" w:rsidRPr="0019444B" w:rsidRDefault="00352846" w:rsidP="00384271">
            <w:pPr>
              <w:pStyle w:val="TableText0"/>
              <w:widowControl w:val="0"/>
            </w:pPr>
            <w:r w:rsidRPr="0019444B">
              <w:t>144.05 days</w:t>
            </w:r>
          </w:p>
        </w:tc>
      </w:tr>
      <w:tr w:rsidR="00473A24" w:rsidRPr="0019444B" w14:paraId="7368F477" w14:textId="77777777" w:rsidTr="00425DCE">
        <w:trPr>
          <w:trHeight w:val="70"/>
        </w:trPr>
        <w:tc>
          <w:tcPr>
            <w:tcW w:w="3160" w:type="dxa"/>
            <w:tcBorders>
              <w:top w:val="single" w:sz="4" w:space="0" w:color="auto"/>
              <w:left w:val="single" w:sz="4" w:space="0" w:color="auto"/>
              <w:bottom w:val="single" w:sz="4" w:space="0" w:color="auto"/>
              <w:right w:val="single" w:sz="4" w:space="0" w:color="auto"/>
            </w:tcBorders>
            <w:vAlign w:val="center"/>
            <w:hideMark/>
          </w:tcPr>
          <w:p w14:paraId="7FA053D1" w14:textId="77777777" w:rsidR="00352846" w:rsidRPr="0019444B" w:rsidRDefault="00352846" w:rsidP="00384271">
            <w:pPr>
              <w:pStyle w:val="TableText0"/>
              <w:widowControl w:val="0"/>
            </w:pPr>
            <w:r w:rsidRPr="0019444B">
              <w:t>Equi-effective dose (mg)</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4BC7B9A" w14:textId="77777777" w:rsidR="00352846" w:rsidRPr="0019444B" w:rsidRDefault="00352846" w:rsidP="00384271">
            <w:pPr>
              <w:pStyle w:val="TableText0"/>
              <w:widowControl w:val="0"/>
            </w:pPr>
            <w:r w:rsidRPr="0019444B">
              <w:t>284,100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DE9465" w14:textId="77777777" w:rsidR="00352846" w:rsidRPr="0019444B" w:rsidRDefault="00352846" w:rsidP="00384271">
            <w:pPr>
              <w:pStyle w:val="TableText0"/>
              <w:widowControl w:val="0"/>
            </w:pPr>
            <w:r w:rsidRPr="0019444B">
              <w:t>293,000</w:t>
            </w:r>
          </w:p>
        </w:tc>
        <w:tc>
          <w:tcPr>
            <w:tcW w:w="1093" w:type="dxa"/>
            <w:tcBorders>
              <w:top w:val="single" w:sz="4" w:space="0" w:color="auto"/>
              <w:left w:val="single" w:sz="4" w:space="0" w:color="auto"/>
              <w:bottom w:val="single" w:sz="4" w:space="0" w:color="auto"/>
              <w:right w:val="single" w:sz="4" w:space="0" w:color="auto"/>
            </w:tcBorders>
            <w:vAlign w:val="center"/>
            <w:hideMark/>
          </w:tcPr>
          <w:p w14:paraId="2EEFAB2D" w14:textId="77777777" w:rsidR="00352846" w:rsidRPr="0019444B" w:rsidRDefault="00352846" w:rsidP="00384271">
            <w:pPr>
              <w:pStyle w:val="TableText0"/>
              <w:widowControl w:val="0"/>
            </w:pPr>
            <w:r w:rsidRPr="0019444B">
              <w:t>7,553.2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86B7F0" w14:textId="77777777" w:rsidR="00352846" w:rsidRPr="0019444B" w:rsidRDefault="00352846" w:rsidP="00D26962">
            <w:pPr>
              <w:pStyle w:val="TableText0"/>
              <w:widowControl w:val="0"/>
              <w:ind w:right="-114"/>
            </w:pPr>
            <w:r w:rsidRPr="0019444B">
              <w:t>101,365.78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4B3CD1" w14:textId="77777777" w:rsidR="00352846" w:rsidRPr="0019444B" w:rsidRDefault="00352846" w:rsidP="00384271">
            <w:pPr>
              <w:pStyle w:val="TableText0"/>
              <w:widowControl w:val="0"/>
            </w:pPr>
            <w:r w:rsidRPr="0019444B">
              <w:t>7,355</w:t>
            </w:r>
          </w:p>
        </w:tc>
      </w:tr>
      <w:tr w:rsidR="00473A24" w:rsidRPr="0019444B" w14:paraId="14633393" w14:textId="77777777" w:rsidTr="00425DCE">
        <w:trPr>
          <w:trHeight w:val="70"/>
        </w:trPr>
        <w:tc>
          <w:tcPr>
            <w:tcW w:w="3160" w:type="dxa"/>
            <w:tcBorders>
              <w:top w:val="single" w:sz="4" w:space="0" w:color="auto"/>
              <w:left w:val="single" w:sz="4" w:space="0" w:color="auto"/>
              <w:bottom w:val="single" w:sz="4" w:space="0" w:color="auto"/>
              <w:right w:val="single" w:sz="4" w:space="0" w:color="auto"/>
            </w:tcBorders>
            <w:vAlign w:val="center"/>
            <w:hideMark/>
          </w:tcPr>
          <w:p w14:paraId="1C777191" w14:textId="10A3B15C" w:rsidR="00352846" w:rsidRPr="0019444B" w:rsidRDefault="00352846" w:rsidP="00384271">
            <w:pPr>
              <w:pStyle w:val="TableText0"/>
              <w:widowControl w:val="0"/>
            </w:pPr>
            <w:r w:rsidRPr="0019444B">
              <w:t xml:space="preserve">Number of </w:t>
            </w:r>
            <w:r w:rsidR="003E159E" w:rsidRPr="0019444B">
              <w:t>s</w:t>
            </w:r>
            <w:r w:rsidRPr="0019444B">
              <w:t>cripts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D4C96BA" w14:textId="77777777" w:rsidR="00352846" w:rsidRPr="0019444B" w:rsidRDefault="00352846" w:rsidP="00384271">
            <w:pPr>
              <w:pStyle w:val="TableText0"/>
              <w:widowControl w:val="0"/>
            </w:pPr>
            <w:r w:rsidRPr="0019444B">
              <w:t>50.73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3F293F" w14:textId="77777777" w:rsidR="00352846" w:rsidRPr="0019444B" w:rsidRDefault="00352846" w:rsidP="00384271">
            <w:pPr>
              <w:pStyle w:val="TableText0"/>
              <w:widowControl w:val="0"/>
            </w:pPr>
            <w:r w:rsidRPr="0019444B">
              <w:t>52.32</w:t>
            </w:r>
          </w:p>
        </w:tc>
        <w:tc>
          <w:tcPr>
            <w:tcW w:w="1093" w:type="dxa"/>
            <w:tcBorders>
              <w:top w:val="single" w:sz="4" w:space="0" w:color="auto"/>
              <w:left w:val="single" w:sz="4" w:space="0" w:color="auto"/>
              <w:bottom w:val="single" w:sz="4" w:space="0" w:color="auto"/>
              <w:right w:val="single" w:sz="4" w:space="0" w:color="auto"/>
            </w:tcBorders>
            <w:vAlign w:val="center"/>
            <w:hideMark/>
          </w:tcPr>
          <w:p w14:paraId="081E4143" w14:textId="77777777" w:rsidR="00352846" w:rsidRPr="0019444B" w:rsidRDefault="00352846" w:rsidP="00384271">
            <w:pPr>
              <w:pStyle w:val="TableText0"/>
              <w:widowControl w:val="0"/>
            </w:pPr>
            <w:r w:rsidRPr="0019444B">
              <w:t>7.553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BA660F" w14:textId="77777777" w:rsidR="00352846" w:rsidRPr="0019444B" w:rsidRDefault="00352846" w:rsidP="00D26962">
            <w:pPr>
              <w:pStyle w:val="TableText0"/>
              <w:widowControl w:val="0"/>
              <w:ind w:right="-114"/>
            </w:pPr>
            <w:r w:rsidRPr="0019444B">
              <w:t>9.67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EA0234" w14:textId="77777777" w:rsidR="00352846" w:rsidRPr="0019444B" w:rsidRDefault="00352846" w:rsidP="00384271">
            <w:pPr>
              <w:pStyle w:val="TableText0"/>
              <w:widowControl w:val="0"/>
            </w:pPr>
            <w:r w:rsidRPr="0019444B">
              <w:t>7.355</w:t>
            </w:r>
          </w:p>
        </w:tc>
      </w:tr>
      <w:tr w:rsidR="00473A24" w:rsidRPr="0019444B" w14:paraId="1D8D940A" w14:textId="77777777" w:rsidTr="00425DCE">
        <w:trPr>
          <w:trHeight w:val="70"/>
        </w:trPr>
        <w:tc>
          <w:tcPr>
            <w:tcW w:w="3160" w:type="dxa"/>
            <w:tcBorders>
              <w:top w:val="single" w:sz="4" w:space="0" w:color="auto"/>
              <w:left w:val="single" w:sz="4" w:space="0" w:color="auto"/>
              <w:bottom w:val="single" w:sz="4" w:space="0" w:color="auto"/>
              <w:right w:val="single" w:sz="4" w:space="0" w:color="auto"/>
            </w:tcBorders>
            <w:vAlign w:val="center"/>
            <w:hideMark/>
          </w:tcPr>
          <w:p w14:paraId="3CBE4819" w14:textId="77777777" w:rsidR="00352846" w:rsidRPr="0019444B" w:rsidRDefault="00352846" w:rsidP="00384271">
            <w:pPr>
              <w:pStyle w:val="TableText0"/>
              <w:widowControl w:val="0"/>
            </w:pPr>
            <w:r w:rsidRPr="0019444B">
              <w:t>Total cost of drug (DPMQ)</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AE0BBAC" w14:textId="51094FA6" w:rsidR="00352846" w:rsidRPr="0019444B" w:rsidRDefault="00352846" w:rsidP="00384271">
            <w:pPr>
              <w:pStyle w:val="TableText0"/>
              <w:widowControl w:val="0"/>
              <w:rPr>
                <w:iCs/>
                <w:vertAlign w:val="superscript"/>
              </w:rPr>
            </w:pPr>
            <w:r w:rsidRPr="0019444B">
              <w:rPr>
                <w:iCs/>
              </w:rPr>
              <w:t>$112,225.77</w:t>
            </w:r>
            <w:r w:rsidRPr="0019444B">
              <w:rPr>
                <w:iCs/>
                <w:vertAlign w:val="superscript"/>
              </w:rPr>
              <w:t>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8CB875" w14:textId="415FE8EA" w:rsidR="00352846" w:rsidRPr="0019444B" w:rsidRDefault="00352846" w:rsidP="00384271">
            <w:pPr>
              <w:pStyle w:val="TableText0"/>
              <w:widowControl w:val="0"/>
              <w:rPr>
                <w:iCs/>
              </w:rPr>
            </w:pPr>
            <w:r w:rsidRPr="0019444B">
              <w:rPr>
                <w:iCs/>
              </w:rPr>
              <w:t>$73,971.05</w:t>
            </w:r>
            <w:r w:rsidRPr="0019444B">
              <w:rPr>
                <w:iCs/>
                <w:vertAlign w:val="superscript"/>
              </w:rPr>
              <w:t>a</w:t>
            </w:r>
          </w:p>
        </w:tc>
        <w:tc>
          <w:tcPr>
            <w:tcW w:w="1093" w:type="dxa"/>
            <w:tcBorders>
              <w:top w:val="single" w:sz="4" w:space="0" w:color="auto"/>
              <w:left w:val="single" w:sz="4" w:space="0" w:color="auto"/>
              <w:bottom w:val="single" w:sz="4" w:space="0" w:color="auto"/>
              <w:right w:val="single" w:sz="4" w:space="0" w:color="auto"/>
            </w:tcBorders>
            <w:vAlign w:val="center"/>
            <w:hideMark/>
          </w:tcPr>
          <w:p w14:paraId="138D4DD4" w14:textId="77777777" w:rsidR="00352846" w:rsidRPr="0019444B" w:rsidRDefault="00352846" w:rsidP="00384271">
            <w:pPr>
              <w:pStyle w:val="TableText0"/>
              <w:widowControl w:val="0"/>
            </w:pPr>
            <w:r w:rsidRPr="0019444B">
              <w:t>$35,376.43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EF7204" w14:textId="77777777" w:rsidR="00352846" w:rsidRPr="0019444B" w:rsidRDefault="00352846" w:rsidP="00D26962">
            <w:pPr>
              <w:pStyle w:val="TableText0"/>
              <w:widowControl w:val="0"/>
              <w:ind w:right="-114"/>
            </w:pPr>
            <w:r w:rsidRPr="0019444B">
              <w:t>$69,281.43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F5DF8B" w14:textId="77777777" w:rsidR="00352846" w:rsidRPr="0019444B" w:rsidRDefault="00352846" w:rsidP="00384271">
            <w:pPr>
              <w:pStyle w:val="TableText0"/>
              <w:widowControl w:val="0"/>
            </w:pPr>
            <w:r w:rsidRPr="0019444B">
              <w:t>$35,448.87</w:t>
            </w:r>
          </w:p>
        </w:tc>
      </w:tr>
      <w:tr w:rsidR="00473A24" w:rsidRPr="0019444B" w14:paraId="4C582687" w14:textId="77777777" w:rsidTr="00425DCE">
        <w:trPr>
          <w:trHeight w:val="70"/>
        </w:trPr>
        <w:tc>
          <w:tcPr>
            <w:tcW w:w="3160" w:type="dxa"/>
            <w:tcBorders>
              <w:top w:val="single" w:sz="4" w:space="0" w:color="auto"/>
              <w:left w:val="single" w:sz="4" w:space="0" w:color="auto"/>
              <w:bottom w:val="single" w:sz="4" w:space="0" w:color="auto"/>
              <w:right w:val="single" w:sz="4" w:space="0" w:color="auto"/>
            </w:tcBorders>
            <w:vAlign w:val="center"/>
            <w:hideMark/>
          </w:tcPr>
          <w:p w14:paraId="5B75147B" w14:textId="77777777" w:rsidR="00352846" w:rsidRPr="0019444B" w:rsidRDefault="00352846" w:rsidP="00384271">
            <w:pPr>
              <w:pStyle w:val="TableText0"/>
              <w:widowControl w:val="0"/>
              <w:rPr>
                <w:iCs/>
                <w:vertAlign w:val="superscript"/>
              </w:rPr>
            </w:pPr>
            <w:r w:rsidRPr="0019444B">
              <w:rPr>
                <w:iCs/>
              </w:rPr>
              <w:t>Total cost of drug (AEMP)</w:t>
            </w:r>
            <w:r w:rsidRPr="0019444B">
              <w:rPr>
                <w:iCs/>
                <w:vertAlign w:val="superscript"/>
              </w:rPr>
              <w:t>b</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59F8C26" w14:textId="4706FB0B" w:rsidR="00352846" w:rsidRPr="0019444B" w:rsidRDefault="00352846" w:rsidP="00384271">
            <w:pPr>
              <w:pStyle w:val="TableText0"/>
              <w:widowControl w:val="0"/>
              <w:rPr>
                <w:iCs/>
              </w:rPr>
            </w:pPr>
            <w:r w:rsidRPr="0019444B">
              <w:rPr>
                <w:iCs/>
              </w:rPr>
              <w:t>$109,545.36</w:t>
            </w:r>
            <w:r w:rsidRPr="0019444B">
              <w:rPr>
                <w:iCs/>
                <w:vertAlign w:val="superscript"/>
              </w:rPr>
              <w:t>a</w:t>
            </w:r>
            <w:r w:rsidRPr="0019444B">
              <w:rPr>
                <w:iCs/>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D06300" w14:textId="2155BAB5" w:rsidR="00352846" w:rsidRPr="0019444B" w:rsidRDefault="00352846" w:rsidP="00384271">
            <w:pPr>
              <w:pStyle w:val="TableText0"/>
              <w:widowControl w:val="0"/>
              <w:rPr>
                <w:iCs/>
              </w:rPr>
            </w:pPr>
            <w:r w:rsidRPr="0019444B">
              <w:rPr>
                <w:iCs/>
              </w:rPr>
              <w:t>$72,457.11</w:t>
            </w:r>
            <w:r w:rsidRPr="0019444B">
              <w:rPr>
                <w:iCs/>
                <w:vertAlign w:val="superscript"/>
              </w:rPr>
              <w:t xml:space="preserve">a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0972BEA3" w14:textId="77777777" w:rsidR="00352846" w:rsidRPr="0019444B" w:rsidRDefault="00352846" w:rsidP="00384271">
            <w:pPr>
              <w:pStyle w:val="TableText0"/>
              <w:widowControl w:val="0"/>
            </w:pPr>
            <w:r w:rsidRPr="0019444B">
              <w:rPr>
                <w:iCs/>
              </w:rPr>
              <w:t>$35,209.96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081935" w14:textId="77777777" w:rsidR="00352846" w:rsidRPr="0019444B" w:rsidRDefault="00352846" w:rsidP="00D26962">
            <w:pPr>
              <w:pStyle w:val="TableText0"/>
              <w:widowControl w:val="0"/>
              <w:ind w:right="-114"/>
            </w:pPr>
            <w:r w:rsidRPr="0019444B">
              <w:rPr>
                <w:iCs/>
              </w:rPr>
              <w:t>$67,736.88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BBBD40" w14:textId="77777777" w:rsidR="00352846" w:rsidRPr="0019444B" w:rsidRDefault="00352846" w:rsidP="00384271">
            <w:pPr>
              <w:pStyle w:val="TableText0"/>
              <w:widowControl w:val="0"/>
            </w:pPr>
            <w:r w:rsidRPr="0019444B">
              <w:rPr>
                <w:iCs/>
              </w:rPr>
              <w:t>$34,313.00</w:t>
            </w:r>
          </w:p>
        </w:tc>
      </w:tr>
      <w:tr w:rsidR="00473A24" w:rsidRPr="0019444B" w14:paraId="3A8262E6" w14:textId="77777777" w:rsidTr="00425DCE">
        <w:trPr>
          <w:trHeight w:val="230"/>
        </w:trPr>
        <w:tc>
          <w:tcPr>
            <w:tcW w:w="3160" w:type="dxa"/>
            <w:tcBorders>
              <w:top w:val="single" w:sz="4" w:space="0" w:color="auto"/>
              <w:left w:val="single" w:sz="4" w:space="0" w:color="auto"/>
              <w:bottom w:val="single" w:sz="4" w:space="0" w:color="auto"/>
              <w:right w:val="single" w:sz="4" w:space="0" w:color="auto"/>
            </w:tcBorders>
            <w:vAlign w:val="center"/>
            <w:hideMark/>
          </w:tcPr>
          <w:p w14:paraId="6CCAE08F" w14:textId="77777777" w:rsidR="00352846" w:rsidRPr="0019444B" w:rsidRDefault="00352846" w:rsidP="00384271">
            <w:pPr>
              <w:pStyle w:val="TableText0"/>
              <w:widowControl w:val="0"/>
            </w:pPr>
            <w:r w:rsidRPr="0019444B">
              <w:t>Administration cost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E15ADC8" w14:textId="77777777" w:rsidR="00352846" w:rsidRPr="0019444B" w:rsidRDefault="00352846" w:rsidP="00384271">
            <w:pPr>
              <w:pStyle w:val="TableText0"/>
              <w:widowControl w:val="0"/>
            </w:pPr>
            <w:r w:rsidRPr="0019444B">
              <w:t>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B8B7C8" w14:textId="77777777" w:rsidR="00352846" w:rsidRPr="0019444B" w:rsidRDefault="00352846" w:rsidP="00384271">
            <w:pPr>
              <w:pStyle w:val="TableText0"/>
              <w:widowControl w:val="0"/>
            </w:pPr>
            <w:r w:rsidRPr="0019444B">
              <w:t>n/a</w:t>
            </w:r>
          </w:p>
        </w:tc>
        <w:tc>
          <w:tcPr>
            <w:tcW w:w="1093" w:type="dxa"/>
            <w:tcBorders>
              <w:top w:val="single" w:sz="4" w:space="0" w:color="auto"/>
              <w:left w:val="single" w:sz="4" w:space="0" w:color="auto"/>
              <w:bottom w:val="single" w:sz="4" w:space="0" w:color="auto"/>
              <w:right w:val="single" w:sz="4" w:space="0" w:color="auto"/>
            </w:tcBorders>
            <w:vAlign w:val="center"/>
            <w:hideMark/>
          </w:tcPr>
          <w:p w14:paraId="296F639A" w14:textId="77777777" w:rsidR="00352846" w:rsidRPr="0019444B" w:rsidRDefault="00352846" w:rsidP="00384271">
            <w:pPr>
              <w:pStyle w:val="TableText0"/>
              <w:widowControl w:val="0"/>
            </w:pPr>
            <w:r w:rsidRPr="0019444B">
              <w:t>$1,027.80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4CCCA9" w14:textId="77777777" w:rsidR="00352846" w:rsidRPr="0019444B" w:rsidRDefault="00352846" w:rsidP="00384271">
            <w:pPr>
              <w:pStyle w:val="TableText0"/>
              <w:widowControl w:val="0"/>
            </w:pPr>
            <w:r w:rsidRPr="0019444B">
              <w:t>n/a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542E55" w14:textId="77777777" w:rsidR="00352846" w:rsidRPr="0019444B" w:rsidRDefault="00352846" w:rsidP="00384271">
            <w:pPr>
              <w:pStyle w:val="TableText0"/>
              <w:widowControl w:val="0"/>
            </w:pPr>
            <w:r w:rsidRPr="0019444B">
              <w:t>$1,027.80</w:t>
            </w:r>
          </w:p>
        </w:tc>
      </w:tr>
      <w:tr w:rsidR="00352846" w:rsidRPr="0019444B" w14:paraId="0C7B13CF" w14:textId="77777777" w:rsidTr="00425DCE">
        <w:trPr>
          <w:trHeight w:val="70"/>
        </w:trPr>
        <w:tc>
          <w:tcPr>
            <w:tcW w:w="3160" w:type="dxa"/>
            <w:tcBorders>
              <w:top w:val="single" w:sz="4" w:space="0" w:color="auto"/>
              <w:left w:val="single" w:sz="4" w:space="0" w:color="auto"/>
              <w:bottom w:val="single" w:sz="4" w:space="0" w:color="auto"/>
              <w:right w:val="single" w:sz="4" w:space="0" w:color="auto"/>
            </w:tcBorders>
            <w:vAlign w:val="center"/>
            <w:hideMark/>
          </w:tcPr>
          <w:p w14:paraId="3718DA3C" w14:textId="77777777" w:rsidR="00352846" w:rsidRPr="0019444B" w:rsidRDefault="00352846" w:rsidP="00384271">
            <w:pPr>
              <w:pStyle w:val="TableText0"/>
              <w:widowControl w:val="0"/>
              <w:rPr>
                <w:vertAlign w:val="superscript"/>
              </w:rPr>
            </w:pPr>
            <w:r w:rsidRPr="0019444B">
              <w:t xml:space="preserve">Adverse event cost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F7910FA" w14:textId="77777777" w:rsidR="00352846" w:rsidRPr="0019444B" w:rsidRDefault="00352846" w:rsidP="00384271">
            <w:pPr>
              <w:pStyle w:val="TableText0"/>
              <w:widowControl w:val="0"/>
            </w:pPr>
            <w:r w:rsidRPr="0019444B">
              <w:t>$589.66</w:t>
            </w:r>
          </w:p>
        </w:tc>
        <w:tc>
          <w:tcPr>
            <w:tcW w:w="2369" w:type="dxa"/>
            <w:gridSpan w:val="2"/>
            <w:tcBorders>
              <w:top w:val="single" w:sz="4" w:space="0" w:color="auto"/>
              <w:left w:val="single" w:sz="4" w:space="0" w:color="auto"/>
              <w:bottom w:val="single" w:sz="4" w:space="0" w:color="auto"/>
              <w:right w:val="single" w:sz="4" w:space="0" w:color="auto"/>
            </w:tcBorders>
            <w:vAlign w:val="center"/>
            <w:hideMark/>
          </w:tcPr>
          <w:p w14:paraId="728D3736" w14:textId="77777777" w:rsidR="00352846" w:rsidRPr="0019444B" w:rsidRDefault="00352846" w:rsidP="00384271">
            <w:pPr>
              <w:pStyle w:val="TableText0"/>
              <w:widowControl w:val="0"/>
            </w:pPr>
            <w:r w:rsidRPr="0019444B">
              <w:t>$1,566.50</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2E8BFE24" w14:textId="0B09AB80" w:rsidR="00352846" w:rsidRPr="0019444B" w:rsidRDefault="00352846" w:rsidP="00384271">
            <w:pPr>
              <w:pStyle w:val="TableText0"/>
              <w:widowControl w:val="0"/>
              <w:rPr>
                <w:vertAlign w:val="superscript"/>
              </w:rPr>
            </w:pPr>
            <w:r w:rsidRPr="0019444B">
              <w:t>$4,300.94</w:t>
            </w:r>
            <w:r w:rsidRPr="0019444B">
              <w:rPr>
                <w:vertAlign w:val="superscript"/>
              </w:rPr>
              <w:t>c</w:t>
            </w:r>
          </w:p>
          <w:p w14:paraId="4BA177BB" w14:textId="4A391F75" w:rsidR="00352846" w:rsidRPr="0019444B" w:rsidRDefault="00352846" w:rsidP="00384271">
            <w:pPr>
              <w:pStyle w:val="TableText0"/>
              <w:widowControl w:val="0"/>
            </w:pPr>
            <w:r w:rsidRPr="0019444B">
              <w:t>$3,399.48</w:t>
            </w:r>
            <w:r w:rsidRPr="0019444B">
              <w:rPr>
                <w:vertAlign w:val="superscript"/>
              </w:rPr>
              <w:t>d</w:t>
            </w:r>
          </w:p>
        </w:tc>
      </w:tr>
      <w:tr w:rsidR="00352846" w:rsidRPr="0019444B" w14:paraId="7E6AD802" w14:textId="77777777" w:rsidTr="00425DCE">
        <w:trPr>
          <w:trHeight w:val="70"/>
        </w:trPr>
        <w:tc>
          <w:tcPr>
            <w:tcW w:w="3160" w:type="dxa"/>
            <w:tcBorders>
              <w:top w:val="single" w:sz="4" w:space="0" w:color="auto"/>
              <w:left w:val="single" w:sz="4" w:space="0" w:color="auto"/>
              <w:bottom w:val="single" w:sz="4" w:space="0" w:color="auto"/>
              <w:right w:val="single" w:sz="4" w:space="0" w:color="auto"/>
            </w:tcBorders>
            <w:vAlign w:val="center"/>
            <w:hideMark/>
          </w:tcPr>
          <w:p w14:paraId="68B39BA0" w14:textId="5A09FC62" w:rsidR="00352846" w:rsidRPr="0019444B" w:rsidRDefault="00473A24" w:rsidP="00384271">
            <w:pPr>
              <w:pStyle w:val="TableText0"/>
              <w:widowControl w:val="0"/>
              <w:rPr>
                <w:vertAlign w:val="superscript"/>
              </w:rPr>
            </w:pPr>
            <w:r w:rsidRPr="0019444B">
              <w:t>T</w:t>
            </w:r>
            <w:r w:rsidR="00352846" w:rsidRPr="0019444B">
              <w:t>umour lysis syndrome prophylaxis</w:t>
            </w:r>
            <w:r w:rsidRPr="0019444B">
              <w:t xml:space="preserve"> cost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D664881" w14:textId="77777777" w:rsidR="00352846" w:rsidRPr="0019444B" w:rsidRDefault="00352846" w:rsidP="00384271">
            <w:pPr>
              <w:pStyle w:val="TableText0"/>
              <w:widowControl w:val="0"/>
            </w:pPr>
            <w:r w:rsidRPr="0019444B">
              <w:t>n/a</w:t>
            </w:r>
          </w:p>
        </w:tc>
        <w:tc>
          <w:tcPr>
            <w:tcW w:w="2369" w:type="dxa"/>
            <w:gridSpan w:val="2"/>
            <w:tcBorders>
              <w:top w:val="single" w:sz="4" w:space="0" w:color="auto"/>
              <w:left w:val="single" w:sz="4" w:space="0" w:color="auto"/>
              <w:bottom w:val="single" w:sz="4" w:space="0" w:color="auto"/>
              <w:right w:val="single" w:sz="4" w:space="0" w:color="auto"/>
            </w:tcBorders>
            <w:vAlign w:val="center"/>
            <w:hideMark/>
          </w:tcPr>
          <w:p w14:paraId="67F84E9C" w14:textId="77777777" w:rsidR="00352846" w:rsidRPr="0019444B" w:rsidRDefault="00352846" w:rsidP="00384271">
            <w:pPr>
              <w:pStyle w:val="TableText0"/>
              <w:widowControl w:val="0"/>
            </w:pPr>
            <w:r w:rsidRPr="0019444B">
              <w:t>n/a</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3BEC9708" w14:textId="77777777" w:rsidR="00352846" w:rsidRPr="0019444B" w:rsidRDefault="00352846" w:rsidP="00384271">
            <w:pPr>
              <w:pStyle w:val="TableText0"/>
              <w:widowControl w:val="0"/>
            </w:pPr>
            <w:r w:rsidRPr="0019444B">
              <w:t>$3,784.20</w:t>
            </w:r>
          </w:p>
        </w:tc>
      </w:tr>
      <w:tr w:rsidR="00352846" w:rsidRPr="0019444B" w14:paraId="03C43977" w14:textId="77777777" w:rsidTr="00425DCE">
        <w:trPr>
          <w:trHeight w:val="474"/>
        </w:trPr>
        <w:tc>
          <w:tcPr>
            <w:tcW w:w="3160" w:type="dxa"/>
            <w:tcBorders>
              <w:top w:val="single" w:sz="4" w:space="0" w:color="auto"/>
              <w:left w:val="single" w:sz="4" w:space="0" w:color="auto"/>
              <w:bottom w:val="single" w:sz="4" w:space="0" w:color="auto"/>
              <w:right w:val="single" w:sz="4" w:space="0" w:color="auto"/>
            </w:tcBorders>
            <w:vAlign w:val="center"/>
            <w:hideMark/>
          </w:tcPr>
          <w:p w14:paraId="63EDB737" w14:textId="77777777" w:rsidR="00352846" w:rsidRPr="0019444B" w:rsidRDefault="00352846" w:rsidP="00384271">
            <w:pPr>
              <w:pStyle w:val="TableText0"/>
              <w:widowControl w:val="0"/>
            </w:pPr>
            <w:r w:rsidRPr="0019444B">
              <w:t>Total cost/per patient/course (DPMQ)</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19AA7CD" w14:textId="77777777" w:rsidR="00352846" w:rsidRPr="0019444B" w:rsidRDefault="00352846" w:rsidP="00384271">
            <w:pPr>
              <w:pStyle w:val="TableText0"/>
              <w:widowControl w:val="0"/>
            </w:pPr>
            <w:r w:rsidRPr="0019444B">
              <w:t>$112,815.43</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15242FC1" w14:textId="77777777" w:rsidR="00352846" w:rsidRPr="0019444B" w:rsidRDefault="00352846" w:rsidP="00384271">
            <w:pPr>
              <w:pStyle w:val="TableText0"/>
              <w:widowControl w:val="0"/>
            </w:pPr>
            <w:r w:rsidRPr="0019444B">
              <w:t>$111,913.98</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2848AF25" w14:textId="19AAB61B" w:rsidR="00352846" w:rsidRPr="0019444B" w:rsidRDefault="00352846" w:rsidP="00384271">
            <w:pPr>
              <w:pStyle w:val="TableText0"/>
              <w:widowControl w:val="0"/>
              <w:rPr>
                <w:vertAlign w:val="superscript"/>
              </w:rPr>
            </w:pPr>
            <w:r w:rsidRPr="0019444B">
              <w:t>$112,815.43</w:t>
            </w:r>
            <w:r w:rsidRPr="0019444B">
              <w:rPr>
                <w:vertAlign w:val="superscript"/>
              </w:rPr>
              <w:t>c</w:t>
            </w:r>
          </w:p>
          <w:p w14:paraId="0773E27B" w14:textId="5950DD2A" w:rsidR="00352846" w:rsidRPr="0019444B" w:rsidRDefault="00352846" w:rsidP="00384271">
            <w:pPr>
              <w:pStyle w:val="TableText0"/>
              <w:widowControl w:val="0"/>
              <w:rPr>
                <w:vertAlign w:val="superscript"/>
              </w:rPr>
            </w:pPr>
            <w:r w:rsidRPr="0019444B">
              <w:t>$111,913.98</w:t>
            </w:r>
            <w:r w:rsidRPr="0019444B">
              <w:rPr>
                <w:vertAlign w:val="superscript"/>
              </w:rPr>
              <w:t>d</w:t>
            </w:r>
          </w:p>
        </w:tc>
      </w:tr>
      <w:tr w:rsidR="00352846" w:rsidRPr="0019444B" w14:paraId="194032B1" w14:textId="77777777" w:rsidTr="00425DCE">
        <w:trPr>
          <w:trHeight w:val="70"/>
        </w:trPr>
        <w:tc>
          <w:tcPr>
            <w:tcW w:w="3160" w:type="dxa"/>
            <w:tcBorders>
              <w:top w:val="single" w:sz="4" w:space="0" w:color="auto"/>
              <w:left w:val="single" w:sz="4" w:space="0" w:color="auto"/>
              <w:bottom w:val="single" w:sz="4" w:space="0" w:color="auto"/>
              <w:right w:val="single" w:sz="4" w:space="0" w:color="auto"/>
            </w:tcBorders>
            <w:vAlign w:val="center"/>
            <w:hideMark/>
          </w:tcPr>
          <w:p w14:paraId="19DD473A" w14:textId="77777777" w:rsidR="00352846" w:rsidRPr="0019444B" w:rsidRDefault="00352846" w:rsidP="00384271">
            <w:pPr>
              <w:pStyle w:val="TableText0"/>
              <w:widowControl w:val="0"/>
              <w:rPr>
                <w:iCs/>
                <w:vertAlign w:val="superscript"/>
              </w:rPr>
            </w:pPr>
            <w:r w:rsidRPr="0019444B">
              <w:rPr>
                <w:iCs/>
              </w:rPr>
              <w:t>Total cost/per patient/course (AEMP)</w:t>
            </w:r>
            <w:r w:rsidRPr="0019444B">
              <w:rPr>
                <w:iCs/>
                <w:vertAlign w:val="superscript"/>
              </w:rPr>
              <w:t>b</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9022A00" w14:textId="77777777" w:rsidR="00352846" w:rsidRPr="0019444B" w:rsidRDefault="00352846" w:rsidP="00384271">
            <w:pPr>
              <w:pStyle w:val="TableText0"/>
              <w:widowControl w:val="0"/>
              <w:rPr>
                <w:iCs/>
              </w:rPr>
            </w:pPr>
            <w:r w:rsidRPr="0019444B">
              <w:rPr>
                <w:iCs/>
              </w:rPr>
              <w:t>$110,135.02</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4312291A" w14:textId="77777777" w:rsidR="00352846" w:rsidRPr="0019444B" w:rsidRDefault="00352846" w:rsidP="00384271">
            <w:pPr>
              <w:pStyle w:val="TableText0"/>
              <w:widowControl w:val="0"/>
              <w:rPr>
                <w:iCs/>
              </w:rPr>
            </w:pPr>
            <w:r w:rsidRPr="0019444B">
              <w:rPr>
                <w:iCs/>
              </w:rPr>
              <w:t>$109,233.56</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2ABFA1E3" w14:textId="4589937B" w:rsidR="00352846" w:rsidRPr="0019444B" w:rsidRDefault="00352846" w:rsidP="00384271">
            <w:pPr>
              <w:pStyle w:val="TableText0"/>
              <w:widowControl w:val="0"/>
              <w:rPr>
                <w:iCs/>
                <w:vertAlign w:val="superscript"/>
              </w:rPr>
            </w:pPr>
            <w:r w:rsidRPr="0019444B">
              <w:rPr>
                <w:iCs/>
              </w:rPr>
              <w:t>$110,135.02</w:t>
            </w:r>
            <w:r w:rsidRPr="0019444B">
              <w:rPr>
                <w:iCs/>
                <w:vertAlign w:val="superscript"/>
              </w:rPr>
              <w:t>c</w:t>
            </w:r>
          </w:p>
          <w:p w14:paraId="14B25A55" w14:textId="67C0481D" w:rsidR="00352846" w:rsidRPr="0019444B" w:rsidRDefault="00352846" w:rsidP="00384271">
            <w:pPr>
              <w:pStyle w:val="TableText0"/>
              <w:widowControl w:val="0"/>
              <w:rPr>
                <w:iCs/>
                <w:vertAlign w:val="superscript"/>
              </w:rPr>
            </w:pPr>
            <w:r w:rsidRPr="0019444B">
              <w:rPr>
                <w:iCs/>
              </w:rPr>
              <w:t>$109,233.56</w:t>
            </w:r>
            <w:r w:rsidRPr="0019444B">
              <w:rPr>
                <w:iCs/>
                <w:vertAlign w:val="superscript"/>
              </w:rPr>
              <w:t>d</w:t>
            </w:r>
          </w:p>
        </w:tc>
      </w:tr>
      <w:tr w:rsidR="00473A24" w:rsidRPr="0019444B" w14:paraId="62A6552E" w14:textId="77777777" w:rsidTr="00425DCE">
        <w:trPr>
          <w:trHeight w:val="70"/>
        </w:trPr>
        <w:tc>
          <w:tcPr>
            <w:tcW w:w="3160" w:type="dxa"/>
            <w:tcBorders>
              <w:top w:val="single" w:sz="4" w:space="0" w:color="auto"/>
              <w:left w:val="single" w:sz="4" w:space="0" w:color="auto"/>
              <w:bottom w:val="single" w:sz="4" w:space="0" w:color="auto"/>
              <w:right w:val="single" w:sz="4" w:space="0" w:color="auto"/>
            </w:tcBorders>
            <w:vAlign w:val="center"/>
            <w:hideMark/>
          </w:tcPr>
          <w:p w14:paraId="4EE57289" w14:textId="618B1525" w:rsidR="00352846" w:rsidRPr="0019444B" w:rsidRDefault="00352846" w:rsidP="00384271">
            <w:pPr>
              <w:pStyle w:val="TableText0"/>
              <w:widowControl w:val="0"/>
              <w:rPr>
                <w:iCs/>
                <w:vertAlign w:val="superscript"/>
              </w:rPr>
            </w:pPr>
            <w:r w:rsidRPr="0019444B">
              <w:rPr>
                <w:iCs/>
              </w:rPr>
              <w:t>Total cost of drug using weighted ACA AEMP</w:t>
            </w:r>
            <w:r w:rsidRPr="0019444B">
              <w:rPr>
                <w:iCs/>
                <w:vertAlign w:val="superscript"/>
              </w:rPr>
              <w:t>e</w:t>
            </w:r>
          </w:p>
        </w:tc>
        <w:tc>
          <w:tcPr>
            <w:tcW w:w="1275" w:type="dxa"/>
            <w:tcBorders>
              <w:top w:val="single" w:sz="4" w:space="0" w:color="auto"/>
              <w:left w:val="single" w:sz="4" w:space="0" w:color="auto"/>
              <w:bottom w:val="single" w:sz="4" w:space="0" w:color="auto"/>
              <w:right w:val="single" w:sz="4" w:space="0" w:color="auto"/>
            </w:tcBorders>
            <w:vAlign w:val="center"/>
          </w:tcPr>
          <w:p w14:paraId="5367E17D" w14:textId="0E45AEA7" w:rsidR="00352846" w:rsidRPr="0019444B" w:rsidRDefault="00352846" w:rsidP="00384271">
            <w:pPr>
              <w:keepNext/>
              <w:widowControl w:val="0"/>
              <w:jc w:val="left"/>
              <w:rPr>
                <w:rFonts w:cs="Calibri"/>
                <w:iCs/>
                <w:color w:val="000000"/>
                <w:sz w:val="20"/>
                <w:szCs w:val="20"/>
                <w:vertAlign w:val="superscript"/>
              </w:rPr>
            </w:pPr>
            <w:r w:rsidRPr="0019444B">
              <w:rPr>
                <w:rFonts w:ascii="Arial Narrow" w:eastAsiaTheme="majorEastAsia" w:hAnsi="Arial Narrow" w:cstheme="majorBidi"/>
                <w:bCs/>
                <w:iCs/>
                <w:sz w:val="20"/>
              </w:rPr>
              <w:t>$105,616.44</w:t>
            </w:r>
            <w:r w:rsidRPr="0019444B">
              <w:rPr>
                <w:rFonts w:ascii="Arial Narrow" w:eastAsiaTheme="majorEastAsia" w:hAnsi="Arial Narrow" w:cstheme="majorBidi"/>
                <w:bCs/>
                <w:iCs/>
                <w:sz w:val="20"/>
                <w:vertAlign w:val="superscript"/>
              </w:rPr>
              <w:t>a</w:t>
            </w:r>
          </w:p>
        </w:tc>
        <w:tc>
          <w:tcPr>
            <w:tcW w:w="1276" w:type="dxa"/>
            <w:tcBorders>
              <w:top w:val="single" w:sz="4" w:space="0" w:color="auto"/>
              <w:left w:val="single" w:sz="4" w:space="0" w:color="auto"/>
              <w:bottom w:val="single" w:sz="4" w:space="0" w:color="auto"/>
              <w:right w:val="single" w:sz="4" w:space="0" w:color="auto"/>
            </w:tcBorders>
            <w:vAlign w:val="center"/>
          </w:tcPr>
          <w:p w14:paraId="53424B94" w14:textId="77777777" w:rsidR="00352846" w:rsidRPr="0019444B" w:rsidRDefault="00352846" w:rsidP="00384271">
            <w:pPr>
              <w:keepNext/>
              <w:widowControl w:val="0"/>
              <w:jc w:val="left"/>
              <w:rPr>
                <w:rFonts w:ascii="Arial Narrow" w:eastAsiaTheme="majorEastAsia" w:hAnsi="Arial Narrow" w:cstheme="majorBidi"/>
                <w:bCs/>
                <w:iCs/>
                <w:sz w:val="20"/>
              </w:rPr>
            </w:pPr>
            <w:r w:rsidRPr="0019444B">
              <w:rPr>
                <w:rFonts w:ascii="Arial Narrow" w:eastAsiaTheme="majorEastAsia" w:hAnsi="Arial Narrow" w:cstheme="majorBidi"/>
                <w:bCs/>
                <w:iCs/>
                <w:sz w:val="20"/>
              </w:rPr>
              <w:t>$108,925.09</w:t>
            </w:r>
          </w:p>
        </w:tc>
        <w:tc>
          <w:tcPr>
            <w:tcW w:w="1093" w:type="dxa"/>
            <w:tcBorders>
              <w:top w:val="single" w:sz="4" w:space="0" w:color="auto"/>
              <w:left w:val="single" w:sz="4" w:space="0" w:color="auto"/>
              <w:bottom w:val="single" w:sz="4" w:space="0" w:color="auto"/>
              <w:right w:val="single" w:sz="4" w:space="0" w:color="auto"/>
            </w:tcBorders>
            <w:vAlign w:val="center"/>
            <w:hideMark/>
          </w:tcPr>
          <w:p w14:paraId="315A5E6F" w14:textId="1B306C4C" w:rsidR="00352846" w:rsidRPr="0019444B" w:rsidRDefault="00352846" w:rsidP="00384271">
            <w:pPr>
              <w:pStyle w:val="TableText0"/>
              <w:widowControl w:val="0"/>
            </w:pPr>
            <w:r w:rsidRPr="0019444B">
              <w:rPr>
                <w:iCs/>
              </w:rPr>
              <w:t>$35,209.9</w:t>
            </w:r>
            <w:r w:rsidRPr="0019444B">
              <w:rPr>
                <w:iCs/>
                <w:vertAlign w:val="superscript"/>
              </w:rPr>
              <w:t>b</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E590DA" w14:textId="77777777" w:rsidR="00352846" w:rsidRPr="0019444B" w:rsidRDefault="00352846" w:rsidP="00384271">
            <w:pPr>
              <w:pStyle w:val="TableText0"/>
              <w:widowControl w:val="0"/>
            </w:pPr>
            <w:r w:rsidRPr="0019444B">
              <w:rPr>
                <w:iCs/>
              </w:rPr>
              <w:t>$67,736.88</w:t>
            </w:r>
            <w:r w:rsidRPr="0019444B">
              <w:rPr>
                <w:iCs/>
                <w:vertAlign w:val="superscript"/>
              </w:rPr>
              <w:t>b</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F2F4CD" w14:textId="77777777" w:rsidR="00352846" w:rsidRPr="0019444B" w:rsidRDefault="00352846" w:rsidP="00D26962">
            <w:pPr>
              <w:pStyle w:val="TableText0"/>
              <w:widowControl w:val="0"/>
              <w:ind w:right="-114"/>
              <w:rPr>
                <w:iCs/>
              </w:rPr>
            </w:pPr>
            <w:r w:rsidRPr="0019444B">
              <w:rPr>
                <w:iCs/>
              </w:rPr>
              <w:t>$34,313.00</w:t>
            </w:r>
            <w:r w:rsidRPr="0019444B">
              <w:rPr>
                <w:iCs/>
                <w:vertAlign w:val="superscript"/>
              </w:rPr>
              <w:t>b</w:t>
            </w:r>
          </w:p>
        </w:tc>
      </w:tr>
      <w:tr w:rsidR="00352846" w:rsidRPr="0019444B" w14:paraId="48C7EE5D" w14:textId="77777777" w:rsidTr="00425DCE">
        <w:trPr>
          <w:trHeight w:val="70"/>
        </w:trPr>
        <w:tc>
          <w:tcPr>
            <w:tcW w:w="3160" w:type="dxa"/>
            <w:tcBorders>
              <w:top w:val="single" w:sz="4" w:space="0" w:color="auto"/>
              <w:left w:val="single" w:sz="4" w:space="0" w:color="auto"/>
              <w:bottom w:val="single" w:sz="4" w:space="0" w:color="auto"/>
              <w:right w:val="single" w:sz="4" w:space="0" w:color="auto"/>
            </w:tcBorders>
            <w:vAlign w:val="center"/>
            <w:hideMark/>
          </w:tcPr>
          <w:p w14:paraId="221EB787" w14:textId="77777777" w:rsidR="00352846" w:rsidRPr="0019444B" w:rsidRDefault="00352846" w:rsidP="00384271">
            <w:pPr>
              <w:pStyle w:val="TableText0"/>
              <w:widowControl w:val="0"/>
              <w:rPr>
                <w:iCs/>
              </w:rPr>
            </w:pPr>
            <w:r w:rsidRPr="0019444B">
              <w:rPr>
                <w:iCs/>
              </w:rPr>
              <w:t xml:space="preserve">Total cost per patient/course using weighted ACA AEMP </w:t>
            </w:r>
            <w:r w:rsidRPr="0019444B">
              <w:rPr>
                <w:iCs/>
                <w:vertAlign w:val="superscript"/>
              </w:rPr>
              <w:t>e</w:t>
            </w:r>
          </w:p>
        </w:tc>
        <w:tc>
          <w:tcPr>
            <w:tcW w:w="1275" w:type="dxa"/>
            <w:tcBorders>
              <w:top w:val="single" w:sz="4" w:space="0" w:color="auto"/>
              <w:left w:val="single" w:sz="4" w:space="0" w:color="auto"/>
              <w:bottom w:val="single" w:sz="4" w:space="0" w:color="auto"/>
              <w:right w:val="single" w:sz="4" w:space="0" w:color="auto"/>
            </w:tcBorders>
            <w:vAlign w:val="center"/>
          </w:tcPr>
          <w:p w14:paraId="5EE24897" w14:textId="449730A4" w:rsidR="00352846" w:rsidRPr="0019444B" w:rsidRDefault="00352846" w:rsidP="00384271">
            <w:pPr>
              <w:pStyle w:val="TableText0"/>
              <w:widowControl w:val="0"/>
              <w:rPr>
                <w:iCs/>
              </w:rPr>
            </w:pPr>
            <w:r w:rsidRPr="0019444B">
              <w:rPr>
                <w:iCs/>
              </w:rPr>
              <w:t>$106,206.10</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06B381E5" w14:textId="125920D2" w:rsidR="00352846" w:rsidRPr="0019444B" w:rsidRDefault="00352846" w:rsidP="00384271">
            <w:pPr>
              <w:pStyle w:val="TableText0"/>
              <w:widowControl w:val="0"/>
              <w:rPr>
                <w:iCs/>
              </w:rPr>
            </w:pPr>
            <w:r w:rsidRPr="0019444B">
              <w:rPr>
                <w:iCs/>
              </w:rPr>
              <w:t>$145,701.54</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2F8AD89A" w14:textId="77777777" w:rsidR="00352846" w:rsidRPr="0019444B" w:rsidRDefault="00352846" w:rsidP="00384271">
            <w:pPr>
              <w:pStyle w:val="TableText0"/>
              <w:widowControl w:val="0"/>
              <w:rPr>
                <w:iCs/>
                <w:vertAlign w:val="superscript"/>
              </w:rPr>
            </w:pPr>
            <w:r w:rsidRPr="0019444B">
              <w:rPr>
                <w:iCs/>
              </w:rPr>
              <w:t>$110,135.02</w:t>
            </w:r>
            <w:r w:rsidRPr="0019444B">
              <w:rPr>
                <w:iCs/>
                <w:vertAlign w:val="superscript"/>
              </w:rPr>
              <w:t>c</w:t>
            </w:r>
          </w:p>
          <w:p w14:paraId="7CA45E70" w14:textId="60AA6218" w:rsidR="00352846" w:rsidRPr="0019444B" w:rsidRDefault="00352846" w:rsidP="00384271">
            <w:pPr>
              <w:pStyle w:val="TableText0"/>
              <w:widowControl w:val="0"/>
              <w:rPr>
                <w:iCs/>
              </w:rPr>
            </w:pPr>
            <w:r w:rsidRPr="0019444B">
              <w:rPr>
                <w:iCs/>
              </w:rPr>
              <w:t>$109,233.56</w:t>
            </w:r>
            <w:r w:rsidRPr="0019444B">
              <w:rPr>
                <w:iCs/>
                <w:vertAlign w:val="superscript"/>
              </w:rPr>
              <w:t>d</w:t>
            </w:r>
          </w:p>
        </w:tc>
      </w:tr>
      <w:tr w:rsidR="00352846" w:rsidRPr="0019444B" w14:paraId="7CC62F41" w14:textId="77777777" w:rsidTr="00425DCE">
        <w:trPr>
          <w:trHeight w:val="70"/>
        </w:trPr>
        <w:tc>
          <w:tcPr>
            <w:tcW w:w="3160" w:type="dxa"/>
            <w:tcBorders>
              <w:top w:val="single" w:sz="4" w:space="0" w:color="auto"/>
              <w:left w:val="single" w:sz="4" w:space="0" w:color="auto"/>
              <w:bottom w:val="single" w:sz="4" w:space="0" w:color="auto"/>
              <w:right w:val="single" w:sz="4" w:space="0" w:color="auto"/>
            </w:tcBorders>
            <w:vAlign w:val="center"/>
            <w:hideMark/>
          </w:tcPr>
          <w:p w14:paraId="39105368" w14:textId="77777777" w:rsidR="00352846" w:rsidRPr="0019444B" w:rsidRDefault="00352846" w:rsidP="00384271">
            <w:pPr>
              <w:pStyle w:val="TableText0"/>
              <w:widowControl w:val="0"/>
              <w:rPr>
                <w:iCs/>
                <w:vertAlign w:val="superscript"/>
              </w:rPr>
            </w:pPr>
            <w:r w:rsidRPr="0019444B">
              <w:rPr>
                <w:iCs/>
              </w:rPr>
              <w:t xml:space="preserve">Weighted total cost of therapy </w:t>
            </w:r>
            <w:r w:rsidRPr="0019444B">
              <w:rPr>
                <w:iCs/>
                <w:vertAlign w:val="superscript"/>
              </w:rPr>
              <w:t>e</w:t>
            </w:r>
          </w:p>
        </w:tc>
        <w:tc>
          <w:tcPr>
            <w:tcW w:w="3644" w:type="dxa"/>
            <w:gridSpan w:val="3"/>
            <w:tcBorders>
              <w:top w:val="single" w:sz="4" w:space="0" w:color="auto"/>
              <w:left w:val="single" w:sz="4" w:space="0" w:color="auto"/>
              <w:bottom w:val="single" w:sz="4" w:space="0" w:color="auto"/>
              <w:right w:val="single" w:sz="4" w:space="0" w:color="auto"/>
            </w:tcBorders>
            <w:vAlign w:val="center"/>
            <w:hideMark/>
          </w:tcPr>
          <w:p w14:paraId="425C8CA8" w14:textId="77777777" w:rsidR="00352846" w:rsidRPr="0019444B" w:rsidRDefault="00352846" w:rsidP="00384271">
            <w:pPr>
              <w:pStyle w:val="TableText0"/>
              <w:widowControl w:val="0"/>
              <w:rPr>
                <w:iCs/>
              </w:rPr>
            </w:pPr>
            <w:r w:rsidRPr="0019444B">
              <w:rPr>
                <w:iCs/>
              </w:rPr>
              <w:t>$110,155.64</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38CD4A2" w14:textId="77777777" w:rsidR="00352846" w:rsidRPr="0019444B" w:rsidRDefault="00352846" w:rsidP="00384271">
            <w:pPr>
              <w:pStyle w:val="TableText0"/>
              <w:widowControl w:val="0"/>
              <w:rPr>
                <w:iCs/>
              </w:rPr>
            </w:pPr>
            <w:r w:rsidRPr="0019444B">
              <w:rPr>
                <w:iCs/>
              </w:rPr>
              <w:t>$110,044.87</w:t>
            </w:r>
          </w:p>
        </w:tc>
      </w:tr>
      <w:tr w:rsidR="00352846" w:rsidRPr="0019444B" w14:paraId="4602FA8C" w14:textId="77777777" w:rsidTr="00425DCE">
        <w:trPr>
          <w:trHeight w:val="70"/>
        </w:trPr>
        <w:tc>
          <w:tcPr>
            <w:tcW w:w="3160" w:type="dxa"/>
            <w:tcBorders>
              <w:top w:val="single" w:sz="4" w:space="0" w:color="auto"/>
              <w:left w:val="single" w:sz="4" w:space="0" w:color="auto"/>
              <w:bottom w:val="single" w:sz="4" w:space="0" w:color="auto"/>
              <w:right w:val="single" w:sz="4" w:space="0" w:color="auto"/>
            </w:tcBorders>
            <w:vAlign w:val="center"/>
            <w:hideMark/>
          </w:tcPr>
          <w:p w14:paraId="5A0FB9BD" w14:textId="62F679EC" w:rsidR="00352846" w:rsidRPr="0019444B" w:rsidRDefault="00352846" w:rsidP="00384271">
            <w:pPr>
              <w:pStyle w:val="TableText0"/>
              <w:widowControl w:val="0"/>
              <w:rPr>
                <w:iCs/>
                <w:vertAlign w:val="superscript"/>
              </w:rPr>
            </w:pPr>
            <w:r w:rsidRPr="0019444B">
              <w:rPr>
                <w:iCs/>
              </w:rPr>
              <w:t>Difference in cost per patient/course</w:t>
            </w:r>
            <w:r w:rsidR="0011405D" w:rsidRPr="0019444B">
              <w:rPr>
                <w:iCs/>
              </w:rPr>
              <w:t xml:space="preserve"> versus VYX+OBIN</w:t>
            </w:r>
            <w:r w:rsidRPr="0019444B">
              <w:rPr>
                <w:iCs/>
              </w:rPr>
              <w:t xml:space="preserve"> </w:t>
            </w:r>
            <w:r w:rsidRPr="0019444B">
              <w:rPr>
                <w:iCs/>
                <w:vertAlign w:val="superscript"/>
              </w:rPr>
              <w:t>f</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8555B82" w14:textId="77777777" w:rsidR="00352846" w:rsidRPr="0019444B" w:rsidRDefault="00352846" w:rsidP="00384271">
            <w:pPr>
              <w:pStyle w:val="TableText0"/>
              <w:widowControl w:val="0"/>
              <w:rPr>
                <w:iCs/>
              </w:rPr>
            </w:pPr>
            <w:r w:rsidRPr="0019444B">
              <w:rPr>
                <w:iCs/>
              </w:rPr>
              <w:t>-$3,838.77</w:t>
            </w:r>
          </w:p>
        </w:tc>
        <w:tc>
          <w:tcPr>
            <w:tcW w:w="2369" w:type="dxa"/>
            <w:gridSpan w:val="2"/>
            <w:tcBorders>
              <w:top w:val="single" w:sz="4" w:space="0" w:color="auto"/>
              <w:left w:val="single" w:sz="4" w:space="0" w:color="auto"/>
              <w:bottom w:val="single" w:sz="4" w:space="0" w:color="auto"/>
              <w:right w:val="single" w:sz="4" w:space="0" w:color="auto"/>
            </w:tcBorders>
            <w:vAlign w:val="center"/>
            <w:hideMark/>
          </w:tcPr>
          <w:p w14:paraId="5258831F" w14:textId="4368301B" w:rsidR="00352846" w:rsidRPr="0019444B" w:rsidRDefault="00352846" w:rsidP="001F1B4A">
            <w:pPr>
              <w:pStyle w:val="TableText0"/>
              <w:widowControl w:val="0"/>
              <w:rPr>
                <w:iCs/>
              </w:rPr>
            </w:pPr>
            <w:r w:rsidRPr="0019444B">
              <w:rPr>
                <w:iCs/>
              </w:rPr>
              <w:t>$35,656.67</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28AB12F5" w14:textId="77777777" w:rsidR="00352846" w:rsidRPr="0019444B" w:rsidRDefault="00352846" w:rsidP="00384271">
            <w:pPr>
              <w:pStyle w:val="TableText0"/>
              <w:widowControl w:val="0"/>
            </w:pPr>
            <w:r w:rsidRPr="0019444B">
              <w:t>n/a</w:t>
            </w:r>
          </w:p>
        </w:tc>
      </w:tr>
    </w:tbl>
    <w:p w14:paraId="46DCA962" w14:textId="47A6ECAA" w:rsidR="00352846" w:rsidRPr="0019444B" w:rsidRDefault="00352846" w:rsidP="00352846">
      <w:pPr>
        <w:pStyle w:val="FooterTableFigure"/>
        <w:keepNext/>
        <w:widowControl w:val="0"/>
        <w:spacing w:after="0"/>
        <w:contextualSpacing w:val="0"/>
      </w:pPr>
      <w:r w:rsidRPr="0019444B">
        <w:t xml:space="preserve">Source: Table 3.3; Table 3.4; Attachment 3A; pp232 – 234 of the </w:t>
      </w:r>
      <w:proofErr w:type="gramStart"/>
      <w:r w:rsidR="00EB7C29" w:rsidRPr="0019444B">
        <w:t>re</w:t>
      </w:r>
      <w:r w:rsidRPr="0019444B">
        <w:t>submission</w:t>
      </w:r>
      <w:proofErr w:type="gramEnd"/>
    </w:p>
    <w:p w14:paraId="642195FF" w14:textId="4BF03CF1" w:rsidR="004B7F89" w:rsidRPr="0019444B" w:rsidRDefault="004B7F89" w:rsidP="00352846">
      <w:pPr>
        <w:pStyle w:val="FooterTableFigure"/>
        <w:keepNext/>
        <w:widowControl w:val="0"/>
        <w:spacing w:after="0"/>
        <w:contextualSpacing w:val="0"/>
      </w:pPr>
      <w:r w:rsidRPr="0019444B">
        <w:t xml:space="preserve">ACA = acalabrutinib, </w:t>
      </w:r>
      <w:r w:rsidR="00C521EB" w:rsidRPr="0019444B">
        <w:rPr>
          <w:szCs w:val="18"/>
        </w:rPr>
        <w:t>AEMP = Approved Ex-Manufacturer Price, DPMQ = Dispensed Price for Maximum Quantity,</w:t>
      </w:r>
      <w:r w:rsidR="00C521EB" w:rsidRPr="0019444B">
        <w:t xml:space="preserve"> </w:t>
      </w:r>
      <w:r w:rsidRPr="0019444B">
        <w:t>OBIN = obinutuzumab, VTX = venetoclax</w:t>
      </w:r>
      <w:r w:rsidR="009333E9" w:rsidRPr="0019444B">
        <w:rPr>
          <w:szCs w:val="18"/>
        </w:rPr>
        <w:t>.</w:t>
      </w:r>
    </w:p>
    <w:p w14:paraId="2EDBC6D1" w14:textId="0839A9DE" w:rsidR="00352846" w:rsidRPr="0019444B" w:rsidRDefault="00352846" w:rsidP="00352846">
      <w:pPr>
        <w:pStyle w:val="FooterTableFigure"/>
        <w:keepNext/>
        <w:widowControl w:val="0"/>
        <w:spacing w:after="0"/>
        <w:contextualSpacing w:val="0"/>
        <w:rPr>
          <w:iCs/>
        </w:rPr>
      </w:pPr>
      <w:r w:rsidRPr="0019444B">
        <w:rPr>
          <w:vertAlign w:val="superscript"/>
        </w:rPr>
        <w:t>a</w:t>
      </w:r>
      <w:r w:rsidRPr="0019444B">
        <w:t xml:space="preserve"> </w:t>
      </w:r>
      <w:r w:rsidRPr="0019444B">
        <w:rPr>
          <w:iCs/>
        </w:rPr>
        <w:t>No quantitative costs for ACA w</w:t>
      </w:r>
      <w:r w:rsidR="004B7F89" w:rsidRPr="0019444B">
        <w:rPr>
          <w:iCs/>
        </w:rPr>
        <w:t>ere</w:t>
      </w:r>
      <w:r w:rsidRPr="0019444B">
        <w:rPr>
          <w:iCs/>
        </w:rPr>
        <w:t xml:space="preserve"> presented in the resubmission. Values were calculated during the evaluation using the methodology stated in the resubmission.</w:t>
      </w:r>
    </w:p>
    <w:p w14:paraId="40671126" w14:textId="21D67EBC" w:rsidR="00352846" w:rsidRPr="0019444B" w:rsidRDefault="00352846" w:rsidP="00352846">
      <w:pPr>
        <w:pStyle w:val="FooterTableFigure"/>
        <w:keepNext/>
        <w:widowControl w:val="0"/>
        <w:spacing w:after="0"/>
        <w:contextualSpacing w:val="0"/>
        <w:rPr>
          <w:iCs/>
        </w:rPr>
      </w:pPr>
      <w:r w:rsidRPr="0019444B">
        <w:rPr>
          <w:iCs/>
          <w:vertAlign w:val="superscript"/>
        </w:rPr>
        <w:t>b</w:t>
      </w:r>
      <w:r w:rsidRPr="0019444B">
        <w:rPr>
          <w:iCs/>
        </w:rPr>
        <w:t xml:space="preserve"> </w:t>
      </w:r>
      <w:proofErr w:type="gramStart"/>
      <w:r w:rsidRPr="0019444B">
        <w:rPr>
          <w:iCs/>
        </w:rPr>
        <w:t>The</w:t>
      </w:r>
      <w:proofErr w:type="gramEnd"/>
      <w:r w:rsidRPr="0019444B">
        <w:rPr>
          <w:iCs/>
        </w:rPr>
        <w:t xml:space="preserve"> resubmission presented drug costs at the DPMQ/DPMA level. Values were recalculated at the AEMP level during the evaluation</w:t>
      </w:r>
      <w:r w:rsidR="0019444B">
        <w:rPr>
          <w:iCs/>
        </w:rPr>
        <w:t xml:space="preserve">. </w:t>
      </w:r>
    </w:p>
    <w:p w14:paraId="4D09B4BF" w14:textId="77777777" w:rsidR="00352846" w:rsidRPr="0019444B" w:rsidRDefault="00352846" w:rsidP="00352846">
      <w:pPr>
        <w:pStyle w:val="FooterTableFigure"/>
        <w:keepNext/>
        <w:widowControl w:val="0"/>
        <w:spacing w:after="0"/>
        <w:contextualSpacing w:val="0"/>
      </w:pPr>
      <w:r w:rsidRPr="0019444B">
        <w:rPr>
          <w:vertAlign w:val="superscript"/>
        </w:rPr>
        <w:t>c</w:t>
      </w:r>
      <w:r w:rsidRPr="0019444B">
        <w:t xml:space="preserve"> Compared to ACA monotherapy</w:t>
      </w:r>
    </w:p>
    <w:p w14:paraId="0867EA58" w14:textId="77777777" w:rsidR="00352846" w:rsidRPr="0019444B" w:rsidRDefault="00352846" w:rsidP="00352846">
      <w:pPr>
        <w:pStyle w:val="FooterTableFigure"/>
        <w:keepNext/>
        <w:widowControl w:val="0"/>
        <w:spacing w:after="0"/>
        <w:contextualSpacing w:val="0"/>
      </w:pPr>
      <w:r w:rsidRPr="0019444B">
        <w:rPr>
          <w:vertAlign w:val="superscript"/>
        </w:rPr>
        <w:t>d</w:t>
      </w:r>
      <w:r w:rsidRPr="0019444B">
        <w:t xml:space="preserve"> Compared to ACA+OBIN</w:t>
      </w:r>
    </w:p>
    <w:p w14:paraId="1595D51D" w14:textId="4270121C" w:rsidR="00352846" w:rsidRPr="0019444B" w:rsidRDefault="00352846" w:rsidP="00352846">
      <w:pPr>
        <w:pStyle w:val="FooterTableFigure"/>
        <w:keepNext/>
        <w:widowControl w:val="0"/>
        <w:spacing w:after="0"/>
        <w:contextualSpacing w:val="0"/>
        <w:rPr>
          <w:iCs/>
        </w:rPr>
      </w:pPr>
      <w:r w:rsidRPr="0019444B">
        <w:rPr>
          <w:vertAlign w:val="superscript"/>
        </w:rPr>
        <w:t>e</w:t>
      </w:r>
      <w:r w:rsidRPr="0019444B">
        <w:t xml:space="preserve"> </w:t>
      </w:r>
      <w:r w:rsidRPr="0019444B">
        <w:rPr>
          <w:iCs/>
        </w:rPr>
        <w:t>Weighted AEMP assumes 90/10% ACA</w:t>
      </w:r>
      <w:r w:rsidR="00A45ED6" w:rsidRPr="0019444B">
        <w:rPr>
          <w:iCs/>
        </w:rPr>
        <w:t>+/-</w:t>
      </w:r>
      <w:r w:rsidRPr="0019444B">
        <w:rPr>
          <w:iCs/>
        </w:rPr>
        <w:t>OBIN split. AEMP price calculated to be $2,081.84 based on weighting of theoretical ACA prices in ACA therapy ($2,159.29) and ACA+OBIN therapy ($1,384.85).</w:t>
      </w:r>
    </w:p>
    <w:p w14:paraId="301D7448" w14:textId="287C119F" w:rsidR="00352846" w:rsidRPr="0019444B" w:rsidRDefault="00352846" w:rsidP="00CA022C">
      <w:pPr>
        <w:pStyle w:val="FooterTableFigure"/>
        <w:widowControl w:val="0"/>
        <w:contextualSpacing w:val="0"/>
        <w:rPr>
          <w:iCs/>
        </w:rPr>
      </w:pPr>
      <w:r w:rsidRPr="0019444B">
        <w:rPr>
          <w:iCs/>
          <w:vertAlign w:val="superscript"/>
        </w:rPr>
        <w:t>f</w:t>
      </w:r>
      <w:r w:rsidRPr="0019444B">
        <w:rPr>
          <w:iCs/>
        </w:rPr>
        <w:t xml:space="preserve"> Difference in cost per patient/course calculated as total cost per patient/course of ACA therapy using weighted ACA AEMP less equivalent total cost per patient/course of VTX+OBIN</w:t>
      </w:r>
      <w:r w:rsidR="00425DCE" w:rsidRPr="0019444B">
        <w:rPr>
          <w:iCs/>
        </w:rPr>
        <w:t>.</w:t>
      </w:r>
    </w:p>
    <w:p w14:paraId="01F737AD" w14:textId="77777777" w:rsidR="00DB3313" w:rsidRPr="00DB3313" w:rsidRDefault="00352846" w:rsidP="00DB3313">
      <w:pPr>
        <w:pStyle w:val="3-BodyText"/>
        <w:numPr>
          <w:ilvl w:val="1"/>
          <w:numId w:val="1"/>
        </w:numPr>
      </w:pPr>
      <w:r w:rsidRPr="0019444B">
        <w:t xml:space="preserve">The results of key univariate sensitivity analyses </w:t>
      </w:r>
      <w:r w:rsidR="000B5689" w:rsidRPr="0019444B">
        <w:t xml:space="preserve">conducted during the evaluation </w:t>
      </w:r>
      <w:r w:rsidRPr="0019444B">
        <w:t>are summarised in</w:t>
      </w:r>
      <w:r w:rsidR="00EA2F24" w:rsidRPr="0019444B">
        <w:t xml:space="preserve"> </w:t>
      </w:r>
      <w:r w:rsidR="00EA2F24" w:rsidRPr="0019444B">
        <w:fldChar w:fldCharType="begin" w:fldLock="1"/>
      </w:r>
      <w:r w:rsidR="00EA2F24" w:rsidRPr="0019444B">
        <w:instrText xml:space="preserve"> REF _Ref137429497 \h </w:instrText>
      </w:r>
      <w:r w:rsidR="00EA2F24" w:rsidRPr="0019444B">
        <w:fldChar w:fldCharType="separate"/>
      </w:r>
      <w:r w:rsidR="00EA2F24" w:rsidRPr="0019444B">
        <w:t xml:space="preserve">Table </w:t>
      </w:r>
      <w:r w:rsidR="00EA2F24" w:rsidRPr="00661558">
        <w:t>17</w:t>
      </w:r>
      <w:r w:rsidR="00EA2F24" w:rsidRPr="0019444B">
        <w:fldChar w:fldCharType="end"/>
      </w:r>
      <w:r w:rsidRPr="0019444B">
        <w:t>.</w:t>
      </w:r>
      <w:r w:rsidR="000B5689" w:rsidRPr="0019444B">
        <w:t xml:space="preserve"> </w:t>
      </w:r>
      <w:r w:rsidR="00187AA0" w:rsidRPr="0019444B">
        <w:rPr>
          <w:iCs/>
        </w:rPr>
        <w:t>Variables</w:t>
      </w:r>
      <w:r w:rsidRPr="0019444B">
        <w:rPr>
          <w:iCs/>
        </w:rPr>
        <w:t xml:space="preserve"> tested in the univariate sensitivity analyses include</w:t>
      </w:r>
      <w:r w:rsidR="000B5689" w:rsidRPr="0019444B">
        <w:rPr>
          <w:iCs/>
        </w:rPr>
        <w:t>d</w:t>
      </w:r>
      <w:r w:rsidR="00DB3313">
        <w:rPr>
          <w:iCs/>
        </w:rPr>
        <w:t>:</w:t>
      </w:r>
    </w:p>
    <w:p w14:paraId="18C08180" w14:textId="7D2139D5" w:rsidR="00DB3313" w:rsidRPr="00DB3313" w:rsidRDefault="00352846" w:rsidP="00CA022C">
      <w:pPr>
        <w:pStyle w:val="ListParagraph"/>
      </w:pPr>
      <w:r w:rsidRPr="00DB3313">
        <w:t xml:space="preserve">utilisation </w:t>
      </w:r>
      <w:r w:rsidR="0058779F" w:rsidRPr="00DB3313">
        <w:t>of</w:t>
      </w:r>
      <w:r w:rsidRPr="00DB3313">
        <w:t xml:space="preserve"> ACA</w:t>
      </w:r>
      <w:r w:rsidR="00FE6A10" w:rsidRPr="00DB3313">
        <w:t xml:space="preserve"> monotherapy</w:t>
      </w:r>
      <w:r w:rsidRPr="00DB3313">
        <w:t xml:space="preserve"> </w:t>
      </w:r>
      <w:r w:rsidR="0058779F" w:rsidRPr="00DB3313">
        <w:t>versus</w:t>
      </w:r>
      <w:r w:rsidRPr="00DB3313">
        <w:t xml:space="preserve"> ACA+OBIN</w:t>
      </w:r>
      <w:r w:rsidR="00DB3313">
        <w:t>.</w:t>
      </w:r>
      <w:r w:rsidRPr="00DB3313">
        <w:t xml:space="preserve"> </w:t>
      </w:r>
      <w:r w:rsidR="00DB3313" w:rsidRPr="00364C2A">
        <w:t>The proportion of use of ACA monotherapy vs ACA+OBIN was highly uncertain and not well justified. The ESC considered an 80% - 90% ACA monotherapy/10% - 20% ACA+OBIN split would be appropriate. The pre-PBAC response proposed a split of 85% ACA monotherapy/15% ACA+OBIN combination therapy.</w:t>
      </w:r>
    </w:p>
    <w:p w14:paraId="7F97C297" w14:textId="40B2C0F9" w:rsidR="00DB3313" w:rsidRPr="00DB3313" w:rsidRDefault="0058779F" w:rsidP="00CA022C">
      <w:pPr>
        <w:pStyle w:val="ListParagraph"/>
      </w:pPr>
      <w:r w:rsidRPr="00DB3313">
        <w:t xml:space="preserve">the costs for TLS prophylaxis </w:t>
      </w:r>
      <w:r w:rsidR="00352846" w:rsidRPr="00DB3313">
        <w:t>and adverse event</w:t>
      </w:r>
      <w:r w:rsidRPr="00DB3313">
        <w:t>s</w:t>
      </w:r>
      <w:r w:rsidR="00DB3313">
        <w:t>.</w:t>
      </w:r>
      <w:r w:rsidRPr="00DB3313">
        <w:t xml:space="preserve"> </w:t>
      </w:r>
      <w:r w:rsidR="00DB3313" w:rsidRPr="00364C2A">
        <w:t>As the claim of superior safety was not well supported, a sensitivity test that excluded AE costs, was performed.</w:t>
      </w:r>
    </w:p>
    <w:p w14:paraId="21B9F91D" w14:textId="06E0D365" w:rsidR="00352846" w:rsidRPr="0019444B" w:rsidRDefault="0058779F" w:rsidP="00CA022C">
      <w:pPr>
        <w:pStyle w:val="ListParagraph"/>
      </w:pPr>
      <w:r w:rsidRPr="00DB3313">
        <w:t>the duration of ACA+/-OBIN treatment</w:t>
      </w:r>
      <w:r w:rsidR="00352846" w:rsidRPr="00DB3313">
        <w:t xml:space="preserve">. </w:t>
      </w:r>
      <w:r w:rsidR="003E197D" w:rsidRPr="00B465C7">
        <w:t>The PSCR</w:t>
      </w:r>
      <w:r w:rsidR="00DD4467" w:rsidRPr="00B465C7">
        <w:t xml:space="preserve"> </w:t>
      </w:r>
      <w:r w:rsidR="002F0DBC" w:rsidRPr="00B465C7">
        <w:t xml:space="preserve">and the pre-PBAC response </w:t>
      </w:r>
      <w:r w:rsidR="00F704BA" w:rsidRPr="00B465C7">
        <w:t xml:space="preserve">noted that the PBAC had considered </w:t>
      </w:r>
      <w:r w:rsidR="00B15409" w:rsidRPr="00B465C7">
        <w:t>ZANU</w:t>
      </w:r>
      <w:r w:rsidR="00F704BA" w:rsidRPr="00B465C7">
        <w:t xml:space="preserve"> at </w:t>
      </w:r>
      <w:r w:rsidR="00A74C13" w:rsidRPr="00B465C7">
        <w:t xml:space="preserve">its </w:t>
      </w:r>
      <w:r w:rsidR="00F704BA" w:rsidRPr="00B465C7">
        <w:t>March 2023</w:t>
      </w:r>
      <w:r w:rsidR="00DD4467" w:rsidRPr="00B465C7">
        <w:t xml:space="preserve"> meeting</w:t>
      </w:r>
      <w:r w:rsidR="00FD0F12">
        <w:t xml:space="preserve"> </w:t>
      </w:r>
      <w:r w:rsidR="00F704BA" w:rsidRPr="00B465C7">
        <w:t xml:space="preserve">and </w:t>
      </w:r>
      <w:r w:rsidR="003E197D" w:rsidRPr="00B465C7">
        <w:t>indicated</w:t>
      </w:r>
      <w:r w:rsidR="00C7550A" w:rsidRPr="00B465C7">
        <w:t xml:space="preserve"> </w:t>
      </w:r>
      <w:r w:rsidR="003E197D" w:rsidRPr="00B465C7">
        <w:t xml:space="preserve">the sponsor would consider a CMA </w:t>
      </w:r>
      <w:r w:rsidR="00BD145B" w:rsidRPr="00B465C7">
        <w:t>that</w:t>
      </w:r>
      <w:r w:rsidR="003E197D" w:rsidRPr="00B465C7">
        <w:t xml:space="preserve"> assumed </w:t>
      </w:r>
      <w:r w:rsidR="00C56912" w:rsidRPr="00B465C7">
        <w:t xml:space="preserve">67.02 </w:t>
      </w:r>
      <w:r w:rsidR="003E197D" w:rsidRPr="00B465C7">
        <w:t xml:space="preserve">scripts for ACA+/-OBIN if this was equivalent to the duration of treatment </w:t>
      </w:r>
      <w:r w:rsidR="00C7550A" w:rsidRPr="00B465C7">
        <w:t xml:space="preserve">accepted for </w:t>
      </w:r>
      <w:r w:rsidR="00B15409" w:rsidRPr="00B465C7">
        <w:t>ZANU</w:t>
      </w:r>
      <w:r w:rsidR="00C7550A" w:rsidRPr="00B465C7">
        <w:t xml:space="preserve">. </w:t>
      </w:r>
      <w:r w:rsidR="00BD145B" w:rsidRPr="00B465C7">
        <w:t xml:space="preserve">The pre-PBAC response stated that as both ACA+/-OBIN are oral BTK inhibitors and that both are used until disease progression or unacceptable toxicity, it is likely the duration of treatment in this patient population would be comparable. The </w:t>
      </w:r>
      <w:r w:rsidR="00DB3313">
        <w:t>d</w:t>
      </w:r>
      <w:r w:rsidR="00352846" w:rsidRPr="00B465C7">
        <w:t>iscounting</w:t>
      </w:r>
      <w:r w:rsidR="00187AA0" w:rsidRPr="00B465C7">
        <w:t xml:space="preserve"> and extrapolation of time on treatment</w:t>
      </w:r>
      <w:r w:rsidR="00352846" w:rsidRPr="00B465C7">
        <w:t xml:space="preserve"> </w:t>
      </w:r>
      <w:r w:rsidR="00DB3313">
        <w:t>were</w:t>
      </w:r>
      <w:r w:rsidR="00DB3313" w:rsidRPr="00DB3313">
        <w:t xml:space="preserve"> </w:t>
      </w:r>
      <w:r w:rsidR="00352846" w:rsidRPr="00DB3313">
        <w:t xml:space="preserve">not </w:t>
      </w:r>
      <w:r w:rsidR="00D07849" w:rsidRPr="00DB3313">
        <w:t xml:space="preserve">able to be </w:t>
      </w:r>
      <w:r w:rsidR="00352846" w:rsidRPr="00DB3313">
        <w:t xml:space="preserve">performed due to the </w:t>
      </w:r>
      <w:r w:rsidR="00187AA0" w:rsidRPr="00DB3313">
        <w:t>structure of the cost</w:t>
      </w:r>
      <w:r w:rsidR="00151F81" w:rsidRPr="00DD109D">
        <w:t>-</w:t>
      </w:r>
      <w:r w:rsidR="00187AA0" w:rsidRPr="00DD109D">
        <w:t xml:space="preserve">minimisation presented </w:t>
      </w:r>
      <w:r w:rsidR="00352846" w:rsidRPr="00DD109D">
        <w:t>in the resubmission.</w:t>
      </w:r>
      <w:r w:rsidR="00352846" w:rsidRPr="0019444B">
        <w:t xml:space="preserve"> </w:t>
      </w:r>
    </w:p>
    <w:p w14:paraId="41382F7A" w14:textId="02FA1BE9" w:rsidR="00352846" w:rsidRPr="0019444B" w:rsidRDefault="00332019" w:rsidP="00332019">
      <w:pPr>
        <w:pStyle w:val="Caption"/>
      </w:pPr>
      <w:bookmarkStart w:id="78" w:name="_Ref132529635"/>
      <w:bookmarkStart w:id="79" w:name="_Ref137429497"/>
      <w:r w:rsidRPr="0019444B">
        <w:t xml:space="preserve">Table </w:t>
      </w:r>
      <w:bookmarkEnd w:id="78"/>
      <w:r w:rsidR="00D13D0B" w:rsidRPr="00661558">
        <w:fldChar w:fldCharType="begin" w:fldLock="1"/>
      </w:r>
      <w:r w:rsidR="00D13D0B" w:rsidRPr="0019444B">
        <w:instrText xml:space="preserve"> SEQ Table \* ARABIC </w:instrText>
      </w:r>
      <w:r w:rsidR="00D13D0B" w:rsidRPr="00661558">
        <w:fldChar w:fldCharType="separate"/>
      </w:r>
      <w:r w:rsidR="00EA2F24" w:rsidRPr="00661558">
        <w:t>17</w:t>
      </w:r>
      <w:r w:rsidR="00D13D0B" w:rsidRPr="00661558">
        <w:fldChar w:fldCharType="end"/>
      </w:r>
      <w:bookmarkEnd w:id="79"/>
      <w:r w:rsidR="00352846" w:rsidRPr="0019444B">
        <w:t xml:space="preserve">: Input parameters specific for sensitivity analyses conducted during the </w:t>
      </w:r>
      <w:proofErr w:type="gramStart"/>
      <w:r w:rsidR="00352846" w:rsidRPr="0019444B">
        <w:t>evaluation</w:t>
      </w:r>
      <w:proofErr w:type="gram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1"/>
        <w:gridCol w:w="3285"/>
        <w:gridCol w:w="1530"/>
        <w:gridCol w:w="1116"/>
      </w:tblGrid>
      <w:tr w:rsidR="00352846" w:rsidRPr="0019444B" w14:paraId="56400011" w14:textId="77777777" w:rsidTr="00A32205">
        <w:trPr>
          <w:trHeight w:val="20"/>
        </w:trPr>
        <w:tc>
          <w:tcPr>
            <w:tcW w:w="3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8242F3" w14:textId="77777777" w:rsidR="00352846" w:rsidRPr="0019444B" w:rsidRDefault="00352846" w:rsidP="00384271">
            <w:pPr>
              <w:keepNext/>
              <w:keepLines/>
              <w:suppressLineNumbers/>
              <w:jc w:val="left"/>
              <w:textboxTightWrap w:val="allLines"/>
              <w:rPr>
                <w:rFonts w:ascii="Arial Narrow" w:hAnsi="Arial Narrow" w:cstheme="minorHAnsi"/>
                <w:b/>
                <w:bCs/>
                <w:sz w:val="20"/>
                <w:szCs w:val="20"/>
                <w:lang w:eastAsia="en-GB"/>
              </w:rPr>
            </w:pPr>
            <w:r w:rsidRPr="0019444B">
              <w:rPr>
                <w:rFonts w:ascii="Arial Narrow" w:hAnsi="Arial Narrow" w:cstheme="minorHAnsi"/>
                <w:b/>
                <w:bCs/>
                <w:sz w:val="20"/>
                <w:szCs w:val="20"/>
                <w:lang w:eastAsia="en-GB"/>
              </w:rPr>
              <w:t>Variable</w:t>
            </w:r>
            <w:r w:rsidRPr="0019444B">
              <w:rPr>
                <w:rFonts w:ascii="Arial Narrow" w:hAnsi="Arial Narrow" w:cstheme="minorHAnsi"/>
                <w:bCs/>
                <w:iCs/>
                <w:sz w:val="20"/>
                <w:szCs w:val="20"/>
                <w:lang w:eastAsia="en-GB"/>
              </w:rPr>
              <w:t xml:space="preserve"> </w:t>
            </w:r>
          </w:p>
        </w:tc>
        <w:tc>
          <w:tcPr>
            <w:tcW w:w="3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4F1FC5" w14:textId="77777777" w:rsidR="00352846" w:rsidRPr="0019444B" w:rsidRDefault="00352846" w:rsidP="00384271">
            <w:pPr>
              <w:keepNext/>
              <w:keepLines/>
              <w:suppressLineNumbers/>
              <w:jc w:val="left"/>
              <w:textboxTightWrap w:val="allLines"/>
              <w:rPr>
                <w:rFonts w:ascii="Arial Narrow" w:hAnsi="Arial Narrow" w:cstheme="minorHAnsi"/>
                <w:b/>
                <w:bCs/>
                <w:sz w:val="20"/>
                <w:szCs w:val="20"/>
                <w:lang w:eastAsia="en-GB"/>
              </w:rPr>
            </w:pPr>
            <w:r w:rsidRPr="0019444B">
              <w:rPr>
                <w:rFonts w:ascii="Arial Narrow" w:hAnsi="Arial Narrow" w:cstheme="minorHAnsi"/>
                <w:b/>
                <w:bCs/>
                <w:sz w:val="20"/>
                <w:szCs w:val="20"/>
                <w:lang w:eastAsia="en-GB"/>
              </w:rPr>
              <w:t>Value for sensitivity analysis</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82AAF3" w14:textId="15555099" w:rsidR="00352846" w:rsidRPr="0019444B" w:rsidRDefault="00352846" w:rsidP="00384271">
            <w:pPr>
              <w:keepNext/>
              <w:keepLines/>
              <w:suppressLineNumbers/>
              <w:ind w:right="-108"/>
              <w:jc w:val="left"/>
              <w:textboxTightWrap w:val="allLines"/>
              <w:rPr>
                <w:rFonts w:ascii="Arial Narrow" w:hAnsi="Arial Narrow" w:cstheme="minorHAnsi"/>
                <w:b/>
                <w:bCs/>
                <w:sz w:val="20"/>
                <w:szCs w:val="20"/>
                <w:lang w:eastAsia="en-GB"/>
              </w:rPr>
            </w:pPr>
            <w:r w:rsidRPr="0019444B">
              <w:rPr>
                <w:rFonts w:ascii="Arial Narrow" w:hAnsi="Arial Narrow" w:cstheme="minorHAnsi"/>
                <w:b/>
                <w:bCs/>
                <w:sz w:val="20"/>
                <w:szCs w:val="20"/>
                <w:lang w:eastAsia="en-GB"/>
              </w:rPr>
              <w:t>Cost</w:t>
            </w:r>
            <w:r w:rsidR="00151F81" w:rsidRPr="0019444B">
              <w:rPr>
                <w:rFonts w:ascii="Arial Narrow" w:hAnsi="Arial Narrow" w:cstheme="minorHAnsi"/>
                <w:b/>
                <w:bCs/>
                <w:sz w:val="20"/>
                <w:szCs w:val="20"/>
                <w:lang w:eastAsia="en-GB"/>
              </w:rPr>
              <w:t>-</w:t>
            </w:r>
            <w:r w:rsidRPr="0019444B">
              <w:rPr>
                <w:rFonts w:ascii="Arial Narrow" w:hAnsi="Arial Narrow" w:cstheme="minorHAnsi"/>
                <w:b/>
                <w:bCs/>
                <w:sz w:val="20"/>
                <w:szCs w:val="20"/>
                <w:lang w:eastAsia="en-GB"/>
              </w:rPr>
              <w:t>minimising price</w:t>
            </w:r>
          </w:p>
        </w:tc>
        <w:tc>
          <w:tcPr>
            <w:tcW w:w="1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E4F2B5" w14:textId="77777777" w:rsidR="00352846" w:rsidRPr="0019444B" w:rsidRDefault="00352846" w:rsidP="00384271">
            <w:pPr>
              <w:keepNext/>
              <w:keepLines/>
              <w:suppressLineNumbers/>
              <w:jc w:val="left"/>
              <w:textboxTightWrap w:val="allLines"/>
              <w:rPr>
                <w:rFonts w:ascii="Arial Narrow" w:hAnsi="Arial Narrow" w:cstheme="minorHAnsi"/>
                <w:b/>
                <w:bCs/>
                <w:sz w:val="20"/>
                <w:szCs w:val="20"/>
                <w:lang w:eastAsia="en-GB"/>
              </w:rPr>
            </w:pPr>
            <w:r w:rsidRPr="0019444B">
              <w:rPr>
                <w:rFonts w:ascii="Arial Narrow" w:hAnsi="Arial Narrow" w:cstheme="minorHAnsi"/>
                <w:b/>
                <w:bCs/>
                <w:sz w:val="20"/>
                <w:szCs w:val="20"/>
                <w:lang w:eastAsia="en-GB"/>
              </w:rPr>
              <w:t>Relative to base case</w:t>
            </w:r>
          </w:p>
        </w:tc>
      </w:tr>
      <w:tr w:rsidR="00352846" w:rsidRPr="0019444B" w14:paraId="14D1D5E2" w14:textId="77777777" w:rsidTr="00A32205">
        <w:trPr>
          <w:trHeight w:val="20"/>
        </w:trPr>
        <w:tc>
          <w:tcPr>
            <w:tcW w:w="64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4F5EBE" w14:textId="77777777" w:rsidR="00352846" w:rsidRPr="0019444B" w:rsidRDefault="00352846" w:rsidP="00384271">
            <w:pPr>
              <w:keepNext/>
              <w:keepLines/>
              <w:suppressLineNumbers/>
              <w:jc w:val="left"/>
              <w:textboxTightWrap w:val="allLines"/>
              <w:rPr>
                <w:rFonts w:ascii="Arial Narrow" w:hAnsi="Arial Narrow" w:cstheme="minorHAnsi"/>
                <w:b/>
                <w:sz w:val="20"/>
                <w:szCs w:val="20"/>
                <w:lang w:eastAsia="en-GB"/>
              </w:rPr>
            </w:pPr>
            <w:r w:rsidRPr="0019444B">
              <w:rPr>
                <w:rFonts w:ascii="Arial Narrow" w:hAnsi="Arial Narrow" w:cstheme="minorHAnsi"/>
                <w:b/>
                <w:sz w:val="20"/>
                <w:szCs w:val="20"/>
                <w:lang w:eastAsia="en-GB"/>
              </w:rPr>
              <w:t>Base case</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F2A5AC" w14:textId="77777777" w:rsidR="00352846" w:rsidRPr="0019444B" w:rsidRDefault="00352846" w:rsidP="00384271">
            <w:pPr>
              <w:keepNext/>
              <w:keepLines/>
              <w:suppressLineNumbers/>
              <w:ind w:right="-108"/>
              <w:jc w:val="left"/>
              <w:textboxTightWrap w:val="allLines"/>
              <w:rPr>
                <w:rFonts w:ascii="Arial Narrow" w:hAnsi="Arial Narrow" w:cstheme="minorHAnsi"/>
                <w:b/>
                <w:sz w:val="20"/>
                <w:szCs w:val="20"/>
                <w:lang w:eastAsia="en-GB"/>
              </w:rPr>
            </w:pPr>
            <w:r w:rsidRPr="0019444B">
              <w:rPr>
                <w:rFonts w:ascii="Arial Narrow" w:hAnsi="Arial Narrow" w:cstheme="minorHAnsi"/>
                <w:b/>
                <w:sz w:val="20"/>
                <w:szCs w:val="20"/>
                <w:lang w:eastAsia="en-GB"/>
              </w:rPr>
              <w:t>$2,081.84</w:t>
            </w:r>
          </w:p>
        </w:tc>
        <w:tc>
          <w:tcPr>
            <w:tcW w:w="1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A7AB3" w14:textId="77777777" w:rsidR="00352846" w:rsidRPr="0019444B" w:rsidRDefault="00352846" w:rsidP="00384271">
            <w:pPr>
              <w:keepNext/>
              <w:keepLines/>
              <w:suppressLineNumbers/>
              <w:jc w:val="left"/>
              <w:textboxTightWrap w:val="allLines"/>
              <w:rPr>
                <w:rFonts w:ascii="Arial Narrow" w:hAnsi="Arial Narrow" w:cstheme="minorHAnsi"/>
                <w:b/>
                <w:sz w:val="20"/>
                <w:szCs w:val="20"/>
                <w:lang w:eastAsia="en-GB"/>
              </w:rPr>
            </w:pPr>
          </w:p>
        </w:tc>
      </w:tr>
      <w:tr w:rsidR="00352846" w:rsidRPr="0019444B" w14:paraId="4152FAB5" w14:textId="77777777" w:rsidTr="00A32205">
        <w:trPr>
          <w:trHeight w:val="20"/>
        </w:trPr>
        <w:tc>
          <w:tcPr>
            <w:tcW w:w="310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070310" w14:textId="4D59DB84" w:rsidR="00352846" w:rsidRPr="0019444B" w:rsidRDefault="00352846" w:rsidP="00384271">
            <w:pPr>
              <w:keepNext/>
              <w:keepLines/>
              <w:suppressLineNumbers/>
              <w:jc w:val="left"/>
              <w:textboxTightWrap w:val="allLines"/>
              <w:rPr>
                <w:rFonts w:ascii="Arial Narrow" w:hAnsi="Arial Narrow" w:cstheme="minorHAnsi"/>
                <w:bCs/>
                <w:iCs/>
                <w:sz w:val="20"/>
                <w:szCs w:val="20"/>
                <w:lang w:eastAsia="en-GB"/>
              </w:rPr>
            </w:pPr>
            <w:r w:rsidRPr="0019444B">
              <w:rPr>
                <w:rFonts w:ascii="Arial Narrow" w:hAnsi="Arial Narrow" w:cstheme="minorHAnsi"/>
                <w:bCs/>
                <w:iCs/>
                <w:sz w:val="20"/>
                <w:szCs w:val="20"/>
                <w:lang w:eastAsia="en-GB"/>
              </w:rPr>
              <w:t>Relative utilisation of ACA</w:t>
            </w:r>
            <w:r w:rsidR="00E74783" w:rsidRPr="0019444B">
              <w:rPr>
                <w:rFonts w:ascii="Arial Narrow" w:hAnsi="Arial Narrow" w:cstheme="minorHAnsi"/>
                <w:bCs/>
                <w:iCs/>
                <w:sz w:val="20"/>
                <w:szCs w:val="20"/>
                <w:lang w:eastAsia="en-GB"/>
              </w:rPr>
              <w:t>+/-</w:t>
            </w:r>
            <w:r w:rsidRPr="0019444B">
              <w:rPr>
                <w:rFonts w:ascii="Arial Narrow" w:hAnsi="Arial Narrow" w:cstheme="minorHAnsi"/>
                <w:bCs/>
                <w:iCs/>
                <w:sz w:val="20"/>
                <w:szCs w:val="20"/>
                <w:lang w:eastAsia="en-GB"/>
              </w:rPr>
              <w:t>OBIN (base case= 90% /10%)</w:t>
            </w:r>
          </w:p>
        </w:tc>
        <w:tc>
          <w:tcPr>
            <w:tcW w:w="3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0D4CFD" w14:textId="77777777" w:rsidR="00352846" w:rsidRPr="0019444B" w:rsidRDefault="00352846" w:rsidP="00384271">
            <w:pPr>
              <w:keepNext/>
              <w:keepLines/>
              <w:suppressLineNumbers/>
              <w:ind w:right="-109"/>
              <w:jc w:val="left"/>
              <w:textboxTightWrap w:val="allLines"/>
              <w:rPr>
                <w:rFonts w:ascii="Arial Narrow" w:hAnsi="Arial Narrow" w:cstheme="minorHAnsi"/>
                <w:bCs/>
                <w:iCs/>
                <w:sz w:val="20"/>
                <w:szCs w:val="20"/>
                <w:lang w:eastAsia="en-GB"/>
              </w:rPr>
            </w:pPr>
            <w:r w:rsidRPr="0019444B">
              <w:rPr>
                <w:rFonts w:ascii="Arial Narrow" w:hAnsi="Arial Narrow" w:cstheme="minorHAnsi"/>
                <w:bCs/>
                <w:iCs/>
                <w:sz w:val="20"/>
                <w:szCs w:val="20"/>
                <w:lang w:eastAsia="en-GB"/>
              </w:rPr>
              <w:t>100% / 0%</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4F4706" w14:textId="3B1282C7" w:rsidR="00352846" w:rsidRPr="0019444B" w:rsidRDefault="00352846" w:rsidP="00384271">
            <w:pPr>
              <w:keepNext/>
              <w:keepLines/>
              <w:suppressLineNumbers/>
              <w:ind w:right="-108"/>
              <w:jc w:val="left"/>
              <w:textboxTightWrap w:val="allLines"/>
              <w:rPr>
                <w:rFonts w:ascii="Arial Narrow" w:hAnsi="Arial Narrow" w:cstheme="minorHAnsi"/>
                <w:bCs/>
                <w:iCs/>
                <w:sz w:val="20"/>
                <w:szCs w:val="20"/>
                <w:lang w:eastAsia="en-GB"/>
              </w:rPr>
            </w:pPr>
            <w:r w:rsidRPr="0019444B">
              <w:rPr>
                <w:rFonts w:ascii="Arial Narrow" w:hAnsi="Arial Narrow" w:cstheme="minorHAnsi"/>
                <w:bCs/>
                <w:iCs/>
                <w:sz w:val="20"/>
                <w:szCs w:val="20"/>
                <w:lang w:eastAsia="en-GB"/>
              </w:rPr>
              <w:t xml:space="preserve">$2,159.29 </w:t>
            </w:r>
          </w:p>
        </w:tc>
        <w:tc>
          <w:tcPr>
            <w:tcW w:w="1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64851A" w14:textId="77777777" w:rsidR="00352846" w:rsidRPr="0019444B" w:rsidRDefault="00352846" w:rsidP="00384271">
            <w:pPr>
              <w:keepNext/>
              <w:keepLines/>
              <w:suppressLineNumbers/>
              <w:jc w:val="left"/>
              <w:textboxTightWrap w:val="allLines"/>
              <w:rPr>
                <w:rFonts w:ascii="Arial Narrow" w:hAnsi="Arial Narrow" w:cstheme="minorHAnsi"/>
                <w:bCs/>
                <w:iCs/>
                <w:sz w:val="20"/>
                <w:szCs w:val="20"/>
                <w:lang w:eastAsia="en-GB"/>
              </w:rPr>
            </w:pPr>
            <w:r w:rsidRPr="0019444B">
              <w:rPr>
                <w:rFonts w:ascii="Arial Narrow" w:hAnsi="Arial Narrow" w:cstheme="minorHAnsi"/>
                <w:bCs/>
                <w:iCs/>
                <w:sz w:val="20"/>
                <w:szCs w:val="20"/>
                <w:lang w:eastAsia="en-GB"/>
              </w:rPr>
              <w:t>3.7%</w:t>
            </w:r>
          </w:p>
        </w:tc>
      </w:tr>
      <w:tr w:rsidR="00C1570A" w:rsidRPr="0019444B" w14:paraId="50F068BA" w14:textId="77777777" w:rsidTr="00A32205">
        <w:trPr>
          <w:trHeight w:val="20"/>
        </w:trPr>
        <w:tc>
          <w:tcPr>
            <w:tcW w:w="3108" w:type="dxa"/>
            <w:vMerge/>
            <w:tcBorders>
              <w:top w:val="single" w:sz="4" w:space="0" w:color="auto"/>
              <w:left w:val="single" w:sz="4" w:space="0" w:color="auto"/>
              <w:bottom w:val="single" w:sz="4" w:space="0" w:color="auto"/>
              <w:right w:val="single" w:sz="4" w:space="0" w:color="auto"/>
            </w:tcBorders>
          </w:tcPr>
          <w:p w14:paraId="0F141611" w14:textId="77777777" w:rsidR="00C1570A" w:rsidRPr="0019444B" w:rsidRDefault="00C1570A" w:rsidP="00384271">
            <w:pPr>
              <w:jc w:val="left"/>
              <w:rPr>
                <w:rFonts w:ascii="Arial Narrow" w:hAnsi="Arial Narrow" w:cstheme="minorHAnsi"/>
                <w:bCs/>
                <w:iCs/>
                <w:sz w:val="20"/>
                <w:szCs w:val="20"/>
                <w:lang w:eastAsia="en-GB"/>
              </w:rPr>
            </w:pPr>
          </w:p>
        </w:tc>
        <w:tc>
          <w:tcPr>
            <w:tcW w:w="3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F4FB6" w14:textId="0EE532B0" w:rsidR="00C1570A" w:rsidRPr="0019444B" w:rsidRDefault="00C1570A" w:rsidP="00384271">
            <w:pPr>
              <w:keepNext/>
              <w:keepLines/>
              <w:suppressLineNumbers/>
              <w:ind w:right="-109"/>
              <w:jc w:val="left"/>
              <w:textboxTightWrap w:val="allLines"/>
              <w:rPr>
                <w:rFonts w:ascii="Arial Narrow" w:hAnsi="Arial Narrow" w:cstheme="minorHAnsi"/>
                <w:bCs/>
                <w:iCs/>
                <w:sz w:val="20"/>
                <w:szCs w:val="20"/>
                <w:lang w:eastAsia="en-GB"/>
              </w:rPr>
            </w:pPr>
            <w:r w:rsidRPr="0019444B">
              <w:rPr>
                <w:rFonts w:ascii="Arial Narrow" w:hAnsi="Arial Narrow" w:cstheme="minorHAnsi"/>
                <w:bCs/>
                <w:iCs/>
                <w:sz w:val="20"/>
                <w:szCs w:val="20"/>
                <w:lang w:eastAsia="en-GB"/>
              </w:rPr>
              <w:t>80% / 20%</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1C22C" w14:textId="5630D9D4" w:rsidR="00C1570A" w:rsidRPr="0019444B" w:rsidRDefault="00C1570A" w:rsidP="00384271">
            <w:pPr>
              <w:keepNext/>
              <w:keepLines/>
              <w:suppressLineNumbers/>
              <w:ind w:right="-108"/>
              <w:jc w:val="left"/>
              <w:textboxTightWrap w:val="allLines"/>
              <w:rPr>
                <w:rFonts w:ascii="Arial Narrow" w:hAnsi="Arial Narrow" w:cstheme="minorHAnsi"/>
                <w:bCs/>
                <w:iCs/>
                <w:sz w:val="20"/>
                <w:szCs w:val="20"/>
                <w:lang w:eastAsia="en-GB"/>
              </w:rPr>
            </w:pPr>
            <w:r w:rsidRPr="0019444B">
              <w:rPr>
                <w:rFonts w:ascii="Arial Narrow" w:hAnsi="Arial Narrow" w:cstheme="minorHAnsi"/>
                <w:bCs/>
                <w:iCs/>
                <w:sz w:val="20"/>
                <w:szCs w:val="20"/>
                <w:lang w:eastAsia="en-GB"/>
              </w:rPr>
              <w:t>$2,004.40</w:t>
            </w:r>
          </w:p>
        </w:tc>
        <w:tc>
          <w:tcPr>
            <w:tcW w:w="1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2EFA6" w14:textId="44467989" w:rsidR="00C1570A" w:rsidRPr="0019444B" w:rsidRDefault="00C1570A" w:rsidP="00384271">
            <w:pPr>
              <w:keepNext/>
              <w:keepLines/>
              <w:suppressLineNumbers/>
              <w:jc w:val="left"/>
              <w:textboxTightWrap w:val="allLines"/>
              <w:rPr>
                <w:rFonts w:ascii="Arial Narrow" w:hAnsi="Arial Narrow" w:cstheme="minorHAnsi"/>
                <w:bCs/>
                <w:iCs/>
                <w:sz w:val="20"/>
                <w:szCs w:val="20"/>
                <w:lang w:eastAsia="en-GB"/>
              </w:rPr>
            </w:pPr>
            <w:r w:rsidRPr="0019444B">
              <w:rPr>
                <w:rFonts w:ascii="Arial Narrow" w:hAnsi="Arial Narrow" w:cstheme="minorHAnsi"/>
                <w:bCs/>
                <w:iCs/>
                <w:sz w:val="20"/>
                <w:szCs w:val="20"/>
                <w:lang w:eastAsia="en-GB"/>
              </w:rPr>
              <w:t>-3.7%</w:t>
            </w:r>
          </w:p>
        </w:tc>
      </w:tr>
      <w:tr w:rsidR="00352846" w:rsidRPr="0019444B" w14:paraId="7690CCF3" w14:textId="77777777" w:rsidTr="00A32205">
        <w:trPr>
          <w:trHeight w:val="20"/>
        </w:trPr>
        <w:tc>
          <w:tcPr>
            <w:tcW w:w="310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98EAB5" w14:textId="77777777" w:rsidR="00352846" w:rsidRPr="0019444B" w:rsidRDefault="00352846" w:rsidP="00384271">
            <w:pPr>
              <w:keepNext/>
              <w:keepLines/>
              <w:suppressLineNumbers/>
              <w:jc w:val="left"/>
              <w:textboxTightWrap w:val="allLines"/>
              <w:rPr>
                <w:rFonts w:ascii="Arial Narrow" w:hAnsi="Arial Narrow" w:cstheme="minorHAnsi"/>
                <w:bCs/>
                <w:iCs/>
                <w:sz w:val="20"/>
                <w:szCs w:val="20"/>
                <w:lang w:eastAsia="en-GB"/>
              </w:rPr>
            </w:pPr>
            <w:r w:rsidRPr="0019444B">
              <w:rPr>
                <w:rFonts w:ascii="Arial Narrow" w:hAnsi="Arial Narrow" w:cstheme="minorHAnsi"/>
                <w:bCs/>
                <w:iCs/>
                <w:sz w:val="20"/>
                <w:szCs w:val="20"/>
                <w:lang w:eastAsia="en-GB"/>
              </w:rPr>
              <w:t xml:space="preserve">Costs associated with tumour lysis </w:t>
            </w:r>
            <w:proofErr w:type="gramStart"/>
            <w:r w:rsidRPr="0019444B">
              <w:rPr>
                <w:rFonts w:ascii="Arial Narrow" w:hAnsi="Arial Narrow" w:cstheme="minorHAnsi"/>
                <w:bCs/>
                <w:iCs/>
                <w:sz w:val="20"/>
                <w:szCs w:val="20"/>
                <w:lang w:eastAsia="en-GB"/>
              </w:rPr>
              <w:t>syndrome</w:t>
            </w:r>
            <w:proofErr w:type="gramEnd"/>
            <w:r w:rsidRPr="0019444B">
              <w:rPr>
                <w:rFonts w:ascii="Arial Narrow" w:hAnsi="Arial Narrow" w:cstheme="minorHAnsi"/>
                <w:bCs/>
                <w:iCs/>
                <w:sz w:val="20"/>
                <w:szCs w:val="20"/>
                <w:lang w:eastAsia="en-GB"/>
              </w:rPr>
              <w:t xml:space="preserve"> </w:t>
            </w:r>
          </w:p>
          <w:p w14:paraId="35711931" w14:textId="41701F03" w:rsidR="00352846" w:rsidRPr="0019444B" w:rsidRDefault="00352846" w:rsidP="00384271">
            <w:pPr>
              <w:keepNext/>
              <w:keepLines/>
              <w:suppressLineNumbers/>
              <w:jc w:val="left"/>
              <w:textboxTightWrap w:val="allLines"/>
              <w:rPr>
                <w:rFonts w:ascii="Arial Narrow" w:hAnsi="Arial Narrow" w:cstheme="minorHAnsi"/>
                <w:bCs/>
                <w:iCs/>
                <w:sz w:val="20"/>
                <w:szCs w:val="20"/>
                <w:lang w:eastAsia="en-GB"/>
              </w:rPr>
            </w:pPr>
            <w:r w:rsidRPr="0019444B">
              <w:rPr>
                <w:rFonts w:ascii="Arial Narrow" w:hAnsi="Arial Narrow" w:cstheme="minorHAnsi"/>
                <w:bCs/>
                <w:iCs/>
                <w:sz w:val="20"/>
                <w:szCs w:val="20"/>
                <w:lang w:eastAsia="en-GB"/>
              </w:rPr>
              <w:t>(</w:t>
            </w:r>
            <w:proofErr w:type="gramStart"/>
            <w:r w:rsidRPr="0019444B">
              <w:rPr>
                <w:rFonts w:ascii="Arial Narrow" w:hAnsi="Arial Narrow" w:cstheme="minorHAnsi"/>
                <w:bCs/>
                <w:iCs/>
                <w:sz w:val="20"/>
                <w:szCs w:val="20"/>
                <w:lang w:eastAsia="en-GB"/>
              </w:rPr>
              <w:t>base</w:t>
            </w:r>
            <w:proofErr w:type="gramEnd"/>
            <w:r w:rsidRPr="0019444B">
              <w:rPr>
                <w:rFonts w:ascii="Arial Narrow" w:hAnsi="Arial Narrow" w:cstheme="minorHAnsi"/>
                <w:bCs/>
                <w:iCs/>
                <w:sz w:val="20"/>
                <w:szCs w:val="20"/>
                <w:lang w:eastAsia="en-GB"/>
              </w:rPr>
              <w:t xml:space="preserve"> case assumed only VTX+OBIN at a cost of $3,784.20 per patient</w:t>
            </w:r>
            <w:r w:rsidR="00DC45A0" w:rsidRPr="0019444B">
              <w:rPr>
                <w:rFonts w:ascii="Arial Narrow" w:hAnsi="Arial Narrow" w:cstheme="minorHAnsi"/>
                <w:bCs/>
                <w:iCs/>
                <w:sz w:val="20"/>
                <w:szCs w:val="20"/>
                <w:lang w:eastAsia="en-GB"/>
              </w:rPr>
              <w:t>)</w:t>
            </w:r>
          </w:p>
        </w:tc>
        <w:tc>
          <w:tcPr>
            <w:tcW w:w="3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E034F5" w14:textId="77777777" w:rsidR="00352846" w:rsidRPr="0019444B" w:rsidRDefault="00352846" w:rsidP="00384271">
            <w:pPr>
              <w:keepNext/>
              <w:keepLines/>
              <w:suppressLineNumbers/>
              <w:ind w:right="-109"/>
              <w:jc w:val="left"/>
              <w:textboxTightWrap w:val="allLines"/>
              <w:rPr>
                <w:rFonts w:ascii="Arial Narrow" w:hAnsi="Arial Narrow" w:cstheme="minorHAnsi"/>
                <w:bCs/>
                <w:iCs/>
                <w:sz w:val="20"/>
                <w:szCs w:val="20"/>
                <w:lang w:eastAsia="en-GB"/>
              </w:rPr>
            </w:pPr>
            <w:r w:rsidRPr="0019444B">
              <w:rPr>
                <w:rFonts w:ascii="Arial Narrow" w:hAnsi="Arial Narrow" w:cstheme="minorHAnsi"/>
                <w:bCs/>
                <w:iCs/>
                <w:sz w:val="20"/>
                <w:szCs w:val="20"/>
                <w:lang w:eastAsia="en-GB"/>
              </w:rPr>
              <w:t xml:space="preserve">TLS only considered for VTX+OBIN at a cost of $1329 </w:t>
            </w:r>
            <w:r w:rsidRPr="0019444B">
              <w:rPr>
                <w:rFonts w:ascii="Arial Narrow" w:hAnsi="Arial Narrow" w:cstheme="minorHAnsi"/>
                <w:bCs/>
                <w:iCs/>
                <w:sz w:val="20"/>
                <w:szCs w:val="20"/>
                <w:vertAlign w:val="superscript"/>
                <w:lang w:eastAsia="en-GB"/>
              </w:rPr>
              <w:t>a</w:t>
            </w:r>
            <w:r w:rsidRPr="0019444B">
              <w:rPr>
                <w:rFonts w:ascii="Arial Narrow" w:hAnsi="Arial Narrow" w:cstheme="minorHAnsi"/>
                <w:bCs/>
                <w:iCs/>
                <w:sz w:val="20"/>
                <w:szCs w:val="20"/>
                <w:lang w:eastAsia="en-GB"/>
              </w:rPr>
              <w:t xml:space="preserve"> per patient</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5C71C6" w14:textId="502FD57F" w:rsidR="00352846" w:rsidRPr="0019444B" w:rsidRDefault="00352846" w:rsidP="00384271">
            <w:pPr>
              <w:keepNext/>
              <w:keepLines/>
              <w:suppressLineNumbers/>
              <w:ind w:right="-108"/>
              <w:jc w:val="left"/>
              <w:textboxTightWrap w:val="allLines"/>
              <w:rPr>
                <w:rFonts w:ascii="Arial Narrow" w:hAnsi="Arial Narrow" w:cstheme="minorHAnsi"/>
                <w:bCs/>
                <w:iCs/>
                <w:sz w:val="20"/>
                <w:szCs w:val="20"/>
                <w:lang w:eastAsia="en-GB"/>
              </w:rPr>
            </w:pPr>
            <w:r w:rsidRPr="0019444B">
              <w:rPr>
                <w:rFonts w:ascii="Arial Narrow" w:hAnsi="Arial Narrow" w:cstheme="minorHAnsi"/>
                <w:bCs/>
                <w:iCs/>
                <w:sz w:val="20"/>
                <w:szCs w:val="20"/>
                <w:lang w:eastAsia="en-GB"/>
              </w:rPr>
              <w:t xml:space="preserve">$2,033.60 </w:t>
            </w:r>
          </w:p>
        </w:tc>
        <w:tc>
          <w:tcPr>
            <w:tcW w:w="1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57972" w14:textId="77777777" w:rsidR="00352846" w:rsidRPr="0019444B" w:rsidRDefault="00352846" w:rsidP="00384271">
            <w:pPr>
              <w:keepNext/>
              <w:keepLines/>
              <w:suppressLineNumbers/>
              <w:jc w:val="left"/>
              <w:textboxTightWrap w:val="allLines"/>
              <w:rPr>
                <w:rFonts w:ascii="Arial Narrow" w:hAnsi="Arial Narrow" w:cstheme="minorHAnsi"/>
                <w:bCs/>
                <w:iCs/>
                <w:sz w:val="20"/>
                <w:szCs w:val="20"/>
                <w:lang w:eastAsia="en-GB"/>
              </w:rPr>
            </w:pPr>
            <w:r w:rsidRPr="0019444B">
              <w:rPr>
                <w:rFonts w:ascii="Arial Narrow" w:hAnsi="Arial Narrow" w:cstheme="minorHAnsi"/>
                <w:bCs/>
                <w:iCs/>
                <w:sz w:val="20"/>
                <w:szCs w:val="20"/>
                <w:lang w:eastAsia="en-GB"/>
              </w:rPr>
              <w:t>-2.3%</w:t>
            </w:r>
          </w:p>
        </w:tc>
      </w:tr>
      <w:tr w:rsidR="00352846" w:rsidRPr="0019444B" w14:paraId="3D5E1723" w14:textId="77777777" w:rsidTr="00A32205">
        <w:trPr>
          <w:trHeight w:val="20"/>
        </w:trPr>
        <w:tc>
          <w:tcPr>
            <w:tcW w:w="3108" w:type="dxa"/>
            <w:vMerge/>
            <w:tcBorders>
              <w:top w:val="single" w:sz="4" w:space="0" w:color="auto"/>
              <w:left w:val="single" w:sz="4" w:space="0" w:color="auto"/>
              <w:bottom w:val="single" w:sz="4" w:space="0" w:color="auto"/>
              <w:right w:val="single" w:sz="4" w:space="0" w:color="auto"/>
            </w:tcBorders>
            <w:hideMark/>
          </w:tcPr>
          <w:p w14:paraId="2C136B82" w14:textId="77777777" w:rsidR="00352846" w:rsidRPr="0019444B" w:rsidRDefault="00352846" w:rsidP="00384271">
            <w:pPr>
              <w:jc w:val="left"/>
              <w:rPr>
                <w:rFonts w:ascii="Arial Narrow" w:hAnsi="Arial Narrow" w:cstheme="minorHAnsi"/>
                <w:bCs/>
                <w:iCs/>
                <w:sz w:val="20"/>
                <w:szCs w:val="20"/>
                <w:lang w:eastAsia="en-GB"/>
              </w:rPr>
            </w:pPr>
          </w:p>
        </w:tc>
        <w:tc>
          <w:tcPr>
            <w:tcW w:w="3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101CFE" w14:textId="77777777" w:rsidR="00352846" w:rsidRPr="0019444B" w:rsidRDefault="00352846" w:rsidP="00384271">
            <w:pPr>
              <w:keepNext/>
              <w:keepLines/>
              <w:suppressLineNumbers/>
              <w:ind w:right="-109"/>
              <w:jc w:val="left"/>
              <w:textboxTightWrap w:val="allLines"/>
              <w:rPr>
                <w:rFonts w:ascii="Arial Narrow" w:hAnsi="Arial Narrow" w:cstheme="minorHAnsi"/>
                <w:bCs/>
                <w:iCs/>
                <w:sz w:val="20"/>
                <w:szCs w:val="20"/>
                <w:lang w:eastAsia="en-GB"/>
              </w:rPr>
            </w:pPr>
            <w:r w:rsidRPr="0019444B">
              <w:rPr>
                <w:rFonts w:ascii="Arial Narrow" w:hAnsi="Arial Narrow" w:cstheme="minorHAnsi"/>
                <w:bCs/>
                <w:iCs/>
                <w:sz w:val="20"/>
                <w:szCs w:val="20"/>
                <w:lang w:eastAsia="en-GB"/>
              </w:rPr>
              <w:t xml:space="preserve">TLS considered for ACA+OBIN and VTX+OBIN at a cost of $1329 </w:t>
            </w:r>
            <w:r w:rsidRPr="0019444B">
              <w:rPr>
                <w:rFonts w:ascii="Arial Narrow" w:hAnsi="Arial Narrow" w:cstheme="minorHAnsi"/>
                <w:bCs/>
                <w:iCs/>
                <w:sz w:val="20"/>
                <w:szCs w:val="20"/>
                <w:vertAlign w:val="superscript"/>
                <w:lang w:eastAsia="en-GB"/>
              </w:rPr>
              <w:t>a</w:t>
            </w:r>
            <w:r w:rsidRPr="0019444B">
              <w:rPr>
                <w:rFonts w:ascii="Arial Narrow" w:hAnsi="Arial Narrow" w:cstheme="minorHAnsi"/>
                <w:bCs/>
                <w:iCs/>
                <w:sz w:val="20"/>
                <w:szCs w:val="20"/>
                <w:lang w:eastAsia="en-GB"/>
              </w:rPr>
              <w:t xml:space="preserve"> per patient</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34E9AF" w14:textId="561E54BC" w:rsidR="00352846" w:rsidRPr="0019444B" w:rsidRDefault="00352846" w:rsidP="00384271">
            <w:pPr>
              <w:keepNext/>
              <w:keepLines/>
              <w:suppressLineNumbers/>
              <w:ind w:right="-108"/>
              <w:jc w:val="left"/>
              <w:textboxTightWrap w:val="allLines"/>
              <w:rPr>
                <w:rFonts w:ascii="Arial Narrow" w:hAnsi="Arial Narrow" w:cstheme="minorHAnsi"/>
                <w:bCs/>
                <w:iCs/>
                <w:sz w:val="20"/>
                <w:szCs w:val="20"/>
                <w:lang w:eastAsia="en-GB"/>
              </w:rPr>
            </w:pPr>
            <w:r w:rsidRPr="0019444B">
              <w:rPr>
                <w:rFonts w:ascii="Arial Narrow" w:hAnsi="Arial Narrow" w:cstheme="minorHAnsi"/>
                <w:bCs/>
                <w:iCs/>
                <w:sz w:val="20"/>
                <w:szCs w:val="20"/>
                <w:lang w:eastAsia="en-GB"/>
              </w:rPr>
              <w:t xml:space="preserve">$2,031.06 </w:t>
            </w:r>
          </w:p>
        </w:tc>
        <w:tc>
          <w:tcPr>
            <w:tcW w:w="1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F594E6" w14:textId="77777777" w:rsidR="00352846" w:rsidRPr="0019444B" w:rsidRDefault="00352846" w:rsidP="00384271">
            <w:pPr>
              <w:keepNext/>
              <w:keepLines/>
              <w:suppressLineNumbers/>
              <w:jc w:val="left"/>
              <w:textboxTightWrap w:val="allLines"/>
              <w:rPr>
                <w:rFonts w:ascii="Arial Narrow" w:hAnsi="Arial Narrow" w:cstheme="minorHAnsi"/>
                <w:bCs/>
                <w:iCs/>
                <w:sz w:val="20"/>
                <w:szCs w:val="20"/>
                <w:lang w:eastAsia="en-GB"/>
              </w:rPr>
            </w:pPr>
            <w:r w:rsidRPr="0019444B">
              <w:rPr>
                <w:rFonts w:ascii="Arial Narrow" w:hAnsi="Arial Narrow" w:cstheme="minorHAnsi"/>
                <w:bCs/>
                <w:iCs/>
                <w:sz w:val="20"/>
                <w:szCs w:val="20"/>
                <w:lang w:eastAsia="en-GB"/>
              </w:rPr>
              <w:t>-2.4%</w:t>
            </w:r>
          </w:p>
        </w:tc>
      </w:tr>
      <w:tr w:rsidR="00352846" w:rsidRPr="0019444B" w14:paraId="07792A73" w14:textId="77777777" w:rsidTr="00A32205">
        <w:trPr>
          <w:trHeight w:val="20"/>
        </w:trPr>
        <w:tc>
          <w:tcPr>
            <w:tcW w:w="310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AA6A56" w14:textId="77777777" w:rsidR="00352846" w:rsidRPr="0019444B" w:rsidRDefault="00352846" w:rsidP="00384271">
            <w:pPr>
              <w:keepNext/>
              <w:keepLines/>
              <w:suppressLineNumbers/>
              <w:jc w:val="left"/>
              <w:textboxTightWrap w:val="allLines"/>
              <w:rPr>
                <w:rFonts w:ascii="Arial Narrow" w:hAnsi="Arial Narrow" w:cstheme="minorHAnsi"/>
                <w:bCs/>
                <w:iCs/>
                <w:sz w:val="20"/>
                <w:szCs w:val="20"/>
                <w:lang w:eastAsia="en-GB"/>
              </w:rPr>
            </w:pPr>
            <w:r w:rsidRPr="0019444B">
              <w:rPr>
                <w:rFonts w:ascii="Arial Narrow" w:hAnsi="Arial Narrow" w:cstheme="minorHAnsi"/>
                <w:bCs/>
                <w:iCs/>
                <w:sz w:val="20"/>
                <w:szCs w:val="20"/>
                <w:lang w:eastAsia="en-GB"/>
              </w:rPr>
              <w:t xml:space="preserve">Cost of adverse events </w:t>
            </w:r>
          </w:p>
          <w:p w14:paraId="6DBE502A" w14:textId="79DB7E7C" w:rsidR="00352846" w:rsidRPr="0019444B" w:rsidRDefault="00352846" w:rsidP="00384271">
            <w:pPr>
              <w:keepNext/>
              <w:keepLines/>
              <w:suppressLineNumbers/>
              <w:jc w:val="left"/>
              <w:textboxTightWrap w:val="allLines"/>
              <w:rPr>
                <w:rFonts w:ascii="Arial Narrow" w:hAnsi="Arial Narrow" w:cstheme="minorHAnsi"/>
                <w:bCs/>
                <w:iCs/>
                <w:sz w:val="20"/>
                <w:szCs w:val="20"/>
                <w:lang w:eastAsia="en-GB"/>
              </w:rPr>
            </w:pPr>
            <w:r w:rsidRPr="0019444B">
              <w:rPr>
                <w:rFonts w:ascii="Arial Narrow" w:hAnsi="Arial Narrow" w:cstheme="minorHAnsi"/>
                <w:bCs/>
                <w:iCs/>
                <w:sz w:val="20"/>
                <w:szCs w:val="20"/>
                <w:lang w:eastAsia="en-GB"/>
              </w:rPr>
              <w:t>(</w:t>
            </w:r>
            <w:proofErr w:type="gramStart"/>
            <w:r w:rsidRPr="0019444B">
              <w:rPr>
                <w:rFonts w:ascii="Arial Narrow" w:hAnsi="Arial Narrow" w:cstheme="minorHAnsi"/>
                <w:bCs/>
                <w:iCs/>
                <w:sz w:val="20"/>
                <w:szCs w:val="20"/>
                <w:lang w:eastAsia="en-GB"/>
              </w:rPr>
              <w:t>base</w:t>
            </w:r>
            <w:proofErr w:type="gramEnd"/>
            <w:r w:rsidRPr="0019444B">
              <w:rPr>
                <w:rFonts w:ascii="Arial Narrow" w:hAnsi="Arial Narrow" w:cstheme="minorHAnsi"/>
                <w:bCs/>
                <w:iCs/>
                <w:sz w:val="20"/>
                <w:szCs w:val="20"/>
                <w:lang w:eastAsia="en-GB"/>
              </w:rPr>
              <w:t xml:space="preserve"> </w:t>
            </w:r>
            <w:r w:rsidR="009F174D" w:rsidRPr="0019444B">
              <w:rPr>
                <w:rFonts w:ascii="Arial Narrow" w:hAnsi="Arial Narrow" w:cstheme="minorHAnsi"/>
                <w:bCs/>
                <w:iCs/>
                <w:sz w:val="20"/>
                <w:szCs w:val="20"/>
                <w:lang w:eastAsia="en-GB"/>
              </w:rPr>
              <w:t>c</w:t>
            </w:r>
            <w:r w:rsidRPr="0019444B">
              <w:rPr>
                <w:rFonts w:ascii="Arial Narrow" w:hAnsi="Arial Narrow" w:cstheme="minorHAnsi"/>
                <w:bCs/>
                <w:iCs/>
                <w:sz w:val="20"/>
                <w:szCs w:val="20"/>
                <w:lang w:eastAsia="en-GB"/>
              </w:rPr>
              <w:t xml:space="preserve">ase: </w:t>
            </w:r>
          </w:p>
          <w:p w14:paraId="39163CD1" w14:textId="447079D6" w:rsidR="00352846" w:rsidRPr="00661558" w:rsidRDefault="00352846" w:rsidP="00384271">
            <w:pPr>
              <w:keepNext/>
              <w:keepLines/>
              <w:suppressLineNumbers/>
              <w:jc w:val="left"/>
              <w:textboxTightWrap w:val="allLines"/>
              <w:rPr>
                <w:rFonts w:ascii="Arial Narrow" w:hAnsi="Arial Narrow" w:cstheme="minorHAnsi"/>
                <w:bCs/>
                <w:iCs/>
                <w:sz w:val="20"/>
                <w:szCs w:val="20"/>
                <w:lang w:eastAsia="en-GB"/>
              </w:rPr>
            </w:pPr>
            <w:r w:rsidRPr="00661558">
              <w:rPr>
                <w:rFonts w:ascii="Arial Narrow" w:hAnsi="Arial Narrow" w:cstheme="minorHAnsi"/>
                <w:bCs/>
                <w:iCs/>
                <w:sz w:val="20"/>
                <w:szCs w:val="20"/>
                <w:lang w:eastAsia="en-GB"/>
              </w:rPr>
              <w:t>ACA+OBIN vs VTX+OBIN= $1,566.50</w:t>
            </w:r>
          </w:p>
          <w:p w14:paraId="2527E496" w14:textId="29FED0EC" w:rsidR="00352846" w:rsidRPr="00661558" w:rsidRDefault="00352846" w:rsidP="00384271">
            <w:pPr>
              <w:keepNext/>
              <w:keepLines/>
              <w:suppressLineNumbers/>
              <w:jc w:val="left"/>
              <w:textboxTightWrap w:val="allLines"/>
              <w:rPr>
                <w:rFonts w:ascii="Arial Narrow" w:hAnsi="Arial Narrow" w:cstheme="minorHAnsi"/>
                <w:bCs/>
                <w:iCs/>
                <w:sz w:val="20"/>
                <w:szCs w:val="20"/>
                <w:lang w:eastAsia="en-GB"/>
              </w:rPr>
            </w:pPr>
            <w:r w:rsidRPr="00661558">
              <w:rPr>
                <w:rFonts w:ascii="Arial Narrow" w:hAnsi="Arial Narrow" w:cstheme="minorHAnsi"/>
                <w:bCs/>
                <w:iCs/>
                <w:sz w:val="20"/>
                <w:szCs w:val="20"/>
                <w:lang w:eastAsia="en-GB"/>
              </w:rPr>
              <w:t>VTX+OBIN vs ACA+OBIN= $3,399.48</w:t>
            </w:r>
          </w:p>
          <w:p w14:paraId="06790CFC" w14:textId="2FA1C0D5" w:rsidR="00352846" w:rsidRPr="00661558" w:rsidRDefault="00352846" w:rsidP="00384271">
            <w:pPr>
              <w:keepNext/>
              <w:keepLines/>
              <w:suppressLineNumbers/>
              <w:jc w:val="left"/>
              <w:textboxTightWrap w:val="allLines"/>
              <w:rPr>
                <w:rFonts w:ascii="Arial Narrow" w:hAnsi="Arial Narrow" w:cstheme="minorHAnsi"/>
                <w:bCs/>
                <w:iCs/>
                <w:sz w:val="20"/>
                <w:szCs w:val="20"/>
                <w:lang w:eastAsia="en-GB"/>
              </w:rPr>
            </w:pPr>
            <w:r w:rsidRPr="00661558">
              <w:rPr>
                <w:rFonts w:ascii="Arial Narrow" w:hAnsi="Arial Narrow" w:cstheme="minorHAnsi"/>
                <w:bCs/>
                <w:iCs/>
                <w:sz w:val="20"/>
                <w:szCs w:val="20"/>
                <w:lang w:eastAsia="en-GB"/>
              </w:rPr>
              <w:t>ACA vs VTX+OBIN= $589.66</w:t>
            </w:r>
          </w:p>
          <w:p w14:paraId="6CF3E5C1" w14:textId="6B6F6FB6" w:rsidR="00352846" w:rsidRPr="00661558" w:rsidRDefault="00352846" w:rsidP="00384271">
            <w:pPr>
              <w:keepNext/>
              <w:keepLines/>
              <w:suppressLineNumbers/>
              <w:jc w:val="left"/>
              <w:textboxTightWrap w:val="allLines"/>
              <w:rPr>
                <w:rFonts w:ascii="Arial Narrow" w:hAnsi="Arial Narrow" w:cs="Times New Roman"/>
                <w:iCs/>
                <w:sz w:val="20"/>
                <w:szCs w:val="20"/>
              </w:rPr>
            </w:pPr>
            <w:r w:rsidRPr="00661558">
              <w:rPr>
                <w:rFonts w:ascii="Arial Narrow" w:hAnsi="Arial Narrow" w:cstheme="minorHAnsi"/>
                <w:bCs/>
                <w:iCs/>
                <w:sz w:val="20"/>
                <w:szCs w:val="20"/>
                <w:lang w:eastAsia="en-GB"/>
              </w:rPr>
              <w:t>VTX+OBIN vs ACA= $4,300.94)</w:t>
            </w:r>
          </w:p>
        </w:tc>
        <w:tc>
          <w:tcPr>
            <w:tcW w:w="3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C1FE85" w14:textId="77777777" w:rsidR="00352846" w:rsidRPr="0019444B" w:rsidRDefault="00352846" w:rsidP="00384271">
            <w:pPr>
              <w:keepNext/>
              <w:keepLines/>
              <w:suppressLineNumbers/>
              <w:ind w:right="-109"/>
              <w:jc w:val="left"/>
              <w:textboxTightWrap w:val="allLines"/>
              <w:rPr>
                <w:rFonts w:ascii="Arial Narrow" w:hAnsi="Arial Narrow" w:cstheme="minorHAnsi"/>
                <w:bCs/>
                <w:iCs/>
                <w:sz w:val="20"/>
                <w:szCs w:val="20"/>
                <w:lang w:eastAsia="en-GB"/>
              </w:rPr>
            </w:pPr>
            <w:r w:rsidRPr="0019444B">
              <w:rPr>
                <w:rFonts w:ascii="Arial Narrow" w:hAnsi="Arial Narrow" w:cstheme="minorHAnsi"/>
                <w:bCs/>
                <w:iCs/>
                <w:sz w:val="20"/>
                <w:szCs w:val="20"/>
                <w:lang w:eastAsia="en-GB"/>
              </w:rPr>
              <w:t>Upper respiratory tract infection costs considered:</w:t>
            </w:r>
          </w:p>
          <w:p w14:paraId="244E1341" w14:textId="77777777" w:rsidR="00352846" w:rsidRPr="00661558" w:rsidRDefault="00352846" w:rsidP="00384271">
            <w:pPr>
              <w:keepNext/>
              <w:keepLines/>
              <w:suppressLineNumbers/>
              <w:ind w:right="-109"/>
              <w:jc w:val="left"/>
              <w:textboxTightWrap w:val="allLines"/>
              <w:rPr>
                <w:rFonts w:ascii="Arial Narrow" w:hAnsi="Arial Narrow" w:cstheme="minorHAnsi"/>
                <w:bCs/>
                <w:iCs/>
                <w:sz w:val="20"/>
                <w:szCs w:val="20"/>
                <w:lang w:eastAsia="en-GB"/>
              </w:rPr>
            </w:pPr>
            <w:r w:rsidRPr="00661558">
              <w:rPr>
                <w:rFonts w:ascii="Arial Narrow" w:hAnsi="Arial Narrow" w:cstheme="minorHAnsi"/>
                <w:bCs/>
                <w:iCs/>
                <w:sz w:val="20"/>
                <w:szCs w:val="20"/>
                <w:lang w:eastAsia="en-GB"/>
              </w:rPr>
              <w:t>ACA+OBIN vs VTX+OBIN: $1,932.41</w:t>
            </w:r>
          </w:p>
          <w:p w14:paraId="62455D68" w14:textId="77777777" w:rsidR="00352846" w:rsidRPr="0019444B" w:rsidRDefault="00352846" w:rsidP="00384271">
            <w:pPr>
              <w:keepNext/>
              <w:keepLines/>
              <w:suppressLineNumbers/>
              <w:ind w:right="-109"/>
              <w:jc w:val="left"/>
              <w:textboxTightWrap w:val="allLines"/>
              <w:rPr>
                <w:rFonts w:ascii="Arial Narrow" w:hAnsi="Arial Narrow" w:cstheme="minorHAnsi"/>
                <w:bCs/>
                <w:iCs/>
                <w:sz w:val="20"/>
                <w:szCs w:val="20"/>
                <w:lang w:eastAsia="en-GB"/>
              </w:rPr>
            </w:pPr>
            <w:r w:rsidRPr="0019444B">
              <w:rPr>
                <w:rFonts w:ascii="Arial Narrow" w:hAnsi="Arial Narrow" w:cstheme="minorHAnsi"/>
                <w:bCs/>
                <w:iCs/>
                <w:sz w:val="20"/>
                <w:szCs w:val="20"/>
                <w:lang w:eastAsia="en-GB"/>
              </w:rPr>
              <w:t>ACA vs VTX+OBIN: $1,027.32</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1D52D9" w14:textId="64A583D7" w:rsidR="00352846" w:rsidRPr="0019444B" w:rsidRDefault="00352846" w:rsidP="00384271">
            <w:pPr>
              <w:keepNext/>
              <w:keepLines/>
              <w:suppressLineNumbers/>
              <w:ind w:right="-108"/>
              <w:jc w:val="left"/>
              <w:textboxTightWrap w:val="allLines"/>
              <w:rPr>
                <w:rFonts w:ascii="Arial Narrow" w:hAnsi="Arial Narrow" w:cstheme="minorHAnsi"/>
                <w:bCs/>
                <w:iCs/>
                <w:sz w:val="20"/>
                <w:szCs w:val="20"/>
                <w:lang w:eastAsia="en-GB"/>
              </w:rPr>
            </w:pPr>
            <w:r w:rsidRPr="0019444B">
              <w:rPr>
                <w:rFonts w:ascii="Arial Narrow" w:hAnsi="Arial Narrow" w:cstheme="minorHAnsi"/>
                <w:bCs/>
                <w:iCs/>
                <w:sz w:val="20"/>
                <w:szCs w:val="20"/>
                <w:lang w:eastAsia="en-GB"/>
              </w:rPr>
              <w:t xml:space="preserve">$2,073.38 </w:t>
            </w:r>
          </w:p>
        </w:tc>
        <w:tc>
          <w:tcPr>
            <w:tcW w:w="1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00102B" w14:textId="77777777" w:rsidR="00352846" w:rsidRPr="0019444B" w:rsidRDefault="00352846" w:rsidP="00384271">
            <w:pPr>
              <w:keepNext/>
              <w:keepLines/>
              <w:suppressLineNumbers/>
              <w:jc w:val="left"/>
              <w:textboxTightWrap w:val="allLines"/>
              <w:rPr>
                <w:rFonts w:ascii="Arial Narrow" w:hAnsi="Arial Narrow" w:cstheme="minorHAnsi"/>
                <w:bCs/>
                <w:iCs/>
                <w:sz w:val="20"/>
                <w:szCs w:val="20"/>
                <w:lang w:eastAsia="en-GB"/>
              </w:rPr>
            </w:pPr>
            <w:r w:rsidRPr="0019444B">
              <w:rPr>
                <w:rFonts w:ascii="Arial Narrow" w:hAnsi="Arial Narrow" w:cstheme="minorHAnsi"/>
                <w:bCs/>
                <w:iCs/>
                <w:sz w:val="20"/>
                <w:szCs w:val="20"/>
                <w:lang w:eastAsia="en-GB"/>
              </w:rPr>
              <w:t>-0.4%</w:t>
            </w:r>
          </w:p>
        </w:tc>
      </w:tr>
      <w:tr w:rsidR="00352846" w:rsidRPr="0019444B" w14:paraId="6F5E25E7" w14:textId="77777777" w:rsidTr="00A32205">
        <w:trPr>
          <w:trHeight w:val="20"/>
        </w:trPr>
        <w:tc>
          <w:tcPr>
            <w:tcW w:w="3108" w:type="dxa"/>
            <w:vMerge/>
            <w:tcBorders>
              <w:top w:val="single" w:sz="4" w:space="0" w:color="auto"/>
              <w:left w:val="single" w:sz="4" w:space="0" w:color="auto"/>
              <w:bottom w:val="single" w:sz="4" w:space="0" w:color="auto"/>
              <w:right w:val="single" w:sz="4" w:space="0" w:color="auto"/>
            </w:tcBorders>
            <w:hideMark/>
          </w:tcPr>
          <w:p w14:paraId="4E5E35C0" w14:textId="77777777" w:rsidR="00352846" w:rsidRPr="0019444B" w:rsidRDefault="00352846" w:rsidP="00384271">
            <w:pPr>
              <w:jc w:val="left"/>
              <w:rPr>
                <w:rFonts w:ascii="Arial Narrow" w:hAnsi="Arial Narrow" w:cs="Times New Roman"/>
                <w:iCs/>
                <w:sz w:val="20"/>
                <w:szCs w:val="20"/>
              </w:rPr>
            </w:pPr>
          </w:p>
        </w:tc>
        <w:tc>
          <w:tcPr>
            <w:tcW w:w="3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40D487" w14:textId="77777777" w:rsidR="00352846" w:rsidRPr="0019444B" w:rsidRDefault="00352846" w:rsidP="00384271">
            <w:pPr>
              <w:keepNext/>
              <w:keepLines/>
              <w:suppressLineNumbers/>
              <w:ind w:right="-109"/>
              <w:jc w:val="left"/>
              <w:textboxTightWrap w:val="allLines"/>
              <w:rPr>
                <w:rFonts w:ascii="Arial Narrow" w:hAnsi="Arial Narrow" w:cstheme="minorHAnsi"/>
                <w:bCs/>
                <w:iCs/>
                <w:sz w:val="20"/>
                <w:szCs w:val="20"/>
                <w:lang w:eastAsia="en-GB"/>
              </w:rPr>
            </w:pPr>
            <w:r w:rsidRPr="0019444B">
              <w:rPr>
                <w:rFonts w:ascii="Arial Narrow" w:hAnsi="Arial Narrow" w:cstheme="minorHAnsi"/>
                <w:bCs/>
                <w:iCs/>
                <w:sz w:val="20"/>
                <w:szCs w:val="20"/>
                <w:lang w:eastAsia="en-GB"/>
              </w:rPr>
              <w:t>No costs considered (non-inferiority in safety)</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260759" w14:textId="3CBFBD40" w:rsidR="00352846" w:rsidRPr="0019444B" w:rsidRDefault="00352846" w:rsidP="00384271">
            <w:pPr>
              <w:keepNext/>
              <w:keepLines/>
              <w:suppressLineNumbers/>
              <w:ind w:right="-108"/>
              <w:jc w:val="left"/>
              <w:textboxTightWrap w:val="allLines"/>
              <w:rPr>
                <w:rFonts w:ascii="Arial Narrow" w:hAnsi="Arial Narrow" w:cstheme="minorHAnsi"/>
                <w:bCs/>
                <w:iCs/>
                <w:sz w:val="20"/>
                <w:szCs w:val="20"/>
                <w:lang w:eastAsia="en-GB"/>
              </w:rPr>
            </w:pPr>
            <w:r w:rsidRPr="0019444B">
              <w:rPr>
                <w:rFonts w:ascii="Arial Narrow" w:hAnsi="Arial Narrow" w:cstheme="minorHAnsi"/>
                <w:bCs/>
                <w:iCs/>
                <w:sz w:val="20"/>
                <w:szCs w:val="20"/>
                <w:lang w:eastAsia="en-GB"/>
              </w:rPr>
              <w:t xml:space="preserve">$2,012.50 </w:t>
            </w:r>
          </w:p>
        </w:tc>
        <w:tc>
          <w:tcPr>
            <w:tcW w:w="1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4C609" w14:textId="77777777" w:rsidR="00352846" w:rsidRPr="0019444B" w:rsidRDefault="00352846" w:rsidP="00384271">
            <w:pPr>
              <w:keepNext/>
              <w:keepLines/>
              <w:suppressLineNumbers/>
              <w:jc w:val="left"/>
              <w:textboxTightWrap w:val="allLines"/>
              <w:rPr>
                <w:rFonts w:ascii="Arial Narrow" w:hAnsi="Arial Narrow" w:cstheme="minorHAnsi"/>
                <w:bCs/>
                <w:iCs/>
                <w:sz w:val="20"/>
                <w:szCs w:val="20"/>
                <w:lang w:eastAsia="en-GB"/>
              </w:rPr>
            </w:pPr>
            <w:r w:rsidRPr="0019444B">
              <w:rPr>
                <w:rFonts w:ascii="Arial Narrow" w:hAnsi="Arial Narrow" w:cstheme="minorHAnsi"/>
                <w:bCs/>
                <w:iCs/>
                <w:sz w:val="20"/>
                <w:szCs w:val="20"/>
                <w:lang w:eastAsia="en-GB"/>
              </w:rPr>
              <w:t>-3.3%</w:t>
            </w:r>
          </w:p>
        </w:tc>
      </w:tr>
      <w:tr w:rsidR="00352846" w:rsidRPr="0019444B" w14:paraId="5CEB9C79" w14:textId="77777777" w:rsidTr="00A32205">
        <w:trPr>
          <w:trHeight w:val="20"/>
        </w:trPr>
        <w:tc>
          <w:tcPr>
            <w:tcW w:w="3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E0F892" w14:textId="77777777" w:rsidR="00352846" w:rsidRPr="0019444B" w:rsidRDefault="00352846" w:rsidP="00384271">
            <w:pPr>
              <w:keepNext/>
              <w:jc w:val="left"/>
              <w:rPr>
                <w:rFonts w:ascii="Arial Narrow" w:hAnsi="Arial Narrow" w:cstheme="minorHAnsi"/>
                <w:bCs/>
                <w:iCs/>
                <w:sz w:val="20"/>
                <w:szCs w:val="20"/>
                <w:lang w:eastAsia="en-GB"/>
              </w:rPr>
            </w:pPr>
            <w:r w:rsidRPr="0019444B">
              <w:rPr>
                <w:rFonts w:ascii="Arial Narrow" w:hAnsi="Arial Narrow" w:cstheme="minorHAnsi"/>
                <w:bCs/>
                <w:iCs/>
                <w:sz w:val="20"/>
                <w:szCs w:val="20"/>
                <w:lang w:eastAsia="en-GB"/>
              </w:rPr>
              <w:t xml:space="preserve">Premedication and specialist costs for OBIN administration </w:t>
            </w:r>
          </w:p>
          <w:p w14:paraId="16ACB103" w14:textId="77777777" w:rsidR="00352846" w:rsidRPr="0019444B" w:rsidRDefault="00352846" w:rsidP="00384271">
            <w:pPr>
              <w:keepNext/>
              <w:jc w:val="left"/>
              <w:rPr>
                <w:rFonts w:ascii="Arial Narrow" w:hAnsi="Arial Narrow" w:cstheme="minorHAnsi"/>
                <w:bCs/>
                <w:iCs/>
                <w:sz w:val="20"/>
                <w:szCs w:val="20"/>
                <w:lang w:eastAsia="en-GB"/>
              </w:rPr>
            </w:pPr>
            <w:r w:rsidRPr="0019444B">
              <w:rPr>
                <w:rFonts w:ascii="Arial Narrow" w:hAnsi="Arial Narrow" w:cstheme="minorHAnsi"/>
                <w:bCs/>
                <w:iCs/>
                <w:sz w:val="20"/>
                <w:szCs w:val="20"/>
                <w:lang w:eastAsia="en-GB"/>
              </w:rPr>
              <w:t>(</w:t>
            </w:r>
            <w:proofErr w:type="gramStart"/>
            <w:r w:rsidRPr="0019444B">
              <w:rPr>
                <w:rFonts w:ascii="Arial Narrow" w:hAnsi="Arial Narrow" w:cstheme="minorHAnsi"/>
                <w:bCs/>
                <w:iCs/>
                <w:sz w:val="20"/>
                <w:szCs w:val="20"/>
                <w:lang w:eastAsia="en-GB"/>
              </w:rPr>
              <w:t>base</w:t>
            </w:r>
            <w:proofErr w:type="gramEnd"/>
            <w:r w:rsidRPr="0019444B">
              <w:rPr>
                <w:rFonts w:ascii="Arial Narrow" w:hAnsi="Arial Narrow" w:cstheme="minorHAnsi"/>
                <w:bCs/>
                <w:iCs/>
                <w:sz w:val="20"/>
                <w:szCs w:val="20"/>
                <w:lang w:eastAsia="en-GB"/>
              </w:rPr>
              <w:t xml:space="preserve"> case not considered for OBIN)</w:t>
            </w:r>
          </w:p>
        </w:tc>
        <w:tc>
          <w:tcPr>
            <w:tcW w:w="3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0F8DDD" w14:textId="77777777" w:rsidR="00352846" w:rsidRPr="0019444B" w:rsidRDefault="00352846" w:rsidP="00384271">
            <w:pPr>
              <w:keepNext/>
              <w:keepLines/>
              <w:suppressLineNumbers/>
              <w:ind w:right="-109"/>
              <w:jc w:val="left"/>
              <w:textboxTightWrap w:val="allLines"/>
              <w:rPr>
                <w:rFonts w:ascii="Arial Narrow" w:hAnsi="Arial Narrow" w:cstheme="minorHAnsi"/>
                <w:bCs/>
                <w:sz w:val="20"/>
                <w:szCs w:val="20"/>
                <w:lang w:eastAsia="en-GB"/>
              </w:rPr>
            </w:pPr>
            <w:r w:rsidRPr="0019444B">
              <w:rPr>
                <w:rFonts w:ascii="Arial Narrow" w:hAnsi="Arial Narrow" w:cstheme="minorHAnsi"/>
                <w:bCs/>
                <w:iCs/>
                <w:sz w:val="20"/>
                <w:szCs w:val="20"/>
                <w:lang w:eastAsia="en-GB"/>
              </w:rPr>
              <w:t>$746.44 per patient per OBIN course in VTX+OBIN and ACA+OBIN</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C245F4" w14:textId="22CC1A8A" w:rsidR="00352846" w:rsidRPr="0019444B" w:rsidRDefault="00352846" w:rsidP="00384271">
            <w:pPr>
              <w:keepNext/>
              <w:keepLines/>
              <w:suppressLineNumbers/>
              <w:ind w:right="-108"/>
              <w:jc w:val="left"/>
              <w:textboxTightWrap w:val="allLines"/>
              <w:rPr>
                <w:rFonts w:ascii="Arial Narrow" w:hAnsi="Arial Narrow" w:cstheme="minorHAnsi"/>
                <w:bCs/>
                <w:iCs/>
                <w:sz w:val="20"/>
                <w:szCs w:val="20"/>
                <w:lang w:eastAsia="en-GB"/>
              </w:rPr>
            </w:pPr>
            <w:r w:rsidRPr="0019444B">
              <w:rPr>
                <w:rFonts w:ascii="Arial Narrow" w:hAnsi="Arial Narrow" w:cstheme="minorHAnsi"/>
                <w:bCs/>
                <w:iCs/>
                <w:sz w:val="20"/>
                <w:szCs w:val="20"/>
                <w:lang w:eastAsia="en-GB"/>
              </w:rPr>
              <w:t xml:space="preserve">$2,095.09 </w:t>
            </w:r>
          </w:p>
        </w:tc>
        <w:tc>
          <w:tcPr>
            <w:tcW w:w="1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02866B" w14:textId="77777777" w:rsidR="00352846" w:rsidRPr="0019444B" w:rsidRDefault="00352846" w:rsidP="00384271">
            <w:pPr>
              <w:keepNext/>
              <w:keepLines/>
              <w:suppressLineNumbers/>
              <w:jc w:val="left"/>
              <w:textboxTightWrap w:val="allLines"/>
              <w:rPr>
                <w:rFonts w:ascii="Arial Narrow" w:hAnsi="Arial Narrow" w:cstheme="minorHAnsi"/>
                <w:bCs/>
                <w:iCs/>
                <w:sz w:val="20"/>
                <w:szCs w:val="20"/>
                <w:lang w:eastAsia="en-GB"/>
              </w:rPr>
            </w:pPr>
            <w:r w:rsidRPr="0019444B">
              <w:rPr>
                <w:rFonts w:ascii="Arial Narrow" w:hAnsi="Arial Narrow" w:cstheme="minorHAnsi"/>
                <w:bCs/>
                <w:iCs/>
                <w:sz w:val="20"/>
                <w:szCs w:val="20"/>
                <w:lang w:eastAsia="en-GB"/>
              </w:rPr>
              <w:t>0.6%</w:t>
            </w:r>
          </w:p>
        </w:tc>
      </w:tr>
      <w:tr w:rsidR="002A2FC6" w:rsidRPr="0019444B" w14:paraId="260D0FB6" w14:textId="77777777" w:rsidTr="00A32205">
        <w:trPr>
          <w:trHeight w:val="20"/>
        </w:trPr>
        <w:tc>
          <w:tcPr>
            <w:tcW w:w="3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AE439" w14:textId="77777777" w:rsidR="002A2FC6" w:rsidRPr="0019444B" w:rsidRDefault="002A2FC6" w:rsidP="002A2FC6">
            <w:pPr>
              <w:keepNext/>
              <w:jc w:val="left"/>
              <w:rPr>
                <w:rFonts w:ascii="Arial Narrow" w:hAnsi="Arial Narrow" w:cstheme="minorHAnsi"/>
                <w:bCs/>
                <w:iCs/>
                <w:sz w:val="20"/>
                <w:szCs w:val="20"/>
                <w:lang w:eastAsia="en-GB"/>
              </w:rPr>
            </w:pPr>
            <w:r w:rsidRPr="0019444B">
              <w:rPr>
                <w:rFonts w:ascii="Arial Narrow" w:hAnsi="Arial Narrow" w:cstheme="minorHAnsi"/>
                <w:bCs/>
                <w:iCs/>
                <w:sz w:val="20"/>
                <w:szCs w:val="20"/>
                <w:lang w:eastAsia="en-GB"/>
              </w:rPr>
              <w:t>Use of median treatment exposure</w:t>
            </w:r>
          </w:p>
          <w:p w14:paraId="66320CC9" w14:textId="2C21F155" w:rsidR="002A2FC6" w:rsidRPr="0019444B" w:rsidRDefault="002A2FC6" w:rsidP="002A2FC6">
            <w:pPr>
              <w:keepNext/>
              <w:jc w:val="left"/>
              <w:rPr>
                <w:rFonts w:ascii="Arial Narrow" w:hAnsi="Arial Narrow" w:cstheme="minorHAnsi"/>
                <w:bCs/>
                <w:iCs/>
                <w:sz w:val="20"/>
                <w:szCs w:val="20"/>
                <w:lang w:eastAsia="en-GB"/>
              </w:rPr>
            </w:pPr>
            <w:r w:rsidRPr="0019444B">
              <w:rPr>
                <w:rFonts w:ascii="Arial Narrow" w:hAnsi="Arial Narrow" w:cstheme="minorHAnsi"/>
                <w:bCs/>
                <w:iCs/>
                <w:sz w:val="20"/>
                <w:szCs w:val="20"/>
                <w:lang w:eastAsia="en-GB"/>
              </w:rPr>
              <w:t>(</w:t>
            </w:r>
            <w:proofErr w:type="gramStart"/>
            <w:r w:rsidRPr="0019444B">
              <w:rPr>
                <w:rFonts w:ascii="Arial Narrow" w:hAnsi="Arial Narrow" w:cstheme="minorHAnsi"/>
                <w:bCs/>
                <w:iCs/>
                <w:sz w:val="20"/>
                <w:szCs w:val="20"/>
                <w:lang w:eastAsia="en-GB"/>
              </w:rPr>
              <w:t>base</w:t>
            </w:r>
            <w:proofErr w:type="gramEnd"/>
            <w:r w:rsidRPr="0019444B">
              <w:rPr>
                <w:rFonts w:ascii="Arial Narrow" w:hAnsi="Arial Narrow" w:cstheme="minorHAnsi"/>
                <w:bCs/>
                <w:iCs/>
                <w:sz w:val="20"/>
                <w:szCs w:val="20"/>
                <w:lang w:eastAsia="en-GB"/>
              </w:rPr>
              <w:t xml:space="preserve"> case used mean treatment exposure: ACA= 48.4 months.</w:t>
            </w:r>
          </w:p>
          <w:p w14:paraId="6EA8D3B2" w14:textId="2D3424B2" w:rsidR="002A2FC6" w:rsidRPr="0019444B" w:rsidRDefault="002A2FC6" w:rsidP="002A2FC6">
            <w:pPr>
              <w:keepNext/>
              <w:jc w:val="left"/>
              <w:rPr>
                <w:rFonts w:ascii="Arial Narrow" w:hAnsi="Arial Narrow" w:cstheme="minorHAnsi"/>
                <w:bCs/>
                <w:iCs/>
                <w:sz w:val="20"/>
                <w:szCs w:val="20"/>
                <w:lang w:eastAsia="en-GB"/>
              </w:rPr>
            </w:pPr>
            <w:r w:rsidRPr="0019444B">
              <w:rPr>
                <w:rFonts w:ascii="Arial Narrow" w:hAnsi="Arial Narrow" w:cstheme="minorHAnsi"/>
                <w:bCs/>
                <w:iCs/>
                <w:sz w:val="20"/>
                <w:szCs w:val="20"/>
                <w:lang w:eastAsia="en-GB"/>
              </w:rPr>
              <w:t>ACA+OBIN= 50.7 months)</w:t>
            </w:r>
          </w:p>
        </w:tc>
        <w:tc>
          <w:tcPr>
            <w:tcW w:w="3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4BEA7" w14:textId="77777777" w:rsidR="002A2FC6" w:rsidRPr="0019444B" w:rsidRDefault="002A2FC6" w:rsidP="002A2FC6">
            <w:pPr>
              <w:keepNext/>
              <w:jc w:val="left"/>
              <w:rPr>
                <w:rFonts w:ascii="Arial Narrow" w:hAnsi="Arial Narrow" w:cstheme="minorHAnsi"/>
                <w:bCs/>
                <w:iCs/>
                <w:sz w:val="20"/>
                <w:szCs w:val="20"/>
                <w:lang w:eastAsia="en-GB"/>
              </w:rPr>
            </w:pPr>
            <w:r w:rsidRPr="0019444B">
              <w:rPr>
                <w:rFonts w:ascii="Arial Narrow" w:hAnsi="Arial Narrow" w:cstheme="minorHAnsi"/>
                <w:bCs/>
                <w:iCs/>
                <w:sz w:val="20"/>
                <w:szCs w:val="20"/>
                <w:lang w:eastAsia="en-GB"/>
              </w:rPr>
              <w:t xml:space="preserve">Median treatment exposure: </w:t>
            </w:r>
          </w:p>
          <w:p w14:paraId="36A2BFEB" w14:textId="77777777" w:rsidR="002A2FC6" w:rsidRPr="0019444B" w:rsidRDefault="002A2FC6" w:rsidP="002A2FC6">
            <w:pPr>
              <w:keepNext/>
              <w:jc w:val="left"/>
              <w:rPr>
                <w:rFonts w:ascii="Arial Narrow" w:hAnsi="Arial Narrow" w:cstheme="minorHAnsi"/>
                <w:bCs/>
                <w:iCs/>
                <w:sz w:val="20"/>
                <w:szCs w:val="20"/>
                <w:lang w:eastAsia="en-GB"/>
              </w:rPr>
            </w:pPr>
            <w:r w:rsidRPr="0019444B">
              <w:rPr>
                <w:rFonts w:ascii="Arial Narrow" w:hAnsi="Arial Narrow" w:cstheme="minorHAnsi"/>
                <w:bCs/>
                <w:iCs/>
                <w:sz w:val="20"/>
                <w:szCs w:val="20"/>
                <w:lang w:eastAsia="en-GB"/>
              </w:rPr>
              <w:t>ACA: 58.0 months</w:t>
            </w:r>
          </w:p>
          <w:p w14:paraId="5DCE41A6" w14:textId="1CA97D82" w:rsidR="002A2FC6" w:rsidRPr="0019444B" w:rsidRDefault="002A2FC6" w:rsidP="002A2FC6">
            <w:pPr>
              <w:keepNext/>
              <w:keepLines/>
              <w:suppressLineNumbers/>
              <w:ind w:right="-109"/>
              <w:jc w:val="left"/>
              <w:textboxTightWrap w:val="allLines"/>
              <w:rPr>
                <w:rFonts w:ascii="Arial Narrow" w:hAnsi="Arial Narrow" w:cstheme="minorHAnsi"/>
                <w:bCs/>
                <w:iCs/>
                <w:sz w:val="20"/>
                <w:szCs w:val="20"/>
                <w:lang w:eastAsia="en-GB"/>
              </w:rPr>
            </w:pPr>
            <w:r w:rsidRPr="0019444B">
              <w:rPr>
                <w:rFonts w:ascii="Arial Narrow" w:hAnsi="Arial Narrow" w:cstheme="minorHAnsi"/>
                <w:bCs/>
                <w:iCs/>
                <w:sz w:val="20"/>
                <w:szCs w:val="20"/>
                <w:lang w:eastAsia="en-GB"/>
              </w:rPr>
              <w:t>ACA+OBIN: 58.1 months</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960E2" w14:textId="2D409442" w:rsidR="002A2FC6" w:rsidRPr="0019444B" w:rsidRDefault="002A2FC6" w:rsidP="002A2FC6">
            <w:pPr>
              <w:keepNext/>
              <w:keepLines/>
              <w:suppressLineNumbers/>
              <w:ind w:right="-108"/>
              <w:jc w:val="left"/>
              <w:textboxTightWrap w:val="allLines"/>
              <w:rPr>
                <w:rFonts w:ascii="Arial Narrow" w:hAnsi="Arial Narrow" w:cstheme="minorHAnsi"/>
                <w:bCs/>
                <w:iCs/>
                <w:sz w:val="20"/>
                <w:szCs w:val="20"/>
                <w:lang w:eastAsia="en-GB"/>
              </w:rPr>
            </w:pPr>
            <w:r w:rsidRPr="0019444B">
              <w:rPr>
                <w:rFonts w:ascii="Arial Narrow" w:hAnsi="Arial Narrow" w:cstheme="minorHAnsi"/>
                <w:bCs/>
                <w:iCs/>
                <w:sz w:val="20"/>
                <w:szCs w:val="20"/>
                <w:lang w:eastAsia="en-GB"/>
              </w:rPr>
              <w:t>$1,702.17</w:t>
            </w:r>
          </w:p>
        </w:tc>
        <w:tc>
          <w:tcPr>
            <w:tcW w:w="1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6A74C" w14:textId="21846C03" w:rsidR="002A2FC6" w:rsidRPr="0019444B" w:rsidRDefault="002A2FC6" w:rsidP="002A2FC6">
            <w:pPr>
              <w:keepNext/>
              <w:keepLines/>
              <w:suppressLineNumbers/>
              <w:jc w:val="left"/>
              <w:textboxTightWrap w:val="allLines"/>
              <w:rPr>
                <w:rFonts w:ascii="Arial Narrow" w:hAnsi="Arial Narrow" w:cstheme="minorHAnsi"/>
                <w:bCs/>
                <w:iCs/>
                <w:sz w:val="20"/>
                <w:szCs w:val="20"/>
                <w:lang w:eastAsia="en-GB"/>
              </w:rPr>
            </w:pPr>
            <w:r w:rsidRPr="0019444B">
              <w:rPr>
                <w:rFonts w:ascii="Arial Narrow" w:hAnsi="Arial Narrow" w:cstheme="minorHAnsi"/>
                <w:bCs/>
                <w:iCs/>
                <w:sz w:val="20"/>
                <w:szCs w:val="20"/>
                <w:lang w:eastAsia="en-GB"/>
              </w:rPr>
              <w:t>-15.7%</w:t>
            </w:r>
          </w:p>
        </w:tc>
      </w:tr>
      <w:tr w:rsidR="002A2FC6" w:rsidRPr="0019444B" w14:paraId="174A4A1A" w14:textId="77777777" w:rsidTr="00A32205">
        <w:trPr>
          <w:trHeight w:val="20"/>
        </w:trPr>
        <w:tc>
          <w:tcPr>
            <w:tcW w:w="3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21298" w14:textId="17F6F3D7" w:rsidR="002A2FC6" w:rsidRPr="0019444B" w:rsidRDefault="002A2FC6" w:rsidP="002A2FC6">
            <w:pPr>
              <w:keepNext/>
              <w:jc w:val="left"/>
              <w:rPr>
                <w:rFonts w:ascii="Arial Narrow" w:hAnsi="Arial Narrow" w:cstheme="minorHAnsi"/>
                <w:bCs/>
                <w:iCs/>
                <w:sz w:val="20"/>
                <w:szCs w:val="20"/>
                <w:lang w:eastAsia="en-GB"/>
              </w:rPr>
            </w:pPr>
            <w:r w:rsidRPr="0019444B">
              <w:rPr>
                <w:rFonts w:ascii="Arial Narrow" w:hAnsi="Arial Narrow" w:cstheme="minorHAnsi"/>
                <w:bCs/>
                <w:iCs/>
                <w:sz w:val="20"/>
                <w:szCs w:val="20"/>
                <w:lang w:eastAsia="en-GB"/>
              </w:rPr>
              <w:t xml:space="preserve">Number of scripts with ACA+/-OBIN </w:t>
            </w:r>
          </w:p>
        </w:tc>
        <w:tc>
          <w:tcPr>
            <w:tcW w:w="3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030AE" w14:textId="109A68CB" w:rsidR="002A2FC6" w:rsidRPr="0019444B" w:rsidRDefault="002A2FC6" w:rsidP="002A2FC6">
            <w:pPr>
              <w:keepNext/>
              <w:keepLines/>
              <w:suppressLineNumbers/>
              <w:ind w:right="-109"/>
              <w:jc w:val="left"/>
              <w:textboxTightWrap w:val="allLines"/>
              <w:rPr>
                <w:rFonts w:ascii="Arial Narrow" w:hAnsi="Arial Narrow" w:cstheme="minorHAnsi"/>
                <w:bCs/>
                <w:iCs/>
                <w:sz w:val="20"/>
                <w:szCs w:val="20"/>
                <w:lang w:eastAsia="en-GB"/>
              </w:rPr>
            </w:pPr>
            <w:r w:rsidRPr="0019444B">
              <w:rPr>
                <w:rFonts w:ascii="Arial Narrow" w:hAnsi="Arial Narrow" w:cstheme="minorHAnsi"/>
                <w:bCs/>
                <w:iCs/>
                <w:sz w:val="20"/>
                <w:szCs w:val="20"/>
                <w:lang w:eastAsia="en-GB"/>
              </w:rPr>
              <w:t>Number of scripts = 67.02</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8466C" w14:textId="0EB2E1D5" w:rsidR="002A2FC6" w:rsidRPr="0019444B" w:rsidRDefault="002A2FC6" w:rsidP="002A2FC6">
            <w:pPr>
              <w:keepNext/>
              <w:keepLines/>
              <w:suppressLineNumbers/>
              <w:ind w:right="-108"/>
              <w:jc w:val="left"/>
              <w:textboxTightWrap w:val="allLines"/>
              <w:rPr>
                <w:rFonts w:ascii="Arial Narrow" w:hAnsi="Arial Narrow" w:cstheme="minorHAnsi"/>
                <w:bCs/>
                <w:iCs/>
                <w:sz w:val="20"/>
                <w:szCs w:val="20"/>
                <w:lang w:eastAsia="en-GB"/>
              </w:rPr>
            </w:pPr>
            <w:r w:rsidRPr="0019444B">
              <w:rPr>
                <w:rFonts w:ascii="Arial Narrow" w:hAnsi="Arial Narrow" w:cstheme="minorHAnsi"/>
                <w:bCs/>
                <w:iCs/>
                <w:sz w:val="20"/>
                <w:szCs w:val="20"/>
                <w:lang w:eastAsia="en-GB"/>
              </w:rPr>
              <w:t>$1,579.18</w:t>
            </w:r>
          </w:p>
        </w:tc>
        <w:tc>
          <w:tcPr>
            <w:tcW w:w="1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27474" w14:textId="7F8E50B0" w:rsidR="002A2FC6" w:rsidRPr="0019444B" w:rsidRDefault="002A2FC6" w:rsidP="002A2FC6">
            <w:pPr>
              <w:keepNext/>
              <w:keepLines/>
              <w:suppressLineNumbers/>
              <w:jc w:val="left"/>
              <w:textboxTightWrap w:val="allLines"/>
              <w:rPr>
                <w:rFonts w:ascii="Arial Narrow" w:hAnsi="Arial Narrow" w:cstheme="minorHAnsi"/>
                <w:bCs/>
                <w:iCs/>
                <w:sz w:val="20"/>
                <w:szCs w:val="20"/>
                <w:lang w:eastAsia="en-GB"/>
              </w:rPr>
            </w:pPr>
            <w:r w:rsidRPr="0019444B">
              <w:rPr>
                <w:rFonts w:ascii="Arial Narrow" w:hAnsi="Arial Narrow" w:cstheme="minorHAnsi"/>
                <w:bCs/>
                <w:iCs/>
                <w:sz w:val="20"/>
                <w:szCs w:val="20"/>
                <w:lang w:eastAsia="en-GB"/>
              </w:rPr>
              <w:t>-21.8%</w:t>
            </w:r>
          </w:p>
        </w:tc>
      </w:tr>
    </w:tbl>
    <w:p w14:paraId="55DEB37C" w14:textId="4BEC2B40" w:rsidR="00352846" w:rsidRPr="0019444B" w:rsidRDefault="00352846" w:rsidP="000D2BBF">
      <w:pPr>
        <w:pStyle w:val="FooterTableFigure"/>
        <w:ind w:right="141"/>
      </w:pPr>
      <w:r w:rsidRPr="0019444B">
        <w:t xml:space="preserve">Source: Attachment 3A of the </w:t>
      </w:r>
      <w:r w:rsidR="00621747" w:rsidRPr="0019444B">
        <w:t>re</w:t>
      </w:r>
      <w:r w:rsidRPr="0019444B">
        <w:t>submission</w:t>
      </w:r>
      <w:r w:rsidR="00C1570A" w:rsidRPr="0019444B">
        <w:t>,</w:t>
      </w:r>
      <w:r w:rsidRPr="0019444B">
        <w:t xml:space="preserve"> conducted during the evaluation</w:t>
      </w:r>
      <w:r w:rsidR="004C48BF" w:rsidRPr="0019444B">
        <w:t xml:space="preserve"> and during preparation of the ESC Advice</w:t>
      </w:r>
      <w:r w:rsidRPr="0019444B">
        <w:t>.</w:t>
      </w:r>
    </w:p>
    <w:p w14:paraId="10C07C93" w14:textId="3A445634" w:rsidR="004B7F89" w:rsidRPr="0019444B" w:rsidRDefault="004B7F89" w:rsidP="004B7F89">
      <w:pPr>
        <w:pStyle w:val="FooterTableFigure"/>
        <w:keepNext/>
        <w:widowControl w:val="0"/>
        <w:spacing w:after="0"/>
        <w:contextualSpacing w:val="0"/>
      </w:pPr>
      <w:r w:rsidRPr="0019444B">
        <w:t xml:space="preserve">ACA = acalabrutinib, OBIN = obinutuzumab, TLS = tumour lysis syndrome; </w:t>
      </w:r>
      <w:r w:rsidR="00C521EB" w:rsidRPr="0019444B">
        <w:t xml:space="preserve">VTX = venetoclax, </w:t>
      </w:r>
      <w:r w:rsidRPr="0019444B">
        <w:t>ZANU = zanubrutinib</w:t>
      </w:r>
    </w:p>
    <w:p w14:paraId="29640D8A" w14:textId="0B22F541" w:rsidR="00E948F9" w:rsidRDefault="00621747" w:rsidP="000D2BBF">
      <w:pPr>
        <w:pStyle w:val="FooterTableFigure"/>
        <w:ind w:right="141"/>
        <w:rPr>
          <w:iCs/>
        </w:rPr>
      </w:pPr>
      <w:r w:rsidRPr="0019444B">
        <w:rPr>
          <w:iCs/>
          <w:vertAlign w:val="superscript"/>
        </w:rPr>
        <w:t>a</w:t>
      </w:r>
      <w:r w:rsidR="00352846" w:rsidRPr="0019444B">
        <w:rPr>
          <w:iCs/>
        </w:rPr>
        <w:t xml:space="preserve"> Cost of TLS prophylaxis per patient based on July 2020 </w:t>
      </w:r>
      <w:r w:rsidR="000326AD" w:rsidRPr="0019444B">
        <w:rPr>
          <w:iCs/>
        </w:rPr>
        <w:t>VTX</w:t>
      </w:r>
      <w:r w:rsidR="00352846" w:rsidRPr="0019444B">
        <w:rPr>
          <w:iCs/>
        </w:rPr>
        <w:t xml:space="preserve"> submission (VTX PSD, July 2020 PBAC meeting), adjusted to 2023 value</w:t>
      </w:r>
      <w:r w:rsidR="00C1570A" w:rsidRPr="0019444B">
        <w:rPr>
          <w:iCs/>
        </w:rPr>
        <w:t>.</w:t>
      </w:r>
    </w:p>
    <w:p w14:paraId="3B466278" w14:textId="57277F46" w:rsidR="00E948F9" w:rsidRPr="00FD0F12" w:rsidRDefault="00E948F9" w:rsidP="00E948F9">
      <w:pPr>
        <w:pStyle w:val="3-BodyText"/>
        <w:numPr>
          <w:ilvl w:val="1"/>
          <w:numId w:val="1"/>
        </w:numPr>
        <w:rPr>
          <w:color w:val="0066FF"/>
        </w:rPr>
      </w:pPr>
      <w:r w:rsidRPr="00E948F9">
        <w:t>The PBAC noted the discounted treatment duration accepted for ZANU at the March</w:t>
      </w:r>
      <w:r w:rsidR="00A32205">
        <w:t> </w:t>
      </w:r>
      <w:r w:rsidRPr="00E948F9">
        <w:t>2023 meeting was 70.73 months (68.09 scripts) (paragraph 7.14, ZANU, PSD, March 2023 PBAC meeting)</w:t>
      </w:r>
      <w:r w:rsidR="002313DD">
        <w:t xml:space="preserve">. Based on </w:t>
      </w:r>
      <w:r w:rsidR="00843C70">
        <w:t>this</w:t>
      </w:r>
      <w:r>
        <w:t xml:space="preserve"> treatment duration</w:t>
      </w:r>
      <w:r w:rsidR="00843C70">
        <w:t>,</w:t>
      </w:r>
      <w:r>
        <w:t xml:space="preserve"> </w:t>
      </w:r>
      <w:r w:rsidR="002313DD">
        <w:t>and adjusting for the dose intensity of ACA</w:t>
      </w:r>
      <w:r w:rsidR="00F942CB">
        <w:t xml:space="preserve"> (0.962 = 192.4/200)</w:t>
      </w:r>
      <w:r w:rsidR="002313DD">
        <w:t xml:space="preserve"> and ACA+OBIN </w:t>
      </w:r>
      <w:r w:rsidR="00F942CB">
        <w:t xml:space="preserve">(0.9425 = 188.5/200) </w:t>
      </w:r>
      <w:r w:rsidR="002313DD">
        <w:t>in the ELEVATE-TN trial</w:t>
      </w:r>
      <w:r w:rsidR="00401B75">
        <w:rPr>
          <w:rStyle w:val="FootnoteReference"/>
        </w:rPr>
        <w:footnoteReference w:id="4"/>
      </w:r>
      <w:r w:rsidR="002313DD">
        <w:t xml:space="preserve">, that </w:t>
      </w:r>
      <w:r>
        <w:t xml:space="preserve">this would equate to </w:t>
      </w:r>
      <w:r w:rsidR="00843C70" w:rsidRPr="00843C70">
        <w:t>73.9 scripts for ACA when used as monotherapy (0.9</w:t>
      </w:r>
      <w:r w:rsidR="00F942CB">
        <w:t>6</w:t>
      </w:r>
      <w:r w:rsidR="00843C70" w:rsidRPr="00843C70">
        <w:t>2 x 70.73 x (365 ÷ 12 ÷ 28)) and 72.4 scripts for ACA when used in combination with OBIN (0.9</w:t>
      </w:r>
      <w:r w:rsidR="00F942CB">
        <w:t>425</w:t>
      </w:r>
      <w:r w:rsidR="00843C70" w:rsidRPr="00843C70">
        <w:t xml:space="preserve"> x 70.73 x (365 ÷ 12 ÷ 28)).</w:t>
      </w:r>
      <w:r w:rsidR="002313DD">
        <w:t xml:space="preserve"> </w:t>
      </w:r>
    </w:p>
    <w:p w14:paraId="6353B1E1" w14:textId="6A573E99" w:rsidR="00352846" w:rsidRPr="0019444B" w:rsidRDefault="00352846" w:rsidP="00352846">
      <w:pPr>
        <w:pStyle w:val="4-SubsectionHeading"/>
      </w:pPr>
      <w:bookmarkStart w:id="80" w:name="_Toc22897646"/>
      <w:bookmarkStart w:id="81" w:name="_Toc107927632"/>
      <w:bookmarkStart w:id="82" w:name="_Toc135225277"/>
      <w:bookmarkStart w:id="83" w:name="_Toc22897647"/>
      <w:r w:rsidRPr="0019444B">
        <w:t>Acalabrutinib</w:t>
      </w:r>
      <w:r w:rsidR="00345F20" w:rsidRPr="0019444B">
        <w:t xml:space="preserve"> </w:t>
      </w:r>
      <w:r w:rsidR="00516902" w:rsidRPr="0019444B">
        <w:rPr>
          <w:rFonts w:cstheme="minorHAnsi"/>
        </w:rPr>
        <w:t>+/-</w:t>
      </w:r>
      <w:r w:rsidR="00345F20" w:rsidRPr="0019444B">
        <w:rPr>
          <w:rFonts w:cstheme="minorHAnsi"/>
        </w:rPr>
        <w:t xml:space="preserve"> </w:t>
      </w:r>
      <w:r w:rsidR="00E04FB9" w:rsidRPr="0019444B">
        <w:t xml:space="preserve">obinutuzumab </w:t>
      </w:r>
      <w:r w:rsidRPr="0019444B">
        <w:t>cost/patient/course</w:t>
      </w:r>
      <w:bookmarkEnd w:id="80"/>
      <w:bookmarkEnd w:id="81"/>
      <w:bookmarkEnd w:id="82"/>
    </w:p>
    <w:p w14:paraId="1CDC00BF" w14:textId="70ACA872" w:rsidR="00352846" w:rsidRPr="0019444B" w:rsidRDefault="00352846" w:rsidP="00BE1975">
      <w:pPr>
        <w:pStyle w:val="Caption"/>
        <w:keepLines w:val="0"/>
        <w:rPr>
          <w:rStyle w:val="CommentReference"/>
          <w:rFonts w:eastAsiaTheme="majorEastAsia" w:cstheme="majorBidi"/>
          <w:b/>
          <w:bCs w:val="0"/>
          <w:i/>
          <w:spacing w:val="5"/>
          <w:kern w:val="28"/>
          <w:szCs w:val="24"/>
        </w:rPr>
      </w:pPr>
      <w:bookmarkStart w:id="84" w:name="_Ref104805102"/>
      <w:r w:rsidRPr="0019444B">
        <w:t>Table</w:t>
      </w:r>
      <w:bookmarkEnd w:id="84"/>
      <w:r w:rsidR="00D13D0B" w:rsidRPr="0019444B">
        <w:t xml:space="preserve"> </w:t>
      </w:r>
      <w:fldSimple w:instr=" SEQ Table \* ARABIC " w:fldLock="1">
        <w:r w:rsidR="00EA2F24" w:rsidRPr="004005C6">
          <w:t>18</w:t>
        </w:r>
      </w:fldSimple>
      <w:r w:rsidRPr="0019444B">
        <w:t>:</w:t>
      </w:r>
      <w:r w:rsidRPr="0019444B">
        <w:rPr>
          <w:rStyle w:val="CommentReference"/>
          <w:b/>
          <w:szCs w:val="24"/>
        </w:rPr>
        <w:t xml:space="preserve"> Drug cost per patient for proposed and comparator </w:t>
      </w:r>
      <w:proofErr w:type="gramStart"/>
      <w:r w:rsidRPr="0019444B">
        <w:rPr>
          <w:rStyle w:val="CommentReference"/>
          <w:b/>
          <w:szCs w:val="24"/>
        </w:rPr>
        <w:t>drugs</w:t>
      </w:r>
      <w:proofErr w:type="gramEnd"/>
    </w:p>
    <w:tbl>
      <w:tblPr>
        <w:tblStyle w:val="TableGrid"/>
        <w:tblW w:w="5000" w:type="pct"/>
        <w:tblCellMar>
          <w:left w:w="28" w:type="dxa"/>
          <w:right w:w="28" w:type="dxa"/>
        </w:tblCellMar>
        <w:tblLook w:val="04A0" w:firstRow="1" w:lastRow="0" w:firstColumn="1" w:lastColumn="0" w:noHBand="0" w:noVBand="1"/>
      </w:tblPr>
      <w:tblGrid>
        <w:gridCol w:w="2539"/>
        <w:gridCol w:w="1851"/>
        <w:gridCol w:w="2359"/>
        <w:gridCol w:w="2268"/>
      </w:tblGrid>
      <w:tr w:rsidR="004B74E3" w:rsidRPr="0019444B" w14:paraId="316B6448" w14:textId="77777777" w:rsidTr="00A32205">
        <w:trPr>
          <w:trHeight w:val="20"/>
        </w:trPr>
        <w:tc>
          <w:tcPr>
            <w:tcW w:w="2553" w:type="dxa"/>
          </w:tcPr>
          <w:p w14:paraId="18FB6031" w14:textId="32CCAAAD" w:rsidR="004B74E3" w:rsidRPr="0019444B" w:rsidRDefault="000326AD" w:rsidP="00BE1975">
            <w:pPr>
              <w:keepNext/>
              <w:widowControl w:val="0"/>
              <w:rPr>
                <w:rFonts w:ascii="Arial Narrow" w:hAnsi="Arial Narrow"/>
                <w:b/>
                <w:bCs/>
                <w:sz w:val="20"/>
                <w:szCs w:val="20"/>
              </w:rPr>
            </w:pPr>
            <w:r w:rsidRPr="0019444B">
              <w:rPr>
                <w:rFonts w:ascii="Arial Narrow" w:hAnsi="Arial Narrow"/>
                <w:b/>
                <w:bCs/>
                <w:sz w:val="20"/>
                <w:szCs w:val="20"/>
              </w:rPr>
              <w:t>Drugs</w:t>
            </w:r>
          </w:p>
        </w:tc>
        <w:tc>
          <w:tcPr>
            <w:tcW w:w="1858" w:type="dxa"/>
            <w:vAlign w:val="center"/>
          </w:tcPr>
          <w:p w14:paraId="7EA5E86D" w14:textId="77777777" w:rsidR="004B74E3" w:rsidRPr="0019444B" w:rsidRDefault="004B74E3" w:rsidP="00BE1975">
            <w:pPr>
              <w:keepNext/>
              <w:widowControl w:val="0"/>
              <w:jc w:val="left"/>
              <w:rPr>
                <w:rFonts w:ascii="Arial Narrow" w:hAnsi="Arial Narrow"/>
                <w:b/>
                <w:bCs/>
                <w:sz w:val="20"/>
                <w:szCs w:val="20"/>
              </w:rPr>
            </w:pPr>
            <w:r w:rsidRPr="0019444B">
              <w:rPr>
                <w:rFonts w:ascii="Arial Narrow" w:hAnsi="Arial Narrow"/>
                <w:b/>
                <w:bCs/>
                <w:sz w:val="20"/>
                <w:szCs w:val="20"/>
              </w:rPr>
              <w:t>Clinical study</w:t>
            </w:r>
          </w:p>
        </w:tc>
        <w:tc>
          <w:tcPr>
            <w:tcW w:w="2371" w:type="dxa"/>
            <w:vAlign w:val="center"/>
          </w:tcPr>
          <w:p w14:paraId="3DD29961" w14:textId="77777777" w:rsidR="004B74E3" w:rsidRPr="0019444B" w:rsidRDefault="004B74E3" w:rsidP="00BE1975">
            <w:pPr>
              <w:keepNext/>
              <w:widowControl w:val="0"/>
              <w:jc w:val="left"/>
              <w:rPr>
                <w:rFonts w:ascii="Arial Narrow" w:hAnsi="Arial Narrow"/>
                <w:b/>
                <w:bCs/>
                <w:sz w:val="20"/>
                <w:szCs w:val="20"/>
                <w:vertAlign w:val="superscript"/>
              </w:rPr>
            </w:pPr>
            <w:r w:rsidRPr="0019444B">
              <w:rPr>
                <w:rFonts w:ascii="Arial Narrow" w:hAnsi="Arial Narrow"/>
                <w:b/>
                <w:bCs/>
                <w:sz w:val="20"/>
                <w:szCs w:val="20"/>
              </w:rPr>
              <w:t>Economic model</w:t>
            </w:r>
            <w:r w:rsidRPr="0019444B">
              <w:rPr>
                <w:rFonts w:ascii="Arial Narrow" w:hAnsi="Arial Narrow"/>
                <w:b/>
                <w:bCs/>
                <w:sz w:val="20"/>
                <w:szCs w:val="20"/>
                <w:vertAlign w:val="superscript"/>
              </w:rPr>
              <w:t xml:space="preserve"> a</w:t>
            </w:r>
          </w:p>
        </w:tc>
        <w:tc>
          <w:tcPr>
            <w:tcW w:w="2279" w:type="dxa"/>
            <w:vAlign w:val="center"/>
          </w:tcPr>
          <w:p w14:paraId="5352FAC6" w14:textId="77777777" w:rsidR="004B74E3" w:rsidRPr="0019444B" w:rsidRDefault="004B74E3" w:rsidP="00BE1975">
            <w:pPr>
              <w:keepNext/>
              <w:widowControl w:val="0"/>
              <w:jc w:val="left"/>
              <w:rPr>
                <w:rFonts w:ascii="Arial Narrow" w:hAnsi="Arial Narrow"/>
                <w:b/>
                <w:bCs/>
                <w:sz w:val="20"/>
                <w:szCs w:val="20"/>
                <w:vertAlign w:val="superscript"/>
              </w:rPr>
            </w:pPr>
            <w:r w:rsidRPr="0019444B">
              <w:rPr>
                <w:rFonts w:ascii="Arial Narrow" w:hAnsi="Arial Narrow"/>
                <w:b/>
                <w:bCs/>
                <w:sz w:val="20"/>
                <w:szCs w:val="20"/>
              </w:rPr>
              <w:t xml:space="preserve">Financial estimates </w:t>
            </w:r>
            <w:r w:rsidRPr="0019444B">
              <w:rPr>
                <w:rFonts w:ascii="Arial Narrow" w:hAnsi="Arial Narrow"/>
                <w:b/>
                <w:bCs/>
                <w:sz w:val="20"/>
                <w:szCs w:val="20"/>
                <w:vertAlign w:val="superscript"/>
              </w:rPr>
              <w:t>b</w:t>
            </w:r>
          </w:p>
        </w:tc>
      </w:tr>
      <w:tr w:rsidR="004B74E3" w:rsidRPr="0019444B" w14:paraId="27D2FB4B" w14:textId="77777777" w:rsidTr="00A32205">
        <w:trPr>
          <w:trHeight w:val="20"/>
        </w:trPr>
        <w:tc>
          <w:tcPr>
            <w:tcW w:w="9061" w:type="dxa"/>
            <w:gridSpan w:val="4"/>
            <w:vAlign w:val="center"/>
          </w:tcPr>
          <w:p w14:paraId="7FF2FCA3" w14:textId="31FD46B4" w:rsidR="004B74E3" w:rsidRPr="0019444B" w:rsidRDefault="006D6DE6" w:rsidP="00BE1975">
            <w:pPr>
              <w:keepNext/>
              <w:widowControl w:val="0"/>
              <w:jc w:val="left"/>
              <w:rPr>
                <w:rFonts w:ascii="Arial Narrow" w:hAnsi="Arial Narrow"/>
                <w:b/>
                <w:bCs/>
                <w:sz w:val="20"/>
                <w:szCs w:val="20"/>
              </w:rPr>
            </w:pPr>
            <w:r w:rsidRPr="0019444B">
              <w:rPr>
                <w:rFonts w:ascii="Arial Narrow" w:hAnsi="Arial Narrow"/>
                <w:b/>
                <w:bCs/>
                <w:sz w:val="20"/>
                <w:szCs w:val="20"/>
              </w:rPr>
              <w:t>ACA+OBIN</w:t>
            </w:r>
          </w:p>
        </w:tc>
      </w:tr>
      <w:tr w:rsidR="004B74E3" w:rsidRPr="0019444B" w14:paraId="4F53B827" w14:textId="77777777" w:rsidTr="00A32205">
        <w:trPr>
          <w:trHeight w:val="20"/>
        </w:trPr>
        <w:tc>
          <w:tcPr>
            <w:tcW w:w="9061" w:type="dxa"/>
            <w:gridSpan w:val="4"/>
            <w:vAlign w:val="center"/>
          </w:tcPr>
          <w:p w14:paraId="63FF2C4F" w14:textId="760A2508" w:rsidR="004B74E3" w:rsidRPr="0019444B" w:rsidRDefault="006D6DE6" w:rsidP="00BE1975">
            <w:pPr>
              <w:keepNext/>
              <w:widowControl w:val="0"/>
              <w:jc w:val="left"/>
              <w:rPr>
                <w:rFonts w:ascii="Arial Narrow" w:hAnsi="Arial Narrow"/>
                <w:b/>
                <w:bCs/>
                <w:smallCaps/>
                <w:sz w:val="20"/>
                <w:szCs w:val="20"/>
              </w:rPr>
            </w:pPr>
            <w:bookmarkStart w:id="85" w:name="_Hlk132544191"/>
            <w:r w:rsidRPr="0019444B">
              <w:rPr>
                <w:rFonts w:ascii="Arial Narrow" w:hAnsi="Arial Narrow"/>
                <w:b/>
                <w:bCs/>
                <w:sz w:val="20"/>
                <w:szCs w:val="20"/>
              </w:rPr>
              <w:t>ACA</w:t>
            </w:r>
          </w:p>
        </w:tc>
      </w:tr>
      <w:tr w:rsidR="004B74E3" w:rsidRPr="0019444B" w14:paraId="663E8B69" w14:textId="77777777" w:rsidTr="00A32205">
        <w:trPr>
          <w:trHeight w:val="20"/>
        </w:trPr>
        <w:tc>
          <w:tcPr>
            <w:tcW w:w="2553" w:type="dxa"/>
            <w:shd w:val="clear" w:color="auto" w:fill="auto"/>
            <w:vAlign w:val="center"/>
          </w:tcPr>
          <w:p w14:paraId="59CC87C2" w14:textId="77777777" w:rsidR="004B74E3" w:rsidRPr="0019444B" w:rsidRDefault="004B74E3" w:rsidP="00BE1975">
            <w:pPr>
              <w:keepNext/>
              <w:widowControl w:val="0"/>
              <w:jc w:val="left"/>
              <w:rPr>
                <w:rFonts w:ascii="Arial Narrow" w:hAnsi="Arial Narrow"/>
                <w:sz w:val="20"/>
                <w:szCs w:val="20"/>
              </w:rPr>
            </w:pPr>
            <w:r w:rsidRPr="0019444B">
              <w:rPr>
                <w:rFonts w:ascii="Arial Narrow" w:hAnsi="Arial Narrow"/>
                <w:sz w:val="20"/>
                <w:szCs w:val="20"/>
              </w:rPr>
              <w:t xml:space="preserve">Cost per script </w:t>
            </w:r>
          </w:p>
        </w:tc>
        <w:tc>
          <w:tcPr>
            <w:tcW w:w="1858" w:type="dxa"/>
            <w:shd w:val="clear" w:color="auto" w:fill="auto"/>
            <w:vAlign w:val="center"/>
          </w:tcPr>
          <w:p w14:paraId="16810448" w14:textId="77777777" w:rsidR="004B74E3" w:rsidRPr="0019444B" w:rsidRDefault="004B74E3" w:rsidP="00BE1975">
            <w:pPr>
              <w:keepNext/>
              <w:widowControl w:val="0"/>
              <w:jc w:val="left"/>
              <w:rPr>
                <w:rFonts w:ascii="Arial Narrow" w:hAnsi="Arial Narrow"/>
                <w:sz w:val="20"/>
                <w:szCs w:val="20"/>
              </w:rPr>
            </w:pPr>
            <w:r w:rsidRPr="0019444B">
              <w:rPr>
                <w:rFonts w:ascii="Arial Narrow" w:hAnsi="Arial Narrow"/>
                <w:sz w:val="20"/>
                <w:szCs w:val="20"/>
              </w:rPr>
              <w:t>-</w:t>
            </w:r>
          </w:p>
        </w:tc>
        <w:tc>
          <w:tcPr>
            <w:tcW w:w="2371" w:type="dxa"/>
            <w:shd w:val="clear" w:color="auto" w:fill="auto"/>
            <w:vAlign w:val="center"/>
          </w:tcPr>
          <w:p w14:paraId="6E8DF9B9" w14:textId="77777777" w:rsidR="004B74E3" w:rsidRPr="0019444B" w:rsidRDefault="004B74E3" w:rsidP="00BE1975">
            <w:pPr>
              <w:keepNext/>
              <w:widowControl w:val="0"/>
              <w:jc w:val="left"/>
              <w:rPr>
                <w:rFonts w:ascii="Arial Narrow" w:hAnsi="Arial Narrow"/>
                <w:sz w:val="20"/>
                <w:szCs w:val="20"/>
              </w:rPr>
            </w:pPr>
            <w:r w:rsidRPr="0019444B">
              <w:rPr>
                <w:rFonts w:ascii="Arial Narrow" w:hAnsi="Arial Narrow"/>
                <w:sz w:val="20"/>
                <w:szCs w:val="20"/>
              </w:rPr>
              <w:t xml:space="preserve">$2,081.84 </w:t>
            </w:r>
            <w:r w:rsidRPr="0019444B">
              <w:rPr>
                <w:rFonts w:ascii="Arial Narrow" w:hAnsi="Arial Narrow"/>
                <w:sz w:val="20"/>
                <w:szCs w:val="20"/>
                <w:vertAlign w:val="superscript"/>
              </w:rPr>
              <w:t>c</w:t>
            </w:r>
          </w:p>
        </w:tc>
        <w:tc>
          <w:tcPr>
            <w:tcW w:w="2279" w:type="dxa"/>
            <w:shd w:val="clear" w:color="auto" w:fill="auto"/>
            <w:vAlign w:val="center"/>
          </w:tcPr>
          <w:p w14:paraId="57B2178E" w14:textId="08DF54FB" w:rsidR="004B74E3" w:rsidRPr="0019444B" w:rsidRDefault="009D4558" w:rsidP="00BE1975">
            <w:pPr>
              <w:keepNext/>
              <w:widowControl w:val="0"/>
              <w:jc w:val="left"/>
              <w:rPr>
                <w:rFonts w:ascii="Arial Narrow" w:hAnsi="Arial Narrow"/>
                <w:sz w:val="20"/>
                <w:szCs w:val="20"/>
                <w:vertAlign w:val="subscript"/>
              </w:rPr>
            </w:pPr>
            <w:r w:rsidRPr="0019444B">
              <w:rPr>
                <w:rFonts w:ascii="Arial Narrow" w:hAnsi="Arial Narrow"/>
                <w:sz w:val="20"/>
                <w:szCs w:val="20"/>
              </w:rPr>
              <w:t>$2,243.12</w:t>
            </w:r>
          </w:p>
        </w:tc>
      </w:tr>
      <w:tr w:rsidR="004B74E3" w:rsidRPr="0019444B" w14:paraId="378F7734" w14:textId="77777777" w:rsidTr="00A32205">
        <w:trPr>
          <w:trHeight w:val="20"/>
        </w:trPr>
        <w:tc>
          <w:tcPr>
            <w:tcW w:w="2553" w:type="dxa"/>
            <w:shd w:val="clear" w:color="auto" w:fill="auto"/>
            <w:vAlign w:val="center"/>
          </w:tcPr>
          <w:p w14:paraId="08771968" w14:textId="77777777" w:rsidR="004B74E3" w:rsidRPr="0019444B" w:rsidRDefault="004B74E3" w:rsidP="00BE1975">
            <w:pPr>
              <w:keepNext/>
              <w:widowControl w:val="0"/>
              <w:jc w:val="left"/>
              <w:rPr>
                <w:rFonts w:ascii="Arial Narrow" w:hAnsi="Arial Narrow"/>
                <w:sz w:val="20"/>
                <w:szCs w:val="20"/>
              </w:rPr>
            </w:pPr>
            <w:r w:rsidRPr="0019444B">
              <w:rPr>
                <w:rFonts w:ascii="Arial Narrow" w:hAnsi="Arial Narrow"/>
                <w:sz w:val="20"/>
                <w:szCs w:val="20"/>
              </w:rPr>
              <w:t>Adherence</w:t>
            </w:r>
          </w:p>
        </w:tc>
        <w:tc>
          <w:tcPr>
            <w:tcW w:w="1858" w:type="dxa"/>
            <w:shd w:val="clear" w:color="auto" w:fill="auto"/>
            <w:vAlign w:val="center"/>
          </w:tcPr>
          <w:p w14:paraId="5C167196" w14:textId="77777777" w:rsidR="004B74E3" w:rsidRPr="0019444B" w:rsidRDefault="004B74E3" w:rsidP="00BE1975">
            <w:pPr>
              <w:keepNext/>
              <w:widowControl w:val="0"/>
              <w:jc w:val="left"/>
              <w:rPr>
                <w:rFonts w:ascii="Arial Narrow" w:hAnsi="Arial Narrow"/>
                <w:sz w:val="20"/>
                <w:szCs w:val="20"/>
              </w:rPr>
            </w:pPr>
            <w:r w:rsidRPr="0019444B">
              <w:rPr>
                <w:rFonts w:ascii="Arial Narrow" w:hAnsi="Arial Narrow"/>
                <w:sz w:val="20"/>
                <w:szCs w:val="20"/>
              </w:rPr>
              <w:t>Mean dose intensity (ELEVATE-TN): 94.2%</w:t>
            </w:r>
          </w:p>
        </w:tc>
        <w:tc>
          <w:tcPr>
            <w:tcW w:w="2371" w:type="dxa"/>
            <w:shd w:val="clear" w:color="auto" w:fill="auto"/>
            <w:vAlign w:val="center"/>
          </w:tcPr>
          <w:p w14:paraId="64107A48" w14:textId="70C68821" w:rsidR="004B74E3" w:rsidRPr="0019444B" w:rsidRDefault="004B74E3" w:rsidP="00BE1975">
            <w:pPr>
              <w:keepNext/>
              <w:widowControl w:val="0"/>
              <w:jc w:val="left"/>
              <w:rPr>
                <w:rFonts w:ascii="Arial Narrow" w:hAnsi="Arial Narrow"/>
                <w:sz w:val="20"/>
                <w:szCs w:val="20"/>
              </w:rPr>
            </w:pPr>
            <w:r w:rsidRPr="0019444B">
              <w:rPr>
                <w:rFonts w:ascii="Arial Narrow" w:hAnsi="Arial Narrow"/>
                <w:sz w:val="20"/>
                <w:szCs w:val="20"/>
              </w:rPr>
              <w:t>12.38 scripts</w:t>
            </w:r>
            <w:r w:rsidR="00345CDE" w:rsidRPr="0019444B">
              <w:rPr>
                <w:rFonts w:ascii="Arial Narrow" w:hAnsi="Arial Narrow"/>
                <w:sz w:val="20"/>
                <w:szCs w:val="20"/>
              </w:rPr>
              <w:t xml:space="preserve"> per year</w:t>
            </w:r>
            <w:r w:rsidRPr="0019444B">
              <w:rPr>
                <w:rFonts w:ascii="Arial Narrow" w:hAnsi="Arial Narrow"/>
                <w:sz w:val="20"/>
                <w:szCs w:val="20"/>
              </w:rPr>
              <w:t xml:space="preserve"> (13.036</w:t>
            </w:r>
            <w:r w:rsidRPr="0019444B">
              <w:rPr>
                <w:rFonts w:ascii="Arial Narrow" w:hAnsi="Arial Narrow"/>
                <w:sz w:val="20"/>
                <w:szCs w:val="20"/>
                <w:vertAlign w:val="superscript"/>
              </w:rPr>
              <w:t>d</w:t>
            </w:r>
            <w:r w:rsidRPr="0019444B">
              <w:rPr>
                <w:rFonts w:ascii="Arial Narrow" w:hAnsi="Arial Narrow"/>
                <w:sz w:val="20"/>
                <w:szCs w:val="20"/>
              </w:rPr>
              <w:t xml:space="preserve"> scripts x 95.0% dose </w:t>
            </w:r>
            <w:proofErr w:type="gramStart"/>
            <w:r w:rsidRPr="0019444B">
              <w:rPr>
                <w:rFonts w:ascii="Arial Narrow" w:hAnsi="Arial Narrow"/>
                <w:sz w:val="20"/>
                <w:szCs w:val="20"/>
              </w:rPr>
              <w:t>intensity)</w:t>
            </w:r>
            <w:r w:rsidRPr="0019444B">
              <w:rPr>
                <w:rFonts w:ascii="Arial Narrow" w:hAnsi="Arial Narrow"/>
                <w:sz w:val="20"/>
                <w:szCs w:val="20"/>
                <w:vertAlign w:val="superscript"/>
              </w:rPr>
              <w:t>e</w:t>
            </w:r>
            <w:proofErr w:type="gramEnd"/>
          </w:p>
        </w:tc>
        <w:tc>
          <w:tcPr>
            <w:tcW w:w="2279" w:type="dxa"/>
            <w:shd w:val="clear" w:color="auto" w:fill="auto"/>
            <w:vAlign w:val="center"/>
          </w:tcPr>
          <w:p w14:paraId="6730007C" w14:textId="4C94EA01" w:rsidR="004B74E3" w:rsidRPr="0019444B" w:rsidRDefault="004B74E3" w:rsidP="00BE1975">
            <w:pPr>
              <w:keepNext/>
              <w:widowControl w:val="0"/>
              <w:jc w:val="left"/>
              <w:rPr>
                <w:rFonts w:ascii="Arial Narrow" w:hAnsi="Arial Narrow"/>
                <w:sz w:val="20"/>
                <w:szCs w:val="20"/>
              </w:rPr>
            </w:pPr>
            <w:r w:rsidRPr="0019444B">
              <w:rPr>
                <w:rFonts w:ascii="Arial Narrow" w:hAnsi="Arial Narrow"/>
                <w:sz w:val="20"/>
                <w:szCs w:val="20"/>
              </w:rPr>
              <w:t>12.34 scripts</w:t>
            </w:r>
            <w:r w:rsidR="00345CDE" w:rsidRPr="0019444B">
              <w:rPr>
                <w:rFonts w:ascii="Arial Narrow" w:hAnsi="Arial Narrow"/>
                <w:sz w:val="20"/>
                <w:szCs w:val="20"/>
              </w:rPr>
              <w:t xml:space="preserve"> per year</w:t>
            </w:r>
            <w:r w:rsidRPr="0019444B">
              <w:rPr>
                <w:rFonts w:ascii="Arial Narrow" w:hAnsi="Arial Narrow"/>
                <w:sz w:val="20"/>
                <w:szCs w:val="20"/>
              </w:rPr>
              <w:t xml:space="preserve"> (13.036</w:t>
            </w:r>
            <w:r w:rsidRPr="0019444B">
              <w:rPr>
                <w:rFonts w:ascii="Arial Narrow" w:hAnsi="Arial Narrow"/>
                <w:sz w:val="20"/>
                <w:szCs w:val="20"/>
                <w:vertAlign w:val="superscript"/>
              </w:rPr>
              <w:t>d</w:t>
            </w:r>
            <w:r w:rsidRPr="0019444B">
              <w:rPr>
                <w:rFonts w:ascii="Arial Narrow" w:hAnsi="Arial Narrow"/>
                <w:sz w:val="20"/>
                <w:szCs w:val="20"/>
              </w:rPr>
              <w:t xml:space="preserve"> scripts × 94.2% dose intensity)</w:t>
            </w:r>
          </w:p>
        </w:tc>
      </w:tr>
      <w:tr w:rsidR="004B74E3" w:rsidRPr="0019444B" w14:paraId="083553ED" w14:textId="77777777" w:rsidTr="00A32205">
        <w:trPr>
          <w:trHeight w:val="20"/>
        </w:trPr>
        <w:tc>
          <w:tcPr>
            <w:tcW w:w="2553" w:type="dxa"/>
            <w:shd w:val="clear" w:color="auto" w:fill="auto"/>
            <w:vAlign w:val="center"/>
          </w:tcPr>
          <w:p w14:paraId="15DCDDC9" w14:textId="77777777" w:rsidR="004B74E3" w:rsidRPr="0019444B" w:rsidRDefault="004B74E3" w:rsidP="00BE1975">
            <w:pPr>
              <w:keepNext/>
              <w:widowControl w:val="0"/>
              <w:jc w:val="left"/>
              <w:rPr>
                <w:rFonts w:ascii="Arial Narrow" w:hAnsi="Arial Narrow"/>
                <w:sz w:val="20"/>
                <w:szCs w:val="20"/>
              </w:rPr>
            </w:pPr>
            <w:r w:rsidRPr="0019444B">
              <w:rPr>
                <w:rFonts w:ascii="Arial Narrow" w:hAnsi="Arial Narrow"/>
                <w:sz w:val="20"/>
                <w:szCs w:val="20"/>
              </w:rPr>
              <w:t>Cost per year</w:t>
            </w:r>
          </w:p>
        </w:tc>
        <w:tc>
          <w:tcPr>
            <w:tcW w:w="1858" w:type="dxa"/>
            <w:shd w:val="clear" w:color="auto" w:fill="auto"/>
            <w:vAlign w:val="center"/>
          </w:tcPr>
          <w:p w14:paraId="55351DF8" w14:textId="77777777" w:rsidR="004B74E3" w:rsidRPr="0019444B" w:rsidRDefault="004B74E3" w:rsidP="00BE1975">
            <w:pPr>
              <w:keepNext/>
              <w:widowControl w:val="0"/>
              <w:jc w:val="left"/>
              <w:rPr>
                <w:rFonts w:ascii="Arial Narrow" w:hAnsi="Arial Narrow"/>
                <w:sz w:val="20"/>
                <w:szCs w:val="20"/>
              </w:rPr>
            </w:pPr>
            <w:r w:rsidRPr="0019444B">
              <w:rPr>
                <w:rFonts w:ascii="Arial Narrow" w:hAnsi="Arial Narrow"/>
                <w:sz w:val="20"/>
                <w:szCs w:val="20"/>
              </w:rPr>
              <w:t>-</w:t>
            </w:r>
          </w:p>
        </w:tc>
        <w:tc>
          <w:tcPr>
            <w:tcW w:w="2371" w:type="dxa"/>
            <w:shd w:val="clear" w:color="auto" w:fill="auto"/>
            <w:vAlign w:val="center"/>
          </w:tcPr>
          <w:p w14:paraId="71CB848A" w14:textId="77777777" w:rsidR="004B74E3" w:rsidRPr="0019444B" w:rsidRDefault="004B74E3" w:rsidP="00BE1975">
            <w:pPr>
              <w:keepNext/>
              <w:widowControl w:val="0"/>
              <w:jc w:val="left"/>
              <w:rPr>
                <w:rFonts w:ascii="Arial Narrow" w:hAnsi="Arial Narrow"/>
                <w:sz w:val="20"/>
                <w:szCs w:val="20"/>
              </w:rPr>
            </w:pPr>
            <w:r w:rsidRPr="0019444B">
              <w:rPr>
                <w:rFonts w:ascii="Arial Narrow" w:hAnsi="Arial Narrow"/>
                <w:sz w:val="20"/>
                <w:szCs w:val="20"/>
              </w:rPr>
              <w:t>$25,773</w:t>
            </w:r>
          </w:p>
        </w:tc>
        <w:tc>
          <w:tcPr>
            <w:tcW w:w="2279" w:type="dxa"/>
            <w:shd w:val="clear" w:color="auto" w:fill="auto"/>
            <w:vAlign w:val="center"/>
          </w:tcPr>
          <w:p w14:paraId="27A88CFB" w14:textId="61847F37" w:rsidR="004B74E3" w:rsidRPr="0019444B" w:rsidRDefault="004B74E3" w:rsidP="00BE1975">
            <w:pPr>
              <w:keepNext/>
              <w:widowControl w:val="0"/>
              <w:jc w:val="left"/>
              <w:rPr>
                <w:rFonts w:ascii="Arial Narrow" w:hAnsi="Arial Narrow"/>
                <w:sz w:val="20"/>
                <w:szCs w:val="20"/>
              </w:rPr>
            </w:pPr>
            <w:r w:rsidRPr="0019444B">
              <w:rPr>
                <w:rFonts w:ascii="Arial Narrow" w:hAnsi="Arial Narrow"/>
                <w:sz w:val="20"/>
                <w:szCs w:val="20"/>
              </w:rPr>
              <w:t>$</w:t>
            </w:r>
            <w:r w:rsidR="003741FC" w:rsidRPr="0019444B">
              <w:rPr>
                <w:rFonts w:ascii="Arial Narrow" w:hAnsi="Arial Narrow"/>
                <w:sz w:val="20"/>
                <w:szCs w:val="20"/>
              </w:rPr>
              <w:t>27,680</w:t>
            </w:r>
          </w:p>
        </w:tc>
      </w:tr>
      <w:bookmarkEnd w:id="85"/>
      <w:tr w:rsidR="004B74E3" w:rsidRPr="0019444B" w14:paraId="7A4928A6" w14:textId="77777777" w:rsidTr="00A32205">
        <w:trPr>
          <w:trHeight w:val="20"/>
        </w:trPr>
        <w:tc>
          <w:tcPr>
            <w:tcW w:w="2553" w:type="dxa"/>
            <w:shd w:val="clear" w:color="auto" w:fill="auto"/>
            <w:vAlign w:val="center"/>
          </w:tcPr>
          <w:p w14:paraId="00E15D4E" w14:textId="77777777" w:rsidR="004B74E3" w:rsidRPr="0019444B" w:rsidRDefault="004B74E3" w:rsidP="00BE1975">
            <w:pPr>
              <w:keepNext/>
              <w:widowControl w:val="0"/>
              <w:jc w:val="left"/>
              <w:rPr>
                <w:rFonts w:ascii="Arial Narrow" w:hAnsi="Arial Narrow"/>
                <w:sz w:val="20"/>
                <w:szCs w:val="20"/>
              </w:rPr>
            </w:pPr>
            <w:r w:rsidRPr="0019444B">
              <w:rPr>
                <w:rFonts w:ascii="Arial Narrow" w:hAnsi="Arial Narrow"/>
                <w:sz w:val="20"/>
                <w:szCs w:val="20"/>
              </w:rPr>
              <w:t xml:space="preserve">Mean duration </w:t>
            </w:r>
          </w:p>
        </w:tc>
        <w:tc>
          <w:tcPr>
            <w:tcW w:w="1858" w:type="dxa"/>
            <w:shd w:val="clear" w:color="auto" w:fill="auto"/>
            <w:vAlign w:val="center"/>
          </w:tcPr>
          <w:p w14:paraId="60C52145" w14:textId="77777777" w:rsidR="004B74E3" w:rsidRPr="0019444B" w:rsidRDefault="004B74E3" w:rsidP="00BE1975">
            <w:pPr>
              <w:keepNext/>
              <w:widowControl w:val="0"/>
              <w:jc w:val="left"/>
              <w:rPr>
                <w:rFonts w:ascii="Arial Narrow" w:hAnsi="Arial Narrow"/>
                <w:sz w:val="20"/>
                <w:szCs w:val="20"/>
              </w:rPr>
            </w:pPr>
            <w:r w:rsidRPr="0019444B">
              <w:rPr>
                <w:rFonts w:ascii="Arial Narrow" w:hAnsi="Arial Narrow"/>
                <w:sz w:val="20"/>
                <w:szCs w:val="20"/>
              </w:rPr>
              <w:t>50.7 months</w:t>
            </w:r>
          </w:p>
        </w:tc>
        <w:tc>
          <w:tcPr>
            <w:tcW w:w="2371" w:type="dxa"/>
            <w:shd w:val="clear" w:color="auto" w:fill="auto"/>
            <w:vAlign w:val="center"/>
          </w:tcPr>
          <w:p w14:paraId="059A4D28" w14:textId="77777777" w:rsidR="004B74E3" w:rsidRPr="0019444B" w:rsidRDefault="004B74E3" w:rsidP="00BE1975">
            <w:pPr>
              <w:keepNext/>
              <w:widowControl w:val="0"/>
              <w:jc w:val="left"/>
              <w:rPr>
                <w:rFonts w:ascii="Arial Narrow" w:hAnsi="Arial Narrow"/>
                <w:sz w:val="20"/>
                <w:szCs w:val="20"/>
              </w:rPr>
            </w:pPr>
            <w:r w:rsidRPr="0019444B">
              <w:rPr>
                <w:rFonts w:ascii="Arial Narrow" w:hAnsi="Arial Narrow"/>
                <w:sz w:val="20"/>
                <w:szCs w:val="20"/>
              </w:rPr>
              <w:t>50.7 months</w:t>
            </w:r>
          </w:p>
        </w:tc>
        <w:tc>
          <w:tcPr>
            <w:tcW w:w="2279" w:type="dxa"/>
            <w:shd w:val="clear" w:color="auto" w:fill="auto"/>
            <w:vAlign w:val="center"/>
          </w:tcPr>
          <w:p w14:paraId="0B8EA47E" w14:textId="77777777" w:rsidR="004B74E3" w:rsidRPr="0019444B" w:rsidRDefault="004B74E3" w:rsidP="00BE1975">
            <w:pPr>
              <w:keepNext/>
              <w:widowControl w:val="0"/>
              <w:jc w:val="left"/>
              <w:rPr>
                <w:rFonts w:ascii="Arial Narrow" w:hAnsi="Arial Narrow"/>
                <w:sz w:val="20"/>
                <w:szCs w:val="20"/>
              </w:rPr>
            </w:pPr>
            <w:r w:rsidRPr="0019444B">
              <w:rPr>
                <w:rFonts w:ascii="Arial Narrow" w:hAnsi="Arial Narrow"/>
                <w:sz w:val="20"/>
                <w:szCs w:val="20"/>
              </w:rPr>
              <w:t>50.7 months</w:t>
            </w:r>
          </w:p>
        </w:tc>
      </w:tr>
      <w:tr w:rsidR="004B74E3" w:rsidRPr="0019444B" w14:paraId="5A4E6E26" w14:textId="77777777" w:rsidTr="00A32205">
        <w:trPr>
          <w:trHeight w:val="20"/>
        </w:trPr>
        <w:tc>
          <w:tcPr>
            <w:tcW w:w="2553" w:type="dxa"/>
            <w:shd w:val="clear" w:color="auto" w:fill="auto"/>
            <w:vAlign w:val="center"/>
          </w:tcPr>
          <w:p w14:paraId="63A94EF4" w14:textId="77777777" w:rsidR="004B74E3" w:rsidRPr="0019444B" w:rsidRDefault="004B74E3" w:rsidP="00BE1975">
            <w:pPr>
              <w:keepNext/>
              <w:widowControl w:val="0"/>
              <w:jc w:val="left"/>
              <w:rPr>
                <w:rFonts w:ascii="Arial Narrow" w:hAnsi="Arial Narrow"/>
                <w:sz w:val="20"/>
                <w:szCs w:val="20"/>
              </w:rPr>
            </w:pPr>
            <w:r w:rsidRPr="0019444B">
              <w:rPr>
                <w:rFonts w:ascii="Arial Narrow" w:hAnsi="Arial Narrow"/>
                <w:sz w:val="20"/>
                <w:szCs w:val="20"/>
              </w:rPr>
              <w:t>Number of scripts per course</w:t>
            </w:r>
          </w:p>
        </w:tc>
        <w:tc>
          <w:tcPr>
            <w:tcW w:w="1858" w:type="dxa"/>
            <w:shd w:val="clear" w:color="auto" w:fill="auto"/>
            <w:vAlign w:val="center"/>
          </w:tcPr>
          <w:p w14:paraId="7146E125" w14:textId="77777777" w:rsidR="004B74E3" w:rsidRPr="0019444B" w:rsidRDefault="004B74E3" w:rsidP="00BE1975">
            <w:pPr>
              <w:keepNext/>
              <w:widowControl w:val="0"/>
              <w:jc w:val="left"/>
              <w:rPr>
                <w:rFonts w:ascii="Arial Narrow" w:hAnsi="Arial Narrow"/>
                <w:sz w:val="20"/>
                <w:szCs w:val="20"/>
              </w:rPr>
            </w:pPr>
            <w:r w:rsidRPr="0019444B">
              <w:rPr>
                <w:rFonts w:ascii="Arial Narrow" w:hAnsi="Arial Narrow"/>
                <w:sz w:val="20"/>
                <w:szCs w:val="20"/>
              </w:rPr>
              <w:t>52.14</w:t>
            </w:r>
          </w:p>
        </w:tc>
        <w:tc>
          <w:tcPr>
            <w:tcW w:w="2371" w:type="dxa"/>
            <w:shd w:val="clear" w:color="auto" w:fill="auto"/>
            <w:vAlign w:val="center"/>
          </w:tcPr>
          <w:p w14:paraId="473847F8" w14:textId="77777777" w:rsidR="004B74E3" w:rsidRPr="0019444B" w:rsidRDefault="004B74E3" w:rsidP="00BE1975">
            <w:pPr>
              <w:keepNext/>
              <w:widowControl w:val="0"/>
              <w:jc w:val="left"/>
              <w:rPr>
                <w:rFonts w:ascii="Arial Narrow" w:hAnsi="Arial Narrow"/>
                <w:sz w:val="20"/>
                <w:szCs w:val="20"/>
              </w:rPr>
            </w:pPr>
            <w:r w:rsidRPr="0019444B">
              <w:rPr>
                <w:rFonts w:ascii="Arial Narrow" w:hAnsi="Arial Narrow"/>
                <w:sz w:val="20"/>
                <w:szCs w:val="20"/>
              </w:rPr>
              <w:t>52.32</w:t>
            </w:r>
          </w:p>
        </w:tc>
        <w:tc>
          <w:tcPr>
            <w:tcW w:w="2279" w:type="dxa"/>
            <w:shd w:val="clear" w:color="auto" w:fill="auto"/>
            <w:vAlign w:val="center"/>
          </w:tcPr>
          <w:p w14:paraId="552DD4ED" w14:textId="77777777" w:rsidR="004B74E3" w:rsidRPr="0019444B" w:rsidRDefault="004B74E3" w:rsidP="00BE1975">
            <w:pPr>
              <w:keepNext/>
              <w:widowControl w:val="0"/>
              <w:jc w:val="left"/>
              <w:rPr>
                <w:rFonts w:ascii="Arial Narrow" w:hAnsi="Arial Narrow"/>
                <w:sz w:val="20"/>
                <w:szCs w:val="20"/>
              </w:rPr>
            </w:pPr>
            <w:r w:rsidRPr="0019444B">
              <w:rPr>
                <w:rFonts w:ascii="Arial Narrow" w:hAnsi="Arial Narrow"/>
                <w:sz w:val="20"/>
                <w:szCs w:val="20"/>
              </w:rPr>
              <w:t>52.14</w:t>
            </w:r>
          </w:p>
        </w:tc>
      </w:tr>
      <w:tr w:rsidR="004B74E3" w:rsidRPr="0019444B" w14:paraId="221579F2" w14:textId="77777777" w:rsidTr="00A32205">
        <w:trPr>
          <w:trHeight w:val="20"/>
        </w:trPr>
        <w:tc>
          <w:tcPr>
            <w:tcW w:w="2553" w:type="dxa"/>
            <w:shd w:val="clear" w:color="auto" w:fill="auto"/>
            <w:vAlign w:val="center"/>
          </w:tcPr>
          <w:p w14:paraId="0DE490C8" w14:textId="77777777" w:rsidR="004B74E3" w:rsidRPr="0019444B" w:rsidRDefault="004B74E3" w:rsidP="00BE1975">
            <w:pPr>
              <w:keepNext/>
              <w:widowControl w:val="0"/>
              <w:jc w:val="left"/>
              <w:rPr>
                <w:rFonts w:ascii="Arial Narrow" w:hAnsi="Arial Narrow"/>
                <w:sz w:val="20"/>
                <w:szCs w:val="20"/>
              </w:rPr>
            </w:pPr>
            <w:r w:rsidRPr="0019444B">
              <w:rPr>
                <w:rFonts w:ascii="Arial Narrow" w:hAnsi="Arial Narrow"/>
                <w:sz w:val="20"/>
                <w:szCs w:val="20"/>
              </w:rPr>
              <w:t>Cost per course</w:t>
            </w:r>
          </w:p>
        </w:tc>
        <w:tc>
          <w:tcPr>
            <w:tcW w:w="1858" w:type="dxa"/>
            <w:shd w:val="clear" w:color="auto" w:fill="auto"/>
            <w:vAlign w:val="center"/>
          </w:tcPr>
          <w:p w14:paraId="14930E7E" w14:textId="77777777" w:rsidR="004B74E3" w:rsidRPr="0019444B" w:rsidRDefault="004B74E3" w:rsidP="00BE1975">
            <w:pPr>
              <w:keepNext/>
              <w:widowControl w:val="0"/>
              <w:jc w:val="left"/>
              <w:rPr>
                <w:rFonts w:ascii="Arial Narrow" w:hAnsi="Arial Narrow"/>
                <w:sz w:val="20"/>
                <w:szCs w:val="20"/>
              </w:rPr>
            </w:pPr>
            <w:r w:rsidRPr="0019444B">
              <w:rPr>
                <w:rFonts w:ascii="Arial Narrow" w:hAnsi="Arial Narrow"/>
                <w:sz w:val="20"/>
                <w:szCs w:val="20"/>
              </w:rPr>
              <w:t>-</w:t>
            </w:r>
          </w:p>
        </w:tc>
        <w:tc>
          <w:tcPr>
            <w:tcW w:w="2371" w:type="dxa"/>
            <w:shd w:val="clear" w:color="auto" w:fill="auto"/>
            <w:vAlign w:val="center"/>
          </w:tcPr>
          <w:p w14:paraId="689FB656" w14:textId="77777777" w:rsidR="004B74E3" w:rsidRPr="0019444B" w:rsidRDefault="004B74E3" w:rsidP="00BE1975">
            <w:pPr>
              <w:keepNext/>
              <w:widowControl w:val="0"/>
              <w:jc w:val="left"/>
              <w:rPr>
                <w:rFonts w:ascii="Arial Narrow" w:hAnsi="Arial Narrow"/>
                <w:b/>
                <w:sz w:val="20"/>
                <w:szCs w:val="20"/>
              </w:rPr>
            </w:pPr>
            <w:r w:rsidRPr="0019444B">
              <w:rPr>
                <w:rFonts w:ascii="Arial Narrow" w:hAnsi="Arial Narrow"/>
                <w:b/>
                <w:sz w:val="20"/>
                <w:szCs w:val="20"/>
              </w:rPr>
              <w:t>$108,922</w:t>
            </w:r>
          </w:p>
        </w:tc>
        <w:tc>
          <w:tcPr>
            <w:tcW w:w="2279" w:type="dxa"/>
            <w:shd w:val="clear" w:color="auto" w:fill="auto"/>
            <w:vAlign w:val="center"/>
          </w:tcPr>
          <w:p w14:paraId="5222F4C8" w14:textId="76B18AFE" w:rsidR="004B74E3" w:rsidRPr="0019444B" w:rsidRDefault="004B74E3" w:rsidP="00BE1975">
            <w:pPr>
              <w:keepNext/>
              <w:widowControl w:val="0"/>
              <w:jc w:val="left"/>
              <w:rPr>
                <w:rFonts w:ascii="Arial Narrow" w:hAnsi="Arial Narrow"/>
                <w:b/>
                <w:sz w:val="20"/>
                <w:szCs w:val="20"/>
              </w:rPr>
            </w:pPr>
            <w:r w:rsidRPr="0019444B">
              <w:rPr>
                <w:rFonts w:ascii="Arial Narrow" w:hAnsi="Arial Narrow"/>
                <w:b/>
                <w:bCs/>
                <w:sz w:val="20"/>
                <w:szCs w:val="20"/>
              </w:rPr>
              <w:t>$</w:t>
            </w:r>
            <w:r w:rsidR="00C86158" w:rsidRPr="0019444B">
              <w:rPr>
                <w:rFonts w:ascii="Arial Narrow" w:hAnsi="Arial Narrow"/>
                <w:b/>
                <w:bCs/>
                <w:sz w:val="20"/>
                <w:szCs w:val="20"/>
              </w:rPr>
              <w:t>116,956</w:t>
            </w:r>
          </w:p>
        </w:tc>
      </w:tr>
      <w:tr w:rsidR="004B74E3" w:rsidRPr="0019444B" w14:paraId="25926090" w14:textId="77777777" w:rsidTr="00A32205">
        <w:trPr>
          <w:trHeight w:val="20"/>
        </w:trPr>
        <w:tc>
          <w:tcPr>
            <w:tcW w:w="9061" w:type="dxa"/>
            <w:gridSpan w:val="4"/>
            <w:shd w:val="clear" w:color="auto" w:fill="auto"/>
            <w:vAlign w:val="center"/>
          </w:tcPr>
          <w:p w14:paraId="2CF3F1DC" w14:textId="1A9A6601" w:rsidR="004B74E3" w:rsidRPr="0019444B" w:rsidRDefault="004B74E3" w:rsidP="00BE1975">
            <w:pPr>
              <w:keepNext/>
              <w:widowControl w:val="0"/>
              <w:jc w:val="left"/>
              <w:rPr>
                <w:rFonts w:ascii="Arial Narrow" w:hAnsi="Arial Narrow"/>
                <w:sz w:val="20"/>
                <w:szCs w:val="20"/>
              </w:rPr>
            </w:pPr>
            <w:r w:rsidRPr="0019444B">
              <w:rPr>
                <w:rFonts w:ascii="Arial Narrow" w:hAnsi="Arial Narrow"/>
                <w:b/>
                <w:bCs/>
                <w:smallCaps/>
                <w:sz w:val="20"/>
                <w:szCs w:val="20"/>
              </w:rPr>
              <w:t>O</w:t>
            </w:r>
            <w:r w:rsidR="006D6DE6" w:rsidRPr="0019444B">
              <w:rPr>
                <w:rFonts w:ascii="Arial Narrow" w:hAnsi="Arial Narrow"/>
                <w:b/>
                <w:bCs/>
                <w:sz w:val="20"/>
                <w:szCs w:val="20"/>
              </w:rPr>
              <w:t>BIN</w:t>
            </w:r>
          </w:p>
        </w:tc>
      </w:tr>
      <w:tr w:rsidR="004B74E3" w:rsidRPr="0019444B" w14:paraId="46DB932D" w14:textId="77777777" w:rsidTr="00A32205">
        <w:trPr>
          <w:trHeight w:val="20"/>
        </w:trPr>
        <w:tc>
          <w:tcPr>
            <w:tcW w:w="2553" w:type="dxa"/>
            <w:shd w:val="clear" w:color="auto" w:fill="auto"/>
            <w:vAlign w:val="center"/>
          </w:tcPr>
          <w:p w14:paraId="7B8F2D68" w14:textId="77777777" w:rsidR="004B74E3" w:rsidRPr="0019444B" w:rsidRDefault="004B74E3" w:rsidP="00BE1975">
            <w:pPr>
              <w:keepNext/>
              <w:widowControl w:val="0"/>
              <w:jc w:val="left"/>
              <w:rPr>
                <w:rFonts w:ascii="Arial Narrow" w:hAnsi="Arial Narrow"/>
                <w:sz w:val="20"/>
                <w:szCs w:val="20"/>
              </w:rPr>
            </w:pPr>
            <w:r w:rsidRPr="0019444B">
              <w:rPr>
                <w:rFonts w:ascii="Arial Narrow" w:hAnsi="Arial Narrow"/>
                <w:sz w:val="20"/>
                <w:szCs w:val="20"/>
              </w:rPr>
              <w:t xml:space="preserve">Cost per script </w:t>
            </w:r>
          </w:p>
        </w:tc>
        <w:tc>
          <w:tcPr>
            <w:tcW w:w="1858" w:type="dxa"/>
            <w:shd w:val="clear" w:color="auto" w:fill="auto"/>
            <w:vAlign w:val="center"/>
          </w:tcPr>
          <w:p w14:paraId="3ECDD85B" w14:textId="77777777" w:rsidR="004B74E3" w:rsidRPr="0019444B" w:rsidRDefault="004B74E3" w:rsidP="00BE1975">
            <w:pPr>
              <w:keepNext/>
              <w:widowControl w:val="0"/>
              <w:jc w:val="left"/>
              <w:rPr>
                <w:rFonts w:ascii="Arial Narrow" w:hAnsi="Arial Narrow"/>
                <w:sz w:val="20"/>
                <w:szCs w:val="20"/>
              </w:rPr>
            </w:pPr>
            <w:r w:rsidRPr="0019444B">
              <w:rPr>
                <w:rFonts w:ascii="Arial Narrow" w:hAnsi="Arial Narrow"/>
                <w:sz w:val="20"/>
                <w:szCs w:val="20"/>
              </w:rPr>
              <w:t>-</w:t>
            </w:r>
          </w:p>
        </w:tc>
        <w:tc>
          <w:tcPr>
            <w:tcW w:w="2371" w:type="dxa"/>
            <w:shd w:val="clear" w:color="auto" w:fill="auto"/>
            <w:vAlign w:val="center"/>
          </w:tcPr>
          <w:p w14:paraId="79F1F259" w14:textId="77777777" w:rsidR="004B74E3" w:rsidRPr="0019444B" w:rsidRDefault="004B74E3" w:rsidP="00BE1975">
            <w:pPr>
              <w:keepNext/>
              <w:widowControl w:val="0"/>
              <w:jc w:val="left"/>
              <w:rPr>
                <w:rFonts w:ascii="Arial Narrow" w:hAnsi="Arial Narrow"/>
                <w:sz w:val="20"/>
                <w:szCs w:val="20"/>
                <w:vertAlign w:val="superscript"/>
              </w:rPr>
            </w:pPr>
            <w:r w:rsidRPr="0019444B">
              <w:rPr>
                <w:rFonts w:ascii="Arial Narrow" w:hAnsi="Arial Narrow"/>
                <w:sz w:val="20"/>
                <w:szCs w:val="20"/>
              </w:rPr>
              <w:t>$4,525.52</w:t>
            </w:r>
          </w:p>
        </w:tc>
        <w:tc>
          <w:tcPr>
            <w:tcW w:w="2279" w:type="dxa"/>
            <w:shd w:val="clear" w:color="auto" w:fill="auto"/>
            <w:vAlign w:val="center"/>
          </w:tcPr>
          <w:p w14:paraId="51EB319F" w14:textId="4B540374" w:rsidR="004B74E3" w:rsidRPr="0019444B" w:rsidRDefault="004B74E3" w:rsidP="00BE1975">
            <w:pPr>
              <w:keepNext/>
              <w:widowControl w:val="0"/>
              <w:jc w:val="left"/>
              <w:rPr>
                <w:rFonts w:ascii="Arial Narrow" w:hAnsi="Arial Narrow"/>
                <w:sz w:val="20"/>
                <w:szCs w:val="20"/>
                <w:vertAlign w:val="superscript"/>
              </w:rPr>
            </w:pPr>
            <w:r w:rsidRPr="0019444B">
              <w:rPr>
                <w:rFonts w:ascii="Arial Narrow" w:hAnsi="Arial Narrow"/>
                <w:sz w:val="20"/>
                <w:szCs w:val="20"/>
              </w:rPr>
              <w:t>$4,</w:t>
            </w:r>
            <w:r w:rsidR="00A35272" w:rsidRPr="0019444B">
              <w:rPr>
                <w:rFonts w:ascii="Arial Narrow" w:hAnsi="Arial Narrow"/>
                <w:sz w:val="20"/>
                <w:szCs w:val="20"/>
              </w:rPr>
              <w:t>665</w:t>
            </w:r>
            <w:r w:rsidRPr="0019444B">
              <w:rPr>
                <w:rFonts w:ascii="Arial Narrow" w:hAnsi="Arial Narrow"/>
                <w:sz w:val="20"/>
                <w:szCs w:val="20"/>
              </w:rPr>
              <w:t>.59</w:t>
            </w:r>
          </w:p>
        </w:tc>
      </w:tr>
      <w:tr w:rsidR="004B74E3" w:rsidRPr="0019444B" w14:paraId="448DB0C7" w14:textId="77777777" w:rsidTr="00A32205">
        <w:trPr>
          <w:trHeight w:val="20"/>
        </w:trPr>
        <w:tc>
          <w:tcPr>
            <w:tcW w:w="2553" w:type="dxa"/>
            <w:shd w:val="clear" w:color="auto" w:fill="auto"/>
            <w:vAlign w:val="center"/>
          </w:tcPr>
          <w:p w14:paraId="70AA0D32" w14:textId="77777777" w:rsidR="004B74E3" w:rsidRPr="0019444B" w:rsidRDefault="004B74E3" w:rsidP="00BE1975">
            <w:pPr>
              <w:keepNext/>
              <w:widowControl w:val="0"/>
              <w:jc w:val="left"/>
              <w:rPr>
                <w:rFonts w:ascii="Arial Narrow" w:hAnsi="Arial Narrow"/>
                <w:sz w:val="20"/>
                <w:szCs w:val="20"/>
                <w:vertAlign w:val="superscript"/>
              </w:rPr>
            </w:pPr>
            <w:r w:rsidRPr="0019444B">
              <w:rPr>
                <w:rFonts w:ascii="Arial Narrow" w:hAnsi="Arial Narrow"/>
                <w:sz w:val="20"/>
                <w:szCs w:val="20"/>
              </w:rPr>
              <w:t xml:space="preserve">Compliance </w:t>
            </w:r>
            <w:r w:rsidRPr="0019444B">
              <w:rPr>
                <w:rFonts w:ascii="Arial Narrow" w:hAnsi="Arial Narrow"/>
                <w:sz w:val="20"/>
                <w:szCs w:val="20"/>
                <w:vertAlign w:val="superscript"/>
              </w:rPr>
              <w:t>g</w:t>
            </w:r>
          </w:p>
        </w:tc>
        <w:tc>
          <w:tcPr>
            <w:tcW w:w="1858" w:type="dxa"/>
            <w:shd w:val="clear" w:color="auto" w:fill="auto"/>
            <w:vAlign w:val="center"/>
          </w:tcPr>
          <w:p w14:paraId="46C92DED" w14:textId="77777777" w:rsidR="004B74E3" w:rsidRPr="0019444B" w:rsidRDefault="004B74E3" w:rsidP="00BE1975">
            <w:pPr>
              <w:keepNext/>
              <w:widowControl w:val="0"/>
              <w:jc w:val="left"/>
              <w:rPr>
                <w:rFonts w:ascii="Arial Narrow" w:hAnsi="Arial Narrow"/>
                <w:sz w:val="20"/>
                <w:szCs w:val="20"/>
                <w:vertAlign w:val="superscript"/>
              </w:rPr>
            </w:pPr>
            <w:r w:rsidRPr="0019444B">
              <w:rPr>
                <w:rFonts w:ascii="Arial Narrow" w:hAnsi="Arial Narrow"/>
                <w:sz w:val="20"/>
                <w:szCs w:val="20"/>
              </w:rPr>
              <w:t xml:space="preserve">7.55 scripts/course </w:t>
            </w:r>
            <w:r w:rsidRPr="0019444B">
              <w:rPr>
                <w:rFonts w:ascii="Arial Narrow" w:hAnsi="Arial Narrow"/>
                <w:sz w:val="20"/>
                <w:szCs w:val="20"/>
                <w:vertAlign w:val="superscript"/>
              </w:rPr>
              <w:t>f</w:t>
            </w:r>
          </w:p>
        </w:tc>
        <w:tc>
          <w:tcPr>
            <w:tcW w:w="2371" w:type="dxa"/>
            <w:shd w:val="clear" w:color="auto" w:fill="auto"/>
            <w:vAlign w:val="center"/>
          </w:tcPr>
          <w:p w14:paraId="2EF3B331" w14:textId="43662523" w:rsidR="004B74E3" w:rsidRPr="0019444B" w:rsidRDefault="004B74E3" w:rsidP="00BE1975">
            <w:pPr>
              <w:keepNext/>
              <w:widowControl w:val="0"/>
              <w:jc w:val="left"/>
              <w:rPr>
                <w:rFonts w:ascii="Arial Narrow" w:hAnsi="Arial Narrow"/>
                <w:sz w:val="20"/>
                <w:szCs w:val="20"/>
                <w:vertAlign w:val="superscript"/>
              </w:rPr>
            </w:pPr>
            <w:r w:rsidRPr="0019444B">
              <w:rPr>
                <w:rFonts w:ascii="Arial Narrow" w:hAnsi="Arial Narrow"/>
                <w:sz w:val="20"/>
                <w:szCs w:val="20"/>
              </w:rPr>
              <w:t xml:space="preserve">7.55 scripts/course </w:t>
            </w:r>
            <w:r w:rsidRPr="0019444B">
              <w:rPr>
                <w:rFonts w:ascii="Arial Narrow" w:hAnsi="Arial Narrow"/>
                <w:sz w:val="20"/>
                <w:szCs w:val="20"/>
                <w:vertAlign w:val="superscript"/>
              </w:rPr>
              <w:t>f</w:t>
            </w:r>
          </w:p>
        </w:tc>
        <w:tc>
          <w:tcPr>
            <w:tcW w:w="2279" w:type="dxa"/>
            <w:shd w:val="clear" w:color="auto" w:fill="auto"/>
            <w:vAlign w:val="center"/>
          </w:tcPr>
          <w:p w14:paraId="562E2D53" w14:textId="77777777" w:rsidR="004B74E3" w:rsidRPr="0019444B" w:rsidRDefault="004B74E3" w:rsidP="00BE1975">
            <w:pPr>
              <w:keepNext/>
              <w:widowControl w:val="0"/>
              <w:jc w:val="left"/>
              <w:rPr>
                <w:rFonts w:ascii="Arial Narrow" w:hAnsi="Arial Narrow"/>
                <w:sz w:val="20"/>
                <w:szCs w:val="20"/>
              </w:rPr>
            </w:pPr>
            <w:r w:rsidRPr="0019444B">
              <w:rPr>
                <w:rFonts w:ascii="Arial Narrow" w:hAnsi="Arial Narrow"/>
                <w:sz w:val="20"/>
                <w:szCs w:val="20"/>
              </w:rPr>
              <w:t xml:space="preserve">7.55 scripts/course </w:t>
            </w:r>
            <w:r w:rsidRPr="0019444B">
              <w:rPr>
                <w:rFonts w:ascii="Arial Narrow" w:hAnsi="Arial Narrow"/>
                <w:sz w:val="20"/>
                <w:szCs w:val="20"/>
                <w:vertAlign w:val="superscript"/>
              </w:rPr>
              <w:t>f</w:t>
            </w:r>
          </w:p>
        </w:tc>
      </w:tr>
      <w:tr w:rsidR="004B74E3" w:rsidRPr="0019444B" w14:paraId="28527904" w14:textId="77777777" w:rsidTr="00A32205">
        <w:trPr>
          <w:trHeight w:val="20"/>
        </w:trPr>
        <w:tc>
          <w:tcPr>
            <w:tcW w:w="2553" w:type="dxa"/>
            <w:shd w:val="clear" w:color="auto" w:fill="auto"/>
            <w:vAlign w:val="center"/>
          </w:tcPr>
          <w:p w14:paraId="0AC3A427" w14:textId="77777777" w:rsidR="004B74E3" w:rsidRPr="0019444B" w:rsidRDefault="004B74E3" w:rsidP="00BE1975">
            <w:pPr>
              <w:keepNext/>
              <w:widowControl w:val="0"/>
              <w:jc w:val="left"/>
              <w:rPr>
                <w:rFonts w:ascii="Arial Narrow" w:hAnsi="Arial Narrow"/>
                <w:sz w:val="20"/>
                <w:szCs w:val="20"/>
              </w:rPr>
            </w:pPr>
            <w:r w:rsidRPr="0019444B">
              <w:rPr>
                <w:rFonts w:ascii="Arial Narrow" w:hAnsi="Arial Narrow"/>
                <w:sz w:val="20"/>
                <w:szCs w:val="20"/>
              </w:rPr>
              <w:t>Cost per course</w:t>
            </w:r>
          </w:p>
        </w:tc>
        <w:tc>
          <w:tcPr>
            <w:tcW w:w="1858" w:type="dxa"/>
            <w:shd w:val="clear" w:color="auto" w:fill="auto"/>
            <w:vAlign w:val="center"/>
          </w:tcPr>
          <w:p w14:paraId="0E7D2830" w14:textId="77777777" w:rsidR="004B74E3" w:rsidRPr="0019444B" w:rsidRDefault="004B74E3" w:rsidP="00BE1975">
            <w:pPr>
              <w:keepNext/>
              <w:widowControl w:val="0"/>
              <w:jc w:val="left"/>
              <w:rPr>
                <w:rFonts w:ascii="Arial Narrow" w:hAnsi="Arial Narrow"/>
                <w:sz w:val="20"/>
                <w:szCs w:val="20"/>
              </w:rPr>
            </w:pPr>
            <w:r w:rsidRPr="0019444B">
              <w:rPr>
                <w:rFonts w:ascii="Arial Narrow" w:hAnsi="Arial Narrow"/>
                <w:sz w:val="20"/>
                <w:szCs w:val="20"/>
              </w:rPr>
              <w:t>-</w:t>
            </w:r>
          </w:p>
        </w:tc>
        <w:tc>
          <w:tcPr>
            <w:tcW w:w="2371" w:type="dxa"/>
            <w:shd w:val="clear" w:color="auto" w:fill="auto"/>
            <w:vAlign w:val="center"/>
          </w:tcPr>
          <w:p w14:paraId="727B7FDE" w14:textId="77777777" w:rsidR="004B74E3" w:rsidRPr="0019444B" w:rsidRDefault="004B74E3" w:rsidP="00BE1975">
            <w:pPr>
              <w:keepNext/>
              <w:widowControl w:val="0"/>
              <w:jc w:val="left"/>
              <w:rPr>
                <w:rFonts w:ascii="Arial Narrow" w:hAnsi="Arial Narrow"/>
                <w:sz w:val="20"/>
                <w:szCs w:val="20"/>
              </w:rPr>
            </w:pPr>
            <w:r w:rsidRPr="0019444B">
              <w:rPr>
                <w:rFonts w:ascii="Arial Narrow" w:hAnsi="Arial Narrow"/>
                <w:sz w:val="20"/>
                <w:szCs w:val="20"/>
              </w:rPr>
              <w:t>$34,168</w:t>
            </w:r>
          </w:p>
        </w:tc>
        <w:tc>
          <w:tcPr>
            <w:tcW w:w="2279" w:type="dxa"/>
            <w:shd w:val="clear" w:color="auto" w:fill="auto"/>
            <w:vAlign w:val="center"/>
          </w:tcPr>
          <w:p w14:paraId="06E55DF7" w14:textId="71154FFB" w:rsidR="004B74E3" w:rsidRPr="0019444B" w:rsidRDefault="004B74E3" w:rsidP="00BE1975">
            <w:pPr>
              <w:keepNext/>
              <w:widowControl w:val="0"/>
              <w:jc w:val="left"/>
              <w:rPr>
                <w:rFonts w:ascii="Arial Narrow" w:hAnsi="Arial Narrow"/>
                <w:sz w:val="20"/>
                <w:szCs w:val="20"/>
              </w:rPr>
            </w:pPr>
            <w:r w:rsidRPr="0019444B">
              <w:rPr>
                <w:rFonts w:ascii="Arial Narrow" w:hAnsi="Arial Narrow"/>
                <w:sz w:val="20"/>
                <w:szCs w:val="20"/>
              </w:rPr>
              <w:t>$3</w:t>
            </w:r>
            <w:r w:rsidR="00A35272" w:rsidRPr="0019444B">
              <w:rPr>
                <w:rFonts w:ascii="Arial Narrow" w:hAnsi="Arial Narrow"/>
                <w:sz w:val="20"/>
                <w:szCs w:val="20"/>
              </w:rPr>
              <w:t>5,221</w:t>
            </w:r>
          </w:p>
        </w:tc>
      </w:tr>
      <w:tr w:rsidR="004B74E3" w:rsidRPr="0019444B" w14:paraId="28D6E4F2" w14:textId="77777777" w:rsidTr="00A32205">
        <w:trPr>
          <w:trHeight w:val="20"/>
        </w:trPr>
        <w:tc>
          <w:tcPr>
            <w:tcW w:w="2553" w:type="dxa"/>
            <w:shd w:val="clear" w:color="auto" w:fill="auto"/>
            <w:vAlign w:val="center"/>
          </w:tcPr>
          <w:p w14:paraId="7EF94F56" w14:textId="77777777" w:rsidR="004B74E3" w:rsidRPr="0019444B" w:rsidRDefault="004B74E3" w:rsidP="00BE1975">
            <w:pPr>
              <w:keepNext/>
              <w:widowControl w:val="0"/>
              <w:jc w:val="left"/>
              <w:rPr>
                <w:rFonts w:ascii="Arial Narrow" w:hAnsi="Arial Narrow"/>
                <w:b/>
                <w:bCs/>
                <w:sz w:val="20"/>
                <w:szCs w:val="20"/>
              </w:rPr>
            </w:pPr>
            <w:r w:rsidRPr="0019444B">
              <w:rPr>
                <w:rFonts w:ascii="Arial Narrow" w:hAnsi="Arial Narrow"/>
                <w:b/>
                <w:bCs/>
                <w:sz w:val="20"/>
                <w:szCs w:val="20"/>
              </w:rPr>
              <w:t>Total cost per course</w:t>
            </w:r>
          </w:p>
        </w:tc>
        <w:tc>
          <w:tcPr>
            <w:tcW w:w="1858" w:type="dxa"/>
            <w:shd w:val="clear" w:color="auto" w:fill="auto"/>
            <w:vAlign w:val="center"/>
          </w:tcPr>
          <w:p w14:paraId="3D65A1FC" w14:textId="77777777" w:rsidR="004B74E3" w:rsidRPr="0019444B" w:rsidRDefault="004B74E3" w:rsidP="00BE1975">
            <w:pPr>
              <w:keepNext/>
              <w:widowControl w:val="0"/>
              <w:jc w:val="left"/>
              <w:rPr>
                <w:rFonts w:ascii="Arial Narrow" w:hAnsi="Arial Narrow"/>
                <w:sz w:val="20"/>
                <w:szCs w:val="20"/>
              </w:rPr>
            </w:pPr>
            <w:r w:rsidRPr="0019444B">
              <w:rPr>
                <w:rFonts w:ascii="Arial Narrow" w:hAnsi="Arial Narrow"/>
                <w:sz w:val="20"/>
                <w:szCs w:val="20"/>
              </w:rPr>
              <w:t>-</w:t>
            </w:r>
          </w:p>
        </w:tc>
        <w:tc>
          <w:tcPr>
            <w:tcW w:w="2371" w:type="dxa"/>
            <w:shd w:val="clear" w:color="auto" w:fill="auto"/>
            <w:vAlign w:val="center"/>
          </w:tcPr>
          <w:p w14:paraId="7F04113E" w14:textId="77777777" w:rsidR="004B74E3" w:rsidRPr="0019444B" w:rsidRDefault="004B74E3" w:rsidP="00BE1975">
            <w:pPr>
              <w:keepNext/>
              <w:widowControl w:val="0"/>
              <w:jc w:val="left"/>
              <w:rPr>
                <w:rFonts w:ascii="Arial Narrow" w:hAnsi="Arial Narrow"/>
                <w:b/>
                <w:bCs/>
                <w:sz w:val="20"/>
                <w:szCs w:val="20"/>
              </w:rPr>
            </w:pPr>
            <w:r w:rsidRPr="0019444B">
              <w:rPr>
                <w:rFonts w:ascii="Arial Narrow" w:hAnsi="Arial Narrow"/>
                <w:b/>
                <w:bCs/>
                <w:sz w:val="20"/>
                <w:szCs w:val="20"/>
              </w:rPr>
              <w:t>$143,090</w:t>
            </w:r>
          </w:p>
        </w:tc>
        <w:tc>
          <w:tcPr>
            <w:tcW w:w="2279" w:type="dxa"/>
            <w:shd w:val="clear" w:color="auto" w:fill="auto"/>
            <w:vAlign w:val="center"/>
          </w:tcPr>
          <w:p w14:paraId="5A16696A" w14:textId="59AA3E07" w:rsidR="004B74E3" w:rsidRPr="0019444B" w:rsidRDefault="004B74E3" w:rsidP="00BE1975">
            <w:pPr>
              <w:keepNext/>
              <w:widowControl w:val="0"/>
              <w:jc w:val="left"/>
              <w:rPr>
                <w:rFonts w:ascii="Arial Narrow" w:hAnsi="Arial Narrow"/>
                <w:b/>
                <w:bCs/>
                <w:sz w:val="20"/>
                <w:szCs w:val="20"/>
              </w:rPr>
            </w:pPr>
            <w:r w:rsidRPr="0019444B">
              <w:rPr>
                <w:rFonts w:ascii="Arial Narrow" w:hAnsi="Arial Narrow"/>
                <w:b/>
                <w:bCs/>
                <w:sz w:val="20"/>
                <w:szCs w:val="20"/>
              </w:rPr>
              <w:t>$</w:t>
            </w:r>
            <w:r w:rsidR="00A35272" w:rsidRPr="0019444B">
              <w:rPr>
                <w:rFonts w:ascii="Arial Narrow" w:hAnsi="Arial Narrow"/>
                <w:b/>
                <w:bCs/>
                <w:sz w:val="20"/>
                <w:szCs w:val="20"/>
              </w:rPr>
              <w:t>152,177</w:t>
            </w:r>
          </w:p>
        </w:tc>
      </w:tr>
      <w:tr w:rsidR="004B74E3" w:rsidRPr="0019444B" w14:paraId="16850B82" w14:textId="77777777" w:rsidTr="00A32205">
        <w:trPr>
          <w:trHeight w:val="20"/>
        </w:trPr>
        <w:tc>
          <w:tcPr>
            <w:tcW w:w="9061" w:type="dxa"/>
            <w:gridSpan w:val="4"/>
            <w:shd w:val="clear" w:color="auto" w:fill="auto"/>
            <w:vAlign w:val="center"/>
          </w:tcPr>
          <w:p w14:paraId="5719DECC" w14:textId="41CFC1B7" w:rsidR="004B74E3" w:rsidRPr="0019444B" w:rsidRDefault="004B74E3" w:rsidP="00BE1975">
            <w:pPr>
              <w:keepNext/>
              <w:widowControl w:val="0"/>
              <w:jc w:val="left"/>
              <w:rPr>
                <w:rFonts w:ascii="Arial Narrow" w:hAnsi="Arial Narrow"/>
                <w:b/>
                <w:bCs/>
                <w:smallCaps/>
                <w:sz w:val="20"/>
                <w:szCs w:val="20"/>
              </w:rPr>
            </w:pPr>
            <w:r w:rsidRPr="0019444B">
              <w:rPr>
                <w:rFonts w:ascii="Arial Narrow" w:hAnsi="Arial Narrow"/>
                <w:b/>
                <w:bCs/>
                <w:sz w:val="20"/>
                <w:szCs w:val="20"/>
              </w:rPr>
              <w:t>A</w:t>
            </w:r>
            <w:r w:rsidR="006D6DE6" w:rsidRPr="0019444B">
              <w:rPr>
                <w:rFonts w:ascii="Arial Narrow" w:hAnsi="Arial Narrow"/>
                <w:b/>
                <w:bCs/>
                <w:sz w:val="20"/>
                <w:szCs w:val="20"/>
              </w:rPr>
              <w:t>CA</w:t>
            </w:r>
            <w:r w:rsidRPr="0019444B">
              <w:rPr>
                <w:rFonts w:ascii="Arial Narrow" w:hAnsi="Arial Narrow"/>
                <w:b/>
                <w:bCs/>
                <w:sz w:val="20"/>
                <w:szCs w:val="20"/>
              </w:rPr>
              <w:t xml:space="preserve"> mono</w:t>
            </w:r>
            <w:r w:rsidR="000F7266" w:rsidRPr="0019444B">
              <w:rPr>
                <w:rFonts w:ascii="Arial Narrow" w:hAnsi="Arial Narrow"/>
                <w:b/>
                <w:bCs/>
                <w:sz w:val="20"/>
                <w:szCs w:val="20"/>
              </w:rPr>
              <w:t>t</w:t>
            </w:r>
            <w:r w:rsidRPr="0019444B">
              <w:rPr>
                <w:rFonts w:ascii="Arial Narrow" w:hAnsi="Arial Narrow"/>
                <w:b/>
                <w:bCs/>
                <w:sz w:val="20"/>
                <w:szCs w:val="20"/>
              </w:rPr>
              <w:t>herapy</w:t>
            </w:r>
          </w:p>
        </w:tc>
      </w:tr>
      <w:tr w:rsidR="004B74E3" w:rsidRPr="0019444B" w14:paraId="5A357912" w14:textId="77777777" w:rsidTr="00A32205">
        <w:trPr>
          <w:trHeight w:val="20"/>
        </w:trPr>
        <w:tc>
          <w:tcPr>
            <w:tcW w:w="9061" w:type="dxa"/>
            <w:gridSpan w:val="4"/>
            <w:shd w:val="clear" w:color="auto" w:fill="auto"/>
            <w:vAlign w:val="center"/>
          </w:tcPr>
          <w:p w14:paraId="09173413" w14:textId="20822F5E" w:rsidR="004B74E3" w:rsidRPr="0019444B" w:rsidRDefault="000F7266" w:rsidP="00BE1975">
            <w:pPr>
              <w:keepNext/>
              <w:widowControl w:val="0"/>
              <w:jc w:val="left"/>
              <w:rPr>
                <w:rFonts w:ascii="Arial Narrow" w:hAnsi="Arial Narrow"/>
                <w:b/>
                <w:bCs/>
                <w:sz w:val="20"/>
                <w:szCs w:val="20"/>
              </w:rPr>
            </w:pPr>
            <w:r w:rsidRPr="0019444B">
              <w:rPr>
                <w:rFonts w:ascii="Arial Narrow" w:hAnsi="Arial Narrow"/>
                <w:b/>
                <w:bCs/>
                <w:sz w:val="20"/>
                <w:szCs w:val="20"/>
              </w:rPr>
              <w:t>A</w:t>
            </w:r>
            <w:r w:rsidR="006D6DE6" w:rsidRPr="0019444B">
              <w:rPr>
                <w:rFonts w:ascii="Arial Narrow" w:hAnsi="Arial Narrow"/>
                <w:b/>
                <w:bCs/>
                <w:sz w:val="20"/>
                <w:szCs w:val="20"/>
              </w:rPr>
              <w:t>CA</w:t>
            </w:r>
          </w:p>
        </w:tc>
      </w:tr>
      <w:tr w:rsidR="00096739" w:rsidRPr="0019444B" w14:paraId="70A08BF3" w14:textId="77777777" w:rsidTr="00A32205">
        <w:trPr>
          <w:trHeight w:val="20"/>
        </w:trPr>
        <w:tc>
          <w:tcPr>
            <w:tcW w:w="2553" w:type="dxa"/>
            <w:shd w:val="clear" w:color="auto" w:fill="auto"/>
            <w:vAlign w:val="center"/>
          </w:tcPr>
          <w:p w14:paraId="50727BE8" w14:textId="77777777" w:rsidR="00096739" w:rsidRPr="0019444B" w:rsidRDefault="00096739" w:rsidP="00BE1975">
            <w:pPr>
              <w:keepNext/>
              <w:widowControl w:val="0"/>
              <w:jc w:val="left"/>
              <w:rPr>
                <w:rFonts w:ascii="Arial Narrow" w:hAnsi="Arial Narrow"/>
                <w:sz w:val="20"/>
                <w:szCs w:val="20"/>
              </w:rPr>
            </w:pPr>
            <w:r w:rsidRPr="0019444B">
              <w:rPr>
                <w:rFonts w:ascii="Arial Narrow" w:hAnsi="Arial Narrow"/>
                <w:sz w:val="20"/>
                <w:szCs w:val="20"/>
              </w:rPr>
              <w:t xml:space="preserve">Cost per script </w:t>
            </w:r>
          </w:p>
        </w:tc>
        <w:tc>
          <w:tcPr>
            <w:tcW w:w="1858" w:type="dxa"/>
            <w:shd w:val="clear" w:color="auto" w:fill="auto"/>
            <w:vAlign w:val="center"/>
          </w:tcPr>
          <w:p w14:paraId="5308615A" w14:textId="77777777" w:rsidR="00096739" w:rsidRPr="0019444B" w:rsidRDefault="00096739" w:rsidP="00BE1975">
            <w:pPr>
              <w:keepNext/>
              <w:widowControl w:val="0"/>
              <w:jc w:val="left"/>
              <w:rPr>
                <w:rFonts w:ascii="Arial Narrow" w:hAnsi="Arial Narrow"/>
                <w:sz w:val="20"/>
                <w:szCs w:val="20"/>
              </w:rPr>
            </w:pPr>
            <w:r w:rsidRPr="0019444B">
              <w:rPr>
                <w:rFonts w:ascii="Arial Narrow" w:hAnsi="Arial Narrow"/>
                <w:sz w:val="20"/>
                <w:szCs w:val="20"/>
              </w:rPr>
              <w:t>-</w:t>
            </w:r>
          </w:p>
        </w:tc>
        <w:tc>
          <w:tcPr>
            <w:tcW w:w="2371" w:type="dxa"/>
            <w:shd w:val="clear" w:color="auto" w:fill="auto"/>
            <w:vAlign w:val="center"/>
          </w:tcPr>
          <w:p w14:paraId="038B8D05" w14:textId="77777777" w:rsidR="00096739" w:rsidRPr="0019444B" w:rsidRDefault="00096739" w:rsidP="00BE1975">
            <w:pPr>
              <w:keepNext/>
              <w:widowControl w:val="0"/>
              <w:jc w:val="left"/>
              <w:rPr>
                <w:rFonts w:ascii="Arial Narrow" w:hAnsi="Arial Narrow"/>
                <w:sz w:val="20"/>
                <w:szCs w:val="20"/>
              </w:rPr>
            </w:pPr>
            <w:r w:rsidRPr="0019444B">
              <w:rPr>
                <w:rFonts w:ascii="Arial Narrow" w:hAnsi="Arial Narrow"/>
                <w:sz w:val="20"/>
                <w:szCs w:val="20"/>
              </w:rPr>
              <w:t xml:space="preserve">$2,081.84 </w:t>
            </w:r>
            <w:r w:rsidRPr="0019444B">
              <w:rPr>
                <w:rFonts w:ascii="Arial Narrow" w:hAnsi="Arial Narrow"/>
                <w:sz w:val="20"/>
                <w:szCs w:val="20"/>
                <w:vertAlign w:val="superscript"/>
              </w:rPr>
              <w:t>c</w:t>
            </w:r>
          </w:p>
        </w:tc>
        <w:tc>
          <w:tcPr>
            <w:tcW w:w="2279" w:type="dxa"/>
            <w:shd w:val="clear" w:color="auto" w:fill="auto"/>
            <w:vAlign w:val="center"/>
          </w:tcPr>
          <w:p w14:paraId="1BADABB2" w14:textId="0061DED8" w:rsidR="00096739" w:rsidRPr="0019444B" w:rsidRDefault="00096739" w:rsidP="00BE1975">
            <w:pPr>
              <w:keepNext/>
              <w:widowControl w:val="0"/>
              <w:jc w:val="left"/>
              <w:rPr>
                <w:rFonts w:ascii="Arial Narrow" w:hAnsi="Arial Narrow"/>
                <w:sz w:val="20"/>
                <w:szCs w:val="20"/>
              </w:rPr>
            </w:pPr>
            <w:r w:rsidRPr="0019444B">
              <w:rPr>
                <w:rFonts w:ascii="Arial Narrow" w:hAnsi="Arial Narrow"/>
                <w:sz w:val="20"/>
                <w:szCs w:val="20"/>
              </w:rPr>
              <w:t>$2,243.12</w:t>
            </w:r>
          </w:p>
        </w:tc>
      </w:tr>
      <w:tr w:rsidR="00096739" w:rsidRPr="0019444B" w14:paraId="6D631A89" w14:textId="77777777" w:rsidTr="00A32205">
        <w:trPr>
          <w:trHeight w:val="20"/>
        </w:trPr>
        <w:tc>
          <w:tcPr>
            <w:tcW w:w="2553" w:type="dxa"/>
            <w:shd w:val="clear" w:color="auto" w:fill="auto"/>
            <w:vAlign w:val="center"/>
          </w:tcPr>
          <w:p w14:paraId="5A25E3A2" w14:textId="77777777" w:rsidR="00096739" w:rsidRPr="0019444B" w:rsidRDefault="00096739" w:rsidP="00BE1975">
            <w:pPr>
              <w:keepNext/>
              <w:widowControl w:val="0"/>
              <w:jc w:val="left"/>
              <w:rPr>
                <w:rFonts w:ascii="Arial Narrow" w:hAnsi="Arial Narrow"/>
                <w:sz w:val="20"/>
                <w:szCs w:val="20"/>
              </w:rPr>
            </w:pPr>
            <w:r w:rsidRPr="0019444B">
              <w:rPr>
                <w:rFonts w:ascii="Arial Narrow" w:hAnsi="Arial Narrow"/>
                <w:sz w:val="20"/>
                <w:szCs w:val="20"/>
              </w:rPr>
              <w:t>Adherence</w:t>
            </w:r>
          </w:p>
        </w:tc>
        <w:tc>
          <w:tcPr>
            <w:tcW w:w="1858" w:type="dxa"/>
            <w:shd w:val="clear" w:color="auto" w:fill="auto"/>
            <w:vAlign w:val="center"/>
          </w:tcPr>
          <w:p w14:paraId="7A9AAF84" w14:textId="77777777" w:rsidR="00096739" w:rsidRPr="0019444B" w:rsidRDefault="00096739" w:rsidP="00BE1975">
            <w:pPr>
              <w:keepNext/>
              <w:widowControl w:val="0"/>
              <w:jc w:val="left"/>
              <w:rPr>
                <w:rFonts w:ascii="Arial Narrow" w:hAnsi="Arial Narrow"/>
                <w:sz w:val="20"/>
                <w:szCs w:val="20"/>
              </w:rPr>
            </w:pPr>
            <w:r w:rsidRPr="0019444B">
              <w:rPr>
                <w:rFonts w:ascii="Arial Narrow" w:hAnsi="Arial Narrow"/>
                <w:sz w:val="20"/>
                <w:szCs w:val="20"/>
              </w:rPr>
              <w:t>Mean dose intensity (ELEVATE-TN): 96.2%</w:t>
            </w:r>
          </w:p>
        </w:tc>
        <w:tc>
          <w:tcPr>
            <w:tcW w:w="2371" w:type="dxa"/>
            <w:shd w:val="clear" w:color="auto" w:fill="auto"/>
            <w:vAlign w:val="center"/>
          </w:tcPr>
          <w:p w14:paraId="1B4C49D9" w14:textId="57604470" w:rsidR="00096739" w:rsidRPr="0019444B" w:rsidRDefault="00096739" w:rsidP="00BE1975">
            <w:pPr>
              <w:keepNext/>
              <w:widowControl w:val="0"/>
              <w:jc w:val="left"/>
              <w:rPr>
                <w:rFonts w:ascii="Arial Narrow" w:hAnsi="Arial Narrow"/>
                <w:sz w:val="20"/>
                <w:szCs w:val="20"/>
              </w:rPr>
            </w:pPr>
            <w:r w:rsidRPr="0019444B">
              <w:rPr>
                <w:rFonts w:ascii="Arial Narrow" w:hAnsi="Arial Narrow"/>
                <w:sz w:val="20"/>
                <w:szCs w:val="20"/>
              </w:rPr>
              <w:t>12.58 scripts</w:t>
            </w:r>
            <w:r w:rsidR="00345CDE" w:rsidRPr="0019444B">
              <w:rPr>
                <w:rFonts w:ascii="Arial Narrow" w:hAnsi="Arial Narrow"/>
                <w:sz w:val="20"/>
                <w:szCs w:val="20"/>
              </w:rPr>
              <w:t xml:space="preserve"> per year</w:t>
            </w:r>
            <w:r w:rsidRPr="0019444B">
              <w:rPr>
                <w:rFonts w:ascii="Arial Narrow" w:hAnsi="Arial Narrow"/>
                <w:sz w:val="20"/>
                <w:szCs w:val="20"/>
              </w:rPr>
              <w:t xml:space="preserve"> (13.036</w:t>
            </w:r>
            <w:r w:rsidRPr="0019444B">
              <w:rPr>
                <w:rFonts w:ascii="Arial Narrow" w:hAnsi="Arial Narrow"/>
                <w:sz w:val="20"/>
                <w:szCs w:val="20"/>
                <w:vertAlign w:val="superscript"/>
              </w:rPr>
              <w:t>d</w:t>
            </w:r>
            <w:r w:rsidRPr="0019444B">
              <w:rPr>
                <w:rFonts w:ascii="Arial Narrow" w:hAnsi="Arial Narrow"/>
                <w:sz w:val="20"/>
                <w:szCs w:val="20"/>
              </w:rPr>
              <w:t xml:space="preserve"> scripts x 96.5% dose </w:t>
            </w:r>
            <w:proofErr w:type="gramStart"/>
            <w:r w:rsidRPr="0019444B">
              <w:rPr>
                <w:rFonts w:ascii="Arial Narrow" w:hAnsi="Arial Narrow"/>
                <w:sz w:val="20"/>
                <w:szCs w:val="20"/>
              </w:rPr>
              <w:t>intensity)</w:t>
            </w:r>
            <w:r w:rsidRPr="0019444B">
              <w:rPr>
                <w:rFonts w:ascii="Arial Narrow" w:hAnsi="Arial Narrow"/>
                <w:sz w:val="20"/>
                <w:szCs w:val="20"/>
                <w:vertAlign w:val="superscript"/>
              </w:rPr>
              <w:t>e</w:t>
            </w:r>
            <w:proofErr w:type="gramEnd"/>
          </w:p>
        </w:tc>
        <w:tc>
          <w:tcPr>
            <w:tcW w:w="2279" w:type="dxa"/>
            <w:shd w:val="clear" w:color="auto" w:fill="auto"/>
            <w:vAlign w:val="center"/>
          </w:tcPr>
          <w:p w14:paraId="58B9DD14" w14:textId="51157635" w:rsidR="00096739" w:rsidRPr="0019444B" w:rsidRDefault="00096739" w:rsidP="00BE1975">
            <w:pPr>
              <w:keepNext/>
              <w:widowControl w:val="0"/>
              <w:jc w:val="left"/>
              <w:rPr>
                <w:rFonts w:ascii="Arial Narrow" w:hAnsi="Arial Narrow"/>
                <w:sz w:val="20"/>
                <w:szCs w:val="20"/>
              </w:rPr>
            </w:pPr>
            <w:r w:rsidRPr="0019444B">
              <w:rPr>
                <w:rFonts w:ascii="Arial Narrow" w:hAnsi="Arial Narrow"/>
                <w:sz w:val="20"/>
                <w:szCs w:val="20"/>
              </w:rPr>
              <w:t>12.54 scripts</w:t>
            </w:r>
            <w:r w:rsidR="00345CDE" w:rsidRPr="0019444B">
              <w:rPr>
                <w:rFonts w:ascii="Arial Narrow" w:hAnsi="Arial Narrow"/>
                <w:sz w:val="20"/>
                <w:szCs w:val="20"/>
              </w:rPr>
              <w:t xml:space="preserve"> per year</w:t>
            </w:r>
            <w:r w:rsidRPr="0019444B">
              <w:rPr>
                <w:rFonts w:ascii="Arial Narrow" w:hAnsi="Arial Narrow"/>
                <w:sz w:val="20"/>
                <w:szCs w:val="20"/>
              </w:rPr>
              <w:t xml:space="preserve"> (13.036</w:t>
            </w:r>
            <w:r w:rsidRPr="0019444B">
              <w:rPr>
                <w:rFonts w:ascii="Arial Narrow" w:hAnsi="Arial Narrow"/>
                <w:sz w:val="20"/>
                <w:szCs w:val="20"/>
                <w:vertAlign w:val="superscript"/>
              </w:rPr>
              <w:t>d</w:t>
            </w:r>
            <w:r w:rsidRPr="0019444B">
              <w:rPr>
                <w:rFonts w:ascii="Arial Narrow" w:hAnsi="Arial Narrow"/>
                <w:sz w:val="20"/>
                <w:szCs w:val="20"/>
              </w:rPr>
              <w:t xml:space="preserve"> scripts × 96.2% dose intensity)</w:t>
            </w:r>
          </w:p>
        </w:tc>
      </w:tr>
      <w:tr w:rsidR="00096739" w:rsidRPr="0019444B" w14:paraId="6B7C46BA" w14:textId="77777777" w:rsidTr="00A32205">
        <w:trPr>
          <w:trHeight w:val="20"/>
        </w:trPr>
        <w:tc>
          <w:tcPr>
            <w:tcW w:w="2553" w:type="dxa"/>
            <w:shd w:val="clear" w:color="auto" w:fill="auto"/>
            <w:vAlign w:val="center"/>
          </w:tcPr>
          <w:p w14:paraId="0DFDE48C" w14:textId="77777777" w:rsidR="00096739" w:rsidRPr="0019444B" w:rsidRDefault="00096739" w:rsidP="00BE1975">
            <w:pPr>
              <w:keepNext/>
              <w:widowControl w:val="0"/>
              <w:jc w:val="left"/>
              <w:rPr>
                <w:rFonts w:ascii="Arial Narrow" w:hAnsi="Arial Narrow"/>
                <w:sz w:val="20"/>
                <w:szCs w:val="20"/>
              </w:rPr>
            </w:pPr>
            <w:r w:rsidRPr="0019444B">
              <w:rPr>
                <w:rFonts w:ascii="Arial Narrow" w:hAnsi="Arial Narrow"/>
                <w:sz w:val="20"/>
                <w:szCs w:val="20"/>
              </w:rPr>
              <w:t>Cost per year</w:t>
            </w:r>
          </w:p>
        </w:tc>
        <w:tc>
          <w:tcPr>
            <w:tcW w:w="1858" w:type="dxa"/>
            <w:shd w:val="clear" w:color="auto" w:fill="auto"/>
            <w:vAlign w:val="center"/>
          </w:tcPr>
          <w:p w14:paraId="60357C30" w14:textId="77777777" w:rsidR="00096739" w:rsidRPr="0019444B" w:rsidRDefault="00096739" w:rsidP="00BE1975">
            <w:pPr>
              <w:keepNext/>
              <w:widowControl w:val="0"/>
              <w:jc w:val="left"/>
              <w:rPr>
                <w:rFonts w:ascii="Arial Narrow" w:hAnsi="Arial Narrow"/>
                <w:sz w:val="20"/>
                <w:szCs w:val="20"/>
              </w:rPr>
            </w:pPr>
            <w:r w:rsidRPr="0019444B">
              <w:rPr>
                <w:rFonts w:ascii="Arial Narrow" w:hAnsi="Arial Narrow"/>
                <w:sz w:val="20"/>
                <w:szCs w:val="20"/>
              </w:rPr>
              <w:t>-</w:t>
            </w:r>
          </w:p>
        </w:tc>
        <w:tc>
          <w:tcPr>
            <w:tcW w:w="2371" w:type="dxa"/>
            <w:shd w:val="clear" w:color="auto" w:fill="auto"/>
            <w:vAlign w:val="center"/>
          </w:tcPr>
          <w:p w14:paraId="7EEA3984" w14:textId="77777777" w:rsidR="00096739" w:rsidRPr="0019444B" w:rsidRDefault="00096739" w:rsidP="00BE1975">
            <w:pPr>
              <w:keepNext/>
              <w:widowControl w:val="0"/>
              <w:jc w:val="left"/>
              <w:rPr>
                <w:rFonts w:ascii="Arial Narrow" w:hAnsi="Arial Narrow"/>
                <w:sz w:val="20"/>
                <w:szCs w:val="20"/>
              </w:rPr>
            </w:pPr>
            <w:r w:rsidRPr="0019444B">
              <w:rPr>
                <w:rFonts w:ascii="Arial Narrow" w:hAnsi="Arial Narrow"/>
                <w:sz w:val="20"/>
                <w:szCs w:val="20"/>
              </w:rPr>
              <w:t>$26,190</w:t>
            </w:r>
          </w:p>
        </w:tc>
        <w:tc>
          <w:tcPr>
            <w:tcW w:w="2279" w:type="dxa"/>
            <w:shd w:val="clear" w:color="auto" w:fill="auto"/>
            <w:vAlign w:val="center"/>
          </w:tcPr>
          <w:p w14:paraId="7AAD755C" w14:textId="731A7778" w:rsidR="00096739" w:rsidRPr="0019444B" w:rsidRDefault="00096739" w:rsidP="00BE1975">
            <w:pPr>
              <w:keepNext/>
              <w:widowControl w:val="0"/>
              <w:jc w:val="left"/>
              <w:rPr>
                <w:rFonts w:ascii="Arial Narrow" w:hAnsi="Arial Narrow"/>
                <w:sz w:val="20"/>
                <w:szCs w:val="20"/>
              </w:rPr>
            </w:pPr>
            <w:r w:rsidRPr="0019444B">
              <w:rPr>
                <w:rFonts w:ascii="Arial Narrow" w:hAnsi="Arial Narrow"/>
                <w:sz w:val="20"/>
                <w:szCs w:val="20"/>
              </w:rPr>
              <w:t>$</w:t>
            </w:r>
            <w:r w:rsidR="00BA7142" w:rsidRPr="0019444B">
              <w:rPr>
                <w:rFonts w:ascii="Arial Narrow" w:hAnsi="Arial Narrow"/>
                <w:sz w:val="20"/>
                <w:szCs w:val="20"/>
              </w:rPr>
              <w:t>28,129</w:t>
            </w:r>
          </w:p>
        </w:tc>
      </w:tr>
      <w:tr w:rsidR="00096739" w:rsidRPr="0019444B" w14:paraId="54221B91" w14:textId="77777777" w:rsidTr="00A32205">
        <w:trPr>
          <w:trHeight w:val="20"/>
        </w:trPr>
        <w:tc>
          <w:tcPr>
            <w:tcW w:w="2553" w:type="dxa"/>
            <w:shd w:val="clear" w:color="auto" w:fill="auto"/>
            <w:vAlign w:val="center"/>
          </w:tcPr>
          <w:p w14:paraId="19B23499" w14:textId="77777777" w:rsidR="00096739" w:rsidRPr="0019444B" w:rsidRDefault="00096739" w:rsidP="00BE1975">
            <w:pPr>
              <w:keepNext/>
              <w:widowControl w:val="0"/>
              <w:jc w:val="left"/>
              <w:rPr>
                <w:rFonts w:ascii="Arial Narrow" w:hAnsi="Arial Narrow"/>
                <w:sz w:val="20"/>
                <w:szCs w:val="20"/>
              </w:rPr>
            </w:pPr>
            <w:r w:rsidRPr="0019444B">
              <w:rPr>
                <w:rFonts w:ascii="Arial Narrow" w:hAnsi="Arial Narrow"/>
                <w:sz w:val="20"/>
                <w:szCs w:val="20"/>
              </w:rPr>
              <w:t xml:space="preserve">Mean duration </w:t>
            </w:r>
          </w:p>
        </w:tc>
        <w:tc>
          <w:tcPr>
            <w:tcW w:w="1858" w:type="dxa"/>
            <w:shd w:val="clear" w:color="auto" w:fill="auto"/>
            <w:vAlign w:val="center"/>
          </w:tcPr>
          <w:p w14:paraId="6498A221" w14:textId="77777777" w:rsidR="00096739" w:rsidRPr="0019444B" w:rsidRDefault="00096739" w:rsidP="00BE1975">
            <w:pPr>
              <w:keepNext/>
              <w:widowControl w:val="0"/>
              <w:jc w:val="left"/>
              <w:rPr>
                <w:rFonts w:ascii="Arial Narrow" w:hAnsi="Arial Narrow"/>
                <w:sz w:val="20"/>
                <w:szCs w:val="20"/>
              </w:rPr>
            </w:pPr>
            <w:r w:rsidRPr="0019444B">
              <w:rPr>
                <w:rFonts w:ascii="Arial Narrow" w:hAnsi="Arial Narrow"/>
                <w:sz w:val="20"/>
                <w:szCs w:val="20"/>
              </w:rPr>
              <w:t>48.4 months</w:t>
            </w:r>
          </w:p>
        </w:tc>
        <w:tc>
          <w:tcPr>
            <w:tcW w:w="2371" w:type="dxa"/>
            <w:shd w:val="clear" w:color="auto" w:fill="auto"/>
            <w:vAlign w:val="center"/>
          </w:tcPr>
          <w:p w14:paraId="4E90AFF1" w14:textId="77777777" w:rsidR="00096739" w:rsidRPr="0019444B" w:rsidRDefault="00096739" w:rsidP="00BE1975">
            <w:pPr>
              <w:keepNext/>
              <w:widowControl w:val="0"/>
              <w:jc w:val="left"/>
              <w:rPr>
                <w:rFonts w:ascii="Arial Narrow" w:hAnsi="Arial Narrow"/>
                <w:sz w:val="20"/>
                <w:szCs w:val="20"/>
              </w:rPr>
            </w:pPr>
            <w:r w:rsidRPr="0019444B">
              <w:rPr>
                <w:rFonts w:ascii="Arial Narrow" w:hAnsi="Arial Narrow"/>
                <w:sz w:val="20"/>
                <w:szCs w:val="20"/>
              </w:rPr>
              <w:t>48.4 months</w:t>
            </w:r>
          </w:p>
        </w:tc>
        <w:tc>
          <w:tcPr>
            <w:tcW w:w="2279" w:type="dxa"/>
            <w:shd w:val="clear" w:color="auto" w:fill="auto"/>
            <w:vAlign w:val="center"/>
          </w:tcPr>
          <w:p w14:paraId="1FBA963B" w14:textId="77777777" w:rsidR="00096739" w:rsidRPr="0019444B" w:rsidRDefault="00096739" w:rsidP="00BE1975">
            <w:pPr>
              <w:keepNext/>
              <w:widowControl w:val="0"/>
              <w:jc w:val="left"/>
              <w:rPr>
                <w:rFonts w:ascii="Arial Narrow" w:hAnsi="Arial Narrow"/>
                <w:sz w:val="20"/>
                <w:szCs w:val="20"/>
              </w:rPr>
            </w:pPr>
            <w:r w:rsidRPr="0019444B">
              <w:rPr>
                <w:rFonts w:ascii="Arial Narrow" w:hAnsi="Arial Narrow"/>
                <w:sz w:val="20"/>
                <w:szCs w:val="20"/>
              </w:rPr>
              <w:t>48.4 months</w:t>
            </w:r>
          </w:p>
        </w:tc>
      </w:tr>
      <w:tr w:rsidR="00096739" w:rsidRPr="0019444B" w14:paraId="62414449" w14:textId="77777777" w:rsidTr="00A32205">
        <w:trPr>
          <w:trHeight w:val="20"/>
        </w:trPr>
        <w:tc>
          <w:tcPr>
            <w:tcW w:w="2553" w:type="dxa"/>
            <w:shd w:val="clear" w:color="auto" w:fill="auto"/>
            <w:vAlign w:val="center"/>
          </w:tcPr>
          <w:p w14:paraId="3B88641D" w14:textId="77777777" w:rsidR="00096739" w:rsidRPr="0019444B" w:rsidRDefault="00096739" w:rsidP="00BE1975">
            <w:pPr>
              <w:keepNext/>
              <w:widowControl w:val="0"/>
              <w:jc w:val="left"/>
              <w:rPr>
                <w:rFonts w:ascii="Arial Narrow" w:hAnsi="Arial Narrow"/>
                <w:sz w:val="20"/>
                <w:szCs w:val="20"/>
              </w:rPr>
            </w:pPr>
            <w:r w:rsidRPr="0019444B">
              <w:rPr>
                <w:rFonts w:ascii="Arial Narrow" w:hAnsi="Arial Narrow"/>
                <w:sz w:val="20"/>
                <w:szCs w:val="20"/>
              </w:rPr>
              <w:t>Number of scripts per course</w:t>
            </w:r>
          </w:p>
        </w:tc>
        <w:tc>
          <w:tcPr>
            <w:tcW w:w="1858" w:type="dxa"/>
            <w:shd w:val="clear" w:color="auto" w:fill="auto"/>
            <w:vAlign w:val="center"/>
          </w:tcPr>
          <w:p w14:paraId="7A758F96" w14:textId="77777777" w:rsidR="00096739" w:rsidRPr="0019444B" w:rsidRDefault="00096739" w:rsidP="00BE1975">
            <w:pPr>
              <w:keepNext/>
              <w:widowControl w:val="0"/>
              <w:jc w:val="left"/>
              <w:rPr>
                <w:rFonts w:ascii="Arial Narrow" w:hAnsi="Arial Narrow"/>
                <w:sz w:val="20"/>
                <w:szCs w:val="20"/>
              </w:rPr>
            </w:pPr>
            <w:r w:rsidRPr="0019444B">
              <w:rPr>
                <w:rFonts w:ascii="Arial Narrow" w:hAnsi="Arial Narrow"/>
                <w:sz w:val="20"/>
                <w:szCs w:val="20"/>
              </w:rPr>
              <w:t>50.58</w:t>
            </w:r>
          </w:p>
        </w:tc>
        <w:tc>
          <w:tcPr>
            <w:tcW w:w="2371" w:type="dxa"/>
            <w:shd w:val="clear" w:color="auto" w:fill="auto"/>
            <w:vAlign w:val="center"/>
          </w:tcPr>
          <w:p w14:paraId="0B1272A5" w14:textId="77777777" w:rsidR="00096739" w:rsidRPr="0019444B" w:rsidRDefault="00096739" w:rsidP="00BE1975">
            <w:pPr>
              <w:keepNext/>
              <w:widowControl w:val="0"/>
              <w:jc w:val="left"/>
              <w:rPr>
                <w:rFonts w:ascii="Arial Narrow" w:hAnsi="Arial Narrow"/>
                <w:sz w:val="20"/>
                <w:szCs w:val="20"/>
              </w:rPr>
            </w:pPr>
            <w:r w:rsidRPr="0019444B">
              <w:rPr>
                <w:rFonts w:ascii="Arial Narrow" w:hAnsi="Arial Narrow"/>
                <w:sz w:val="20"/>
                <w:szCs w:val="20"/>
              </w:rPr>
              <w:t>50.73</w:t>
            </w:r>
          </w:p>
        </w:tc>
        <w:tc>
          <w:tcPr>
            <w:tcW w:w="2279" w:type="dxa"/>
            <w:shd w:val="clear" w:color="auto" w:fill="auto"/>
            <w:vAlign w:val="center"/>
          </w:tcPr>
          <w:p w14:paraId="5DC4CEE0" w14:textId="77777777" w:rsidR="00096739" w:rsidRPr="0019444B" w:rsidRDefault="00096739" w:rsidP="00BE1975">
            <w:pPr>
              <w:keepNext/>
              <w:widowControl w:val="0"/>
              <w:jc w:val="left"/>
              <w:rPr>
                <w:rFonts w:ascii="Arial Narrow" w:hAnsi="Arial Narrow"/>
                <w:sz w:val="20"/>
                <w:szCs w:val="20"/>
              </w:rPr>
            </w:pPr>
            <w:r w:rsidRPr="0019444B">
              <w:rPr>
                <w:rFonts w:ascii="Arial Narrow" w:hAnsi="Arial Narrow"/>
                <w:sz w:val="20"/>
                <w:szCs w:val="20"/>
              </w:rPr>
              <w:t>50.58</w:t>
            </w:r>
          </w:p>
        </w:tc>
      </w:tr>
      <w:tr w:rsidR="00096739" w:rsidRPr="0019444B" w14:paraId="7EF943DD" w14:textId="77777777" w:rsidTr="00A32205">
        <w:trPr>
          <w:trHeight w:val="20"/>
        </w:trPr>
        <w:tc>
          <w:tcPr>
            <w:tcW w:w="2553" w:type="dxa"/>
            <w:shd w:val="clear" w:color="auto" w:fill="auto"/>
            <w:vAlign w:val="center"/>
          </w:tcPr>
          <w:p w14:paraId="7CE58759" w14:textId="77777777" w:rsidR="00096739" w:rsidRPr="0019444B" w:rsidRDefault="00096739" w:rsidP="00BE1975">
            <w:pPr>
              <w:keepNext/>
              <w:widowControl w:val="0"/>
              <w:jc w:val="left"/>
              <w:rPr>
                <w:rFonts w:ascii="Arial Narrow" w:hAnsi="Arial Narrow"/>
                <w:b/>
                <w:bCs/>
                <w:sz w:val="20"/>
                <w:szCs w:val="20"/>
              </w:rPr>
            </w:pPr>
            <w:r w:rsidRPr="0019444B">
              <w:rPr>
                <w:rFonts w:ascii="Arial Narrow" w:hAnsi="Arial Narrow"/>
                <w:b/>
                <w:bCs/>
                <w:sz w:val="20"/>
                <w:szCs w:val="20"/>
              </w:rPr>
              <w:t xml:space="preserve">Total cost per course </w:t>
            </w:r>
          </w:p>
        </w:tc>
        <w:tc>
          <w:tcPr>
            <w:tcW w:w="1858" w:type="dxa"/>
            <w:shd w:val="clear" w:color="auto" w:fill="auto"/>
            <w:vAlign w:val="center"/>
          </w:tcPr>
          <w:p w14:paraId="0C865194" w14:textId="77777777" w:rsidR="00096739" w:rsidRPr="0019444B" w:rsidRDefault="00096739" w:rsidP="00BE1975">
            <w:pPr>
              <w:keepNext/>
              <w:widowControl w:val="0"/>
              <w:jc w:val="left"/>
              <w:rPr>
                <w:rFonts w:ascii="Arial Narrow" w:hAnsi="Arial Narrow"/>
                <w:sz w:val="20"/>
                <w:szCs w:val="20"/>
              </w:rPr>
            </w:pPr>
            <w:r w:rsidRPr="0019444B">
              <w:rPr>
                <w:rFonts w:ascii="Arial Narrow" w:hAnsi="Arial Narrow"/>
                <w:sz w:val="20"/>
                <w:szCs w:val="20"/>
              </w:rPr>
              <w:t>-</w:t>
            </w:r>
          </w:p>
        </w:tc>
        <w:tc>
          <w:tcPr>
            <w:tcW w:w="2371" w:type="dxa"/>
            <w:shd w:val="clear" w:color="auto" w:fill="auto"/>
            <w:vAlign w:val="center"/>
          </w:tcPr>
          <w:p w14:paraId="17F45224" w14:textId="77777777" w:rsidR="00096739" w:rsidRPr="0019444B" w:rsidRDefault="00096739" w:rsidP="00BE1975">
            <w:pPr>
              <w:keepNext/>
              <w:widowControl w:val="0"/>
              <w:jc w:val="left"/>
              <w:rPr>
                <w:rFonts w:ascii="Arial Narrow" w:hAnsi="Arial Narrow"/>
                <w:b/>
                <w:bCs/>
                <w:sz w:val="20"/>
                <w:szCs w:val="20"/>
              </w:rPr>
            </w:pPr>
            <w:r w:rsidRPr="0019444B">
              <w:rPr>
                <w:rFonts w:ascii="Arial Narrow" w:hAnsi="Arial Narrow"/>
                <w:b/>
                <w:bCs/>
                <w:sz w:val="20"/>
                <w:szCs w:val="20"/>
              </w:rPr>
              <w:t>$105,612</w:t>
            </w:r>
          </w:p>
        </w:tc>
        <w:tc>
          <w:tcPr>
            <w:tcW w:w="2279" w:type="dxa"/>
            <w:shd w:val="clear" w:color="auto" w:fill="auto"/>
            <w:vAlign w:val="center"/>
          </w:tcPr>
          <w:p w14:paraId="12FFEB79" w14:textId="0F0610C4" w:rsidR="00096739" w:rsidRPr="0019444B" w:rsidRDefault="00096739" w:rsidP="00BE1975">
            <w:pPr>
              <w:keepNext/>
              <w:widowControl w:val="0"/>
              <w:jc w:val="left"/>
              <w:rPr>
                <w:rFonts w:ascii="Arial Narrow" w:hAnsi="Arial Narrow"/>
                <w:b/>
                <w:bCs/>
                <w:sz w:val="20"/>
                <w:szCs w:val="20"/>
              </w:rPr>
            </w:pPr>
            <w:r w:rsidRPr="0019444B">
              <w:rPr>
                <w:rFonts w:ascii="Arial Narrow" w:hAnsi="Arial Narrow"/>
                <w:b/>
                <w:bCs/>
                <w:sz w:val="20"/>
                <w:szCs w:val="20"/>
              </w:rPr>
              <w:t>$</w:t>
            </w:r>
            <w:r w:rsidR="006F2265" w:rsidRPr="0019444B">
              <w:rPr>
                <w:rFonts w:ascii="Arial Narrow" w:hAnsi="Arial Narrow"/>
                <w:b/>
                <w:bCs/>
                <w:sz w:val="20"/>
                <w:szCs w:val="20"/>
              </w:rPr>
              <w:t>113,</w:t>
            </w:r>
            <w:r w:rsidR="001960DC" w:rsidRPr="0019444B">
              <w:rPr>
                <w:rFonts w:ascii="Arial Narrow" w:hAnsi="Arial Narrow"/>
                <w:b/>
                <w:bCs/>
                <w:sz w:val="20"/>
                <w:szCs w:val="20"/>
              </w:rPr>
              <w:t>457</w:t>
            </w:r>
          </w:p>
        </w:tc>
      </w:tr>
      <w:tr w:rsidR="00096739" w:rsidRPr="0019444B" w14:paraId="09AEE082" w14:textId="77777777" w:rsidTr="00A32205">
        <w:trPr>
          <w:trHeight w:val="20"/>
        </w:trPr>
        <w:tc>
          <w:tcPr>
            <w:tcW w:w="9061" w:type="dxa"/>
            <w:gridSpan w:val="4"/>
            <w:shd w:val="clear" w:color="auto" w:fill="auto"/>
            <w:vAlign w:val="center"/>
          </w:tcPr>
          <w:p w14:paraId="3BAD7D5B" w14:textId="1F459E04" w:rsidR="00096739" w:rsidRPr="0019444B" w:rsidRDefault="00096739" w:rsidP="00BE1975">
            <w:pPr>
              <w:keepNext/>
              <w:widowControl w:val="0"/>
              <w:jc w:val="left"/>
              <w:rPr>
                <w:rFonts w:ascii="Arial Narrow" w:hAnsi="Arial Narrow"/>
                <w:b/>
                <w:bCs/>
                <w:sz w:val="20"/>
                <w:szCs w:val="20"/>
              </w:rPr>
            </w:pPr>
            <w:r w:rsidRPr="0019444B">
              <w:rPr>
                <w:rFonts w:ascii="Arial Narrow" w:hAnsi="Arial Narrow"/>
                <w:b/>
                <w:bCs/>
                <w:sz w:val="20"/>
                <w:szCs w:val="20"/>
              </w:rPr>
              <w:t>VTX+OBIN</w:t>
            </w:r>
          </w:p>
        </w:tc>
      </w:tr>
      <w:tr w:rsidR="00096739" w:rsidRPr="0019444B" w14:paraId="10AE1456" w14:textId="77777777" w:rsidTr="00A32205">
        <w:trPr>
          <w:trHeight w:val="20"/>
        </w:trPr>
        <w:tc>
          <w:tcPr>
            <w:tcW w:w="9061" w:type="dxa"/>
            <w:gridSpan w:val="4"/>
            <w:shd w:val="clear" w:color="auto" w:fill="auto"/>
            <w:vAlign w:val="center"/>
          </w:tcPr>
          <w:p w14:paraId="14E7838A" w14:textId="588E850D" w:rsidR="00096739" w:rsidRPr="0019444B" w:rsidRDefault="00096739" w:rsidP="00BE1975">
            <w:pPr>
              <w:keepNext/>
              <w:widowControl w:val="0"/>
              <w:jc w:val="left"/>
              <w:rPr>
                <w:rFonts w:ascii="Arial Narrow" w:hAnsi="Arial Narrow"/>
                <w:b/>
                <w:bCs/>
                <w:smallCaps/>
                <w:sz w:val="20"/>
                <w:szCs w:val="20"/>
              </w:rPr>
            </w:pPr>
            <w:r w:rsidRPr="0019444B">
              <w:rPr>
                <w:rFonts w:ascii="Arial Narrow" w:hAnsi="Arial Narrow"/>
                <w:b/>
                <w:bCs/>
                <w:smallCaps/>
                <w:sz w:val="20"/>
                <w:szCs w:val="20"/>
              </w:rPr>
              <w:t>VTX</w:t>
            </w:r>
          </w:p>
        </w:tc>
      </w:tr>
      <w:tr w:rsidR="00096739" w:rsidRPr="0019444B" w14:paraId="273192C7" w14:textId="77777777" w:rsidTr="00A32205">
        <w:trPr>
          <w:trHeight w:val="20"/>
        </w:trPr>
        <w:tc>
          <w:tcPr>
            <w:tcW w:w="2553" w:type="dxa"/>
            <w:shd w:val="clear" w:color="auto" w:fill="auto"/>
            <w:vAlign w:val="center"/>
          </w:tcPr>
          <w:p w14:paraId="014EDA7F" w14:textId="77777777" w:rsidR="00096739" w:rsidRPr="0019444B" w:rsidRDefault="00096739" w:rsidP="00BE1975">
            <w:pPr>
              <w:keepNext/>
              <w:widowControl w:val="0"/>
              <w:jc w:val="left"/>
              <w:rPr>
                <w:rFonts w:ascii="Arial Narrow" w:hAnsi="Arial Narrow"/>
                <w:sz w:val="20"/>
                <w:szCs w:val="20"/>
              </w:rPr>
            </w:pPr>
            <w:r w:rsidRPr="0019444B">
              <w:rPr>
                <w:rFonts w:ascii="Arial Narrow" w:hAnsi="Arial Narrow"/>
                <w:sz w:val="20"/>
                <w:szCs w:val="20"/>
              </w:rPr>
              <w:t xml:space="preserve">Cost per script </w:t>
            </w:r>
          </w:p>
        </w:tc>
        <w:tc>
          <w:tcPr>
            <w:tcW w:w="1858" w:type="dxa"/>
            <w:shd w:val="clear" w:color="auto" w:fill="auto"/>
            <w:vAlign w:val="center"/>
          </w:tcPr>
          <w:p w14:paraId="4920F6E7" w14:textId="77777777" w:rsidR="00096739" w:rsidRPr="0019444B" w:rsidRDefault="00096739" w:rsidP="00BE1975">
            <w:pPr>
              <w:keepNext/>
              <w:widowControl w:val="0"/>
              <w:jc w:val="left"/>
              <w:rPr>
                <w:rFonts w:ascii="Arial Narrow" w:hAnsi="Arial Narrow"/>
                <w:sz w:val="20"/>
                <w:szCs w:val="20"/>
              </w:rPr>
            </w:pPr>
            <w:r w:rsidRPr="0019444B">
              <w:rPr>
                <w:rFonts w:ascii="Arial Narrow" w:hAnsi="Arial Narrow"/>
                <w:sz w:val="20"/>
                <w:szCs w:val="20"/>
              </w:rPr>
              <w:t>-</w:t>
            </w:r>
          </w:p>
        </w:tc>
        <w:tc>
          <w:tcPr>
            <w:tcW w:w="2371" w:type="dxa"/>
            <w:shd w:val="clear" w:color="auto" w:fill="auto"/>
            <w:vAlign w:val="center"/>
          </w:tcPr>
          <w:p w14:paraId="10ACE1AD" w14:textId="77777777" w:rsidR="00096739" w:rsidRPr="0019444B" w:rsidRDefault="00096739" w:rsidP="00BE1975">
            <w:pPr>
              <w:keepNext/>
              <w:widowControl w:val="0"/>
              <w:jc w:val="left"/>
              <w:rPr>
                <w:rFonts w:ascii="Arial Narrow" w:hAnsi="Arial Narrow"/>
                <w:sz w:val="20"/>
                <w:szCs w:val="20"/>
              </w:rPr>
            </w:pPr>
            <w:r w:rsidRPr="0019444B">
              <w:rPr>
                <w:rFonts w:ascii="Arial Narrow" w:hAnsi="Arial Narrow"/>
                <w:sz w:val="20"/>
                <w:szCs w:val="20"/>
              </w:rPr>
              <w:t>Starter pack: $1,645.3</w:t>
            </w:r>
          </w:p>
          <w:p w14:paraId="535A5C0C" w14:textId="77777777" w:rsidR="00096739" w:rsidRPr="0019444B" w:rsidRDefault="00096739" w:rsidP="00BE1975">
            <w:pPr>
              <w:keepNext/>
              <w:widowControl w:val="0"/>
              <w:jc w:val="left"/>
              <w:rPr>
                <w:rFonts w:ascii="Arial Narrow" w:hAnsi="Arial Narrow"/>
                <w:sz w:val="20"/>
                <w:szCs w:val="20"/>
              </w:rPr>
            </w:pPr>
            <w:r w:rsidRPr="0019444B">
              <w:rPr>
                <w:rFonts w:ascii="Arial Narrow" w:hAnsi="Arial Narrow"/>
                <w:sz w:val="20"/>
                <w:szCs w:val="20"/>
              </w:rPr>
              <w:t>Continuing pack: $7,623.02</w:t>
            </w:r>
          </w:p>
        </w:tc>
        <w:tc>
          <w:tcPr>
            <w:tcW w:w="2279" w:type="dxa"/>
            <w:shd w:val="clear" w:color="auto" w:fill="auto"/>
            <w:vAlign w:val="center"/>
          </w:tcPr>
          <w:p w14:paraId="4C8A2D06" w14:textId="77777777" w:rsidR="00096739" w:rsidRPr="0019444B" w:rsidRDefault="00096739" w:rsidP="00BE1975">
            <w:pPr>
              <w:keepNext/>
              <w:widowControl w:val="0"/>
              <w:jc w:val="left"/>
              <w:rPr>
                <w:rFonts w:ascii="Arial Narrow" w:hAnsi="Arial Narrow"/>
                <w:sz w:val="20"/>
                <w:szCs w:val="20"/>
              </w:rPr>
            </w:pPr>
            <w:r w:rsidRPr="0019444B">
              <w:rPr>
                <w:rFonts w:ascii="Arial Narrow" w:hAnsi="Arial Narrow"/>
                <w:sz w:val="20"/>
                <w:szCs w:val="20"/>
              </w:rPr>
              <w:t>Starter pack: $1,791.55</w:t>
            </w:r>
          </w:p>
          <w:p w14:paraId="6BEE11E6" w14:textId="77777777" w:rsidR="00096739" w:rsidRPr="0019444B" w:rsidRDefault="00096739" w:rsidP="00BE1975">
            <w:pPr>
              <w:keepNext/>
              <w:widowControl w:val="0"/>
              <w:jc w:val="left"/>
              <w:rPr>
                <w:rFonts w:ascii="Arial Narrow" w:hAnsi="Arial Narrow"/>
                <w:sz w:val="20"/>
                <w:szCs w:val="20"/>
              </w:rPr>
            </w:pPr>
            <w:r w:rsidRPr="0019444B">
              <w:rPr>
                <w:rFonts w:ascii="Arial Narrow" w:hAnsi="Arial Narrow"/>
                <w:sz w:val="20"/>
                <w:szCs w:val="20"/>
              </w:rPr>
              <w:t>Continuing pack: $7,784.30</w:t>
            </w:r>
          </w:p>
        </w:tc>
      </w:tr>
      <w:tr w:rsidR="00096739" w:rsidRPr="0019444B" w14:paraId="723D3214" w14:textId="77777777" w:rsidTr="00A32205">
        <w:trPr>
          <w:trHeight w:val="20"/>
        </w:trPr>
        <w:tc>
          <w:tcPr>
            <w:tcW w:w="2553" w:type="dxa"/>
            <w:shd w:val="clear" w:color="auto" w:fill="auto"/>
            <w:vAlign w:val="center"/>
          </w:tcPr>
          <w:p w14:paraId="33D89743" w14:textId="77777777" w:rsidR="00096739" w:rsidRPr="0019444B" w:rsidRDefault="00096739" w:rsidP="00BE1975">
            <w:pPr>
              <w:keepNext/>
              <w:widowControl w:val="0"/>
              <w:jc w:val="left"/>
              <w:rPr>
                <w:rFonts w:ascii="Arial Narrow" w:hAnsi="Arial Narrow"/>
                <w:sz w:val="20"/>
                <w:szCs w:val="20"/>
                <w:vertAlign w:val="superscript"/>
              </w:rPr>
            </w:pPr>
            <w:r w:rsidRPr="0019444B">
              <w:rPr>
                <w:rFonts w:ascii="Arial Narrow" w:hAnsi="Arial Narrow"/>
                <w:sz w:val="20"/>
                <w:szCs w:val="20"/>
              </w:rPr>
              <w:t>Compliance</w:t>
            </w:r>
          </w:p>
        </w:tc>
        <w:tc>
          <w:tcPr>
            <w:tcW w:w="1858" w:type="dxa"/>
            <w:shd w:val="clear" w:color="auto" w:fill="auto"/>
            <w:vAlign w:val="center"/>
          </w:tcPr>
          <w:p w14:paraId="172FBD4F" w14:textId="77777777" w:rsidR="00096739" w:rsidRPr="0019444B" w:rsidRDefault="00096739" w:rsidP="00BE1975">
            <w:pPr>
              <w:keepNext/>
              <w:widowControl w:val="0"/>
              <w:jc w:val="left"/>
              <w:rPr>
                <w:rFonts w:ascii="Arial Narrow" w:hAnsi="Arial Narrow"/>
                <w:sz w:val="20"/>
                <w:szCs w:val="20"/>
              </w:rPr>
            </w:pPr>
            <w:r w:rsidRPr="0019444B">
              <w:rPr>
                <w:rFonts w:ascii="Arial Narrow" w:hAnsi="Arial Narrow"/>
                <w:sz w:val="20"/>
                <w:szCs w:val="20"/>
              </w:rPr>
              <w:t>Mean treatment duration (CLL-14): 288.1 days</w:t>
            </w:r>
          </w:p>
        </w:tc>
        <w:tc>
          <w:tcPr>
            <w:tcW w:w="2371" w:type="dxa"/>
            <w:shd w:val="clear" w:color="auto" w:fill="auto"/>
            <w:vAlign w:val="center"/>
          </w:tcPr>
          <w:p w14:paraId="1D7E3C9E" w14:textId="74906117" w:rsidR="00096739" w:rsidRPr="0019444B" w:rsidRDefault="00096739" w:rsidP="00BE1975">
            <w:pPr>
              <w:keepNext/>
              <w:widowControl w:val="0"/>
              <w:jc w:val="left"/>
              <w:rPr>
                <w:rFonts w:ascii="Arial Narrow" w:hAnsi="Arial Narrow"/>
                <w:sz w:val="20"/>
                <w:szCs w:val="20"/>
                <w:vertAlign w:val="superscript"/>
              </w:rPr>
            </w:pPr>
            <w:r w:rsidRPr="0019444B">
              <w:rPr>
                <w:rFonts w:ascii="Arial Narrow" w:hAnsi="Arial Narrow"/>
                <w:sz w:val="20"/>
                <w:szCs w:val="20"/>
              </w:rPr>
              <w:t xml:space="preserve">Starter pack: 1 script </w:t>
            </w:r>
            <w:r w:rsidRPr="0019444B">
              <w:rPr>
                <w:rFonts w:ascii="Arial Narrow" w:hAnsi="Arial Narrow"/>
                <w:sz w:val="20"/>
                <w:szCs w:val="20"/>
                <w:vertAlign w:val="superscript"/>
              </w:rPr>
              <w:t>g</w:t>
            </w:r>
          </w:p>
          <w:p w14:paraId="0EE846BA" w14:textId="77777777" w:rsidR="00096739" w:rsidRPr="0019444B" w:rsidRDefault="00096739" w:rsidP="00BE1975">
            <w:pPr>
              <w:keepNext/>
              <w:widowControl w:val="0"/>
              <w:jc w:val="left"/>
              <w:rPr>
                <w:rFonts w:ascii="Arial Narrow" w:hAnsi="Arial Narrow"/>
                <w:sz w:val="20"/>
                <w:szCs w:val="20"/>
                <w:vertAlign w:val="superscript"/>
              </w:rPr>
            </w:pPr>
            <w:r w:rsidRPr="0019444B">
              <w:rPr>
                <w:rFonts w:ascii="Arial Narrow" w:hAnsi="Arial Narrow"/>
                <w:sz w:val="20"/>
                <w:szCs w:val="20"/>
              </w:rPr>
              <w:t xml:space="preserve">Continuing pack: 8.67 scripts </w:t>
            </w:r>
            <w:r w:rsidRPr="0019444B">
              <w:rPr>
                <w:rFonts w:ascii="Arial Narrow" w:hAnsi="Arial Narrow"/>
                <w:sz w:val="20"/>
                <w:szCs w:val="20"/>
                <w:vertAlign w:val="superscript"/>
              </w:rPr>
              <w:t>g</w:t>
            </w:r>
          </w:p>
        </w:tc>
        <w:tc>
          <w:tcPr>
            <w:tcW w:w="2279" w:type="dxa"/>
            <w:shd w:val="clear" w:color="auto" w:fill="auto"/>
            <w:vAlign w:val="center"/>
          </w:tcPr>
          <w:p w14:paraId="7FEE126D" w14:textId="77777777" w:rsidR="00096739" w:rsidRPr="0019444B" w:rsidRDefault="00096739" w:rsidP="00BE1975">
            <w:pPr>
              <w:keepNext/>
              <w:widowControl w:val="0"/>
              <w:jc w:val="left"/>
              <w:rPr>
                <w:rFonts w:ascii="Arial Narrow" w:hAnsi="Arial Narrow"/>
                <w:sz w:val="20"/>
                <w:szCs w:val="20"/>
                <w:vertAlign w:val="superscript"/>
              </w:rPr>
            </w:pPr>
            <w:r w:rsidRPr="0019444B">
              <w:rPr>
                <w:rFonts w:ascii="Arial Narrow" w:hAnsi="Arial Narrow"/>
                <w:sz w:val="20"/>
                <w:szCs w:val="20"/>
              </w:rPr>
              <w:t>Starter pack: 1 script</w:t>
            </w:r>
            <w:r w:rsidRPr="0019444B">
              <w:rPr>
                <w:rFonts w:ascii="Arial Narrow" w:hAnsi="Arial Narrow"/>
                <w:sz w:val="20"/>
                <w:szCs w:val="20"/>
                <w:vertAlign w:val="superscript"/>
              </w:rPr>
              <w:t xml:space="preserve"> g</w:t>
            </w:r>
          </w:p>
          <w:p w14:paraId="6B45DD06" w14:textId="77777777" w:rsidR="00096739" w:rsidRPr="0019444B" w:rsidRDefault="00096739" w:rsidP="00BE1975">
            <w:pPr>
              <w:keepNext/>
              <w:widowControl w:val="0"/>
              <w:jc w:val="left"/>
              <w:rPr>
                <w:rFonts w:ascii="Arial Narrow" w:hAnsi="Arial Narrow"/>
                <w:sz w:val="20"/>
                <w:szCs w:val="20"/>
                <w:vertAlign w:val="superscript"/>
              </w:rPr>
            </w:pPr>
            <w:r w:rsidRPr="0019444B">
              <w:rPr>
                <w:rFonts w:ascii="Arial Narrow" w:hAnsi="Arial Narrow"/>
                <w:sz w:val="20"/>
                <w:szCs w:val="20"/>
              </w:rPr>
              <w:t>Continuing pack: 8.67 scripts</w:t>
            </w:r>
            <w:r w:rsidRPr="0019444B">
              <w:rPr>
                <w:rFonts w:ascii="Arial Narrow" w:hAnsi="Arial Narrow"/>
                <w:sz w:val="20"/>
                <w:szCs w:val="20"/>
                <w:vertAlign w:val="superscript"/>
              </w:rPr>
              <w:t xml:space="preserve"> g</w:t>
            </w:r>
          </w:p>
        </w:tc>
      </w:tr>
      <w:tr w:rsidR="00096739" w:rsidRPr="0019444B" w14:paraId="5DBD1AAD" w14:textId="77777777" w:rsidTr="00A32205">
        <w:trPr>
          <w:trHeight w:val="20"/>
        </w:trPr>
        <w:tc>
          <w:tcPr>
            <w:tcW w:w="2553" w:type="dxa"/>
            <w:shd w:val="clear" w:color="auto" w:fill="auto"/>
            <w:vAlign w:val="center"/>
          </w:tcPr>
          <w:p w14:paraId="30B70FB2" w14:textId="77777777" w:rsidR="00096739" w:rsidRPr="0019444B" w:rsidRDefault="00096739" w:rsidP="00BE1975">
            <w:pPr>
              <w:keepNext/>
              <w:widowControl w:val="0"/>
              <w:jc w:val="left"/>
              <w:rPr>
                <w:rFonts w:ascii="Arial Narrow" w:hAnsi="Arial Narrow"/>
                <w:sz w:val="20"/>
                <w:szCs w:val="20"/>
              </w:rPr>
            </w:pPr>
            <w:r w:rsidRPr="0019444B">
              <w:rPr>
                <w:rFonts w:ascii="Arial Narrow" w:hAnsi="Arial Narrow"/>
                <w:sz w:val="20"/>
                <w:szCs w:val="20"/>
              </w:rPr>
              <w:t>Cost per course</w:t>
            </w:r>
          </w:p>
        </w:tc>
        <w:tc>
          <w:tcPr>
            <w:tcW w:w="1858" w:type="dxa"/>
            <w:shd w:val="clear" w:color="auto" w:fill="auto"/>
            <w:vAlign w:val="center"/>
          </w:tcPr>
          <w:p w14:paraId="79E1DED3" w14:textId="77777777" w:rsidR="00096739" w:rsidRPr="0019444B" w:rsidRDefault="00096739" w:rsidP="00BE1975">
            <w:pPr>
              <w:keepNext/>
              <w:widowControl w:val="0"/>
              <w:jc w:val="left"/>
              <w:rPr>
                <w:rFonts w:ascii="Arial Narrow" w:hAnsi="Arial Narrow"/>
                <w:sz w:val="20"/>
                <w:szCs w:val="20"/>
              </w:rPr>
            </w:pPr>
            <w:r w:rsidRPr="0019444B">
              <w:rPr>
                <w:rFonts w:ascii="Arial Narrow" w:hAnsi="Arial Narrow"/>
                <w:sz w:val="20"/>
                <w:szCs w:val="20"/>
              </w:rPr>
              <w:t>-</w:t>
            </w:r>
          </w:p>
        </w:tc>
        <w:tc>
          <w:tcPr>
            <w:tcW w:w="2371" w:type="dxa"/>
            <w:shd w:val="clear" w:color="auto" w:fill="auto"/>
            <w:vAlign w:val="center"/>
          </w:tcPr>
          <w:p w14:paraId="692E4993" w14:textId="77777777" w:rsidR="00096739" w:rsidRPr="0019444B" w:rsidRDefault="00096739" w:rsidP="00BE1975">
            <w:pPr>
              <w:keepNext/>
              <w:widowControl w:val="0"/>
              <w:jc w:val="left"/>
              <w:rPr>
                <w:rFonts w:ascii="Arial Narrow" w:hAnsi="Arial Narrow"/>
                <w:b/>
                <w:sz w:val="20"/>
                <w:szCs w:val="20"/>
              </w:rPr>
            </w:pPr>
            <w:r w:rsidRPr="0019444B">
              <w:rPr>
                <w:rFonts w:ascii="Arial Narrow" w:hAnsi="Arial Narrow"/>
                <w:b/>
                <w:sz w:val="20"/>
                <w:szCs w:val="20"/>
              </w:rPr>
              <w:t>$67,737</w:t>
            </w:r>
          </w:p>
        </w:tc>
        <w:tc>
          <w:tcPr>
            <w:tcW w:w="2279" w:type="dxa"/>
            <w:shd w:val="clear" w:color="auto" w:fill="auto"/>
            <w:vAlign w:val="center"/>
          </w:tcPr>
          <w:p w14:paraId="2FC96F3C" w14:textId="77777777" w:rsidR="00096739" w:rsidRPr="0019444B" w:rsidRDefault="00096739" w:rsidP="00BE1975">
            <w:pPr>
              <w:keepNext/>
              <w:widowControl w:val="0"/>
              <w:jc w:val="left"/>
              <w:rPr>
                <w:rFonts w:ascii="Arial Narrow" w:hAnsi="Arial Narrow"/>
                <w:b/>
                <w:sz w:val="20"/>
                <w:szCs w:val="20"/>
              </w:rPr>
            </w:pPr>
            <w:r w:rsidRPr="0019444B">
              <w:rPr>
                <w:rFonts w:ascii="Arial Narrow" w:hAnsi="Arial Narrow"/>
                <w:b/>
                <w:sz w:val="20"/>
                <w:szCs w:val="20"/>
              </w:rPr>
              <w:t>$69,281</w:t>
            </w:r>
          </w:p>
        </w:tc>
      </w:tr>
      <w:tr w:rsidR="00096739" w:rsidRPr="0019444B" w14:paraId="55DC4324" w14:textId="77777777" w:rsidTr="00A32205">
        <w:trPr>
          <w:trHeight w:val="20"/>
        </w:trPr>
        <w:tc>
          <w:tcPr>
            <w:tcW w:w="9061" w:type="dxa"/>
            <w:gridSpan w:val="4"/>
            <w:shd w:val="clear" w:color="auto" w:fill="auto"/>
            <w:vAlign w:val="center"/>
          </w:tcPr>
          <w:p w14:paraId="3AB53C6F" w14:textId="1F9F30A2" w:rsidR="00096739" w:rsidRPr="0019444B" w:rsidRDefault="00096739" w:rsidP="00BE1975">
            <w:pPr>
              <w:keepNext/>
              <w:widowControl w:val="0"/>
              <w:jc w:val="left"/>
              <w:rPr>
                <w:rFonts w:ascii="Arial Narrow" w:hAnsi="Arial Narrow"/>
                <w:b/>
                <w:bCs/>
                <w:smallCaps/>
                <w:sz w:val="20"/>
                <w:szCs w:val="20"/>
              </w:rPr>
            </w:pPr>
            <w:r w:rsidRPr="0019444B">
              <w:rPr>
                <w:rFonts w:ascii="Arial Narrow" w:hAnsi="Arial Narrow"/>
                <w:b/>
                <w:bCs/>
                <w:sz w:val="20"/>
                <w:szCs w:val="20"/>
              </w:rPr>
              <w:t>OBIN</w:t>
            </w:r>
          </w:p>
        </w:tc>
      </w:tr>
      <w:tr w:rsidR="00096739" w:rsidRPr="0019444B" w14:paraId="3F9EECF0" w14:textId="77777777" w:rsidTr="00A32205">
        <w:trPr>
          <w:trHeight w:val="20"/>
        </w:trPr>
        <w:tc>
          <w:tcPr>
            <w:tcW w:w="2553" w:type="dxa"/>
            <w:shd w:val="clear" w:color="auto" w:fill="auto"/>
            <w:vAlign w:val="center"/>
          </w:tcPr>
          <w:p w14:paraId="7E08AD97" w14:textId="77777777" w:rsidR="00096739" w:rsidRPr="0019444B" w:rsidRDefault="00096739" w:rsidP="00BE1975">
            <w:pPr>
              <w:keepNext/>
              <w:widowControl w:val="0"/>
              <w:jc w:val="left"/>
              <w:rPr>
                <w:rFonts w:ascii="Arial Narrow" w:hAnsi="Arial Narrow"/>
                <w:sz w:val="20"/>
                <w:szCs w:val="20"/>
                <w:vertAlign w:val="superscript"/>
              </w:rPr>
            </w:pPr>
            <w:r w:rsidRPr="0019444B">
              <w:rPr>
                <w:rFonts w:ascii="Arial Narrow" w:hAnsi="Arial Narrow"/>
                <w:sz w:val="20"/>
                <w:szCs w:val="20"/>
              </w:rPr>
              <w:t xml:space="preserve">Cost per script (weighted price) </w:t>
            </w:r>
            <w:r w:rsidRPr="0019444B">
              <w:rPr>
                <w:rFonts w:ascii="Arial Narrow" w:hAnsi="Arial Narrow"/>
                <w:sz w:val="20"/>
                <w:szCs w:val="20"/>
                <w:vertAlign w:val="superscript"/>
              </w:rPr>
              <w:t>h</w:t>
            </w:r>
          </w:p>
        </w:tc>
        <w:tc>
          <w:tcPr>
            <w:tcW w:w="1858" w:type="dxa"/>
            <w:shd w:val="clear" w:color="auto" w:fill="auto"/>
            <w:vAlign w:val="center"/>
          </w:tcPr>
          <w:p w14:paraId="2DF8812D" w14:textId="77777777" w:rsidR="00096739" w:rsidRPr="0019444B" w:rsidRDefault="00096739" w:rsidP="00BE1975">
            <w:pPr>
              <w:keepNext/>
              <w:widowControl w:val="0"/>
              <w:jc w:val="left"/>
              <w:rPr>
                <w:rFonts w:ascii="Arial Narrow" w:hAnsi="Arial Narrow"/>
                <w:sz w:val="20"/>
                <w:szCs w:val="20"/>
              </w:rPr>
            </w:pPr>
            <w:r w:rsidRPr="0019444B">
              <w:rPr>
                <w:rFonts w:ascii="Arial Narrow" w:hAnsi="Arial Narrow"/>
                <w:sz w:val="20"/>
                <w:szCs w:val="20"/>
              </w:rPr>
              <w:t>-</w:t>
            </w:r>
          </w:p>
        </w:tc>
        <w:tc>
          <w:tcPr>
            <w:tcW w:w="2371" w:type="dxa"/>
            <w:shd w:val="clear" w:color="auto" w:fill="auto"/>
            <w:vAlign w:val="center"/>
          </w:tcPr>
          <w:p w14:paraId="318076FC" w14:textId="77777777" w:rsidR="00096739" w:rsidRPr="0019444B" w:rsidRDefault="00096739" w:rsidP="00BE1975">
            <w:pPr>
              <w:keepNext/>
              <w:widowControl w:val="0"/>
              <w:jc w:val="left"/>
              <w:rPr>
                <w:rFonts w:ascii="Arial Narrow" w:hAnsi="Arial Narrow"/>
                <w:sz w:val="20"/>
                <w:szCs w:val="20"/>
                <w:vertAlign w:val="superscript"/>
              </w:rPr>
            </w:pPr>
            <w:r w:rsidRPr="0019444B">
              <w:rPr>
                <w:rFonts w:ascii="Arial Narrow" w:hAnsi="Arial Narrow"/>
                <w:sz w:val="20"/>
                <w:szCs w:val="20"/>
              </w:rPr>
              <w:t>$4,525.52</w:t>
            </w:r>
          </w:p>
        </w:tc>
        <w:tc>
          <w:tcPr>
            <w:tcW w:w="2279" w:type="dxa"/>
            <w:shd w:val="clear" w:color="auto" w:fill="auto"/>
            <w:vAlign w:val="center"/>
          </w:tcPr>
          <w:p w14:paraId="28618102" w14:textId="77777777" w:rsidR="00096739" w:rsidRPr="0019444B" w:rsidRDefault="00096739" w:rsidP="00BE1975">
            <w:pPr>
              <w:keepNext/>
              <w:widowControl w:val="0"/>
              <w:jc w:val="left"/>
              <w:rPr>
                <w:rFonts w:ascii="Arial Narrow" w:hAnsi="Arial Narrow"/>
                <w:sz w:val="20"/>
                <w:szCs w:val="20"/>
              </w:rPr>
            </w:pPr>
            <w:r w:rsidRPr="0019444B">
              <w:rPr>
                <w:rFonts w:ascii="Arial Narrow" w:hAnsi="Arial Narrow"/>
                <w:sz w:val="20"/>
                <w:szCs w:val="20"/>
              </w:rPr>
              <w:t>$4,665.09</w:t>
            </w:r>
          </w:p>
        </w:tc>
      </w:tr>
      <w:tr w:rsidR="00096739" w:rsidRPr="0019444B" w14:paraId="5F1BD07F" w14:textId="77777777" w:rsidTr="00A32205">
        <w:trPr>
          <w:trHeight w:val="20"/>
        </w:trPr>
        <w:tc>
          <w:tcPr>
            <w:tcW w:w="2553" w:type="dxa"/>
            <w:shd w:val="clear" w:color="auto" w:fill="auto"/>
            <w:vAlign w:val="center"/>
          </w:tcPr>
          <w:p w14:paraId="4EF48A67" w14:textId="77777777" w:rsidR="00096739" w:rsidRPr="0019444B" w:rsidRDefault="00096739" w:rsidP="00BE1975">
            <w:pPr>
              <w:keepNext/>
              <w:widowControl w:val="0"/>
              <w:jc w:val="left"/>
              <w:rPr>
                <w:rFonts w:ascii="Arial Narrow" w:hAnsi="Arial Narrow"/>
                <w:sz w:val="20"/>
                <w:szCs w:val="20"/>
              </w:rPr>
            </w:pPr>
            <w:r w:rsidRPr="0019444B">
              <w:rPr>
                <w:rFonts w:ascii="Arial Narrow" w:hAnsi="Arial Narrow"/>
                <w:sz w:val="20"/>
                <w:szCs w:val="20"/>
              </w:rPr>
              <w:t>Compliance</w:t>
            </w:r>
          </w:p>
        </w:tc>
        <w:tc>
          <w:tcPr>
            <w:tcW w:w="1858" w:type="dxa"/>
            <w:shd w:val="clear" w:color="auto" w:fill="auto"/>
            <w:vAlign w:val="center"/>
          </w:tcPr>
          <w:p w14:paraId="166E7BBE" w14:textId="77777777" w:rsidR="00096739" w:rsidRPr="0019444B" w:rsidRDefault="00096739" w:rsidP="00BE1975">
            <w:pPr>
              <w:keepNext/>
              <w:widowControl w:val="0"/>
              <w:jc w:val="left"/>
              <w:rPr>
                <w:rFonts w:ascii="Arial Narrow" w:hAnsi="Arial Narrow"/>
                <w:sz w:val="20"/>
                <w:szCs w:val="20"/>
              </w:rPr>
            </w:pPr>
            <w:r w:rsidRPr="0019444B">
              <w:rPr>
                <w:rFonts w:ascii="Arial Narrow" w:hAnsi="Arial Narrow"/>
                <w:sz w:val="20"/>
                <w:szCs w:val="20"/>
              </w:rPr>
              <w:t>7.355 scripts/course</w:t>
            </w:r>
          </w:p>
        </w:tc>
        <w:tc>
          <w:tcPr>
            <w:tcW w:w="2371" w:type="dxa"/>
            <w:shd w:val="clear" w:color="auto" w:fill="auto"/>
            <w:vAlign w:val="center"/>
          </w:tcPr>
          <w:p w14:paraId="278DF833" w14:textId="77777777" w:rsidR="00096739" w:rsidRPr="0019444B" w:rsidRDefault="00096739" w:rsidP="00BE1975">
            <w:pPr>
              <w:keepNext/>
              <w:widowControl w:val="0"/>
              <w:jc w:val="left"/>
              <w:rPr>
                <w:rFonts w:ascii="Arial Narrow" w:hAnsi="Arial Narrow"/>
                <w:sz w:val="20"/>
                <w:szCs w:val="20"/>
              </w:rPr>
            </w:pPr>
            <w:r w:rsidRPr="0019444B">
              <w:rPr>
                <w:rFonts w:ascii="Arial Narrow" w:hAnsi="Arial Narrow"/>
                <w:sz w:val="20"/>
                <w:szCs w:val="20"/>
              </w:rPr>
              <w:t>7.355 scripts (7.355 scripts x 100% dose intensity)</w:t>
            </w:r>
          </w:p>
        </w:tc>
        <w:tc>
          <w:tcPr>
            <w:tcW w:w="2279" w:type="dxa"/>
            <w:shd w:val="clear" w:color="auto" w:fill="auto"/>
            <w:vAlign w:val="center"/>
          </w:tcPr>
          <w:p w14:paraId="0C777DA5" w14:textId="77777777" w:rsidR="00096739" w:rsidRPr="0019444B" w:rsidRDefault="00096739" w:rsidP="00BE1975">
            <w:pPr>
              <w:keepNext/>
              <w:widowControl w:val="0"/>
              <w:jc w:val="left"/>
              <w:rPr>
                <w:rFonts w:ascii="Arial Narrow" w:hAnsi="Arial Narrow"/>
                <w:sz w:val="20"/>
                <w:szCs w:val="20"/>
              </w:rPr>
            </w:pPr>
            <w:r w:rsidRPr="0019444B">
              <w:rPr>
                <w:rFonts w:ascii="Arial Narrow" w:hAnsi="Arial Narrow"/>
                <w:sz w:val="20"/>
                <w:szCs w:val="20"/>
              </w:rPr>
              <w:t>7.355 scripts (7.355 scripts x 100% dose intensity)</w:t>
            </w:r>
          </w:p>
        </w:tc>
      </w:tr>
      <w:tr w:rsidR="00096739" w:rsidRPr="0019444B" w14:paraId="6BC36474" w14:textId="77777777" w:rsidTr="00A32205">
        <w:trPr>
          <w:trHeight w:val="20"/>
        </w:trPr>
        <w:tc>
          <w:tcPr>
            <w:tcW w:w="2553" w:type="dxa"/>
            <w:shd w:val="clear" w:color="auto" w:fill="auto"/>
            <w:vAlign w:val="center"/>
          </w:tcPr>
          <w:p w14:paraId="491A82C2" w14:textId="77777777" w:rsidR="00096739" w:rsidRPr="0019444B" w:rsidRDefault="00096739" w:rsidP="00BE1975">
            <w:pPr>
              <w:keepNext/>
              <w:widowControl w:val="0"/>
              <w:jc w:val="left"/>
              <w:rPr>
                <w:rFonts w:ascii="Arial Narrow" w:hAnsi="Arial Narrow"/>
                <w:sz w:val="20"/>
                <w:szCs w:val="20"/>
              </w:rPr>
            </w:pPr>
            <w:r w:rsidRPr="0019444B">
              <w:rPr>
                <w:rFonts w:ascii="Arial Narrow" w:hAnsi="Arial Narrow"/>
                <w:sz w:val="20"/>
                <w:szCs w:val="20"/>
              </w:rPr>
              <w:t>Cost per course</w:t>
            </w:r>
          </w:p>
        </w:tc>
        <w:tc>
          <w:tcPr>
            <w:tcW w:w="1858" w:type="dxa"/>
            <w:shd w:val="clear" w:color="auto" w:fill="auto"/>
            <w:vAlign w:val="center"/>
          </w:tcPr>
          <w:p w14:paraId="19173887" w14:textId="77777777" w:rsidR="00096739" w:rsidRPr="0019444B" w:rsidRDefault="00096739" w:rsidP="00BE1975">
            <w:pPr>
              <w:keepNext/>
              <w:widowControl w:val="0"/>
              <w:jc w:val="left"/>
              <w:rPr>
                <w:rFonts w:ascii="Arial Narrow" w:hAnsi="Arial Narrow"/>
                <w:sz w:val="20"/>
                <w:szCs w:val="20"/>
              </w:rPr>
            </w:pPr>
            <w:r w:rsidRPr="0019444B">
              <w:rPr>
                <w:rFonts w:ascii="Arial Narrow" w:hAnsi="Arial Narrow"/>
                <w:sz w:val="20"/>
                <w:szCs w:val="20"/>
              </w:rPr>
              <w:t>-</w:t>
            </w:r>
          </w:p>
        </w:tc>
        <w:tc>
          <w:tcPr>
            <w:tcW w:w="2371" w:type="dxa"/>
            <w:shd w:val="clear" w:color="auto" w:fill="auto"/>
            <w:vAlign w:val="center"/>
          </w:tcPr>
          <w:p w14:paraId="2AE043AC" w14:textId="77777777" w:rsidR="00096739" w:rsidRPr="0019444B" w:rsidRDefault="00096739" w:rsidP="00BE1975">
            <w:pPr>
              <w:keepNext/>
              <w:widowControl w:val="0"/>
              <w:jc w:val="left"/>
              <w:rPr>
                <w:rFonts w:ascii="Arial Narrow" w:hAnsi="Arial Narrow"/>
                <w:sz w:val="20"/>
                <w:szCs w:val="20"/>
              </w:rPr>
            </w:pPr>
            <w:r w:rsidRPr="0019444B">
              <w:rPr>
                <w:rFonts w:ascii="Arial Narrow" w:hAnsi="Arial Narrow"/>
                <w:sz w:val="20"/>
                <w:szCs w:val="20"/>
              </w:rPr>
              <w:t>$33,285</w:t>
            </w:r>
          </w:p>
        </w:tc>
        <w:tc>
          <w:tcPr>
            <w:tcW w:w="2279" w:type="dxa"/>
            <w:shd w:val="clear" w:color="auto" w:fill="auto"/>
            <w:vAlign w:val="center"/>
          </w:tcPr>
          <w:p w14:paraId="7890F2E6" w14:textId="77777777" w:rsidR="00096739" w:rsidRPr="0019444B" w:rsidRDefault="00096739" w:rsidP="00BE1975">
            <w:pPr>
              <w:keepNext/>
              <w:widowControl w:val="0"/>
              <w:jc w:val="left"/>
              <w:rPr>
                <w:rFonts w:ascii="Arial Narrow" w:hAnsi="Arial Narrow"/>
                <w:sz w:val="20"/>
                <w:szCs w:val="20"/>
              </w:rPr>
            </w:pPr>
            <w:r w:rsidRPr="0019444B">
              <w:rPr>
                <w:rFonts w:ascii="Arial Narrow" w:hAnsi="Arial Narrow"/>
                <w:sz w:val="20"/>
                <w:szCs w:val="20"/>
              </w:rPr>
              <w:t>$34,421</w:t>
            </w:r>
          </w:p>
        </w:tc>
      </w:tr>
      <w:tr w:rsidR="00096739" w:rsidRPr="0019444B" w14:paraId="09383D8E" w14:textId="77777777" w:rsidTr="00A32205">
        <w:trPr>
          <w:trHeight w:val="20"/>
        </w:trPr>
        <w:tc>
          <w:tcPr>
            <w:tcW w:w="2553" w:type="dxa"/>
            <w:shd w:val="clear" w:color="auto" w:fill="auto"/>
            <w:vAlign w:val="center"/>
          </w:tcPr>
          <w:p w14:paraId="41F19C91" w14:textId="77777777" w:rsidR="00096739" w:rsidRPr="0019444B" w:rsidRDefault="00096739" w:rsidP="00BE1975">
            <w:pPr>
              <w:keepNext/>
              <w:widowControl w:val="0"/>
              <w:jc w:val="left"/>
              <w:rPr>
                <w:rFonts w:ascii="Arial Narrow" w:hAnsi="Arial Narrow"/>
                <w:b/>
                <w:bCs/>
                <w:sz w:val="20"/>
                <w:szCs w:val="20"/>
              </w:rPr>
            </w:pPr>
            <w:r w:rsidRPr="0019444B">
              <w:rPr>
                <w:rFonts w:ascii="Arial Narrow" w:hAnsi="Arial Narrow"/>
                <w:b/>
                <w:bCs/>
                <w:sz w:val="20"/>
                <w:szCs w:val="20"/>
              </w:rPr>
              <w:t>Total cost per course</w:t>
            </w:r>
          </w:p>
        </w:tc>
        <w:tc>
          <w:tcPr>
            <w:tcW w:w="1858" w:type="dxa"/>
            <w:shd w:val="clear" w:color="auto" w:fill="auto"/>
            <w:vAlign w:val="center"/>
          </w:tcPr>
          <w:p w14:paraId="6D104C34" w14:textId="77777777" w:rsidR="00096739" w:rsidRPr="0019444B" w:rsidRDefault="00096739" w:rsidP="00BE1975">
            <w:pPr>
              <w:keepNext/>
              <w:widowControl w:val="0"/>
              <w:jc w:val="left"/>
              <w:rPr>
                <w:rFonts w:ascii="Arial Narrow" w:hAnsi="Arial Narrow"/>
                <w:sz w:val="20"/>
                <w:szCs w:val="20"/>
              </w:rPr>
            </w:pPr>
            <w:r w:rsidRPr="0019444B">
              <w:rPr>
                <w:rFonts w:ascii="Arial Narrow" w:hAnsi="Arial Narrow"/>
                <w:sz w:val="20"/>
                <w:szCs w:val="20"/>
              </w:rPr>
              <w:t>-</w:t>
            </w:r>
          </w:p>
        </w:tc>
        <w:tc>
          <w:tcPr>
            <w:tcW w:w="2371" w:type="dxa"/>
            <w:shd w:val="clear" w:color="auto" w:fill="auto"/>
            <w:vAlign w:val="center"/>
          </w:tcPr>
          <w:p w14:paraId="25484574" w14:textId="77777777" w:rsidR="00096739" w:rsidRPr="0019444B" w:rsidRDefault="00096739" w:rsidP="00BE1975">
            <w:pPr>
              <w:keepNext/>
              <w:widowControl w:val="0"/>
              <w:jc w:val="left"/>
              <w:rPr>
                <w:rFonts w:ascii="Arial Narrow" w:hAnsi="Arial Narrow"/>
                <w:b/>
                <w:bCs/>
                <w:sz w:val="20"/>
                <w:szCs w:val="20"/>
              </w:rPr>
            </w:pPr>
            <w:r w:rsidRPr="0019444B">
              <w:rPr>
                <w:rFonts w:ascii="Arial Narrow" w:hAnsi="Arial Narrow"/>
                <w:b/>
                <w:bCs/>
                <w:sz w:val="20"/>
                <w:szCs w:val="20"/>
              </w:rPr>
              <w:t>$101,022</w:t>
            </w:r>
          </w:p>
        </w:tc>
        <w:tc>
          <w:tcPr>
            <w:tcW w:w="2279" w:type="dxa"/>
            <w:shd w:val="clear" w:color="auto" w:fill="auto"/>
            <w:vAlign w:val="center"/>
          </w:tcPr>
          <w:p w14:paraId="609D2F9B" w14:textId="77777777" w:rsidR="00096739" w:rsidRPr="0019444B" w:rsidRDefault="00096739" w:rsidP="00BE1975">
            <w:pPr>
              <w:keepNext/>
              <w:widowControl w:val="0"/>
              <w:jc w:val="left"/>
              <w:rPr>
                <w:rFonts w:ascii="Arial Narrow" w:hAnsi="Arial Narrow"/>
                <w:b/>
                <w:bCs/>
                <w:sz w:val="20"/>
                <w:szCs w:val="20"/>
              </w:rPr>
            </w:pPr>
            <w:r w:rsidRPr="0019444B">
              <w:rPr>
                <w:rFonts w:ascii="Arial Narrow" w:hAnsi="Arial Narrow"/>
                <w:b/>
                <w:bCs/>
                <w:sz w:val="20"/>
                <w:szCs w:val="20"/>
              </w:rPr>
              <w:t>$103,702</w:t>
            </w:r>
          </w:p>
        </w:tc>
      </w:tr>
    </w:tbl>
    <w:p w14:paraId="4D9E27CF" w14:textId="72B46261" w:rsidR="004B74E3" w:rsidRPr="0019444B" w:rsidRDefault="004B74E3" w:rsidP="006F42AE">
      <w:pPr>
        <w:pStyle w:val="FooterTableFigure"/>
        <w:keepNext/>
        <w:spacing w:after="0"/>
        <w:ind w:right="-1"/>
        <w:contextualSpacing w:val="0"/>
      </w:pPr>
      <w:r w:rsidRPr="0019444B">
        <w:t>Source: Compiled using the “3A – Acalabrutinib_1L CLL_CMA” and “4A – Acalabrutinib_1LCLL_Section4BIM” excel workbooks</w:t>
      </w:r>
    </w:p>
    <w:p w14:paraId="0F79060A" w14:textId="77777777" w:rsidR="004B7F89" w:rsidRPr="0019444B" w:rsidRDefault="004B7F89" w:rsidP="004B7F89">
      <w:pPr>
        <w:pStyle w:val="FooterTableFigure"/>
        <w:keepNext/>
        <w:widowControl w:val="0"/>
        <w:spacing w:after="0"/>
        <w:contextualSpacing w:val="0"/>
      </w:pPr>
      <w:r w:rsidRPr="0019444B">
        <w:t>ACA = acalabrutinib, OBIN = obinutuzumab, VTX = venetoclax</w:t>
      </w:r>
    </w:p>
    <w:p w14:paraId="476A0505" w14:textId="77777777" w:rsidR="004B74E3" w:rsidRPr="0019444B" w:rsidRDefault="004B74E3" w:rsidP="006F42AE">
      <w:pPr>
        <w:pStyle w:val="FooterTableFigure"/>
        <w:keepNext/>
        <w:spacing w:after="0"/>
        <w:ind w:right="-1"/>
        <w:contextualSpacing w:val="0"/>
      </w:pPr>
      <w:r w:rsidRPr="0019444B">
        <w:rPr>
          <w:vertAlign w:val="superscript"/>
        </w:rPr>
        <w:t>a</w:t>
      </w:r>
      <w:r w:rsidRPr="0019444B">
        <w:t xml:space="preserve"> Cost per script calculated at the AEMP </w:t>
      </w:r>
      <w:proofErr w:type="gramStart"/>
      <w:r w:rsidRPr="0019444B">
        <w:t>level</w:t>
      </w:r>
      <w:proofErr w:type="gramEnd"/>
    </w:p>
    <w:p w14:paraId="494F5BF8" w14:textId="512BE7DC" w:rsidR="004B74E3" w:rsidRPr="0019444B" w:rsidRDefault="004B74E3" w:rsidP="006F42AE">
      <w:pPr>
        <w:pStyle w:val="FooterTableFigure"/>
        <w:keepNext/>
        <w:spacing w:after="0"/>
        <w:ind w:right="-1"/>
        <w:contextualSpacing w:val="0"/>
      </w:pPr>
      <w:r w:rsidRPr="0019444B">
        <w:rPr>
          <w:vertAlign w:val="superscript"/>
        </w:rPr>
        <w:t xml:space="preserve">b </w:t>
      </w:r>
      <w:r w:rsidRPr="0019444B">
        <w:t xml:space="preserve">Cost per script calculated based on </w:t>
      </w:r>
      <w:r w:rsidR="00192CCF">
        <w:t xml:space="preserve">estimated cost per script, using </w:t>
      </w:r>
      <w:r w:rsidRPr="0019444B">
        <w:t>published DPMQ/DPM</w:t>
      </w:r>
      <w:r w:rsidR="00192CCF">
        <w:t>A</w:t>
      </w:r>
    </w:p>
    <w:p w14:paraId="04881A0E" w14:textId="4984E6EA" w:rsidR="004B74E3" w:rsidRPr="0019444B" w:rsidRDefault="004B74E3" w:rsidP="006F42AE">
      <w:pPr>
        <w:pStyle w:val="FooterTableFigure"/>
        <w:keepNext/>
        <w:spacing w:after="0"/>
        <w:ind w:right="-1"/>
        <w:contextualSpacing w:val="0"/>
        <w:rPr>
          <w:iCs/>
        </w:rPr>
      </w:pPr>
      <w:r w:rsidRPr="0019444B">
        <w:rPr>
          <w:iCs/>
          <w:vertAlign w:val="superscript"/>
        </w:rPr>
        <w:t>c</w:t>
      </w:r>
      <w:r w:rsidRPr="0019444B">
        <w:rPr>
          <w:iCs/>
        </w:rPr>
        <w:t xml:space="preserve"> AEMP for ACA as calculated during the evaluation using the methodology outlined in the resubmission and the published prices for </w:t>
      </w:r>
      <w:r w:rsidR="000F7266" w:rsidRPr="0019444B">
        <w:rPr>
          <w:iCs/>
        </w:rPr>
        <w:t>VTX+OBIN</w:t>
      </w:r>
    </w:p>
    <w:p w14:paraId="745C4035" w14:textId="77777777" w:rsidR="004B74E3" w:rsidRPr="0019444B" w:rsidRDefault="004B74E3" w:rsidP="006F42AE">
      <w:pPr>
        <w:pStyle w:val="FooterTableFigure"/>
        <w:keepNext/>
        <w:spacing w:after="0"/>
        <w:ind w:right="-1"/>
        <w:contextualSpacing w:val="0"/>
        <w:rPr>
          <w:szCs w:val="20"/>
        </w:rPr>
      </w:pPr>
      <w:r w:rsidRPr="0019444B">
        <w:rPr>
          <w:szCs w:val="20"/>
          <w:vertAlign w:val="superscript"/>
        </w:rPr>
        <w:t>d</w:t>
      </w:r>
      <w:r w:rsidRPr="0019444B">
        <w:rPr>
          <w:szCs w:val="20"/>
        </w:rPr>
        <w:t xml:space="preserve"> Assuming 365 days/ year with each pack containing 56 tablets</w:t>
      </w:r>
    </w:p>
    <w:p w14:paraId="12182924" w14:textId="77777777" w:rsidR="004B74E3" w:rsidRPr="0019444B" w:rsidRDefault="004B74E3" w:rsidP="006F42AE">
      <w:pPr>
        <w:pStyle w:val="FooterTableFigure"/>
        <w:keepNext/>
        <w:spacing w:after="0"/>
        <w:ind w:right="-1"/>
        <w:contextualSpacing w:val="0"/>
      </w:pPr>
      <w:r w:rsidRPr="0019444B">
        <w:rPr>
          <w:szCs w:val="20"/>
          <w:vertAlign w:val="superscript"/>
        </w:rPr>
        <w:t>e</w:t>
      </w:r>
      <w:r w:rsidRPr="0019444B">
        <w:rPr>
          <w:szCs w:val="20"/>
        </w:rPr>
        <w:t xml:space="preserve"> Based on the mean actual cumulative dose as reported in the ELEVATE-TN CSR </w:t>
      </w:r>
    </w:p>
    <w:p w14:paraId="43EF1588" w14:textId="0A9E4A70" w:rsidR="004B74E3" w:rsidRPr="0019444B" w:rsidRDefault="004B74E3" w:rsidP="006F42AE">
      <w:pPr>
        <w:pStyle w:val="FooterTableFigure"/>
        <w:keepNext/>
        <w:spacing w:after="0"/>
        <w:ind w:right="-1"/>
        <w:contextualSpacing w:val="0"/>
        <w:rPr>
          <w:szCs w:val="20"/>
        </w:rPr>
      </w:pPr>
      <w:r w:rsidRPr="0019444B">
        <w:rPr>
          <w:szCs w:val="20"/>
          <w:vertAlign w:val="superscript"/>
        </w:rPr>
        <w:t>f</w:t>
      </w:r>
      <w:r w:rsidRPr="0019444B">
        <w:rPr>
          <w:szCs w:val="20"/>
        </w:rPr>
        <w:t xml:space="preserve"> </w:t>
      </w:r>
      <w:r w:rsidR="007F570F" w:rsidRPr="0019444B">
        <w:rPr>
          <w:szCs w:val="20"/>
        </w:rPr>
        <w:t>Adjusted during the evaluation to reflect the trial</w:t>
      </w:r>
      <w:r w:rsidR="00D04888" w:rsidRPr="0019444B">
        <w:rPr>
          <w:szCs w:val="20"/>
        </w:rPr>
        <w:t>-based utilisation</w:t>
      </w:r>
      <w:r w:rsidR="007357DD" w:rsidRPr="0019444B">
        <w:rPr>
          <w:szCs w:val="20"/>
        </w:rPr>
        <w:t xml:space="preserve"> however </w:t>
      </w:r>
      <w:r w:rsidR="00206694" w:rsidRPr="0019444B">
        <w:rPr>
          <w:szCs w:val="20"/>
        </w:rPr>
        <w:t>infusion costs were based on 9 administrations</w:t>
      </w:r>
    </w:p>
    <w:p w14:paraId="4619D8E0" w14:textId="77777777" w:rsidR="004B74E3" w:rsidRPr="0019444B" w:rsidRDefault="004B74E3" w:rsidP="006F42AE">
      <w:pPr>
        <w:pStyle w:val="FooterTableFigure"/>
        <w:keepNext/>
        <w:spacing w:after="0"/>
        <w:ind w:right="-1"/>
        <w:contextualSpacing w:val="0"/>
        <w:rPr>
          <w:szCs w:val="20"/>
        </w:rPr>
      </w:pPr>
      <w:r w:rsidRPr="0019444B">
        <w:rPr>
          <w:vertAlign w:val="superscript"/>
        </w:rPr>
        <w:t xml:space="preserve">g </w:t>
      </w:r>
      <w:r w:rsidRPr="0019444B">
        <w:rPr>
          <w:szCs w:val="20"/>
        </w:rPr>
        <w:t>Based on the number of VTX scripts per course in the CLL-14 trial reported in Table 7 of the July 2020 Venetoclax PSD.</w:t>
      </w:r>
    </w:p>
    <w:p w14:paraId="68A1D460" w14:textId="5515C44C" w:rsidR="004B74E3" w:rsidRDefault="004B74E3" w:rsidP="00CA022C">
      <w:pPr>
        <w:pStyle w:val="FooterTableFigure"/>
        <w:spacing w:after="0"/>
        <w:contextualSpacing w:val="0"/>
        <w:rPr>
          <w:szCs w:val="20"/>
        </w:rPr>
      </w:pPr>
      <w:r w:rsidRPr="0019444B">
        <w:rPr>
          <w:szCs w:val="20"/>
          <w:vertAlign w:val="superscript"/>
        </w:rPr>
        <w:t>h</w:t>
      </w:r>
      <w:r w:rsidRPr="0019444B">
        <w:rPr>
          <w:szCs w:val="20"/>
        </w:rPr>
        <w:t xml:space="preserve"> Assuming 35.8% public utilisation and 64.2% private utilisation</w:t>
      </w:r>
    </w:p>
    <w:p w14:paraId="268768EF" w14:textId="3626F292" w:rsidR="00B60939" w:rsidRPr="0019444B" w:rsidRDefault="00B60939" w:rsidP="002B05A1">
      <w:pPr>
        <w:pStyle w:val="4-SubsectionHeading"/>
      </w:pPr>
      <w:bookmarkStart w:id="86" w:name="_Toc135225278"/>
      <w:r w:rsidRPr="0019444B">
        <w:t xml:space="preserve">Estimated PBS usage &amp; financial </w:t>
      </w:r>
      <w:proofErr w:type="gramStart"/>
      <w:r w:rsidRPr="0019444B">
        <w:t>implications</w:t>
      </w:r>
      <w:bookmarkEnd w:id="83"/>
      <w:bookmarkEnd w:id="86"/>
      <w:proofErr w:type="gramEnd"/>
    </w:p>
    <w:p w14:paraId="0862808A" w14:textId="05B86264" w:rsidR="000A2E2B" w:rsidRPr="0019444B" w:rsidRDefault="000A2E2B" w:rsidP="000A2E2B">
      <w:pPr>
        <w:pStyle w:val="3-BodyText"/>
        <w:numPr>
          <w:ilvl w:val="1"/>
          <w:numId w:val="1"/>
        </w:numPr>
        <w:rPr>
          <w:color w:val="0066FF"/>
        </w:rPr>
      </w:pPr>
      <w:bookmarkStart w:id="87" w:name="_Ref104805262"/>
      <w:r w:rsidRPr="0019444B">
        <w:t xml:space="preserve">This </w:t>
      </w:r>
      <w:r w:rsidR="00EB7C29" w:rsidRPr="0019444B">
        <w:t>re</w:t>
      </w:r>
      <w:r w:rsidRPr="0019444B">
        <w:t>submission w</w:t>
      </w:r>
      <w:r w:rsidR="00846940" w:rsidRPr="0019444B">
        <w:t>as</w:t>
      </w:r>
      <w:r w:rsidR="00560BBF" w:rsidRPr="0019444B">
        <w:t xml:space="preserve"> not</w:t>
      </w:r>
      <w:r w:rsidRPr="0019444B">
        <w:t xml:space="preserve"> considered by DUSC</w:t>
      </w:r>
      <w:r w:rsidRPr="0019444B">
        <w:rPr>
          <w:color w:val="0070C0"/>
        </w:rPr>
        <w:t xml:space="preserve">. </w:t>
      </w:r>
    </w:p>
    <w:p w14:paraId="38DA0B56" w14:textId="3C8FCD2D" w:rsidR="000A2E2B" w:rsidRPr="0019444B" w:rsidRDefault="000A2E2B" w:rsidP="000A2E2B">
      <w:pPr>
        <w:pStyle w:val="3-BodyText"/>
        <w:numPr>
          <w:ilvl w:val="1"/>
          <w:numId w:val="1"/>
        </w:numPr>
        <w:rPr>
          <w:iCs/>
        </w:rPr>
      </w:pPr>
      <w:r w:rsidRPr="0019444B">
        <w:t>The resubmission used a</w:t>
      </w:r>
      <w:r w:rsidR="00B30409" w:rsidRPr="0019444B">
        <w:t>n</w:t>
      </w:r>
      <w:r w:rsidRPr="0019444B">
        <w:t xml:space="preserve"> epidemiological approach to estimate the utilisation and financial implications of listing </w:t>
      </w:r>
      <w:r w:rsidR="009A2FDB" w:rsidRPr="0019444B">
        <w:t>ACA</w:t>
      </w:r>
      <w:r w:rsidR="00A45ED6" w:rsidRPr="0019444B">
        <w:t>+/-</w:t>
      </w:r>
      <w:r w:rsidR="009A2FDB" w:rsidRPr="0019444B">
        <w:t xml:space="preserve">OBIN </w:t>
      </w:r>
      <w:r w:rsidRPr="0019444B">
        <w:t>in patients with previously untreated CLL</w:t>
      </w:r>
      <w:r w:rsidR="009A2FDB" w:rsidRPr="0019444B">
        <w:t>/SLL</w:t>
      </w:r>
      <w:r w:rsidRPr="0019444B">
        <w:t xml:space="preserve">. </w:t>
      </w:r>
      <w:r w:rsidR="00E537D1" w:rsidRPr="0019444B">
        <w:rPr>
          <w:iCs/>
        </w:rPr>
        <w:t>No justification was provided in the resubmission as to why an epidemiological approach was undertaken. Based on the non-inferior therapeutic conclusion, a market share approach would have been more appropriate.</w:t>
      </w:r>
      <w:r w:rsidR="00CE6B91" w:rsidRPr="0019444B">
        <w:rPr>
          <w:iCs/>
        </w:rPr>
        <w:t xml:space="preserve"> The PSCR stated an epidemiological approach was adopted for consistency with previous submissions for ACA+/-OBIN as well as the approach accepted by the PBAC for VTX+OBIN in July 2020 (venetoclax July 2020 PSD) in previously untreated CLL. </w:t>
      </w:r>
      <w:r w:rsidR="008D4172">
        <w:rPr>
          <w:iCs/>
        </w:rPr>
        <w:t>The PBAC noted the zanubrutinib submission for treatment naïve CLL used a market share approach (para</w:t>
      </w:r>
      <w:r w:rsidR="007F653D">
        <w:rPr>
          <w:iCs/>
        </w:rPr>
        <w:t>graph</w:t>
      </w:r>
      <w:r w:rsidR="008D4172">
        <w:rPr>
          <w:iCs/>
        </w:rPr>
        <w:t xml:space="preserve"> 7.16, ZANU</w:t>
      </w:r>
      <w:r w:rsidR="007F653D">
        <w:rPr>
          <w:iCs/>
        </w:rPr>
        <w:t>,</w:t>
      </w:r>
      <w:r w:rsidR="008D4172">
        <w:rPr>
          <w:iCs/>
        </w:rPr>
        <w:t xml:space="preserve"> PSD, March 2023</w:t>
      </w:r>
      <w:r w:rsidR="007F653D">
        <w:rPr>
          <w:iCs/>
        </w:rPr>
        <w:t xml:space="preserve"> PBAC meeting</w:t>
      </w:r>
      <w:r w:rsidR="008D4172">
        <w:rPr>
          <w:iCs/>
        </w:rPr>
        <w:t>).</w:t>
      </w:r>
    </w:p>
    <w:p w14:paraId="3B526B50" w14:textId="77777777" w:rsidR="00823E1D" w:rsidRDefault="000A2E2B" w:rsidP="00157290">
      <w:pPr>
        <w:pStyle w:val="3-BodyText"/>
        <w:numPr>
          <w:ilvl w:val="1"/>
          <w:numId w:val="1"/>
        </w:numPr>
      </w:pPr>
      <w:r w:rsidRPr="0019444B">
        <w:t>The key inputs for financial estimates are presented in</w:t>
      </w:r>
      <w:r w:rsidR="00EA2F24" w:rsidRPr="0019444B">
        <w:t xml:space="preserve"> </w:t>
      </w:r>
      <w:r w:rsidR="00EA2F24" w:rsidRPr="0019444B">
        <w:fldChar w:fldCharType="begin" w:fldLock="1"/>
      </w:r>
      <w:r w:rsidR="00EA2F24" w:rsidRPr="0019444B">
        <w:instrText xml:space="preserve"> REF _Ref137418899 \h </w:instrText>
      </w:r>
      <w:r w:rsidR="00EA2F24" w:rsidRPr="0019444B">
        <w:fldChar w:fldCharType="separate"/>
      </w:r>
      <w:r w:rsidR="00EA2F24" w:rsidRPr="0019444B">
        <w:t xml:space="preserve">Table </w:t>
      </w:r>
      <w:r w:rsidR="00EA2F24" w:rsidRPr="007F653D">
        <w:t>19</w:t>
      </w:r>
      <w:r w:rsidR="00EA2F24" w:rsidRPr="0019444B">
        <w:fldChar w:fldCharType="end"/>
      </w:r>
      <w:r w:rsidR="00960A17" w:rsidRPr="0019444B">
        <w:t>.</w:t>
      </w:r>
      <w:bookmarkStart w:id="88" w:name="_Ref132529658"/>
      <w:bookmarkStart w:id="89" w:name="_Ref137418899"/>
    </w:p>
    <w:p w14:paraId="3393BCE7" w14:textId="5AAD0980" w:rsidR="00E42F73" w:rsidRPr="00CA022C" w:rsidRDefault="00E16AD8" w:rsidP="00CA022C">
      <w:pPr>
        <w:pStyle w:val="TableFigureHeading"/>
        <w:rPr>
          <w:rStyle w:val="CommentReference"/>
          <w:rFonts w:asciiTheme="minorHAnsi" w:hAnsiTheme="minorHAnsi"/>
          <w:b/>
          <w:sz w:val="24"/>
          <w:szCs w:val="24"/>
        </w:rPr>
      </w:pPr>
      <w:r w:rsidRPr="00A32205">
        <w:rPr>
          <w:rStyle w:val="CommentReference"/>
          <w:b/>
          <w:bCs w:val="0"/>
          <w:szCs w:val="24"/>
        </w:rPr>
        <w:t xml:space="preserve">Table </w:t>
      </w:r>
      <w:bookmarkEnd w:id="87"/>
      <w:bookmarkEnd w:id="88"/>
      <w:r w:rsidR="00D13D0B" w:rsidRPr="00A32205">
        <w:rPr>
          <w:rStyle w:val="CommentReference"/>
          <w:b/>
          <w:bCs w:val="0"/>
          <w:szCs w:val="24"/>
        </w:rPr>
        <w:fldChar w:fldCharType="begin" w:fldLock="1"/>
      </w:r>
      <w:r w:rsidR="00D13D0B" w:rsidRPr="00A32205">
        <w:rPr>
          <w:rStyle w:val="CommentReference"/>
          <w:b/>
          <w:bCs w:val="0"/>
          <w:szCs w:val="24"/>
        </w:rPr>
        <w:instrText xml:space="preserve"> SEQ Table \* ARABIC </w:instrText>
      </w:r>
      <w:r w:rsidR="00D13D0B" w:rsidRPr="00A32205">
        <w:rPr>
          <w:rStyle w:val="CommentReference"/>
          <w:b/>
          <w:bCs w:val="0"/>
          <w:szCs w:val="24"/>
        </w:rPr>
        <w:fldChar w:fldCharType="separate"/>
      </w:r>
      <w:r w:rsidR="007F653D" w:rsidRPr="00A32205">
        <w:rPr>
          <w:rStyle w:val="CommentReference"/>
          <w:b/>
          <w:bCs w:val="0"/>
          <w:szCs w:val="24"/>
        </w:rPr>
        <w:t>19</w:t>
      </w:r>
      <w:r w:rsidR="00D13D0B" w:rsidRPr="00A32205">
        <w:rPr>
          <w:rStyle w:val="CommentReference"/>
          <w:b/>
          <w:bCs w:val="0"/>
          <w:szCs w:val="24"/>
        </w:rPr>
        <w:fldChar w:fldCharType="end"/>
      </w:r>
      <w:bookmarkEnd w:id="89"/>
      <w:r w:rsidRPr="00A32205">
        <w:rPr>
          <w:rStyle w:val="CommentReference"/>
          <w:b/>
          <w:bCs w:val="0"/>
          <w:szCs w:val="24"/>
        </w:rPr>
        <w:t>:</w:t>
      </w:r>
      <w:r w:rsidR="00E42F73" w:rsidRPr="00A32205">
        <w:rPr>
          <w:rStyle w:val="CommentReference"/>
          <w:b/>
          <w:bCs w:val="0"/>
          <w:szCs w:val="24"/>
        </w:rPr>
        <w:t xml:space="preserve"> Key inputs for financial estimates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24"/>
        <w:gridCol w:w="1951"/>
        <w:gridCol w:w="1920"/>
        <w:gridCol w:w="3672"/>
      </w:tblGrid>
      <w:tr w:rsidR="000A2E2B" w:rsidRPr="0019444B" w14:paraId="2EA26BE3" w14:textId="77777777" w:rsidTr="00823E1D">
        <w:trPr>
          <w:tblHeader/>
        </w:trPr>
        <w:tc>
          <w:tcPr>
            <w:tcW w:w="1524" w:type="dxa"/>
          </w:tcPr>
          <w:p w14:paraId="07E19200" w14:textId="77777777" w:rsidR="000A2E2B" w:rsidRPr="0019444B" w:rsidRDefault="000A2E2B" w:rsidP="00823E1D">
            <w:pPr>
              <w:pStyle w:val="COMTableheadingrow"/>
              <w:keepNext w:val="0"/>
              <w:widowControl w:val="0"/>
              <w:rPr>
                <w:szCs w:val="20"/>
                <w:lang w:val="en-AU"/>
              </w:rPr>
            </w:pPr>
            <w:r w:rsidRPr="0019444B">
              <w:rPr>
                <w:szCs w:val="20"/>
                <w:lang w:val="en-AU"/>
              </w:rPr>
              <w:t>Data</w:t>
            </w:r>
          </w:p>
        </w:tc>
        <w:tc>
          <w:tcPr>
            <w:tcW w:w="1951" w:type="dxa"/>
          </w:tcPr>
          <w:p w14:paraId="73AABC59" w14:textId="77777777" w:rsidR="000A2E2B" w:rsidRPr="0019444B" w:rsidRDefault="000A2E2B" w:rsidP="00823E1D">
            <w:pPr>
              <w:pStyle w:val="COMTableheadingrow"/>
              <w:keepNext w:val="0"/>
              <w:widowControl w:val="0"/>
              <w:jc w:val="center"/>
              <w:rPr>
                <w:szCs w:val="20"/>
                <w:lang w:val="en-AU"/>
              </w:rPr>
            </w:pPr>
            <w:r w:rsidRPr="0019444B">
              <w:rPr>
                <w:szCs w:val="20"/>
                <w:lang w:val="en-AU"/>
              </w:rPr>
              <w:t>Value</w:t>
            </w:r>
          </w:p>
        </w:tc>
        <w:tc>
          <w:tcPr>
            <w:tcW w:w="1920" w:type="dxa"/>
          </w:tcPr>
          <w:p w14:paraId="7808A4EE" w14:textId="77777777" w:rsidR="000A2E2B" w:rsidRPr="0019444B" w:rsidRDefault="000A2E2B" w:rsidP="00823E1D">
            <w:pPr>
              <w:pStyle w:val="COMTableheadingrow"/>
              <w:keepNext w:val="0"/>
              <w:widowControl w:val="0"/>
              <w:jc w:val="center"/>
              <w:rPr>
                <w:szCs w:val="20"/>
                <w:lang w:val="en-AU"/>
              </w:rPr>
            </w:pPr>
            <w:r w:rsidRPr="0019444B">
              <w:rPr>
                <w:szCs w:val="20"/>
                <w:lang w:val="en-AU"/>
              </w:rPr>
              <w:t>Source</w:t>
            </w:r>
          </w:p>
        </w:tc>
        <w:tc>
          <w:tcPr>
            <w:tcW w:w="3672" w:type="dxa"/>
          </w:tcPr>
          <w:p w14:paraId="7EAC2F60" w14:textId="77777777" w:rsidR="000A2E2B" w:rsidRPr="0019444B" w:rsidRDefault="000A2E2B" w:rsidP="00823E1D">
            <w:pPr>
              <w:pStyle w:val="COMTableheadingrow"/>
              <w:keepNext w:val="0"/>
              <w:widowControl w:val="0"/>
              <w:jc w:val="center"/>
              <w:rPr>
                <w:szCs w:val="20"/>
                <w:lang w:val="en-AU"/>
              </w:rPr>
            </w:pPr>
            <w:r w:rsidRPr="0019444B">
              <w:rPr>
                <w:szCs w:val="20"/>
                <w:lang w:val="en-AU"/>
              </w:rPr>
              <w:t>Comment</w:t>
            </w:r>
          </w:p>
        </w:tc>
      </w:tr>
      <w:tr w:rsidR="000A2E2B" w:rsidRPr="0019444B" w14:paraId="4C16A551" w14:textId="77777777" w:rsidTr="00823E1D">
        <w:tc>
          <w:tcPr>
            <w:tcW w:w="9067" w:type="dxa"/>
            <w:gridSpan w:val="4"/>
          </w:tcPr>
          <w:p w14:paraId="2811C09A" w14:textId="77777777" w:rsidR="000A2E2B" w:rsidRPr="0019444B" w:rsidRDefault="000A2E2B" w:rsidP="00823E1D">
            <w:pPr>
              <w:pStyle w:val="COMTableheadingrow"/>
              <w:keepNext w:val="0"/>
              <w:widowControl w:val="0"/>
              <w:rPr>
                <w:szCs w:val="20"/>
                <w:lang w:val="en-AU"/>
              </w:rPr>
            </w:pPr>
            <w:r w:rsidRPr="0019444B">
              <w:rPr>
                <w:szCs w:val="20"/>
                <w:lang w:val="en-AU"/>
              </w:rPr>
              <w:t>Eligible population</w:t>
            </w:r>
          </w:p>
        </w:tc>
      </w:tr>
      <w:tr w:rsidR="000A2E2B" w:rsidRPr="0019444B" w14:paraId="299413A9" w14:textId="77777777" w:rsidTr="00823E1D">
        <w:tc>
          <w:tcPr>
            <w:tcW w:w="1524" w:type="dxa"/>
          </w:tcPr>
          <w:p w14:paraId="1BD0F84F" w14:textId="77777777" w:rsidR="000A2E2B" w:rsidRPr="0019444B" w:rsidRDefault="000A2E2B" w:rsidP="00823E1D">
            <w:pPr>
              <w:pStyle w:val="COMTabletext"/>
              <w:keepNext w:val="0"/>
              <w:widowControl w:val="0"/>
              <w:rPr>
                <w:szCs w:val="20"/>
              </w:rPr>
            </w:pPr>
            <w:r w:rsidRPr="0019444B">
              <w:rPr>
                <w:szCs w:val="20"/>
              </w:rPr>
              <w:t xml:space="preserve">Incident CLL patients </w:t>
            </w:r>
          </w:p>
        </w:tc>
        <w:tc>
          <w:tcPr>
            <w:tcW w:w="1951" w:type="dxa"/>
          </w:tcPr>
          <w:p w14:paraId="3AD2A70C" w14:textId="77777777" w:rsidR="000A2E2B" w:rsidRPr="0019444B" w:rsidRDefault="000A2E2B" w:rsidP="00823E1D">
            <w:pPr>
              <w:pStyle w:val="paragraph"/>
              <w:widowControl w:val="0"/>
              <w:spacing w:before="0" w:beforeAutospacing="0" w:after="0" w:afterAutospacing="0"/>
              <w:textAlignment w:val="baseline"/>
              <w:rPr>
                <w:rFonts w:ascii="Arial Narrow" w:hAnsi="Arial Narrow" w:cs="Segoe UI"/>
                <w:sz w:val="20"/>
                <w:szCs w:val="20"/>
              </w:rPr>
            </w:pPr>
            <w:r w:rsidRPr="0019444B">
              <w:rPr>
                <w:rStyle w:val="normaltextrun"/>
                <w:rFonts w:ascii="Arial Narrow" w:eastAsiaTheme="majorEastAsia" w:hAnsi="Arial Narrow" w:cs="Segoe UI"/>
                <w:sz w:val="20"/>
                <w:szCs w:val="20"/>
              </w:rPr>
              <w:t>2024: 2,591</w:t>
            </w:r>
          </w:p>
          <w:p w14:paraId="3E5F419D" w14:textId="77777777" w:rsidR="000A2E2B" w:rsidRPr="0019444B" w:rsidRDefault="000A2E2B" w:rsidP="00823E1D">
            <w:pPr>
              <w:pStyle w:val="paragraph"/>
              <w:widowControl w:val="0"/>
              <w:spacing w:before="0" w:beforeAutospacing="0" w:after="0" w:afterAutospacing="0"/>
              <w:textAlignment w:val="baseline"/>
              <w:rPr>
                <w:rFonts w:ascii="Arial Narrow" w:hAnsi="Arial Narrow" w:cs="Segoe UI"/>
                <w:sz w:val="20"/>
                <w:szCs w:val="20"/>
              </w:rPr>
            </w:pPr>
            <w:r w:rsidRPr="0019444B">
              <w:rPr>
                <w:rStyle w:val="normaltextrun"/>
                <w:rFonts w:ascii="Arial Narrow" w:eastAsiaTheme="majorEastAsia" w:hAnsi="Arial Narrow" w:cs="Segoe UI"/>
                <w:sz w:val="20"/>
                <w:szCs w:val="20"/>
              </w:rPr>
              <w:t>2025: 2,629</w:t>
            </w:r>
          </w:p>
          <w:p w14:paraId="6764FE19" w14:textId="77777777" w:rsidR="000A2E2B" w:rsidRPr="0019444B" w:rsidRDefault="000A2E2B" w:rsidP="00823E1D">
            <w:pPr>
              <w:pStyle w:val="paragraph"/>
              <w:widowControl w:val="0"/>
              <w:spacing w:before="0" w:beforeAutospacing="0" w:after="0" w:afterAutospacing="0"/>
              <w:textAlignment w:val="baseline"/>
              <w:rPr>
                <w:rFonts w:ascii="Arial Narrow" w:hAnsi="Arial Narrow" w:cs="Segoe UI"/>
                <w:sz w:val="20"/>
                <w:szCs w:val="20"/>
              </w:rPr>
            </w:pPr>
            <w:r w:rsidRPr="0019444B">
              <w:rPr>
                <w:rStyle w:val="normaltextrun"/>
                <w:rFonts w:ascii="Arial Narrow" w:eastAsiaTheme="majorEastAsia" w:hAnsi="Arial Narrow" w:cs="Segoe UI"/>
                <w:sz w:val="20"/>
                <w:szCs w:val="20"/>
              </w:rPr>
              <w:t>2026: 2,667</w:t>
            </w:r>
          </w:p>
          <w:p w14:paraId="2874EBA9" w14:textId="77777777" w:rsidR="000A2E2B" w:rsidRPr="0019444B" w:rsidRDefault="000A2E2B" w:rsidP="00823E1D">
            <w:pPr>
              <w:pStyle w:val="paragraph"/>
              <w:widowControl w:val="0"/>
              <w:spacing w:before="0" w:beforeAutospacing="0" w:after="0" w:afterAutospacing="0"/>
              <w:textAlignment w:val="baseline"/>
              <w:rPr>
                <w:rFonts w:ascii="Arial Narrow" w:hAnsi="Arial Narrow" w:cs="Segoe UI"/>
                <w:sz w:val="20"/>
                <w:szCs w:val="20"/>
              </w:rPr>
            </w:pPr>
            <w:r w:rsidRPr="0019444B">
              <w:rPr>
                <w:rStyle w:val="normaltextrun"/>
                <w:rFonts w:ascii="Arial Narrow" w:eastAsiaTheme="majorEastAsia" w:hAnsi="Arial Narrow" w:cs="Segoe UI"/>
                <w:sz w:val="20"/>
                <w:szCs w:val="20"/>
              </w:rPr>
              <w:t>2027: 2,704</w:t>
            </w:r>
            <w:r w:rsidRPr="0019444B">
              <w:rPr>
                <w:rStyle w:val="eop"/>
                <w:rFonts w:cs="Segoe UI"/>
                <w:sz w:val="20"/>
                <w:szCs w:val="20"/>
              </w:rPr>
              <w:t> </w:t>
            </w:r>
          </w:p>
          <w:p w14:paraId="28817F6C" w14:textId="77777777" w:rsidR="000A2E2B" w:rsidRPr="0019444B" w:rsidRDefault="000A2E2B" w:rsidP="00823E1D">
            <w:pPr>
              <w:pStyle w:val="paragraph"/>
              <w:widowControl w:val="0"/>
              <w:spacing w:before="0" w:beforeAutospacing="0" w:after="0" w:afterAutospacing="0"/>
              <w:textAlignment w:val="baseline"/>
              <w:rPr>
                <w:rFonts w:ascii="Arial Narrow" w:hAnsi="Arial Narrow" w:cs="Segoe UI"/>
                <w:sz w:val="20"/>
                <w:szCs w:val="20"/>
              </w:rPr>
            </w:pPr>
            <w:r w:rsidRPr="0019444B">
              <w:rPr>
                <w:rStyle w:val="normaltextrun"/>
                <w:rFonts w:ascii="Arial Narrow" w:eastAsiaTheme="majorEastAsia" w:hAnsi="Arial Narrow" w:cs="Segoe UI"/>
                <w:sz w:val="20"/>
                <w:szCs w:val="20"/>
              </w:rPr>
              <w:t>2028: 2,741</w:t>
            </w:r>
            <w:r w:rsidRPr="0019444B">
              <w:rPr>
                <w:rStyle w:val="eop"/>
                <w:rFonts w:cs="Segoe UI"/>
                <w:sz w:val="20"/>
                <w:szCs w:val="20"/>
              </w:rPr>
              <w:t> </w:t>
            </w:r>
          </w:p>
          <w:p w14:paraId="0B022196" w14:textId="77777777" w:rsidR="000A2E2B" w:rsidRPr="0019444B" w:rsidRDefault="000A2E2B" w:rsidP="00823E1D">
            <w:pPr>
              <w:pStyle w:val="COMTabletext"/>
              <w:keepNext w:val="0"/>
              <w:widowControl w:val="0"/>
              <w:rPr>
                <w:szCs w:val="20"/>
              </w:rPr>
            </w:pPr>
            <w:r w:rsidRPr="0019444B">
              <w:rPr>
                <w:szCs w:val="20"/>
              </w:rPr>
              <w:t>2029: 2,777</w:t>
            </w:r>
          </w:p>
        </w:tc>
        <w:tc>
          <w:tcPr>
            <w:tcW w:w="1920" w:type="dxa"/>
          </w:tcPr>
          <w:p w14:paraId="6BCF38AD" w14:textId="77777777" w:rsidR="000A2E2B" w:rsidRPr="0019444B" w:rsidRDefault="000A2E2B" w:rsidP="00823E1D">
            <w:pPr>
              <w:pStyle w:val="COMTabletext"/>
              <w:keepNext w:val="0"/>
              <w:widowControl w:val="0"/>
              <w:rPr>
                <w:szCs w:val="20"/>
              </w:rPr>
            </w:pPr>
            <w:r w:rsidRPr="0019444B">
              <w:rPr>
                <w:szCs w:val="20"/>
              </w:rPr>
              <w:t>Incidence of 9.4/100,000 (crude rate; 2022 (AIHW estimate) applied to ABS population projections.</w:t>
            </w:r>
          </w:p>
        </w:tc>
        <w:tc>
          <w:tcPr>
            <w:tcW w:w="3672" w:type="dxa"/>
          </w:tcPr>
          <w:p w14:paraId="56C83C8F" w14:textId="77777777" w:rsidR="000326AD" w:rsidRPr="0019444B" w:rsidRDefault="000A2E2B" w:rsidP="00823E1D">
            <w:pPr>
              <w:pStyle w:val="COMTabletext"/>
              <w:keepNext w:val="0"/>
              <w:widowControl w:val="0"/>
              <w:rPr>
                <w:szCs w:val="20"/>
              </w:rPr>
            </w:pPr>
            <w:r w:rsidRPr="0019444B">
              <w:rPr>
                <w:szCs w:val="20"/>
              </w:rPr>
              <w:t xml:space="preserve">The estimated crude incidence rate was updated from 8.6/100,000 in the November 2022 resubmission to reflect advice from the PBAC. </w:t>
            </w:r>
          </w:p>
          <w:p w14:paraId="07BE461A" w14:textId="66A804AD" w:rsidR="000A2E2B" w:rsidRPr="0019444B" w:rsidRDefault="000A2E2B" w:rsidP="00823E1D">
            <w:pPr>
              <w:pStyle w:val="COMTabletext"/>
              <w:keepNext w:val="0"/>
              <w:widowControl w:val="0"/>
              <w:rPr>
                <w:szCs w:val="20"/>
              </w:rPr>
            </w:pPr>
            <w:r w:rsidRPr="0019444B">
              <w:rPr>
                <w:szCs w:val="20"/>
              </w:rPr>
              <w:t>The AIHW data also suggests a trend towards increasing incidence over time.</w:t>
            </w:r>
          </w:p>
        </w:tc>
      </w:tr>
      <w:tr w:rsidR="000A2E2B" w:rsidRPr="0019444B" w14:paraId="44CC1B95" w14:textId="77777777" w:rsidTr="00823E1D">
        <w:tc>
          <w:tcPr>
            <w:tcW w:w="1524" w:type="dxa"/>
          </w:tcPr>
          <w:p w14:paraId="30C3076C" w14:textId="77777777" w:rsidR="000A2E2B" w:rsidRPr="0019444B" w:rsidRDefault="000A2E2B" w:rsidP="00823E1D">
            <w:pPr>
              <w:pStyle w:val="COMTabletext"/>
              <w:keepNext w:val="0"/>
              <w:widowControl w:val="0"/>
              <w:rPr>
                <w:szCs w:val="20"/>
              </w:rPr>
            </w:pPr>
            <w:r w:rsidRPr="0019444B">
              <w:rPr>
                <w:szCs w:val="20"/>
              </w:rPr>
              <w:t xml:space="preserve">Patients initiating treatment within first year of diagnosis </w:t>
            </w:r>
          </w:p>
        </w:tc>
        <w:tc>
          <w:tcPr>
            <w:tcW w:w="1951" w:type="dxa"/>
          </w:tcPr>
          <w:p w14:paraId="45008995" w14:textId="77777777" w:rsidR="000A2E2B" w:rsidRPr="0019444B" w:rsidRDefault="000A2E2B" w:rsidP="00823E1D">
            <w:pPr>
              <w:pStyle w:val="COMTabletext"/>
              <w:keepNext w:val="0"/>
              <w:widowControl w:val="0"/>
              <w:rPr>
                <w:szCs w:val="20"/>
              </w:rPr>
            </w:pPr>
            <w:r w:rsidRPr="0019444B">
              <w:rPr>
                <w:szCs w:val="20"/>
              </w:rPr>
              <w:t>30%</w:t>
            </w:r>
          </w:p>
        </w:tc>
        <w:tc>
          <w:tcPr>
            <w:tcW w:w="1920" w:type="dxa"/>
          </w:tcPr>
          <w:p w14:paraId="40AB00AE" w14:textId="175D83D3" w:rsidR="000A2E2B" w:rsidRPr="0019444B" w:rsidRDefault="000A2E2B" w:rsidP="00823E1D">
            <w:pPr>
              <w:pStyle w:val="COMTabletext"/>
              <w:keepNext w:val="0"/>
              <w:widowControl w:val="0"/>
              <w:rPr>
                <w:szCs w:val="20"/>
              </w:rPr>
            </w:pPr>
            <w:r w:rsidRPr="0019444B">
              <w:rPr>
                <w:szCs w:val="20"/>
              </w:rPr>
              <w:t xml:space="preserve">Table 8 </w:t>
            </w:r>
            <w:r w:rsidR="006D6DE6" w:rsidRPr="0019444B">
              <w:rPr>
                <w:szCs w:val="20"/>
              </w:rPr>
              <w:t>VTX</w:t>
            </w:r>
            <w:r w:rsidRPr="0019444B">
              <w:rPr>
                <w:szCs w:val="20"/>
              </w:rPr>
              <w:t xml:space="preserve"> July 2020 submission/PSD (sponsor assumption).</w:t>
            </w:r>
          </w:p>
        </w:tc>
        <w:tc>
          <w:tcPr>
            <w:tcW w:w="3672" w:type="dxa"/>
          </w:tcPr>
          <w:p w14:paraId="4A8EE854" w14:textId="77777777" w:rsidR="000326AD" w:rsidRPr="0019444B" w:rsidRDefault="000A2E2B" w:rsidP="00823E1D">
            <w:pPr>
              <w:pStyle w:val="COMTabletext"/>
              <w:keepNext w:val="0"/>
              <w:widowControl w:val="0"/>
              <w:rPr>
                <w:szCs w:val="20"/>
              </w:rPr>
            </w:pPr>
            <w:r w:rsidRPr="0019444B">
              <w:rPr>
                <w:szCs w:val="20"/>
              </w:rPr>
              <w:t xml:space="preserve">Unchanged since the November 2022 resubmission. </w:t>
            </w:r>
          </w:p>
          <w:p w14:paraId="7B45EE18" w14:textId="5AC82060" w:rsidR="000A2E2B" w:rsidRPr="0019444B" w:rsidRDefault="000A2E2B" w:rsidP="00823E1D">
            <w:pPr>
              <w:pStyle w:val="COMTabletext"/>
              <w:keepNext w:val="0"/>
              <w:widowControl w:val="0"/>
              <w:rPr>
                <w:szCs w:val="20"/>
              </w:rPr>
            </w:pPr>
            <w:r w:rsidRPr="0019444B">
              <w:rPr>
                <w:szCs w:val="20"/>
              </w:rPr>
              <w:t>No additional justification provided.</w:t>
            </w:r>
          </w:p>
        </w:tc>
      </w:tr>
      <w:tr w:rsidR="000A2E2B" w:rsidRPr="0019444B" w14:paraId="452540AD" w14:textId="77777777" w:rsidTr="00823E1D">
        <w:tc>
          <w:tcPr>
            <w:tcW w:w="1524" w:type="dxa"/>
          </w:tcPr>
          <w:p w14:paraId="654B0F8C" w14:textId="77777777" w:rsidR="000A2E2B" w:rsidRPr="0019444B" w:rsidRDefault="000A2E2B" w:rsidP="00823E1D">
            <w:pPr>
              <w:pStyle w:val="COMTabletext"/>
              <w:keepNext w:val="0"/>
              <w:widowControl w:val="0"/>
              <w:rPr>
                <w:szCs w:val="20"/>
              </w:rPr>
            </w:pPr>
            <w:r w:rsidRPr="0019444B">
              <w:rPr>
                <w:szCs w:val="20"/>
              </w:rPr>
              <w:t>Patients initiating treatment within 5 years</w:t>
            </w:r>
          </w:p>
        </w:tc>
        <w:tc>
          <w:tcPr>
            <w:tcW w:w="1951" w:type="dxa"/>
          </w:tcPr>
          <w:p w14:paraId="0BA067B2" w14:textId="1786874C" w:rsidR="000A2E2B" w:rsidRPr="0019444B" w:rsidRDefault="000A2E2B" w:rsidP="00823E1D">
            <w:pPr>
              <w:pStyle w:val="COMTabletext"/>
              <w:keepNext w:val="0"/>
              <w:widowControl w:val="0"/>
              <w:rPr>
                <w:szCs w:val="20"/>
              </w:rPr>
            </w:pPr>
            <w:r w:rsidRPr="0019444B">
              <w:rPr>
                <w:szCs w:val="20"/>
              </w:rPr>
              <w:t xml:space="preserve">30%. Assumed 7.5% each in </w:t>
            </w:r>
            <w:r w:rsidR="000326AD" w:rsidRPr="0019444B">
              <w:rPr>
                <w:szCs w:val="20"/>
              </w:rPr>
              <w:t>y</w:t>
            </w:r>
            <w:r w:rsidRPr="0019444B">
              <w:rPr>
                <w:szCs w:val="20"/>
              </w:rPr>
              <w:t>ears 2, 3, 4 and 5 following CLL diagnosis</w:t>
            </w:r>
          </w:p>
        </w:tc>
        <w:tc>
          <w:tcPr>
            <w:tcW w:w="1920" w:type="dxa"/>
          </w:tcPr>
          <w:p w14:paraId="23B6D87B" w14:textId="7BBD35B3" w:rsidR="000A2E2B" w:rsidRPr="0019444B" w:rsidRDefault="000A2E2B" w:rsidP="00823E1D">
            <w:pPr>
              <w:pStyle w:val="COMTabletext"/>
              <w:keepNext w:val="0"/>
              <w:widowControl w:val="0"/>
              <w:rPr>
                <w:szCs w:val="20"/>
              </w:rPr>
            </w:pPr>
            <w:r w:rsidRPr="0019444B">
              <w:rPr>
                <w:szCs w:val="20"/>
              </w:rPr>
              <w:t xml:space="preserve">Table 8 </w:t>
            </w:r>
            <w:r w:rsidR="006D6DE6" w:rsidRPr="0019444B">
              <w:rPr>
                <w:szCs w:val="20"/>
              </w:rPr>
              <w:t>VTX</w:t>
            </w:r>
            <w:r w:rsidRPr="0019444B">
              <w:rPr>
                <w:szCs w:val="20"/>
              </w:rPr>
              <w:t xml:space="preserve"> July 2020 submission/PSD (sponsor assumption).</w:t>
            </w:r>
          </w:p>
        </w:tc>
        <w:tc>
          <w:tcPr>
            <w:tcW w:w="3672" w:type="dxa"/>
          </w:tcPr>
          <w:p w14:paraId="5D1E109C" w14:textId="77777777" w:rsidR="000326AD" w:rsidRPr="0019444B" w:rsidRDefault="000A2E2B" w:rsidP="00823E1D">
            <w:pPr>
              <w:pStyle w:val="COMTabletext"/>
              <w:keepNext w:val="0"/>
              <w:widowControl w:val="0"/>
              <w:rPr>
                <w:szCs w:val="20"/>
              </w:rPr>
            </w:pPr>
            <w:r w:rsidRPr="0019444B">
              <w:rPr>
                <w:szCs w:val="20"/>
              </w:rPr>
              <w:t xml:space="preserve">Unchanged since the November 2022 resubmission. </w:t>
            </w:r>
          </w:p>
          <w:p w14:paraId="389B9EBB" w14:textId="6773B61B" w:rsidR="000A2E2B" w:rsidRPr="0019444B" w:rsidRDefault="000A2E2B" w:rsidP="00823E1D">
            <w:pPr>
              <w:pStyle w:val="COMTabletext"/>
              <w:keepNext w:val="0"/>
              <w:widowControl w:val="0"/>
              <w:rPr>
                <w:szCs w:val="20"/>
              </w:rPr>
            </w:pPr>
            <w:r w:rsidRPr="0019444B">
              <w:rPr>
                <w:szCs w:val="20"/>
              </w:rPr>
              <w:t>No additional justification provided.</w:t>
            </w:r>
          </w:p>
        </w:tc>
      </w:tr>
      <w:tr w:rsidR="000A2E2B" w:rsidRPr="0019444B" w14:paraId="7CF7466E" w14:textId="77777777" w:rsidTr="00823E1D">
        <w:tc>
          <w:tcPr>
            <w:tcW w:w="9067" w:type="dxa"/>
            <w:gridSpan w:val="4"/>
          </w:tcPr>
          <w:p w14:paraId="7D107F79" w14:textId="77777777" w:rsidR="000A2E2B" w:rsidRPr="0019444B" w:rsidRDefault="000A2E2B" w:rsidP="00823E1D">
            <w:pPr>
              <w:pStyle w:val="COMTabletext"/>
              <w:keepNext w:val="0"/>
              <w:widowControl w:val="0"/>
              <w:rPr>
                <w:b/>
                <w:bCs w:val="0"/>
                <w:szCs w:val="20"/>
              </w:rPr>
            </w:pPr>
            <w:r w:rsidRPr="0019444B">
              <w:rPr>
                <w:b/>
                <w:bCs w:val="0"/>
                <w:szCs w:val="20"/>
              </w:rPr>
              <w:t>T</w:t>
            </w:r>
            <w:r w:rsidRPr="0019444B">
              <w:rPr>
                <w:b/>
                <w:szCs w:val="20"/>
              </w:rPr>
              <w:t>reatment utilisation</w:t>
            </w:r>
          </w:p>
        </w:tc>
      </w:tr>
      <w:tr w:rsidR="000A2E2B" w:rsidRPr="0019444B" w14:paraId="1578B33F" w14:textId="77777777" w:rsidTr="00823E1D">
        <w:tc>
          <w:tcPr>
            <w:tcW w:w="1524" w:type="dxa"/>
          </w:tcPr>
          <w:p w14:paraId="3555E55E" w14:textId="6E10D4CC" w:rsidR="000A2E2B" w:rsidRPr="0019444B" w:rsidRDefault="000A2E2B" w:rsidP="00823E1D">
            <w:pPr>
              <w:pStyle w:val="COMTabletext"/>
              <w:keepNext w:val="0"/>
              <w:widowControl w:val="0"/>
              <w:rPr>
                <w:szCs w:val="20"/>
              </w:rPr>
            </w:pPr>
            <w:r w:rsidRPr="0019444B">
              <w:t xml:space="preserve">Estimated utilisation split between ACA+OBIN and ACA </w:t>
            </w:r>
            <w:r w:rsidR="00406FC0" w:rsidRPr="0019444B">
              <w:t>monotherapy</w:t>
            </w:r>
          </w:p>
        </w:tc>
        <w:tc>
          <w:tcPr>
            <w:tcW w:w="1951" w:type="dxa"/>
          </w:tcPr>
          <w:p w14:paraId="3B4D2748" w14:textId="77777777" w:rsidR="000A2E2B" w:rsidRPr="0019444B" w:rsidRDefault="000A2E2B" w:rsidP="00823E1D">
            <w:pPr>
              <w:pStyle w:val="TableText0"/>
              <w:keepNext w:val="0"/>
              <w:widowControl w:val="0"/>
            </w:pPr>
            <w:r w:rsidRPr="0019444B">
              <w:t>ACA+OBIN: 10%</w:t>
            </w:r>
          </w:p>
          <w:p w14:paraId="19E8D0B9" w14:textId="603CB321" w:rsidR="000A2E2B" w:rsidRPr="0019444B" w:rsidRDefault="000A2E2B" w:rsidP="00823E1D">
            <w:pPr>
              <w:pStyle w:val="COMTabletext"/>
              <w:keepNext w:val="0"/>
              <w:widowControl w:val="0"/>
              <w:rPr>
                <w:szCs w:val="20"/>
              </w:rPr>
            </w:pPr>
            <w:r w:rsidRPr="0019444B">
              <w:t xml:space="preserve">ACA </w:t>
            </w:r>
            <w:r w:rsidR="00406FC0" w:rsidRPr="0019444B">
              <w:t>mono</w:t>
            </w:r>
            <w:r w:rsidRPr="0019444B">
              <w:t>: 90%</w:t>
            </w:r>
          </w:p>
        </w:tc>
        <w:tc>
          <w:tcPr>
            <w:tcW w:w="1920" w:type="dxa"/>
          </w:tcPr>
          <w:p w14:paraId="139BFB56" w14:textId="77777777" w:rsidR="000A2E2B" w:rsidRPr="0019444B" w:rsidRDefault="000A2E2B" w:rsidP="00823E1D">
            <w:pPr>
              <w:pStyle w:val="COMTabletext"/>
              <w:keepNext w:val="0"/>
              <w:widowControl w:val="0"/>
            </w:pPr>
            <w:r w:rsidRPr="0019444B">
              <w:rPr>
                <w:szCs w:val="20"/>
              </w:rPr>
              <w:t>Sponsor’s assumption</w:t>
            </w:r>
          </w:p>
        </w:tc>
        <w:tc>
          <w:tcPr>
            <w:tcW w:w="3672" w:type="dxa"/>
          </w:tcPr>
          <w:p w14:paraId="5F644E32" w14:textId="15A360CF" w:rsidR="000326AD" w:rsidRPr="0019444B" w:rsidRDefault="000A2E2B" w:rsidP="00823E1D">
            <w:pPr>
              <w:pStyle w:val="COMTabletext"/>
              <w:keepNext w:val="0"/>
              <w:widowControl w:val="0"/>
            </w:pPr>
            <w:r w:rsidRPr="0019444B">
              <w:t xml:space="preserve">The assumption </w:t>
            </w:r>
            <w:r w:rsidR="000E1708" w:rsidRPr="0019444B">
              <w:t xml:space="preserve">was </w:t>
            </w:r>
            <w:r w:rsidRPr="0019444B">
              <w:t xml:space="preserve">based on limited evidence. </w:t>
            </w:r>
          </w:p>
          <w:p w14:paraId="267C6ADA" w14:textId="0E1BE672" w:rsidR="000326AD" w:rsidRPr="0019444B" w:rsidRDefault="000A2E2B" w:rsidP="00823E1D">
            <w:pPr>
              <w:pStyle w:val="COMTabletext"/>
              <w:keepNext w:val="0"/>
              <w:widowControl w:val="0"/>
            </w:pPr>
            <w:r w:rsidRPr="0019444B">
              <w:t xml:space="preserve">Although ACA has a better safety profile, it is less effective compared to ACA+OBIN. </w:t>
            </w:r>
          </w:p>
          <w:p w14:paraId="6205D992" w14:textId="4A3E67BC" w:rsidR="000A2E2B" w:rsidRPr="0019444B" w:rsidRDefault="000A2E2B" w:rsidP="00823E1D">
            <w:pPr>
              <w:pStyle w:val="COMTabletext"/>
              <w:keepNext w:val="0"/>
              <w:widowControl w:val="0"/>
              <w:rPr>
                <w:szCs w:val="20"/>
              </w:rPr>
            </w:pPr>
            <w:r w:rsidRPr="0019444B">
              <w:t>The proportion of patients who would be better candidates for ACA+OBIN relative to ACA monotherapy is yet to be determined.</w:t>
            </w:r>
            <w:r w:rsidR="000E1708" w:rsidRPr="0019444B">
              <w:t xml:space="preserve"> The ESC considered the estimated utilisation could be in the range of 80-90% ACA monotherapy and 10-20% ACA+OBIN</w:t>
            </w:r>
            <w:r w:rsidR="008D4172">
              <w:t xml:space="preserve">. The pre-PBAC response </w:t>
            </w:r>
            <w:r w:rsidR="008D4172" w:rsidRPr="00364C2A">
              <w:rPr>
                <w:iCs/>
              </w:rPr>
              <w:t>proposed a split of 85% ACA monotherapy/15% ACA+OBIN combination therapy</w:t>
            </w:r>
            <w:r w:rsidR="008D4172">
              <w:rPr>
                <w:iCs/>
              </w:rPr>
              <w:t>.</w:t>
            </w:r>
          </w:p>
        </w:tc>
      </w:tr>
      <w:tr w:rsidR="000A2E2B" w:rsidRPr="0019444B" w14:paraId="301BC026" w14:textId="77777777" w:rsidTr="00823E1D">
        <w:tc>
          <w:tcPr>
            <w:tcW w:w="1524" w:type="dxa"/>
          </w:tcPr>
          <w:p w14:paraId="52813F5E" w14:textId="1259FD49" w:rsidR="000A2E2B" w:rsidRPr="0019444B" w:rsidRDefault="000A2E2B" w:rsidP="00823E1D">
            <w:pPr>
              <w:pStyle w:val="COMTabletext"/>
              <w:keepNext w:val="0"/>
              <w:widowControl w:val="0"/>
              <w:rPr>
                <w:szCs w:val="20"/>
              </w:rPr>
            </w:pPr>
            <w:r w:rsidRPr="0019444B">
              <w:rPr>
                <w:szCs w:val="20"/>
              </w:rPr>
              <w:t>Current market share of VTX+OBI</w:t>
            </w:r>
            <w:r w:rsidR="001D20AB" w:rsidRPr="0019444B">
              <w:rPr>
                <w:szCs w:val="20"/>
              </w:rPr>
              <w:t>N</w:t>
            </w:r>
          </w:p>
        </w:tc>
        <w:tc>
          <w:tcPr>
            <w:tcW w:w="1951" w:type="dxa"/>
          </w:tcPr>
          <w:p w14:paraId="4368DDED" w14:textId="77777777" w:rsidR="000A2E2B" w:rsidRPr="0019444B" w:rsidRDefault="000A2E2B" w:rsidP="00823E1D">
            <w:pPr>
              <w:pStyle w:val="COMTabletext"/>
              <w:keepNext w:val="0"/>
              <w:widowControl w:val="0"/>
              <w:rPr>
                <w:szCs w:val="20"/>
              </w:rPr>
            </w:pPr>
            <w:r w:rsidRPr="0019444B">
              <w:rPr>
                <w:szCs w:val="20"/>
              </w:rPr>
              <w:t>90%</w:t>
            </w:r>
          </w:p>
        </w:tc>
        <w:tc>
          <w:tcPr>
            <w:tcW w:w="1920" w:type="dxa"/>
          </w:tcPr>
          <w:p w14:paraId="2916B2B4" w14:textId="3C62FEF6" w:rsidR="000A2E2B" w:rsidRPr="0019444B" w:rsidRDefault="000A2E2B" w:rsidP="00823E1D">
            <w:pPr>
              <w:pStyle w:val="COMTabletext"/>
              <w:keepNext w:val="0"/>
              <w:widowControl w:val="0"/>
              <w:rPr>
                <w:szCs w:val="20"/>
              </w:rPr>
            </w:pPr>
            <w:r w:rsidRPr="0019444B">
              <w:t xml:space="preserve">Table 8 </w:t>
            </w:r>
            <w:r w:rsidR="006D6DE6" w:rsidRPr="0019444B">
              <w:t>VTX</w:t>
            </w:r>
            <w:r w:rsidRPr="0019444B">
              <w:t xml:space="preserve"> July 2020 submission.</w:t>
            </w:r>
          </w:p>
        </w:tc>
        <w:tc>
          <w:tcPr>
            <w:tcW w:w="3672" w:type="dxa"/>
          </w:tcPr>
          <w:p w14:paraId="66D2628E" w14:textId="54CF6350" w:rsidR="000A2E2B" w:rsidRPr="0019444B" w:rsidRDefault="000A2E2B" w:rsidP="00823E1D">
            <w:pPr>
              <w:pStyle w:val="COMTabletext"/>
              <w:keepNext w:val="0"/>
              <w:widowControl w:val="0"/>
              <w:rPr>
                <w:szCs w:val="20"/>
              </w:rPr>
            </w:pPr>
            <w:r w:rsidRPr="0019444B">
              <w:rPr>
                <w:szCs w:val="20"/>
              </w:rPr>
              <w:t>Unchanged since the November 2022 resubmission. No additional justification provided.</w:t>
            </w:r>
            <w:r w:rsidR="00B44E75" w:rsidRPr="0019444B">
              <w:rPr>
                <w:szCs w:val="20"/>
              </w:rPr>
              <w:t xml:space="preserve"> This was likely a</w:t>
            </w:r>
            <w:r w:rsidR="00F977C8" w:rsidRPr="0019444B">
              <w:rPr>
                <w:szCs w:val="20"/>
              </w:rPr>
              <w:t>n</w:t>
            </w:r>
            <w:r w:rsidR="00B44E75" w:rsidRPr="0019444B">
              <w:rPr>
                <w:szCs w:val="20"/>
              </w:rPr>
              <w:t xml:space="preserve"> overestimation</w:t>
            </w:r>
            <w:r w:rsidR="00F30322" w:rsidRPr="0019444B">
              <w:rPr>
                <w:szCs w:val="20"/>
              </w:rPr>
              <w:t>. No substitution of CHL+OBIN was considered</w:t>
            </w:r>
            <w:r w:rsidR="009E2A6B" w:rsidRPr="0019444B">
              <w:rPr>
                <w:szCs w:val="20"/>
              </w:rPr>
              <w:t>.</w:t>
            </w:r>
            <w:r w:rsidR="00F30322" w:rsidRPr="0019444B">
              <w:rPr>
                <w:szCs w:val="20"/>
              </w:rPr>
              <w:t xml:space="preserve"> </w:t>
            </w:r>
          </w:p>
        </w:tc>
      </w:tr>
      <w:tr w:rsidR="000A2E2B" w:rsidRPr="0019444B" w14:paraId="328FD2C5" w14:textId="77777777" w:rsidTr="00823E1D">
        <w:tc>
          <w:tcPr>
            <w:tcW w:w="1524" w:type="dxa"/>
          </w:tcPr>
          <w:p w14:paraId="33A72E1F" w14:textId="77777777" w:rsidR="000A2E2B" w:rsidRPr="0019444B" w:rsidRDefault="000A2E2B" w:rsidP="00823E1D">
            <w:pPr>
              <w:pStyle w:val="COMTabletext"/>
              <w:keepNext w:val="0"/>
              <w:widowControl w:val="0"/>
              <w:rPr>
                <w:szCs w:val="20"/>
              </w:rPr>
            </w:pPr>
            <w:r w:rsidRPr="0019444B">
              <w:rPr>
                <w:szCs w:val="20"/>
              </w:rPr>
              <w:t>Uptake/replacement rate of ACA + OBIN for VTX + OBIN</w:t>
            </w:r>
          </w:p>
        </w:tc>
        <w:tc>
          <w:tcPr>
            <w:tcW w:w="1951" w:type="dxa"/>
          </w:tcPr>
          <w:p w14:paraId="2FA13D92" w14:textId="77777777" w:rsidR="000A2E2B" w:rsidRPr="0019444B" w:rsidRDefault="000A2E2B" w:rsidP="00823E1D">
            <w:pPr>
              <w:pStyle w:val="paragraph"/>
              <w:widowControl w:val="0"/>
              <w:spacing w:before="0" w:beforeAutospacing="0" w:after="0" w:afterAutospacing="0"/>
              <w:textAlignment w:val="baseline"/>
              <w:rPr>
                <w:rFonts w:ascii="Arial Narrow" w:hAnsi="Arial Narrow" w:cs="Segoe UI"/>
                <w:sz w:val="20"/>
                <w:szCs w:val="20"/>
              </w:rPr>
            </w:pPr>
            <w:r w:rsidRPr="0019444B">
              <w:rPr>
                <w:rStyle w:val="normaltextrun"/>
                <w:rFonts w:ascii="Arial Narrow" w:eastAsiaTheme="majorEastAsia" w:hAnsi="Arial Narrow" w:cs="Segoe UI"/>
                <w:sz w:val="20"/>
                <w:szCs w:val="20"/>
              </w:rPr>
              <w:t>2024: 30%</w:t>
            </w:r>
          </w:p>
          <w:p w14:paraId="57C3C981" w14:textId="77777777" w:rsidR="000A2E2B" w:rsidRPr="0019444B" w:rsidRDefault="000A2E2B" w:rsidP="00823E1D">
            <w:pPr>
              <w:pStyle w:val="paragraph"/>
              <w:widowControl w:val="0"/>
              <w:spacing w:before="0" w:beforeAutospacing="0" w:after="0" w:afterAutospacing="0"/>
              <w:textAlignment w:val="baseline"/>
              <w:rPr>
                <w:rFonts w:ascii="Arial Narrow" w:hAnsi="Arial Narrow" w:cs="Segoe UI"/>
                <w:sz w:val="20"/>
                <w:szCs w:val="20"/>
              </w:rPr>
            </w:pPr>
            <w:r w:rsidRPr="0019444B">
              <w:rPr>
                <w:rStyle w:val="normaltextrun"/>
                <w:rFonts w:ascii="Arial Narrow" w:eastAsiaTheme="majorEastAsia" w:hAnsi="Arial Narrow" w:cs="Segoe UI"/>
                <w:sz w:val="20"/>
                <w:szCs w:val="20"/>
              </w:rPr>
              <w:t>2025: 40%</w:t>
            </w:r>
          </w:p>
          <w:p w14:paraId="0D162DF0" w14:textId="77777777" w:rsidR="000A2E2B" w:rsidRPr="0019444B" w:rsidRDefault="000A2E2B" w:rsidP="00823E1D">
            <w:pPr>
              <w:pStyle w:val="paragraph"/>
              <w:widowControl w:val="0"/>
              <w:spacing w:before="0" w:beforeAutospacing="0" w:after="0" w:afterAutospacing="0"/>
              <w:textAlignment w:val="baseline"/>
              <w:rPr>
                <w:rFonts w:ascii="Arial Narrow" w:hAnsi="Arial Narrow" w:cs="Segoe UI"/>
                <w:sz w:val="20"/>
                <w:szCs w:val="20"/>
              </w:rPr>
            </w:pPr>
            <w:r w:rsidRPr="0019444B">
              <w:rPr>
                <w:rStyle w:val="normaltextrun"/>
                <w:rFonts w:ascii="Arial Narrow" w:eastAsiaTheme="majorEastAsia" w:hAnsi="Arial Narrow" w:cs="Segoe UI"/>
                <w:sz w:val="20"/>
                <w:szCs w:val="20"/>
              </w:rPr>
              <w:t>2026: 50%</w:t>
            </w:r>
          </w:p>
          <w:p w14:paraId="26ECFC06" w14:textId="77777777" w:rsidR="000A2E2B" w:rsidRPr="0019444B" w:rsidRDefault="000A2E2B" w:rsidP="00823E1D">
            <w:pPr>
              <w:pStyle w:val="paragraph"/>
              <w:widowControl w:val="0"/>
              <w:spacing w:before="0" w:beforeAutospacing="0" w:after="0" w:afterAutospacing="0"/>
              <w:textAlignment w:val="baseline"/>
              <w:rPr>
                <w:rFonts w:ascii="Arial Narrow" w:hAnsi="Arial Narrow" w:cs="Segoe UI"/>
                <w:sz w:val="20"/>
                <w:szCs w:val="20"/>
              </w:rPr>
            </w:pPr>
            <w:r w:rsidRPr="0019444B">
              <w:rPr>
                <w:rStyle w:val="normaltextrun"/>
                <w:rFonts w:ascii="Arial Narrow" w:eastAsiaTheme="majorEastAsia" w:hAnsi="Arial Narrow" w:cs="Segoe UI"/>
                <w:sz w:val="20"/>
                <w:szCs w:val="20"/>
              </w:rPr>
              <w:t>2027: 5</w:t>
            </w:r>
            <w:r w:rsidRPr="0019444B">
              <w:rPr>
                <w:rFonts w:ascii="Arial Narrow" w:hAnsi="Arial Narrow"/>
                <w:sz w:val="20"/>
                <w:szCs w:val="20"/>
              </w:rPr>
              <w:t>0%</w:t>
            </w:r>
          </w:p>
          <w:p w14:paraId="6C8D2F9E" w14:textId="77777777" w:rsidR="000A2E2B" w:rsidRPr="0019444B" w:rsidRDefault="000A2E2B" w:rsidP="00823E1D">
            <w:pPr>
              <w:pStyle w:val="paragraph"/>
              <w:widowControl w:val="0"/>
              <w:spacing w:before="0" w:beforeAutospacing="0" w:after="0" w:afterAutospacing="0"/>
              <w:textAlignment w:val="baseline"/>
              <w:rPr>
                <w:rFonts w:ascii="Arial Narrow" w:hAnsi="Arial Narrow" w:cs="Segoe UI"/>
                <w:sz w:val="20"/>
                <w:szCs w:val="20"/>
              </w:rPr>
            </w:pPr>
            <w:r w:rsidRPr="0019444B">
              <w:rPr>
                <w:rStyle w:val="normaltextrun"/>
                <w:rFonts w:ascii="Arial Narrow" w:eastAsiaTheme="majorEastAsia" w:hAnsi="Arial Narrow" w:cs="Segoe UI"/>
                <w:sz w:val="20"/>
                <w:szCs w:val="20"/>
              </w:rPr>
              <w:t>2028: 5</w:t>
            </w:r>
            <w:r w:rsidRPr="0019444B">
              <w:rPr>
                <w:rFonts w:ascii="Arial Narrow" w:hAnsi="Arial Narrow"/>
                <w:sz w:val="20"/>
                <w:szCs w:val="20"/>
              </w:rPr>
              <w:t>0%</w:t>
            </w:r>
            <w:r w:rsidRPr="0019444B">
              <w:rPr>
                <w:rStyle w:val="eop"/>
                <w:rFonts w:cs="Segoe UI"/>
                <w:sz w:val="20"/>
                <w:szCs w:val="20"/>
              </w:rPr>
              <w:t> </w:t>
            </w:r>
          </w:p>
          <w:p w14:paraId="7F68BE80" w14:textId="77777777" w:rsidR="000A2E2B" w:rsidRPr="0019444B" w:rsidRDefault="000A2E2B" w:rsidP="00823E1D">
            <w:pPr>
              <w:pStyle w:val="COMTabletext"/>
              <w:keepNext w:val="0"/>
              <w:widowControl w:val="0"/>
              <w:rPr>
                <w:szCs w:val="20"/>
              </w:rPr>
            </w:pPr>
            <w:r w:rsidRPr="0019444B">
              <w:rPr>
                <w:szCs w:val="20"/>
              </w:rPr>
              <w:t>2029: 50%</w:t>
            </w:r>
          </w:p>
        </w:tc>
        <w:tc>
          <w:tcPr>
            <w:tcW w:w="1920" w:type="dxa"/>
          </w:tcPr>
          <w:p w14:paraId="70612950" w14:textId="77777777" w:rsidR="000A2E2B" w:rsidRPr="0019444B" w:rsidRDefault="000A2E2B" w:rsidP="00823E1D">
            <w:pPr>
              <w:pStyle w:val="COMTabletext"/>
              <w:keepNext w:val="0"/>
              <w:widowControl w:val="0"/>
              <w:rPr>
                <w:szCs w:val="20"/>
              </w:rPr>
            </w:pPr>
            <w:r w:rsidRPr="0019444B">
              <w:rPr>
                <w:szCs w:val="20"/>
              </w:rPr>
              <w:t>Sponsor’s assumption</w:t>
            </w:r>
          </w:p>
        </w:tc>
        <w:tc>
          <w:tcPr>
            <w:tcW w:w="3672" w:type="dxa"/>
          </w:tcPr>
          <w:p w14:paraId="533632FA" w14:textId="2A1A25AA" w:rsidR="000326AD" w:rsidRPr="0019444B" w:rsidRDefault="000A2E2B" w:rsidP="00823E1D">
            <w:pPr>
              <w:pStyle w:val="COMTabletext"/>
              <w:keepNext w:val="0"/>
              <w:widowControl w:val="0"/>
            </w:pPr>
            <w:r w:rsidRPr="0019444B">
              <w:t xml:space="preserve">ZANU </w:t>
            </w:r>
            <w:r w:rsidR="00D878D7" w:rsidRPr="0019444B">
              <w:t>was</w:t>
            </w:r>
            <w:r w:rsidRPr="0019444B">
              <w:t xml:space="preserve"> considered </w:t>
            </w:r>
            <w:r w:rsidR="00D878D7" w:rsidRPr="0019444B">
              <w:t>at</w:t>
            </w:r>
            <w:r w:rsidRPr="0019444B">
              <w:t xml:space="preserve"> the March 2023 PBAC meeting in patients with previously untreated CLL/SLL who are unsuitable for fludarabine-based chemoimmunotherapy. </w:t>
            </w:r>
          </w:p>
          <w:p w14:paraId="5A7AC2CB" w14:textId="59662A22" w:rsidR="000A2E2B" w:rsidRPr="0019444B" w:rsidRDefault="000A2E2B" w:rsidP="00823E1D">
            <w:pPr>
              <w:pStyle w:val="COMTabletext"/>
              <w:keepNext w:val="0"/>
              <w:widowControl w:val="0"/>
              <w:rPr>
                <w:szCs w:val="20"/>
              </w:rPr>
            </w:pPr>
            <w:r w:rsidRPr="0019444B">
              <w:t xml:space="preserve">It is possible that the market share of ACA could be significantly overestimated </w:t>
            </w:r>
            <w:r w:rsidR="00DA4231" w:rsidRPr="0019444B">
              <w:t>given ZANU received a positive PBAC recommendation</w:t>
            </w:r>
            <w:r w:rsidRPr="0019444B">
              <w:t>.</w:t>
            </w:r>
          </w:p>
        </w:tc>
      </w:tr>
      <w:tr w:rsidR="000A2E2B" w:rsidRPr="0019444B" w14:paraId="0D34C570" w14:textId="77777777" w:rsidTr="00823E1D">
        <w:tc>
          <w:tcPr>
            <w:tcW w:w="1524" w:type="dxa"/>
          </w:tcPr>
          <w:p w14:paraId="52958E0E" w14:textId="77777777" w:rsidR="000A2E2B" w:rsidRPr="0019444B" w:rsidRDefault="000A2E2B" w:rsidP="00823E1D">
            <w:pPr>
              <w:pStyle w:val="COMTabletext"/>
              <w:keepNext w:val="0"/>
              <w:widowControl w:val="0"/>
              <w:rPr>
                <w:szCs w:val="20"/>
              </w:rPr>
            </w:pPr>
            <w:r w:rsidRPr="0019444B">
              <w:rPr>
                <w:szCs w:val="20"/>
              </w:rPr>
              <w:t>D</w:t>
            </w:r>
            <w:r w:rsidRPr="0019444B">
              <w:t>uration of ACA treatment</w:t>
            </w:r>
          </w:p>
        </w:tc>
        <w:tc>
          <w:tcPr>
            <w:tcW w:w="1951" w:type="dxa"/>
          </w:tcPr>
          <w:p w14:paraId="4E779BA8" w14:textId="13B0E1D1" w:rsidR="000A2E2B" w:rsidRPr="001B0C0A" w:rsidRDefault="000A2E2B" w:rsidP="00823E1D">
            <w:pPr>
              <w:pStyle w:val="paragraph"/>
              <w:widowControl w:val="0"/>
              <w:spacing w:before="0" w:beforeAutospacing="0" w:after="0" w:afterAutospacing="0"/>
              <w:textAlignment w:val="baseline"/>
              <w:rPr>
                <w:rStyle w:val="normaltextrun"/>
                <w:rFonts w:ascii="Arial Narrow" w:eastAsiaTheme="majorEastAsia" w:hAnsi="Arial Narrow" w:cs="Segoe UI"/>
                <w:sz w:val="20"/>
                <w:szCs w:val="20"/>
              </w:rPr>
            </w:pPr>
            <w:r w:rsidRPr="0019444B">
              <w:rPr>
                <w:rStyle w:val="normaltextrun"/>
                <w:rFonts w:ascii="Arial Narrow" w:eastAsiaTheme="majorEastAsia" w:hAnsi="Arial Narrow" w:cs="Segoe UI"/>
                <w:sz w:val="20"/>
                <w:szCs w:val="20"/>
              </w:rPr>
              <w:t xml:space="preserve">ACA </w:t>
            </w:r>
            <w:r w:rsidR="00406FC0" w:rsidRPr="0019444B">
              <w:rPr>
                <w:rStyle w:val="normaltextrun"/>
                <w:rFonts w:ascii="Arial Narrow" w:eastAsiaTheme="majorEastAsia" w:hAnsi="Arial Narrow" w:cs="Segoe UI"/>
                <w:sz w:val="20"/>
                <w:szCs w:val="20"/>
              </w:rPr>
              <w:t>mono</w:t>
            </w:r>
            <w:r w:rsidRPr="0019444B">
              <w:rPr>
                <w:rStyle w:val="normaltextrun"/>
                <w:rFonts w:ascii="Arial Narrow" w:eastAsiaTheme="majorEastAsia" w:hAnsi="Arial Narrow" w:cs="Segoe UI"/>
                <w:sz w:val="20"/>
                <w:szCs w:val="20"/>
              </w:rPr>
              <w:t>: 48.4 months</w:t>
            </w:r>
          </w:p>
          <w:p w14:paraId="5D9B5D70" w14:textId="77777777" w:rsidR="000A2E2B" w:rsidRPr="0019444B" w:rsidRDefault="000A2E2B" w:rsidP="00823E1D">
            <w:pPr>
              <w:pStyle w:val="paragraph"/>
              <w:widowControl w:val="0"/>
              <w:spacing w:before="0" w:beforeAutospacing="0" w:after="0" w:afterAutospacing="0"/>
              <w:textAlignment w:val="baseline"/>
              <w:rPr>
                <w:rStyle w:val="normaltextrun"/>
                <w:rFonts w:ascii="Arial Narrow" w:eastAsiaTheme="majorEastAsia" w:hAnsi="Arial Narrow" w:cs="Segoe UI"/>
                <w:sz w:val="20"/>
                <w:szCs w:val="20"/>
              </w:rPr>
            </w:pPr>
            <w:r w:rsidRPr="0019444B">
              <w:rPr>
                <w:rStyle w:val="normaltextrun"/>
                <w:rFonts w:ascii="Arial Narrow" w:eastAsiaTheme="majorEastAsia" w:hAnsi="Arial Narrow" w:cs="Segoe UI"/>
                <w:sz w:val="20"/>
                <w:szCs w:val="20"/>
              </w:rPr>
              <w:t xml:space="preserve">ACA+OBIN: 50.7 months </w:t>
            </w:r>
          </w:p>
        </w:tc>
        <w:tc>
          <w:tcPr>
            <w:tcW w:w="1920" w:type="dxa"/>
          </w:tcPr>
          <w:p w14:paraId="2C5C70A0" w14:textId="77777777" w:rsidR="000A2E2B" w:rsidRPr="0019444B" w:rsidRDefault="000A2E2B" w:rsidP="00823E1D">
            <w:pPr>
              <w:pStyle w:val="COMTabletext"/>
              <w:keepNext w:val="0"/>
              <w:widowControl w:val="0"/>
              <w:rPr>
                <w:szCs w:val="20"/>
              </w:rPr>
            </w:pPr>
            <w:r w:rsidRPr="0019444B">
              <w:rPr>
                <w:szCs w:val="20"/>
              </w:rPr>
              <w:t xml:space="preserve">Mean duration of treatment reported from the 58.2-month data-cut from the ELEVATE-TN trial. </w:t>
            </w:r>
          </w:p>
        </w:tc>
        <w:tc>
          <w:tcPr>
            <w:tcW w:w="3672" w:type="dxa"/>
          </w:tcPr>
          <w:p w14:paraId="715962EB" w14:textId="3E5A818B" w:rsidR="000A2E2B" w:rsidRPr="0019444B" w:rsidRDefault="0031759B" w:rsidP="00823E1D">
            <w:pPr>
              <w:pStyle w:val="COMTabletext"/>
              <w:keepNext w:val="0"/>
              <w:widowControl w:val="0"/>
              <w:rPr>
                <w:highlight w:val="yellow"/>
              </w:rPr>
            </w:pPr>
            <w:r w:rsidRPr="0019444B">
              <w:rPr>
                <w:szCs w:val="20"/>
              </w:rPr>
              <w:t xml:space="preserve">The ESC noted the mean was censored with </w:t>
            </w:r>
            <w:proofErr w:type="gramStart"/>
            <w:r w:rsidRPr="0019444B">
              <w:rPr>
                <w:szCs w:val="20"/>
              </w:rPr>
              <w:t>the majority of</w:t>
            </w:r>
            <w:proofErr w:type="gramEnd"/>
            <w:r w:rsidRPr="0019444B">
              <w:rPr>
                <w:szCs w:val="20"/>
              </w:rPr>
              <w:t xml:space="preserve"> patients remaining on ACA at study end (</w:t>
            </w:r>
            <w:r w:rsidRPr="0019444B">
              <w:t>ACA= 59.8%, ACA+OBIN= 67%). On this basis the ESC considered the treatment duration was underestimated.</w:t>
            </w:r>
          </w:p>
        </w:tc>
      </w:tr>
      <w:tr w:rsidR="000A2E2B" w:rsidRPr="0019444B" w14:paraId="5BFE6E9E" w14:textId="77777777" w:rsidTr="00823E1D">
        <w:tc>
          <w:tcPr>
            <w:tcW w:w="1524" w:type="dxa"/>
          </w:tcPr>
          <w:p w14:paraId="3C871B1A" w14:textId="0D95E062" w:rsidR="000A2E2B" w:rsidRPr="0019444B" w:rsidRDefault="001D20AB" w:rsidP="00823E1D">
            <w:pPr>
              <w:pStyle w:val="COMTabletext"/>
              <w:keepNext w:val="0"/>
              <w:widowControl w:val="0"/>
              <w:rPr>
                <w:szCs w:val="20"/>
              </w:rPr>
            </w:pPr>
            <w:r w:rsidRPr="0019444B">
              <w:rPr>
                <w:szCs w:val="20"/>
              </w:rPr>
              <w:t>Number of OBIN scripts per patient when treated with ACA+OBIN</w:t>
            </w:r>
          </w:p>
        </w:tc>
        <w:tc>
          <w:tcPr>
            <w:tcW w:w="1951" w:type="dxa"/>
          </w:tcPr>
          <w:p w14:paraId="26277DE0" w14:textId="77777777" w:rsidR="000A2E2B" w:rsidRPr="001B0C0A" w:rsidRDefault="000A2E2B" w:rsidP="00823E1D">
            <w:pPr>
              <w:pStyle w:val="paragraph"/>
              <w:widowControl w:val="0"/>
              <w:spacing w:before="0" w:beforeAutospacing="0" w:after="0" w:afterAutospacing="0"/>
              <w:textAlignment w:val="baseline"/>
              <w:rPr>
                <w:rStyle w:val="normaltextrun"/>
                <w:rFonts w:ascii="Arial Narrow" w:eastAsiaTheme="majorEastAsia" w:hAnsi="Arial Narrow" w:cs="Segoe UI"/>
                <w:sz w:val="20"/>
                <w:szCs w:val="20"/>
              </w:rPr>
            </w:pPr>
            <w:r w:rsidRPr="0019444B">
              <w:rPr>
                <w:rStyle w:val="normaltextrun"/>
                <w:rFonts w:ascii="Arial Narrow" w:eastAsiaTheme="majorEastAsia" w:hAnsi="Arial Narrow" w:cs="Segoe UI"/>
                <w:sz w:val="20"/>
                <w:szCs w:val="20"/>
              </w:rPr>
              <w:t>7.55</w:t>
            </w:r>
          </w:p>
        </w:tc>
        <w:tc>
          <w:tcPr>
            <w:tcW w:w="1920" w:type="dxa"/>
          </w:tcPr>
          <w:p w14:paraId="5414D483" w14:textId="572FA7F2" w:rsidR="000A2E2B" w:rsidRPr="0019444B" w:rsidRDefault="000A2E2B" w:rsidP="00823E1D">
            <w:pPr>
              <w:pStyle w:val="COMTabletext"/>
              <w:keepNext w:val="0"/>
              <w:widowControl w:val="0"/>
              <w:rPr>
                <w:szCs w:val="20"/>
              </w:rPr>
            </w:pPr>
            <w:r w:rsidRPr="0019444B">
              <w:rPr>
                <w:szCs w:val="20"/>
              </w:rPr>
              <w:t>B</w:t>
            </w:r>
            <w:r w:rsidRPr="0019444B">
              <w:t>ased on planned number of doses (8) from the ELEVATE-TN trial and adjusted by the observed dose intensity (94.</w:t>
            </w:r>
            <w:r w:rsidR="008D7662" w:rsidRPr="0019444B">
              <w:t>2</w:t>
            </w:r>
            <w:r w:rsidRPr="0019444B">
              <w:t xml:space="preserve">%). </w:t>
            </w:r>
          </w:p>
        </w:tc>
        <w:tc>
          <w:tcPr>
            <w:tcW w:w="3672" w:type="dxa"/>
          </w:tcPr>
          <w:p w14:paraId="3E299323" w14:textId="77777777" w:rsidR="000A2E2B" w:rsidRPr="0019444B" w:rsidRDefault="000A2E2B" w:rsidP="00823E1D">
            <w:pPr>
              <w:pStyle w:val="COMTabletext"/>
              <w:keepNext w:val="0"/>
              <w:widowControl w:val="0"/>
              <w:rPr>
                <w:highlight w:val="yellow"/>
              </w:rPr>
            </w:pPr>
            <w:r w:rsidRPr="0019444B">
              <w:rPr>
                <w:szCs w:val="20"/>
              </w:rPr>
              <w:t>It may not be reasonable to assume use in Australian clinical practice will be equivalent to use in the ELEVATE-TN trial.</w:t>
            </w:r>
          </w:p>
        </w:tc>
      </w:tr>
      <w:tr w:rsidR="000A2E2B" w:rsidRPr="0019444B" w14:paraId="43E1429C" w14:textId="77777777" w:rsidTr="00823E1D">
        <w:tc>
          <w:tcPr>
            <w:tcW w:w="1524" w:type="dxa"/>
          </w:tcPr>
          <w:p w14:paraId="4AE6997C" w14:textId="77777777" w:rsidR="000A2E2B" w:rsidRPr="0019444B" w:rsidRDefault="000A2E2B" w:rsidP="00823E1D">
            <w:pPr>
              <w:pStyle w:val="COMTabletext"/>
              <w:keepNext w:val="0"/>
              <w:widowControl w:val="0"/>
              <w:rPr>
                <w:szCs w:val="20"/>
              </w:rPr>
            </w:pPr>
            <w:r w:rsidRPr="0019444B">
              <w:rPr>
                <w:szCs w:val="20"/>
              </w:rPr>
              <w:t>Number of OBIN scripts per patient when treated with VTX+OBIN</w:t>
            </w:r>
          </w:p>
        </w:tc>
        <w:tc>
          <w:tcPr>
            <w:tcW w:w="1951" w:type="dxa"/>
          </w:tcPr>
          <w:p w14:paraId="0B9B0E14" w14:textId="77777777" w:rsidR="000A2E2B" w:rsidRPr="001B0C0A" w:rsidRDefault="000A2E2B" w:rsidP="00823E1D">
            <w:pPr>
              <w:pStyle w:val="paragraph"/>
              <w:widowControl w:val="0"/>
              <w:spacing w:before="0" w:beforeAutospacing="0" w:after="0" w:afterAutospacing="0"/>
              <w:textAlignment w:val="baseline"/>
              <w:rPr>
                <w:rStyle w:val="normaltextrun"/>
                <w:rFonts w:ascii="Arial Narrow" w:eastAsiaTheme="majorEastAsia" w:hAnsi="Arial Narrow" w:cs="Segoe UI"/>
                <w:sz w:val="20"/>
                <w:szCs w:val="20"/>
              </w:rPr>
            </w:pPr>
            <w:r w:rsidRPr="0019444B">
              <w:rPr>
                <w:rStyle w:val="normaltextrun"/>
                <w:rFonts w:ascii="Arial Narrow" w:eastAsiaTheme="majorEastAsia" w:hAnsi="Arial Narrow" w:cs="Segoe UI"/>
                <w:sz w:val="20"/>
                <w:szCs w:val="20"/>
              </w:rPr>
              <w:t>7.35</w:t>
            </w:r>
          </w:p>
        </w:tc>
        <w:tc>
          <w:tcPr>
            <w:tcW w:w="1920" w:type="dxa"/>
          </w:tcPr>
          <w:p w14:paraId="5677DB8C" w14:textId="4C144041" w:rsidR="000A2E2B" w:rsidRPr="0019444B" w:rsidRDefault="000A2E2B" w:rsidP="00823E1D">
            <w:pPr>
              <w:pStyle w:val="COMTabletext"/>
              <w:keepNext w:val="0"/>
              <w:widowControl w:val="0"/>
              <w:rPr>
                <w:szCs w:val="20"/>
              </w:rPr>
            </w:pPr>
            <w:r w:rsidRPr="0019444B">
              <w:rPr>
                <w:szCs w:val="20"/>
              </w:rPr>
              <w:t>Based on the number of OBIN scripts per course in the CLL-14 trial reported in Table 7 of the July 2020 V</w:t>
            </w:r>
            <w:r w:rsidR="006D6DE6" w:rsidRPr="0019444B">
              <w:rPr>
                <w:szCs w:val="20"/>
              </w:rPr>
              <w:t xml:space="preserve">TX </w:t>
            </w:r>
            <w:r w:rsidRPr="0019444B">
              <w:rPr>
                <w:szCs w:val="20"/>
              </w:rPr>
              <w:t>PSD.</w:t>
            </w:r>
          </w:p>
        </w:tc>
        <w:tc>
          <w:tcPr>
            <w:tcW w:w="3672" w:type="dxa"/>
          </w:tcPr>
          <w:p w14:paraId="4F2E723C" w14:textId="77777777" w:rsidR="000A2E2B" w:rsidRPr="0019444B" w:rsidRDefault="000A2E2B" w:rsidP="00823E1D">
            <w:pPr>
              <w:pStyle w:val="COMTabletext"/>
              <w:keepNext w:val="0"/>
              <w:widowControl w:val="0"/>
              <w:rPr>
                <w:highlight w:val="yellow"/>
              </w:rPr>
            </w:pPr>
            <w:r w:rsidRPr="0019444B">
              <w:rPr>
                <w:szCs w:val="20"/>
              </w:rPr>
              <w:t>Unchanged since the November 2022 resubmission. No additional justification provided.</w:t>
            </w:r>
          </w:p>
        </w:tc>
      </w:tr>
      <w:tr w:rsidR="000A2E2B" w:rsidRPr="0019444B" w14:paraId="2AF7A4C7" w14:textId="77777777" w:rsidTr="00823E1D">
        <w:tc>
          <w:tcPr>
            <w:tcW w:w="1524" w:type="dxa"/>
          </w:tcPr>
          <w:p w14:paraId="33C53A35" w14:textId="77777777" w:rsidR="000A2E2B" w:rsidRPr="0019444B" w:rsidRDefault="000A2E2B" w:rsidP="00823E1D">
            <w:pPr>
              <w:pStyle w:val="COMTabletext"/>
              <w:keepNext w:val="0"/>
              <w:widowControl w:val="0"/>
              <w:rPr>
                <w:szCs w:val="20"/>
              </w:rPr>
            </w:pPr>
            <w:r w:rsidRPr="0019444B">
              <w:rPr>
                <w:szCs w:val="20"/>
              </w:rPr>
              <w:t>Number of VTX scripts per patient when treated with VTX+OBIN</w:t>
            </w:r>
          </w:p>
        </w:tc>
        <w:tc>
          <w:tcPr>
            <w:tcW w:w="1951" w:type="dxa"/>
          </w:tcPr>
          <w:p w14:paraId="3056CD6F" w14:textId="77777777" w:rsidR="000A2E2B" w:rsidRPr="001B0C0A" w:rsidRDefault="000A2E2B" w:rsidP="00823E1D">
            <w:pPr>
              <w:pStyle w:val="paragraph"/>
              <w:widowControl w:val="0"/>
              <w:spacing w:before="0" w:beforeAutospacing="0" w:after="0" w:afterAutospacing="0"/>
              <w:textAlignment w:val="baseline"/>
              <w:rPr>
                <w:rStyle w:val="normaltextrun"/>
                <w:rFonts w:ascii="Arial Narrow" w:eastAsiaTheme="majorEastAsia" w:hAnsi="Arial Narrow" w:cs="Segoe UI"/>
                <w:sz w:val="20"/>
                <w:szCs w:val="20"/>
              </w:rPr>
            </w:pPr>
            <w:r w:rsidRPr="0019444B">
              <w:rPr>
                <w:rStyle w:val="normaltextrun"/>
                <w:rFonts w:ascii="Arial Narrow" w:eastAsiaTheme="majorEastAsia" w:hAnsi="Arial Narrow" w:cs="Segoe UI"/>
                <w:sz w:val="20"/>
                <w:szCs w:val="20"/>
              </w:rPr>
              <w:t>Initial: 1</w:t>
            </w:r>
          </w:p>
          <w:p w14:paraId="0D13EE6C" w14:textId="77777777" w:rsidR="000A2E2B" w:rsidRPr="0019444B" w:rsidRDefault="000A2E2B" w:rsidP="00823E1D">
            <w:pPr>
              <w:pStyle w:val="paragraph"/>
              <w:widowControl w:val="0"/>
              <w:spacing w:before="0" w:beforeAutospacing="0" w:after="0" w:afterAutospacing="0"/>
              <w:textAlignment w:val="baseline"/>
              <w:rPr>
                <w:rStyle w:val="normaltextrun"/>
                <w:rFonts w:ascii="Arial Narrow" w:eastAsiaTheme="majorEastAsia" w:hAnsi="Arial Narrow" w:cs="Segoe UI"/>
              </w:rPr>
            </w:pPr>
            <w:r w:rsidRPr="0019444B">
              <w:rPr>
                <w:rStyle w:val="normaltextrun"/>
                <w:rFonts w:ascii="Arial Narrow" w:eastAsiaTheme="majorEastAsia" w:hAnsi="Arial Narrow" w:cs="Segoe UI"/>
                <w:sz w:val="20"/>
                <w:szCs w:val="20"/>
              </w:rPr>
              <w:t>Continuing: 8.67</w:t>
            </w:r>
          </w:p>
          <w:p w14:paraId="50AE6991" w14:textId="77777777" w:rsidR="000A2E2B" w:rsidRPr="0019444B" w:rsidRDefault="000A2E2B" w:rsidP="00823E1D">
            <w:pPr>
              <w:pStyle w:val="paragraph"/>
              <w:widowControl w:val="0"/>
              <w:spacing w:before="0" w:beforeAutospacing="0" w:after="0" w:afterAutospacing="0"/>
              <w:textAlignment w:val="baseline"/>
              <w:rPr>
                <w:rStyle w:val="normaltextrun"/>
                <w:rFonts w:ascii="Arial Narrow" w:eastAsiaTheme="majorEastAsia" w:hAnsi="Arial Narrow" w:cs="Segoe UI"/>
                <w:sz w:val="20"/>
                <w:szCs w:val="20"/>
              </w:rPr>
            </w:pPr>
          </w:p>
        </w:tc>
        <w:tc>
          <w:tcPr>
            <w:tcW w:w="1920" w:type="dxa"/>
          </w:tcPr>
          <w:p w14:paraId="4E14D2B1" w14:textId="49F80CEA" w:rsidR="000A2E2B" w:rsidRPr="0019444B" w:rsidRDefault="000A2E2B" w:rsidP="00823E1D">
            <w:pPr>
              <w:pStyle w:val="COMTabletext"/>
              <w:keepNext w:val="0"/>
              <w:widowControl w:val="0"/>
              <w:rPr>
                <w:szCs w:val="20"/>
              </w:rPr>
            </w:pPr>
            <w:r w:rsidRPr="0019444B">
              <w:rPr>
                <w:szCs w:val="20"/>
              </w:rPr>
              <w:t>Based on the number of VTX scripts per course in the CLL-14 trial reported in Table 7 of the July 2020 V</w:t>
            </w:r>
            <w:r w:rsidR="006D6DE6" w:rsidRPr="0019444B">
              <w:rPr>
                <w:szCs w:val="20"/>
              </w:rPr>
              <w:t xml:space="preserve">TX </w:t>
            </w:r>
            <w:r w:rsidRPr="0019444B">
              <w:rPr>
                <w:szCs w:val="20"/>
              </w:rPr>
              <w:t>PSD.</w:t>
            </w:r>
          </w:p>
        </w:tc>
        <w:tc>
          <w:tcPr>
            <w:tcW w:w="3672" w:type="dxa"/>
          </w:tcPr>
          <w:p w14:paraId="0FE3A32D" w14:textId="77777777" w:rsidR="000A2E2B" w:rsidRPr="0019444B" w:rsidRDefault="000A2E2B" w:rsidP="00823E1D">
            <w:pPr>
              <w:pStyle w:val="COMTabletext"/>
              <w:keepNext w:val="0"/>
              <w:widowControl w:val="0"/>
              <w:rPr>
                <w:highlight w:val="yellow"/>
              </w:rPr>
            </w:pPr>
            <w:r w:rsidRPr="0019444B">
              <w:rPr>
                <w:szCs w:val="20"/>
              </w:rPr>
              <w:t>Unchanged since the November 2022 resubmission. No additional justification provided.</w:t>
            </w:r>
          </w:p>
        </w:tc>
      </w:tr>
    </w:tbl>
    <w:p w14:paraId="79793F4E" w14:textId="6FF71460" w:rsidR="000A2E2B" w:rsidRPr="0019444B" w:rsidRDefault="000A2E2B" w:rsidP="00823E1D">
      <w:pPr>
        <w:pStyle w:val="FooterTableFigure"/>
        <w:widowControl w:val="0"/>
        <w:rPr>
          <w:bCs/>
        </w:rPr>
      </w:pPr>
      <w:r w:rsidRPr="0019444B">
        <w:rPr>
          <w:bCs/>
        </w:rPr>
        <w:t xml:space="preserve">Source: </w:t>
      </w:r>
      <w:r w:rsidR="00F1676D" w:rsidRPr="0019444B">
        <w:rPr>
          <w:bCs/>
        </w:rPr>
        <w:t>“4A – Acalabrutinib_1LCLL_Section4BIM” excel workbook</w:t>
      </w:r>
    </w:p>
    <w:p w14:paraId="220DA9D9" w14:textId="0D37E8ED" w:rsidR="007925DF" w:rsidRPr="0019444B" w:rsidRDefault="001D09A0" w:rsidP="00823E1D">
      <w:pPr>
        <w:pStyle w:val="FooterTableFigure"/>
        <w:widowControl w:val="0"/>
      </w:pPr>
      <w:r w:rsidRPr="0019444B">
        <w:t xml:space="preserve">ACA = acalabrutinib, OBIN = obinutuzumab, </w:t>
      </w:r>
      <w:r w:rsidR="00C521EB" w:rsidRPr="0019444B">
        <w:t xml:space="preserve">PSD = public summary document, </w:t>
      </w:r>
      <w:r w:rsidRPr="0019444B">
        <w:t>VTX = venetoclax; ZANU = zanubrutinib</w:t>
      </w:r>
      <w:r w:rsidR="00C521EB" w:rsidRPr="0019444B">
        <w:t>.</w:t>
      </w:r>
      <w:r w:rsidRPr="0019444B">
        <w:t xml:space="preserve"> </w:t>
      </w:r>
    </w:p>
    <w:p w14:paraId="2F96C03E" w14:textId="4772EA14" w:rsidR="009A1EC0" w:rsidRPr="0019444B" w:rsidRDefault="00F977C8" w:rsidP="00697274">
      <w:pPr>
        <w:pStyle w:val="3-BodyText"/>
        <w:numPr>
          <w:ilvl w:val="1"/>
          <w:numId w:val="1"/>
        </w:numPr>
        <w:rPr>
          <w:szCs w:val="20"/>
        </w:rPr>
      </w:pPr>
      <w:r w:rsidRPr="0019444B">
        <w:rPr>
          <w:szCs w:val="20"/>
        </w:rPr>
        <w:t>Based on PBS/RPBS data, f</w:t>
      </w:r>
      <w:r w:rsidR="00566E36" w:rsidRPr="0019444B">
        <w:rPr>
          <w:szCs w:val="20"/>
        </w:rPr>
        <w:t>rom January 2022 to December 2022 there were 471 initiating VTX scripts, 4</w:t>
      </w:r>
      <w:r w:rsidR="008E3EF0" w:rsidRPr="0019444B">
        <w:rPr>
          <w:szCs w:val="20"/>
        </w:rPr>
        <w:t>,</w:t>
      </w:r>
      <w:r w:rsidR="00566E36" w:rsidRPr="0019444B">
        <w:rPr>
          <w:szCs w:val="20"/>
        </w:rPr>
        <w:t>048 VTX continuing scripts, and 3</w:t>
      </w:r>
      <w:r w:rsidR="008E3EF0" w:rsidRPr="0019444B">
        <w:rPr>
          <w:szCs w:val="20"/>
        </w:rPr>
        <w:t>,</w:t>
      </w:r>
      <w:r w:rsidR="00566E36" w:rsidRPr="0019444B">
        <w:rPr>
          <w:szCs w:val="20"/>
        </w:rPr>
        <w:t>608 OBIN scripts. The resubmission estimated that the number of replaced scripts in 2024 would be 412 initiating VTX scripts, 3</w:t>
      </w:r>
      <w:r w:rsidR="008E3EF0" w:rsidRPr="0019444B">
        <w:rPr>
          <w:szCs w:val="20"/>
        </w:rPr>
        <w:t>,</w:t>
      </w:r>
      <w:r w:rsidR="00566E36" w:rsidRPr="0019444B">
        <w:rPr>
          <w:szCs w:val="20"/>
        </w:rPr>
        <w:t>570 VTX continuing scripts, and 3</w:t>
      </w:r>
      <w:r w:rsidR="008E3EF0" w:rsidRPr="0019444B">
        <w:rPr>
          <w:szCs w:val="20"/>
        </w:rPr>
        <w:t>,</w:t>
      </w:r>
      <w:r w:rsidR="00566E36" w:rsidRPr="0019444B">
        <w:rPr>
          <w:szCs w:val="20"/>
        </w:rPr>
        <w:t>026 OBIN scripts. Given the assumption of ACA</w:t>
      </w:r>
      <w:r w:rsidR="00566E36" w:rsidRPr="0019444B">
        <w:rPr>
          <w:rFonts w:cs="Calibri"/>
          <w:szCs w:val="20"/>
        </w:rPr>
        <w:t>+/-</w:t>
      </w:r>
      <w:r w:rsidR="00566E36" w:rsidRPr="0019444B">
        <w:rPr>
          <w:szCs w:val="20"/>
        </w:rPr>
        <w:t>OBIN having 30% market share in 2024, the implied total number of scripts for VTX+OBIN would be 1</w:t>
      </w:r>
      <w:r w:rsidR="008E3EF0" w:rsidRPr="0019444B">
        <w:rPr>
          <w:szCs w:val="20"/>
        </w:rPr>
        <w:t>,</w:t>
      </w:r>
      <w:r w:rsidR="00566E36" w:rsidRPr="0019444B">
        <w:rPr>
          <w:szCs w:val="20"/>
        </w:rPr>
        <w:t>373</w:t>
      </w:r>
      <w:r w:rsidR="001D20AB" w:rsidRPr="0019444B">
        <w:rPr>
          <w:szCs w:val="20"/>
        </w:rPr>
        <w:t xml:space="preserve"> (412/30%)</w:t>
      </w:r>
      <w:r w:rsidR="00566E36" w:rsidRPr="0019444B">
        <w:rPr>
          <w:szCs w:val="20"/>
        </w:rPr>
        <w:t xml:space="preserve"> initiating VTX scripts, 11</w:t>
      </w:r>
      <w:r w:rsidR="008E3EF0" w:rsidRPr="0019444B">
        <w:rPr>
          <w:szCs w:val="20"/>
        </w:rPr>
        <w:t>,</w:t>
      </w:r>
      <w:r w:rsidR="00566E36" w:rsidRPr="0019444B">
        <w:rPr>
          <w:szCs w:val="20"/>
        </w:rPr>
        <w:t>900</w:t>
      </w:r>
      <w:r w:rsidR="001D20AB" w:rsidRPr="0019444B">
        <w:rPr>
          <w:szCs w:val="20"/>
        </w:rPr>
        <w:t xml:space="preserve"> (3,570/30%)</w:t>
      </w:r>
      <w:r w:rsidR="00566E36" w:rsidRPr="0019444B">
        <w:rPr>
          <w:szCs w:val="20"/>
        </w:rPr>
        <w:t xml:space="preserve"> VTX continuing scripts, and 10</w:t>
      </w:r>
      <w:r w:rsidR="008E3EF0" w:rsidRPr="0019444B">
        <w:rPr>
          <w:szCs w:val="20"/>
        </w:rPr>
        <w:t>,</w:t>
      </w:r>
      <w:r w:rsidR="00566E36" w:rsidRPr="0019444B">
        <w:rPr>
          <w:szCs w:val="20"/>
        </w:rPr>
        <w:t xml:space="preserve">087 </w:t>
      </w:r>
      <w:r w:rsidR="001D20AB" w:rsidRPr="0019444B">
        <w:rPr>
          <w:szCs w:val="20"/>
        </w:rPr>
        <w:t xml:space="preserve">(2,036/30%) </w:t>
      </w:r>
      <w:r w:rsidR="00566E36" w:rsidRPr="0019444B">
        <w:rPr>
          <w:szCs w:val="20"/>
        </w:rPr>
        <w:t xml:space="preserve">OBIN scripts. </w:t>
      </w:r>
      <w:r w:rsidR="00C67BB5" w:rsidRPr="0019444B">
        <w:rPr>
          <w:szCs w:val="20"/>
        </w:rPr>
        <w:t xml:space="preserve">The large difference in the actual number of </w:t>
      </w:r>
      <w:r w:rsidR="009B3EF6" w:rsidRPr="0019444B">
        <w:rPr>
          <w:szCs w:val="20"/>
        </w:rPr>
        <w:t>VTX and OBIN scripts in 2022 and the projected number</w:t>
      </w:r>
      <w:r w:rsidRPr="0019444B">
        <w:rPr>
          <w:szCs w:val="20"/>
        </w:rPr>
        <w:t xml:space="preserve"> in 2024</w:t>
      </w:r>
      <w:r w:rsidR="00AE3E02" w:rsidRPr="0019444B">
        <w:rPr>
          <w:szCs w:val="20"/>
        </w:rPr>
        <w:t xml:space="preserve"> (of which 30% are replaced by ACA+/-OBIN)</w:t>
      </w:r>
      <w:r w:rsidR="009B3EF6" w:rsidRPr="0019444B">
        <w:rPr>
          <w:szCs w:val="20"/>
        </w:rPr>
        <w:t xml:space="preserve"> suggest</w:t>
      </w:r>
      <w:r w:rsidRPr="0019444B">
        <w:rPr>
          <w:szCs w:val="20"/>
        </w:rPr>
        <w:t>ed</w:t>
      </w:r>
      <w:r w:rsidR="00AE3E02" w:rsidRPr="0019444B">
        <w:rPr>
          <w:szCs w:val="20"/>
        </w:rPr>
        <w:t xml:space="preserve"> that</w:t>
      </w:r>
      <w:r w:rsidR="009B3EF6" w:rsidRPr="0019444B">
        <w:rPr>
          <w:szCs w:val="20"/>
        </w:rPr>
        <w:t xml:space="preserve"> the epidemiological approach used substantially overestimated use of VTX+OBIN, and hence similarly overestimated use of ACA+/-OBIN.</w:t>
      </w:r>
      <w:r w:rsidR="009A1EC0" w:rsidRPr="0019444B">
        <w:rPr>
          <w:szCs w:val="20"/>
        </w:rPr>
        <w:t xml:space="preserve"> The PSCR noted that the PBAC ha</w:t>
      </w:r>
      <w:r w:rsidR="0092374A" w:rsidRPr="0019444B">
        <w:rPr>
          <w:szCs w:val="20"/>
        </w:rPr>
        <w:t>d</w:t>
      </w:r>
      <w:r w:rsidR="009A1EC0" w:rsidRPr="0019444B">
        <w:rPr>
          <w:szCs w:val="20"/>
        </w:rPr>
        <w:t xml:space="preserve"> advised that the criterion that patients be </w:t>
      </w:r>
      <w:bookmarkStart w:id="90" w:name="_Hlk141257166"/>
      <w:r w:rsidR="009A1EC0" w:rsidRPr="0019444B">
        <w:rPr>
          <w:szCs w:val="20"/>
        </w:rPr>
        <w:t>‘inappropriate for fludarabine-based chemoimmunotherapy’</w:t>
      </w:r>
      <w:bookmarkEnd w:id="90"/>
      <w:r w:rsidR="009A1EC0" w:rsidRPr="0019444B">
        <w:rPr>
          <w:szCs w:val="20"/>
        </w:rPr>
        <w:t xml:space="preserve"> should be removed from the existing VTX+OBIN restriction (December 2022 PBAC meeting outcomes) and on this basis considered a market share approach </w:t>
      </w:r>
      <w:r w:rsidR="0092374A" w:rsidRPr="0019444B">
        <w:rPr>
          <w:szCs w:val="20"/>
        </w:rPr>
        <w:t>wa</w:t>
      </w:r>
      <w:r w:rsidR="009A1EC0" w:rsidRPr="0019444B">
        <w:rPr>
          <w:szCs w:val="20"/>
        </w:rPr>
        <w:t>s unlikely to lead to accurate estimates of the financial impact of ACA+/-OBIN listing. The ESC considered given the low use of fludarabine that the restriction change w</w:t>
      </w:r>
      <w:r w:rsidR="0092374A" w:rsidRPr="0019444B">
        <w:rPr>
          <w:szCs w:val="20"/>
        </w:rPr>
        <w:t>ould</w:t>
      </w:r>
      <w:r w:rsidR="009A1EC0" w:rsidRPr="0019444B">
        <w:rPr>
          <w:szCs w:val="20"/>
        </w:rPr>
        <w:t xml:space="preserve"> have minimal impact on the use of VTX+OBIN.</w:t>
      </w:r>
      <w:r w:rsidR="004F451D" w:rsidRPr="0019444B">
        <w:rPr>
          <w:szCs w:val="20"/>
        </w:rPr>
        <w:t xml:space="preserve"> </w:t>
      </w:r>
      <w:r w:rsidR="00486E96">
        <w:rPr>
          <w:szCs w:val="20"/>
        </w:rPr>
        <w:t xml:space="preserve">The pre-PBAC response noted </w:t>
      </w:r>
      <w:r w:rsidR="009C528B">
        <w:rPr>
          <w:szCs w:val="20"/>
        </w:rPr>
        <w:t>this and</w:t>
      </w:r>
      <w:r w:rsidR="00486E96">
        <w:rPr>
          <w:szCs w:val="20"/>
        </w:rPr>
        <w:t xml:space="preserve"> provided </w:t>
      </w:r>
      <w:r w:rsidR="00486E96">
        <w:t xml:space="preserve">the results of the financial estimates (at published prices), assuming 65% of patients are </w:t>
      </w:r>
      <w:r w:rsidR="00486E96" w:rsidRPr="00486E96">
        <w:rPr>
          <w:rStyle w:val="IntenseEmphasis"/>
          <w:i w:val="0"/>
          <w:iCs w:val="0"/>
          <w:color w:val="auto"/>
        </w:rPr>
        <w:t xml:space="preserve">inappropriate for </w:t>
      </w:r>
      <w:r w:rsidR="00486E96" w:rsidRPr="0019444B">
        <w:rPr>
          <w:szCs w:val="20"/>
        </w:rPr>
        <w:t>‘inappropriate for fludarabine-based chemoimmunotherapy’</w:t>
      </w:r>
      <w:r w:rsidR="00486E96">
        <w:rPr>
          <w:szCs w:val="20"/>
        </w:rPr>
        <w:t>.</w:t>
      </w:r>
    </w:p>
    <w:p w14:paraId="05F2E176" w14:textId="5F2194A0" w:rsidR="000A2E2B" w:rsidRPr="0019444B" w:rsidRDefault="000A2E2B" w:rsidP="000A2E2B">
      <w:pPr>
        <w:pStyle w:val="3-BodyText"/>
        <w:numPr>
          <w:ilvl w:val="1"/>
          <w:numId w:val="1"/>
        </w:numPr>
      </w:pPr>
      <w:r w:rsidRPr="0019444B">
        <w:t xml:space="preserve">The </w:t>
      </w:r>
      <w:r w:rsidR="00791C2D" w:rsidRPr="0019444B">
        <w:t xml:space="preserve">estimated financial implications </w:t>
      </w:r>
      <w:r w:rsidRPr="0019444B">
        <w:t>are presented in</w:t>
      </w:r>
      <w:r w:rsidR="00375C57" w:rsidRPr="0019444B">
        <w:t xml:space="preserve"> </w:t>
      </w:r>
      <w:r w:rsidR="00375C57" w:rsidRPr="0019444B">
        <w:fldChar w:fldCharType="begin" w:fldLock="1"/>
      </w:r>
      <w:r w:rsidR="00375C57" w:rsidRPr="0019444B">
        <w:instrText xml:space="preserve"> REF _Ref137829284 \h </w:instrText>
      </w:r>
      <w:r w:rsidR="00545AA9" w:rsidRPr="0019444B">
        <w:instrText xml:space="preserve"> \* MERGEFORMAT </w:instrText>
      </w:r>
      <w:r w:rsidR="00375C57" w:rsidRPr="0019444B">
        <w:fldChar w:fldCharType="separate"/>
      </w:r>
      <w:r w:rsidR="00CF2655" w:rsidRPr="0019444B">
        <w:t xml:space="preserve">Table </w:t>
      </w:r>
      <w:r w:rsidR="00CF2655" w:rsidRPr="00961BD2">
        <w:t>20</w:t>
      </w:r>
      <w:r w:rsidR="00375C57" w:rsidRPr="0019444B">
        <w:fldChar w:fldCharType="end"/>
      </w:r>
      <w:r w:rsidR="00D878D7" w:rsidRPr="0019444B">
        <w:t>.</w:t>
      </w:r>
      <w:r w:rsidR="00F977C8" w:rsidRPr="0019444B">
        <w:t xml:space="preserve"> The estimated financial implications </w:t>
      </w:r>
      <w:r w:rsidR="00CF667D" w:rsidRPr="0019444B">
        <w:t>use</w:t>
      </w:r>
      <w:r w:rsidR="00F977C8" w:rsidRPr="0019444B">
        <w:t xml:space="preserve"> the ACA </w:t>
      </w:r>
      <w:r w:rsidR="00CF667D" w:rsidRPr="0019444B">
        <w:t xml:space="preserve">price </w:t>
      </w:r>
      <w:r w:rsidR="009A1EC0" w:rsidRPr="0019444B">
        <w:t>calculated</w:t>
      </w:r>
      <w:r w:rsidR="00F977C8" w:rsidRPr="0019444B">
        <w:t xml:space="preserve"> in the CMA ($2,081.84 AEMP/ $2,243.12 DPMQ)</w:t>
      </w:r>
      <w:r w:rsidR="0019444B">
        <w:t xml:space="preserve">. </w:t>
      </w:r>
      <w:r w:rsidR="00CF667D" w:rsidRPr="0019444B">
        <w:t>The financial implications presented in the resubmission use</w:t>
      </w:r>
      <w:r w:rsidR="0092374A" w:rsidRPr="0019444B">
        <w:t>d</w:t>
      </w:r>
      <w:r w:rsidR="00CF667D" w:rsidRPr="0019444B">
        <w:t xml:space="preserve"> the proposed published price ($8,219.02 DPMQ). The proposed published price for ACA being substantially higher than the equivalent published prices for VEN+OBIN </w:t>
      </w:r>
      <w:r w:rsidR="001D20AB" w:rsidRPr="0019444B">
        <w:t>resulted</w:t>
      </w:r>
      <w:r w:rsidR="00CF667D" w:rsidRPr="0019444B">
        <w:t xml:space="preserve"> in an increase in PBS/RPBS spend in the resubmission’s estimates.</w:t>
      </w:r>
    </w:p>
    <w:p w14:paraId="12F475AE" w14:textId="2AC72C41" w:rsidR="00791C2D" w:rsidRPr="0019444B" w:rsidRDefault="00332019" w:rsidP="001C73CF">
      <w:pPr>
        <w:pStyle w:val="Caption"/>
      </w:pPr>
      <w:bookmarkStart w:id="91" w:name="_Ref132529681"/>
      <w:bookmarkStart w:id="92" w:name="_Ref137829284"/>
      <w:r w:rsidRPr="0019444B">
        <w:t xml:space="preserve">Table </w:t>
      </w:r>
      <w:bookmarkEnd w:id="91"/>
      <w:r w:rsidR="00D13D0B" w:rsidRPr="00961BD2">
        <w:fldChar w:fldCharType="begin" w:fldLock="1"/>
      </w:r>
      <w:r w:rsidR="00D13D0B" w:rsidRPr="0019444B">
        <w:instrText xml:space="preserve"> SEQ Table \* ARABIC </w:instrText>
      </w:r>
      <w:r w:rsidR="00D13D0B" w:rsidRPr="00961BD2">
        <w:fldChar w:fldCharType="separate"/>
      </w:r>
      <w:r w:rsidR="00961BD2">
        <w:rPr>
          <w:noProof/>
        </w:rPr>
        <w:t>20</w:t>
      </w:r>
      <w:r w:rsidR="00D13D0B" w:rsidRPr="00961BD2">
        <w:fldChar w:fldCharType="end"/>
      </w:r>
      <w:bookmarkEnd w:id="92"/>
      <w:r w:rsidR="00791C2D" w:rsidRPr="0019444B">
        <w:t>:</w:t>
      </w:r>
      <w:r w:rsidR="00791C2D" w:rsidRPr="0019444B">
        <w:rPr>
          <w:rStyle w:val="CommentReference"/>
          <w:b/>
          <w:szCs w:val="24"/>
        </w:rPr>
        <w:t xml:space="preserve"> </w:t>
      </w:r>
      <w:bookmarkStart w:id="93" w:name="_Hlk132322065"/>
      <w:r w:rsidR="00C618A2" w:rsidRPr="0019444B">
        <w:rPr>
          <w:rStyle w:val="CommentReference"/>
          <w:b/>
          <w:szCs w:val="24"/>
        </w:rPr>
        <w:t>Estimated f</w:t>
      </w:r>
      <w:r w:rsidR="003F5287" w:rsidRPr="0019444B">
        <w:rPr>
          <w:rStyle w:val="CommentReference"/>
          <w:b/>
          <w:szCs w:val="24"/>
        </w:rPr>
        <w:t>inancial</w:t>
      </w:r>
      <w:r w:rsidR="00791C2D" w:rsidRPr="0019444B">
        <w:rPr>
          <w:rStyle w:val="CommentReference"/>
          <w:b/>
          <w:szCs w:val="24"/>
        </w:rPr>
        <w:t xml:space="preserve"> </w:t>
      </w:r>
      <w:proofErr w:type="gramStart"/>
      <w:r w:rsidR="00791C2D" w:rsidRPr="0019444B">
        <w:rPr>
          <w:rStyle w:val="CommentReference"/>
          <w:b/>
          <w:szCs w:val="24"/>
        </w:rPr>
        <w:t>implications</w:t>
      </w:r>
      <w:bookmarkEnd w:id="93"/>
      <w:proofErr w:type="gramEnd"/>
    </w:p>
    <w:tbl>
      <w:tblPr>
        <w:tblW w:w="5008"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89"/>
        <w:gridCol w:w="18"/>
        <w:gridCol w:w="1109"/>
        <w:gridCol w:w="23"/>
        <w:gridCol w:w="1044"/>
        <w:gridCol w:w="29"/>
        <w:gridCol w:w="1067"/>
        <w:gridCol w:w="34"/>
        <w:gridCol w:w="1062"/>
        <w:gridCol w:w="40"/>
        <w:gridCol w:w="1089"/>
        <w:gridCol w:w="13"/>
        <w:gridCol w:w="1114"/>
      </w:tblGrid>
      <w:tr w:rsidR="00791C2D" w:rsidRPr="0019444B" w14:paraId="1A47E950" w14:textId="77777777" w:rsidTr="009B2A95">
        <w:trPr>
          <w:tblHeader/>
        </w:trPr>
        <w:tc>
          <w:tcPr>
            <w:tcW w:w="1332" w:type="pct"/>
            <w:gridSpan w:val="2"/>
            <w:shd w:val="clear" w:color="auto" w:fill="auto"/>
            <w:vAlign w:val="center"/>
          </w:tcPr>
          <w:p w14:paraId="475351F4" w14:textId="77777777" w:rsidR="00791C2D" w:rsidRPr="0019444B" w:rsidRDefault="00791C2D" w:rsidP="00CA022C">
            <w:pPr>
              <w:pStyle w:val="In-tableHeading"/>
              <w:keepLines/>
              <w:jc w:val="center"/>
              <w:rPr>
                <w:lang w:val="en-AU"/>
              </w:rPr>
            </w:pPr>
          </w:p>
        </w:tc>
        <w:tc>
          <w:tcPr>
            <w:tcW w:w="627" w:type="pct"/>
            <w:gridSpan w:val="2"/>
            <w:shd w:val="clear" w:color="auto" w:fill="auto"/>
            <w:vAlign w:val="center"/>
          </w:tcPr>
          <w:p w14:paraId="627BCAE4" w14:textId="77777777" w:rsidR="00791C2D" w:rsidRPr="0019444B" w:rsidRDefault="00791C2D" w:rsidP="00CA022C">
            <w:pPr>
              <w:pStyle w:val="In-tableHeading"/>
              <w:keepLines/>
              <w:jc w:val="center"/>
              <w:rPr>
                <w:lang w:val="en-AU"/>
              </w:rPr>
            </w:pPr>
            <w:r w:rsidRPr="0019444B">
              <w:rPr>
                <w:lang w:val="en-AU"/>
              </w:rPr>
              <w:t>Year 1</w:t>
            </w:r>
          </w:p>
        </w:tc>
        <w:tc>
          <w:tcPr>
            <w:tcW w:w="594" w:type="pct"/>
            <w:gridSpan w:val="2"/>
            <w:shd w:val="clear" w:color="auto" w:fill="auto"/>
            <w:vAlign w:val="center"/>
          </w:tcPr>
          <w:p w14:paraId="42237115" w14:textId="77777777" w:rsidR="00791C2D" w:rsidRPr="0019444B" w:rsidRDefault="00791C2D" w:rsidP="00CA022C">
            <w:pPr>
              <w:pStyle w:val="In-tableHeading"/>
              <w:keepLines/>
              <w:jc w:val="center"/>
              <w:rPr>
                <w:lang w:val="en-AU"/>
              </w:rPr>
            </w:pPr>
            <w:r w:rsidRPr="0019444B">
              <w:rPr>
                <w:lang w:val="en-AU"/>
              </w:rPr>
              <w:t>Year 2</w:t>
            </w:r>
          </w:p>
        </w:tc>
        <w:tc>
          <w:tcPr>
            <w:tcW w:w="610" w:type="pct"/>
            <w:gridSpan w:val="2"/>
            <w:shd w:val="clear" w:color="auto" w:fill="auto"/>
            <w:vAlign w:val="center"/>
          </w:tcPr>
          <w:p w14:paraId="64B60DD1" w14:textId="77777777" w:rsidR="00791C2D" w:rsidRPr="0019444B" w:rsidRDefault="00791C2D" w:rsidP="00CA022C">
            <w:pPr>
              <w:pStyle w:val="In-tableHeading"/>
              <w:keepLines/>
              <w:jc w:val="center"/>
              <w:rPr>
                <w:lang w:val="en-AU"/>
              </w:rPr>
            </w:pPr>
            <w:r w:rsidRPr="0019444B">
              <w:rPr>
                <w:lang w:val="en-AU"/>
              </w:rPr>
              <w:t>Year 3</w:t>
            </w:r>
          </w:p>
        </w:tc>
        <w:tc>
          <w:tcPr>
            <w:tcW w:w="610" w:type="pct"/>
            <w:gridSpan w:val="2"/>
            <w:shd w:val="clear" w:color="auto" w:fill="auto"/>
            <w:vAlign w:val="center"/>
          </w:tcPr>
          <w:p w14:paraId="373CE6F0" w14:textId="77777777" w:rsidR="00791C2D" w:rsidRPr="0019444B" w:rsidRDefault="00791C2D" w:rsidP="00CA022C">
            <w:pPr>
              <w:pStyle w:val="In-tableHeading"/>
              <w:keepLines/>
              <w:jc w:val="center"/>
              <w:rPr>
                <w:lang w:val="en-AU"/>
              </w:rPr>
            </w:pPr>
            <w:r w:rsidRPr="0019444B">
              <w:rPr>
                <w:lang w:val="en-AU"/>
              </w:rPr>
              <w:t>Year 4</w:t>
            </w:r>
          </w:p>
        </w:tc>
        <w:tc>
          <w:tcPr>
            <w:tcW w:w="610" w:type="pct"/>
            <w:gridSpan w:val="2"/>
            <w:shd w:val="clear" w:color="auto" w:fill="auto"/>
            <w:vAlign w:val="center"/>
          </w:tcPr>
          <w:p w14:paraId="36746120" w14:textId="77777777" w:rsidR="00791C2D" w:rsidRPr="0019444B" w:rsidRDefault="00791C2D" w:rsidP="00CA022C">
            <w:pPr>
              <w:pStyle w:val="In-tableHeading"/>
              <w:keepLines/>
              <w:jc w:val="center"/>
              <w:rPr>
                <w:lang w:val="en-AU"/>
              </w:rPr>
            </w:pPr>
            <w:r w:rsidRPr="0019444B">
              <w:rPr>
                <w:lang w:val="en-AU"/>
              </w:rPr>
              <w:t>Year 5</w:t>
            </w:r>
          </w:p>
        </w:tc>
        <w:tc>
          <w:tcPr>
            <w:tcW w:w="617" w:type="pct"/>
          </w:tcPr>
          <w:p w14:paraId="29BEDD98" w14:textId="77777777" w:rsidR="00791C2D" w:rsidRPr="0019444B" w:rsidRDefault="00791C2D" w:rsidP="00CA022C">
            <w:pPr>
              <w:pStyle w:val="In-tableHeading"/>
              <w:keepLines/>
              <w:jc w:val="center"/>
              <w:rPr>
                <w:lang w:val="en-AU"/>
              </w:rPr>
            </w:pPr>
            <w:r w:rsidRPr="0019444B">
              <w:rPr>
                <w:lang w:val="en-AU"/>
              </w:rPr>
              <w:t>Year 6</w:t>
            </w:r>
          </w:p>
        </w:tc>
      </w:tr>
      <w:tr w:rsidR="009B2A95" w:rsidRPr="0019444B" w14:paraId="6BA3A286" w14:textId="77777777" w:rsidTr="009B2A95">
        <w:tc>
          <w:tcPr>
            <w:tcW w:w="5000" w:type="pct"/>
            <w:gridSpan w:val="13"/>
            <w:shd w:val="clear" w:color="auto" w:fill="auto"/>
            <w:vAlign w:val="center"/>
          </w:tcPr>
          <w:p w14:paraId="3CFA5BE1" w14:textId="6CF0F0D8" w:rsidR="009B2A95" w:rsidRPr="0019444B" w:rsidRDefault="009B2A95" w:rsidP="00CA022C">
            <w:pPr>
              <w:pStyle w:val="In-tableHeading"/>
              <w:keepLines/>
              <w:rPr>
                <w:bCs/>
                <w:color w:val="000000"/>
                <w:lang w:val="en-AU"/>
              </w:rPr>
            </w:pPr>
            <w:r w:rsidRPr="0019444B">
              <w:rPr>
                <w:bCs/>
                <w:color w:val="000000"/>
                <w:lang w:val="en-AU"/>
              </w:rPr>
              <w:t>Estimated extent of use</w:t>
            </w:r>
            <w:r w:rsidR="00676D6B" w:rsidRPr="0019444B">
              <w:rPr>
                <w:bCs/>
                <w:color w:val="000000"/>
                <w:lang w:val="en-AU"/>
              </w:rPr>
              <w:t xml:space="preserve"> </w:t>
            </w:r>
            <w:r w:rsidR="00676D6B" w:rsidRPr="0019444B">
              <w:rPr>
                <w:lang w:val="en-AU"/>
              </w:rPr>
              <w:t>of ACA+/-OBIN</w:t>
            </w:r>
          </w:p>
        </w:tc>
      </w:tr>
      <w:tr w:rsidR="00445418" w:rsidRPr="0019444B" w14:paraId="3DDC03A8" w14:textId="77777777" w:rsidTr="009B2A95">
        <w:tc>
          <w:tcPr>
            <w:tcW w:w="1322" w:type="pct"/>
            <w:shd w:val="clear" w:color="auto" w:fill="auto"/>
            <w:vAlign w:val="center"/>
          </w:tcPr>
          <w:p w14:paraId="4D1F2CEC" w14:textId="5F098522" w:rsidR="00445418" w:rsidRPr="00DB2E06" w:rsidRDefault="00445418" w:rsidP="00CA022C">
            <w:pPr>
              <w:pStyle w:val="TableText0"/>
              <w:keepLines/>
              <w:rPr>
                <w:rFonts w:ascii="Times" w:hAnsi="Times"/>
              </w:rPr>
            </w:pPr>
            <w:r w:rsidRPr="00DB2E06">
              <w:t xml:space="preserve">Number of </w:t>
            </w:r>
            <w:r w:rsidR="00676D6B" w:rsidRPr="00DB2E06">
              <w:t xml:space="preserve">ACA </w:t>
            </w:r>
            <w:r w:rsidRPr="00DB2E06">
              <w:t>scripts dispensed</w:t>
            </w:r>
          </w:p>
        </w:tc>
        <w:tc>
          <w:tcPr>
            <w:tcW w:w="624" w:type="pct"/>
            <w:gridSpan w:val="2"/>
            <w:shd w:val="clear" w:color="auto" w:fill="auto"/>
            <w:vAlign w:val="center"/>
          </w:tcPr>
          <w:p w14:paraId="400B26D6" w14:textId="1B8232CD" w:rsidR="00445418" w:rsidRPr="00CA022C" w:rsidRDefault="00B75821" w:rsidP="00CA022C">
            <w:pPr>
              <w:pStyle w:val="TableText0"/>
              <w:keepLines/>
              <w:rPr>
                <w:color w:val="000000"/>
                <w:vertAlign w:val="superscript"/>
              </w:rPr>
            </w:pPr>
            <w:r w:rsidRPr="00B75821">
              <w:rPr>
                <w:color w:val="000000"/>
                <w:spacing w:val="50"/>
                <w:sz w:val="19"/>
                <w:szCs w:val="19"/>
                <w:shd w:val="solid" w:color="000000" w:fill="000000"/>
                <w:fitText w:val="312" w:id="-1171435008"/>
                <w14:textFill>
                  <w14:solidFill>
                    <w14:srgbClr w14:val="000000">
                      <w14:alpha w14:val="100000"/>
                    </w14:srgbClr>
                  </w14:solidFill>
                </w14:textFill>
              </w:rPr>
              <w:t>|||</w:t>
            </w:r>
            <w:r w:rsidRPr="00B75821">
              <w:rPr>
                <w:color w:val="000000"/>
                <w:spacing w:val="1"/>
                <w:sz w:val="19"/>
                <w:szCs w:val="19"/>
                <w:shd w:val="solid" w:color="000000" w:fill="000000"/>
                <w:fitText w:val="312" w:id="-1171435008"/>
                <w14:textFill>
                  <w14:solidFill>
                    <w14:srgbClr w14:val="000000">
                      <w14:alpha w14:val="100000"/>
                    </w14:srgbClr>
                  </w14:solidFill>
                </w14:textFill>
              </w:rPr>
              <w:t>|</w:t>
            </w:r>
            <w:r w:rsidR="00445418" w:rsidRPr="00DB2E06">
              <w:rPr>
                <w:sz w:val="19"/>
                <w:szCs w:val="19"/>
              </w:rPr>
              <w:t xml:space="preserve"> </w:t>
            </w:r>
            <w:r w:rsidR="00642DCA" w:rsidRPr="00DB2E06">
              <w:rPr>
                <w:sz w:val="19"/>
                <w:szCs w:val="19"/>
                <w:vertAlign w:val="superscript"/>
              </w:rPr>
              <w:t>1</w:t>
            </w:r>
          </w:p>
        </w:tc>
        <w:tc>
          <w:tcPr>
            <w:tcW w:w="591" w:type="pct"/>
            <w:gridSpan w:val="2"/>
            <w:shd w:val="clear" w:color="auto" w:fill="auto"/>
            <w:vAlign w:val="center"/>
          </w:tcPr>
          <w:p w14:paraId="06DDB610" w14:textId="0AD6A282" w:rsidR="00445418" w:rsidRPr="0019444B" w:rsidRDefault="00B75821" w:rsidP="00CA022C">
            <w:pPr>
              <w:pStyle w:val="TableText0"/>
              <w:keepLines/>
              <w:rPr>
                <w:color w:val="000000"/>
              </w:rPr>
            </w:pPr>
            <w:r w:rsidRPr="00B75821">
              <w:rPr>
                <w:color w:val="000000"/>
                <w:spacing w:val="50"/>
                <w:sz w:val="19"/>
                <w:szCs w:val="19"/>
                <w:shd w:val="solid" w:color="000000" w:fill="000000"/>
                <w:fitText w:val="312" w:id="-1171435007"/>
                <w14:textFill>
                  <w14:solidFill>
                    <w14:srgbClr w14:val="000000">
                      <w14:alpha w14:val="100000"/>
                    </w14:srgbClr>
                  </w14:solidFill>
                </w14:textFill>
              </w:rPr>
              <w:t>|||</w:t>
            </w:r>
            <w:r w:rsidRPr="00B75821">
              <w:rPr>
                <w:color w:val="000000"/>
                <w:spacing w:val="1"/>
                <w:sz w:val="19"/>
                <w:szCs w:val="19"/>
                <w:shd w:val="solid" w:color="000000" w:fill="000000"/>
                <w:fitText w:val="312" w:id="-1171435007"/>
                <w14:textFill>
                  <w14:solidFill>
                    <w14:srgbClr w14:val="000000">
                      <w14:alpha w14:val="100000"/>
                    </w14:srgbClr>
                  </w14:solidFill>
                </w14:textFill>
              </w:rPr>
              <w:t>|</w:t>
            </w:r>
            <w:r w:rsidR="00445418" w:rsidRPr="0019444B">
              <w:rPr>
                <w:sz w:val="19"/>
                <w:szCs w:val="19"/>
              </w:rPr>
              <w:t xml:space="preserve"> </w:t>
            </w:r>
            <w:r w:rsidR="00642DCA">
              <w:rPr>
                <w:sz w:val="19"/>
                <w:szCs w:val="19"/>
                <w:vertAlign w:val="superscript"/>
              </w:rPr>
              <w:t>2</w:t>
            </w:r>
          </w:p>
        </w:tc>
        <w:tc>
          <w:tcPr>
            <w:tcW w:w="607" w:type="pct"/>
            <w:gridSpan w:val="2"/>
            <w:shd w:val="clear" w:color="auto" w:fill="auto"/>
            <w:vAlign w:val="center"/>
          </w:tcPr>
          <w:p w14:paraId="029E40E2" w14:textId="3470077E" w:rsidR="00445418" w:rsidRPr="00CA022C" w:rsidRDefault="00B75821" w:rsidP="00CA022C">
            <w:pPr>
              <w:pStyle w:val="TableText0"/>
              <w:keepLines/>
              <w:rPr>
                <w:color w:val="000000"/>
                <w:vertAlign w:val="superscript"/>
              </w:rPr>
            </w:pPr>
            <w:r w:rsidRPr="00B75821">
              <w:rPr>
                <w:color w:val="000000"/>
                <w:spacing w:val="50"/>
                <w:sz w:val="19"/>
                <w:szCs w:val="19"/>
                <w:shd w:val="solid" w:color="000000" w:fill="000000"/>
                <w:fitText w:val="312" w:id="-1171435006"/>
                <w14:textFill>
                  <w14:solidFill>
                    <w14:srgbClr w14:val="000000">
                      <w14:alpha w14:val="100000"/>
                    </w14:srgbClr>
                  </w14:solidFill>
                </w14:textFill>
              </w:rPr>
              <w:t>|||</w:t>
            </w:r>
            <w:r w:rsidRPr="00B75821">
              <w:rPr>
                <w:color w:val="000000"/>
                <w:spacing w:val="1"/>
                <w:sz w:val="19"/>
                <w:szCs w:val="19"/>
                <w:shd w:val="solid" w:color="000000" w:fill="000000"/>
                <w:fitText w:val="312" w:id="-1171435006"/>
                <w14:textFill>
                  <w14:solidFill>
                    <w14:srgbClr w14:val="000000">
                      <w14:alpha w14:val="100000"/>
                    </w14:srgbClr>
                  </w14:solidFill>
                </w14:textFill>
              </w:rPr>
              <w:t>|</w:t>
            </w:r>
            <w:r w:rsidR="00445418" w:rsidRPr="0019444B">
              <w:rPr>
                <w:sz w:val="19"/>
                <w:szCs w:val="19"/>
              </w:rPr>
              <w:t xml:space="preserve"> </w:t>
            </w:r>
            <w:r w:rsidR="00642DCA">
              <w:rPr>
                <w:sz w:val="19"/>
                <w:szCs w:val="19"/>
                <w:vertAlign w:val="superscript"/>
              </w:rPr>
              <w:t>3</w:t>
            </w:r>
          </w:p>
        </w:tc>
        <w:tc>
          <w:tcPr>
            <w:tcW w:w="607" w:type="pct"/>
            <w:gridSpan w:val="2"/>
            <w:shd w:val="clear" w:color="auto" w:fill="auto"/>
            <w:vAlign w:val="center"/>
          </w:tcPr>
          <w:p w14:paraId="0C2BD301" w14:textId="4297FB45" w:rsidR="00445418" w:rsidRPr="0019444B" w:rsidRDefault="00B75821" w:rsidP="00CA022C">
            <w:pPr>
              <w:pStyle w:val="TableText0"/>
              <w:keepLines/>
              <w:rPr>
                <w:color w:val="000000"/>
              </w:rPr>
            </w:pPr>
            <w:r w:rsidRPr="00B75821">
              <w:rPr>
                <w:color w:val="000000"/>
                <w:spacing w:val="50"/>
                <w:sz w:val="19"/>
                <w:szCs w:val="19"/>
                <w:shd w:val="solid" w:color="000000" w:fill="000000"/>
                <w:fitText w:val="312" w:id="-1171435005"/>
                <w14:textFill>
                  <w14:solidFill>
                    <w14:srgbClr w14:val="000000">
                      <w14:alpha w14:val="100000"/>
                    </w14:srgbClr>
                  </w14:solidFill>
                </w14:textFill>
              </w:rPr>
              <w:t>|||</w:t>
            </w:r>
            <w:r w:rsidRPr="00B75821">
              <w:rPr>
                <w:color w:val="000000"/>
                <w:spacing w:val="1"/>
                <w:sz w:val="19"/>
                <w:szCs w:val="19"/>
                <w:shd w:val="solid" w:color="000000" w:fill="000000"/>
                <w:fitText w:val="312" w:id="-1171435005"/>
                <w14:textFill>
                  <w14:solidFill>
                    <w14:srgbClr w14:val="000000">
                      <w14:alpha w14:val="100000"/>
                    </w14:srgbClr>
                  </w14:solidFill>
                </w14:textFill>
              </w:rPr>
              <w:t>|</w:t>
            </w:r>
            <w:r w:rsidR="00445418" w:rsidRPr="0019444B">
              <w:rPr>
                <w:sz w:val="19"/>
                <w:szCs w:val="19"/>
              </w:rPr>
              <w:t xml:space="preserve"> </w:t>
            </w:r>
            <w:r w:rsidR="00642DCA">
              <w:rPr>
                <w:sz w:val="19"/>
                <w:szCs w:val="19"/>
                <w:vertAlign w:val="superscript"/>
              </w:rPr>
              <w:t>3</w:t>
            </w:r>
          </w:p>
        </w:tc>
        <w:tc>
          <w:tcPr>
            <w:tcW w:w="625" w:type="pct"/>
            <w:gridSpan w:val="2"/>
            <w:shd w:val="clear" w:color="auto" w:fill="auto"/>
            <w:vAlign w:val="center"/>
          </w:tcPr>
          <w:p w14:paraId="084A89FD" w14:textId="68BD243F" w:rsidR="00445418" w:rsidRPr="0019444B" w:rsidRDefault="00B75821" w:rsidP="00CA022C">
            <w:pPr>
              <w:pStyle w:val="TableText0"/>
              <w:keepLines/>
              <w:rPr>
                <w:color w:val="000000"/>
              </w:rPr>
            </w:pPr>
            <w:r w:rsidRPr="00B75821">
              <w:rPr>
                <w:color w:val="000000"/>
                <w:spacing w:val="50"/>
                <w:sz w:val="19"/>
                <w:szCs w:val="19"/>
                <w:shd w:val="solid" w:color="000000" w:fill="000000"/>
                <w:fitText w:val="312" w:id="-1171435004"/>
                <w14:textFill>
                  <w14:solidFill>
                    <w14:srgbClr w14:val="000000">
                      <w14:alpha w14:val="100000"/>
                    </w14:srgbClr>
                  </w14:solidFill>
                </w14:textFill>
              </w:rPr>
              <w:t>|||</w:t>
            </w:r>
            <w:r w:rsidRPr="00B75821">
              <w:rPr>
                <w:color w:val="000000"/>
                <w:spacing w:val="1"/>
                <w:sz w:val="19"/>
                <w:szCs w:val="19"/>
                <w:shd w:val="solid" w:color="000000" w:fill="000000"/>
                <w:fitText w:val="312" w:id="-1171435004"/>
                <w14:textFill>
                  <w14:solidFill>
                    <w14:srgbClr w14:val="000000">
                      <w14:alpha w14:val="100000"/>
                    </w14:srgbClr>
                  </w14:solidFill>
                </w14:textFill>
              </w:rPr>
              <w:t>|</w:t>
            </w:r>
            <w:r w:rsidR="00445418" w:rsidRPr="0019444B">
              <w:rPr>
                <w:sz w:val="19"/>
                <w:szCs w:val="19"/>
              </w:rPr>
              <w:t xml:space="preserve"> </w:t>
            </w:r>
            <w:r w:rsidR="00642DCA">
              <w:rPr>
                <w:sz w:val="19"/>
                <w:szCs w:val="19"/>
                <w:vertAlign w:val="superscript"/>
              </w:rPr>
              <w:t>4</w:t>
            </w:r>
          </w:p>
        </w:tc>
        <w:tc>
          <w:tcPr>
            <w:tcW w:w="624" w:type="pct"/>
            <w:gridSpan w:val="2"/>
            <w:vAlign w:val="center"/>
          </w:tcPr>
          <w:p w14:paraId="2E9C50FF" w14:textId="2656B4A9" w:rsidR="00445418" w:rsidRPr="0019444B" w:rsidRDefault="00B75821" w:rsidP="00CA022C">
            <w:pPr>
              <w:pStyle w:val="TableText0"/>
              <w:keepLines/>
              <w:rPr>
                <w:color w:val="000000"/>
              </w:rPr>
            </w:pPr>
            <w:r w:rsidRPr="00B75821">
              <w:rPr>
                <w:color w:val="000000"/>
                <w:spacing w:val="50"/>
                <w:sz w:val="19"/>
                <w:szCs w:val="19"/>
                <w:shd w:val="solid" w:color="000000" w:fill="000000"/>
                <w:fitText w:val="312" w:id="-1171435003"/>
                <w14:textFill>
                  <w14:solidFill>
                    <w14:srgbClr w14:val="000000">
                      <w14:alpha w14:val="100000"/>
                    </w14:srgbClr>
                  </w14:solidFill>
                </w14:textFill>
              </w:rPr>
              <w:t>|||</w:t>
            </w:r>
            <w:r w:rsidRPr="00B75821">
              <w:rPr>
                <w:color w:val="000000"/>
                <w:spacing w:val="1"/>
                <w:sz w:val="19"/>
                <w:szCs w:val="19"/>
                <w:shd w:val="solid" w:color="000000" w:fill="000000"/>
                <w:fitText w:val="312" w:id="-1171435003"/>
                <w14:textFill>
                  <w14:solidFill>
                    <w14:srgbClr w14:val="000000">
                      <w14:alpha w14:val="100000"/>
                    </w14:srgbClr>
                  </w14:solidFill>
                </w14:textFill>
              </w:rPr>
              <w:t>|</w:t>
            </w:r>
            <w:r w:rsidR="00445418" w:rsidRPr="0019444B">
              <w:rPr>
                <w:sz w:val="19"/>
                <w:szCs w:val="19"/>
              </w:rPr>
              <w:t xml:space="preserve"> </w:t>
            </w:r>
            <w:r w:rsidR="00642DCA">
              <w:rPr>
                <w:sz w:val="19"/>
                <w:szCs w:val="19"/>
                <w:vertAlign w:val="superscript"/>
              </w:rPr>
              <w:t>4</w:t>
            </w:r>
          </w:p>
        </w:tc>
      </w:tr>
      <w:tr w:rsidR="00676D6B" w:rsidRPr="0019444B" w14:paraId="6FF32847" w14:textId="77777777" w:rsidTr="009B2A95">
        <w:tc>
          <w:tcPr>
            <w:tcW w:w="1322" w:type="pct"/>
            <w:shd w:val="clear" w:color="auto" w:fill="auto"/>
            <w:vAlign w:val="center"/>
          </w:tcPr>
          <w:p w14:paraId="6B036A6E" w14:textId="575E7DB6" w:rsidR="00676D6B" w:rsidRPr="0019444B" w:rsidRDefault="00676D6B" w:rsidP="00CA022C">
            <w:pPr>
              <w:pStyle w:val="TableText0"/>
              <w:keepLines/>
            </w:pPr>
            <w:r w:rsidRPr="0019444B">
              <w:t>Number of OBIN scripts dispensed</w:t>
            </w:r>
          </w:p>
        </w:tc>
        <w:tc>
          <w:tcPr>
            <w:tcW w:w="624" w:type="pct"/>
            <w:gridSpan w:val="2"/>
            <w:shd w:val="clear" w:color="auto" w:fill="auto"/>
            <w:vAlign w:val="center"/>
          </w:tcPr>
          <w:p w14:paraId="7D16E0CA" w14:textId="5EA92C2F" w:rsidR="00676D6B" w:rsidRPr="00CA022C" w:rsidRDefault="00B75821" w:rsidP="00CA022C">
            <w:pPr>
              <w:pStyle w:val="TableText0"/>
              <w:keepLines/>
              <w:rPr>
                <w:sz w:val="19"/>
                <w:szCs w:val="19"/>
                <w:highlight w:val="darkGray"/>
              </w:rPr>
            </w:pPr>
            <w:r w:rsidRPr="00B75821">
              <w:rPr>
                <w:color w:val="000000"/>
                <w:spacing w:val="50"/>
                <w:sz w:val="19"/>
                <w:szCs w:val="19"/>
                <w:shd w:val="solid" w:color="000000" w:fill="000000"/>
                <w:fitText w:val="312" w:id="-1171435002"/>
                <w14:textFill>
                  <w14:solidFill>
                    <w14:srgbClr w14:val="000000">
                      <w14:alpha w14:val="100000"/>
                    </w14:srgbClr>
                  </w14:solidFill>
                </w14:textFill>
              </w:rPr>
              <w:t>|||</w:t>
            </w:r>
            <w:r w:rsidRPr="00B75821">
              <w:rPr>
                <w:color w:val="000000"/>
                <w:spacing w:val="1"/>
                <w:sz w:val="19"/>
                <w:szCs w:val="19"/>
                <w:shd w:val="solid" w:color="000000" w:fill="000000"/>
                <w:fitText w:val="312" w:id="-1171435002"/>
                <w14:textFill>
                  <w14:solidFill>
                    <w14:srgbClr w14:val="000000">
                      <w14:alpha w14:val="100000"/>
                    </w14:srgbClr>
                  </w14:solidFill>
                </w14:textFill>
              </w:rPr>
              <w:t>|</w:t>
            </w:r>
            <w:r w:rsidR="00676D6B" w:rsidRPr="00DB2E06">
              <w:rPr>
                <w:sz w:val="19"/>
                <w:szCs w:val="19"/>
              </w:rPr>
              <w:t xml:space="preserve"> </w:t>
            </w:r>
            <w:r w:rsidR="00642DCA" w:rsidRPr="00DB2E06">
              <w:rPr>
                <w:sz w:val="19"/>
                <w:szCs w:val="19"/>
                <w:vertAlign w:val="superscript"/>
              </w:rPr>
              <w:t>5</w:t>
            </w:r>
          </w:p>
        </w:tc>
        <w:tc>
          <w:tcPr>
            <w:tcW w:w="591" w:type="pct"/>
            <w:gridSpan w:val="2"/>
            <w:shd w:val="clear" w:color="auto" w:fill="auto"/>
            <w:vAlign w:val="center"/>
          </w:tcPr>
          <w:p w14:paraId="71BA95B3" w14:textId="5BD3BE9E" w:rsidR="00676D6B" w:rsidRPr="0019444B" w:rsidRDefault="00B75821" w:rsidP="00CA022C">
            <w:pPr>
              <w:pStyle w:val="TableText0"/>
              <w:keepLines/>
              <w:rPr>
                <w:sz w:val="19"/>
                <w:szCs w:val="19"/>
              </w:rPr>
            </w:pPr>
            <w:r w:rsidRPr="00B75821">
              <w:rPr>
                <w:color w:val="000000"/>
                <w:spacing w:val="50"/>
                <w:sz w:val="19"/>
                <w:szCs w:val="19"/>
                <w:shd w:val="solid" w:color="000000" w:fill="000000"/>
                <w:fitText w:val="312" w:id="-1171435001"/>
                <w14:textFill>
                  <w14:solidFill>
                    <w14:srgbClr w14:val="000000">
                      <w14:alpha w14:val="100000"/>
                    </w14:srgbClr>
                  </w14:solidFill>
                </w14:textFill>
              </w:rPr>
              <w:t>|||</w:t>
            </w:r>
            <w:r w:rsidRPr="00B75821">
              <w:rPr>
                <w:color w:val="000000"/>
                <w:spacing w:val="1"/>
                <w:sz w:val="19"/>
                <w:szCs w:val="19"/>
                <w:shd w:val="solid" w:color="000000" w:fill="000000"/>
                <w:fitText w:val="312" w:id="-1171435001"/>
                <w14:textFill>
                  <w14:solidFill>
                    <w14:srgbClr w14:val="000000">
                      <w14:alpha w14:val="100000"/>
                    </w14:srgbClr>
                  </w14:solidFill>
                </w14:textFill>
              </w:rPr>
              <w:t>|</w:t>
            </w:r>
            <w:r w:rsidR="00676D6B" w:rsidRPr="0019444B">
              <w:rPr>
                <w:sz w:val="19"/>
                <w:szCs w:val="19"/>
              </w:rPr>
              <w:t xml:space="preserve"> </w:t>
            </w:r>
            <w:r w:rsidR="00642DCA">
              <w:rPr>
                <w:sz w:val="19"/>
                <w:szCs w:val="19"/>
                <w:vertAlign w:val="superscript"/>
              </w:rPr>
              <w:t>5</w:t>
            </w:r>
          </w:p>
        </w:tc>
        <w:tc>
          <w:tcPr>
            <w:tcW w:w="607" w:type="pct"/>
            <w:gridSpan w:val="2"/>
            <w:shd w:val="clear" w:color="auto" w:fill="auto"/>
            <w:vAlign w:val="center"/>
          </w:tcPr>
          <w:p w14:paraId="1E0DD8A9" w14:textId="70A801A2" w:rsidR="00676D6B" w:rsidRPr="0019444B" w:rsidRDefault="00B75821" w:rsidP="00CA022C">
            <w:pPr>
              <w:pStyle w:val="TableText0"/>
              <w:keepLines/>
              <w:rPr>
                <w:sz w:val="19"/>
                <w:szCs w:val="19"/>
              </w:rPr>
            </w:pPr>
            <w:r w:rsidRPr="00B75821">
              <w:rPr>
                <w:color w:val="000000"/>
                <w:spacing w:val="50"/>
                <w:sz w:val="19"/>
                <w:szCs w:val="19"/>
                <w:shd w:val="solid" w:color="000000" w:fill="000000"/>
                <w:fitText w:val="312" w:id="-1171435000"/>
                <w14:textFill>
                  <w14:solidFill>
                    <w14:srgbClr w14:val="000000">
                      <w14:alpha w14:val="100000"/>
                    </w14:srgbClr>
                  </w14:solidFill>
                </w14:textFill>
              </w:rPr>
              <w:t>|||</w:t>
            </w:r>
            <w:r w:rsidRPr="00B75821">
              <w:rPr>
                <w:color w:val="000000"/>
                <w:spacing w:val="1"/>
                <w:sz w:val="19"/>
                <w:szCs w:val="19"/>
                <w:shd w:val="solid" w:color="000000" w:fill="000000"/>
                <w:fitText w:val="312" w:id="-1171435000"/>
                <w14:textFill>
                  <w14:solidFill>
                    <w14:srgbClr w14:val="000000">
                      <w14:alpha w14:val="100000"/>
                    </w14:srgbClr>
                  </w14:solidFill>
                </w14:textFill>
              </w:rPr>
              <w:t>|</w:t>
            </w:r>
            <w:r w:rsidR="00676D6B" w:rsidRPr="0019444B">
              <w:rPr>
                <w:sz w:val="19"/>
                <w:szCs w:val="19"/>
              </w:rPr>
              <w:t xml:space="preserve"> </w:t>
            </w:r>
            <w:r w:rsidR="00642DCA">
              <w:rPr>
                <w:sz w:val="19"/>
                <w:szCs w:val="19"/>
                <w:vertAlign w:val="superscript"/>
              </w:rPr>
              <w:t>6</w:t>
            </w:r>
          </w:p>
        </w:tc>
        <w:tc>
          <w:tcPr>
            <w:tcW w:w="607" w:type="pct"/>
            <w:gridSpan w:val="2"/>
            <w:shd w:val="clear" w:color="auto" w:fill="auto"/>
            <w:vAlign w:val="center"/>
          </w:tcPr>
          <w:p w14:paraId="143D7CC6" w14:textId="78F348AC" w:rsidR="00676D6B" w:rsidRPr="0019444B" w:rsidRDefault="00B75821" w:rsidP="00CA022C">
            <w:pPr>
              <w:pStyle w:val="TableText0"/>
              <w:keepLines/>
              <w:rPr>
                <w:sz w:val="19"/>
                <w:szCs w:val="19"/>
              </w:rPr>
            </w:pPr>
            <w:r w:rsidRPr="00B75821">
              <w:rPr>
                <w:color w:val="000000"/>
                <w:spacing w:val="50"/>
                <w:sz w:val="19"/>
                <w:szCs w:val="19"/>
                <w:shd w:val="solid" w:color="000000" w:fill="000000"/>
                <w:fitText w:val="312" w:id="-1171434999"/>
                <w14:textFill>
                  <w14:solidFill>
                    <w14:srgbClr w14:val="000000">
                      <w14:alpha w14:val="100000"/>
                    </w14:srgbClr>
                  </w14:solidFill>
                </w14:textFill>
              </w:rPr>
              <w:t>|||</w:t>
            </w:r>
            <w:r w:rsidRPr="00B75821">
              <w:rPr>
                <w:color w:val="000000"/>
                <w:spacing w:val="1"/>
                <w:sz w:val="19"/>
                <w:szCs w:val="19"/>
                <w:shd w:val="solid" w:color="000000" w:fill="000000"/>
                <w:fitText w:val="312" w:id="-1171434999"/>
                <w14:textFill>
                  <w14:solidFill>
                    <w14:srgbClr w14:val="000000">
                      <w14:alpha w14:val="100000"/>
                    </w14:srgbClr>
                  </w14:solidFill>
                </w14:textFill>
              </w:rPr>
              <w:t>|</w:t>
            </w:r>
            <w:r w:rsidR="00676D6B" w:rsidRPr="0019444B">
              <w:rPr>
                <w:sz w:val="19"/>
                <w:szCs w:val="19"/>
              </w:rPr>
              <w:t xml:space="preserve"> </w:t>
            </w:r>
          </w:p>
        </w:tc>
        <w:tc>
          <w:tcPr>
            <w:tcW w:w="625" w:type="pct"/>
            <w:gridSpan w:val="2"/>
            <w:shd w:val="clear" w:color="auto" w:fill="auto"/>
            <w:vAlign w:val="center"/>
          </w:tcPr>
          <w:p w14:paraId="15E8864F" w14:textId="10418533" w:rsidR="00676D6B" w:rsidRPr="0019444B" w:rsidRDefault="00B75821" w:rsidP="00CA022C">
            <w:pPr>
              <w:pStyle w:val="TableText0"/>
              <w:keepLines/>
              <w:rPr>
                <w:sz w:val="19"/>
                <w:szCs w:val="19"/>
              </w:rPr>
            </w:pPr>
            <w:r w:rsidRPr="00B75821">
              <w:rPr>
                <w:color w:val="000000"/>
                <w:spacing w:val="50"/>
                <w:sz w:val="19"/>
                <w:szCs w:val="19"/>
                <w:shd w:val="solid" w:color="000000" w:fill="000000"/>
                <w:fitText w:val="312" w:id="-1171434998"/>
                <w14:textFill>
                  <w14:solidFill>
                    <w14:srgbClr w14:val="000000">
                      <w14:alpha w14:val="100000"/>
                    </w14:srgbClr>
                  </w14:solidFill>
                </w14:textFill>
              </w:rPr>
              <w:t>|||</w:t>
            </w:r>
            <w:r w:rsidRPr="00B75821">
              <w:rPr>
                <w:color w:val="000000"/>
                <w:spacing w:val="1"/>
                <w:sz w:val="19"/>
                <w:szCs w:val="19"/>
                <w:shd w:val="solid" w:color="000000" w:fill="000000"/>
                <w:fitText w:val="312" w:id="-1171434998"/>
                <w14:textFill>
                  <w14:solidFill>
                    <w14:srgbClr w14:val="000000">
                      <w14:alpha w14:val="100000"/>
                    </w14:srgbClr>
                  </w14:solidFill>
                </w14:textFill>
              </w:rPr>
              <w:t>|</w:t>
            </w:r>
            <w:r w:rsidR="00676D6B" w:rsidRPr="0019444B">
              <w:rPr>
                <w:sz w:val="19"/>
                <w:szCs w:val="19"/>
              </w:rPr>
              <w:t xml:space="preserve"> </w:t>
            </w:r>
            <w:r w:rsidR="00642DCA">
              <w:rPr>
                <w:sz w:val="19"/>
                <w:szCs w:val="19"/>
                <w:vertAlign w:val="superscript"/>
              </w:rPr>
              <w:t>6</w:t>
            </w:r>
          </w:p>
        </w:tc>
        <w:tc>
          <w:tcPr>
            <w:tcW w:w="624" w:type="pct"/>
            <w:gridSpan w:val="2"/>
            <w:vAlign w:val="center"/>
          </w:tcPr>
          <w:p w14:paraId="14753807" w14:textId="2B04B5C1" w:rsidR="00676D6B" w:rsidRPr="0019444B" w:rsidRDefault="00B75821" w:rsidP="00CA022C">
            <w:pPr>
              <w:pStyle w:val="TableText0"/>
              <w:keepLines/>
              <w:rPr>
                <w:sz w:val="19"/>
                <w:szCs w:val="19"/>
              </w:rPr>
            </w:pPr>
            <w:r w:rsidRPr="00B75821">
              <w:rPr>
                <w:color w:val="000000"/>
                <w:spacing w:val="50"/>
                <w:sz w:val="19"/>
                <w:szCs w:val="19"/>
                <w:shd w:val="solid" w:color="000000" w:fill="000000"/>
                <w:fitText w:val="312" w:id="-1171434997"/>
                <w14:textFill>
                  <w14:solidFill>
                    <w14:srgbClr w14:val="000000">
                      <w14:alpha w14:val="100000"/>
                    </w14:srgbClr>
                  </w14:solidFill>
                </w14:textFill>
              </w:rPr>
              <w:t>|||</w:t>
            </w:r>
            <w:r w:rsidRPr="00B75821">
              <w:rPr>
                <w:color w:val="000000"/>
                <w:spacing w:val="1"/>
                <w:sz w:val="19"/>
                <w:szCs w:val="19"/>
                <w:shd w:val="solid" w:color="000000" w:fill="000000"/>
                <w:fitText w:val="312" w:id="-1171434997"/>
                <w14:textFill>
                  <w14:solidFill>
                    <w14:srgbClr w14:val="000000">
                      <w14:alpha w14:val="100000"/>
                    </w14:srgbClr>
                  </w14:solidFill>
                </w14:textFill>
              </w:rPr>
              <w:t>|</w:t>
            </w:r>
            <w:r w:rsidR="00676D6B" w:rsidRPr="0019444B">
              <w:rPr>
                <w:sz w:val="19"/>
                <w:szCs w:val="19"/>
              </w:rPr>
              <w:t xml:space="preserve"> </w:t>
            </w:r>
            <w:r w:rsidR="00642DCA">
              <w:rPr>
                <w:sz w:val="19"/>
                <w:szCs w:val="19"/>
                <w:vertAlign w:val="superscript"/>
              </w:rPr>
              <w:t>6</w:t>
            </w:r>
          </w:p>
        </w:tc>
      </w:tr>
      <w:tr w:rsidR="00791C2D" w:rsidRPr="0019444B" w14:paraId="315A36E3" w14:textId="77777777" w:rsidTr="009B2A95">
        <w:tc>
          <w:tcPr>
            <w:tcW w:w="5000" w:type="pct"/>
            <w:gridSpan w:val="13"/>
            <w:shd w:val="clear" w:color="auto" w:fill="auto"/>
            <w:vAlign w:val="center"/>
          </w:tcPr>
          <w:p w14:paraId="22E11E75" w14:textId="77777777" w:rsidR="00791C2D" w:rsidRPr="0019444B" w:rsidRDefault="00791C2D" w:rsidP="00CA022C">
            <w:pPr>
              <w:pStyle w:val="In-tableHeading"/>
              <w:keepLines/>
              <w:rPr>
                <w:lang w:val="en-AU"/>
              </w:rPr>
            </w:pPr>
            <w:r w:rsidRPr="0019444B">
              <w:rPr>
                <w:lang w:val="en-AU"/>
              </w:rPr>
              <w:t>Estimated financial implications of ACA+/-OBIN</w:t>
            </w:r>
          </w:p>
        </w:tc>
      </w:tr>
      <w:tr w:rsidR="00676D6B" w:rsidRPr="0019444B" w14:paraId="54002181" w14:textId="77777777" w:rsidTr="009B2A95">
        <w:tc>
          <w:tcPr>
            <w:tcW w:w="1332" w:type="pct"/>
            <w:gridSpan w:val="2"/>
            <w:shd w:val="clear" w:color="auto" w:fill="auto"/>
            <w:vAlign w:val="center"/>
          </w:tcPr>
          <w:p w14:paraId="02190D84" w14:textId="5BEA3F8E" w:rsidR="00676D6B" w:rsidRPr="0019444B" w:rsidRDefault="00676D6B" w:rsidP="00CA022C">
            <w:pPr>
              <w:pStyle w:val="TableText0"/>
              <w:keepLines/>
              <w:rPr>
                <w:sz w:val="19"/>
                <w:szCs w:val="19"/>
              </w:rPr>
            </w:pPr>
            <w:r w:rsidRPr="0019444B">
              <w:rPr>
                <w:sz w:val="19"/>
                <w:szCs w:val="19"/>
              </w:rPr>
              <w:t>ACA cost to PBS/RPBS less copayments</w:t>
            </w:r>
            <w:r w:rsidR="00CA022C">
              <w:rPr>
                <w:sz w:val="19"/>
                <w:szCs w:val="19"/>
              </w:rPr>
              <w:t xml:space="preserve"> ($)</w:t>
            </w:r>
          </w:p>
        </w:tc>
        <w:tc>
          <w:tcPr>
            <w:tcW w:w="627" w:type="pct"/>
            <w:gridSpan w:val="2"/>
            <w:shd w:val="clear" w:color="auto" w:fill="auto"/>
            <w:vAlign w:val="center"/>
          </w:tcPr>
          <w:p w14:paraId="16283E3F" w14:textId="64ED6346" w:rsidR="00676D6B" w:rsidRPr="0019444B" w:rsidRDefault="00B75821" w:rsidP="00CA022C">
            <w:pPr>
              <w:pStyle w:val="TableText0"/>
              <w:keepLines/>
              <w:rPr>
                <w:sz w:val="19"/>
                <w:szCs w:val="19"/>
              </w:rPr>
            </w:pPr>
            <w:r w:rsidRPr="00B75821">
              <w:rPr>
                <w:color w:val="000000"/>
                <w:spacing w:val="50"/>
                <w:sz w:val="19"/>
                <w:szCs w:val="19"/>
                <w:shd w:val="solid" w:color="000000" w:fill="000000"/>
                <w:fitText w:val="312" w:id="-1171434996"/>
                <w14:textFill>
                  <w14:solidFill>
                    <w14:srgbClr w14:val="000000">
                      <w14:alpha w14:val="100000"/>
                    </w14:srgbClr>
                  </w14:solidFill>
                </w14:textFill>
              </w:rPr>
              <w:t>|||</w:t>
            </w:r>
            <w:r w:rsidRPr="00B75821">
              <w:rPr>
                <w:color w:val="000000"/>
                <w:spacing w:val="1"/>
                <w:sz w:val="19"/>
                <w:szCs w:val="19"/>
                <w:shd w:val="solid" w:color="000000" w:fill="000000"/>
                <w:fitText w:val="312" w:id="-1171434996"/>
                <w14:textFill>
                  <w14:solidFill>
                    <w14:srgbClr w14:val="000000">
                      <w14:alpha w14:val="100000"/>
                    </w14:srgbClr>
                  </w14:solidFill>
                </w14:textFill>
              </w:rPr>
              <w:t>|</w:t>
            </w:r>
            <w:r w:rsidR="00642DCA">
              <w:rPr>
                <w:sz w:val="19"/>
                <w:szCs w:val="19"/>
              </w:rPr>
              <w:t xml:space="preserve"> </w:t>
            </w:r>
            <w:r w:rsidR="00642DCA">
              <w:rPr>
                <w:sz w:val="19"/>
                <w:szCs w:val="19"/>
                <w:vertAlign w:val="superscript"/>
              </w:rPr>
              <w:t>7</w:t>
            </w:r>
          </w:p>
        </w:tc>
        <w:tc>
          <w:tcPr>
            <w:tcW w:w="594" w:type="pct"/>
            <w:gridSpan w:val="2"/>
            <w:shd w:val="clear" w:color="auto" w:fill="auto"/>
            <w:vAlign w:val="center"/>
          </w:tcPr>
          <w:p w14:paraId="20E8C0B2" w14:textId="46DF5599" w:rsidR="00676D6B" w:rsidRPr="0019444B" w:rsidRDefault="00B75821" w:rsidP="00CA022C">
            <w:pPr>
              <w:pStyle w:val="TableText0"/>
              <w:keepLines/>
              <w:rPr>
                <w:sz w:val="19"/>
                <w:szCs w:val="19"/>
              </w:rPr>
            </w:pPr>
            <w:r w:rsidRPr="00B75821">
              <w:rPr>
                <w:color w:val="000000"/>
                <w:spacing w:val="49"/>
                <w:sz w:val="19"/>
                <w:szCs w:val="19"/>
                <w:shd w:val="solid" w:color="000000" w:fill="000000"/>
                <w:fitText w:val="311" w:id="-1171434995"/>
                <w14:textFill>
                  <w14:solidFill>
                    <w14:srgbClr w14:val="000000">
                      <w14:alpha w14:val="100000"/>
                    </w14:srgbClr>
                  </w14:solidFill>
                </w14:textFill>
              </w:rPr>
              <w:t>|||</w:t>
            </w:r>
            <w:r w:rsidRPr="00B75821">
              <w:rPr>
                <w:color w:val="000000"/>
                <w:spacing w:val="3"/>
                <w:sz w:val="19"/>
                <w:szCs w:val="19"/>
                <w:shd w:val="solid" w:color="000000" w:fill="000000"/>
                <w:fitText w:val="311" w:id="-1171434995"/>
                <w14:textFill>
                  <w14:solidFill>
                    <w14:srgbClr w14:val="000000">
                      <w14:alpha w14:val="100000"/>
                    </w14:srgbClr>
                  </w14:solidFill>
                </w14:textFill>
              </w:rPr>
              <w:t>|</w:t>
            </w:r>
            <w:r w:rsidR="00642DCA">
              <w:rPr>
                <w:sz w:val="19"/>
                <w:szCs w:val="19"/>
              </w:rPr>
              <w:t xml:space="preserve"> </w:t>
            </w:r>
            <w:r w:rsidR="00642DCA">
              <w:rPr>
                <w:sz w:val="19"/>
                <w:szCs w:val="19"/>
                <w:vertAlign w:val="superscript"/>
              </w:rPr>
              <w:t>8</w:t>
            </w:r>
          </w:p>
        </w:tc>
        <w:tc>
          <w:tcPr>
            <w:tcW w:w="610" w:type="pct"/>
            <w:gridSpan w:val="2"/>
            <w:shd w:val="clear" w:color="auto" w:fill="auto"/>
            <w:vAlign w:val="center"/>
          </w:tcPr>
          <w:p w14:paraId="1C3533EC" w14:textId="0335FCC3" w:rsidR="00676D6B" w:rsidRPr="0019444B" w:rsidRDefault="00B75821" w:rsidP="00CA022C">
            <w:pPr>
              <w:pStyle w:val="TableText0"/>
              <w:keepLines/>
              <w:rPr>
                <w:sz w:val="19"/>
                <w:szCs w:val="19"/>
              </w:rPr>
            </w:pPr>
            <w:r w:rsidRPr="00B75821">
              <w:rPr>
                <w:color w:val="000000"/>
                <w:spacing w:val="50"/>
                <w:sz w:val="19"/>
                <w:szCs w:val="19"/>
                <w:shd w:val="solid" w:color="000000" w:fill="000000"/>
                <w:fitText w:val="312" w:id="-1171434994"/>
                <w14:textFill>
                  <w14:solidFill>
                    <w14:srgbClr w14:val="000000">
                      <w14:alpha w14:val="100000"/>
                    </w14:srgbClr>
                  </w14:solidFill>
                </w14:textFill>
              </w:rPr>
              <w:t>|||</w:t>
            </w:r>
            <w:r w:rsidRPr="00B75821">
              <w:rPr>
                <w:color w:val="000000"/>
                <w:spacing w:val="1"/>
                <w:sz w:val="19"/>
                <w:szCs w:val="19"/>
                <w:shd w:val="solid" w:color="000000" w:fill="000000"/>
                <w:fitText w:val="312" w:id="-1171434994"/>
                <w14:textFill>
                  <w14:solidFill>
                    <w14:srgbClr w14:val="000000">
                      <w14:alpha w14:val="100000"/>
                    </w14:srgbClr>
                  </w14:solidFill>
                </w14:textFill>
              </w:rPr>
              <w:t>|</w:t>
            </w:r>
            <w:r w:rsidR="00642DCA">
              <w:rPr>
                <w:sz w:val="19"/>
                <w:szCs w:val="19"/>
              </w:rPr>
              <w:t xml:space="preserve"> </w:t>
            </w:r>
            <w:r w:rsidR="00642DCA">
              <w:rPr>
                <w:sz w:val="19"/>
                <w:szCs w:val="19"/>
                <w:vertAlign w:val="superscript"/>
              </w:rPr>
              <w:t>9</w:t>
            </w:r>
          </w:p>
        </w:tc>
        <w:tc>
          <w:tcPr>
            <w:tcW w:w="610" w:type="pct"/>
            <w:gridSpan w:val="2"/>
            <w:shd w:val="clear" w:color="auto" w:fill="auto"/>
            <w:vAlign w:val="center"/>
          </w:tcPr>
          <w:p w14:paraId="4015B49C" w14:textId="2CA3F075" w:rsidR="00676D6B" w:rsidRPr="0019444B" w:rsidRDefault="00B75821" w:rsidP="00CA022C">
            <w:pPr>
              <w:pStyle w:val="TableText0"/>
              <w:keepLines/>
              <w:rPr>
                <w:sz w:val="19"/>
                <w:szCs w:val="19"/>
              </w:rPr>
            </w:pPr>
            <w:r w:rsidRPr="00B75821">
              <w:rPr>
                <w:color w:val="000000"/>
                <w:spacing w:val="50"/>
                <w:sz w:val="19"/>
                <w:szCs w:val="19"/>
                <w:shd w:val="solid" w:color="000000" w:fill="000000"/>
                <w:fitText w:val="312" w:id="-1171434993"/>
                <w14:textFill>
                  <w14:solidFill>
                    <w14:srgbClr w14:val="000000">
                      <w14:alpha w14:val="100000"/>
                    </w14:srgbClr>
                  </w14:solidFill>
                </w14:textFill>
              </w:rPr>
              <w:t>|||</w:t>
            </w:r>
            <w:r w:rsidRPr="00B75821">
              <w:rPr>
                <w:color w:val="000000"/>
                <w:spacing w:val="1"/>
                <w:sz w:val="19"/>
                <w:szCs w:val="19"/>
                <w:shd w:val="solid" w:color="000000" w:fill="000000"/>
                <w:fitText w:val="312" w:id="-1171434993"/>
                <w14:textFill>
                  <w14:solidFill>
                    <w14:srgbClr w14:val="000000">
                      <w14:alpha w14:val="100000"/>
                    </w14:srgbClr>
                  </w14:solidFill>
                </w14:textFill>
              </w:rPr>
              <w:t>|</w:t>
            </w:r>
            <w:r w:rsidR="00642DCA">
              <w:rPr>
                <w:sz w:val="19"/>
                <w:szCs w:val="19"/>
              </w:rPr>
              <w:t xml:space="preserve"> </w:t>
            </w:r>
            <w:r w:rsidR="00642DCA">
              <w:rPr>
                <w:sz w:val="19"/>
                <w:szCs w:val="19"/>
                <w:vertAlign w:val="superscript"/>
              </w:rPr>
              <w:t>10</w:t>
            </w:r>
          </w:p>
        </w:tc>
        <w:tc>
          <w:tcPr>
            <w:tcW w:w="610" w:type="pct"/>
            <w:gridSpan w:val="2"/>
            <w:shd w:val="clear" w:color="auto" w:fill="auto"/>
            <w:vAlign w:val="center"/>
          </w:tcPr>
          <w:p w14:paraId="1BBE9047" w14:textId="4290E5FC" w:rsidR="00676D6B" w:rsidRPr="0019444B" w:rsidRDefault="00B75821" w:rsidP="00CA022C">
            <w:pPr>
              <w:pStyle w:val="TableText0"/>
              <w:keepLines/>
              <w:rPr>
                <w:sz w:val="19"/>
                <w:szCs w:val="19"/>
              </w:rPr>
            </w:pPr>
            <w:r w:rsidRPr="00B75821">
              <w:rPr>
                <w:color w:val="000000"/>
                <w:spacing w:val="50"/>
                <w:sz w:val="19"/>
                <w:szCs w:val="19"/>
                <w:shd w:val="solid" w:color="000000" w:fill="000000"/>
                <w:fitText w:val="312" w:id="-1171434992"/>
                <w14:textFill>
                  <w14:solidFill>
                    <w14:srgbClr w14:val="000000">
                      <w14:alpha w14:val="100000"/>
                    </w14:srgbClr>
                  </w14:solidFill>
                </w14:textFill>
              </w:rPr>
              <w:t>|||</w:t>
            </w:r>
            <w:r w:rsidRPr="00B75821">
              <w:rPr>
                <w:color w:val="000000"/>
                <w:spacing w:val="1"/>
                <w:sz w:val="19"/>
                <w:szCs w:val="19"/>
                <w:shd w:val="solid" w:color="000000" w:fill="000000"/>
                <w:fitText w:val="312" w:id="-1171434992"/>
                <w14:textFill>
                  <w14:solidFill>
                    <w14:srgbClr w14:val="000000">
                      <w14:alpha w14:val="100000"/>
                    </w14:srgbClr>
                  </w14:solidFill>
                </w14:textFill>
              </w:rPr>
              <w:t>|</w:t>
            </w:r>
            <w:r w:rsidR="00642DCA">
              <w:rPr>
                <w:sz w:val="19"/>
                <w:szCs w:val="19"/>
              </w:rPr>
              <w:t xml:space="preserve"> </w:t>
            </w:r>
            <w:r w:rsidR="00642DCA">
              <w:rPr>
                <w:sz w:val="19"/>
                <w:szCs w:val="19"/>
                <w:vertAlign w:val="superscript"/>
              </w:rPr>
              <w:t>11</w:t>
            </w:r>
          </w:p>
        </w:tc>
        <w:tc>
          <w:tcPr>
            <w:tcW w:w="617" w:type="pct"/>
            <w:vAlign w:val="center"/>
          </w:tcPr>
          <w:p w14:paraId="78B1B1D5" w14:textId="76B037B0" w:rsidR="00676D6B" w:rsidRPr="0019444B" w:rsidRDefault="00B75821" w:rsidP="00CA022C">
            <w:pPr>
              <w:pStyle w:val="TableText0"/>
              <w:keepLines/>
              <w:rPr>
                <w:sz w:val="19"/>
                <w:szCs w:val="19"/>
              </w:rPr>
            </w:pPr>
            <w:r w:rsidRPr="00B75821">
              <w:rPr>
                <w:color w:val="000000"/>
                <w:spacing w:val="50"/>
                <w:sz w:val="19"/>
                <w:szCs w:val="19"/>
                <w:shd w:val="solid" w:color="000000" w:fill="000000"/>
                <w:fitText w:val="312" w:id="-1171435008"/>
                <w14:textFill>
                  <w14:solidFill>
                    <w14:srgbClr w14:val="000000">
                      <w14:alpha w14:val="100000"/>
                    </w14:srgbClr>
                  </w14:solidFill>
                </w14:textFill>
              </w:rPr>
              <w:t>|||</w:t>
            </w:r>
            <w:r w:rsidRPr="00B75821">
              <w:rPr>
                <w:color w:val="000000"/>
                <w:spacing w:val="1"/>
                <w:sz w:val="19"/>
                <w:szCs w:val="19"/>
                <w:shd w:val="solid" w:color="000000" w:fill="000000"/>
                <w:fitText w:val="312" w:id="-1171435008"/>
                <w14:textFill>
                  <w14:solidFill>
                    <w14:srgbClr w14:val="000000">
                      <w14:alpha w14:val="100000"/>
                    </w14:srgbClr>
                  </w14:solidFill>
                </w14:textFill>
              </w:rPr>
              <w:t>|</w:t>
            </w:r>
            <w:r w:rsidR="00642DCA">
              <w:rPr>
                <w:sz w:val="19"/>
                <w:szCs w:val="19"/>
              </w:rPr>
              <w:t xml:space="preserve"> </w:t>
            </w:r>
            <w:r w:rsidR="00642DCA">
              <w:rPr>
                <w:sz w:val="19"/>
                <w:szCs w:val="19"/>
                <w:vertAlign w:val="superscript"/>
              </w:rPr>
              <w:t>12</w:t>
            </w:r>
          </w:p>
        </w:tc>
      </w:tr>
      <w:tr w:rsidR="00676D6B" w:rsidRPr="0019444B" w14:paraId="3B33AF16" w14:textId="77777777" w:rsidTr="009B2A95">
        <w:tc>
          <w:tcPr>
            <w:tcW w:w="1332" w:type="pct"/>
            <w:gridSpan w:val="2"/>
            <w:shd w:val="clear" w:color="auto" w:fill="auto"/>
            <w:vAlign w:val="center"/>
          </w:tcPr>
          <w:p w14:paraId="38593A38" w14:textId="59CB9889" w:rsidR="00676D6B" w:rsidRPr="0019444B" w:rsidRDefault="00676D6B" w:rsidP="00CA022C">
            <w:pPr>
              <w:pStyle w:val="TableText0"/>
              <w:keepLines/>
              <w:rPr>
                <w:sz w:val="19"/>
                <w:szCs w:val="19"/>
              </w:rPr>
            </w:pPr>
            <w:r w:rsidRPr="0019444B">
              <w:rPr>
                <w:sz w:val="19"/>
                <w:szCs w:val="19"/>
              </w:rPr>
              <w:t>OBIN cost to PBS/RPBS less copayments</w:t>
            </w:r>
            <w:r w:rsidR="00CA022C">
              <w:rPr>
                <w:sz w:val="19"/>
                <w:szCs w:val="19"/>
              </w:rPr>
              <w:t xml:space="preserve"> ($)</w:t>
            </w:r>
          </w:p>
        </w:tc>
        <w:tc>
          <w:tcPr>
            <w:tcW w:w="627" w:type="pct"/>
            <w:gridSpan w:val="2"/>
            <w:shd w:val="clear" w:color="auto" w:fill="auto"/>
            <w:vAlign w:val="center"/>
          </w:tcPr>
          <w:p w14:paraId="521B39DA" w14:textId="0EC76B10" w:rsidR="00676D6B" w:rsidRPr="0019444B" w:rsidRDefault="00B75821" w:rsidP="00CA022C">
            <w:pPr>
              <w:pStyle w:val="TableText0"/>
              <w:keepLines/>
              <w:rPr>
                <w:sz w:val="19"/>
                <w:szCs w:val="19"/>
              </w:rPr>
            </w:pPr>
            <w:r w:rsidRPr="00B75821">
              <w:rPr>
                <w:color w:val="000000"/>
                <w:spacing w:val="50"/>
                <w:sz w:val="19"/>
                <w:szCs w:val="19"/>
                <w:shd w:val="solid" w:color="000000" w:fill="000000"/>
                <w:fitText w:val="312" w:id="-1171435007"/>
                <w14:textFill>
                  <w14:solidFill>
                    <w14:srgbClr w14:val="000000">
                      <w14:alpha w14:val="100000"/>
                    </w14:srgbClr>
                  </w14:solidFill>
                </w14:textFill>
              </w:rPr>
              <w:t>|||</w:t>
            </w:r>
            <w:r w:rsidRPr="00B75821">
              <w:rPr>
                <w:color w:val="000000"/>
                <w:spacing w:val="1"/>
                <w:sz w:val="19"/>
                <w:szCs w:val="19"/>
                <w:shd w:val="solid" w:color="000000" w:fill="000000"/>
                <w:fitText w:val="312" w:id="-1171435007"/>
                <w14:textFill>
                  <w14:solidFill>
                    <w14:srgbClr w14:val="000000">
                      <w14:alpha w14:val="100000"/>
                    </w14:srgbClr>
                  </w14:solidFill>
                </w14:textFill>
              </w:rPr>
              <w:t>|</w:t>
            </w:r>
            <w:r w:rsidR="00642DCA">
              <w:rPr>
                <w:sz w:val="19"/>
                <w:szCs w:val="19"/>
              </w:rPr>
              <w:t xml:space="preserve"> </w:t>
            </w:r>
            <w:r w:rsidR="00642DCA">
              <w:rPr>
                <w:sz w:val="19"/>
                <w:szCs w:val="19"/>
                <w:vertAlign w:val="superscript"/>
              </w:rPr>
              <w:t>13</w:t>
            </w:r>
          </w:p>
        </w:tc>
        <w:tc>
          <w:tcPr>
            <w:tcW w:w="594" w:type="pct"/>
            <w:gridSpan w:val="2"/>
            <w:shd w:val="clear" w:color="auto" w:fill="auto"/>
            <w:vAlign w:val="center"/>
          </w:tcPr>
          <w:p w14:paraId="79875348" w14:textId="66EFBA62" w:rsidR="00676D6B" w:rsidRPr="00CA022C" w:rsidRDefault="00B75821" w:rsidP="00CA022C">
            <w:pPr>
              <w:pStyle w:val="TableText0"/>
              <w:keepLines/>
              <w:rPr>
                <w:sz w:val="19"/>
                <w:szCs w:val="19"/>
                <w:highlight w:val="darkGray"/>
              </w:rPr>
            </w:pPr>
            <w:r w:rsidRPr="00B75821">
              <w:rPr>
                <w:color w:val="000000"/>
                <w:spacing w:val="49"/>
                <w:sz w:val="19"/>
                <w:szCs w:val="19"/>
                <w:shd w:val="solid" w:color="000000" w:fill="000000"/>
                <w:fitText w:val="311" w:id="-1171435006"/>
                <w14:textFill>
                  <w14:solidFill>
                    <w14:srgbClr w14:val="000000">
                      <w14:alpha w14:val="100000"/>
                    </w14:srgbClr>
                  </w14:solidFill>
                </w14:textFill>
              </w:rPr>
              <w:t>|||</w:t>
            </w:r>
            <w:r w:rsidRPr="00B75821">
              <w:rPr>
                <w:color w:val="000000"/>
                <w:spacing w:val="3"/>
                <w:sz w:val="19"/>
                <w:szCs w:val="19"/>
                <w:shd w:val="solid" w:color="000000" w:fill="000000"/>
                <w:fitText w:val="311" w:id="-1171435006"/>
                <w14:textFill>
                  <w14:solidFill>
                    <w14:srgbClr w14:val="000000">
                      <w14:alpha w14:val="100000"/>
                    </w14:srgbClr>
                  </w14:solidFill>
                </w14:textFill>
              </w:rPr>
              <w:t>|</w:t>
            </w:r>
            <w:r w:rsidR="00642DCA" w:rsidRPr="00B93CA4">
              <w:rPr>
                <w:sz w:val="19"/>
                <w:szCs w:val="19"/>
              </w:rPr>
              <w:t xml:space="preserve"> </w:t>
            </w:r>
            <w:r w:rsidR="00642DCA" w:rsidRPr="00B93CA4">
              <w:rPr>
                <w:sz w:val="19"/>
                <w:szCs w:val="19"/>
                <w:vertAlign w:val="superscript"/>
              </w:rPr>
              <w:t>13</w:t>
            </w:r>
          </w:p>
        </w:tc>
        <w:tc>
          <w:tcPr>
            <w:tcW w:w="610" w:type="pct"/>
            <w:gridSpan w:val="2"/>
            <w:shd w:val="clear" w:color="auto" w:fill="auto"/>
            <w:vAlign w:val="center"/>
          </w:tcPr>
          <w:p w14:paraId="5792F15C" w14:textId="68355239" w:rsidR="00676D6B" w:rsidRPr="0019444B" w:rsidRDefault="00B75821" w:rsidP="00CA022C">
            <w:pPr>
              <w:pStyle w:val="TableText0"/>
              <w:keepLines/>
              <w:rPr>
                <w:sz w:val="19"/>
                <w:szCs w:val="19"/>
              </w:rPr>
            </w:pPr>
            <w:r w:rsidRPr="00B75821">
              <w:rPr>
                <w:color w:val="000000"/>
                <w:spacing w:val="50"/>
                <w:sz w:val="19"/>
                <w:szCs w:val="19"/>
                <w:shd w:val="solid" w:color="000000" w:fill="000000"/>
                <w:fitText w:val="312" w:id="-1171435005"/>
                <w14:textFill>
                  <w14:solidFill>
                    <w14:srgbClr w14:val="000000">
                      <w14:alpha w14:val="100000"/>
                    </w14:srgbClr>
                  </w14:solidFill>
                </w14:textFill>
              </w:rPr>
              <w:t>|||</w:t>
            </w:r>
            <w:r w:rsidRPr="00B75821">
              <w:rPr>
                <w:color w:val="000000"/>
                <w:spacing w:val="1"/>
                <w:sz w:val="19"/>
                <w:szCs w:val="19"/>
                <w:shd w:val="solid" w:color="000000" w:fill="000000"/>
                <w:fitText w:val="312" w:id="-1171435005"/>
                <w14:textFill>
                  <w14:solidFill>
                    <w14:srgbClr w14:val="000000">
                      <w14:alpha w14:val="100000"/>
                    </w14:srgbClr>
                  </w14:solidFill>
                </w14:textFill>
              </w:rPr>
              <w:t>|</w:t>
            </w:r>
            <w:r w:rsidR="00642DCA">
              <w:rPr>
                <w:sz w:val="19"/>
                <w:szCs w:val="19"/>
              </w:rPr>
              <w:t xml:space="preserve"> </w:t>
            </w:r>
            <w:r w:rsidR="00642DCA">
              <w:rPr>
                <w:sz w:val="19"/>
                <w:szCs w:val="19"/>
                <w:vertAlign w:val="superscript"/>
              </w:rPr>
              <w:t>13</w:t>
            </w:r>
          </w:p>
        </w:tc>
        <w:tc>
          <w:tcPr>
            <w:tcW w:w="610" w:type="pct"/>
            <w:gridSpan w:val="2"/>
            <w:shd w:val="clear" w:color="auto" w:fill="auto"/>
            <w:vAlign w:val="center"/>
          </w:tcPr>
          <w:p w14:paraId="3B42282B" w14:textId="12791921" w:rsidR="00676D6B" w:rsidRPr="0019444B" w:rsidRDefault="00B75821" w:rsidP="00CA022C">
            <w:pPr>
              <w:pStyle w:val="TableText0"/>
              <w:keepLines/>
              <w:rPr>
                <w:sz w:val="19"/>
                <w:szCs w:val="19"/>
              </w:rPr>
            </w:pPr>
            <w:r w:rsidRPr="00B75821">
              <w:rPr>
                <w:color w:val="000000"/>
                <w:spacing w:val="50"/>
                <w:sz w:val="19"/>
                <w:szCs w:val="19"/>
                <w:shd w:val="solid" w:color="000000" w:fill="000000"/>
                <w:fitText w:val="312" w:id="-1171435004"/>
                <w14:textFill>
                  <w14:solidFill>
                    <w14:srgbClr w14:val="000000">
                      <w14:alpha w14:val="100000"/>
                    </w14:srgbClr>
                  </w14:solidFill>
                </w14:textFill>
              </w:rPr>
              <w:t>|||</w:t>
            </w:r>
            <w:r w:rsidRPr="00B75821">
              <w:rPr>
                <w:color w:val="000000"/>
                <w:spacing w:val="1"/>
                <w:sz w:val="19"/>
                <w:szCs w:val="19"/>
                <w:shd w:val="solid" w:color="000000" w:fill="000000"/>
                <w:fitText w:val="312" w:id="-1171435004"/>
                <w14:textFill>
                  <w14:solidFill>
                    <w14:srgbClr w14:val="000000">
                      <w14:alpha w14:val="100000"/>
                    </w14:srgbClr>
                  </w14:solidFill>
                </w14:textFill>
              </w:rPr>
              <w:t>|</w:t>
            </w:r>
            <w:r w:rsidR="00642DCA">
              <w:rPr>
                <w:sz w:val="19"/>
                <w:szCs w:val="19"/>
              </w:rPr>
              <w:t xml:space="preserve"> </w:t>
            </w:r>
            <w:r w:rsidR="00642DCA">
              <w:rPr>
                <w:sz w:val="19"/>
                <w:szCs w:val="19"/>
                <w:vertAlign w:val="superscript"/>
              </w:rPr>
              <w:t>13</w:t>
            </w:r>
          </w:p>
        </w:tc>
        <w:tc>
          <w:tcPr>
            <w:tcW w:w="610" w:type="pct"/>
            <w:gridSpan w:val="2"/>
            <w:shd w:val="clear" w:color="auto" w:fill="auto"/>
            <w:vAlign w:val="center"/>
          </w:tcPr>
          <w:p w14:paraId="740BD9FA" w14:textId="6E108210" w:rsidR="00676D6B" w:rsidRPr="0019444B" w:rsidRDefault="00B75821" w:rsidP="00CA022C">
            <w:pPr>
              <w:pStyle w:val="TableText0"/>
              <w:keepLines/>
              <w:rPr>
                <w:sz w:val="19"/>
                <w:szCs w:val="19"/>
              </w:rPr>
            </w:pPr>
            <w:r w:rsidRPr="00B75821">
              <w:rPr>
                <w:color w:val="000000"/>
                <w:spacing w:val="50"/>
                <w:sz w:val="19"/>
                <w:szCs w:val="19"/>
                <w:shd w:val="solid" w:color="000000" w:fill="000000"/>
                <w:fitText w:val="312" w:id="-1171435003"/>
                <w14:textFill>
                  <w14:solidFill>
                    <w14:srgbClr w14:val="000000">
                      <w14:alpha w14:val="100000"/>
                    </w14:srgbClr>
                  </w14:solidFill>
                </w14:textFill>
              </w:rPr>
              <w:t>|||</w:t>
            </w:r>
            <w:r w:rsidRPr="00B75821">
              <w:rPr>
                <w:color w:val="000000"/>
                <w:spacing w:val="1"/>
                <w:sz w:val="19"/>
                <w:szCs w:val="19"/>
                <w:shd w:val="solid" w:color="000000" w:fill="000000"/>
                <w:fitText w:val="312" w:id="-1171435003"/>
                <w14:textFill>
                  <w14:solidFill>
                    <w14:srgbClr w14:val="000000">
                      <w14:alpha w14:val="100000"/>
                    </w14:srgbClr>
                  </w14:solidFill>
                </w14:textFill>
              </w:rPr>
              <w:t>|</w:t>
            </w:r>
            <w:r w:rsidR="00642DCA">
              <w:rPr>
                <w:sz w:val="19"/>
                <w:szCs w:val="19"/>
              </w:rPr>
              <w:t xml:space="preserve"> </w:t>
            </w:r>
            <w:r w:rsidR="00642DCA">
              <w:rPr>
                <w:sz w:val="19"/>
                <w:szCs w:val="19"/>
                <w:vertAlign w:val="superscript"/>
              </w:rPr>
              <w:t>13</w:t>
            </w:r>
          </w:p>
        </w:tc>
        <w:tc>
          <w:tcPr>
            <w:tcW w:w="617" w:type="pct"/>
            <w:vAlign w:val="center"/>
          </w:tcPr>
          <w:p w14:paraId="05B63C4B" w14:textId="62B7174C" w:rsidR="00676D6B" w:rsidRPr="0019444B" w:rsidRDefault="00B75821" w:rsidP="00CA022C">
            <w:pPr>
              <w:pStyle w:val="TableText0"/>
              <w:keepLines/>
              <w:rPr>
                <w:sz w:val="19"/>
                <w:szCs w:val="19"/>
              </w:rPr>
            </w:pPr>
            <w:r w:rsidRPr="00B75821">
              <w:rPr>
                <w:color w:val="000000"/>
                <w:spacing w:val="50"/>
                <w:sz w:val="19"/>
                <w:szCs w:val="19"/>
                <w:shd w:val="solid" w:color="000000" w:fill="000000"/>
                <w:fitText w:val="312" w:id="-1171435002"/>
                <w14:textFill>
                  <w14:solidFill>
                    <w14:srgbClr w14:val="000000">
                      <w14:alpha w14:val="100000"/>
                    </w14:srgbClr>
                  </w14:solidFill>
                </w14:textFill>
              </w:rPr>
              <w:t>|||</w:t>
            </w:r>
            <w:r w:rsidRPr="00B75821">
              <w:rPr>
                <w:color w:val="000000"/>
                <w:spacing w:val="1"/>
                <w:sz w:val="19"/>
                <w:szCs w:val="19"/>
                <w:shd w:val="solid" w:color="000000" w:fill="000000"/>
                <w:fitText w:val="312" w:id="-1171435002"/>
                <w14:textFill>
                  <w14:solidFill>
                    <w14:srgbClr w14:val="000000">
                      <w14:alpha w14:val="100000"/>
                    </w14:srgbClr>
                  </w14:solidFill>
                </w14:textFill>
              </w:rPr>
              <w:t>|</w:t>
            </w:r>
            <w:r w:rsidR="00642DCA">
              <w:rPr>
                <w:sz w:val="19"/>
                <w:szCs w:val="19"/>
              </w:rPr>
              <w:t xml:space="preserve"> </w:t>
            </w:r>
            <w:r w:rsidR="00642DCA">
              <w:rPr>
                <w:sz w:val="19"/>
                <w:szCs w:val="19"/>
                <w:vertAlign w:val="superscript"/>
              </w:rPr>
              <w:t>13</w:t>
            </w:r>
          </w:p>
        </w:tc>
      </w:tr>
      <w:tr w:rsidR="00676D6B" w:rsidRPr="0019444B" w14:paraId="46E75CE0" w14:textId="77777777" w:rsidTr="009B2A95">
        <w:tc>
          <w:tcPr>
            <w:tcW w:w="1332" w:type="pct"/>
            <w:gridSpan w:val="2"/>
            <w:shd w:val="clear" w:color="auto" w:fill="auto"/>
            <w:vAlign w:val="center"/>
          </w:tcPr>
          <w:p w14:paraId="6CF867C5" w14:textId="46540DB6" w:rsidR="00676D6B" w:rsidRPr="0019444B" w:rsidRDefault="00676D6B" w:rsidP="00CA022C">
            <w:pPr>
              <w:pStyle w:val="TableText0"/>
              <w:keepLines/>
              <w:rPr>
                <w:sz w:val="19"/>
                <w:szCs w:val="19"/>
              </w:rPr>
            </w:pPr>
            <w:r w:rsidRPr="0019444B">
              <w:rPr>
                <w:sz w:val="19"/>
                <w:szCs w:val="19"/>
              </w:rPr>
              <w:t xml:space="preserve">Total cost to PBS/RPBS less copayments </w:t>
            </w:r>
            <w:r w:rsidR="00CA022C">
              <w:rPr>
                <w:sz w:val="19"/>
                <w:szCs w:val="19"/>
              </w:rPr>
              <w:t>($)</w:t>
            </w:r>
          </w:p>
        </w:tc>
        <w:tc>
          <w:tcPr>
            <w:tcW w:w="627" w:type="pct"/>
            <w:gridSpan w:val="2"/>
            <w:shd w:val="clear" w:color="auto" w:fill="auto"/>
            <w:vAlign w:val="center"/>
          </w:tcPr>
          <w:p w14:paraId="10B1F172" w14:textId="2B3CEA64" w:rsidR="00676D6B" w:rsidRPr="0019444B" w:rsidRDefault="00B75821" w:rsidP="00CA022C">
            <w:pPr>
              <w:pStyle w:val="TableText0"/>
              <w:keepLines/>
            </w:pPr>
            <w:r w:rsidRPr="00B75821">
              <w:rPr>
                <w:color w:val="000000"/>
                <w:spacing w:val="50"/>
                <w:sz w:val="19"/>
                <w:szCs w:val="19"/>
                <w:shd w:val="solid" w:color="000000" w:fill="000000"/>
                <w:fitText w:val="312" w:id="-1171435001"/>
                <w14:textFill>
                  <w14:solidFill>
                    <w14:srgbClr w14:val="000000">
                      <w14:alpha w14:val="100000"/>
                    </w14:srgbClr>
                  </w14:solidFill>
                </w14:textFill>
              </w:rPr>
              <w:t>|||</w:t>
            </w:r>
            <w:r w:rsidRPr="00B75821">
              <w:rPr>
                <w:color w:val="000000"/>
                <w:spacing w:val="1"/>
                <w:sz w:val="19"/>
                <w:szCs w:val="19"/>
                <w:shd w:val="solid" w:color="000000" w:fill="000000"/>
                <w:fitText w:val="312" w:id="-1171435001"/>
                <w14:textFill>
                  <w14:solidFill>
                    <w14:srgbClr w14:val="000000">
                      <w14:alpha w14:val="100000"/>
                    </w14:srgbClr>
                  </w14:solidFill>
                </w14:textFill>
              </w:rPr>
              <w:t>|</w:t>
            </w:r>
            <w:r w:rsidR="00642DCA">
              <w:rPr>
                <w:sz w:val="19"/>
                <w:szCs w:val="19"/>
              </w:rPr>
              <w:t xml:space="preserve"> </w:t>
            </w:r>
            <w:r w:rsidR="00642DCA">
              <w:rPr>
                <w:sz w:val="19"/>
                <w:szCs w:val="19"/>
                <w:vertAlign w:val="superscript"/>
              </w:rPr>
              <w:t>7</w:t>
            </w:r>
          </w:p>
        </w:tc>
        <w:tc>
          <w:tcPr>
            <w:tcW w:w="594" w:type="pct"/>
            <w:gridSpan w:val="2"/>
            <w:shd w:val="clear" w:color="auto" w:fill="auto"/>
            <w:vAlign w:val="center"/>
          </w:tcPr>
          <w:p w14:paraId="15886614" w14:textId="604B3D19" w:rsidR="00676D6B" w:rsidRPr="0019444B" w:rsidRDefault="00B75821" w:rsidP="00CA022C">
            <w:pPr>
              <w:pStyle w:val="TableText0"/>
              <w:keepLines/>
            </w:pPr>
            <w:r w:rsidRPr="00B75821">
              <w:rPr>
                <w:color w:val="000000"/>
                <w:spacing w:val="49"/>
                <w:sz w:val="19"/>
                <w:szCs w:val="19"/>
                <w:shd w:val="solid" w:color="000000" w:fill="000000"/>
                <w:fitText w:val="311" w:id="-1171435000"/>
                <w14:textFill>
                  <w14:solidFill>
                    <w14:srgbClr w14:val="000000">
                      <w14:alpha w14:val="100000"/>
                    </w14:srgbClr>
                  </w14:solidFill>
                </w14:textFill>
              </w:rPr>
              <w:t>|||</w:t>
            </w:r>
            <w:r w:rsidRPr="00B75821">
              <w:rPr>
                <w:color w:val="000000"/>
                <w:spacing w:val="3"/>
                <w:sz w:val="19"/>
                <w:szCs w:val="19"/>
                <w:shd w:val="solid" w:color="000000" w:fill="000000"/>
                <w:fitText w:val="311" w:id="-1171435000"/>
                <w14:textFill>
                  <w14:solidFill>
                    <w14:srgbClr w14:val="000000">
                      <w14:alpha w14:val="100000"/>
                    </w14:srgbClr>
                  </w14:solidFill>
                </w14:textFill>
              </w:rPr>
              <w:t>|</w:t>
            </w:r>
            <w:r w:rsidR="00642DCA">
              <w:rPr>
                <w:sz w:val="19"/>
                <w:szCs w:val="19"/>
              </w:rPr>
              <w:t xml:space="preserve"> </w:t>
            </w:r>
            <w:r w:rsidR="00642DCA">
              <w:rPr>
                <w:sz w:val="19"/>
                <w:szCs w:val="19"/>
                <w:vertAlign w:val="superscript"/>
              </w:rPr>
              <w:t>8</w:t>
            </w:r>
          </w:p>
        </w:tc>
        <w:tc>
          <w:tcPr>
            <w:tcW w:w="610" w:type="pct"/>
            <w:gridSpan w:val="2"/>
            <w:shd w:val="clear" w:color="auto" w:fill="auto"/>
            <w:vAlign w:val="center"/>
          </w:tcPr>
          <w:p w14:paraId="2CC0C191" w14:textId="04FA08C5" w:rsidR="00676D6B" w:rsidRPr="0019444B" w:rsidRDefault="00B75821" w:rsidP="00CA022C">
            <w:pPr>
              <w:pStyle w:val="TableText0"/>
              <w:keepLines/>
            </w:pPr>
            <w:r w:rsidRPr="00B75821">
              <w:rPr>
                <w:color w:val="000000"/>
                <w:spacing w:val="50"/>
                <w:sz w:val="19"/>
                <w:szCs w:val="19"/>
                <w:shd w:val="solid" w:color="000000" w:fill="000000"/>
                <w:fitText w:val="312" w:id="-1171434999"/>
                <w14:textFill>
                  <w14:solidFill>
                    <w14:srgbClr w14:val="000000">
                      <w14:alpha w14:val="100000"/>
                    </w14:srgbClr>
                  </w14:solidFill>
                </w14:textFill>
              </w:rPr>
              <w:t>|||</w:t>
            </w:r>
            <w:r w:rsidRPr="00B75821">
              <w:rPr>
                <w:color w:val="000000"/>
                <w:spacing w:val="1"/>
                <w:sz w:val="19"/>
                <w:szCs w:val="19"/>
                <w:shd w:val="solid" w:color="000000" w:fill="000000"/>
                <w:fitText w:val="312" w:id="-1171434999"/>
                <w14:textFill>
                  <w14:solidFill>
                    <w14:srgbClr w14:val="000000">
                      <w14:alpha w14:val="100000"/>
                    </w14:srgbClr>
                  </w14:solidFill>
                </w14:textFill>
              </w:rPr>
              <w:t>|</w:t>
            </w:r>
            <w:r w:rsidR="00642DCA">
              <w:rPr>
                <w:sz w:val="19"/>
                <w:szCs w:val="19"/>
              </w:rPr>
              <w:t xml:space="preserve"> </w:t>
            </w:r>
            <w:r w:rsidR="00642DCA">
              <w:rPr>
                <w:sz w:val="19"/>
                <w:szCs w:val="19"/>
                <w:vertAlign w:val="superscript"/>
              </w:rPr>
              <w:t>9</w:t>
            </w:r>
          </w:p>
        </w:tc>
        <w:tc>
          <w:tcPr>
            <w:tcW w:w="610" w:type="pct"/>
            <w:gridSpan w:val="2"/>
            <w:shd w:val="clear" w:color="auto" w:fill="auto"/>
            <w:vAlign w:val="center"/>
          </w:tcPr>
          <w:p w14:paraId="79CEA945" w14:textId="0C4BC2BC" w:rsidR="00676D6B" w:rsidRPr="0019444B" w:rsidRDefault="00B75821" w:rsidP="00CA022C">
            <w:pPr>
              <w:pStyle w:val="TableText0"/>
              <w:keepLines/>
            </w:pPr>
            <w:r w:rsidRPr="00B75821">
              <w:rPr>
                <w:color w:val="000000"/>
                <w:spacing w:val="50"/>
                <w:sz w:val="19"/>
                <w:szCs w:val="19"/>
                <w:shd w:val="solid" w:color="000000" w:fill="000000"/>
                <w:fitText w:val="312" w:id="-1171434998"/>
                <w14:textFill>
                  <w14:solidFill>
                    <w14:srgbClr w14:val="000000">
                      <w14:alpha w14:val="100000"/>
                    </w14:srgbClr>
                  </w14:solidFill>
                </w14:textFill>
              </w:rPr>
              <w:t>|||</w:t>
            </w:r>
            <w:r w:rsidRPr="00B75821">
              <w:rPr>
                <w:color w:val="000000"/>
                <w:spacing w:val="1"/>
                <w:sz w:val="19"/>
                <w:szCs w:val="19"/>
                <w:shd w:val="solid" w:color="000000" w:fill="000000"/>
                <w:fitText w:val="312" w:id="-1171434998"/>
                <w14:textFill>
                  <w14:solidFill>
                    <w14:srgbClr w14:val="000000">
                      <w14:alpha w14:val="100000"/>
                    </w14:srgbClr>
                  </w14:solidFill>
                </w14:textFill>
              </w:rPr>
              <w:t>|</w:t>
            </w:r>
            <w:r w:rsidR="00642DCA">
              <w:rPr>
                <w:sz w:val="19"/>
                <w:szCs w:val="19"/>
              </w:rPr>
              <w:t xml:space="preserve"> </w:t>
            </w:r>
            <w:r w:rsidR="00642DCA">
              <w:rPr>
                <w:sz w:val="19"/>
                <w:szCs w:val="19"/>
                <w:vertAlign w:val="superscript"/>
              </w:rPr>
              <w:t>10</w:t>
            </w:r>
          </w:p>
        </w:tc>
        <w:tc>
          <w:tcPr>
            <w:tcW w:w="610" w:type="pct"/>
            <w:gridSpan w:val="2"/>
            <w:shd w:val="clear" w:color="auto" w:fill="auto"/>
            <w:vAlign w:val="center"/>
          </w:tcPr>
          <w:p w14:paraId="0840B4DB" w14:textId="066AED1B" w:rsidR="00676D6B" w:rsidRPr="0019444B" w:rsidRDefault="00B75821" w:rsidP="00CA022C">
            <w:pPr>
              <w:pStyle w:val="TableText0"/>
              <w:keepLines/>
            </w:pPr>
            <w:r w:rsidRPr="00B75821">
              <w:rPr>
                <w:color w:val="000000"/>
                <w:spacing w:val="50"/>
                <w:sz w:val="19"/>
                <w:szCs w:val="19"/>
                <w:shd w:val="solid" w:color="000000" w:fill="000000"/>
                <w:fitText w:val="312" w:id="-1171434997"/>
                <w14:textFill>
                  <w14:solidFill>
                    <w14:srgbClr w14:val="000000">
                      <w14:alpha w14:val="100000"/>
                    </w14:srgbClr>
                  </w14:solidFill>
                </w14:textFill>
              </w:rPr>
              <w:t>|||</w:t>
            </w:r>
            <w:r w:rsidRPr="00B75821">
              <w:rPr>
                <w:color w:val="000000"/>
                <w:spacing w:val="1"/>
                <w:sz w:val="19"/>
                <w:szCs w:val="19"/>
                <w:shd w:val="solid" w:color="000000" w:fill="000000"/>
                <w:fitText w:val="312" w:id="-1171434997"/>
                <w14:textFill>
                  <w14:solidFill>
                    <w14:srgbClr w14:val="000000">
                      <w14:alpha w14:val="100000"/>
                    </w14:srgbClr>
                  </w14:solidFill>
                </w14:textFill>
              </w:rPr>
              <w:t>|</w:t>
            </w:r>
            <w:r w:rsidR="00642DCA">
              <w:rPr>
                <w:sz w:val="19"/>
                <w:szCs w:val="19"/>
              </w:rPr>
              <w:t xml:space="preserve"> </w:t>
            </w:r>
            <w:r w:rsidR="00642DCA">
              <w:rPr>
                <w:sz w:val="19"/>
                <w:szCs w:val="19"/>
                <w:vertAlign w:val="superscript"/>
              </w:rPr>
              <w:t>11</w:t>
            </w:r>
          </w:p>
        </w:tc>
        <w:tc>
          <w:tcPr>
            <w:tcW w:w="617" w:type="pct"/>
            <w:vAlign w:val="center"/>
          </w:tcPr>
          <w:p w14:paraId="3566E18B" w14:textId="5FD5BB7F" w:rsidR="00676D6B" w:rsidRPr="0019444B" w:rsidRDefault="00B75821" w:rsidP="00CA022C">
            <w:pPr>
              <w:pStyle w:val="TableText0"/>
              <w:keepLines/>
            </w:pPr>
            <w:r w:rsidRPr="00B75821">
              <w:rPr>
                <w:color w:val="000000"/>
                <w:spacing w:val="50"/>
                <w:sz w:val="19"/>
                <w:szCs w:val="19"/>
                <w:shd w:val="solid" w:color="000000" w:fill="000000"/>
                <w:fitText w:val="312" w:id="-1171434996"/>
                <w14:textFill>
                  <w14:solidFill>
                    <w14:srgbClr w14:val="000000">
                      <w14:alpha w14:val="100000"/>
                    </w14:srgbClr>
                  </w14:solidFill>
                </w14:textFill>
              </w:rPr>
              <w:t>|||</w:t>
            </w:r>
            <w:r w:rsidRPr="00B75821">
              <w:rPr>
                <w:color w:val="000000"/>
                <w:spacing w:val="1"/>
                <w:sz w:val="19"/>
                <w:szCs w:val="19"/>
                <w:shd w:val="solid" w:color="000000" w:fill="000000"/>
                <w:fitText w:val="312" w:id="-1171434996"/>
                <w14:textFill>
                  <w14:solidFill>
                    <w14:srgbClr w14:val="000000">
                      <w14:alpha w14:val="100000"/>
                    </w14:srgbClr>
                  </w14:solidFill>
                </w14:textFill>
              </w:rPr>
              <w:t>|</w:t>
            </w:r>
            <w:r w:rsidR="00642DCA">
              <w:rPr>
                <w:sz w:val="19"/>
                <w:szCs w:val="19"/>
              </w:rPr>
              <w:t xml:space="preserve"> </w:t>
            </w:r>
            <w:r w:rsidR="00642DCA">
              <w:rPr>
                <w:sz w:val="19"/>
                <w:szCs w:val="19"/>
                <w:vertAlign w:val="superscript"/>
              </w:rPr>
              <w:t>12</w:t>
            </w:r>
          </w:p>
        </w:tc>
      </w:tr>
      <w:tr w:rsidR="00676D6B" w:rsidRPr="0019444B" w14:paraId="7BDA7C7F" w14:textId="77777777" w:rsidTr="009B2A95">
        <w:tc>
          <w:tcPr>
            <w:tcW w:w="5000" w:type="pct"/>
            <w:gridSpan w:val="13"/>
            <w:shd w:val="clear" w:color="auto" w:fill="auto"/>
            <w:vAlign w:val="center"/>
          </w:tcPr>
          <w:p w14:paraId="34E2CCE0" w14:textId="49805863" w:rsidR="00676D6B" w:rsidRPr="0019444B" w:rsidRDefault="00676D6B" w:rsidP="00CA022C">
            <w:pPr>
              <w:pStyle w:val="TableText0"/>
              <w:keepLines/>
              <w:rPr>
                <w:b/>
                <w:bCs w:val="0"/>
              </w:rPr>
            </w:pPr>
            <w:r w:rsidRPr="0019444B">
              <w:rPr>
                <w:b/>
                <w:bCs w:val="0"/>
              </w:rPr>
              <w:t>Estimated financial implications</w:t>
            </w:r>
            <w:r w:rsidR="001D20AB" w:rsidRPr="0019444B">
              <w:rPr>
                <w:b/>
                <w:bCs w:val="0"/>
              </w:rPr>
              <w:t xml:space="preserve"> (saving)</w:t>
            </w:r>
            <w:r w:rsidRPr="0019444B">
              <w:rPr>
                <w:b/>
                <w:bCs w:val="0"/>
              </w:rPr>
              <w:t xml:space="preserve"> for VTX+OBIN</w:t>
            </w:r>
          </w:p>
        </w:tc>
      </w:tr>
      <w:tr w:rsidR="00BE0846" w:rsidRPr="0019444B" w14:paraId="244EC0FF" w14:textId="77777777" w:rsidTr="009B2A95">
        <w:tc>
          <w:tcPr>
            <w:tcW w:w="1332" w:type="pct"/>
            <w:gridSpan w:val="2"/>
            <w:shd w:val="clear" w:color="auto" w:fill="auto"/>
            <w:vAlign w:val="center"/>
          </w:tcPr>
          <w:p w14:paraId="22B9D226" w14:textId="35FE0908" w:rsidR="00BE0846" w:rsidRPr="0019444B" w:rsidRDefault="00BE0846" w:rsidP="00CA022C">
            <w:pPr>
              <w:pStyle w:val="TableText0"/>
              <w:keepLines/>
              <w:rPr>
                <w:sz w:val="19"/>
                <w:szCs w:val="19"/>
              </w:rPr>
            </w:pPr>
            <w:r w:rsidRPr="0019444B">
              <w:rPr>
                <w:sz w:val="19"/>
                <w:szCs w:val="19"/>
              </w:rPr>
              <w:t xml:space="preserve">VTX </w:t>
            </w:r>
            <w:r w:rsidR="001D20AB" w:rsidRPr="0019444B">
              <w:rPr>
                <w:sz w:val="19"/>
                <w:szCs w:val="19"/>
              </w:rPr>
              <w:t>save</w:t>
            </w:r>
            <w:r w:rsidRPr="0019444B">
              <w:rPr>
                <w:sz w:val="19"/>
                <w:szCs w:val="19"/>
              </w:rPr>
              <w:t xml:space="preserve"> to PBS/RPBS less copayments</w:t>
            </w:r>
            <w:r w:rsidR="00CA022C">
              <w:rPr>
                <w:sz w:val="19"/>
                <w:szCs w:val="19"/>
              </w:rPr>
              <w:t xml:space="preserve"> ($)</w:t>
            </w:r>
          </w:p>
        </w:tc>
        <w:tc>
          <w:tcPr>
            <w:tcW w:w="627" w:type="pct"/>
            <w:gridSpan w:val="2"/>
            <w:shd w:val="clear" w:color="auto" w:fill="auto"/>
            <w:vAlign w:val="center"/>
          </w:tcPr>
          <w:p w14:paraId="4DBFBC2B" w14:textId="1BA29B1F" w:rsidR="00BE0846" w:rsidRPr="00CA022C" w:rsidRDefault="00B75821" w:rsidP="00CA022C">
            <w:pPr>
              <w:pStyle w:val="TableText0"/>
              <w:keepLines/>
              <w:rPr>
                <w:highlight w:val="darkGray"/>
              </w:rPr>
            </w:pPr>
            <w:r w:rsidRPr="00B75821">
              <w:rPr>
                <w:rFonts w:cs="Times New Roman"/>
                <w:color w:val="000000"/>
                <w:spacing w:val="50"/>
                <w:sz w:val="19"/>
                <w:szCs w:val="19"/>
                <w:shd w:val="solid" w:color="000000" w:fill="000000"/>
                <w:fitText w:val="312" w:id="-1171434995"/>
                <w14:textFill>
                  <w14:solidFill>
                    <w14:srgbClr w14:val="000000">
                      <w14:alpha w14:val="100000"/>
                    </w14:srgbClr>
                  </w14:solidFill>
                </w14:textFill>
              </w:rPr>
              <w:t>|||</w:t>
            </w:r>
            <w:r w:rsidRPr="00B75821">
              <w:rPr>
                <w:rFonts w:cs="Times New Roman"/>
                <w:color w:val="000000"/>
                <w:spacing w:val="1"/>
                <w:sz w:val="19"/>
                <w:szCs w:val="19"/>
                <w:shd w:val="solid" w:color="000000" w:fill="000000"/>
                <w:fitText w:val="312" w:id="-1171434995"/>
                <w14:textFill>
                  <w14:solidFill>
                    <w14:srgbClr w14:val="000000">
                      <w14:alpha w14:val="100000"/>
                    </w14:srgbClr>
                  </w14:solidFill>
                </w14:textFill>
              </w:rPr>
              <w:t>|</w:t>
            </w:r>
            <w:r w:rsidR="00642DCA" w:rsidRPr="00DB2E06">
              <w:rPr>
                <w:sz w:val="19"/>
                <w:szCs w:val="19"/>
              </w:rPr>
              <w:t xml:space="preserve"> </w:t>
            </w:r>
            <w:r w:rsidR="00642DCA" w:rsidRPr="00DB2E06">
              <w:rPr>
                <w:sz w:val="19"/>
                <w:szCs w:val="19"/>
                <w:vertAlign w:val="superscript"/>
              </w:rPr>
              <w:t>8</w:t>
            </w:r>
          </w:p>
        </w:tc>
        <w:tc>
          <w:tcPr>
            <w:tcW w:w="594" w:type="pct"/>
            <w:gridSpan w:val="2"/>
            <w:shd w:val="clear" w:color="auto" w:fill="auto"/>
            <w:vAlign w:val="center"/>
          </w:tcPr>
          <w:p w14:paraId="4FA29895" w14:textId="305FE7A3" w:rsidR="00BE0846" w:rsidRPr="0019444B" w:rsidRDefault="00B75821" w:rsidP="00CA022C">
            <w:pPr>
              <w:pStyle w:val="TableText0"/>
              <w:keepLines/>
            </w:pPr>
            <w:r w:rsidRPr="00B75821">
              <w:rPr>
                <w:rFonts w:cs="Times New Roman"/>
                <w:color w:val="000000"/>
                <w:spacing w:val="49"/>
                <w:sz w:val="19"/>
                <w:szCs w:val="19"/>
                <w:shd w:val="solid" w:color="000000" w:fill="000000"/>
                <w:fitText w:val="311" w:id="-1171434994"/>
                <w14:textFill>
                  <w14:solidFill>
                    <w14:srgbClr w14:val="000000">
                      <w14:alpha w14:val="100000"/>
                    </w14:srgbClr>
                  </w14:solidFill>
                </w14:textFill>
              </w:rPr>
              <w:t>|||</w:t>
            </w:r>
            <w:r w:rsidRPr="00B75821">
              <w:rPr>
                <w:rFonts w:cs="Times New Roman"/>
                <w:color w:val="000000"/>
                <w:spacing w:val="3"/>
                <w:sz w:val="19"/>
                <w:szCs w:val="19"/>
                <w:shd w:val="solid" w:color="000000" w:fill="000000"/>
                <w:fitText w:val="311" w:id="-1171434994"/>
                <w14:textFill>
                  <w14:solidFill>
                    <w14:srgbClr w14:val="000000">
                      <w14:alpha w14:val="100000"/>
                    </w14:srgbClr>
                  </w14:solidFill>
                </w14:textFill>
              </w:rPr>
              <w:t>|</w:t>
            </w:r>
            <w:r w:rsidR="00642DCA">
              <w:rPr>
                <w:sz w:val="19"/>
                <w:szCs w:val="19"/>
              </w:rPr>
              <w:t xml:space="preserve"> </w:t>
            </w:r>
            <w:r w:rsidR="00642DCA">
              <w:rPr>
                <w:sz w:val="19"/>
                <w:szCs w:val="19"/>
                <w:vertAlign w:val="superscript"/>
              </w:rPr>
              <w:t>14</w:t>
            </w:r>
          </w:p>
        </w:tc>
        <w:tc>
          <w:tcPr>
            <w:tcW w:w="610" w:type="pct"/>
            <w:gridSpan w:val="2"/>
            <w:shd w:val="clear" w:color="auto" w:fill="auto"/>
            <w:vAlign w:val="center"/>
          </w:tcPr>
          <w:p w14:paraId="2BC4799A" w14:textId="5C0AE683" w:rsidR="00BE0846" w:rsidRPr="00CA022C" w:rsidRDefault="00B75821" w:rsidP="00CA022C">
            <w:pPr>
              <w:pStyle w:val="TableText0"/>
              <w:keepLines/>
              <w:rPr>
                <w:highlight w:val="darkGray"/>
              </w:rPr>
            </w:pPr>
            <w:r w:rsidRPr="00B75821">
              <w:rPr>
                <w:rFonts w:cs="Times New Roman"/>
                <w:color w:val="000000"/>
                <w:spacing w:val="50"/>
                <w:sz w:val="19"/>
                <w:szCs w:val="19"/>
                <w:shd w:val="solid" w:color="000000" w:fill="000000"/>
                <w:fitText w:val="312" w:id="-1171434993"/>
                <w14:textFill>
                  <w14:solidFill>
                    <w14:srgbClr w14:val="000000">
                      <w14:alpha w14:val="100000"/>
                    </w14:srgbClr>
                  </w14:solidFill>
                </w14:textFill>
              </w:rPr>
              <w:t>|||</w:t>
            </w:r>
            <w:r w:rsidRPr="00B75821">
              <w:rPr>
                <w:rFonts w:cs="Times New Roman"/>
                <w:color w:val="000000"/>
                <w:spacing w:val="1"/>
                <w:sz w:val="19"/>
                <w:szCs w:val="19"/>
                <w:shd w:val="solid" w:color="000000" w:fill="000000"/>
                <w:fitText w:val="312" w:id="-1171434993"/>
                <w14:textFill>
                  <w14:solidFill>
                    <w14:srgbClr w14:val="000000">
                      <w14:alpha w14:val="100000"/>
                    </w14:srgbClr>
                  </w14:solidFill>
                </w14:textFill>
              </w:rPr>
              <w:t>|</w:t>
            </w:r>
            <w:r w:rsidR="00642DCA" w:rsidRPr="00B93CA4">
              <w:rPr>
                <w:sz w:val="19"/>
                <w:szCs w:val="19"/>
              </w:rPr>
              <w:t xml:space="preserve"> </w:t>
            </w:r>
            <w:r w:rsidR="00642DCA" w:rsidRPr="00B93CA4">
              <w:rPr>
                <w:sz w:val="19"/>
                <w:szCs w:val="19"/>
                <w:vertAlign w:val="superscript"/>
              </w:rPr>
              <w:t>9</w:t>
            </w:r>
          </w:p>
        </w:tc>
        <w:tc>
          <w:tcPr>
            <w:tcW w:w="610" w:type="pct"/>
            <w:gridSpan w:val="2"/>
            <w:shd w:val="clear" w:color="auto" w:fill="auto"/>
            <w:vAlign w:val="center"/>
          </w:tcPr>
          <w:p w14:paraId="2B79CAE2" w14:textId="1B5C5AAA" w:rsidR="00BE0846" w:rsidRPr="0019444B" w:rsidRDefault="00B75821" w:rsidP="00CA022C">
            <w:pPr>
              <w:pStyle w:val="TableText0"/>
              <w:keepLines/>
            </w:pPr>
            <w:r w:rsidRPr="00B75821">
              <w:rPr>
                <w:rFonts w:cs="Times New Roman"/>
                <w:color w:val="000000"/>
                <w:spacing w:val="50"/>
                <w:sz w:val="19"/>
                <w:szCs w:val="19"/>
                <w:shd w:val="solid" w:color="000000" w:fill="000000"/>
                <w:fitText w:val="312" w:id="-1171434992"/>
                <w14:textFill>
                  <w14:solidFill>
                    <w14:srgbClr w14:val="000000">
                      <w14:alpha w14:val="100000"/>
                    </w14:srgbClr>
                  </w14:solidFill>
                </w14:textFill>
              </w:rPr>
              <w:t>|||</w:t>
            </w:r>
            <w:r w:rsidRPr="00B75821">
              <w:rPr>
                <w:rFonts w:cs="Times New Roman"/>
                <w:color w:val="000000"/>
                <w:spacing w:val="1"/>
                <w:sz w:val="19"/>
                <w:szCs w:val="19"/>
                <w:shd w:val="solid" w:color="000000" w:fill="000000"/>
                <w:fitText w:val="312" w:id="-1171434992"/>
                <w14:textFill>
                  <w14:solidFill>
                    <w14:srgbClr w14:val="000000">
                      <w14:alpha w14:val="100000"/>
                    </w14:srgbClr>
                  </w14:solidFill>
                </w14:textFill>
              </w:rPr>
              <w:t>|</w:t>
            </w:r>
            <w:r w:rsidR="00642DCA">
              <w:rPr>
                <w:sz w:val="19"/>
                <w:szCs w:val="19"/>
              </w:rPr>
              <w:t xml:space="preserve"> </w:t>
            </w:r>
            <w:r w:rsidR="00642DCA">
              <w:rPr>
                <w:sz w:val="19"/>
                <w:szCs w:val="19"/>
                <w:vertAlign w:val="superscript"/>
              </w:rPr>
              <w:t>9</w:t>
            </w:r>
          </w:p>
        </w:tc>
        <w:tc>
          <w:tcPr>
            <w:tcW w:w="610" w:type="pct"/>
            <w:gridSpan w:val="2"/>
            <w:shd w:val="clear" w:color="auto" w:fill="auto"/>
            <w:vAlign w:val="center"/>
          </w:tcPr>
          <w:p w14:paraId="7A6913F1" w14:textId="492A30EE" w:rsidR="00BE0846" w:rsidRPr="0019444B" w:rsidRDefault="00B75821" w:rsidP="00CA022C">
            <w:pPr>
              <w:pStyle w:val="TableText0"/>
              <w:keepLines/>
              <w:rPr>
                <w:rFonts w:cs="Times New Roman"/>
                <w:sz w:val="19"/>
                <w:szCs w:val="19"/>
              </w:rPr>
            </w:pPr>
            <w:r w:rsidRPr="00B75821">
              <w:rPr>
                <w:rFonts w:cs="Times New Roman"/>
                <w:color w:val="000000"/>
                <w:spacing w:val="50"/>
                <w:sz w:val="19"/>
                <w:szCs w:val="19"/>
                <w:shd w:val="solid" w:color="000000" w:fill="000000"/>
                <w:fitText w:val="312" w:id="-1171435008"/>
                <w14:textFill>
                  <w14:solidFill>
                    <w14:srgbClr w14:val="000000">
                      <w14:alpha w14:val="100000"/>
                    </w14:srgbClr>
                  </w14:solidFill>
                </w14:textFill>
              </w:rPr>
              <w:t>|||</w:t>
            </w:r>
            <w:r w:rsidRPr="00B75821">
              <w:rPr>
                <w:rFonts w:cs="Times New Roman"/>
                <w:color w:val="000000"/>
                <w:spacing w:val="1"/>
                <w:sz w:val="19"/>
                <w:szCs w:val="19"/>
                <w:shd w:val="solid" w:color="000000" w:fill="000000"/>
                <w:fitText w:val="312" w:id="-1171435008"/>
                <w14:textFill>
                  <w14:solidFill>
                    <w14:srgbClr w14:val="000000">
                      <w14:alpha w14:val="100000"/>
                    </w14:srgbClr>
                  </w14:solidFill>
                </w14:textFill>
              </w:rPr>
              <w:t>|</w:t>
            </w:r>
            <w:r w:rsidR="00642DCA">
              <w:rPr>
                <w:sz w:val="19"/>
                <w:szCs w:val="19"/>
              </w:rPr>
              <w:t xml:space="preserve"> </w:t>
            </w:r>
            <w:r w:rsidR="00642DCA">
              <w:rPr>
                <w:sz w:val="19"/>
                <w:szCs w:val="19"/>
                <w:vertAlign w:val="superscript"/>
              </w:rPr>
              <w:t>15</w:t>
            </w:r>
          </w:p>
        </w:tc>
        <w:tc>
          <w:tcPr>
            <w:tcW w:w="617" w:type="pct"/>
            <w:vAlign w:val="center"/>
          </w:tcPr>
          <w:p w14:paraId="2C2F0E92" w14:textId="11CCE488" w:rsidR="00BE0846" w:rsidRPr="0019444B" w:rsidRDefault="00B75821" w:rsidP="00CA022C">
            <w:pPr>
              <w:pStyle w:val="TableText0"/>
              <w:keepLines/>
              <w:rPr>
                <w:rFonts w:cs="Times New Roman"/>
                <w:sz w:val="19"/>
                <w:szCs w:val="19"/>
              </w:rPr>
            </w:pPr>
            <w:r w:rsidRPr="00B75821">
              <w:rPr>
                <w:rFonts w:cs="Times New Roman"/>
                <w:color w:val="000000"/>
                <w:spacing w:val="50"/>
                <w:sz w:val="19"/>
                <w:szCs w:val="19"/>
                <w:shd w:val="solid" w:color="000000" w:fill="000000"/>
                <w:fitText w:val="312" w:id="-1171435007"/>
                <w14:textFill>
                  <w14:solidFill>
                    <w14:srgbClr w14:val="000000">
                      <w14:alpha w14:val="100000"/>
                    </w14:srgbClr>
                  </w14:solidFill>
                </w14:textFill>
              </w:rPr>
              <w:t>|||</w:t>
            </w:r>
            <w:r w:rsidRPr="00B75821">
              <w:rPr>
                <w:rFonts w:cs="Times New Roman"/>
                <w:color w:val="000000"/>
                <w:spacing w:val="1"/>
                <w:sz w:val="19"/>
                <w:szCs w:val="19"/>
                <w:shd w:val="solid" w:color="000000" w:fill="000000"/>
                <w:fitText w:val="312" w:id="-1171435007"/>
                <w14:textFill>
                  <w14:solidFill>
                    <w14:srgbClr w14:val="000000">
                      <w14:alpha w14:val="100000"/>
                    </w14:srgbClr>
                  </w14:solidFill>
                </w14:textFill>
              </w:rPr>
              <w:t>|</w:t>
            </w:r>
            <w:r w:rsidR="00642DCA">
              <w:rPr>
                <w:sz w:val="19"/>
                <w:szCs w:val="19"/>
              </w:rPr>
              <w:t xml:space="preserve"> </w:t>
            </w:r>
            <w:r w:rsidR="00642DCA">
              <w:rPr>
                <w:sz w:val="19"/>
                <w:szCs w:val="19"/>
                <w:vertAlign w:val="superscript"/>
              </w:rPr>
              <w:t>15</w:t>
            </w:r>
          </w:p>
        </w:tc>
      </w:tr>
      <w:tr w:rsidR="00676D6B" w:rsidRPr="0019444B" w14:paraId="5500E29A" w14:textId="77777777" w:rsidTr="009B2A95">
        <w:tc>
          <w:tcPr>
            <w:tcW w:w="1332" w:type="pct"/>
            <w:gridSpan w:val="2"/>
            <w:shd w:val="clear" w:color="auto" w:fill="auto"/>
            <w:vAlign w:val="center"/>
          </w:tcPr>
          <w:p w14:paraId="23504659" w14:textId="288D0B97" w:rsidR="00676D6B" w:rsidRPr="0019444B" w:rsidRDefault="00676D6B" w:rsidP="00CA022C">
            <w:pPr>
              <w:pStyle w:val="TableText0"/>
              <w:keepLines/>
              <w:rPr>
                <w:sz w:val="19"/>
                <w:szCs w:val="19"/>
              </w:rPr>
            </w:pPr>
            <w:r w:rsidRPr="0019444B">
              <w:rPr>
                <w:sz w:val="19"/>
                <w:szCs w:val="19"/>
              </w:rPr>
              <w:t xml:space="preserve">OBIN </w:t>
            </w:r>
            <w:r w:rsidR="001D20AB" w:rsidRPr="0019444B">
              <w:rPr>
                <w:sz w:val="19"/>
                <w:szCs w:val="19"/>
              </w:rPr>
              <w:t>save</w:t>
            </w:r>
            <w:r w:rsidRPr="0019444B">
              <w:rPr>
                <w:sz w:val="19"/>
                <w:szCs w:val="19"/>
              </w:rPr>
              <w:t xml:space="preserve"> to PBS/RPBS less copayments</w:t>
            </w:r>
            <w:r w:rsidR="00CA022C">
              <w:rPr>
                <w:sz w:val="19"/>
                <w:szCs w:val="19"/>
              </w:rPr>
              <w:t xml:space="preserve"> ($)</w:t>
            </w:r>
          </w:p>
        </w:tc>
        <w:tc>
          <w:tcPr>
            <w:tcW w:w="627" w:type="pct"/>
            <w:gridSpan w:val="2"/>
            <w:shd w:val="clear" w:color="auto" w:fill="auto"/>
            <w:vAlign w:val="center"/>
          </w:tcPr>
          <w:p w14:paraId="59A7928E" w14:textId="6F67EB93" w:rsidR="00676D6B" w:rsidRPr="0019444B" w:rsidRDefault="00B75821" w:rsidP="00CA022C">
            <w:pPr>
              <w:pStyle w:val="TableText0"/>
              <w:keepLines/>
            </w:pPr>
            <w:r w:rsidRPr="00B75821">
              <w:rPr>
                <w:rFonts w:cs="Times New Roman"/>
                <w:color w:val="000000"/>
                <w:spacing w:val="50"/>
                <w:sz w:val="19"/>
                <w:szCs w:val="19"/>
                <w:shd w:val="solid" w:color="000000" w:fill="000000"/>
                <w:fitText w:val="312" w:id="-1171435006"/>
                <w14:textFill>
                  <w14:solidFill>
                    <w14:srgbClr w14:val="000000">
                      <w14:alpha w14:val="100000"/>
                    </w14:srgbClr>
                  </w14:solidFill>
                </w14:textFill>
              </w:rPr>
              <w:t>|||</w:t>
            </w:r>
            <w:r w:rsidRPr="00B75821">
              <w:rPr>
                <w:rFonts w:cs="Times New Roman"/>
                <w:color w:val="000000"/>
                <w:spacing w:val="1"/>
                <w:sz w:val="19"/>
                <w:szCs w:val="19"/>
                <w:shd w:val="solid" w:color="000000" w:fill="000000"/>
                <w:fitText w:val="312" w:id="-1171435006"/>
                <w14:textFill>
                  <w14:solidFill>
                    <w14:srgbClr w14:val="000000">
                      <w14:alpha w14:val="100000"/>
                    </w14:srgbClr>
                  </w14:solidFill>
                </w14:textFill>
              </w:rPr>
              <w:t>|</w:t>
            </w:r>
            <w:r w:rsidR="00642DCA">
              <w:rPr>
                <w:sz w:val="19"/>
                <w:szCs w:val="19"/>
              </w:rPr>
              <w:t xml:space="preserve"> </w:t>
            </w:r>
            <w:r w:rsidR="00642DCA">
              <w:rPr>
                <w:sz w:val="19"/>
                <w:szCs w:val="19"/>
                <w:vertAlign w:val="superscript"/>
              </w:rPr>
              <w:t>7</w:t>
            </w:r>
          </w:p>
        </w:tc>
        <w:tc>
          <w:tcPr>
            <w:tcW w:w="594" w:type="pct"/>
            <w:gridSpan w:val="2"/>
            <w:shd w:val="clear" w:color="auto" w:fill="auto"/>
            <w:vAlign w:val="center"/>
          </w:tcPr>
          <w:p w14:paraId="0CAE43B5" w14:textId="0848F5D3" w:rsidR="00676D6B" w:rsidRPr="0019444B" w:rsidRDefault="00B75821" w:rsidP="00CA022C">
            <w:pPr>
              <w:pStyle w:val="TableText0"/>
              <w:keepLines/>
            </w:pPr>
            <w:r w:rsidRPr="00B75821">
              <w:rPr>
                <w:rFonts w:cs="Times New Roman"/>
                <w:color w:val="000000"/>
                <w:spacing w:val="49"/>
                <w:sz w:val="19"/>
                <w:szCs w:val="19"/>
                <w:shd w:val="solid" w:color="000000" w:fill="000000"/>
                <w:fitText w:val="311" w:id="-1171435005"/>
                <w14:textFill>
                  <w14:solidFill>
                    <w14:srgbClr w14:val="000000">
                      <w14:alpha w14:val="100000"/>
                    </w14:srgbClr>
                  </w14:solidFill>
                </w14:textFill>
              </w:rPr>
              <w:t>|||</w:t>
            </w:r>
            <w:r w:rsidRPr="00B75821">
              <w:rPr>
                <w:rFonts w:cs="Times New Roman"/>
                <w:color w:val="000000"/>
                <w:spacing w:val="3"/>
                <w:sz w:val="19"/>
                <w:szCs w:val="19"/>
                <w:shd w:val="solid" w:color="000000" w:fill="000000"/>
                <w:fitText w:val="311" w:id="-1171435005"/>
                <w14:textFill>
                  <w14:solidFill>
                    <w14:srgbClr w14:val="000000">
                      <w14:alpha w14:val="100000"/>
                    </w14:srgbClr>
                  </w14:solidFill>
                </w14:textFill>
              </w:rPr>
              <w:t>|</w:t>
            </w:r>
            <w:r w:rsidR="00642DCA">
              <w:rPr>
                <w:sz w:val="19"/>
                <w:szCs w:val="19"/>
              </w:rPr>
              <w:t xml:space="preserve"> </w:t>
            </w:r>
            <w:r w:rsidR="00642DCA">
              <w:rPr>
                <w:sz w:val="19"/>
                <w:szCs w:val="19"/>
                <w:vertAlign w:val="superscript"/>
              </w:rPr>
              <w:t>7</w:t>
            </w:r>
          </w:p>
        </w:tc>
        <w:tc>
          <w:tcPr>
            <w:tcW w:w="610" w:type="pct"/>
            <w:gridSpan w:val="2"/>
            <w:shd w:val="clear" w:color="auto" w:fill="auto"/>
            <w:vAlign w:val="center"/>
          </w:tcPr>
          <w:p w14:paraId="14681C5F" w14:textId="240E6E37" w:rsidR="00676D6B" w:rsidRPr="0019444B" w:rsidRDefault="00B75821" w:rsidP="00CA022C">
            <w:pPr>
              <w:pStyle w:val="TableText0"/>
              <w:keepLines/>
            </w:pPr>
            <w:r w:rsidRPr="00B75821">
              <w:rPr>
                <w:rFonts w:cs="Times New Roman"/>
                <w:color w:val="000000"/>
                <w:spacing w:val="50"/>
                <w:sz w:val="19"/>
                <w:szCs w:val="19"/>
                <w:shd w:val="solid" w:color="000000" w:fill="000000"/>
                <w:fitText w:val="312" w:id="-1171435004"/>
                <w14:textFill>
                  <w14:solidFill>
                    <w14:srgbClr w14:val="000000">
                      <w14:alpha w14:val="100000"/>
                    </w14:srgbClr>
                  </w14:solidFill>
                </w14:textFill>
              </w:rPr>
              <w:t>|||</w:t>
            </w:r>
            <w:r w:rsidRPr="00B75821">
              <w:rPr>
                <w:rFonts w:cs="Times New Roman"/>
                <w:color w:val="000000"/>
                <w:spacing w:val="1"/>
                <w:sz w:val="19"/>
                <w:szCs w:val="19"/>
                <w:shd w:val="solid" w:color="000000" w:fill="000000"/>
                <w:fitText w:val="312" w:id="-1171435004"/>
                <w14:textFill>
                  <w14:solidFill>
                    <w14:srgbClr w14:val="000000">
                      <w14:alpha w14:val="100000"/>
                    </w14:srgbClr>
                  </w14:solidFill>
                </w14:textFill>
              </w:rPr>
              <w:t>|</w:t>
            </w:r>
            <w:r w:rsidR="00642DCA">
              <w:rPr>
                <w:sz w:val="19"/>
                <w:szCs w:val="19"/>
              </w:rPr>
              <w:t xml:space="preserve"> </w:t>
            </w:r>
            <w:r w:rsidR="00642DCA">
              <w:rPr>
                <w:sz w:val="19"/>
                <w:szCs w:val="19"/>
                <w:vertAlign w:val="superscript"/>
              </w:rPr>
              <w:t>8</w:t>
            </w:r>
          </w:p>
        </w:tc>
        <w:tc>
          <w:tcPr>
            <w:tcW w:w="610" w:type="pct"/>
            <w:gridSpan w:val="2"/>
            <w:shd w:val="clear" w:color="auto" w:fill="auto"/>
            <w:vAlign w:val="center"/>
          </w:tcPr>
          <w:p w14:paraId="79152307" w14:textId="3CF96185" w:rsidR="00676D6B" w:rsidRPr="0019444B" w:rsidRDefault="00B75821" w:rsidP="00CA022C">
            <w:pPr>
              <w:pStyle w:val="TableText0"/>
              <w:keepLines/>
            </w:pPr>
            <w:r w:rsidRPr="00B75821">
              <w:rPr>
                <w:rFonts w:cs="Times New Roman"/>
                <w:color w:val="000000"/>
                <w:spacing w:val="50"/>
                <w:sz w:val="19"/>
                <w:szCs w:val="19"/>
                <w:shd w:val="solid" w:color="000000" w:fill="000000"/>
                <w:fitText w:val="312" w:id="-1171435003"/>
                <w14:textFill>
                  <w14:solidFill>
                    <w14:srgbClr w14:val="000000">
                      <w14:alpha w14:val="100000"/>
                    </w14:srgbClr>
                  </w14:solidFill>
                </w14:textFill>
              </w:rPr>
              <w:t>|||</w:t>
            </w:r>
            <w:r w:rsidRPr="00B75821">
              <w:rPr>
                <w:rFonts w:cs="Times New Roman"/>
                <w:color w:val="000000"/>
                <w:spacing w:val="1"/>
                <w:sz w:val="19"/>
                <w:szCs w:val="19"/>
                <w:shd w:val="solid" w:color="000000" w:fill="000000"/>
                <w:fitText w:val="312" w:id="-1171435003"/>
                <w14:textFill>
                  <w14:solidFill>
                    <w14:srgbClr w14:val="000000">
                      <w14:alpha w14:val="100000"/>
                    </w14:srgbClr>
                  </w14:solidFill>
                </w14:textFill>
              </w:rPr>
              <w:t>|</w:t>
            </w:r>
            <w:r w:rsidR="00642DCA">
              <w:rPr>
                <w:sz w:val="19"/>
                <w:szCs w:val="19"/>
              </w:rPr>
              <w:t xml:space="preserve"> </w:t>
            </w:r>
            <w:r w:rsidR="00642DCA">
              <w:rPr>
                <w:sz w:val="19"/>
                <w:szCs w:val="19"/>
                <w:vertAlign w:val="superscript"/>
              </w:rPr>
              <w:t>8</w:t>
            </w:r>
          </w:p>
        </w:tc>
        <w:tc>
          <w:tcPr>
            <w:tcW w:w="610" w:type="pct"/>
            <w:gridSpan w:val="2"/>
            <w:shd w:val="clear" w:color="auto" w:fill="auto"/>
            <w:vAlign w:val="center"/>
          </w:tcPr>
          <w:p w14:paraId="3AEDBE6D" w14:textId="16440C91" w:rsidR="00676D6B" w:rsidRPr="0019444B" w:rsidRDefault="00B75821" w:rsidP="00CA022C">
            <w:pPr>
              <w:pStyle w:val="TableText0"/>
              <w:keepLines/>
            </w:pPr>
            <w:r w:rsidRPr="00B75821">
              <w:rPr>
                <w:rFonts w:cs="Times New Roman"/>
                <w:color w:val="000000"/>
                <w:spacing w:val="50"/>
                <w:sz w:val="19"/>
                <w:szCs w:val="19"/>
                <w:shd w:val="solid" w:color="000000" w:fill="000000"/>
                <w:fitText w:val="312" w:id="-1171435002"/>
                <w14:textFill>
                  <w14:solidFill>
                    <w14:srgbClr w14:val="000000">
                      <w14:alpha w14:val="100000"/>
                    </w14:srgbClr>
                  </w14:solidFill>
                </w14:textFill>
              </w:rPr>
              <w:t>|||</w:t>
            </w:r>
            <w:r w:rsidRPr="00B75821">
              <w:rPr>
                <w:rFonts w:cs="Times New Roman"/>
                <w:color w:val="000000"/>
                <w:spacing w:val="1"/>
                <w:sz w:val="19"/>
                <w:szCs w:val="19"/>
                <w:shd w:val="solid" w:color="000000" w:fill="000000"/>
                <w:fitText w:val="312" w:id="-1171435002"/>
                <w14:textFill>
                  <w14:solidFill>
                    <w14:srgbClr w14:val="000000">
                      <w14:alpha w14:val="100000"/>
                    </w14:srgbClr>
                  </w14:solidFill>
                </w14:textFill>
              </w:rPr>
              <w:t>|</w:t>
            </w:r>
            <w:r w:rsidR="00642DCA">
              <w:rPr>
                <w:sz w:val="19"/>
                <w:szCs w:val="19"/>
              </w:rPr>
              <w:t xml:space="preserve"> </w:t>
            </w:r>
            <w:r w:rsidR="00642DCA">
              <w:rPr>
                <w:sz w:val="19"/>
                <w:szCs w:val="19"/>
                <w:vertAlign w:val="superscript"/>
              </w:rPr>
              <w:t>8</w:t>
            </w:r>
          </w:p>
        </w:tc>
        <w:tc>
          <w:tcPr>
            <w:tcW w:w="617" w:type="pct"/>
            <w:vAlign w:val="center"/>
          </w:tcPr>
          <w:p w14:paraId="4DAF313D" w14:textId="3977B691" w:rsidR="00676D6B" w:rsidRPr="0019444B" w:rsidRDefault="00B75821" w:rsidP="00CA022C">
            <w:pPr>
              <w:pStyle w:val="TableText0"/>
              <w:keepLines/>
            </w:pPr>
            <w:r w:rsidRPr="00B75821">
              <w:rPr>
                <w:rFonts w:cs="Times New Roman"/>
                <w:color w:val="000000"/>
                <w:spacing w:val="50"/>
                <w:sz w:val="19"/>
                <w:szCs w:val="19"/>
                <w:shd w:val="solid" w:color="000000" w:fill="000000"/>
                <w:fitText w:val="312" w:id="-1171435001"/>
                <w14:textFill>
                  <w14:solidFill>
                    <w14:srgbClr w14:val="000000">
                      <w14:alpha w14:val="100000"/>
                    </w14:srgbClr>
                  </w14:solidFill>
                </w14:textFill>
              </w:rPr>
              <w:t>|||</w:t>
            </w:r>
            <w:r w:rsidRPr="00B75821">
              <w:rPr>
                <w:rFonts w:cs="Times New Roman"/>
                <w:color w:val="000000"/>
                <w:spacing w:val="1"/>
                <w:sz w:val="19"/>
                <w:szCs w:val="19"/>
                <w:shd w:val="solid" w:color="000000" w:fill="000000"/>
                <w:fitText w:val="312" w:id="-1171435001"/>
                <w14:textFill>
                  <w14:solidFill>
                    <w14:srgbClr w14:val="000000">
                      <w14:alpha w14:val="100000"/>
                    </w14:srgbClr>
                  </w14:solidFill>
                </w14:textFill>
              </w:rPr>
              <w:t>|</w:t>
            </w:r>
            <w:r w:rsidR="00642DCA">
              <w:rPr>
                <w:sz w:val="19"/>
                <w:szCs w:val="19"/>
              </w:rPr>
              <w:t xml:space="preserve"> </w:t>
            </w:r>
            <w:r w:rsidR="00642DCA">
              <w:rPr>
                <w:sz w:val="19"/>
                <w:szCs w:val="19"/>
                <w:vertAlign w:val="superscript"/>
              </w:rPr>
              <w:t>8</w:t>
            </w:r>
          </w:p>
        </w:tc>
      </w:tr>
      <w:tr w:rsidR="00676D6B" w:rsidRPr="0019444B" w14:paraId="3EE278F3" w14:textId="77777777" w:rsidTr="009B2A95">
        <w:tc>
          <w:tcPr>
            <w:tcW w:w="1332" w:type="pct"/>
            <w:gridSpan w:val="2"/>
            <w:shd w:val="clear" w:color="auto" w:fill="auto"/>
            <w:vAlign w:val="center"/>
          </w:tcPr>
          <w:p w14:paraId="07E70D26" w14:textId="0278518A" w:rsidR="00676D6B" w:rsidRPr="0019444B" w:rsidRDefault="00676D6B" w:rsidP="00CA022C">
            <w:pPr>
              <w:pStyle w:val="TableText0"/>
              <w:keepLines/>
              <w:rPr>
                <w:sz w:val="19"/>
                <w:szCs w:val="19"/>
              </w:rPr>
            </w:pPr>
            <w:r w:rsidRPr="0019444B">
              <w:rPr>
                <w:sz w:val="19"/>
                <w:szCs w:val="19"/>
              </w:rPr>
              <w:t xml:space="preserve">Total </w:t>
            </w:r>
            <w:r w:rsidR="001D20AB" w:rsidRPr="0019444B">
              <w:rPr>
                <w:sz w:val="19"/>
                <w:szCs w:val="19"/>
              </w:rPr>
              <w:t>save</w:t>
            </w:r>
            <w:r w:rsidRPr="0019444B">
              <w:rPr>
                <w:sz w:val="19"/>
                <w:szCs w:val="19"/>
              </w:rPr>
              <w:t xml:space="preserve"> to PBS/RPBS less copayments </w:t>
            </w:r>
            <w:r w:rsidR="00CA022C">
              <w:rPr>
                <w:sz w:val="19"/>
                <w:szCs w:val="19"/>
              </w:rPr>
              <w:t>($)</w:t>
            </w:r>
          </w:p>
        </w:tc>
        <w:tc>
          <w:tcPr>
            <w:tcW w:w="627" w:type="pct"/>
            <w:gridSpan w:val="2"/>
            <w:shd w:val="clear" w:color="auto" w:fill="auto"/>
            <w:vAlign w:val="center"/>
          </w:tcPr>
          <w:p w14:paraId="45F02BC4" w14:textId="67C65518" w:rsidR="00676D6B" w:rsidRPr="0019444B" w:rsidRDefault="00B75821" w:rsidP="00CA022C">
            <w:pPr>
              <w:pStyle w:val="TableText0"/>
              <w:keepLines/>
            </w:pPr>
            <w:r w:rsidRPr="00B75821">
              <w:rPr>
                <w:color w:val="000000"/>
                <w:spacing w:val="53"/>
                <w:shd w:val="solid" w:color="000000" w:fill="000000"/>
                <w:fitText w:val="330" w:id="-1171435000"/>
                <w14:textFill>
                  <w14:solidFill>
                    <w14:srgbClr w14:val="000000">
                      <w14:alpha w14:val="100000"/>
                    </w14:srgbClr>
                  </w14:solidFill>
                </w14:textFill>
              </w:rPr>
              <w:t>|||</w:t>
            </w:r>
            <w:r w:rsidRPr="00B75821">
              <w:rPr>
                <w:color w:val="000000"/>
                <w:spacing w:val="1"/>
                <w:shd w:val="solid" w:color="000000" w:fill="000000"/>
                <w:fitText w:val="330" w:id="-1171435000"/>
                <w14:textFill>
                  <w14:solidFill>
                    <w14:srgbClr w14:val="000000">
                      <w14:alpha w14:val="100000"/>
                    </w14:srgbClr>
                  </w14:solidFill>
                </w14:textFill>
              </w:rPr>
              <w:t>|</w:t>
            </w:r>
            <w:r w:rsidR="00642DCA">
              <w:rPr>
                <w:sz w:val="19"/>
                <w:szCs w:val="19"/>
              </w:rPr>
              <w:t xml:space="preserve"> </w:t>
            </w:r>
            <w:r w:rsidR="00642DCA">
              <w:rPr>
                <w:sz w:val="19"/>
                <w:szCs w:val="19"/>
                <w:vertAlign w:val="superscript"/>
              </w:rPr>
              <w:t>9</w:t>
            </w:r>
          </w:p>
        </w:tc>
        <w:tc>
          <w:tcPr>
            <w:tcW w:w="594" w:type="pct"/>
            <w:gridSpan w:val="2"/>
            <w:shd w:val="clear" w:color="auto" w:fill="auto"/>
            <w:vAlign w:val="center"/>
          </w:tcPr>
          <w:p w14:paraId="29CBEA8D" w14:textId="03CA3F4B" w:rsidR="00676D6B" w:rsidRPr="0019444B" w:rsidRDefault="00B75821" w:rsidP="00CA022C">
            <w:pPr>
              <w:pStyle w:val="TableText0"/>
              <w:keepLines/>
            </w:pPr>
            <w:r w:rsidRPr="00B75821">
              <w:rPr>
                <w:color w:val="000000"/>
                <w:spacing w:val="53"/>
                <w:shd w:val="solid" w:color="000000" w:fill="000000"/>
                <w:fitText w:val="330" w:id="-1171434999"/>
                <w14:textFill>
                  <w14:solidFill>
                    <w14:srgbClr w14:val="000000">
                      <w14:alpha w14:val="100000"/>
                    </w14:srgbClr>
                  </w14:solidFill>
                </w14:textFill>
              </w:rPr>
              <w:t>|||</w:t>
            </w:r>
            <w:r w:rsidRPr="00B75821">
              <w:rPr>
                <w:color w:val="000000"/>
                <w:spacing w:val="1"/>
                <w:shd w:val="solid" w:color="000000" w:fill="000000"/>
                <w:fitText w:val="330" w:id="-1171434999"/>
                <w14:textFill>
                  <w14:solidFill>
                    <w14:srgbClr w14:val="000000">
                      <w14:alpha w14:val="100000"/>
                    </w14:srgbClr>
                  </w14:solidFill>
                </w14:textFill>
              </w:rPr>
              <w:t>|</w:t>
            </w:r>
            <w:r w:rsidR="00642DCA">
              <w:rPr>
                <w:sz w:val="19"/>
                <w:szCs w:val="19"/>
              </w:rPr>
              <w:t xml:space="preserve"> </w:t>
            </w:r>
            <w:r w:rsidR="00642DCA">
              <w:rPr>
                <w:sz w:val="19"/>
                <w:szCs w:val="19"/>
                <w:vertAlign w:val="superscript"/>
              </w:rPr>
              <w:t>15</w:t>
            </w:r>
          </w:p>
        </w:tc>
        <w:tc>
          <w:tcPr>
            <w:tcW w:w="610" w:type="pct"/>
            <w:gridSpan w:val="2"/>
            <w:shd w:val="clear" w:color="auto" w:fill="auto"/>
            <w:vAlign w:val="center"/>
          </w:tcPr>
          <w:p w14:paraId="0EF1EFBA" w14:textId="73853CCE" w:rsidR="00676D6B" w:rsidRPr="0019444B" w:rsidRDefault="00B75821" w:rsidP="00CA022C">
            <w:pPr>
              <w:pStyle w:val="TableText0"/>
              <w:keepLines/>
            </w:pPr>
            <w:r w:rsidRPr="00B75821">
              <w:rPr>
                <w:color w:val="000000"/>
                <w:spacing w:val="53"/>
                <w:shd w:val="solid" w:color="000000" w:fill="000000"/>
                <w:fitText w:val="330" w:id="-1171434998"/>
                <w14:textFill>
                  <w14:solidFill>
                    <w14:srgbClr w14:val="000000">
                      <w14:alpha w14:val="100000"/>
                    </w14:srgbClr>
                  </w14:solidFill>
                </w14:textFill>
              </w:rPr>
              <w:t>|||</w:t>
            </w:r>
            <w:r w:rsidRPr="00B75821">
              <w:rPr>
                <w:color w:val="000000"/>
                <w:spacing w:val="1"/>
                <w:shd w:val="solid" w:color="000000" w:fill="000000"/>
                <w:fitText w:val="330" w:id="-1171434998"/>
                <w14:textFill>
                  <w14:solidFill>
                    <w14:srgbClr w14:val="000000">
                      <w14:alpha w14:val="100000"/>
                    </w14:srgbClr>
                  </w14:solidFill>
                </w14:textFill>
              </w:rPr>
              <w:t>|</w:t>
            </w:r>
            <w:r w:rsidR="00642DCA">
              <w:rPr>
                <w:sz w:val="19"/>
                <w:szCs w:val="19"/>
              </w:rPr>
              <w:t xml:space="preserve"> </w:t>
            </w:r>
            <w:r w:rsidR="00642DCA">
              <w:rPr>
                <w:sz w:val="19"/>
                <w:szCs w:val="19"/>
                <w:vertAlign w:val="superscript"/>
              </w:rPr>
              <w:t>11</w:t>
            </w:r>
          </w:p>
        </w:tc>
        <w:tc>
          <w:tcPr>
            <w:tcW w:w="610" w:type="pct"/>
            <w:gridSpan w:val="2"/>
            <w:shd w:val="clear" w:color="auto" w:fill="auto"/>
            <w:vAlign w:val="center"/>
          </w:tcPr>
          <w:p w14:paraId="72867780" w14:textId="7B0273FC" w:rsidR="00676D6B" w:rsidRPr="0019444B" w:rsidRDefault="00B75821" w:rsidP="00CA022C">
            <w:pPr>
              <w:pStyle w:val="TableText0"/>
              <w:keepLines/>
            </w:pPr>
            <w:r w:rsidRPr="00B75821">
              <w:rPr>
                <w:color w:val="000000"/>
                <w:spacing w:val="53"/>
                <w:shd w:val="solid" w:color="000000" w:fill="000000"/>
                <w:fitText w:val="330" w:id="-1171434997"/>
                <w14:textFill>
                  <w14:solidFill>
                    <w14:srgbClr w14:val="000000">
                      <w14:alpha w14:val="100000"/>
                    </w14:srgbClr>
                  </w14:solidFill>
                </w14:textFill>
              </w:rPr>
              <w:t>|||</w:t>
            </w:r>
            <w:r w:rsidRPr="00B75821">
              <w:rPr>
                <w:color w:val="000000"/>
                <w:spacing w:val="1"/>
                <w:shd w:val="solid" w:color="000000" w:fill="000000"/>
                <w:fitText w:val="330" w:id="-1171434997"/>
                <w14:textFill>
                  <w14:solidFill>
                    <w14:srgbClr w14:val="000000">
                      <w14:alpha w14:val="100000"/>
                    </w14:srgbClr>
                  </w14:solidFill>
                </w14:textFill>
              </w:rPr>
              <w:t>|</w:t>
            </w:r>
            <w:r w:rsidR="00642DCA">
              <w:rPr>
                <w:sz w:val="19"/>
                <w:szCs w:val="19"/>
              </w:rPr>
              <w:t xml:space="preserve"> </w:t>
            </w:r>
            <w:r w:rsidR="00642DCA">
              <w:rPr>
                <w:sz w:val="19"/>
                <w:szCs w:val="19"/>
                <w:vertAlign w:val="superscript"/>
              </w:rPr>
              <w:t>11</w:t>
            </w:r>
          </w:p>
        </w:tc>
        <w:tc>
          <w:tcPr>
            <w:tcW w:w="610" w:type="pct"/>
            <w:gridSpan w:val="2"/>
            <w:shd w:val="clear" w:color="auto" w:fill="auto"/>
            <w:vAlign w:val="center"/>
          </w:tcPr>
          <w:p w14:paraId="2BA36DE6" w14:textId="3AD11DB7" w:rsidR="00676D6B" w:rsidRPr="0019444B" w:rsidRDefault="00B75821" w:rsidP="00CA022C">
            <w:pPr>
              <w:pStyle w:val="TableText0"/>
              <w:keepLines/>
            </w:pPr>
            <w:r w:rsidRPr="00B75821">
              <w:rPr>
                <w:color w:val="000000"/>
                <w:spacing w:val="53"/>
                <w:shd w:val="solid" w:color="000000" w:fill="000000"/>
                <w:fitText w:val="331" w:id="-1171434996"/>
                <w14:textFill>
                  <w14:solidFill>
                    <w14:srgbClr w14:val="000000">
                      <w14:alpha w14:val="100000"/>
                    </w14:srgbClr>
                  </w14:solidFill>
                </w14:textFill>
              </w:rPr>
              <w:t>|||</w:t>
            </w:r>
            <w:r w:rsidRPr="00B75821">
              <w:rPr>
                <w:color w:val="000000"/>
                <w:spacing w:val="2"/>
                <w:shd w:val="solid" w:color="000000" w:fill="000000"/>
                <w:fitText w:val="331" w:id="-1171434996"/>
                <w14:textFill>
                  <w14:solidFill>
                    <w14:srgbClr w14:val="000000">
                      <w14:alpha w14:val="100000"/>
                    </w14:srgbClr>
                  </w14:solidFill>
                </w14:textFill>
              </w:rPr>
              <w:t>|</w:t>
            </w:r>
            <w:r w:rsidR="00642DCA">
              <w:rPr>
                <w:sz w:val="19"/>
                <w:szCs w:val="19"/>
              </w:rPr>
              <w:t xml:space="preserve"> </w:t>
            </w:r>
            <w:r w:rsidR="00642DCA">
              <w:rPr>
                <w:sz w:val="19"/>
                <w:szCs w:val="19"/>
                <w:vertAlign w:val="superscript"/>
              </w:rPr>
              <w:t>11</w:t>
            </w:r>
          </w:p>
        </w:tc>
        <w:tc>
          <w:tcPr>
            <w:tcW w:w="617" w:type="pct"/>
            <w:vAlign w:val="center"/>
          </w:tcPr>
          <w:p w14:paraId="37BBE8E5" w14:textId="34F3C276" w:rsidR="00676D6B" w:rsidRPr="0019444B" w:rsidRDefault="00B75821" w:rsidP="00CA022C">
            <w:pPr>
              <w:pStyle w:val="TableText0"/>
              <w:keepLines/>
            </w:pPr>
            <w:r w:rsidRPr="00B75821">
              <w:rPr>
                <w:color w:val="000000"/>
                <w:spacing w:val="53"/>
                <w:shd w:val="solid" w:color="000000" w:fill="000000"/>
                <w:fitText w:val="330" w:id="-1171434995"/>
                <w14:textFill>
                  <w14:solidFill>
                    <w14:srgbClr w14:val="000000">
                      <w14:alpha w14:val="100000"/>
                    </w14:srgbClr>
                  </w14:solidFill>
                </w14:textFill>
              </w:rPr>
              <w:t>|||</w:t>
            </w:r>
            <w:r w:rsidRPr="00B75821">
              <w:rPr>
                <w:color w:val="000000"/>
                <w:spacing w:val="1"/>
                <w:shd w:val="solid" w:color="000000" w:fill="000000"/>
                <w:fitText w:val="330" w:id="-1171434995"/>
                <w14:textFill>
                  <w14:solidFill>
                    <w14:srgbClr w14:val="000000">
                      <w14:alpha w14:val="100000"/>
                    </w14:srgbClr>
                  </w14:solidFill>
                </w14:textFill>
              </w:rPr>
              <w:t>|</w:t>
            </w:r>
            <w:r w:rsidR="00642DCA">
              <w:rPr>
                <w:sz w:val="19"/>
                <w:szCs w:val="19"/>
              </w:rPr>
              <w:t xml:space="preserve"> </w:t>
            </w:r>
            <w:r w:rsidR="00642DCA">
              <w:rPr>
                <w:sz w:val="19"/>
                <w:szCs w:val="19"/>
                <w:vertAlign w:val="superscript"/>
              </w:rPr>
              <w:t>11</w:t>
            </w:r>
          </w:p>
        </w:tc>
      </w:tr>
      <w:tr w:rsidR="00676D6B" w:rsidRPr="0019444B" w14:paraId="67407384" w14:textId="77777777" w:rsidTr="009B2A95">
        <w:tc>
          <w:tcPr>
            <w:tcW w:w="5000" w:type="pct"/>
            <w:gridSpan w:val="13"/>
            <w:shd w:val="clear" w:color="auto" w:fill="auto"/>
            <w:vAlign w:val="center"/>
          </w:tcPr>
          <w:p w14:paraId="1146E15D" w14:textId="77777777" w:rsidR="00676D6B" w:rsidRPr="0019444B" w:rsidRDefault="00676D6B" w:rsidP="00CA022C">
            <w:pPr>
              <w:pStyle w:val="In-tableHeading"/>
              <w:keepLines/>
              <w:rPr>
                <w:lang w:val="en-AU"/>
              </w:rPr>
            </w:pPr>
            <w:r w:rsidRPr="0019444B">
              <w:rPr>
                <w:lang w:val="en-AU"/>
              </w:rPr>
              <w:t>Net financial implications</w:t>
            </w:r>
            <w:r w:rsidRPr="0019444B">
              <w:rPr>
                <w:color w:val="4BACC6" w:themeColor="accent5"/>
                <w:lang w:val="en-AU"/>
              </w:rPr>
              <w:t xml:space="preserve"> </w:t>
            </w:r>
          </w:p>
        </w:tc>
      </w:tr>
      <w:tr w:rsidR="00676D6B" w:rsidRPr="0019444B" w14:paraId="2693F27F" w14:textId="77777777" w:rsidTr="009B2A95">
        <w:tc>
          <w:tcPr>
            <w:tcW w:w="1332" w:type="pct"/>
            <w:gridSpan w:val="2"/>
            <w:shd w:val="clear" w:color="auto" w:fill="auto"/>
            <w:vAlign w:val="center"/>
          </w:tcPr>
          <w:p w14:paraId="2E9C7AC7" w14:textId="07C62C8D" w:rsidR="00676D6B" w:rsidRPr="0019444B" w:rsidRDefault="00676D6B" w:rsidP="00CA022C">
            <w:pPr>
              <w:pStyle w:val="TableText0"/>
              <w:keepLines/>
              <w:rPr>
                <w:sz w:val="19"/>
                <w:szCs w:val="19"/>
              </w:rPr>
            </w:pPr>
            <w:r w:rsidRPr="0019444B">
              <w:rPr>
                <w:sz w:val="19"/>
                <w:szCs w:val="19"/>
              </w:rPr>
              <w:t>Net cost to PBS/RPBS</w:t>
            </w:r>
            <w:r w:rsidR="00CA022C">
              <w:rPr>
                <w:sz w:val="19"/>
                <w:szCs w:val="19"/>
              </w:rPr>
              <w:t xml:space="preserve"> ($)</w:t>
            </w:r>
          </w:p>
        </w:tc>
        <w:tc>
          <w:tcPr>
            <w:tcW w:w="627" w:type="pct"/>
            <w:gridSpan w:val="2"/>
            <w:vAlign w:val="center"/>
          </w:tcPr>
          <w:p w14:paraId="441EE661" w14:textId="1283C897" w:rsidR="00676D6B" w:rsidRPr="0019444B" w:rsidRDefault="00B75821" w:rsidP="00CA022C">
            <w:pPr>
              <w:pStyle w:val="TableText0"/>
              <w:keepLines/>
            </w:pPr>
            <w:r w:rsidRPr="00B75821">
              <w:rPr>
                <w:color w:val="000000"/>
                <w:spacing w:val="50"/>
                <w:sz w:val="19"/>
                <w:szCs w:val="19"/>
                <w:shd w:val="solid" w:color="000000" w:fill="000000"/>
                <w:fitText w:val="312" w:id="-1171434994"/>
                <w14:textFill>
                  <w14:solidFill>
                    <w14:srgbClr w14:val="000000">
                      <w14:alpha w14:val="100000"/>
                    </w14:srgbClr>
                  </w14:solidFill>
                </w14:textFill>
              </w:rPr>
              <w:t>|||</w:t>
            </w:r>
            <w:r w:rsidRPr="00B75821">
              <w:rPr>
                <w:color w:val="000000"/>
                <w:spacing w:val="1"/>
                <w:sz w:val="19"/>
                <w:szCs w:val="19"/>
                <w:shd w:val="solid" w:color="000000" w:fill="000000"/>
                <w:fitText w:val="312" w:id="-1171434994"/>
                <w14:textFill>
                  <w14:solidFill>
                    <w14:srgbClr w14:val="000000">
                      <w14:alpha w14:val="100000"/>
                    </w14:srgbClr>
                  </w14:solidFill>
                </w14:textFill>
              </w:rPr>
              <w:t>|</w:t>
            </w:r>
            <w:r w:rsidR="00642DCA">
              <w:rPr>
                <w:sz w:val="19"/>
                <w:szCs w:val="19"/>
              </w:rPr>
              <w:t xml:space="preserve"> </w:t>
            </w:r>
            <w:r w:rsidR="00642DCA">
              <w:rPr>
                <w:sz w:val="19"/>
                <w:szCs w:val="19"/>
                <w:vertAlign w:val="superscript"/>
              </w:rPr>
              <w:t>16</w:t>
            </w:r>
          </w:p>
        </w:tc>
        <w:tc>
          <w:tcPr>
            <w:tcW w:w="594" w:type="pct"/>
            <w:gridSpan w:val="2"/>
            <w:vAlign w:val="center"/>
          </w:tcPr>
          <w:p w14:paraId="7078F904" w14:textId="21CEA397" w:rsidR="00676D6B" w:rsidRPr="0019444B" w:rsidRDefault="00B75821" w:rsidP="00CA022C">
            <w:pPr>
              <w:pStyle w:val="TableText0"/>
              <w:keepLines/>
            </w:pPr>
            <w:r w:rsidRPr="00B75821">
              <w:rPr>
                <w:color w:val="000000"/>
                <w:spacing w:val="49"/>
                <w:sz w:val="19"/>
                <w:szCs w:val="19"/>
                <w:shd w:val="solid" w:color="000000" w:fill="000000"/>
                <w:fitText w:val="311" w:id="-1171434993"/>
                <w14:textFill>
                  <w14:solidFill>
                    <w14:srgbClr w14:val="000000">
                      <w14:alpha w14:val="100000"/>
                    </w14:srgbClr>
                  </w14:solidFill>
                </w14:textFill>
              </w:rPr>
              <w:t>|||</w:t>
            </w:r>
            <w:r w:rsidRPr="00B75821">
              <w:rPr>
                <w:color w:val="000000"/>
                <w:spacing w:val="3"/>
                <w:sz w:val="19"/>
                <w:szCs w:val="19"/>
                <w:shd w:val="solid" w:color="000000" w:fill="000000"/>
                <w:fitText w:val="311" w:id="-1171434993"/>
                <w14:textFill>
                  <w14:solidFill>
                    <w14:srgbClr w14:val="000000">
                      <w14:alpha w14:val="100000"/>
                    </w14:srgbClr>
                  </w14:solidFill>
                </w14:textFill>
              </w:rPr>
              <w:t>|</w:t>
            </w:r>
            <w:r w:rsidR="00642DCA">
              <w:rPr>
                <w:sz w:val="19"/>
                <w:szCs w:val="19"/>
              </w:rPr>
              <w:t xml:space="preserve"> </w:t>
            </w:r>
            <w:r w:rsidR="00642DCA">
              <w:rPr>
                <w:sz w:val="19"/>
                <w:szCs w:val="19"/>
                <w:vertAlign w:val="superscript"/>
              </w:rPr>
              <w:t>16</w:t>
            </w:r>
          </w:p>
        </w:tc>
        <w:tc>
          <w:tcPr>
            <w:tcW w:w="610" w:type="pct"/>
            <w:gridSpan w:val="2"/>
            <w:vAlign w:val="center"/>
          </w:tcPr>
          <w:p w14:paraId="6BF6103A" w14:textId="1CA176FA" w:rsidR="00676D6B" w:rsidRPr="0019444B" w:rsidRDefault="00B75821" w:rsidP="00CA022C">
            <w:pPr>
              <w:pStyle w:val="TableText0"/>
              <w:keepLines/>
            </w:pPr>
            <w:r w:rsidRPr="00B75821">
              <w:rPr>
                <w:color w:val="000000"/>
                <w:spacing w:val="50"/>
                <w:sz w:val="19"/>
                <w:szCs w:val="19"/>
                <w:shd w:val="solid" w:color="000000" w:fill="000000"/>
                <w:fitText w:val="312" w:id="-1171434992"/>
                <w14:textFill>
                  <w14:solidFill>
                    <w14:srgbClr w14:val="000000">
                      <w14:alpha w14:val="100000"/>
                    </w14:srgbClr>
                  </w14:solidFill>
                </w14:textFill>
              </w:rPr>
              <w:t>|||</w:t>
            </w:r>
            <w:r w:rsidRPr="00B75821">
              <w:rPr>
                <w:color w:val="000000"/>
                <w:spacing w:val="1"/>
                <w:sz w:val="19"/>
                <w:szCs w:val="19"/>
                <w:shd w:val="solid" w:color="000000" w:fill="000000"/>
                <w:fitText w:val="312" w:id="-1171434992"/>
                <w14:textFill>
                  <w14:solidFill>
                    <w14:srgbClr w14:val="000000">
                      <w14:alpha w14:val="100000"/>
                    </w14:srgbClr>
                  </w14:solidFill>
                </w14:textFill>
              </w:rPr>
              <w:t>|</w:t>
            </w:r>
            <w:r w:rsidR="00642DCA">
              <w:rPr>
                <w:sz w:val="19"/>
                <w:szCs w:val="19"/>
              </w:rPr>
              <w:t xml:space="preserve"> </w:t>
            </w:r>
            <w:r w:rsidR="00642DCA">
              <w:rPr>
                <w:sz w:val="19"/>
                <w:szCs w:val="19"/>
                <w:vertAlign w:val="superscript"/>
              </w:rPr>
              <w:t>16</w:t>
            </w:r>
          </w:p>
        </w:tc>
        <w:tc>
          <w:tcPr>
            <w:tcW w:w="610" w:type="pct"/>
            <w:gridSpan w:val="2"/>
            <w:vAlign w:val="center"/>
          </w:tcPr>
          <w:p w14:paraId="59D971FC" w14:textId="0BA03AAD" w:rsidR="00676D6B" w:rsidRPr="0019444B" w:rsidRDefault="00B75821" w:rsidP="00CA022C">
            <w:pPr>
              <w:pStyle w:val="TableText0"/>
              <w:keepLines/>
            </w:pPr>
            <w:r w:rsidRPr="00B75821">
              <w:rPr>
                <w:color w:val="000000"/>
                <w:spacing w:val="50"/>
                <w:sz w:val="19"/>
                <w:szCs w:val="19"/>
                <w:shd w:val="solid" w:color="000000" w:fill="000000"/>
                <w:fitText w:val="312" w:id="-1171435008"/>
                <w14:textFill>
                  <w14:solidFill>
                    <w14:srgbClr w14:val="000000">
                      <w14:alpha w14:val="100000"/>
                    </w14:srgbClr>
                  </w14:solidFill>
                </w14:textFill>
              </w:rPr>
              <w:t>|||</w:t>
            </w:r>
            <w:r w:rsidRPr="00B75821">
              <w:rPr>
                <w:color w:val="000000"/>
                <w:spacing w:val="1"/>
                <w:sz w:val="19"/>
                <w:szCs w:val="19"/>
                <w:shd w:val="solid" w:color="000000" w:fill="000000"/>
                <w:fitText w:val="312" w:id="-1171435008"/>
                <w14:textFill>
                  <w14:solidFill>
                    <w14:srgbClr w14:val="000000">
                      <w14:alpha w14:val="100000"/>
                    </w14:srgbClr>
                  </w14:solidFill>
                </w14:textFill>
              </w:rPr>
              <w:t>|</w:t>
            </w:r>
            <w:r w:rsidR="00642DCA">
              <w:rPr>
                <w:sz w:val="19"/>
                <w:szCs w:val="19"/>
              </w:rPr>
              <w:t xml:space="preserve"> </w:t>
            </w:r>
            <w:r w:rsidR="00642DCA">
              <w:rPr>
                <w:sz w:val="19"/>
                <w:szCs w:val="19"/>
                <w:vertAlign w:val="superscript"/>
              </w:rPr>
              <w:t>16</w:t>
            </w:r>
          </w:p>
        </w:tc>
        <w:tc>
          <w:tcPr>
            <w:tcW w:w="610" w:type="pct"/>
            <w:gridSpan w:val="2"/>
            <w:vAlign w:val="center"/>
          </w:tcPr>
          <w:p w14:paraId="05F6C690" w14:textId="4031FFB0" w:rsidR="00676D6B" w:rsidRPr="0019444B" w:rsidRDefault="00B75821" w:rsidP="00CA022C">
            <w:pPr>
              <w:pStyle w:val="TableText0"/>
              <w:keepLines/>
            </w:pPr>
            <w:r w:rsidRPr="00B75821">
              <w:rPr>
                <w:color w:val="000000"/>
                <w:spacing w:val="50"/>
                <w:sz w:val="19"/>
                <w:szCs w:val="19"/>
                <w:shd w:val="solid" w:color="000000" w:fill="000000"/>
                <w:fitText w:val="312" w:id="-1171435007"/>
                <w14:textFill>
                  <w14:solidFill>
                    <w14:srgbClr w14:val="000000">
                      <w14:alpha w14:val="100000"/>
                    </w14:srgbClr>
                  </w14:solidFill>
                </w14:textFill>
              </w:rPr>
              <w:t>|||</w:t>
            </w:r>
            <w:r w:rsidRPr="00B75821">
              <w:rPr>
                <w:color w:val="000000"/>
                <w:spacing w:val="1"/>
                <w:sz w:val="19"/>
                <w:szCs w:val="19"/>
                <w:shd w:val="solid" w:color="000000" w:fill="000000"/>
                <w:fitText w:val="312" w:id="-1171435007"/>
                <w14:textFill>
                  <w14:solidFill>
                    <w14:srgbClr w14:val="000000">
                      <w14:alpha w14:val="100000"/>
                    </w14:srgbClr>
                  </w14:solidFill>
                </w14:textFill>
              </w:rPr>
              <w:t>|</w:t>
            </w:r>
            <w:r w:rsidR="00642DCA">
              <w:rPr>
                <w:sz w:val="19"/>
                <w:szCs w:val="19"/>
              </w:rPr>
              <w:t xml:space="preserve"> </w:t>
            </w:r>
            <w:r w:rsidR="00642DCA">
              <w:rPr>
                <w:sz w:val="19"/>
                <w:szCs w:val="19"/>
                <w:vertAlign w:val="superscript"/>
              </w:rPr>
              <w:t>13</w:t>
            </w:r>
          </w:p>
        </w:tc>
        <w:tc>
          <w:tcPr>
            <w:tcW w:w="617" w:type="pct"/>
            <w:vAlign w:val="center"/>
          </w:tcPr>
          <w:p w14:paraId="672C3902" w14:textId="55B994D4" w:rsidR="00676D6B" w:rsidRPr="0019444B" w:rsidRDefault="00B75821" w:rsidP="00CA022C">
            <w:pPr>
              <w:pStyle w:val="TableText0"/>
              <w:keepLines/>
            </w:pPr>
            <w:r w:rsidRPr="00B75821">
              <w:rPr>
                <w:color w:val="000000"/>
                <w:spacing w:val="50"/>
                <w:sz w:val="19"/>
                <w:szCs w:val="19"/>
                <w:shd w:val="solid" w:color="000000" w:fill="000000"/>
                <w:fitText w:val="312" w:id="-1171435006"/>
                <w14:textFill>
                  <w14:solidFill>
                    <w14:srgbClr w14:val="000000">
                      <w14:alpha w14:val="100000"/>
                    </w14:srgbClr>
                  </w14:solidFill>
                </w14:textFill>
              </w:rPr>
              <w:t>|||</w:t>
            </w:r>
            <w:r w:rsidRPr="00B75821">
              <w:rPr>
                <w:color w:val="000000"/>
                <w:spacing w:val="1"/>
                <w:sz w:val="19"/>
                <w:szCs w:val="19"/>
                <w:shd w:val="solid" w:color="000000" w:fill="000000"/>
                <w:fitText w:val="312" w:id="-1171435006"/>
                <w14:textFill>
                  <w14:solidFill>
                    <w14:srgbClr w14:val="000000">
                      <w14:alpha w14:val="100000"/>
                    </w14:srgbClr>
                  </w14:solidFill>
                </w14:textFill>
              </w:rPr>
              <w:t>|</w:t>
            </w:r>
            <w:r w:rsidR="00642DCA">
              <w:rPr>
                <w:sz w:val="19"/>
                <w:szCs w:val="19"/>
              </w:rPr>
              <w:t xml:space="preserve"> </w:t>
            </w:r>
            <w:r w:rsidR="00642DCA">
              <w:rPr>
                <w:sz w:val="19"/>
                <w:szCs w:val="19"/>
                <w:vertAlign w:val="superscript"/>
              </w:rPr>
              <w:t>13</w:t>
            </w:r>
          </w:p>
        </w:tc>
      </w:tr>
      <w:tr w:rsidR="00676D6B" w:rsidRPr="0019444B" w14:paraId="75BDE0C0" w14:textId="77777777" w:rsidTr="009B2A95">
        <w:tc>
          <w:tcPr>
            <w:tcW w:w="1332" w:type="pct"/>
            <w:gridSpan w:val="2"/>
            <w:shd w:val="clear" w:color="auto" w:fill="auto"/>
            <w:vAlign w:val="center"/>
          </w:tcPr>
          <w:p w14:paraId="14CAB3C7" w14:textId="63935836" w:rsidR="00676D6B" w:rsidRPr="0019444B" w:rsidRDefault="00676D6B" w:rsidP="00CA022C">
            <w:pPr>
              <w:pStyle w:val="TableText0"/>
              <w:keepLines/>
              <w:rPr>
                <w:rFonts w:ascii="Times" w:hAnsi="Times"/>
              </w:rPr>
            </w:pPr>
            <w:r w:rsidRPr="0019444B">
              <w:rPr>
                <w:sz w:val="19"/>
                <w:szCs w:val="19"/>
              </w:rPr>
              <w:t>Net cost to MBS/Services Australia/other</w:t>
            </w:r>
            <w:r w:rsidR="00CA022C">
              <w:rPr>
                <w:sz w:val="19"/>
                <w:szCs w:val="19"/>
              </w:rPr>
              <w:t xml:space="preserve"> ($)</w:t>
            </w:r>
          </w:p>
        </w:tc>
        <w:tc>
          <w:tcPr>
            <w:tcW w:w="627" w:type="pct"/>
            <w:gridSpan w:val="2"/>
            <w:shd w:val="clear" w:color="auto" w:fill="auto"/>
            <w:vAlign w:val="center"/>
          </w:tcPr>
          <w:p w14:paraId="3F5F9144" w14:textId="738184CC" w:rsidR="00676D6B" w:rsidRPr="0019444B" w:rsidRDefault="00B75821" w:rsidP="00CA022C">
            <w:pPr>
              <w:pStyle w:val="TableText0"/>
              <w:keepLines/>
            </w:pPr>
            <w:r w:rsidRPr="00B75821">
              <w:rPr>
                <w:color w:val="000000"/>
                <w:spacing w:val="53"/>
                <w:shd w:val="solid" w:color="000000" w:fill="000000"/>
                <w:fitText w:val="330" w:id="-1171435005"/>
                <w14:textFill>
                  <w14:solidFill>
                    <w14:srgbClr w14:val="000000">
                      <w14:alpha w14:val="100000"/>
                    </w14:srgbClr>
                  </w14:solidFill>
                </w14:textFill>
              </w:rPr>
              <w:t>|||</w:t>
            </w:r>
            <w:r w:rsidRPr="00B75821">
              <w:rPr>
                <w:color w:val="000000"/>
                <w:spacing w:val="1"/>
                <w:shd w:val="solid" w:color="000000" w:fill="000000"/>
                <w:fitText w:val="330" w:id="-1171435005"/>
                <w14:textFill>
                  <w14:solidFill>
                    <w14:srgbClr w14:val="000000">
                      <w14:alpha w14:val="100000"/>
                    </w14:srgbClr>
                  </w14:solidFill>
                </w14:textFill>
              </w:rPr>
              <w:t>|</w:t>
            </w:r>
            <w:r w:rsidR="00642DCA">
              <w:rPr>
                <w:sz w:val="19"/>
                <w:szCs w:val="19"/>
              </w:rPr>
              <w:t xml:space="preserve"> </w:t>
            </w:r>
            <w:r w:rsidR="00642DCA">
              <w:rPr>
                <w:sz w:val="19"/>
                <w:szCs w:val="19"/>
                <w:vertAlign w:val="superscript"/>
              </w:rPr>
              <w:t>16</w:t>
            </w:r>
          </w:p>
        </w:tc>
        <w:tc>
          <w:tcPr>
            <w:tcW w:w="594" w:type="pct"/>
            <w:gridSpan w:val="2"/>
            <w:shd w:val="clear" w:color="auto" w:fill="auto"/>
            <w:vAlign w:val="center"/>
          </w:tcPr>
          <w:p w14:paraId="5054AB7A" w14:textId="7A759CB5" w:rsidR="00676D6B" w:rsidRPr="0019444B" w:rsidRDefault="00B75821" w:rsidP="00CA022C">
            <w:pPr>
              <w:pStyle w:val="TableText0"/>
              <w:keepLines/>
            </w:pPr>
            <w:r w:rsidRPr="00B75821">
              <w:rPr>
                <w:color w:val="000000"/>
                <w:spacing w:val="53"/>
                <w:shd w:val="solid" w:color="000000" w:fill="000000"/>
                <w:fitText w:val="330" w:id="-1171435004"/>
                <w14:textFill>
                  <w14:solidFill>
                    <w14:srgbClr w14:val="000000">
                      <w14:alpha w14:val="100000"/>
                    </w14:srgbClr>
                  </w14:solidFill>
                </w14:textFill>
              </w:rPr>
              <w:t>|||</w:t>
            </w:r>
            <w:r w:rsidRPr="00B75821">
              <w:rPr>
                <w:color w:val="000000"/>
                <w:spacing w:val="1"/>
                <w:shd w:val="solid" w:color="000000" w:fill="000000"/>
                <w:fitText w:val="330" w:id="-1171435004"/>
                <w14:textFill>
                  <w14:solidFill>
                    <w14:srgbClr w14:val="000000">
                      <w14:alpha w14:val="100000"/>
                    </w14:srgbClr>
                  </w14:solidFill>
                </w14:textFill>
              </w:rPr>
              <w:t>|</w:t>
            </w:r>
            <w:r w:rsidR="00642DCA">
              <w:rPr>
                <w:sz w:val="19"/>
                <w:szCs w:val="19"/>
              </w:rPr>
              <w:t xml:space="preserve"> </w:t>
            </w:r>
            <w:r w:rsidR="00642DCA">
              <w:rPr>
                <w:sz w:val="19"/>
                <w:szCs w:val="19"/>
                <w:vertAlign w:val="superscript"/>
              </w:rPr>
              <w:t>16</w:t>
            </w:r>
          </w:p>
        </w:tc>
        <w:tc>
          <w:tcPr>
            <w:tcW w:w="610" w:type="pct"/>
            <w:gridSpan w:val="2"/>
            <w:shd w:val="clear" w:color="auto" w:fill="auto"/>
            <w:vAlign w:val="center"/>
          </w:tcPr>
          <w:p w14:paraId="5B4355FD" w14:textId="2D59DC59" w:rsidR="00676D6B" w:rsidRPr="0019444B" w:rsidRDefault="00B75821" w:rsidP="00CA022C">
            <w:pPr>
              <w:pStyle w:val="TableText0"/>
              <w:keepLines/>
            </w:pPr>
            <w:r w:rsidRPr="00B75821">
              <w:rPr>
                <w:color w:val="000000"/>
                <w:spacing w:val="53"/>
                <w:shd w:val="solid" w:color="000000" w:fill="000000"/>
                <w:fitText w:val="330" w:id="-1171435003"/>
                <w14:textFill>
                  <w14:solidFill>
                    <w14:srgbClr w14:val="000000">
                      <w14:alpha w14:val="100000"/>
                    </w14:srgbClr>
                  </w14:solidFill>
                </w14:textFill>
              </w:rPr>
              <w:t>|||</w:t>
            </w:r>
            <w:r w:rsidRPr="00B75821">
              <w:rPr>
                <w:color w:val="000000"/>
                <w:spacing w:val="1"/>
                <w:shd w:val="solid" w:color="000000" w:fill="000000"/>
                <w:fitText w:val="330" w:id="-1171435003"/>
                <w14:textFill>
                  <w14:solidFill>
                    <w14:srgbClr w14:val="000000">
                      <w14:alpha w14:val="100000"/>
                    </w14:srgbClr>
                  </w14:solidFill>
                </w14:textFill>
              </w:rPr>
              <w:t>|</w:t>
            </w:r>
            <w:r w:rsidR="00642DCA">
              <w:rPr>
                <w:sz w:val="19"/>
                <w:szCs w:val="19"/>
              </w:rPr>
              <w:t xml:space="preserve"> </w:t>
            </w:r>
            <w:r w:rsidR="00642DCA">
              <w:rPr>
                <w:sz w:val="19"/>
                <w:szCs w:val="19"/>
                <w:vertAlign w:val="superscript"/>
              </w:rPr>
              <w:t>16</w:t>
            </w:r>
          </w:p>
        </w:tc>
        <w:tc>
          <w:tcPr>
            <w:tcW w:w="610" w:type="pct"/>
            <w:gridSpan w:val="2"/>
            <w:shd w:val="clear" w:color="auto" w:fill="auto"/>
            <w:vAlign w:val="center"/>
          </w:tcPr>
          <w:p w14:paraId="4146AF9D" w14:textId="0189E54D" w:rsidR="00676D6B" w:rsidRPr="0019444B" w:rsidRDefault="00B75821" w:rsidP="00CA022C">
            <w:pPr>
              <w:pStyle w:val="TableText0"/>
              <w:keepLines/>
            </w:pPr>
            <w:r w:rsidRPr="00B75821">
              <w:rPr>
                <w:color w:val="000000"/>
                <w:spacing w:val="53"/>
                <w:shd w:val="solid" w:color="000000" w:fill="000000"/>
                <w:fitText w:val="330" w:id="-1171435002"/>
                <w14:textFill>
                  <w14:solidFill>
                    <w14:srgbClr w14:val="000000">
                      <w14:alpha w14:val="100000"/>
                    </w14:srgbClr>
                  </w14:solidFill>
                </w14:textFill>
              </w:rPr>
              <w:t>|||</w:t>
            </w:r>
            <w:r w:rsidRPr="00B75821">
              <w:rPr>
                <w:color w:val="000000"/>
                <w:spacing w:val="1"/>
                <w:shd w:val="solid" w:color="000000" w:fill="000000"/>
                <w:fitText w:val="330" w:id="-1171435002"/>
                <w14:textFill>
                  <w14:solidFill>
                    <w14:srgbClr w14:val="000000">
                      <w14:alpha w14:val="100000"/>
                    </w14:srgbClr>
                  </w14:solidFill>
                </w14:textFill>
              </w:rPr>
              <w:t>|</w:t>
            </w:r>
            <w:r w:rsidR="00642DCA">
              <w:rPr>
                <w:sz w:val="19"/>
                <w:szCs w:val="19"/>
              </w:rPr>
              <w:t xml:space="preserve"> </w:t>
            </w:r>
            <w:r w:rsidR="00642DCA">
              <w:rPr>
                <w:sz w:val="19"/>
                <w:szCs w:val="19"/>
                <w:vertAlign w:val="superscript"/>
              </w:rPr>
              <w:t>16</w:t>
            </w:r>
          </w:p>
        </w:tc>
        <w:tc>
          <w:tcPr>
            <w:tcW w:w="610" w:type="pct"/>
            <w:gridSpan w:val="2"/>
            <w:shd w:val="clear" w:color="auto" w:fill="auto"/>
            <w:vAlign w:val="center"/>
          </w:tcPr>
          <w:p w14:paraId="4FCBF8AB" w14:textId="3844EDC3" w:rsidR="00676D6B" w:rsidRPr="0019444B" w:rsidRDefault="00B75821" w:rsidP="00CA022C">
            <w:pPr>
              <w:pStyle w:val="TableText0"/>
              <w:keepLines/>
            </w:pPr>
            <w:r w:rsidRPr="00B75821">
              <w:rPr>
                <w:color w:val="000000"/>
                <w:spacing w:val="53"/>
                <w:shd w:val="solid" w:color="000000" w:fill="000000"/>
                <w:fitText w:val="331" w:id="-1171435001"/>
                <w14:textFill>
                  <w14:solidFill>
                    <w14:srgbClr w14:val="000000">
                      <w14:alpha w14:val="100000"/>
                    </w14:srgbClr>
                  </w14:solidFill>
                </w14:textFill>
              </w:rPr>
              <w:t>|||</w:t>
            </w:r>
            <w:r w:rsidRPr="00B75821">
              <w:rPr>
                <w:color w:val="000000"/>
                <w:spacing w:val="2"/>
                <w:shd w:val="solid" w:color="000000" w:fill="000000"/>
                <w:fitText w:val="331" w:id="-1171435001"/>
                <w14:textFill>
                  <w14:solidFill>
                    <w14:srgbClr w14:val="000000">
                      <w14:alpha w14:val="100000"/>
                    </w14:srgbClr>
                  </w14:solidFill>
                </w14:textFill>
              </w:rPr>
              <w:t>|</w:t>
            </w:r>
            <w:r w:rsidR="00642DCA">
              <w:rPr>
                <w:sz w:val="19"/>
                <w:szCs w:val="19"/>
              </w:rPr>
              <w:t xml:space="preserve"> </w:t>
            </w:r>
            <w:r w:rsidR="00642DCA">
              <w:rPr>
                <w:sz w:val="19"/>
                <w:szCs w:val="19"/>
                <w:vertAlign w:val="superscript"/>
              </w:rPr>
              <w:t>16</w:t>
            </w:r>
          </w:p>
        </w:tc>
        <w:tc>
          <w:tcPr>
            <w:tcW w:w="617" w:type="pct"/>
            <w:vAlign w:val="center"/>
          </w:tcPr>
          <w:p w14:paraId="5F0FA1C5" w14:textId="085B12C3" w:rsidR="00676D6B" w:rsidRPr="0019444B" w:rsidRDefault="00B75821" w:rsidP="00CA022C">
            <w:pPr>
              <w:pStyle w:val="TableText0"/>
              <w:keepLines/>
            </w:pPr>
            <w:r w:rsidRPr="00B75821">
              <w:rPr>
                <w:color w:val="000000"/>
                <w:spacing w:val="53"/>
                <w:shd w:val="solid" w:color="000000" w:fill="000000"/>
                <w:fitText w:val="330" w:id="-1171435000"/>
                <w14:textFill>
                  <w14:solidFill>
                    <w14:srgbClr w14:val="000000">
                      <w14:alpha w14:val="100000"/>
                    </w14:srgbClr>
                  </w14:solidFill>
                </w14:textFill>
              </w:rPr>
              <w:t>|||</w:t>
            </w:r>
            <w:r w:rsidRPr="00B75821">
              <w:rPr>
                <w:color w:val="000000"/>
                <w:spacing w:val="1"/>
                <w:shd w:val="solid" w:color="000000" w:fill="000000"/>
                <w:fitText w:val="330" w:id="-1171435000"/>
                <w14:textFill>
                  <w14:solidFill>
                    <w14:srgbClr w14:val="000000">
                      <w14:alpha w14:val="100000"/>
                    </w14:srgbClr>
                  </w14:solidFill>
                </w14:textFill>
              </w:rPr>
              <w:t>|</w:t>
            </w:r>
            <w:r w:rsidR="00642DCA">
              <w:rPr>
                <w:sz w:val="19"/>
                <w:szCs w:val="19"/>
              </w:rPr>
              <w:t xml:space="preserve"> </w:t>
            </w:r>
            <w:r w:rsidR="00642DCA">
              <w:rPr>
                <w:sz w:val="19"/>
                <w:szCs w:val="19"/>
                <w:vertAlign w:val="superscript"/>
              </w:rPr>
              <w:t>16</w:t>
            </w:r>
          </w:p>
        </w:tc>
      </w:tr>
      <w:tr w:rsidR="00676D6B" w:rsidRPr="0019444B" w14:paraId="699E321A" w14:textId="77777777" w:rsidTr="009B2A95">
        <w:tc>
          <w:tcPr>
            <w:tcW w:w="1332" w:type="pct"/>
            <w:gridSpan w:val="2"/>
            <w:shd w:val="clear" w:color="auto" w:fill="auto"/>
            <w:vAlign w:val="center"/>
          </w:tcPr>
          <w:p w14:paraId="10640BF5" w14:textId="0F011C82" w:rsidR="00676D6B" w:rsidRPr="0019444B" w:rsidRDefault="00676D6B" w:rsidP="00CA022C">
            <w:pPr>
              <w:pStyle w:val="TableText0"/>
              <w:keepLines/>
              <w:rPr>
                <w:sz w:val="19"/>
                <w:szCs w:val="19"/>
              </w:rPr>
            </w:pPr>
            <w:r w:rsidRPr="0019444B">
              <w:rPr>
                <w:sz w:val="19"/>
                <w:szCs w:val="19"/>
              </w:rPr>
              <w:t>Net cost to PBS/RPBS/MBS/ Services Australia</w:t>
            </w:r>
            <w:r w:rsidR="00CA022C">
              <w:rPr>
                <w:sz w:val="19"/>
                <w:szCs w:val="19"/>
              </w:rPr>
              <w:t xml:space="preserve"> ($)</w:t>
            </w:r>
          </w:p>
        </w:tc>
        <w:tc>
          <w:tcPr>
            <w:tcW w:w="627" w:type="pct"/>
            <w:gridSpan w:val="2"/>
            <w:vAlign w:val="center"/>
          </w:tcPr>
          <w:p w14:paraId="692B6030" w14:textId="0E2C3562" w:rsidR="00676D6B" w:rsidRPr="0019444B" w:rsidRDefault="00B75821" w:rsidP="00CA022C">
            <w:pPr>
              <w:pStyle w:val="TableText0"/>
              <w:keepLines/>
            </w:pPr>
            <w:r w:rsidRPr="00B75821">
              <w:rPr>
                <w:color w:val="000000"/>
                <w:spacing w:val="53"/>
                <w:shd w:val="solid" w:color="000000" w:fill="000000"/>
                <w:fitText w:val="330" w:id="-1171434999"/>
                <w14:textFill>
                  <w14:solidFill>
                    <w14:srgbClr w14:val="000000">
                      <w14:alpha w14:val="100000"/>
                    </w14:srgbClr>
                  </w14:solidFill>
                </w14:textFill>
              </w:rPr>
              <w:t>|||</w:t>
            </w:r>
            <w:r w:rsidRPr="00B75821">
              <w:rPr>
                <w:color w:val="000000"/>
                <w:spacing w:val="1"/>
                <w:shd w:val="solid" w:color="000000" w:fill="000000"/>
                <w:fitText w:val="330" w:id="-1171434999"/>
                <w14:textFill>
                  <w14:solidFill>
                    <w14:srgbClr w14:val="000000">
                      <w14:alpha w14:val="100000"/>
                    </w14:srgbClr>
                  </w14:solidFill>
                </w14:textFill>
              </w:rPr>
              <w:t>|</w:t>
            </w:r>
            <w:r w:rsidR="00642DCA">
              <w:rPr>
                <w:sz w:val="19"/>
                <w:szCs w:val="19"/>
              </w:rPr>
              <w:t xml:space="preserve"> </w:t>
            </w:r>
            <w:r w:rsidR="00642DCA">
              <w:rPr>
                <w:sz w:val="19"/>
                <w:szCs w:val="19"/>
                <w:vertAlign w:val="superscript"/>
              </w:rPr>
              <w:t>16</w:t>
            </w:r>
          </w:p>
        </w:tc>
        <w:tc>
          <w:tcPr>
            <w:tcW w:w="594" w:type="pct"/>
            <w:gridSpan w:val="2"/>
            <w:vAlign w:val="center"/>
          </w:tcPr>
          <w:p w14:paraId="4015F564" w14:textId="00BBB0C9" w:rsidR="00676D6B" w:rsidRPr="0019444B" w:rsidRDefault="00B75821" w:rsidP="00CA022C">
            <w:pPr>
              <w:pStyle w:val="TableText0"/>
              <w:keepLines/>
            </w:pPr>
            <w:r w:rsidRPr="00B75821">
              <w:rPr>
                <w:color w:val="000000"/>
                <w:spacing w:val="53"/>
                <w:shd w:val="solid" w:color="000000" w:fill="000000"/>
                <w:fitText w:val="330" w:id="-1171434998"/>
                <w14:textFill>
                  <w14:solidFill>
                    <w14:srgbClr w14:val="000000">
                      <w14:alpha w14:val="100000"/>
                    </w14:srgbClr>
                  </w14:solidFill>
                </w14:textFill>
              </w:rPr>
              <w:t>|||</w:t>
            </w:r>
            <w:r w:rsidRPr="00B75821">
              <w:rPr>
                <w:color w:val="000000"/>
                <w:spacing w:val="1"/>
                <w:shd w:val="solid" w:color="000000" w:fill="000000"/>
                <w:fitText w:val="330" w:id="-1171434998"/>
                <w14:textFill>
                  <w14:solidFill>
                    <w14:srgbClr w14:val="000000">
                      <w14:alpha w14:val="100000"/>
                    </w14:srgbClr>
                  </w14:solidFill>
                </w14:textFill>
              </w:rPr>
              <w:t>|</w:t>
            </w:r>
            <w:r w:rsidR="00642DCA">
              <w:rPr>
                <w:sz w:val="19"/>
                <w:szCs w:val="19"/>
              </w:rPr>
              <w:t xml:space="preserve"> </w:t>
            </w:r>
            <w:r w:rsidR="00642DCA">
              <w:rPr>
                <w:sz w:val="19"/>
                <w:szCs w:val="19"/>
                <w:vertAlign w:val="superscript"/>
              </w:rPr>
              <w:t>16</w:t>
            </w:r>
          </w:p>
        </w:tc>
        <w:tc>
          <w:tcPr>
            <w:tcW w:w="610" w:type="pct"/>
            <w:gridSpan w:val="2"/>
            <w:vAlign w:val="center"/>
          </w:tcPr>
          <w:p w14:paraId="2573E302" w14:textId="60C97B35" w:rsidR="00676D6B" w:rsidRPr="0019444B" w:rsidRDefault="00B75821" w:rsidP="00CA022C">
            <w:pPr>
              <w:pStyle w:val="TableText0"/>
              <w:keepLines/>
            </w:pPr>
            <w:r w:rsidRPr="00B75821">
              <w:rPr>
                <w:color w:val="000000"/>
                <w:spacing w:val="53"/>
                <w:shd w:val="solid" w:color="000000" w:fill="000000"/>
                <w:fitText w:val="330" w:id="-1171434997"/>
                <w14:textFill>
                  <w14:solidFill>
                    <w14:srgbClr w14:val="000000">
                      <w14:alpha w14:val="100000"/>
                    </w14:srgbClr>
                  </w14:solidFill>
                </w14:textFill>
              </w:rPr>
              <w:t>|||</w:t>
            </w:r>
            <w:r w:rsidRPr="00B75821">
              <w:rPr>
                <w:color w:val="000000"/>
                <w:spacing w:val="1"/>
                <w:shd w:val="solid" w:color="000000" w:fill="000000"/>
                <w:fitText w:val="330" w:id="-1171434997"/>
                <w14:textFill>
                  <w14:solidFill>
                    <w14:srgbClr w14:val="000000">
                      <w14:alpha w14:val="100000"/>
                    </w14:srgbClr>
                  </w14:solidFill>
                </w14:textFill>
              </w:rPr>
              <w:t>|</w:t>
            </w:r>
            <w:r w:rsidR="00642DCA">
              <w:rPr>
                <w:sz w:val="19"/>
                <w:szCs w:val="19"/>
              </w:rPr>
              <w:t xml:space="preserve"> </w:t>
            </w:r>
            <w:r w:rsidR="00642DCA">
              <w:rPr>
                <w:sz w:val="19"/>
                <w:szCs w:val="19"/>
                <w:vertAlign w:val="superscript"/>
              </w:rPr>
              <w:t>16</w:t>
            </w:r>
          </w:p>
        </w:tc>
        <w:tc>
          <w:tcPr>
            <w:tcW w:w="610" w:type="pct"/>
            <w:gridSpan w:val="2"/>
            <w:vAlign w:val="center"/>
          </w:tcPr>
          <w:p w14:paraId="69D889DB" w14:textId="27845F30" w:rsidR="00676D6B" w:rsidRPr="0019444B" w:rsidRDefault="00B75821" w:rsidP="00CA022C">
            <w:pPr>
              <w:pStyle w:val="TableText0"/>
              <w:keepLines/>
            </w:pPr>
            <w:r w:rsidRPr="00B75821">
              <w:rPr>
                <w:color w:val="000000"/>
                <w:spacing w:val="53"/>
                <w:shd w:val="solid" w:color="000000" w:fill="000000"/>
                <w:fitText w:val="330" w:id="-1171434996"/>
                <w14:textFill>
                  <w14:solidFill>
                    <w14:srgbClr w14:val="000000">
                      <w14:alpha w14:val="100000"/>
                    </w14:srgbClr>
                  </w14:solidFill>
                </w14:textFill>
              </w:rPr>
              <w:t>|||</w:t>
            </w:r>
            <w:r w:rsidRPr="00B75821">
              <w:rPr>
                <w:color w:val="000000"/>
                <w:spacing w:val="1"/>
                <w:shd w:val="solid" w:color="000000" w:fill="000000"/>
                <w:fitText w:val="330" w:id="-1171434996"/>
                <w14:textFill>
                  <w14:solidFill>
                    <w14:srgbClr w14:val="000000">
                      <w14:alpha w14:val="100000"/>
                    </w14:srgbClr>
                  </w14:solidFill>
                </w14:textFill>
              </w:rPr>
              <w:t>|</w:t>
            </w:r>
            <w:r w:rsidR="00642DCA">
              <w:rPr>
                <w:sz w:val="19"/>
                <w:szCs w:val="19"/>
              </w:rPr>
              <w:t xml:space="preserve"> </w:t>
            </w:r>
            <w:r w:rsidR="00642DCA">
              <w:rPr>
                <w:sz w:val="19"/>
                <w:szCs w:val="19"/>
                <w:vertAlign w:val="superscript"/>
              </w:rPr>
              <w:t>16</w:t>
            </w:r>
          </w:p>
        </w:tc>
        <w:tc>
          <w:tcPr>
            <w:tcW w:w="610" w:type="pct"/>
            <w:gridSpan w:val="2"/>
            <w:vAlign w:val="center"/>
          </w:tcPr>
          <w:p w14:paraId="332D975D" w14:textId="6D2FA310" w:rsidR="00676D6B" w:rsidRPr="0019444B" w:rsidRDefault="00B75821" w:rsidP="00CA022C">
            <w:pPr>
              <w:pStyle w:val="TableText0"/>
              <w:keepLines/>
            </w:pPr>
            <w:r w:rsidRPr="00B75821">
              <w:rPr>
                <w:color w:val="000000"/>
                <w:spacing w:val="53"/>
                <w:shd w:val="solid" w:color="000000" w:fill="000000"/>
                <w:fitText w:val="331" w:id="-1171434995"/>
                <w14:textFill>
                  <w14:solidFill>
                    <w14:srgbClr w14:val="000000">
                      <w14:alpha w14:val="100000"/>
                    </w14:srgbClr>
                  </w14:solidFill>
                </w14:textFill>
              </w:rPr>
              <w:t>|||</w:t>
            </w:r>
            <w:r w:rsidRPr="00B75821">
              <w:rPr>
                <w:color w:val="000000"/>
                <w:spacing w:val="2"/>
                <w:shd w:val="solid" w:color="000000" w:fill="000000"/>
                <w:fitText w:val="331" w:id="-1171434995"/>
                <w14:textFill>
                  <w14:solidFill>
                    <w14:srgbClr w14:val="000000">
                      <w14:alpha w14:val="100000"/>
                    </w14:srgbClr>
                  </w14:solidFill>
                </w14:textFill>
              </w:rPr>
              <w:t>|</w:t>
            </w:r>
            <w:r w:rsidR="00642DCA">
              <w:rPr>
                <w:sz w:val="19"/>
                <w:szCs w:val="19"/>
              </w:rPr>
              <w:t xml:space="preserve"> </w:t>
            </w:r>
            <w:r w:rsidR="00642DCA">
              <w:rPr>
                <w:sz w:val="19"/>
                <w:szCs w:val="19"/>
                <w:vertAlign w:val="superscript"/>
              </w:rPr>
              <w:t>13</w:t>
            </w:r>
          </w:p>
        </w:tc>
        <w:tc>
          <w:tcPr>
            <w:tcW w:w="617" w:type="pct"/>
            <w:vAlign w:val="center"/>
          </w:tcPr>
          <w:p w14:paraId="77148779" w14:textId="701699A8" w:rsidR="00676D6B" w:rsidRPr="0019444B" w:rsidRDefault="00B75821" w:rsidP="00CA022C">
            <w:pPr>
              <w:pStyle w:val="TableText0"/>
              <w:keepLines/>
            </w:pPr>
            <w:r w:rsidRPr="00B75821">
              <w:rPr>
                <w:color w:val="000000"/>
                <w:spacing w:val="53"/>
                <w:shd w:val="solid" w:color="000000" w:fill="000000"/>
                <w:fitText w:val="330" w:id="-1171434994"/>
                <w14:textFill>
                  <w14:solidFill>
                    <w14:srgbClr w14:val="000000">
                      <w14:alpha w14:val="100000"/>
                    </w14:srgbClr>
                  </w14:solidFill>
                </w14:textFill>
              </w:rPr>
              <w:t>|||</w:t>
            </w:r>
            <w:r w:rsidRPr="00B75821">
              <w:rPr>
                <w:color w:val="000000"/>
                <w:spacing w:val="1"/>
                <w:shd w:val="solid" w:color="000000" w:fill="000000"/>
                <w:fitText w:val="330" w:id="-1171434994"/>
                <w14:textFill>
                  <w14:solidFill>
                    <w14:srgbClr w14:val="000000">
                      <w14:alpha w14:val="100000"/>
                    </w14:srgbClr>
                  </w14:solidFill>
                </w14:textFill>
              </w:rPr>
              <w:t>|</w:t>
            </w:r>
            <w:r w:rsidR="00642DCA">
              <w:rPr>
                <w:sz w:val="19"/>
                <w:szCs w:val="19"/>
              </w:rPr>
              <w:t xml:space="preserve"> </w:t>
            </w:r>
            <w:r w:rsidR="00642DCA">
              <w:rPr>
                <w:sz w:val="19"/>
                <w:szCs w:val="19"/>
                <w:vertAlign w:val="superscript"/>
              </w:rPr>
              <w:t>13</w:t>
            </w:r>
          </w:p>
        </w:tc>
      </w:tr>
    </w:tbl>
    <w:p w14:paraId="455A5DE9" w14:textId="30E14B8B" w:rsidR="00262BF8" w:rsidRPr="0019444B" w:rsidRDefault="00791C2D" w:rsidP="00CA022C">
      <w:pPr>
        <w:pStyle w:val="FooterTableFigure"/>
        <w:keepNext/>
        <w:keepLines/>
        <w:rPr>
          <w:szCs w:val="18"/>
        </w:rPr>
      </w:pPr>
      <w:r w:rsidRPr="0019444B">
        <w:t>Source: Table 4.24, p261 of the resubmission</w:t>
      </w:r>
      <w:r w:rsidR="00216D28" w:rsidRPr="0019444B">
        <w:t xml:space="preserve">, adjusted during the evaluation and recalculated based on a published price of </w:t>
      </w:r>
      <w:r w:rsidR="00216D28" w:rsidRPr="0019444B">
        <w:rPr>
          <w:szCs w:val="18"/>
        </w:rPr>
        <w:t>$2,243.12 per script for acalabrutinib</w:t>
      </w:r>
      <w:r w:rsidR="00B54236" w:rsidRPr="0019444B">
        <w:rPr>
          <w:szCs w:val="18"/>
        </w:rPr>
        <w:t xml:space="preserve"> (calculated as a cost-minimised price based on the published prices of the comparators)</w:t>
      </w:r>
    </w:p>
    <w:p w14:paraId="3DC35225" w14:textId="0649F5B5" w:rsidR="00791C2D" w:rsidRDefault="00D22E78" w:rsidP="00CA022C">
      <w:pPr>
        <w:pStyle w:val="FooterTableFigure"/>
        <w:keepNext/>
        <w:keepLines/>
        <w:spacing w:after="0"/>
        <w:contextualSpacing w:val="0"/>
      </w:pPr>
      <w:r w:rsidRPr="0019444B">
        <w:t>ACA = acalabrutinib, OBIN = obinutuzumab, VTX = venetoclax</w:t>
      </w:r>
    </w:p>
    <w:p w14:paraId="6D70473F" w14:textId="77777777" w:rsidR="00642DCA" w:rsidRPr="009A6D58" w:rsidRDefault="00642DCA" w:rsidP="00CA022C">
      <w:pPr>
        <w:keepNext/>
        <w:keepLines/>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076A2850" w14:textId="6EE1F892" w:rsidR="00642DCA" w:rsidRPr="009A6D58" w:rsidRDefault="00642DCA" w:rsidP="00CA022C">
      <w:pPr>
        <w:keepNext/>
        <w:keepLines/>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1C73CF" w:rsidRPr="001C73CF">
        <w:rPr>
          <w:rFonts w:ascii="Arial Narrow" w:hAnsi="Arial Narrow"/>
          <w:i/>
          <w:sz w:val="18"/>
          <w:szCs w:val="18"/>
        </w:rPr>
        <w:t>5,000 to &lt; 10,000</w:t>
      </w:r>
    </w:p>
    <w:p w14:paraId="0E99323F" w14:textId="66ABAC2F" w:rsidR="00642DCA" w:rsidRPr="009A6D58" w:rsidRDefault="00642DCA" w:rsidP="00CA022C">
      <w:pPr>
        <w:keepNext/>
        <w:keepLines/>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1C73CF" w:rsidRPr="001C73CF">
        <w:rPr>
          <w:rFonts w:ascii="Arial Narrow" w:hAnsi="Arial Narrow"/>
          <w:i/>
          <w:sz w:val="18"/>
          <w:szCs w:val="18"/>
        </w:rPr>
        <w:t>10,000 to &lt; 20,000</w:t>
      </w:r>
    </w:p>
    <w:p w14:paraId="262962AC" w14:textId="3CE2E797" w:rsidR="00642DCA" w:rsidRDefault="00642DCA" w:rsidP="00CA022C">
      <w:pPr>
        <w:keepNext/>
        <w:keepLines/>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1C73CF" w:rsidRPr="001C73CF">
        <w:rPr>
          <w:rFonts w:ascii="Arial Narrow" w:hAnsi="Arial Narrow"/>
          <w:i/>
          <w:sz w:val="18"/>
          <w:szCs w:val="18"/>
        </w:rPr>
        <w:t>20,000 to &lt; 30,000</w:t>
      </w:r>
    </w:p>
    <w:p w14:paraId="67B50B16" w14:textId="77777777" w:rsidR="001C73CF" w:rsidRDefault="00642DCA" w:rsidP="00CA022C">
      <w:pPr>
        <w:keepNext/>
        <w:keepLines/>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1C73CF" w:rsidRPr="001C73CF">
        <w:rPr>
          <w:rFonts w:ascii="Arial Narrow" w:hAnsi="Arial Narrow"/>
          <w:i/>
          <w:sz w:val="18"/>
          <w:szCs w:val="18"/>
        </w:rPr>
        <w:t>30,000 to &lt; 40,000</w:t>
      </w:r>
    </w:p>
    <w:p w14:paraId="500AD543" w14:textId="6652FBDF" w:rsidR="00642DCA" w:rsidRDefault="00642DCA" w:rsidP="00CA022C">
      <w:pPr>
        <w:keepNext/>
        <w:keepLines/>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1C73CF">
        <w:rPr>
          <w:rFonts w:ascii="Arial Narrow" w:hAnsi="Arial Narrow"/>
          <w:i/>
          <w:sz w:val="18"/>
          <w:szCs w:val="18"/>
        </w:rPr>
        <w:t>&lt; 500</w:t>
      </w:r>
    </w:p>
    <w:p w14:paraId="4AA4525E" w14:textId="03AAC898" w:rsidR="00642DCA" w:rsidRDefault="00642DCA" w:rsidP="00CA022C">
      <w:pPr>
        <w:keepNext/>
        <w:keepLines/>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001C73CF" w:rsidRPr="001C73CF">
        <w:rPr>
          <w:rFonts w:ascii="Arial Narrow" w:hAnsi="Arial Narrow"/>
          <w:i/>
          <w:sz w:val="18"/>
          <w:szCs w:val="18"/>
        </w:rPr>
        <w:t>500 to &lt; 5,000</w:t>
      </w:r>
    </w:p>
    <w:p w14:paraId="600ED87B" w14:textId="63643A34" w:rsidR="00642DCA" w:rsidRPr="009A6D58" w:rsidRDefault="00642DCA" w:rsidP="00CA022C">
      <w:pPr>
        <w:keepNext/>
        <w:keepLines/>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001C73CF" w:rsidRPr="001C73CF">
        <w:rPr>
          <w:rFonts w:ascii="Arial Narrow" w:hAnsi="Arial Narrow"/>
          <w:i/>
          <w:sz w:val="18"/>
          <w:szCs w:val="18"/>
        </w:rPr>
        <w:t>$10 million to &lt; $20 million</w:t>
      </w:r>
    </w:p>
    <w:p w14:paraId="3493D13C" w14:textId="76187BBF" w:rsidR="00642DCA" w:rsidRPr="009A6D58" w:rsidRDefault="00642DCA" w:rsidP="00CA022C">
      <w:pPr>
        <w:keepNext/>
        <w:keepLines/>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w:t>
      </w:r>
      <w:r w:rsidR="001C73CF" w:rsidRPr="001C73CF">
        <w:rPr>
          <w:rFonts w:ascii="Arial Narrow" w:hAnsi="Arial Narrow"/>
          <w:i/>
          <w:sz w:val="18"/>
          <w:szCs w:val="18"/>
        </w:rPr>
        <w:t>$</w:t>
      </w:r>
      <w:r w:rsidR="001C73CF">
        <w:rPr>
          <w:rFonts w:ascii="Arial Narrow" w:hAnsi="Arial Narrow"/>
          <w:i/>
          <w:sz w:val="18"/>
          <w:szCs w:val="18"/>
        </w:rPr>
        <w:t>2</w:t>
      </w:r>
      <w:r w:rsidR="001C73CF" w:rsidRPr="001C73CF">
        <w:rPr>
          <w:rFonts w:ascii="Arial Narrow" w:hAnsi="Arial Narrow"/>
          <w:i/>
          <w:sz w:val="18"/>
          <w:szCs w:val="18"/>
        </w:rPr>
        <w:t>0 million to &lt; $</w:t>
      </w:r>
      <w:r w:rsidR="001C73CF">
        <w:rPr>
          <w:rFonts w:ascii="Arial Narrow" w:hAnsi="Arial Narrow"/>
          <w:i/>
          <w:sz w:val="18"/>
          <w:szCs w:val="18"/>
        </w:rPr>
        <w:t>3</w:t>
      </w:r>
      <w:r w:rsidR="001C73CF" w:rsidRPr="001C73CF">
        <w:rPr>
          <w:rFonts w:ascii="Arial Narrow" w:hAnsi="Arial Narrow"/>
          <w:i/>
          <w:sz w:val="18"/>
          <w:szCs w:val="18"/>
        </w:rPr>
        <w:t>0 million</w:t>
      </w:r>
    </w:p>
    <w:p w14:paraId="25CEA984" w14:textId="52C9622C" w:rsidR="00642DCA" w:rsidRDefault="00642DCA" w:rsidP="00CA022C">
      <w:pPr>
        <w:keepNext/>
        <w:keepLines/>
        <w:rPr>
          <w:rFonts w:ascii="Arial Narrow" w:hAnsi="Arial Narrow"/>
          <w:i/>
          <w:sz w:val="18"/>
          <w:szCs w:val="18"/>
        </w:rPr>
      </w:pPr>
      <w:r>
        <w:rPr>
          <w:rFonts w:ascii="Arial Narrow" w:hAnsi="Arial Narrow"/>
          <w:i/>
          <w:sz w:val="18"/>
          <w:szCs w:val="18"/>
          <w:vertAlign w:val="superscript"/>
        </w:rPr>
        <w:t>9</w:t>
      </w:r>
      <w:r>
        <w:rPr>
          <w:rFonts w:ascii="Arial Narrow" w:hAnsi="Arial Narrow"/>
          <w:i/>
          <w:sz w:val="18"/>
          <w:szCs w:val="18"/>
        </w:rPr>
        <w:t xml:space="preserve"> </w:t>
      </w:r>
      <w:r w:rsidR="001C73CF" w:rsidRPr="001C73CF">
        <w:rPr>
          <w:rFonts w:ascii="Arial Narrow" w:hAnsi="Arial Narrow"/>
          <w:i/>
          <w:sz w:val="18"/>
          <w:szCs w:val="18"/>
        </w:rPr>
        <w:t>$40 million to &lt; $50 million</w:t>
      </w:r>
    </w:p>
    <w:p w14:paraId="0449E1B5" w14:textId="35199AA2" w:rsidR="00642DCA" w:rsidRDefault="00642DCA" w:rsidP="00CA022C">
      <w:pPr>
        <w:keepNext/>
        <w:keepLines/>
        <w:rPr>
          <w:rFonts w:ascii="Arial Narrow" w:hAnsi="Arial Narrow"/>
          <w:i/>
          <w:sz w:val="18"/>
          <w:szCs w:val="18"/>
        </w:rPr>
      </w:pPr>
      <w:r>
        <w:rPr>
          <w:rFonts w:ascii="Arial Narrow" w:hAnsi="Arial Narrow"/>
          <w:i/>
          <w:sz w:val="18"/>
          <w:szCs w:val="18"/>
          <w:vertAlign w:val="superscript"/>
        </w:rPr>
        <w:t>10</w:t>
      </w:r>
      <w:r>
        <w:rPr>
          <w:rFonts w:ascii="Arial Narrow" w:hAnsi="Arial Narrow"/>
          <w:i/>
          <w:sz w:val="18"/>
          <w:szCs w:val="18"/>
        </w:rPr>
        <w:t xml:space="preserve"> </w:t>
      </w:r>
      <w:r w:rsidR="001C73CF" w:rsidRPr="001C73CF">
        <w:rPr>
          <w:rFonts w:ascii="Arial Narrow" w:hAnsi="Arial Narrow"/>
          <w:i/>
          <w:sz w:val="18"/>
          <w:szCs w:val="18"/>
        </w:rPr>
        <w:t>$60 million to &lt; $70 million</w:t>
      </w:r>
    </w:p>
    <w:p w14:paraId="21648B70" w14:textId="33D7F147" w:rsidR="00642DCA" w:rsidRDefault="00642DCA" w:rsidP="00CA022C">
      <w:pPr>
        <w:keepNext/>
        <w:keepLines/>
        <w:rPr>
          <w:rFonts w:ascii="Arial Narrow" w:hAnsi="Arial Narrow"/>
          <w:i/>
          <w:sz w:val="18"/>
          <w:szCs w:val="18"/>
        </w:rPr>
      </w:pPr>
      <w:r>
        <w:rPr>
          <w:rFonts w:ascii="Arial Narrow" w:hAnsi="Arial Narrow"/>
          <w:i/>
          <w:sz w:val="18"/>
          <w:szCs w:val="18"/>
          <w:vertAlign w:val="superscript"/>
        </w:rPr>
        <w:t>11</w:t>
      </w:r>
      <w:r>
        <w:rPr>
          <w:rFonts w:ascii="Arial Narrow" w:hAnsi="Arial Narrow"/>
          <w:i/>
          <w:sz w:val="18"/>
          <w:szCs w:val="18"/>
        </w:rPr>
        <w:t xml:space="preserve"> </w:t>
      </w:r>
      <w:r w:rsidR="001C73CF" w:rsidRPr="001C73CF">
        <w:rPr>
          <w:rFonts w:ascii="Arial Narrow" w:hAnsi="Arial Narrow"/>
          <w:i/>
          <w:sz w:val="18"/>
          <w:szCs w:val="18"/>
        </w:rPr>
        <w:t>$70 million to &lt; $80 million</w:t>
      </w:r>
    </w:p>
    <w:p w14:paraId="29460162" w14:textId="127073DA" w:rsidR="00642DCA" w:rsidRDefault="00642DCA" w:rsidP="00CA022C">
      <w:pPr>
        <w:keepNext/>
        <w:keepLines/>
        <w:rPr>
          <w:rFonts w:ascii="Arial Narrow" w:hAnsi="Arial Narrow"/>
          <w:i/>
          <w:sz w:val="18"/>
          <w:szCs w:val="18"/>
        </w:rPr>
      </w:pPr>
      <w:r>
        <w:rPr>
          <w:rFonts w:ascii="Arial Narrow" w:hAnsi="Arial Narrow"/>
          <w:i/>
          <w:sz w:val="18"/>
          <w:szCs w:val="18"/>
          <w:vertAlign w:val="superscript"/>
        </w:rPr>
        <w:t>12</w:t>
      </w:r>
      <w:r>
        <w:rPr>
          <w:rFonts w:ascii="Arial Narrow" w:hAnsi="Arial Narrow"/>
          <w:i/>
          <w:sz w:val="18"/>
          <w:szCs w:val="18"/>
        </w:rPr>
        <w:t xml:space="preserve"> </w:t>
      </w:r>
      <w:r w:rsidR="001C73CF" w:rsidRPr="001C73CF">
        <w:rPr>
          <w:rFonts w:ascii="Arial Narrow" w:hAnsi="Arial Narrow"/>
          <w:i/>
          <w:sz w:val="18"/>
          <w:szCs w:val="18"/>
        </w:rPr>
        <w:t>$</w:t>
      </w:r>
      <w:r w:rsidR="001C73CF">
        <w:rPr>
          <w:rFonts w:ascii="Arial Narrow" w:hAnsi="Arial Narrow"/>
          <w:i/>
          <w:sz w:val="18"/>
          <w:szCs w:val="18"/>
        </w:rPr>
        <w:t>8</w:t>
      </w:r>
      <w:r w:rsidR="001C73CF" w:rsidRPr="001C73CF">
        <w:rPr>
          <w:rFonts w:ascii="Arial Narrow" w:hAnsi="Arial Narrow"/>
          <w:i/>
          <w:sz w:val="18"/>
          <w:szCs w:val="18"/>
        </w:rPr>
        <w:t>0 million to &lt; $</w:t>
      </w:r>
      <w:r w:rsidR="001C73CF">
        <w:rPr>
          <w:rFonts w:ascii="Arial Narrow" w:hAnsi="Arial Narrow"/>
          <w:i/>
          <w:sz w:val="18"/>
          <w:szCs w:val="18"/>
        </w:rPr>
        <w:t>9</w:t>
      </w:r>
      <w:r w:rsidR="001C73CF" w:rsidRPr="001C73CF">
        <w:rPr>
          <w:rFonts w:ascii="Arial Narrow" w:hAnsi="Arial Narrow"/>
          <w:i/>
          <w:sz w:val="18"/>
          <w:szCs w:val="18"/>
        </w:rPr>
        <w:t>0 million</w:t>
      </w:r>
    </w:p>
    <w:p w14:paraId="1F14CC82" w14:textId="155F0FC9" w:rsidR="00642DCA" w:rsidRPr="009A6D58" w:rsidRDefault="00642DCA" w:rsidP="00CA022C">
      <w:pPr>
        <w:keepNext/>
        <w:keepLines/>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vertAlign w:val="superscript"/>
        </w:rPr>
        <w:t>3</w:t>
      </w:r>
      <w:r>
        <w:rPr>
          <w:rFonts w:ascii="Arial Narrow" w:hAnsi="Arial Narrow"/>
          <w:i/>
          <w:sz w:val="18"/>
          <w:szCs w:val="18"/>
        </w:rPr>
        <w:t xml:space="preserve"> </w:t>
      </w:r>
      <w:bookmarkStart w:id="94" w:name="_Hlk145513093"/>
      <w:r w:rsidR="001C73CF" w:rsidRPr="001C73CF">
        <w:rPr>
          <w:rFonts w:ascii="Arial Narrow" w:hAnsi="Arial Narrow"/>
          <w:i/>
          <w:sz w:val="18"/>
          <w:szCs w:val="18"/>
        </w:rPr>
        <w:t>$0 to &lt; $10 million</w:t>
      </w:r>
      <w:bookmarkEnd w:id="94"/>
    </w:p>
    <w:p w14:paraId="7BF64800" w14:textId="370AC2C0" w:rsidR="00642DCA" w:rsidRPr="009A6D58" w:rsidRDefault="00642DCA" w:rsidP="00CA022C">
      <w:pPr>
        <w:keepNext/>
        <w:keepLines/>
        <w:rPr>
          <w:rFonts w:ascii="Arial Narrow" w:hAnsi="Arial Narrow"/>
          <w:i/>
          <w:sz w:val="18"/>
          <w:szCs w:val="18"/>
        </w:rPr>
      </w:pPr>
      <w:r>
        <w:rPr>
          <w:rFonts w:ascii="Arial Narrow" w:hAnsi="Arial Narrow"/>
          <w:i/>
          <w:sz w:val="18"/>
          <w:szCs w:val="18"/>
          <w:vertAlign w:val="superscript"/>
        </w:rPr>
        <w:t>14</w:t>
      </w:r>
      <w:r>
        <w:rPr>
          <w:rFonts w:ascii="Arial Narrow" w:hAnsi="Arial Narrow"/>
          <w:i/>
          <w:sz w:val="18"/>
          <w:szCs w:val="18"/>
        </w:rPr>
        <w:t xml:space="preserve"> </w:t>
      </w:r>
      <w:r w:rsidR="001C73CF" w:rsidRPr="001C73CF">
        <w:rPr>
          <w:rFonts w:ascii="Arial Narrow" w:hAnsi="Arial Narrow"/>
          <w:i/>
          <w:sz w:val="18"/>
          <w:szCs w:val="18"/>
        </w:rPr>
        <w:t>$</w:t>
      </w:r>
      <w:r w:rsidR="001C73CF">
        <w:rPr>
          <w:rFonts w:ascii="Arial Narrow" w:hAnsi="Arial Narrow"/>
          <w:i/>
          <w:sz w:val="18"/>
          <w:szCs w:val="18"/>
        </w:rPr>
        <w:t>3</w:t>
      </w:r>
      <w:r w:rsidR="001C73CF" w:rsidRPr="001C73CF">
        <w:rPr>
          <w:rFonts w:ascii="Arial Narrow" w:hAnsi="Arial Narrow"/>
          <w:i/>
          <w:sz w:val="18"/>
          <w:szCs w:val="18"/>
        </w:rPr>
        <w:t>0 million to &lt; $</w:t>
      </w:r>
      <w:r w:rsidR="001C73CF">
        <w:rPr>
          <w:rFonts w:ascii="Arial Narrow" w:hAnsi="Arial Narrow"/>
          <w:i/>
          <w:sz w:val="18"/>
          <w:szCs w:val="18"/>
        </w:rPr>
        <w:t>4</w:t>
      </w:r>
      <w:r w:rsidR="001C73CF" w:rsidRPr="001C73CF">
        <w:rPr>
          <w:rFonts w:ascii="Arial Narrow" w:hAnsi="Arial Narrow"/>
          <w:i/>
          <w:sz w:val="18"/>
          <w:szCs w:val="18"/>
        </w:rPr>
        <w:t>0 million</w:t>
      </w:r>
    </w:p>
    <w:p w14:paraId="323531B8" w14:textId="1FB6F122" w:rsidR="00642DCA" w:rsidRDefault="00642DCA" w:rsidP="00CA022C">
      <w:pPr>
        <w:keepNext/>
        <w:keepLines/>
        <w:rPr>
          <w:rFonts w:ascii="Arial Narrow" w:hAnsi="Arial Narrow"/>
          <w:i/>
          <w:sz w:val="18"/>
          <w:szCs w:val="18"/>
        </w:rPr>
      </w:pPr>
      <w:r>
        <w:rPr>
          <w:rFonts w:ascii="Arial Narrow" w:hAnsi="Arial Narrow"/>
          <w:i/>
          <w:sz w:val="18"/>
          <w:szCs w:val="18"/>
          <w:vertAlign w:val="superscript"/>
        </w:rPr>
        <w:t>15</w:t>
      </w:r>
      <w:r>
        <w:rPr>
          <w:rFonts w:ascii="Arial Narrow" w:hAnsi="Arial Narrow"/>
          <w:i/>
          <w:sz w:val="18"/>
          <w:szCs w:val="18"/>
        </w:rPr>
        <w:t xml:space="preserve"> </w:t>
      </w:r>
      <w:r w:rsidR="001C73CF" w:rsidRPr="001C73CF">
        <w:rPr>
          <w:rFonts w:ascii="Arial Narrow" w:hAnsi="Arial Narrow"/>
          <w:i/>
          <w:sz w:val="18"/>
          <w:szCs w:val="18"/>
        </w:rPr>
        <w:t>$</w:t>
      </w:r>
      <w:r w:rsidR="001C73CF">
        <w:rPr>
          <w:rFonts w:ascii="Arial Narrow" w:hAnsi="Arial Narrow"/>
          <w:i/>
          <w:sz w:val="18"/>
          <w:szCs w:val="18"/>
        </w:rPr>
        <w:t>5</w:t>
      </w:r>
      <w:r w:rsidR="001C73CF" w:rsidRPr="001C73CF">
        <w:rPr>
          <w:rFonts w:ascii="Arial Narrow" w:hAnsi="Arial Narrow"/>
          <w:i/>
          <w:sz w:val="18"/>
          <w:szCs w:val="18"/>
        </w:rPr>
        <w:t>0 million to &lt; $</w:t>
      </w:r>
      <w:r w:rsidR="001C73CF">
        <w:rPr>
          <w:rFonts w:ascii="Arial Narrow" w:hAnsi="Arial Narrow"/>
          <w:i/>
          <w:sz w:val="18"/>
          <w:szCs w:val="18"/>
        </w:rPr>
        <w:t>6</w:t>
      </w:r>
      <w:r w:rsidR="001C73CF" w:rsidRPr="001C73CF">
        <w:rPr>
          <w:rFonts w:ascii="Arial Narrow" w:hAnsi="Arial Narrow"/>
          <w:i/>
          <w:sz w:val="18"/>
          <w:szCs w:val="18"/>
        </w:rPr>
        <w:t>0 million</w:t>
      </w:r>
    </w:p>
    <w:p w14:paraId="3DC1344A" w14:textId="1AE1D61E" w:rsidR="00642DCA" w:rsidRDefault="00642DCA" w:rsidP="00CA022C">
      <w:pPr>
        <w:spacing w:after="120"/>
        <w:rPr>
          <w:rFonts w:ascii="Arial Narrow" w:hAnsi="Arial Narrow"/>
          <w:i/>
          <w:sz w:val="18"/>
          <w:szCs w:val="18"/>
        </w:rPr>
      </w:pPr>
      <w:r>
        <w:rPr>
          <w:rFonts w:ascii="Arial Narrow" w:hAnsi="Arial Narrow"/>
          <w:i/>
          <w:sz w:val="18"/>
          <w:szCs w:val="18"/>
          <w:vertAlign w:val="superscript"/>
        </w:rPr>
        <w:t>16</w:t>
      </w:r>
      <w:r>
        <w:rPr>
          <w:rFonts w:ascii="Arial Narrow" w:hAnsi="Arial Narrow"/>
          <w:i/>
          <w:sz w:val="18"/>
          <w:szCs w:val="18"/>
        </w:rPr>
        <w:t xml:space="preserve"> </w:t>
      </w:r>
      <w:r w:rsidR="001C73CF" w:rsidRPr="001C73CF">
        <w:rPr>
          <w:rFonts w:ascii="Arial Narrow" w:hAnsi="Arial Narrow"/>
          <w:i/>
          <w:sz w:val="18"/>
          <w:szCs w:val="18"/>
        </w:rPr>
        <w:t>net cost saving</w:t>
      </w:r>
    </w:p>
    <w:p w14:paraId="435AE565" w14:textId="1FAB580C" w:rsidR="00791C2D" w:rsidRPr="0019444B" w:rsidRDefault="00791C2D" w:rsidP="00791C2D">
      <w:pPr>
        <w:pStyle w:val="3-BodyText"/>
        <w:numPr>
          <w:ilvl w:val="1"/>
          <w:numId w:val="1"/>
        </w:numPr>
      </w:pPr>
      <w:r w:rsidRPr="0019444B">
        <w:t xml:space="preserve">The total </w:t>
      </w:r>
      <w:r w:rsidR="00294D32" w:rsidRPr="0019444B">
        <w:t xml:space="preserve">net </w:t>
      </w:r>
      <w:r w:rsidR="00EF3FCB">
        <w:t xml:space="preserve">financial impact on </w:t>
      </w:r>
      <w:r w:rsidRPr="0019444B">
        <w:t>the PBS/RPBS</w:t>
      </w:r>
      <w:r w:rsidR="001D20AB" w:rsidRPr="0019444B">
        <w:t>/MBS</w:t>
      </w:r>
      <w:r w:rsidRPr="0019444B">
        <w:t xml:space="preserve"> of listing ACA</w:t>
      </w:r>
      <w:r w:rsidR="00A45ED6" w:rsidRPr="0019444B">
        <w:t>+/-</w:t>
      </w:r>
      <w:r w:rsidRPr="0019444B">
        <w:t xml:space="preserve">OBIN was estimated to be </w:t>
      </w:r>
      <w:r w:rsidR="00B93CA4">
        <w:t xml:space="preserve">net </w:t>
      </w:r>
      <w:r w:rsidR="0074338D" w:rsidRPr="0019444B">
        <w:t>cost saving</w:t>
      </w:r>
      <w:r w:rsidR="00294D32" w:rsidRPr="0019444B">
        <w:t xml:space="preserve"> in </w:t>
      </w:r>
      <w:r w:rsidR="000326AD" w:rsidRPr="0019444B">
        <w:t>y</w:t>
      </w:r>
      <w:r w:rsidR="00294D32" w:rsidRPr="0019444B">
        <w:t xml:space="preserve">ear 1 and </w:t>
      </w:r>
      <w:r w:rsidR="00B93CA4" w:rsidRPr="00CA022C">
        <w:rPr>
          <w:iCs/>
        </w:rPr>
        <w:t>$0 to &lt; $10 million</w:t>
      </w:r>
      <w:r w:rsidR="00B93CA4" w:rsidRPr="00B93CA4" w:rsidDel="00B93CA4">
        <w:t xml:space="preserve"> </w:t>
      </w:r>
      <w:r w:rsidR="00294D32" w:rsidRPr="0019444B">
        <w:t xml:space="preserve">in </w:t>
      </w:r>
      <w:r w:rsidR="000326AD" w:rsidRPr="0019444B">
        <w:t>y</w:t>
      </w:r>
      <w:r w:rsidR="00294D32" w:rsidRPr="0019444B">
        <w:t xml:space="preserve">ear 6, using the </w:t>
      </w:r>
      <w:r w:rsidR="009A1EC0" w:rsidRPr="0019444B">
        <w:t xml:space="preserve">calculated CMA price for ACA and the </w:t>
      </w:r>
      <w:r w:rsidR="00294D32" w:rsidRPr="0019444B">
        <w:t>published DPMQ/DPMA prices</w:t>
      </w:r>
      <w:r w:rsidR="00C216CF" w:rsidRPr="0019444B">
        <w:t xml:space="preserve"> for VEN and OBIN</w:t>
      </w:r>
      <w:r w:rsidR="00294D32" w:rsidRPr="0019444B">
        <w:t xml:space="preserve">. </w:t>
      </w:r>
      <w:r w:rsidR="00C216CF" w:rsidRPr="0019444B">
        <w:t xml:space="preserve">The ESC noted the cost savings in the initial years and the additional costs in later years reflect the different treatment durations and hence distribution of costs over time. The average treatment duration with VEN+OBIN is approximately </w:t>
      </w:r>
      <w:r w:rsidR="00B93CA4" w:rsidRPr="0019444B">
        <w:t>10</w:t>
      </w:r>
      <w:r w:rsidR="00B93CA4">
        <w:t> </w:t>
      </w:r>
      <w:r w:rsidR="00C216CF" w:rsidRPr="0019444B">
        <w:t xml:space="preserve">months and so all of the costs accrue in the year in which treatment is initiated, whereas the average treatment duration with ACA+/-OBIN is approximately </w:t>
      </w:r>
      <w:proofErr w:type="gramStart"/>
      <w:r w:rsidR="00C216CF" w:rsidRPr="0019444B">
        <w:t xml:space="preserve">50 </w:t>
      </w:r>
      <w:r w:rsidR="00B93CA4">
        <w:t> </w:t>
      </w:r>
      <w:r w:rsidR="00C216CF" w:rsidRPr="0019444B">
        <w:t>months</w:t>
      </w:r>
      <w:proofErr w:type="gramEnd"/>
      <w:r w:rsidR="00C216CF" w:rsidRPr="0019444B">
        <w:t xml:space="preserve"> and so the costs accrue over 4.2 years.</w:t>
      </w:r>
    </w:p>
    <w:p w14:paraId="07545ABE" w14:textId="3501D1A9" w:rsidR="00791C2D" w:rsidRPr="0019444B" w:rsidRDefault="00791C2D" w:rsidP="00791C2D">
      <w:pPr>
        <w:pStyle w:val="3-BodyText"/>
        <w:numPr>
          <w:ilvl w:val="1"/>
          <w:numId w:val="1"/>
        </w:numPr>
        <w:rPr>
          <w:iCs/>
        </w:rPr>
      </w:pPr>
      <w:r w:rsidRPr="0019444B">
        <w:rPr>
          <w:iCs/>
        </w:rPr>
        <w:t xml:space="preserve">The duration of treatment with </w:t>
      </w:r>
      <w:r w:rsidR="009A2FDB" w:rsidRPr="0019444B">
        <w:rPr>
          <w:iCs/>
        </w:rPr>
        <w:t>ACA</w:t>
      </w:r>
      <w:r w:rsidR="00A45ED6" w:rsidRPr="0019444B">
        <w:rPr>
          <w:iCs/>
        </w:rPr>
        <w:t>+/-</w:t>
      </w:r>
      <w:r w:rsidR="009A2FDB" w:rsidRPr="0019444B">
        <w:rPr>
          <w:iCs/>
        </w:rPr>
        <w:t>OBIN</w:t>
      </w:r>
      <w:r w:rsidRPr="0019444B">
        <w:rPr>
          <w:iCs/>
        </w:rPr>
        <w:t xml:space="preserve"> was informed by the duration of treatment reported from the 58.2-month data-cut from ELEVATE-TN. </w:t>
      </w:r>
      <w:r w:rsidR="00C216CF" w:rsidRPr="0019444B">
        <w:rPr>
          <w:iCs/>
        </w:rPr>
        <w:t>The m</w:t>
      </w:r>
      <w:r w:rsidRPr="0019444B">
        <w:rPr>
          <w:iCs/>
        </w:rPr>
        <w:t>ean treatment duration</w:t>
      </w:r>
      <w:r w:rsidR="00C216CF" w:rsidRPr="0019444B">
        <w:rPr>
          <w:iCs/>
        </w:rPr>
        <w:t>s</w:t>
      </w:r>
      <w:r w:rsidRPr="0019444B">
        <w:rPr>
          <w:iCs/>
        </w:rPr>
        <w:t xml:space="preserve"> for </w:t>
      </w:r>
      <w:r w:rsidR="006D6DE6" w:rsidRPr="0019444B">
        <w:rPr>
          <w:iCs/>
        </w:rPr>
        <w:t>ACA</w:t>
      </w:r>
      <w:r w:rsidR="00CF0C6B" w:rsidRPr="0019444B">
        <w:rPr>
          <w:iCs/>
        </w:rPr>
        <w:t>+OBIN</w:t>
      </w:r>
      <w:r w:rsidRPr="0019444B">
        <w:rPr>
          <w:iCs/>
        </w:rPr>
        <w:t xml:space="preserve"> </w:t>
      </w:r>
      <w:r w:rsidR="00C216CF" w:rsidRPr="0019444B">
        <w:rPr>
          <w:iCs/>
        </w:rPr>
        <w:t xml:space="preserve">and ACA monotherapy were </w:t>
      </w:r>
      <w:r w:rsidRPr="0019444B">
        <w:rPr>
          <w:iCs/>
        </w:rPr>
        <w:t>50.7 months and 48.</w:t>
      </w:r>
      <w:r w:rsidR="00B93CA4" w:rsidRPr="0019444B">
        <w:rPr>
          <w:iCs/>
        </w:rPr>
        <w:t>4</w:t>
      </w:r>
      <w:r w:rsidR="00B93CA4">
        <w:rPr>
          <w:iCs/>
        </w:rPr>
        <w:t> </w:t>
      </w:r>
      <w:r w:rsidRPr="0019444B">
        <w:rPr>
          <w:iCs/>
        </w:rPr>
        <w:t xml:space="preserve">months </w:t>
      </w:r>
      <w:r w:rsidR="00C216CF" w:rsidRPr="0019444B">
        <w:rPr>
          <w:iCs/>
        </w:rPr>
        <w:t>respectively</w:t>
      </w:r>
      <w:r w:rsidRPr="0019444B">
        <w:rPr>
          <w:iCs/>
        </w:rPr>
        <w:t>. An adjustment for dose intensity was also applied by reducing the number of scripts required to align with observed dose intensity in the ELEVATE-TN trial (94.</w:t>
      </w:r>
      <w:r w:rsidR="00440958" w:rsidRPr="0019444B">
        <w:rPr>
          <w:iCs/>
        </w:rPr>
        <w:t>2</w:t>
      </w:r>
      <w:r w:rsidRPr="0019444B">
        <w:rPr>
          <w:iCs/>
        </w:rPr>
        <w:t xml:space="preserve">% for ACA+OBIN and 96.2% for ACA). </w:t>
      </w:r>
    </w:p>
    <w:p w14:paraId="67BCB50B" w14:textId="2D5B64D5" w:rsidR="00791C2D" w:rsidRPr="0019444B" w:rsidRDefault="00791C2D" w:rsidP="00791C2D">
      <w:pPr>
        <w:pStyle w:val="3-BodyText"/>
        <w:numPr>
          <w:ilvl w:val="1"/>
          <w:numId w:val="1"/>
        </w:numPr>
        <w:rPr>
          <w:iCs/>
        </w:rPr>
      </w:pPr>
      <w:r w:rsidRPr="0019444B">
        <w:rPr>
          <w:iCs/>
        </w:rPr>
        <w:t xml:space="preserve">The duration was likely to be significantly underestimated as </w:t>
      </w:r>
      <w:proofErr w:type="gramStart"/>
      <w:r w:rsidR="009C528B">
        <w:rPr>
          <w:iCs/>
        </w:rPr>
        <w:t>the majority of</w:t>
      </w:r>
      <w:proofErr w:type="gramEnd"/>
      <w:r w:rsidRPr="0019444B">
        <w:rPr>
          <w:iCs/>
        </w:rPr>
        <w:t xml:space="preserve"> patients remained on treatment at the </w:t>
      </w:r>
      <w:r w:rsidR="00065C8F" w:rsidRPr="0019444B">
        <w:rPr>
          <w:iCs/>
        </w:rPr>
        <w:t>end of the trial follow-up</w:t>
      </w:r>
      <w:r w:rsidRPr="0019444B">
        <w:rPr>
          <w:iCs/>
        </w:rPr>
        <w:t xml:space="preserve">. </w:t>
      </w:r>
      <w:r w:rsidR="00F977C8" w:rsidRPr="0019444B">
        <w:rPr>
          <w:iCs/>
        </w:rPr>
        <w:t>The PSCR presented revised financial estimates assuming 67.02 ACA scripts per patient</w:t>
      </w:r>
      <w:r w:rsidR="00065C8F" w:rsidRPr="0019444B">
        <w:rPr>
          <w:iCs/>
        </w:rPr>
        <w:t xml:space="preserve"> and a DPMQ per script of $8,219.02</w:t>
      </w:r>
      <w:r w:rsidR="00F977C8" w:rsidRPr="0019444B">
        <w:rPr>
          <w:iCs/>
        </w:rPr>
        <w:t>.</w:t>
      </w:r>
      <w:r w:rsidR="00065C8F" w:rsidRPr="0019444B">
        <w:rPr>
          <w:iCs/>
        </w:rPr>
        <w:t xml:space="preserve"> The PSCR noted that given the proposed listing is on a cost-minimisation </w:t>
      </w:r>
      <w:r w:rsidR="00CF2655" w:rsidRPr="0019444B">
        <w:rPr>
          <w:iCs/>
        </w:rPr>
        <w:t>basis</w:t>
      </w:r>
      <w:r w:rsidR="00E84E8C" w:rsidRPr="0019444B">
        <w:rPr>
          <w:iCs/>
        </w:rPr>
        <w:t>,</w:t>
      </w:r>
      <w:r w:rsidR="00CF2655" w:rsidRPr="0019444B">
        <w:rPr>
          <w:iCs/>
        </w:rPr>
        <w:t xml:space="preserve"> when</w:t>
      </w:r>
      <w:r w:rsidR="00065C8F" w:rsidRPr="0019444B">
        <w:rPr>
          <w:iCs/>
        </w:rPr>
        <w:t xml:space="preserve"> effective prices are used</w:t>
      </w:r>
      <w:r w:rsidR="00E84E8C" w:rsidRPr="0019444B">
        <w:rPr>
          <w:iCs/>
        </w:rPr>
        <w:t>,</w:t>
      </w:r>
      <w:r w:rsidR="00065C8F" w:rsidRPr="0019444B">
        <w:rPr>
          <w:iCs/>
        </w:rPr>
        <w:t xml:space="preserve"> the listing of ACA+/-OBIN is expected to be cost-neutral to the PBS. The ESC noted the different treatment durations for ACA+/-OBIN and VEN+OBIN will initially result in a cost savings with additional costs in later years.</w:t>
      </w:r>
      <w:r w:rsidR="00E83C28" w:rsidRPr="0019444B">
        <w:rPr>
          <w:iCs/>
        </w:rPr>
        <w:t xml:space="preserve"> The pre-PBAC response presented </w:t>
      </w:r>
      <w:r w:rsidR="004F451D" w:rsidRPr="0019444B">
        <w:rPr>
          <w:iCs/>
        </w:rPr>
        <w:t xml:space="preserve">a </w:t>
      </w:r>
      <w:r w:rsidR="00E83C28" w:rsidRPr="0019444B">
        <w:rPr>
          <w:iCs/>
        </w:rPr>
        <w:t xml:space="preserve">revised </w:t>
      </w:r>
      <w:r w:rsidR="004F451D" w:rsidRPr="0019444B">
        <w:rPr>
          <w:iCs/>
        </w:rPr>
        <w:t xml:space="preserve">version of the </w:t>
      </w:r>
      <w:r w:rsidR="00E83C28" w:rsidRPr="0019444B">
        <w:rPr>
          <w:iCs/>
        </w:rPr>
        <w:t xml:space="preserve">financial estimates </w:t>
      </w:r>
      <w:r w:rsidR="004F451D" w:rsidRPr="0019444B">
        <w:rPr>
          <w:iCs/>
        </w:rPr>
        <w:t>from the PSCR. The revised estimates</w:t>
      </w:r>
      <w:r w:rsidR="00E83C28" w:rsidRPr="0019444B">
        <w:rPr>
          <w:iCs/>
        </w:rPr>
        <w:t xml:space="preserve"> </w:t>
      </w:r>
      <w:r w:rsidR="00486E96">
        <w:rPr>
          <w:iCs/>
        </w:rPr>
        <w:t xml:space="preserve">presented were based on </w:t>
      </w:r>
      <w:r w:rsidR="009C528B">
        <w:rPr>
          <w:iCs/>
        </w:rPr>
        <w:t>a treatment duration of</w:t>
      </w:r>
      <w:r w:rsidR="00217CF8">
        <w:rPr>
          <w:iCs/>
        </w:rPr>
        <w:t xml:space="preserve"> 67.02 scripts per patient</w:t>
      </w:r>
      <w:r w:rsidR="00486E96">
        <w:rPr>
          <w:iCs/>
        </w:rPr>
        <w:t xml:space="preserve">, as well as a reduction in </w:t>
      </w:r>
      <w:r w:rsidR="004F451D" w:rsidRPr="0019444B">
        <w:rPr>
          <w:iCs/>
        </w:rPr>
        <w:t>patient numbers</w:t>
      </w:r>
      <w:r w:rsidR="00486E96">
        <w:rPr>
          <w:iCs/>
        </w:rPr>
        <w:t xml:space="preserve"> of</w:t>
      </w:r>
      <w:r w:rsidR="00217CF8">
        <w:rPr>
          <w:iCs/>
        </w:rPr>
        <w:t xml:space="preserve"> approximately</w:t>
      </w:r>
      <w:r w:rsidR="00486E96">
        <w:rPr>
          <w:iCs/>
        </w:rPr>
        <w:t xml:space="preserve"> 35% to account for the comment by the ESC, that patient numbers </w:t>
      </w:r>
      <w:proofErr w:type="gramStart"/>
      <w:r w:rsidR="00486E96">
        <w:rPr>
          <w:iCs/>
        </w:rPr>
        <w:t>were considered to be</w:t>
      </w:r>
      <w:proofErr w:type="gramEnd"/>
      <w:r w:rsidR="00486E96">
        <w:rPr>
          <w:iCs/>
        </w:rPr>
        <w:t xml:space="preserve"> underestimated (as per para</w:t>
      </w:r>
      <w:r w:rsidR="001E5500">
        <w:rPr>
          <w:iCs/>
        </w:rPr>
        <w:t>graph</w:t>
      </w:r>
      <w:r w:rsidR="00486E96">
        <w:rPr>
          <w:iCs/>
        </w:rPr>
        <w:t xml:space="preserve"> 6.</w:t>
      </w:r>
      <w:r w:rsidR="00BE1101">
        <w:rPr>
          <w:iCs/>
        </w:rPr>
        <w:t>5</w:t>
      </w:r>
      <w:r w:rsidR="00FD0F12">
        <w:rPr>
          <w:iCs/>
        </w:rPr>
        <w:t>9</w:t>
      </w:r>
      <w:r w:rsidR="00486E96">
        <w:rPr>
          <w:iCs/>
        </w:rPr>
        <w:t>)</w:t>
      </w:r>
      <w:r w:rsidR="00486E96">
        <w:rPr>
          <w:szCs w:val="20"/>
        </w:rPr>
        <w:t>.</w:t>
      </w:r>
    </w:p>
    <w:p w14:paraId="5A231222" w14:textId="0A71C206" w:rsidR="00F977C8" w:rsidRPr="0019444B" w:rsidRDefault="00791C2D" w:rsidP="00F977C8">
      <w:pPr>
        <w:pStyle w:val="3-BodyText"/>
        <w:numPr>
          <w:ilvl w:val="1"/>
          <w:numId w:val="1"/>
        </w:numPr>
        <w:rPr>
          <w:iCs/>
        </w:rPr>
      </w:pPr>
      <w:r w:rsidRPr="0019444B">
        <w:rPr>
          <w:iCs/>
        </w:rPr>
        <w:t>ZANU</w:t>
      </w:r>
      <w:r w:rsidR="009E2A6B" w:rsidRPr="0019444B">
        <w:rPr>
          <w:iCs/>
        </w:rPr>
        <w:t>,</w:t>
      </w:r>
      <w:r w:rsidRPr="0019444B">
        <w:rPr>
          <w:iCs/>
        </w:rPr>
        <w:t xml:space="preserve"> a near-market comparator to ACA</w:t>
      </w:r>
      <w:r w:rsidR="009E2A6B" w:rsidRPr="0019444B">
        <w:rPr>
          <w:iCs/>
        </w:rPr>
        <w:t>,</w:t>
      </w:r>
      <w:r w:rsidRPr="0019444B">
        <w:rPr>
          <w:iCs/>
        </w:rPr>
        <w:t xml:space="preserve"> </w:t>
      </w:r>
      <w:r w:rsidR="00600F37" w:rsidRPr="0019444B">
        <w:rPr>
          <w:iCs/>
        </w:rPr>
        <w:t>was</w:t>
      </w:r>
      <w:r w:rsidRPr="0019444B">
        <w:rPr>
          <w:iCs/>
        </w:rPr>
        <w:t xml:space="preserve"> </w:t>
      </w:r>
      <w:r w:rsidR="001837B0" w:rsidRPr="0019444B">
        <w:rPr>
          <w:iCs/>
        </w:rPr>
        <w:t>recommended</w:t>
      </w:r>
      <w:r w:rsidRPr="0019444B">
        <w:rPr>
          <w:iCs/>
        </w:rPr>
        <w:t xml:space="preserve"> at the March 2023 PBAC meeting for </w:t>
      </w:r>
      <w:r w:rsidR="00E84E8C" w:rsidRPr="0019444B">
        <w:rPr>
          <w:iCs/>
        </w:rPr>
        <w:t xml:space="preserve">the treatment of </w:t>
      </w:r>
      <w:r w:rsidRPr="0019444B">
        <w:rPr>
          <w:iCs/>
        </w:rPr>
        <w:t xml:space="preserve">patients with previously untreated CLL/SLL. </w:t>
      </w:r>
      <w:r w:rsidR="00F977C8" w:rsidRPr="0019444B">
        <w:rPr>
          <w:iCs/>
        </w:rPr>
        <w:t>The availability of an alternative BTKi (</w:t>
      </w:r>
      <w:r w:rsidR="00E84E8C" w:rsidRPr="0019444B">
        <w:rPr>
          <w:iCs/>
        </w:rPr>
        <w:t>ZANU</w:t>
      </w:r>
      <w:r w:rsidR="00F977C8" w:rsidRPr="0019444B">
        <w:rPr>
          <w:iCs/>
        </w:rPr>
        <w:t xml:space="preserve">) may significantly </w:t>
      </w:r>
      <w:r w:rsidR="00E84E8C" w:rsidRPr="0019444B">
        <w:rPr>
          <w:iCs/>
        </w:rPr>
        <w:t>a</w:t>
      </w:r>
      <w:r w:rsidR="00F977C8" w:rsidRPr="0019444B">
        <w:rPr>
          <w:iCs/>
        </w:rPr>
        <w:t xml:space="preserve">ffect the uptake of ACA. The PSCR </w:t>
      </w:r>
      <w:r w:rsidR="009013B9" w:rsidRPr="0019444B">
        <w:rPr>
          <w:iCs/>
        </w:rPr>
        <w:t xml:space="preserve">and the pre-PBAC response stated </w:t>
      </w:r>
      <w:r w:rsidR="00F977C8" w:rsidRPr="0019444B">
        <w:rPr>
          <w:iCs/>
        </w:rPr>
        <w:t xml:space="preserve">that </w:t>
      </w:r>
      <w:proofErr w:type="gramStart"/>
      <w:r w:rsidR="00F977C8" w:rsidRPr="0019444B">
        <w:rPr>
          <w:iCs/>
        </w:rPr>
        <w:t>as a consequence of</w:t>
      </w:r>
      <w:proofErr w:type="gramEnd"/>
      <w:r w:rsidR="00F977C8" w:rsidRPr="0019444B">
        <w:rPr>
          <w:iCs/>
        </w:rPr>
        <w:t xml:space="preserve"> the positive recommendation for </w:t>
      </w:r>
      <w:r w:rsidR="00E84E8C" w:rsidRPr="0019444B">
        <w:rPr>
          <w:iCs/>
        </w:rPr>
        <w:t>ZANU</w:t>
      </w:r>
      <w:r w:rsidR="00F977C8" w:rsidRPr="0019444B">
        <w:rPr>
          <w:iCs/>
        </w:rPr>
        <w:t xml:space="preserve">, it is expected that the total BTKi share would be similar, but market shares for </w:t>
      </w:r>
      <w:r w:rsidR="001837B0" w:rsidRPr="0019444B">
        <w:rPr>
          <w:iCs/>
        </w:rPr>
        <w:t xml:space="preserve">each of </w:t>
      </w:r>
      <w:r w:rsidR="00E84E8C" w:rsidRPr="0019444B">
        <w:rPr>
          <w:iCs/>
        </w:rPr>
        <w:t>ZANU</w:t>
      </w:r>
      <w:r w:rsidR="00F977C8" w:rsidRPr="0019444B">
        <w:rPr>
          <w:iCs/>
        </w:rPr>
        <w:t xml:space="preserve"> and ACA+/-OBIN</w:t>
      </w:r>
      <w:r w:rsidR="001837B0" w:rsidRPr="0019444B">
        <w:rPr>
          <w:iCs/>
        </w:rPr>
        <w:t xml:space="preserve"> </w:t>
      </w:r>
      <w:r w:rsidR="00F977C8" w:rsidRPr="0019444B">
        <w:rPr>
          <w:iCs/>
        </w:rPr>
        <w:t>would be estimated as half of the shares in the resubmission.</w:t>
      </w:r>
    </w:p>
    <w:p w14:paraId="71C9AB1C" w14:textId="7DEAD645" w:rsidR="004A33A5" w:rsidRPr="0019444B" w:rsidRDefault="00E84E8C" w:rsidP="00791C2D">
      <w:pPr>
        <w:pStyle w:val="3-BodyText"/>
        <w:numPr>
          <w:ilvl w:val="1"/>
          <w:numId w:val="1"/>
        </w:numPr>
        <w:rPr>
          <w:i/>
        </w:rPr>
      </w:pPr>
      <w:r w:rsidRPr="0019444B">
        <w:rPr>
          <w:iCs/>
        </w:rPr>
        <w:t xml:space="preserve">At the time of PBAC consideration, </w:t>
      </w:r>
      <w:r w:rsidR="00FF6C48" w:rsidRPr="0019444B">
        <w:rPr>
          <w:iCs/>
        </w:rPr>
        <w:t xml:space="preserve">no oral therapy </w:t>
      </w:r>
      <w:r w:rsidRPr="0019444B">
        <w:rPr>
          <w:iCs/>
        </w:rPr>
        <w:t>wa</w:t>
      </w:r>
      <w:r w:rsidR="00FF6C48" w:rsidRPr="0019444B">
        <w:rPr>
          <w:iCs/>
        </w:rPr>
        <w:t xml:space="preserve">s available </w:t>
      </w:r>
      <w:r w:rsidRPr="0019444B">
        <w:rPr>
          <w:iCs/>
        </w:rPr>
        <w:t xml:space="preserve">on the PBS </w:t>
      </w:r>
      <w:r w:rsidR="00FF6C48" w:rsidRPr="0019444B">
        <w:rPr>
          <w:iCs/>
        </w:rPr>
        <w:t>for</w:t>
      </w:r>
      <w:r w:rsidR="00E07B8A" w:rsidRPr="0019444B">
        <w:rPr>
          <w:iCs/>
        </w:rPr>
        <w:t xml:space="preserve"> patients with previously untreated CLL/SLL</w:t>
      </w:r>
      <w:r w:rsidR="00694737" w:rsidRPr="0019444B">
        <w:rPr>
          <w:iCs/>
        </w:rPr>
        <w:t>. Should ACA be listed as the first available oral therapy</w:t>
      </w:r>
      <w:r w:rsidR="00B93183" w:rsidRPr="0019444B">
        <w:rPr>
          <w:iCs/>
        </w:rPr>
        <w:t>, the</w:t>
      </w:r>
      <w:r w:rsidR="0007728C" w:rsidRPr="0019444B">
        <w:rPr>
          <w:iCs/>
        </w:rPr>
        <w:t xml:space="preserve"> ESC considered there is potential for use of ACA beyond the population specified as ACA may be used earlier in treatment given it is an oral therapy</w:t>
      </w:r>
      <w:r w:rsidR="004325BF" w:rsidRPr="0019444B">
        <w:rPr>
          <w:iCs/>
        </w:rPr>
        <w:t xml:space="preserve">. </w:t>
      </w:r>
      <w:r w:rsidR="001258C2" w:rsidRPr="0019444B">
        <w:rPr>
          <w:iCs/>
        </w:rPr>
        <w:t xml:space="preserve">The PSCR stated that the sponsor </w:t>
      </w:r>
      <w:r w:rsidR="00065C8F" w:rsidRPr="0019444B">
        <w:rPr>
          <w:iCs/>
        </w:rPr>
        <w:t>is open to working with the Department to ensure the appropriate wording in the PBS restriction for ACA+/-OBIN to limit treatment to the intended population</w:t>
      </w:r>
      <w:r w:rsidR="001258C2" w:rsidRPr="0019444B">
        <w:rPr>
          <w:iCs/>
        </w:rPr>
        <w:t xml:space="preserve"> and noted t</w:t>
      </w:r>
      <w:r w:rsidR="00065C8F" w:rsidRPr="0019444B">
        <w:rPr>
          <w:iCs/>
        </w:rPr>
        <w:t>he Secretariat proposed changes to include reference to the iwCLL guidelines in the restriction</w:t>
      </w:r>
      <w:r w:rsidR="001258C2" w:rsidRPr="0019444B">
        <w:rPr>
          <w:iCs/>
        </w:rPr>
        <w:t>.</w:t>
      </w:r>
      <w:r w:rsidR="00065C8F" w:rsidRPr="0019444B">
        <w:rPr>
          <w:i/>
        </w:rPr>
        <w:t xml:space="preserve"> </w:t>
      </w:r>
    </w:p>
    <w:p w14:paraId="6015A395" w14:textId="2EDB6A4E" w:rsidR="00576972" w:rsidRPr="0019444B" w:rsidRDefault="00576972" w:rsidP="00606FBA">
      <w:pPr>
        <w:pStyle w:val="4-SubsectionHeading"/>
      </w:pPr>
      <w:bookmarkStart w:id="95" w:name="_Toc22897649"/>
      <w:bookmarkStart w:id="96" w:name="_Toc135225280"/>
      <w:r w:rsidRPr="0019444B">
        <w:t>Financial Management – Risk Sharing Arrangements</w:t>
      </w:r>
      <w:bookmarkEnd w:id="95"/>
      <w:bookmarkEnd w:id="96"/>
    </w:p>
    <w:p w14:paraId="68504D55" w14:textId="20F9FA23" w:rsidR="00791C2D" w:rsidRPr="0019444B" w:rsidRDefault="00791C2D" w:rsidP="00791C2D">
      <w:pPr>
        <w:pStyle w:val="3-BodyText"/>
        <w:numPr>
          <w:ilvl w:val="1"/>
          <w:numId w:val="1"/>
        </w:numPr>
      </w:pPr>
      <w:bookmarkStart w:id="97" w:name="_Toc22897650"/>
      <w:r w:rsidRPr="0019444B">
        <w:t xml:space="preserve">The resubmission stated that the sponsor was willing to work with the Department to implement appropriate </w:t>
      </w:r>
      <w:r w:rsidR="00EF3FCB">
        <w:t>R</w:t>
      </w:r>
      <w:r w:rsidRPr="0019444B">
        <w:t xml:space="preserve">isk </w:t>
      </w:r>
      <w:r w:rsidR="00EF3FCB">
        <w:t>S</w:t>
      </w:r>
      <w:r w:rsidRPr="0019444B">
        <w:t xml:space="preserve">hare </w:t>
      </w:r>
      <w:r w:rsidR="00EF3FCB">
        <w:t>A</w:t>
      </w:r>
      <w:r w:rsidRPr="0019444B">
        <w:t xml:space="preserve">rrangements </w:t>
      </w:r>
      <w:r w:rsidR="00E84E8C" w:rsidRPr="0019444B">
        <w:t xml:space="preserve">(RSA) </w:t>
      </w:r>
      <w:r w:rsidRPr="0019444B">
        <w:t>such that the listing of ACA</w:t>
      </w:r>
      <w:r w:rsidR="00A45ED6" w:rsidRPr="0019444B">
        <w:rPr>
          <w:rFonts w:cstheme="minorHAnsi"/>
        </w:rPr>
        <w:t>+/-</w:t>
      </w:r>
      <w:r w:rsidRPr="0019444B">
        <w:t>OBIN in this patient population remains cost-neutral.</w:t>
      </w:r>
    </w:p>
    <w:p w14:paraId="10FAF740" w14:textId="77777777" w:rsidR="004F2A19" w:rsidRPr="0019444B" w:rsidRDefault="004F2A19" w:rsidP="004F2A19">
      <w:pPr>
        <w:ind w:firstLine="709"/>
        <w:rPr>
          <w:rFonts w:asciiTheme="minorHAnsi" w:hAnsiTheme="minorHAnsi"/>
          <w:i/>
        </w:rPr>
      </w:pPr>
      <w:r w:rsidRPr="0019444B">
        <w:rPr>
          <w:rFonts w:asciiTheme="minorHAnsi" w:hAnsiTheme="minorHAnsi"/>
          <w:i/>
        </w:rPr>
        <w:t>For more detail on PBAC’s view, see section 7 PBAC outcome.</w:t>
      </w:r>
    </w:p>
    <w:p w14:paraId="001BB3CE" w14:textId="77777777" w:rsidR="004F2A19" w:rsidRPr="009F231B" w:rsidRDefault="004F2A19" w:rsidP="009F231B">
      <w:pPr>
        <w:pStyle w:val="2-SectionHeading"/>
        <w:numPr>
          <w:ilvl w:val="0"/>
          <w:numId w:val="1"/>
        </w:numPr>
      </w:pPr>
      <w:bookmarkStart w:id="98" w:name="_Hlk76381249"/>
      <w:bookmarkStart w:id="99" w:name="_Hlk76377955"/>
      <w:bookmarkStart w:id="100" w:name="_Hlk138343782"/>
      <w:r w:rsidRPr="0019444B">
        <w:t>PBAC Outcome</w:t>
      </w:r>
    </w:p>
    <w:p w14:paraId="5CEEA2E8" w14:textId="0E7F3A10" w:rsidR="00FE7D50" w:rsidRPr="00FB2BED" w:rsidRDefault="004F2A19" w:rsidP="00B03131">
      <w:pPr>
        <w:pStyle w:val="3-BodyText"/>
        <w:rPr>
          <w:snapToGrid w:val="0"/>
          <w:lang w:eastAsia="en-US"/>
        </w:rPr>
      </w:pPr>
      <w:bookmarkStart w:id="101" w:name="_Hlk141278481"/>
      <w:r w:rsidRPr="00FB2BED">
        <w:rPr>
          <w:snapToGrid w:val="0"/>
          <w:lang w:eastAsia="en-US"/>
        </w:rPr>
        <w:t xml:space="preserve">The PBAC recommended </w:t>
      </w:r>
      <w:r w:rsidR="007F34B6" w:rsidRPr="00FB2BED">
        <w:rPr>
          <w:snapToGrid w:val="0"/>
          <w:lang w:eastAsia="en-US"/>
        </w:rPr>
        <w:t xml:space="preserve">extending the listing of </w:t>
      </w:r>
      <w:r w:rsidR="00FE7D50" w:rsidRPr="00FB2BED">
        <w:rPr>
          <w:snapToGrid w:val="0"/>
          <w:lang w:eastAsia="en-US"/>
        </w:rPr>
        <w:t>acalabrutinib</w:t>
      </w:r>
      <w:r w:rsidR="007F34B6" w:rsidRPr="00FB2BED">
        <w:rPr>
          <w:snapToGrid w:val="0"/>
          <w:lang w:eastAsia="en-US"/>
        </w:rPr>
        <w:t xml:space="preserve"> </w:t>
      </w:r>
      <w:r w:rsidR="00637677" w:rsidRPr="00FB2BED">
        <w:rPr>
          <w:snapToGrid w:val="0"/>
          <w:lang w:eastAsia="en-US"/>
        </w:rPr>
        <w:t xml:space="preserve">(ACA) </w:t>
      </w:r>
      <w:r w:rsidR="007F34B6" w:rsidRPr="00FB2BED">
        <w:rPr>
          <w:snapToGrid w:val="0"/>
          <w:lang w:eastAsia="en-US"/>
        </w:rPr>
        <w:t>to include</w:t>
      </w:r>
      <w:r w:rsidR="00B13ACE" w:rsidRPr="00FB2BED">
        <w:rPr>
          <w:snapToGrid w:val="0"/>
          <w:lang w:eastAsia="en-US"/>
        </w:rPr>
        <w:t xml:space="preserve"> </w:t>
      </w:r>
      <w:r w:rsidR="00B13ACE" w:rsidRPr="0019444B">
        <w:t xml:space="preserve">the treatment of patients with previously untreated chronic lymphocytic leukaemia (CLL)/small lymphocytic lymphoma </w:t>
      </w:r>
      <w:r w:rsidR="007F34B6" w:rsidRPr="00FB2BED">
        <w:rPr>
          <w:snapToGrid w:val="0"/>
          <w:lang w:eastAsia="en-US"/>
        </w:rPr>
        <w:t xml:space="preserve">(SLL). The PBAC considered the nominated comparator of venetoclax plus obinutuzumab </w:t>
      </w:r>
      <w:r w:rsidR="00637677" w:rsidRPr="00FB2BED">
        <w:rPr>
          <w:snapToGrid w:val="0"/>
          <w:lang w:eastAsia="en-US"/>
        </w:rPr>
        <w:t xml:space="preserve">(VTX+OBIN) </w:t>
      </w:r>
      <w:r w:rsidR="007F34B6" w:rsidRPr="00FB2BED">
        <w:rPr>
          <w:snapToGrid w:val="0"/>
          <w:lang w:eastAsia="en-US"/>
        </w:rPr>
        <w:t>was appropriate. The PBAC’s consideration was based on</w:t>
      </w:r>
      <w:r w:rsidRPr="00FB2BED">
        <w:rPr>
          <w:snapToGrid w:val="0"/>
          <w:lang w:eastAsia="en-US"/>
        </w:rPr>
        <w:t xml:space="preserve">, </w:t>
      </w:r>
      <w:r w:rsidR="007F34B6" w:rsidRPr="00FB2BED">
        <w:rPr>
          <w:snapToGrid w:val="0"/>
          <w:lang w:eastAsia="en-US"/>
        </w:rPr>
        <w:t xml:space="preserve">among other matters, its assessment as described above, that the cost-effectiveness of </w:t>
      </w:r>
      <w:r w:rsidR="00637677" w:rsidRPr="00FB2BED">
        <w:rPr>
          <w:snapToGrid w:val="0"/>
          <w:lang w:eastAsia="en-US"/>
        </w:rPr>
        <w:t>ACA</w:t>
      </w:r>
      <w:r w:rsidR="007F34B6" w:rsidRPr="00FB2BED">
        <w:rPr>
          <w:snapToGrid w:val="0"/>
          <w:lang w:eastAsia="en-US"/>
        </w:rPr>
        <w:t xml:space="preserve"> as monotherapy</w:t>
      </w:r>
      <w:r w:rsidR="004934B1">
        <w:rPr>
          <w:snapToGrid w:val="0"/>
          <w:lang w:eastAsia="en-US"/>
        </w:rPr>
        <w:t xml:space="preserve"> (assuming 85% of use)</w:t>
      </w:r>
      <w:r w:rsidR="007F34B6" w:rsidRPr="00FB2BED">
        <w:rPr>
          <w:snapToGrid w:val="0"/>
          <w:lang w:eastAsia="en-US"/>
        </w:rPr>
        <w:t xml:space="preserve"> or in combination with obinutuzumab </w:t>
      </w:r>
      <w:r w:rsidR="00637677" w:rsidRPr="00FB2BED">
        <w:rPr>
          <w:snapToGrid w:val="0"/>
          <w:lang w:eastAsia="en-US"/>
        </w:rPr>
        <w:t xml:space="preserve">(OBIN) </w:t>
      </w:r>
      <w:r w:rsidR="004934B1">
        <w:rPr>
          <w:snapToGrid w:val="0"/>
          <w:lang w:eastAsia="en-US"/>
        </w:rPr>
        <w:t xml:space="preserve">(assuming 15% of use) </w:t>
      </w:r>
      <w:r w:rsidR="007F34B6" w:rsidRPr="00FB2BED">
        <w:rPr>
          <w:snapToGrid w:val="0"/>
          <w:lang w:eastAsia="en-US"/>
        </w:rPr>
        <w:t xml:space="preserve">would be acceptable if it were cost-minimised to </w:t>
      </w:r>
      <w:r w:rsidR="00637677" w:rsidRPr="00FB2BED">
        <w:rPr>
          <w:snapToGrid w:val="0"/>
          <w:lang w:eastAsia="en-US"/>
        </w:rPr>
        <w:t>VTX+OBIN</w:t>
      </w:r>
      <w:r w:rsidR="005C6ED6">
        <w:rPr>
          <w:snapToGrid w:val="0"/>
          <w:lang w:eastAsia="en-US"/>
        </w:rPr>
        <w:t>,</w:t>
      </w:r>
      <w:r w:rsidR="00994075">
        <w:rPr>
          <w:snapToGrid w:val="0"/>
          <w:lang w:eastAsia="en-US"/>
        </w:rPr>
        <w:t xml:space="preserve"> </w:t>
      </w:r>
      <w:bookmarkStart w:id="102" w:name="_Hlk141257711"/>
      <w:r w:rsidR="00994075">
        <w:rPr>
          <w:snapToGrid w:val="0"/>
          <w:lang w:eastAsia="en-US"/>
        </w:rPr>
        <w:t xml:space="preserve">and </w:t>
      </w:r>
      <w:r w:rsidR="00E046DE">
        <w:rPr>
          <w:snapToGrid w:val="0"/>
          <w:lang w:eastAsia="en-US"/>
        </w:rPr>
        <w:t>zanubrutinib (ZANU)</w:t>
      </w:r>
      <w:r w:rsidR="00F434B7">
        <w:rPr>
          <w:snapToGrid w:val="0"/>
          <w:lang w:eastAsia="en-US"/>
        </w:rPr>
        <w:t xml:space="preserve"> if</w:t>
      </w:r>
      <w:r w:rsidR="004934B1">
        <w:rPr>
          <w:snapToGrid w:val="0"/>
          <w:lang w:eastAsia="en-US"/>
        </w:rPr>
        <w:t xml:space="preserve"> </w:t>
      </w:r>
      <w:r w:rsidR="00994075">
        <w:rPr>
          <w:snapToGrid w:val="0"/>
          <w:lang w:eastAsia="en-US"/>
        </w:rPr>
        <w:t>PBS listed</w:t>
      </w:r>
      <w:r w:rsidR="00E046DE">
        <w:rPr>
          <w:snapToGrid w:val="0"/>
          <w:lang w:eastAsia="en-US"/>
        </w:rPr>
        <w:t xml:space="preserve"> for </w:t>
      </w:r>
      <w:r w:rsidR="00F434B7">
        <w:rPr>
          <w:snapToGrid w:val="0"/>
          <w:lang w:eastAsia="en-US"/>
        </w:rPr>
        <w:t>previously untreated</w:t>
      </w:r>
      <w:r w:rsidR="00E046DE">
        <w:rPr>
          <w:snapToGrid w:val="0"/>
          <w:lang w:eastAsia="en-US"/>
        </w:rPr>
        <w:t xml:space="preserve"> patients</w:t>
      </w:r>
      <w:bookmarkEnd w:id="102"/>
      <w:r w:rsidR="007F34B6" w:rsidRPr="00FB2BED">
        <w:rPr>
          <w:snapToGrid w:val="0"/>
          <w:lang w:eastAsia="en-US"/>
        </w:rPr>
        <w:t xml:space="preserve">. The PBAC considered a </w:t>
      </w:r>
      <w:r w:rsidR="00EF3FCB">
        <w:rPr>
          <w:snapToGrid w:val="0"/>
          <w:lang w:eastAsia="en-US"/>
        </w:rPr>
        <w:t>R</w:t>
      </w:r>
      <w:r w:rsidR="007F34B6" w:rsidRPr="00FB2BED">
        <w:rPr>
          <w:snapToGrid w:val="0"/>
          <w:lang w:eastAsia="en-US"/>
        </w:rPr>
        <w:t xml:space="preserve">isk </w:t>
      </w:r>
      <w:r w:rsidR="00EF3FCB">
        <w:rPr>
          <w:snapToGrid w:val="0"/>
          <w:lang w:eastAsia="en-US"/>
        </w:rPr>
        <w:t>S</w:t>
      </w:r>
      <w:r w:rsidR="007F34B6" w:rsidRPr="00FB2BED">
        <w:rPr>
          <w:snapToGrid w:val="0"/>
          <w:lang w:eastAsia="en-US"/>
        </w:rPr>
        <w:t xml:space="preserve">haring </w:t>
      </w:r>
      <w:r w:rsidR="00EF3FCB">
        <w:rPr>
          <w:snapToGrid w:val="0"/>
          <w:lang w:eastAsia="en-US"/>
        </w:rPr>
        <w:t>A</w:t>
      </w:r>
      <w:r w:rsidR="007F34B6" w:rsidRPr="00FB2BED">
        <w:rPr>
          <w:snapToGrid w:val="0"/>
          <w:lang w:eastAsia="en-US"/>
        </w:rPr>
        <w:t xml:space="preserve">rrangement (RSA) would be required to manage the risks of the duration of treatment with </w:t>
      </w:r>
      <w:r w:rsidR="00637677" w:rsidRPr="00FB2BED">
        <w:rPr>
          <w:snapToGrid w:val="0"/>
          <w:lang w:eastAsia="en-US"/>
        </w:rPr>
        <w:t>ACA</w:t>
      </w:r>
      <w:r w:rsidR="007F34B6" w:rsidRPr="00FB2BED">
        <w:rPr>
          <w:snapToGrid w:val="0"/>
          <w:lang w:eastAsia="en-US"/>
        </w:rPr>
        <w:t xml:space="preserve"> being longer than modelled and earlier use in patients not meeting the</w:t>
      </w:r>
      <w:r w:rsidR="007C108C" w:rsidRPr="00FB2BED">
        <w:rPr>
          <w:snapToGrid w:val="0"/>
          <w:lang w:eastAsia="en-US"/>
        </w:rPr>
        <w:t xml:space="preserve"> </w:t>
      </w:r>
      <w:r w:rsidR="007C108C" w:rsidRPr="00FB2BED">
        <w:rPr>
          <w:lang w:eastAsia="en-US"/>
        </w:rPr>
        <w:t>International Workshop on CLL (iwCLL)</w:t>
      </w:r>
      <w:r w:rsidR="007C108C" w:rsidRPr="00FB2BED">
        <w:rPr>
          <w:snapToGrid w:val="0"/>
          <w:lang w:eastAsia="en-US"/>
        </w:rPr>
        <w:t xml:space="preserve"> </w:t>
      </w:r>
      <w:r w:rsidR="007F34B6" w:rsidRPr="00FB2BED">
        <w:rPr>
          <w:snapToGrid w:val="0"/>
          <w:lang w:eastAsia="en-US"/>
        </w:rPr>
        <w:t>criteria for initiating treatment.</w:t>
      </w:r>
      <w:r w:rsidRPr="00FB2BED">
        <w:rPr>
          <w:snapToGrid w:val="0"/>
          <w:lang w:eastAsia="en-US"/>
        </w:rPr>
        <w:t xml:space="preserve"> </w:t>
      </w:r>
      <w:r w:rsidR="00994075">
        <w:rPr>
          <w:snapToGrid w:val="0"/>
          <w:lang w:eastAsia="en-US"/>
        </w:rPr>
        <w:t xml:space="preserve">The PBAC advised that ACA </w:t>
      </w:r>
      <w:r w:rsidR="00994075">
        <w:rPr>
          <w:snapToGrid w:val="0"/>
          <w:lang w:val="en-GB"/>
        </w:rPr>
        <w:t>should join the ZA</w:t>
      </w:r>
      <w:r w:rsidR="00F434B7">
        <w:rPr>
          <w:snapToGrid w:val="0"/>
          <w:lang w:val="en-GB"/>
        </w:rPr>
        <w:t>N</w:t>
      </w:r>
      <w:r w:rsidR="00994075">
        <w:rPr>
          <w:snapToGrid w:val="0"/>
          <w:lang w:val="en-GB"/>
        </w:rPr>
        <w:t xml:space="preserve">U RSA should ZANU have progressed to PBS listing for </w:t>
      </w:r>
      <w:r w:rsidR="00DE4F86">
        <w:rPr>
          <w:snapToGrid w:val="0"/>
          <w:lang w:val="en-GB"/>
        </w:rPr>
        <w:t>previously untreated</w:t>
      </w:r>
      <w:r w:rsidR="00994075">
        <w:rPr>
          <w:snapToGrid w:val="0"/>
          <w:lang w:val="en-GB"/>
        </w:rPr>
        <w:t xml:space="preserve"> CLL</w:t>
      </w:r>
      <w:r w:rsidR="00DE4F86">
        <w:rPr>
          <w:snapToGrid w:val="0"/>
          <w:lang w:val="en-GB"/>
        </w:rPr>
        <w:t>/SLL</w:t>
      </w:r>
      <w:r w:rsidR="00994075">
        <w:rPr>
          <w:snapToGrid w:val="0"/>
          <w:lang w:val="en-GB"/>
        </w:rPr>
        <w:t>.</w:t>
      </w:r>
    </w:p>
    <w:bookmarkEnd w:id="101"/>
    <w:p w14:paraId="2A7F8042" w14:textId="01266718" w:rsidR="00CD5B7E" w:rsidRPr="00FB2BED" w:rsidRDefault="00B13ACE" w:rsidP="00B03131">
      <w:pPr>
        <w:pStyle w:val="3-BodyText"/>
        <w:rPr>
          <w:snapToGrid w:val="0"/>
          <w:lang w:eastAsia="en-US"/>
        </w:rPr>
      </w:pPr>
      <w:r w:rsidRPr="00FB2BED">
        <w:rPr>
          <w:snapToGrid w:val="0"/>
          <w:lang w:eastAsia="en-US"/>
        </w:rPr>
        <w:t xml:space="preserve">The PBAC noted the input from Rare Cancers Australia </w:t>
      </w:r>
      <w:r w:rsidR="00CD5B7E" w:rsidRPr="00FB2BED">
        <w:rPr>
          <w:snapToGrid w:val="0"/>
          <w:lang w:eastAsia="en-US"/>
        </w:rPr>
        <w:t>describing</w:t>
      </w:r>
      <w:r w:rsidR="00CD5B7E" w:rsidRPr="0019444B">
        <w:rPr>
          <w:bCs/>
          <w:snapToGrid w:val="0"/>
          <w:lang w:eastAsia="en-US"/>
        </w:rPr>
        <w:t xml:space="preserve"> how the availability of an oral treatment could give back more time to patients, and lead to improved quality of life.</w:t>
      </w:r>
    </w:p>
    <w:p w14:paraId="25CDF609" w14:textId="139A1C19" w:rsidR="007C108C" w:rsidRPr="00FB2BED" w:rsidRDefault="007C108C" w:rsidP="00B03131">
      <w:pPr>
        <w:pStyle w:val="3-BodyText"/>
        <w:rPr>
          <w:snapToGrid w:val="0"/>
          <w:lang w:eastAsia="en-US"/>
        </w:rPr>
      </w:pPr>
      <w:r w:rsidRPr="00FB2BED">
        <w:rPr>
          <w:snapToGrid w:val="0"/>
          <w:lang w:eastAsia="en-US"/>
        </w:rPr>
        <w:t xml:space="preserve">The PBAC considered that the nominated main comparator of </w:t>
      </w:r>
      <w:r w:rsidR="00637677" w:rsidRPr="00FB2BED">
        <w:rPr>
          <w:snapToGrid w:val="0"/>
          <w:lang w:eastAsia="en-US"/>
        </w:rPr>
        <w:t>VTX+OBIN</w:t>
      </w:r>
      <w:r w:rsidRPr="00FB2BED">
        <w:rPr>
          <w:snapToGrid w:val="0"/>
          <w:lang w:eastAsia="en-US"/>
        </w:rPr>
        <w:t xml:space="preserve"> was appropriate. The PBAC noted that </w:t>
      </w:r>
      <w:r w:rsidR="00637677" w:rsidRPr="00FB2BED">
        <w:rPr>
          <w:snapToGrid w:val="0"/>
          <w:lang w:eastAsia="en-US"/>
        </w:rPr>
        <w:t xml:space="preserve">ZANU </w:t>
      </w:r>
      <w:r w:rsidRPr="00FB2BED">
        <w:rPr>
          <w:snapToGrid w:val="0"/>
          <w:lang w:eastAsia="en-US"/>
        </w:rPr>
        <w:t xml:space="preserve">had received a recommendation for listing at the March 2023 PBAC meeting and that the resubmission had appropriately nominated </w:t>
      </w:r>
      <w:r w:rsidR="00637677" w:rsidRPr="00FB2BED">
        <w:rPr>
          <w:snapToGrid w:val="0"/>
          <w:lang w:eastAsia="en-US"/>
        </w:rPr>
        <w:t>ZANU</w:t>
      </w:r>
      <w:r w:rsidRPr="00FB2BED">
        <w:rPr>
          <w:snapToGrid w:val="0"/>
          <w:lang w:eastAsia="en-US"/>
        </w:rPr>
        <w:t xml:space="preserve"> as a near market comparator.</w:t>
      </w:r>
    </w:p>
    <w:p w14:paraId="55BC2713" w14:textId="58819EFB" w:rsidR="007C108C" w:rsidRPr="004005C6" w:rsidRDefault="007C108C" w:rsidP="00B03131">
      <w:pPr>
        <w:pStyle w:val="3-BodyText"/>
        <w:rPr>
          <w:snapToGrid w:val="0"/>
          <w:lang w:eastAsia="en-US"/>
        </w:rPr>
      </w:pPr>
      <w:r w:rsidRPr="00FB2BED">
        <w:rPr>
          <w:snapToGrid w:val="0"/>
          <w:lang w:eastAsia="en-US"/>
        </w:rPr>
        <w:t xml:space="preserve">The PBAC noted this was the fourth submission for </w:t>
      </w:r>
      <w:r w:rsidR="00637677" w:rsidRPr="00FB2BED">
        <w:rPr>
          <w:snapToGrid w:val="0"/>
          <w:lang w:eastAsia="en-US"/>
        </w:rPr>
        <w:t>ACA</w:t>
      </w:r>
      <w:r w:rsidRPr="00FB2BED">
        <w:rPr>
          <w:snapToGrid w:val="0"/>
          <w:lang w:eastAsia="en-US"/>
        </w:rPr>
        <w:t xml:space="preserve"> for this indication, and that this resubmission was based on the ELEVATE-TN trial</w:t>
      </w:r>
      <w:r w:rsidR="00C90190">
        <w:rPr>
          <w:snapToGrid w:val="0"/>
          <w:lang w:eastAsia="en-US"/>
        </w:rPr>
        <w:t xml:space="preserve"> (ACA+/-OBIN vs chlorambucil [CHL]</w:t>
      </w:r>
      <w:r w:rsidR="007D427F">
        <w:rPr>
          <w:snapToGrid w:val="0"/>
          <w:lang w:eastAsia="en-US"/>
        </w:rPr>
        <w:t>+OBIN</w:t>
      </w:r>
      <w:r w:rsidR="00C90190">
        <w:rPr>
          <w:snapToGrid w:val="0"/>
          <w:lang w:eastAsia="en-US"/>
        </w:rPr>
        <w:t>)</w:t>
      </w:r>
      <w:r w:rsidRPr="004005C6">
        <w:rPr>
          <w:snapToGrid w:val="0"/>
          <w:lang w:eastAsia="en-US"/>
        </w:rPr>
        <w:t xml:space="preserve"> </w:t>
      </w:r>
      <w:r w:rsidR="002D0D06" w:rsidRPr="004005C6">
        <w:rPr>
          <w:snapToGrid w:val="0"/>
          <w:lang w:eastAsia="en-US"/>
        </w:rPr>
        <w:t xml:space="preserve">and </w:t>
      </w:r>
      <w:r w:rsidRPr="004005C6">
        <w:rPr>
          <w:snapToGrid w:val="0"/>
          <w:lang w:eastAsia="en-US"/>
        </w:rPr>
        <w:t>the CLL-14 trial</w:t>
      </w:r>
      <w:r w:rsidR="00C90190">
        <w:rPr>
          <w:snapToGrid w:val="0"/>
          <w:lang w:eastAsia="en-US"/>
        </w:rPr>
        <w:t xml:space="preserve"> (VTX+OBIN vs OBIN+CHL)</w:t>
      </w:r>
      <w:r w:rsidRPr="004005C6">
        <w:rPr>
          <w:snapToGrid w:val="0"/>
          <w:lang w:eastAsia="en-US"/>
        </w:rPr>
        <w:t xml:space="preserve">, which it had considered previously. The PBAC noted that the resubmission had also presented data from the SEQUOIA trial for </w:t>
      </w:r>
      <w:r w:rsidR="007F28A0" w:rsidRPr="004005C6">
        <w:rPr>
          <w:snapToGrid w:val="0"/>
          <w:lang w:eastAsia="en-US"/>
        </w:rPr>
        <w:t>ZANU</w:t>
      </w:r>
      <w:r w:rsidR="00C90190">
        <w:rPr>
          <w:snapToGrid w:val="0"/>
          <w:lang w:eastAsia="en-US"/>
        </w:rPr>
        <w:t xml:space="preserve"> (vs bendamustine + rituximab</w:t>
      </w:r>
      <w:r w:rsidR="00AF6C09">
        <w:rPr>
          <w:snapToGrid w:val="0"/>
          <w:lang w:eastAsia="en-US"/>
        </w:rPr>
        <w:t xml:space="preserve"> [</w:t>
      </w:r>
      <w:r w:rsidR="00AF6C09" w:rsidRPr="00B465C7">
        <w:rPr>
          <w:iCs/>
        </w:rPr>
        <w:t>BEND+RIT</w:t>
      </w:r>
      <w:r w:rsidR="00AF6C09">
        <w:rPr>
          <w:iCs/>
        </w:rPr>
        <w:t>]</w:t>
      </w:r>
      <w:r w:rsidR="00C90190">
        <w:rPr>
          <w:snapToGrid w:val="0"/>
          <w:lang w:eastAsia="en-US"/>
        </w:rPr>
        <w:t>)</w:t>
      </w:r>
      <w:r w:rsidRPr="004005C6">
        <w:rPr>
          <w:snapToGrid w:val="0"/>
          <w:lang w:eastAsia="en-US"/>
        </w:rPr>
        <w:t xml:space="preserve">. </w:t>
      </w:r>
    </w:p>
    <w:p w14:paraId="62B52A5D" w14:textId="500BD42F" w:rsidR="00385998" w:rsidRPr="004005C6" w:rsidRDefault="00385998" w:rsidP="00B03131">
      <w:pPr>
        <w:pStyle w:val="3-BodyText"/>
        <w:rPr>
          <w:snapToGrid w:val="0"/>
          <w:lang w:eastAsia="en-US"/>
        </w:rPr>
      </w:pPr>
      <w:r w:rsidRPr="004005C6">
        <w:rPr>
          <w:snapToGrid w:val="0"/>
          <w:lang w:eastAsia="en-US"/>
        </w:rPr>
        <w:t xml:space="preserve">The PBAC noted there was a small but significant </w:t>
      </w:r>
      <w:r w:rsidR="00CE443A">
        <w:rPr>
          <w:snapToGrid w:val="0"/>
          <w:lang w:eastAsia="en-US"/>
        </w:rPr>
        <w:t>improvement</w:t>
      </w:r>
      <w:r w:rsidR="00CE443A" w:rsidRPr="004005C6">
        <w:rPr>
          <w:snapToGrid w:val="0"/>
          <w:lang w:eastAsia="en-US"/>
        </w:rPr>
        <w:t xml:space="preserve"> </w:t>
      </w:r>
      <w:r w:rsidRPr="004005C6">
        <w:rPr>
          <w:snapToGrid w:val="0"/>
          <w:lang w:eastAsia="en-US"/>
        </w:rPr>
        <w:t xml:space="preserve">in the progression free survival (PFS) rates for ACA+OBIN compared to ACA monotherapy in the ELEVATE-TN trial </w:t>
      </w:r>
      <w:r w:rsidR="00CE443A">
        <w:rPr>
          <w:snapToGrid w:val="0"/>
          <w:lang w:eastAsia="en-US"/>
        </w:rPr>
        <w:t>(</w:t>
      </w:r>
      <w:r w:rsidRPr="004005C6">
        <w:rPr>
          <w:snapToGrid w:val="0"/>
          <w:lang w:eastAsia="en-US"/>
        </w:rPr>
        <w:t xml:space="preserve">93% </w:t>
      </w:r>
      <w:r w:rsidR="00CE443A">
        <w:rPr>
          <w:snapToGrid w:val="0"/>
          <w:lang w:eastAsia="en-US"/>
        </w:rPr>
        <w:t>versus</w:t>
      </w:r>
      <w:r w:rsidRPr="004005C6">
        <w:rPr>
          <w:snapToGrid w:val="0"/>
          <w:lang w:eastAsia="en-US"/>
        </w:rPr>
        <w:t xml:space="preserve"> 87% at 24 months</w:t>
      </w:r>
      <w:r w:rsidR="00CE443A">
        <w:rPr>
          <w:snapToGrid w:val="0"/>
          <w:lang w:eastAsia="en-US"/>
        </w:rPr>
        <w:t xml:space="preserve"> and 84% versus 72% at 60 months)</w:t>
      </w:r>
      <w:r w:rsidRPr="004005C6">
        <w:rPr>
          <w:snapToGrid w:val="0"/>
          <w:lang w:eastAsia="en-US"/>
        </w:rPr>
        <w:t>, but no difference in overall survival</w:t>
      </w:r>
      <w:r w:rsidR="00CE443A">
        <w:rPr>
          <w:snapToGrid w:val="0"/>
          <w:lang w:eastAsia="en-US"/>
        </w:rPr>
        <w:t xml:space="preserve"> (OS)</w:t>
      </w:r>
      <w:r w:rsidRPr="004005C6">
        <w:rPr>
          <w:snapToGrid w:val="0"/>
          <w:lang w:eastAsia="en-US"/>
        </w:rPr>
        <w:t xml:space="preserve">. </w:t>
      </w:r>
      <w:r w:rsidR="005864A3" w:rsidRPr="004005C6">
        <w:rPr>
          <w:snapToGrid w:val="0"/>
          <w:lang w:eastAsia="en-US"/>
        </w:rPr>
        <w:t>The PBAC noted that</w:t>
      </w:r>
      <w:r w:rsidR="00CE443A">
        <w:rPr>
          <w:snapToGrid w:val="0"/>
          <w:lang w:eastAsia="en-US"/>
        </w:rPr>
        <w:t>, reflecting the indolent nature of CLL,</w:t>
      </w:r>
      <w:r w:rsidR="005864A3" w:rsidRPr="004005C6">
        <w:rPr>
          <w:snapToGrid w:val="0"/>
          <w:lang w:eastAsia="en-US"/>
        </w:rPr>
        <w:t xml:space="preserve"> OS data from the ELEVATE-TN trial was immature with median OS not having been reached.</w:t>
      </w:r>
    </w:p>
    <w:p w14:paraId="4D4C0F3C" w14:textId="5F083EA9" w:rsidR="00875009" w:rsidRPr="004005C6" w:rsidRDefault="00875009" w:rsidP="00B03131">
      <w:pPr>
        <w:pStyle w:val="3-BodyText"/>
        <w:rPr>
          <w:snapToGrid w:val="0"/>
          <w:lang w:eastAsia="en-US"/>
        </w:rPr>
      </w:pPr>
      <w:r w:rsidRPr="004005C6">
        <w:rPr>
          <w:snapToGrid w:val="0"/>
          <w:lang w:eastAsia="en-US"/>
        </w:rPr>
        <w:t xml:space="preserve">The PBAC noted that the resubmission had presented a Matching Adjusted Indirect Comparison (MAIC) anchored to the common comparator of </w:t>
      </w:r>
      <w:r w:rsidR="007D427F">
        <w:rPr>
          <w:snapToGrid w:val="0"/>
          <w:lang w:eastAsia="en-US"/>
        </w:rPr>
        <w:t>CHL+</w:t>
      </w:r>
      <w:r w:rsidR="00637677" w:rsidRPr="004005C6">
        <w:rPr>
          <w:snapToGrid w:val="0"/>
          <w:lang w:eastAsia="en-US"/>
        </w:rPr>
        <w:t>OBIN</w:t>
      </w:r>
      <w:r w:rsidR="00F3221E" w:rsidRPr="004005C6">
        <w:rPr>
          <w:snapToGrid w:val="0"/>
          <w:lang w:eastAsia="en-US"/>
        </w:rPr>
        <w:t>, using updated data from ELEVATE-TN with a median follow-up of 58.2 months</w:t>
      </w:r>
      <w:r w:rsidR="00C90190">
        <w:rPr>
          <w:snapToGrid w:val="0"/>
          <w:lang w:eastAsia="en-US"/>
        </w:rPr>
        <w:t xml:space="preserve"> </w:t>
      </w:r>
      <w:r w:rsidR="007D427F">
        <w:rPr>
          <w:snapToGrid w:val="0"/>
          <w:lang w:eastAsia="en-US"/>
        </w:rPr>
        <w:t>and CLL-14 with a median follow-up of 52.4 months</w:t>
      </w:r>
      <w:r w:rsidRPr="004005C6">
        <w:rPr>
          <w:snapToGrid w:val="0"/>
          <w:lang w:eastAsia="en-US"/>
        </w:rPr>
        <w:t xml:space="preserve">. The PBAC noted that the resubmission had not provided baseline characteristics before and after matching, and as such, it was not able to </w:t>
      </w:r>
      <w:r w:rsidR="007D427F">
        <w:rPr>
          <w:snapToGrid w:val="0"/>
          <w:lang w:eastAsia="en-US"/>
        </w:rPr>
        <w:t>assess the reliability of the MAIC</w:t>
      </w:r>
      <w:r w:rsidRPr="004005C6">
        <w:rPr>
          <w:snapToGrid w:val="0"/>
          <w:lang w:eastAsia="en-US"/>
        </w:rPr>
        <w:t>.</w:t>
      </w:r>
    </w:p>
    <w:p w14:paraId="610C6301" w14:textId="52EA0B1D" w:rsidR="00805BB0" w:rsidRPr="004005C6" w:rsidRDefault="00F3221E" w:rsidP="00B03131">
      <w:pPr>
        <w:pStyle w:val="3-BodyText"/>
        <w:rPr>
          <w:snapToGrid w:val="0"/>
          <w:lang w:eastAsia="en-US"/>
        </w:rPr>
      </w:pPr>
      <w:r w:rsidRPr="00A34CC2">
        <w:rPr>
          <w:snapToGrid w:val="0"/>
          <w:lang w:val="en-GB" w:eastAsia="en-US"/>
        </w:rPr>
        <w:t xml:space="preserve">The PBAC noted that </w:t>
      </w:r>
      <w:r w:rsidR="000E44EE" w:rsidRPr="00B465C7">
        <w:rPr>
          <w:snapToGrid w:val="0"/>
          <w:lang w:val="en-GB" w:eastAsia="en-US"/>
        </w:rPr>
        <w:t>based on the ELEVATE-TN trial</w:t>
      </w:r>
      <w:r w:rsidRPr="00B465C7">
        <w:rPr>
          <w:snapToGrid w:val="0"/>
          <w:lang w:val="en-GB" w:eastAsia="en-US"/>
        </w:rPr>
        <w:t xml:space="preserve"> </w:t>
      </w:r>
      <w:r w:rsidR="00720657" w:rsidRPr="00B465C7">
        <w:rPr>
          <w:snapToGrid w:val="0"/>
          <w:lang w:val="en-GB" w:eastAsia="en-US"/>
        </w:rPr>
        <w:t>there was a</w:t>
      </w:r>
      <w:r w:rsidRPr="00B465C7">
        <w:rPr>
          <w:snapToGrid w:val="0"/>
          <w:lang w:val="en-GB" w:eastAsia="en-US"/>
        </w:rPr>
        <w:t xml:space="preserve"> statistically </w:t>
      </w:r>
      <w:r w:rsidRPr="004005C6">
        <w:rPr>
          <w:snapToGrid w:val="0"/>
          <w:lang w:eastAsia="en-US"/>
        </w:rPr>
        <w:t xml:space="preserve">significant </w:t>
      </w:r>
      <w:r w:rsidR="000E44EE" w:rsidRPr="00A34CC2">
        <w:rPr>
          <w:snapToGrid w:val="0"/>
          <w:lang w:eastAsia="en-US"/>
        </w:rPr>
        <w:t xml:space="preserve">89% </w:t>
      </w:r>
      <w:r w:rsidRPr="004005C6">
        <w:rPr>
          <w:snapToGrid w:val="0"/>
          <w:lang w:eastAsia="en-US"/>
        </w:rPr>
        <w:t xml:space="preserve">reduction in the risk of progression or death </w:t>
      </w:r>
      <w:r w:rsidR="00720657" w:rsidRPr="004005C6">
        <w:rPr>
          <w:snapToGrid w:val="0"/>
          <w:lang w:eastAsia="en-US"/>
        </w:rPr>
        <w:t xml:space="preserve">for ACA+OBIN </w:t>
      </w:r>
      <w:r w:rsidRPr="004005C6">
        <w:rPr>
          <w:snapToGrid w:val="0"/>
          <w:lang w:eastAsia="en-US"/>
        </w:rPr>
        <w:t xml:space="preserve">compared to </w:t>
      </w:r>
      <w:r w:rsidR="000E44EE" w:rsidRPr="00A34CC2">
        <w:rPr>
          <w:snapToGrid w:val="0"/>
          <w:lang w:eastAsia="en-US"/>
        </w:rPr>
        <w:t>CHL</w:t>
      </w:r>
      <w:r w:rsidRPr="004005C6">
        <w:rPr>
          <w:snapToGrid w:val="0"/>
          <w:lang w:eastAsia="en-US"/>
        </w:rPr>
        <w:t>+OBIN (HR: 0.</w:t>
      </w:r>
      <w:r w:rsidR="000E44EE" w:rsidRPr="00A34CC2">
        <w:rPr>
          <w:snapToGrid w:val="0"/>
          <w:lang w:eastAsia="en-US"/>
        </w:rPr>
        <w:t>11</w:t>
      </w:r>
      <w:r w:rsidRPr="004005C6">
        <w:rPr>
          <w:snapToGrid w:val="0"/>
          <w:lang w:eastAsia="en-US"/>
        </w:rPr>
        <w:t xml:space="preserve"> [95% CI: 0.</w:t>
      </w:r>
      <w:r w:rsidR="000E44EE" w:rsidRPr="00A34CC2">
        <w:rPr>
          <w:snapToGrid w:val="0"/>
          <w:lang w:eastAsia="en-US"/>
        </w:rPr>
        <w:t>07</w:t>
      </w:r>
      <w:r w:rsidRPr="004005C6">
        <w:rPr>
          <w:snapToGrid w:val="0"/>
          <w:lang w:eastAsia="en-US"/>
        </w:rPr>
        <w:t>, 0.</w:t>
      </w:r>
      <w:r w:rsidR="000E44EE" w:rsidRPr="00A34CC2">
        <w:rPr>
          <w:snapToGrid w:val="0"/>
          <w:lang w:eastAsia="en-US"/>
        </w:rPr>
        <w:t>16</w:t>
      </w:r>
      <w:r w:rsidRPr="004005C6">
        <w:rPr>
          <w:snapToGrid w:val="0"/>
          <w:lang w:eastAsia="en-US"/>
        </w:rPr>
        <w:t xml:space="preserve">]) and a </w:t>
      </w:r>
      <w:r w:rsidR="000E44EE" w:rsidRPr="00A34CC2">
        <w:rPr>
          <w:snapToGrid w:val="0"/>
          <w:lang w:eastAsia="en-US"/>
        </w:rPr>
        <w:t>79</w:t>
      </w:r>
      <w:r w:rsidRPr="004005C6">
        <w:rPr>
          <w:snapToGrid w:val="0"/>
          <w:lang w:eastAsia="en-US"/>
        </w:rPr>
        <w:t>% reduction</w:t>
      </w:r>
      <w:r w:rsidR="000E44EE" w:rsidRPr="00A34CC2">
        <w:rPr>
          <w:snapToGrid w:val="0"/>
          <w:lang w:eastAsia="en-US"/>
        </w:rPr>
        <w:t xml:space="preserve"> for ACA monotherapy compared to CHL+OBIN</w:t>
      </w:r>
      <w:r w:rsidRPr="004005C6">
        <w:rPr>
          <w:snapToGrid w:val="0"/>
          <w:lang w:eastAsia="en-US"/>
        </w:rPr>
        <w:t xml:space="preserve"> (HR: 0.</w:t>
      </w:r>
      <w:r w:rsidR="000E44EE" w:rsidRPr="00A34CC2">
        <w:rPr>
          <w:snapToGrid w:val="0"/>
          <w:lang w:eastAsia="en-US"/>
        </w:rPr>
        <w:t>21</w:t>
      </w:r>
      <w:r w:rsidRPr="004005C6">
        <w:rPr>
          <w:snapToGrid w:val="0"/>
          <w:lang w:eastAsia="en-US"/>
        </w:rPr>
        <w:t xml:space="preserve"> [95% CI: 0.</w:t>
      </w:r>
      <w:r w:rsidR="000E44EE" w:rsidRPr="00A34CC2">
        <w:rPr>
          <w:snapToGrid w:val="0"/>
          <w:lang w:eastAsia="en-US"/>
        </w:rPr>
        <w:t>15</w:t>
      </w:r>
      <w:r w:rsidRPr="004005C6">
        <w:rPr>
          <w:snapToGrid w:val="0"/>
          <w:lang w:eastAsia="en-US"/>
        </w:rPr>
        <w:t>, 0.</w:t>
      </w:r>
      <w:r w:rsidR="000E44EE" w:rsidRPr="00A34CC2">
        <w:rPr>
          <w:snapToGrid w:val="0"/>
          <w:lang w:eastAsia="en-US"/>
        </w:rPr>
        <w:t>30</w:t>
      </w:r>
      <w:r w:rsidRPr="004005C6">
        <w:rPr>
          <w:snapToGrid w:val="0"/>
          <w:lang w:eastAsia="en-US"/>
        </w:rPr>
        <w:t>])</w:t>
      </w:r>
      <w:r w:rsidR="00805BB0" w:rsidRPr="004005C6">
        <w:rPr>
          <w:snapToGrid w:val="0"/>
          <w:lang w:eastAsia="en-US"/>
        </w:rPr>
        <w:t xml:space="preserve">. </w:t>
      </w:r>
      <w:r w:rsidR="00A34CC2" w:rsidRPr="00A34CC2">
        <w:rPr>
          <w:snapToGrid w:val="0"/>
          <w:lang w:eastAsia="en-US"/>
        </w:rPr>
        <w:t xml:space="preserve">In the CLL-14 trial the reduction in the risk of progression or death for VEN+OBIN </w:t>
      </w:r>
      <w:r w:rsidR="00A34CC2" w:rsidRPr="00F62D4C">
        <w:rPr>
          <w:snapToGrid w:val="0"/>
          <w:lang w:eastAsia="en-US"/>
        </w:rPr>
        <w:t>compared with CHL+OBIN was 67% (HR: 0.33 [95% CI: 0.25, 0.</w:t>
      </w:r>
      <w:r w:rsidR="00A34CC2" w:rsidRPr="00A34CC2">
        <w:rPr>
          <w:snapToGrid w:val="0"/>
          <w:lang w:eastAsia="en-US"/>
        </w:rPr>
        <w:t xml:space="preserve">45]). </w:t>
      </w:r>
      <w:r w:rsidR="00805BB0" w:rsidRPr="004005C6">
        <w:rPr>
          <w:snapToGrid w:val="0"/>
          <w:lang w:eastAsia="en-US"/>
        </w:rPr>
        <w:t>The PBAC considered</w:t>
      </w:r>
      <w:r w:rsidR="00E046DE">
        <w:rPr>
          <w:snapToGrid w:val="0"/>
          <w:lang w:eastAsia="en-US"/>
        </w:rPr>
        <w:t>,</w:t>
      </w:r>
      <w:r w:rsidR="00805BB0" w:rsidRPr="004005C6">
        <w:rPr>
          <w:snapToGrid w:val="0"/>
          <w:lang w:eastAsia="en-US"/>
        </w:rPr>
        <w:t xml:space="preserve"> </w:t>
      </w:r>
      <w:r w:rsidR="00A34CC2">
        <w:rPr>
          <w:snapToGrid w:val="0"/>
          <w:lang w:eastAsia="en-US"/>
        </w:rPr>
        <w:t xml:space="preserve">even though the MAIC was unreliable, based on the PFS results from the individual trials </w:t>
      </w:r>
      <w:r w:rsidR="00E046DE">
        <w:rPr>
          <w:snapToGrid w:val="0"/>
          <w:lang w:eastAsia="en-US"/>
        </w:rPr>
        <w:t>together with</w:t>
      </w:r>
      <w:r w:rsidR="00A34CC2">
        <w:rPr>
          <w:snapToGrid w:val="0"/>
          <w:lang w:eastAsia="en-US"/>
        </w:rPr>
        <w:t xml:space="preserve"> its previous acceptance of </w:t>
      </w:r>
      <w:r w:rsidR="00E046DE">
        <w:rPr>
          <w:snapToGrid w:val="0"/>
          <w:lang w:eastAsia="en-US"/>
        </w:rPr>
        <w:t xml:space="preserve">a claim of </w:t>
      </w:r>
      <w:r w:rsidR="00F62D4C">
        <w:rPr>
          <w:snapToGrid w:val="0"/>
          <w:lang w:eastAsia="en-US"/>
        </w:rPr>
        <w:t xml:space="preserve">non-inferior effectiveness for ZANU </w:t>
      </w:r>
      <w:r w:rsidR="00E046DE">
        <w:rPr>
          <w:snapToGrid w:val="0"/>
          <w:lang w:eastAsia="en-US"/>
        </w:rPr>
        <w:t>versus</w:t>
      </w:r>
      <w:r w:rsidR="00F62D4C">
        <w:rPr>
          <w:snapToGrid w:val="0"/>
          <w:lang w:eastAsia="en-US"/>
        </w:rPr>
        <w:t xml:space="preserve"> ACA in the relapsed/refractory setting</w:t>
      </w:r>
      <w:r w:rsidR="00E046DE">
        <w:rPr>
          <w:snapToGrid w:val="0"/>
          <w:lang w:eastAsia="en-US"/>
        </w:rPr>
        <w:t xml:space="preserve"> and for ZANU versus VEN+OBIN in the treatment naïve setting</w:t>
      </w:r>
      <w:r w:rsidR="00F62D4C">
        <w:rPr>
          <w:snapToGrid w:val="0"/>
          <w:lang w:eastAsia="en-US"/>
        </w:rPr>
        <w:t xml:space="preserve">, </w:t>
      </w:r>
      <w:r w:rsidR="00AF6C09">
        <w:rPr>
          <w:snapToGrid w:val="0"/>
          <w:lang w:eastAsia="en-US"/>
        </w:rPr>
        <w:t xml:space="preserve">the claim </w:t>
      </w:r>
      <w:bookmarkStart w:id="103" w:name="_Hlk140144290"/>
      <w:r w:rsidR="00805BB0" w:rsidRPr="004005C6">
        <w:rPr>
          <w:snapToGrid w:val="0"/>
          <w:lang w:eastAsia="en-US"/>
        </w:rPr>
        <w:t>that ACA+</w:t>
      </w:r>
      <w:r w:rsidR="00F62D4C">
        <w:rPr>
          <w:snapToGrid w:val="0"/>
          <w:lang w:eastAsia="en-US"/>
        </w:rPr>
        <w:t>/-</w:t>
      </w:r>
      <w:r w:rsidR="00805BB0" w:rsidRPr="004005C6">
        <w:rPr>
          <w:snapToGrid w:val="0"/>
          <w:lang w:eastAsia="en-US"/>
        </w:rPr>
        <w:t xml:space="preserve">OBIN is non-inferior in </w:t>
      </w:r>
      <w:r w:rsidR="00E046DE">
        <w:rPr>
          <w:snapToGrid w:val="0"/>
          <w:lang w:eastAsia="en-US"/>
        </w:rPr>
        <w:t xml:space="preserve">effectiveness </w:t>
      </w:r>
      <w:r w:rsidR="00805BB0" w:rsidRPr="004005C6">
        <w:rPr>
          <w:snapToGrid w:val="0"/>
          <w:lang w:eastAsia="en-US"/>
        </w:rPr>
        <w:t>to VTX+OBIN</w:t>
      </w:r>
      <w:r w:rsidR="00AF6C09">
        <w:rPr>
          <w:snapToGrid w:val="0"/>
          <w:lang w:eastAsia="en-US"/>
        </w:rPr>
        <w:t xml:space="preserve"> was likely reasonable</w:t>
      </w:r>
      <w:r w:rsidR="00805BB0" w:rsidRPr="004005C6">
        <w:rPr>
          <w:snapToGrid w:val="0"/>
          <w:lang w:eastAsia="en-US"/>
        </w:rPr>
        <w:t xml:space="preserve">. </w:t>
      </w:r>
      <w:bookmarkEnd w:id="103"/>
    </w:p>
    <w:p w14:paraId="124EA4B3" w14:textId="278F178E" w:rsidR="00D13D05" w:rsidRPr="004005C6" w:rsidRDefault="00D13D05" w:rsidP="00B03131">
      <w:pPr>
        <w:pStyle w:val="3-BodyText"/>
        <w:rPr>
          <w:snapToGrid w:val="0"/>
          <w:lang w:eastAsia="en-US"/>
        </w:rPr>
      </w:pPr>
      <w:r w:rsidRPr="00364C2A">
        <w:rPr>
          <w:snapToGrid w:val="0"/>
          <w:lang w:eastAsia="en-US"/>
        </w:rPr>
        <w:t xml:space="preserve">The PBAC </w:t>
      </w:r>
      <w:r>
        <w:rPr>
          <w:snapToGrid w:val="0"/>
          <w:lang w:eastAsia="en-US"/>
        </w:rPr>
        <w:t xml:space="preserve">noted the safety comparisons for ACA+/-OBIN versus VEN+OBIN were the same as presented in the December 2022 </w:t>
      </w:r>
      <w:r w:rsidR="009053C0">
        <w:rPr>
          <w:snapToGrid w:val="0"/>
          <w:lang w:eastAsia="en-US"/>
        </w:rPr>
        <w:t>submission and</w:t>
      </w:r>
      <w:r>
        <w:rPr>
          <w:snapToGrid w:val="0"/>
          <w:lang w:eastAsia="en-US"/>
        </w:rPr>
        <w:t xml:space="preserve"> recalled that it had considered a claim of superior safety was not adequately supported. The PBAC </w:t>
      </w:r>
      <w:r w:rsidRPr="00364C2A">
        <w:rPr>
          <w:snapToGrid w:val="0"/>
          <w:lang w:eastAsia="en-US"/>
        </w:rPr>
        <w:t>noted that a claim of non-inferior safety</w:t>
      </w:r>
      <w:r>
        <w:rPr>
          <w:snapToGrid w:val="0"/>
          <w:lang w:eastAsia="en-US"/>
        </w:rPr>
        <w:t xml:space="preserve"> for ACA+/-OBIN compared with VEN+OBIN was accepted in the pre-PBAC response and considered this claim was reasonable</w:t>
      </w:r>
      <w:r w:rsidRPr="00364C2A">
        <w:rPr>
          <w:snapToGrid w:val="0"/>
          <w:lang w:eastAsia="en-US"/>
        </w:rPr>
        <w:t xml:space="preserve">. </w:t>
      </w:r>
    </w:p>
    <w:p w14:paraId="2D2C7905" w14:textId="43910C9B" w:rsidR="00D13D05" w:rsidRPr="0019444B" w:rsidRDefault="005864A3" w:rsidP="00B03131">
      <w:pPr>
        <w:pStyle w:val="3-BodyText"/>
        <w:rPr>
          <w:snapToGrid w:val="0"/>
          <w:szCs w:val="20"/>
        </w:rPr>
      </w:pPr>
      <w:r w:rsidRPr="004005C6">
        <w:rPr>
          <w:snapToGrid w:val="0"/>
          <w:lang w:eastAsia="en-US"/>
        </w:rPr>
        <w:t xml:space="preserve">The PBAC recalled that it had recommended ZANU for listing at its </w:t>
      </w:r>
      <w:r w:rsidR="001A73FA" w:rsidRPr="004005C6">
        <w:rPr>
          <w:snapToGrid w:val="0"/>
          <w:lang w:eastAsia="en-US"/>
        </w:rPr>
        <w:t>March</w:t>
      </w:r>
      <w:r w:rsidR="001A73FA">
        <w:rPr>
          <w:snapToGrid w:val="0"/>
          <w:lang w:eastAsia="en-US"/>
        </w:rPr>
        <w:t> </w:t>
      </w:r>
      <w:r w:rsidRPr="004005C6">
        <w:rPr>
          <w:snapToGrid w:val="0"/>
          <w:lang w:eastAsia="en-US"/>
        </w:rPr>
        <w:t>2023 meeting</w:t>
      </w:r>
      <w:r w:rsidR="00AF6C09">
        <w:rPr>
          <w:snapToGrid w:val="0"/>
          <w:lang w:eastAsia="en-US"/>
        </w:rPr>
        <w:t xml:space="preserve"> </w:t>
      </w:r>
      <w:r w:rsidR="00B465C7" w:rsidRPr="00B465C7">
        <w:rPr>
          <w:snapToGrid w:val="0"/>
          <w:lang w:eastAsia="en-US"/>
        </w:rPr>
        <w:t>and noted that t</w:t>
      </w:r>
      <w:r w:rsidR="00F62D4C" w:rsidRPr="00B465C7">
        <w:rPr>
          <w:iCs/>
        </w:rPr>
        <w:t xml:space="preserve">he resubmission presented an unanchored </w:t>
      </w:r>
      <w:r w:rsidR="00D13D05">
        <w:rPr>
          <w:iCs/>
        </w:rPr>
        <w:t>unmatched (naïve)</w:t>
      </w:r>
      <w:r w:rsidR="00F62D4C" w:rsidRPr="00B465C7">
        <w:rPr>
          <w:iCs/>
        </w:rPr>
        <w:t xml:space="preserve"> comparison of ACA+/-OBIN and ZANU based on ELEVATE-TN</w:t>
      </w:r>
      <w:r w:rsidR="00B465C7">
        <w:rPr>
          <w:iCs/>
        </w:rPr>
        <w:t xml:space="preserve"> </w:t>
      </w:r>
      <w:r w:rsidR="00B465C7" w:rsidRPr="00364C2A">
        <w:rPr>
          <w:snapToGrid w:val="0"/>
          <w:lang w:eastAsia="en-US"/>
        </w:rPr>
        <w:t>(median follow-up of 28.4 months)</w:t>
      </w:r>
      <w:r w:rsidR="00F62D4C" w:rsidRPr="00B465C7">
        <w:rPr>
          <w:iCs/>
        </w:rPr>
        <w:t xml:space="preserve"> and SEQUOIA</w:t>
      </w:r>
      <w:r w:rsidR="00B465C7">
        <w:rPr>
          <w:iCs/>
        </w:rPr>
        <w:t xml:space="preserve"> </w:t>
      </w:r>
      <w:r w:rsidR="00B465C7" w:rsidRPr="00364C2A">
        <w:rPr>
          <w:snapToGrid w:val="0"/>
          <w:lang w:eastAsia="en-US"/>
        </w:rPr>
        <w:t>(median follow-up of 30.5 months)</w:t>
      </w:r>
      <w:r w:rsidR="00F62D4C" w:rsidRPr="00B465C7">
        <w:rPr>
          <w:iCs/>
        </w:rPr>
        <w:t xml:space="preserve">. The </w:t>
      </w:r>
      <w:r w:rsidR="00B465C7" w:rsidRPr="00B465C7">
        <w:rPr>
          <w:iCs/>
        </w:rPr>
        <w:t xml:space="preserve">PBAC noted the </w:t>
      </w:r>
      <w:r w:rsidR="00F62D4C" w:rsidRPr="00B465C7">
        <w:rPr>
          <w:iCs/>
        </w:rPr>
        <w:t>control arms in the two trials differed, OBIN+CHL in ELEVATE-TN and BEND+RIT in SEQUOIA</w:t>
      </w:r>
      <w:r w:rsidR="00B465C7" w:rsidRPr="00B465C7">
        <w:rPr>
          <w:iCs/>
        </w:rPr>
        <w:t>, however</w:t>
      </w:r>
      <w:r w:rsidRPr="004005C6">
        <w:rPr>
          <w:snapToGrid w:val="0"/>
          <w:lang w:eastAsia="en-US"/>
        </w:rPr>
        <w:t xml:space="preserve"> considered based on a numerical comparison of the trial results that ACA</w:t>
      </w:r>
      <w:r w:rsidR="00B465C7">
        <w:rPr>
          <w:snapToGrid w:val="0"/>
          <w:lang w:eastAsia="en-US"/>
        </w:rPr>
        <w:t>+/-OBIN</w:t>
      </w:r>
      <w:r w:rsidRPr="004005C6">
        <w:rPr>
          <w:snapToGrid w:val="0"/>
          <w:lang w:eastAsia="en-US"/>
        </w:rPr>
        <w:t xml:space="preserve"> is likely to have PFS and OS of a similar magnitude to ZANU, noting that the OS data is immature. </w:t>
      </w:r>
      <w:r w:rsidR="00B465C7">
        <w:rPr>
          <w:snapToGrid w:val="0"/>
          <w:lang w:eastAsia="en-US"/>
        </w:rPr>
        <w:t>Based on this, and its previous acceptance of</w:t>
      </w:r>
      <w:r w:rsidR="00AF6C09">
        <w:rPr>
          <w:snapToGrid w:val="0"/>
          <w:lang w:eastAsia="en-US"/>
        </w:rPr>
        <w:t xml:space="preserve"> a claim of</w:t>
      </w:r>
      <w:r w:rsidR="00B465C7">
        <w:rPr>
          <w:snapToGrid w:val="0"/>
          <w:lang w:eastAsia="en-US"/>
        </w:rPr>
        <w:t xml:space="preserve"> non-inferior effectiveness for ZANU vs ACA in the relapsed/refractory setting, the PBAC considered </w:t>
      </w:r>
      <w:r w:rsidR="00286D89">
        <w:rPr>
          <w:snapToGrid w:val="0"/>
          <w:lang w:eastAsia="en-US"/>
        </w:rPr>
        <w:t>a</w:t>
      </w:r>
      <w:r w:rsidR="00B465C7">
        <w:rPr>
          <w:snapToGrid w:val="0"/>
          <w:lang w:eastAsia="en-US"/>
        </w:rPr>
        <w:t xml:space="preserve"> </w:t>
      </w:r>
      <w:r w:rsidR="00B465C7" w:rsidRPr="0019444B">
        <w:rPr>
          <w:snapToGrid w:val="0"/>
          <w:szCs w:val="20"/>
        </w:rPr>
        <w:t xml:space="preserve">claim of non-inferior comparative effectiveness of ACA+/- OBIN compared to ZANU was </w:t>
      </w:r>
      <w:r w:rsidR="00B465C7">
        <w:rPr>
          <w:snapToGrid w:val="0"/>
          <w:szCs w:val="20"/>
        </w:rPr>
        <w:t xml:space="preserve">likely </w:t>
      </w:r>
      <w:r w:rsidR="00B465C7" w:rsidRPr="0019444B">
        <w:rPr>
          <w:snapToGrid w:val="0"/>
          <w:szCs w:val="20"/>
        </w:rPr>
        <w:t>reasonable.</w:t>
      </w:r>
      <w:r w:rsidR="00D13D05">
        <w:rPr>
          <w:snapToGrid w:val="0"/>
          <w:szCs w:val="20"/>
        </w:rPr>
        <w:t xml:space="preserve"> </w:t>
      </w:r>
      <w:r w:rsidR="00D13D05" w:rsidRPr="0019444B">
        <w:rPr>
          <w:snapToGrid w:val="0"/>
          <w:szCs w:val="20"/>
        </w:rPr>
        <w:t xml:space="preserve">The PBAC </w:t>
      </w:r>
      <w:r w:rsidR="00D13D05">
        <w:rPr>
          <w:snapToGrid w:val="0"/>
          <w:szCs w:val="20"/>
        </w:rPr>
        <w:t xml:space="preserve">similarly </w:t>
      </w:r>
      <w:r w:rsidR="00D13D05" w:rsidRPr="0019444B">
        <w:rPr>
          <w:snapToGrid w:val="0"/>
          <w:szCs w:val="20"/>
        </w:rPr>
        <w:t xml:space="preserve">considered that </w:t>
      </w:r>
      <w:r w:rsidR="00286D89">
        <w:rPr>
          <w:snapToGrid w:val="0"/>
          <w:szCs w:val="20"/>
        </w:rPr>
        <w:t>a</w:t>
      </w:r>
      <w:r w:rsidR="00D13D05" w:rsidRPr="0019444B">
        <w:rPr>
          <w:snapToGrid w:val="0"/>
          <w:szCs w:val="20"/>
        </w:rPr>
        <w:t xml:space="preserve"> claim of non-inferior comparative </w:t>
      </w:r>
      <w:r w:rsidR="00D13D05">
        <w:rPr>
          <w:snapToGrid w:val="0"/>
          <w:szCs w:val="20"/>
        </w:rPr>
        <w:t>safety</w:t>
      </w:r>
      <w:r w:rsidR="00D13D05" w:rsidRPr="0019444B">
        <w:rPr>
          <w:snapToGrid w:val="0"/>
          <w:szCs w:val="20"/>
        </w:rPr>
        <w:t xml:space="preserve"> of ACA+/- OBIN compared to ZANU was </w:t>
      </w:r>
      <w:r w:rsidR="00D13D05">
        <w:rPr>
          <w:snapToGrid w:val="0"/>
          <w:szCs w:val="20"/>
        </w:rPr>
        <w:t xml:space="preserve">likely </w:t>
      </w:r>
      <w:r w:rsidR="00D13D05" w:rsidRPr="0019444B">
        <w:rPr>
          <w:snapToGrid w:val="0"/>
          <w:szCs w:val="20"/>
        </w:rPr>
        <w:t>reasonable.</w:t>
      </w:r>
    </w:p>
    <w:p w14:paraId="5CB03E5F" w14:textId="15FE3FFF" w:rsidR="002755EB" w:rsidRPr="0064308B" w:rsidRDefault="00040655" w:rsidP="00B03131">
      <w:pPr>
        <w:pStyle w:val="3-BodyText"/>
        <w:rPr>
          <w:snapToGrid w:val="0"/>
          <w:lang w:eastAsia="en-US"/>
        </w:rPr>
      </w:pPr>
      <w:r w:rsidRPr="0064308B">
        <w:rPr>
          <w:snapToGrid w:val="0"/>
          <w:lang w:eastAsia="en-US"/>
        </w:rPr>
        <w:t xml:space="preserve">The PBAC noted that the resubmission presented a cost-minimisation approach </w:t>
      </w:r>
      <w:r w:rsidR="00EC29F1" w:rsidRPr="0064308B">
        <w:rPr>
          <w:snapToGrid w:val="0"/>
          <w:lang w:eastAsia="en-US"/>
        </w:rPr>
        <w:t xml:space="preserve">(CMA) </w:t>
      </w:r>
      <w:r w:rsidRPr="0064308B">
        <w:rPr>
          <w:snapToGrid w:val="0"/>
          <w:lang w:eastAsia="en-US"/>
        </w:rPr>
        <w:t>of ACA+/-OBIN compared to VTX+OBIN</w:t>
      </w:r>
      <w:r w:rsidR="00E10041" w:rsidRPr="0064308B">
        <w:rPr>
          <w:snapToGrid w:val="0"/>
          <w:lang w:eastAsia="en-US"/>
        </w:rPr>
        <w:t>. The PBAC</w:t>
      </w:r>
      <w:r w:rsidRPr="0064308B">
        <w:rPr>
          <w:snapToGrid w:val="0"/>
          <w:lang w:eastAsia="en-US"/>
        </w:rPr>
        <w:t xml:space="preserve"> </w:t>
      </w:r>
      <w:r w:rsidR="00E10041" w:rsidRPr="0064308B">
        <w:rPr>
          <w:snapToGrid w:val="0"/>
          <w:lang w:eastAsia="en-US"/>
        </w:rPr>
        <w:t xml:space="preserve">noted this was in line with </w:t>
      </w:r>
      <w:r w:rsidR="009079C9">
        <w:rPr>
          <w:snapToGrid w:val="0"/>
          <w:lang w:eastAsia="en-US"/>
        </w:rPr>
        <w:t>its</w:t>
      </w:r>
      <w:r w:rsidR="00E10041" w:rsidRPr="0064308B">
        <w:rPr>
          <w:snapToGrid w:val="0"/>
          <w:lang w:eastAsia="en-US"/>
        </w:rPr>
        <w:t xml:space="preserve"> </w:t>
      </w:r>
      <w:r w:rsidR="008E4421">
        <w:rPr>
          <w:snapToGrid w:val="0"/>
          <w:lang w:eastAsia="en-US"/>
        </w:rPr>
        <w:t>advice</w:t>
      </w:r>
      <w:r w:rsidR="008E4421" w:rsidRPr="0064308B">
        <w:rPr>
          <w:snapToGrid w:val="0"/>
          <w:lang w:eastAsia="en-US"/>
        </w:rPr>
        <w:t xml:space="preserve"> </w:t>
      </w:r>
      <w:r w:rsidR="00E10041" w:rsidRPr="0064308B">
        <w:rPr>
          <w:snapToGrid w:val="0"/>
          <w:lang w:eastAsia="en-US"/>
        </w:rPr>
        <w:t xml:space="preserve">from </w:t>
      </w:r>
      <w:r w:rsidR="009079C9">
        <w:rPr>
          <w:snapToGrid w:val="0"/>
          <w:lang w:eastAsia="en-US"/>
        </w:rPr>
        <w:t>the</w:t>
      </w:r>
      <w:r w:rsidR="00E10041" w:rsidRPr="0064308B">
        <w:rPr>
          <w:snapToGrid w:val="0"/>
          <w:lang w:eastAsia="en-US"/>
        </w:rPr>
        <w:t xml:space="preserve"> December 2022 meeting and </w:t>
      </w:r>
      <w:r w:rsidRPr="0064308B">
        <w:rPr>
          <w:snapToGrid w:val="0"/>
          <w:lang w:eastAsia="en-US"/>
        </w:rPr>
        <w:t>considered this was appropriate and consistent with the claim of non-inferior efficacy</w:t>
      </w:r>
      <w:r w:rsidR="009079C9">
        <w:rPr>
          <w:snapToGrid w:val="0"/>
          <w:lang w:eastAsia="en-US"/>
        </w:rPr>
        <w:t xml:space="preserve"> and safety</w:t>
      </w:r>
      <w:r w:rsidRPr="0064308B">
        <w:rPr>
          <w:snapToGrid w:val="0"/>
          <w:lang w:eastAsia="en-US"/>
        </w:rPr>
        <w:t xml:space="preserve">. </w:t>
      </w:r>
    </w:p>
    <w:p w14:paraId="29230057" w14:textId="5CEE32DB" w:rsidR="002755EB" w:rsidRPr="0064308B" w:rsidRDefault="00040655" w:rsidP="00B03131">
      <w:pPr>
        <w:pStyle w:val="3-BodyText"/>
        <w:rPr>
          <w:snapToGrid w:val="0"/>
          <w:lang w:eastAsia="en-US"/>
        </w:rPr>
      </w:pPr>
      <w:r w:rsidRPr="0064308B">
        <w:rPr>
          <w:snapToGrid w:val="0"/>
          <w:lang w:eastAsia="en-US"/>
        </w:rPr>
        <w:t xml:space="preserve">The PBAC noted that while the resubmission had included a cost differential for </w:t>
      </w:r>
      <w:r w:rsidR="00F02027">
        <w:rPr>
          <w:snapToGrid w:val="0"/>
          <w:lang w:eastAsia="en-US"/>
        </w:rPr>
        <w:t xml:space="preserve">the treatment of </w:t>
      </w:r>
      <w:r w:rsidRPr="0064308B">
        <w:rPr>
          <w:snapToGrid w:val="0"/>
          <w:lang w:eastAsia="en-US"/>
        </w:rPr>
        <w:t>adverse events</w:t>
      </w:r>
      <w:r w:rsidR="00B16014" w:rsidRPr="0064308B">
        <w:rPr>
          <w:snapToGrid w:val="0"/>
          <w:lang w:eastAsia="en-US"/>
        </w:rPr>
        <w:t xml:space="preserve">, </w:t>
      </w:r>
      <w:r w:rsidR="00F02027">
        <w:rPr>
          <w:snapToGrid w:val="0"/>
          <w:lang w:eastAsia="en-US"/>
        </w:rPr>
        <w:t>it was agreed in the</w:t>
      </w:r>
      <w:r w:rsidR="00B16014" w:rsidRPr="0064308B">
        <w:rPr>
          <w:snapToGrid w:val="0"/>
          <w:lang w:eastAsia="en-US"/>
        </w:rPr>
        <w:t xml:space="preserve"> pre-PBAC response to exclude these costs.</w:t>
      </w:r>
      <w:r w:rsidR="002755EB" w:rsidRPr="0064308B">
        <w:rPr>
          <w:snapToGrid w:val="0"/>
          <w:lang w:eastAsia="en-US"/>
        </w:rPr>
        <w:t xml:space="preserve"> The PBAC considered this was appropriate.</w:t>
      </w:r>
    </w:p>
    <w:p w14:paraId="6E6D12D3" w14:textId="5B745BF2" w:rsidR="00A73ABA" w:rsidRPr="0064308B" w:rsidRDefault="00A73ABA" w:rsidP="00B03131">
      <w:pPr>
        <w:pStyle w:val="3-BodyText"/>
        <w:rPr>
          <w:snapToGrid w:val="0"/>
          <w:lang w:eastAsia="en-US"/>
        </w:rPr>
      </w:pPr>
      <w:r w:rsidRPr="0064308B">
        <w:rPr>
          <w:snapToGrid w:val="0"/>
          <w:lang w:eastAsia="en-US"/>
        </w:rPr>
        <w:t xml:space="preserve">The PBAC noted a cost-offset for </w:t>
      </w:r>
      <w:r w:rsidR="00EC29F1" w:rsidRPr="0064308B">
        <w:rPr>
          <w:snapToGrid w:val="0"/>
          <w:lang w:eastAsia="en-US"/>
        </w:rPr>
        <w:t>tumour lysis syndrome</w:t>
      </w:r>
      <w:r w:rsidRPr="0064308B">
        <w:rPr>
          <w:snapToGrid w:val="0"/>
          <w:lang w:eastAsia="en-US"/>
        </w:rPr>
        <w:t xml:space="preserve"> </w:t>
      </w:r>
      <w:r w:rsidR="00C26BAB">
        <w:rPr>
          <w:snapToGrid w:val="0"/>
          <w:lang w:eastAsia="en-US"/>
        </w:rPr>
        <w:t xml:space="preserve">(TLS) </w:t>
      </w:r>
      <w:r w:rsidRPr="0064308B">
        <w:rPr>
          <w:snapToGrid w:val="0"/>
          <w:lang w:eastAsia="en-US"/>
        </w:rPr>
        <w:t xml:space="preserve">prophylaxis </w:t>
      </w:r>
      <w:r w:rsidR="0094798E">
        <w:rPr>
          <w:snapToGrid w:val="0"/>
          <w:lang w:eastAsia="en-US"/>
        </w:rPr>
        <w:t xml:space="preserve">of $3,784 </w:t>
      </w:r>
      <w:r w:rsidRPr="0064308B">
        <w:rPr>
          <w:snapToGrid w:val="0"/>
          <w:lang w:eastAsia="en-US"/>
        </w:rPr>
        <w:t xml:space="preserve">for patients receiving VTX was included in the CMA. The PBAC </w:t>
      </w:r>
      <w:r w:rsidR="00C26BAB">
        <w:rPr>
          <w:snapToGrid w:val="0"/>
          <w:lang w:eastAsia="en-US"/>
        </w:rPr>
        <w:t xml:space="preserve">considered </w:t>
      </w:r>
      <w:r w:rsidRPr="0019444B">
        <w:rPr>
          <w:iCs/>
        </w:rPr>
        <w:t xml:space="preserve">that a cost of $1,329 for TLS prophylaxis </w:t>
      </w:r>
      <w:r w:rsidR="00C26BAB">
        <w:rPr>
          <w:iCs/>
        </w:rPr>
        <w:t>was appropriate noting that this was considered acceptable in the pre-PBAC response and was the same as included in the CMA for ZANU versus VEN+OBIN</w:t>
      </w:r>
      <w:r w:rsidRPr="0019444B">
        <w:rPr>
          <w:iCs/>
        </w:rPr>
        <w:t>.</w:t>
      </w:r>
    </w:p>
    <w:p w14:paraId="3BD2428D" w14:textId="0D81C3D6" w:rsidR="00637677" w:rsidRDefault="00637677" w:rsidP="00B03131">
      <w:pPr>
        <w:pStyle w:val="3-BodyText"/>
        <w:rPr>
          <w:snapToGrid w:val="0"/>
          <w:lang w:eastAsia="en-US"/>
        </w:rPr>
      </w:pPr>
      <w:bookmarkStart w:id="104" w:name="_Ref140237913"/>
      <w:r w:rsidRPr="0064308B">
        <w:rPr>
          <w:snapToGrid w:val="0"/>
          <w:lang w:eastAsia="en-US"/>
        </w:rPr>
        <w:t xml:space="preserve">The PBAC noted that the </w:t>
      </w:r>
      <w:r w:rsidR="009053C0">
        <w:rPr>
          <w:snapToGrid w:val="0"/>
          <w:lang w:eastAsia="en-US"/>
        </w:rPr>
        <w:t xml:space="preserve">truncated </w:t>
      </w:r>
      <w:r w:rsidRPr="0064308B">
        <w:rPr>
          <w:snapToGrid w:val="0"/>
          <w:lang w:eastAsia="en-US"/>
        </w:rPr>
        <w:t>mean treatment duration for ACA in the ELEVATE-TN trial was 48.4 months when ACA was used as monotherapy and 50.7 months when ACA was used in combination with OBIN</w:t>
      </w:r>
      <w:r w:rsidR="00C26BAB">
        <w:rPr>
          <w:snapToGrid w:val="0"/>
          <w:lang w:eastAsia="en-US"/>
        </w:rPr>
        <w:t>. However, g</w:t>
      </w:r>
      <w:r w:rsidR="00C26BAB" w:rsidRPr="0019444B">
        <w:rPr>
          <w:iCs/>
        </w:rPr>
        <w:t xml:space="preserve">iven that a significant proportion of </w:t>
      </w:r>
      <w:r w:rsidR="00C26BAB">
        <w:rPr>
          <w:iCs/>
        </w:rPr>
        <w:t>patients</w:t>
      </w:r>
      <w:r w:rsidR="00C26BAB" w:rsidRPr="0019444B">
        <w:rPr>
          <w:iCs/>
        </w:rPr>
        <w:t xml:space="preserve"> remained on treatment at</w:t>
      </w:r>
      <w:r w:rsidR="00C26BAB">
        <w:rPr>
          <w:iCs/>
        </w:rPr>
        <w:t xml:space="preserve"> the end of the</w:t>
      </w:r>
      <w:r w:rsidR="00C26BAB" w:rsidRPr="0019444B">
        <w:rPr>
          <w:iCs/>
        </w:rPr>
        <w:t xml:space="preserve"> </w:t>
      </w:r>
      <w:r w:rsidR="00283431" w:rsidRPr="0019444B">
        <w:rPr>
          <w:iCs/>
        </w:rPr>
        <w:t>58.2-month</w:t>
      </w:r>
      <w:r w:rsidR="00C26BAB">
        <w:rPr>
          <w:iCs/>
        </w:rPr>
        <w:t xml:space="preserve"> follow-up period</w:t>
      </w:r>
      <w:r w:rsidR="00C26BAB" w:rsidRPr="0019444B">
        <w:rPr>
          <w:iCs/>
        </w:rPr>
        <w:t xml:space="preserve"> (</w:t>
      </w:r>
      <w:r w:rsidR="00C26BAB">
        <w:rPr>
          <w:iCs/>
        </w:rPr>
        <w:t>60</w:t>
      </w:r>
      <w:r w:rsidR="00C26BAB" w:rsidRPr="0019444B">
        <w:rPr>
          <w:iCs/>
        </w:rPr>
        <w:t>%</w:t>
      </w:r>
      <w:r w:rsidR="00C26BAB">
        <w:rPr>
          <w:iCs/>
        </w:rPr>
        <w:t xml:space="preserve"> and</w:t>
      </w:r>
      <w:r w:rsidR="00C26BAB" w:rsidRPr="0019444B">
        <w:rPr>
          <w:iCs/>
        </w:rPr>
        <w:t xml:space="preserve"> 67%</w:t>
      </w:r>
      <w:r w:rsidR="00C26BAB">
        <w:rPr>
          <w:iCs/>
        </w:rPr>
        <w:t>, respectively</w:t>
      </w:r>
      <w:r w:rsidR="00C26BAB" w:rsidRPr="0019444B">
        <w:rPr>
          <w:iCs/>
        </w:rPr>
        <w:t xml:space="preserve">), the </w:t>
      </w:r>
      <w:r w:rsidR="00F434B7">
        <w:rPr>
          <w:iCs/>
        </w:rPr>
        <w:t xml:space="preserve">mean </w:t>
      </w:r>
      <w:r w:rsidR="00C26BAB" w:rsidRPr="0019444B">
        <w:rPr>
          <w:iCs/>
        </w:rPr>
        <w:t xml:space="preserve">ACA </w:t>
      </w:r>
      <w:r w:rsidR="00F434B7">
        <w:rPr>
          <w:iCs/>
        </w:rPr>
        <w:t>duration was</w:t>
      </w:r>
      <w:r w:rsidR="00C26BAB" w:rsidRPr="0019444B">
        <w:rPr>
          <w:iCs/>
        </w:rPr>
        <w:t xml:space="preserve"> </w:t>
      </w:r>
      <w:r w:rsidR="00C26BAB">
        <w:rPr>
          <w:iCs/>
        </w:rPr>
        <w:t>substantially</w:t>
      </w:r>
      <w:r w:rsidR="00C26BAB" w:rsidRPr="0019444B">
        <w:rPr>
          <w:iCs/>
        </w:rPr>
        <w:t xml:space="preserve"> underestimated</w:t>
      </w:r>
      <w:r w:rsidR="00C26BAB">
        <w:rPr>
          <w:iCs/>
        </w:rPr>
        <w:t>.</w:t>
      </w:r>
      <w:r w:rsidR="000372CF">
        <w:rPr>
          <w:snapToGrid w:val="0"/>
          <w:lang w:eastAsia="en-US"/>
        </w:rPr>
        <w:t xml:space="preserve"> </w:t>
      </w:r>
      <w:r w:rsidR="007608A9" w:rsidRPr="0064308B">
        <w:rPr>
          <w:snapToGrid w:val="0"/>
          <w:lang w:eastAsia="en-US"/>
        </w:rPr>
        <w:t xml:space="preserve">The PBAC recalled in its consideration </w:t>
      </w:r>
      <w:r w:rsidR="00F434B7">
        <w:rPr>
          <w:snapToGrid w:val="0"/>
          <w:lang w:eastAsia="en-US"/>
        </w:rPr>
        <w:t>of</w:t>
      </w:r>
      <w:r w:rsidR="007608A9" w:rsidRPr="0064308B">
        <w:rPr>
          <w:snapToGrid w:val="0"/>
          <w:lang w:eastAsia="en-US"/>
        </w:rPr>
        <w:t xml:space="preserve"> ZANU </w:t>
      </w:r>
      <w:r w:rsidR="00F434B7">
        <w:rPr>
          <w:snapToGrid w:val="0"/>
          <w:lang w:eastAsia="en-US"/>
        </w:rPr>
        <w:t xml:space="preserve">for previously untreated patients </w:t>
      </w:r>
      <w:r w:rsidR="007608A9" w:rsidRPr="0064308B">
        <w:rPr>
          <w:snapToGrid w:val="0"/>
          <w:lang w:eastAsia="en-US"/>
        </w:rPr>
        <w:t xml:space="preserve">at the March 2023 PBAC </w:t>
      </w:r>
      <w:r w:rsidR="007608A9" w:rsidRPr="00F434B7">
        <w:rPr>
          <w:snapToGrid w:val="0"/>
          <w:lang w:eastAsia="en-US"/>
        </w:rPr>
        <w:t xml:space="preserve">meeting that </w:t>
      </w:r>
      <w:r w:rsidR="00F434B7">
        <w:rPr>
          <w:snapToGrid w:val="0"/>
          <w:lang w:eastAsia="en-US"/>
        </w:rPr>
        <w:t>a</w:t>
      </w:r>
      <w:r w:rsidR="007608A9" w:rsidRPr="0064308B">
        <w:rPr>
          <w:snapToGrid w:val="0"/>
          <w:lang w:eastAsia="en-US"/>
        </w:rPr>
        <w:t xml:space="preserve"> treatment duration of 70.73 months, using a discount rate of 5% per annu</w:t>
      </w:r>
      <w:r w:rsidR="007608A9" w:rsidRPr="00157290">
        <w:rPr>
          <w:snapToGrid w:val="0"/>
          <w:lang w:eastAsia="en-US"/>
        </w:rPr>
        <w:t>m</w:t>
      </w:r>
      <w:r w:rsidR="00F434B7" w:rsidRPr="00157290">
        <w:rPr>
          <w:snapToGrid w:val="0"/>
          <w:lang w:eastAsia="en-US"/>
        </w:rPr>
        <w:t>, was accepted</w:t>
      </w:r>
      <w:r w:rsidR="000372CF" w:rsidRPr="00157290">
        <w:rPr>
          <w:snapToGrid w:val="0"/>
          <w:lang w:eastAsia="en-US"/>
        </w:rPr>
        <w:t xml:space="preserve"> (para</w:t>
      </w:r>
      <w:r w:rsidR="00157290" w:rsidRPr="00157290">
        <w:rPr>
          <w:snapToGrid w:val="0"/>
          <w:lang w:eastAsia="en-US"/>
        </w:rPr>
        <w:t>graph</w:t>
      </w:r>
      <w:r w:rsidR="000372CF" w:rsidRPr="00157290">
        <w:rPr>
          <w:snapToGrid w:val="0"/>
          <w:lang w:eastAsia="en-US"/>
        </w:rPr>
        <w:t xml:space="preserve"> 6.67</w:t>
      </w:r>
      <w:r w:rsidR="00157290" w:rsidRPr="00157290">
        <w:rPr>
          <w:snapToGrid w:val="0"/>
          <w:lang w:eastAsia="en-US"/>
        </w:rPr>
        <w:t>, ZANU, PSD, March 2023 PBAC meeting</w:t>
      </w:r>
      <w:r w:rsidR="000372CF" w:rsidRPr="00157290">
        <w:rPr>
          <w:snapToGrid w:val="0"/>
          <w:lang w:eastAsia="en-US"/>
        </w:rPr>
        <w:t>)</w:t>
      </w:r>
      <w:r w:rsidR="007608A9" w:rsidRPr="00157290">
        <w:rPr>
          <w:snapToGrid w:val="0"/>
          <w:lang w:eastAsia="en-US"/>
        </w:rPr>
        <w:t>.</w:t>
      </w:r>
      <w:bookmarkEnd w:id="104"/>
      <w:r w:rsidR="000372CF">
        <w:rPr>
          <w:snapToGrid w:val="0"/>
          <w:lang w:eastAsia="en-US"/>
        </w:rPr>
        <w:t xml:space="preserve"> </w:t>
      </w:r>
      <w:r w:rsidR="00294BD0">
        <w:rPr>
          <w:snapToGrid w:val="0"/>
          <w:lang w:eastAsia="en-US"/>
        </w:rPr>
        <w:t xml:space="preserve">The PBAC considered this </w:t>
      </w:r>
      <w:r w:rsidR="009079C9">
        <w:rPr>
          <w:snapToGrid w:val="0"/>
          <w:lang w:eastAsia="en-US"/>
        </w:rPr>
        <w:t>is</w:t>
      </w:r>
      <w:r w:rsidR="00294BD0">
        <w:rPr>
          <w:snapToGrid w:val="0"/>
          <w:lang w:eastAsia="en-US"/>
        </w:rPr>
        <w:t xml:space="preserve"> a reasonable estimate of the likely </w:t>
      </w:r>
      <w:r w:rsidR="00F434B7">
        <w:rPr>
          <w:snapToGrid w:val="0"/>
          <w:lang w:eastAsia="en-US"/>
        </w:rPr>
        <w:t xml:space="preserve">mean </w:t>
      </w:r>
      <w:r w:rsidR="00294BD0">
        <w:rPr>
          <w:snapToGrid w:val="0"/>
          <w:lang w:eastAsia="en-US"/>
        </w:rPr>
        <w:t>treatment duration for ACA+/-OBIN.</w:t>
      </w:r>
    </w:p>
    <w:p w14:paraId="231A8537" w14:textId="6083EEB0" w:rsidR="009935D9" w:rsidRPr="00AB02B6" w:rsidRDefault="009935D9" w:rsidP="00B03131">
      <w:pPr>
        <w:pStyle w:val="3-BodyText"/>
        <w:rPr>
          <w:snapToGrid w:val="0"/>
          <w:lang w:eastAsia="en-US"/>
        </w:rPr>
      </w:pPr>
      <w:r w:rsidRPr="00AB02B6">
        <w:rPr>
          <w:snapToGrid w:val="0"/>
          <w:lang w:eastAsia="en-US"/>
        </w:rPr>
        <w:t xml:space="preserve">The PBAC noted the CMA was undertaken assuming a relative uptake ratio of 90%/10% for ACA monotherapy/ACA+OBIN. The PBAC noted that the ESC had suggested a relative ratio of between 90%/10% and 80%/20% and that </w:t>
      </w:r>
      <w:r w:rsidR="009079C9">
        <w:rPr>
          <w:snapToGrid w:val="0"/>
          <w:lang w:eastAsia="en-US"/>
        </w:rPr>
        <w:t>in the pre-PBAC response</w:t>
      </w:r>
      <w:r w:rsidR="009079C9" w:rsidRPr="00AB02B6">
        <w:rPr>
          <w:snapToGrid w:val="0"/>
          <w:lang w:eastAsia="en-US"/>
        </w:rPr>
        <w:t xml:space="preserve"> </w:t>
      </w:r>
      <w:r w:rsidRPr="00AB02B6">
        <w:rPr>
          <w:snapToGrid w:val="0"/>
          <w:lang w:eastAsia="en-US"/>
        </w:rPr>
        <w:t>a ratio of 85%/</w:t>
      </w:r>
      <w:r w:rsidR="0033775C" w:rsidRPr="00AB02B6">
        <w:rPr>
          <w:snapToGrid w:val="0"/>
          <w:lang w:eastAsia="en-US"/>
        </w:rPr>
        <w:t>1</w:t>
      </w:r>
      <w:r w:rsidR="0033775C">
        <w:rPr>
          <w:snapToGrid w:val="0"/>
          <w:lang w:eastAsia="en-US"/>
        </w:rPr>
        <w:t>5</w:t>
      </w:r>
      <w:r w:rsidRPr="00AB02B6">
        <w:rPr>
          <w:snapToGrid w:val="0"/>
          <w:lang w:eastAsia="en-US"/>
        </w:rPr>
        <w:t xml:space="preserve">% </w:t>
      </w:r>
      <w:r w:rsidR="009079C9">
        <w:rPr>
          <w:snapToGrid w:val="0"/>
          <w:lang w:eastAsia="en-US"/>
        </w:rPr>
        <w:t>was</w:t>
      </w:r>
      <w:r w:rsidR="009079C9" w:rsidRPr="00AB02B6">
        <w:rPr>
          <w:snapToGrid w:val="0"/>
          <w:lang w:eastAsia="en-US"/>
        </w:rPr>
        <w:t xml:space="preserve"> pragmatically agreed</w:t>
      </w:r>
      <w:r w:rsidR="009079C9">
        <w:rPr>
          <w:snapToGrid w:val="0"/>
          <w:lang w:eastAsia="en-US"/>
        </w:rPr>
        <w:t xml:space="preserve"> </w:t>
      </w:r>
      <w:r w:rsidR="009079C9" w:rsidRPr="00AB02B6">
        <w:rPr>
          <w:snapToGrid w:val="0"/>
          <w:lang w:eastAsia="en-US"/>
        </w:rPr>
        <w:t xml:space="preserve">to </w:t>
      </w:r>
      <w:r w:rsidRPr="00AB02B6">
        <w:rPr>
          <w:snapToGrid w:val="0"/>
          <w:lang w:eastAsia="en-US"/>
        </w:rPr>
        <w:t>for determining a weighted price for ACA. The PBAC considered the relative uptake ratio to be uncertain, but a relative ratio of 85%/15% for ACA monotherapy/ACA+OBIN use for the purposes of determining a weighted price for ACA, to be reasonable.</w:t>
      </w:r>
    </w:p>
    <w:p w14:paraId="2F91A32F" w14:textId="7660F88C" w:rsidR="00477512" w:rsidRPr="0064308B" w:rsidRDefault="00503C2C" w:rsidP="00B03131">
      <w:pPr>
        <w:pStyle w:val="3-BodyText"/>
        <w:rPr>
          <w:snapToGrid w:val="0"/>
          <w:lang w:eastAsia="en-US"/>
        </w:rPr>
      </w:pPr>
      <w:bookmarkStart w:id="105" w:name="_Ref140231725"/>
      <w:r>
        <w:rPr>
          <w:snapToGrid w:val="0"/>
          <w:lang w:eastAsia="en-US"/>
        </w:rPr>
        <w:t>Consistent with the equi-effective doses for ZANU and VEN+OBIN</w:t>
      </w:r>
      <w:r w:rsidR="009935D9">
        <w:rPr>
          <w:snapToGrid w:val="0"/>
          <w:lang w:eastAsia="en-US"/>
        </w:rPr>
        <w:t xml:space="preserve"> (</w:t>
      </w:r>
      <w:r w:rsidR="00157290" w:rsidRPr="00157290">
        <w:rPr>
          <w:snapToGrid w:val="0"/>
          <w:lang w:eastAsia="en-US"/>
        </w:rPr>
        <w:t xml:space="preserve">paragraph </w:t>
      </w:r>
      <w:r w:rsidR="00157290">
        <w:rPr>
          <w:snapToGrid w:val="0"/>
          <w:lang w:eastAsia="en-US"/>
        </w:rPr>
        <w:t>7.14</w:t>
      </w:r>
      <w:r w:rsidR="00157290" w:rsidRPr="00157290">
        <w:rPr>
          <w:snapToGrid w:val="0"/>
          <w:lang w:eastAsia="en-US"/>
        </w:rPr>
        <w:t>, ZANU, PSD, March 2023 PBAC meeting)</w:t>
      </w:r>
      <w:r>
        <w:rPr>
          <w:snapToGrid w:val="0"/>
          <w:lang w:eastAsia="en-US"/>
        </w:rPr>
        <w:t>, t</w:t>
      </w:r>
      <w:r w:rsidR="002755EB" w:rsidRPr="0064308B">
        <w:rPr>
          <w:snapToGrid w:val="0"/>
          <w:lang w:eastAsia="en-US"/>
        </w:rPr>
        <w:t xml:space="preserve">he PBAC considered the equi-effective doses </w:t>
      </w:r>
      <w:r w:rsidR="00477512" w:rsidRPr="0064308B">
        <w:rPr>
          <w:snapToGrid w:val="0"/>
          <w:lang w:eastAsia="en-US"/>
        </w:rPr>
        <w:t>were:</w:t>
      </w:r>
      <w:bookmarkEnd w:id="105"/>
    </w:p>
    <w:p w14:paraId="44FC7284" w14:textId="25946EB7" w:rsidR="00356FA6" w:rsidRPr="00B03131" w:rsidRDefault="00477512" w:rsidP="00B03131">
      <w:pPr>
        <w:pStyle w:val="ListParagraph"/>
      </w:pPr>
      <w:r w:rsidRPr="00B03131">
        <w:t xml:space="preserve">One initial and 8.67 continuing </w:t>
      </w:r>
      <w:r w:rsidR="00503C2C" w:rsidRPr="00B03131">
        <w:t xml:space="preserve">VEN </w:t>
      </w:r>
      <w:r w:rsidRPr="00B03131">
        <w:t xml:space="preserve">scripts plus 7.355 </w:t>
      </w:r>
      <w:r w:rsidR="00503C2C" w:rsidRPr="00B03131">
        <w:t xml:space="preserve">OBIN </w:t>
      </w:r>
      <w:r w:rsidRPr="00B03131">
        <w:t>scripts</w:t>
      </w:r>
    </w:p>
    <w:p w14:paraId="4A6839D9" w14:textId="686AE9A0" w:rsidR="00356FA6" w:rsidRPr="00B03131" w:rsidRDefault="00356FA6" w:rsidP="00B03131">
      <w:pPr>
        <w:pStyle w:val="ListParagraph"/>
      </w:pPr>
      <w:r w:rsidRPr="00B03131">
        <w:t>70.73 months of ZANU treatment at a dose of 304 mg daily (68.09 scripts)</w:t>
      </w:r>
    </w:p>
    <w:p w14:paraId="726DA18E" w14:textId="115487B4" w:rsidR="00477512" w:rsidRPr="00B03131" w:rsidRDefault="00477512" w:rsidP="00B03131">
      <w:pPr>
        <w:pStyle w:val="ListParagraph"/>
      </w:pPr>
      <w:r w:rsidRPr="00B03131">
        <w:t xml:space="preserve">70.73 months of </w:t>
      </w:r>
      <w:r w:rsidR="00503C2C" w:rsidRPr="00B03131">
        <w:t xml:space="preserve">ACA </w:t>
      </w:r>
      <w:r w:rsidR="009935D9" w:rsidRPr="00B03131">
        <w:t xml:space="preserve">monotherapy </w:t>
      </w:r>
      <w:r w:rsidRPr="00B03131">
        <w:t>at a dose of 19</w:t>
      </w:r>
      <w:r w:rsidR="00F90DC2" w:rsidRPr="00B03131">
        <w:t>2.4</w:t>
      </w:r>
      <w:r w:rsidRPr="00B03131">
        <w:t xml:space="preserve"> mg daily (</w:t>
      </w:r>
      <w:r w:rsidR="00CB284A" w:rsidRPr="00B03131">
        <w:t>73.9</w:t>
      </w:r>
      <w:r w:rsidRPr="00B03131">
        <w:t xml:space="preserve"> </w:t>
      </w:r>
      <w:r w:rsidR="00D109C0" w:rsidRPr="00B03131">
        <w:t>ACA</w:t>
      </w:r>
      <w:r w:rsidRPr="00B03131">
        <w:t xml:space="preserve"> scripts)</w:t>
      </w:r>
      <w:r w:rsidR="00D109C0" w:rsidRPr="00B03131">
        <w:t xml:space="preserve"> </w:t>
      </w:r>
      <w:r w:rsidR="009935D9" w:rsidRPr="00B03131">
        <w:t>(85% of use)</w:t>
      </w:r>
      <w:r w:rsidR="00555A36" w:rsidRPr="00B03131">
        <w:t xml:space="preserve"> and </w:t>
      </w:r>
      <w:r w:rsidR="00530F85" w:rsidRPr="00B03131">
        <w:t xml:space="preserve">70.73 months of ACA at a dose of </w:t>
      </w:r>
      <w:r w:rsidR="00555A36" w:rsidRPr="00B03131">
        <w:t>188</w:t>
      </w:r>
      <w:r w:rsidR="00F90DC2" w:rsidRPr="00B03131">
        <w:t>.5</w:t>
      </w:r>
      <w:r w:rsidR="00555A36" w:rsidRPr="00B03131">
        <w:t xml:space="preserve"> mg daily (</w:t>
      </w:r>
      <w:r w:rsidR="00CB284A" w:rsidRPr="00B03131">
        <w:t>72.4</w:t>
      </w:r>
      <w:r w:rsidR="00555A36" w:rsidRPr="00B03131">
        <w:t xml:space="preserve"> </w:t>
      </w:r>
      <w:r w:rsidR="00D109C0" w:rsidRPr="00B03131">
        <w:t>ACA</w:t>
      </w:r>
      <w:r w:rsidR="00555A36" w:rsidRPr="00B03131">
        <w:t xml:space="preserve"> scripts) </w:t>
      </w:r>
      <w:r w:rsidR="00530F85" w:rsidRPr="00B03131">
        <w:t>plus</w:t>
      </w:r>
      <w:r w:rsidR="00262C6B" w:rsidRPr="00B03131">
        <w:t xml:space="preserve"> 7.553 scripts of </w:t>
      </w:r>
      <w:r w:rsidR="0064308B" w:rsidRPr="00B03131">
        <w:t>OBIN</w:t>
      </w:r>
      <w:r w:rsidR="009935D9" w:rsidRPr="00B03131">
        <w:t xml:space="preserve"> </w:t>
      </w:r>
      <w:r w:rsidR="00262C6B" w:rsidRPr="00B03131">
        <w:t>(15% of use)</w:t>
      </w:r>
      <w:r w:rsidR="00843C70" w:rsidRPr="00B03131">
        <w:t>.</w:t>
      </w:r>
    </w:p>
    <w:p w14:paraId="59E90C08" w14:textId="368F8DE9" w:rsidR="00262C6B" w:rsidRPr="00B03131" w:rsidRDefault="00262C6B" w:rsidP="00B03131">
      <w:pPr>
        <w:pStyle w:val="3-BodyText"/>
      </w:pPr>
      <w:bookmarkStart w:id="106" w:name="_Ref129699775"/>
      <w:r w:rsidRPr="00B03131">
        <w:t xml:space="preserve">The PBAC considered for the purpose of Section 101(3B) of the </w:t>
      </w:r>
      <w:r w:rsidRPr="00CA022C">
        <w:rPr>
          <w:i/>
          <w:iCs/>
        </w:rPr>
        <w:t>National Health Act 1953</w:t>
      </w:r>
      <w:r w:rsidRPr="00B03131">
        <w:t xml:space="preserve">, that ACA+/-OBIN was an alternative therapy to ZANU, and that ACA+/-OBIN does not provide a significant improvement in efficacy and/or reduction of toxicity over ZANU. The PBAC advised that the price of </w:t>
      </w:r>
      <w:r w:rsidR="00F434B7" w:rsidRPr="00B03131">
        <w:t>ACA+/-OBIN</w:t>
      </w:r>
      <w:r w:rsidRPr="00B03131">
        <w:t xml:space="preserve"> should therefore be not higher than the price of </w:t>
      </w:r>
      <w:r w:rsidR="00F434B7" w:rsidRPr="00B03131">
        <w:t>ZANU</w:t>
      </w:r>
      <w:r w:rsidRPr="00B03131">
        <w:t>, based on the</w:t>
      </w:r>
      <w:r w:rsidR="00F434B7" w:rsidRPr="00B03131">
        <w:t xml:space="preserve"> above equi-effective doses</w:t>
      </w:r>
      <w:r w:rsidRPr="00B03131">
        <w:t xml:space="preserve">, should </w:t>
      </w:r>
      <w:r w:rsidR="00F434B7" w:rsidRPr="00B03131">
        <w:t>ZANU</w:t>
      </w:r>
      <w:r w:rsidRPr="00B03131">
        <w:t xml:space="preserve"> be PBS listed for</w:t>
      </w:r>
      <w:r w:rsidR="00F434B7" w:rsidRPr="00B03131">
        <w:t xml:space="preserve"> </w:t>
      </w:r>
      <w:r w:rsidR="00CC18C6" w:rsidRPr="00B03131">
        <w:t xml:space="preserve">previously untreated </w:t>
      </w:r>
      <w:r w:rsidR="00F434B7" w:rsidRPr="00B03131">
        <w:t>patients</w:t>
      </w:r>
      <w:r w:rsidRPr="00B03131">
        <w:t>.</w:t>
      </w:r>
      <w:bookmarkEnd w:id="106"/>
    </w:p>
    <w:p w14:paraId="61C27F58" w14:textId="7FF32066" w:rsidR="002755EB" w:rsidRPr="00B03131" w:rsidRDefault="009659DF" w:rsidP="00B03131">
      <w:pPr>
        <w:pStyle w:val="3-BodyText"/>
      </w:pPr>
      <w:bookmarkStart w:id="107" w:name="_Ref141269589"/>
      <w:r w:rsidRPr="00B03131">
        <w:t xml:space="preserve">The PBAC noted the resubmission used an epidemiological approach to derive the expected utilisation and cost to the PBS/RPBS over 6 years. </w:t>
      </w:r>
      <w:r w:rsidR="001E3ABB" w:rsidRPr="00B03131">
        <w:t xml:space="preserve">The PBAC noted that this approach derived an implied number of scripts for VTX in 2024 that was more than three times the utilisation of VTX in 2022, and that this was implausible. </w:t>
      </w:r>
      <w:r w:rsidRPr="00B03131">
        <w:t xml:space="preserve">The PBAC considered that the </w:t>
      </w:r>
      <w:r w:rsidR="001E3ABB" w:rsidRPr="00B03131">
        <w:t xml:space="preserve">epidemiological </w:t>
      </w:r>
      <w:r w:rsidRPr="00B03131">
        <w:t xml:space="preserve">approach overestimated the expected utilisation and </w:t>
      </w:r>
      <w:r w:rsidR="001E3ABB" w:rsidRPr="00B03131">
        <w:t>that</w:t>
      </w:r>
      <w:r w:rsidRPr="00B03131">
        <w:t xml:space="preserve"> it would have been appropriate to have used a market share approach to define the market using PBS data for VTX</w:t>
      </w:r>
      <w:r w:rsidR="00707F44" w:rsidRPr="00B03131">
        <w:t xml:space="preserve"> and </w:t>
      </w:r>
      <w:r w:rsidRPr="00B03131">
        <w:t>OBIN.</w:t>
      </w:r>
      <w:bookmarkEnd w:id="107"/>
    </w:p>
    <w:p w14:paraId="047D152B" w14:textId="183A6F72" w:rsidR="005628E7" w:rsidRPr="00B03131" w:rsidRDefault="005628E7" w:rsidP="00B03131">
      <w:pPr>
        <w:pStyle w:val="3-BodyText"/>
      </w:pPr>
      <w:r w:rsidRPr="00B03131">
        <w:t>The PBAC noted that if ZANU is listed for previously untreated patients, the listing of ACA+/-OBIN will be cost neutral regardless of the uptake</w:t>
      </w:r>
      <w:r w:rsidR="00A12B5B" w:rsidRPr="00B03131">
        <w:t xml:space="preserve"> given listing on a cost minimisation basis</w:t>
      </w:r>
      <w:r w:rsidRPr="00B03131">
        <w:t xml:space="preserve">. The pre-PBAC response </w:t>
      </w:r>
      <w:r w:rsidR="00A12B5B" w:rsidRPr="00B03131">
        <w:t>suggested the</w:t>
      </w:r>
      <w:r w:rsidRPr="00B03131">
        <w:t xml:space="preserve"> </w:t>
      </w:r>
      <w:r w:rsidR="00A12B5B" w:rsidRPr="00B03131">
        <w:t>uptake</w:t>
      </w:r>
      <w:r w:rsidRPr="00B03131">
        <w:t xml:space="preserve"> for ACA+/-OBIN </w:t>
      </w:r>
      <w:r w:rsidR="00A12B5B" w:rsidRPr="00B03131">
        <w:t>and ZANU would be</w:t>
      </w:r>
      <w:r w:rsidRPr="00B03131">
        <w:t xml:space="preserve"> </w:t>
      </w:r>
      <w:r w:rsidR="00A12B5B" w:rsidRPr="00B03131">
        <w:t xml:space="preserve">approximately the same with each obtaining </w:t>
      </w:r>
      <w:r w:rsidRPr="00B03131">
        <w:t xml:space="preserve">50% </w:t>
      </w:r>
      <w:r w:rsidR="00A12B5B" w:rsidRPr="00B03131">
        <w:t xml:space="preserve">of the </w:t>
      </w:r>
      <w:proofErr w:type="gramStart"/>
      <w:r w:rsidR="00A12B5B" w:rsidRPr="00B03131">
        <w:t>first-line</w:t>
      </w:r>
      <w:proofErr w:type="gramEnd"/>
      <w:r w:rsidR="00A12B5B" w:rsidRPr="00B03131">
        <w:t xml:space="preserve"> BTK</w:t>
      </w:r>
      <w:r w:rsidR="00707F44" w:rsidRPr="00B03131">
        <w:t xml:space="preserve"> inhibitors</w:t>
      </w:r>
      <w:r w:rsidR="00A12B5B" w:rsidRPr="00B03131">
        <w:t xml:space="preserve"> market. The PBAC considered the uptake of each agent to be uncertain, although noted 50% was plausible.</w:t>
      </w:r>
    </w:p>
    <w:p w14:paraId="5521A60D" w14:textId="1CFB18BE" w:rsidR="00A12B5B" w:rsidRPr="00B03131" w:rsidRDefault="00A12B5B" w:rsidP="00B03131">
      <w:pPr>
        <w:pStyle w:val="3-BodyText"/>
      </w:pPr>
      <w:r w:rsidRPr="00B03131">
        <w:t>The PBAC noted if ZANU is not PBS listed for previously untreated patients and hence ACA+/-OBIN replaces V</w:t>
      </w:r>
      <w:r w:rsidR="00401B75" w:rsidRPr="00B03131">
        <w:t>TX</w:t>
      </w:r>
      <w:r w:rsidRPr="00B03131">
        <w:t xml:space="preserve">+OBIN that there would be a cost saving in the initial years due to the cost for ACA+/-OBIN accruing over a longer </w:t>
      </w:r>
      <w:proofErr w:type="gramStart"/>
      <w:r w:rsidRPr="00B03131">
        <w:t>period of time</w:t>
      </w:r>
      <w:proofErr w:type="gramEnd"/>
      <w:r w:rsidRPr="00B03131">
        <w:t xml:space="preserve"> than the cost-offsets for V</w:t>
      </w:r>
      <w:r w:rsidR="001E5500" w:rsidRPr="00B03131">
        <w:t>TX</w:t>
      </w:r>
      <w:r w:rsidRPr="00B03131">
        <w:t>+OBIN however</w:t>
      </w:r>
      <w:r w:rsidR="00707F44" w:rsidRPr="00B03131">
        <w:t>,</w:t>
      </w:r>
      <w:r w:rsidRPr="00B03131">
        <w:t xml:space="preserve"> this would reverse to a net cost in later years. </w:t>
      </w:r>
      <w:r w:rsidR="00B47040" w:rsidRPr="00B03131">
        <w:t xml:space="preserve">The PBAC considered the financial estimates provided in the resubmission, including in the PSCR and pre-PBAC response, were unreliable for the reason outlined in paragraph </w:t>
      </w:r>
      <w:r w:rsidR="00B47040" w:rsidRPr="00B03131">
        <w:fldChar w:fldCharType="begin" w:fldLock="1"/>
      </w:r>
      <w:r w:rsidR="00B47040" w:rsidRPr="00B03131">
        <w:instrText xml:space="preserve"> REF _Ref141269589 \r \h </w:instrText>
      </w:r>
      <w:r w:rsidR="00B03131" w:rsidRPr="00B03131">
        <w:instrText xml:space="preserve"> \* MERGEFORMAT </w:instrText>
      </w:r>
      <w:r w:rsidR="00B47040" w:rsidRPr="00B03131">
        <w:fldChar w:fldCharType="separate"/>
      </w:r>
      <w:r w:rsidR="00B47040" w:rsidRPr="00B03131">
        <w:t>7.17</w:t>
      </w:r>
      <w:r w:rsidR="00B47040" w:rsidRPr="00B03131">
        <w:fldChar w:fldCharType="end"/>
      </w:r>
      <w:r w:rsidR="00B47040" w:rsidRPr="00B03131">
        <w:t>. The PBAC considered the financial estimates should be calculated using a market share approach as outlined in the PSD for the consideration of ZANU (</w:t>
      </w:r>
      <w:r w:rsidR="00401B75" w:rsidRPr="00B03131">
        <w:t xml:space="preserve">paragraph </w:t>
      </w:r>
      <w:r w:rsidR="00C224F4" w:rsidRPr="00B03131">
        <w:t>7.16,</w:t>
      </w:r>
      <w:r w:rsidR="00401B75" w:rsidRPr="00B03131">
        <w:t xml:space="preserve"> ZANU, PSD, March 2023 PBAC meeting</w:t>
      </w:r>
      <w:r w:rsidR="00B47040" w:rsidRPr="00B03131">
        <w:t>). Specifically, recent V</w:t>
      </w:r>
      <w:r w:rsidR="00F16244" w:rsidRPr="00B03131">
        <w:t>TX</w:t>
      </w:r>
      <w:r w:rsidR="00B47040" w:rsidRPr="00B03131">
        <w:t xml:space="preserve"> and OBIN prescription data should be used </w:t>
      </w:r>
      <w:r w:rsidR="00707F44" w:rsidRPr="00B03131">
        <w:t>to define the market</w:t>
      </w:r>
      <w:r w:rsidR="00B47040" w:rsidRPr="00B03131">
        <w:t xml:space="preserve">, no market growth should be assumed, the uptake for ACA+/-OBIN should be 40% and the treatment duration for ACA+/-OBIN should be as used in the CMA with discounting removed. </w:t>
      </w:r>
    </w:p>
    <w:p w14:paraId="185EFC04" w14:textId="67F0EC24" w:rsidR="00120C33" w:rsidRPr="00B03131" w:rsidRDefault="00B47040" w:rsidP="00B03131">
      <w:pPr>
        <w:pStyle w:val="3-BodyText"/>
      </w:pPr>
      <w:r w:rsidRPr="00B03131">
        <w:t xml:space="preserve">The PBAC noted that the sponsor had proposed </w:t>
      </w:r>
      <w:proofErr w:type="gramStart"/>
      <w:r w:rsidRPr="00B03131">
        <w:t>a</w:t>
      </w:r>
      <w:proofErr w:type="gramEnd"/>
      <w:r w:rsidRPr="00B03131">
        <w:t xml:space="preserve"> RSA, and considered that this was appropriate to manage the risk of (i) the treatment duration being longer with the additional use potentially not being cost-effective and (ii) earlier use in patients not meeting the iwCLL criteria for initiating treatment with such use potentially not being cost-effective. </w:t>
      </w:r>
      <w:r w:rsidR="00120C33" w:rsidRPr="00B03131">
        <w:t xml:space="preserve">The PBAC considered that should ZANU be PBS-listed that it would be appropriate for ACA to join the </w:t>
      </w:r>
      <w:r w:rsidR="00707F44" w:rsidRPr="00B03131">
        <w:t>ZANU</w:t>
      </w:r>
      <w:r w:rsidR="00120C33" w:rsidRPr="00B03131">
        <w:t xml:space="preserve"> RSA, since both are time unlimited BTK inhibitors. The PBAC considered that should ZANU not be PBS-listed that it may not be appropriate to add ACA+/-OBIN to the existing RSA for V</w:t>
      </w:r>
      <w:r w:rsidR="00401B75" w:rsidRPr="00B03131">
        <w:t>TX</w:t>
      </w:r>
      <w:r w:rsidR="00120C33" w:rsidRPr="00B03131">
        <w:t xml:space="preserve"> as the identified risks regarding ACA+/-OBIN use do not apply. In this case the PBAC considered the financial caps should be based on revised financial estimates as outline</w:t>
      </w:r>
      <w:r w:rsidR="001E5500" w:rsidRPr="00B03131">
        <w:t>d</w:t>
      </w:r>
      <w:r w:rsidR="00120C33" w:rsidRPr="00B03131">
        <w:t xml:space="preserve"> in paragraph </w:t>
      </w:r>
      <w:r w:rsidR="00120C33" w:rsidRPr="00B03131">
        <w:fldChar w:fldCharType="begin" w:fldLock="1"/>
      </w:r>
      <w:r w:rsidR="00120C33" w:rsidRPr="00B03131">
        <w:instrText xml:space="preserve"> REF _Ref141270284 \r \h </w:instrText>
      </w:r>
      <w:r w:rsidR="00B03131" w:rsidRPr="00B03131">
        <w:instrText xml:space="preserve"> \* MERGEFORMAT </w:instrText>
      </w:r>
      <w:r w:rsidR="00120C33" w:rsidRPr="00B03131">
        <w:fldChar w:fldCharType="separate"/>
      </w:r>
      <w:r w:rsidR="00120C33" w:rsidRPr="00B03131">
        <w:t>7.</w:t>
      </w:r>
      <w:r w:rsidR="00B61331" w:rsidRPr="00B03131">
        <w:t>19</w:t>
      </w:r>
      <w:r w:rsidR="00120C33" w:rsidRPr="00B03131">
        <w:fldChar w:fldCharType="end"/>
      </w:r>
      <w:r w:rsidR="00120C33" w:rsidRPr="00B03131">
        <w:t>.</w:t>
      </w:r>
    </w:p>
    <w:p w14:paraId="0F90225B" w14:textId="48841664" w:rsidR="00B61331" w:rsidRPr="00B03131" w:rsidRDefault="00B61331" w:rsidP="00B03131">
      <w:pPr>
        <w:pStyle w:val="3-BodyText"/>
      </w:pPr>
      <w:r w:rsidRPr="00B03131">
        <w:t>The PBAC noted that flow-on restriction changes would be required for OBIN.</w:t>
      </w:r>
    </w:p>
    <w:p w14:paraId="328715AD" w14:textId="25DC4D59" w:rsidR="009659DF" w:rsidRPr="00B03131" w:rsidRDefault="009659DF" w:rsidP="00B03131">
      <w:pPr>
        <w:pStyle w:val="3-BodyText"/>
      </w:pPr>
      <w:r w:rsidRPr="00B03131">
        <w:t>The PBAC noted that its recommendation was on a cost-minimisation basis and advised that, because ACA</w:t>
      </w:r>
      <w:r w:rsidR="00E77348" w:rsidRPr="00B03131">
        <w:t>+/-OBIN</w:t>
      </w:r>
      <w:r w:rsidRPr="00B03131">
        <w:t xml:space="preserve"> is not expected to provide a substantial and clinically relevant improvement in efficacy, or reduction of toxicity, over VTX+OBIN, or not expected to address a high and urgent unmet clinical need given the presence of an alternative therapy, the criteria prescribed by the </w:t>
      </w:r>
      <w:r w:rsidRPr="00B03131">
        <w:rPr>
          <w:i/>
          <w:iCs/>
        </w:rPr>
        <w:t>National Health (Pharmaceuticals and Vaccines – Cost Recovery) Regulations 2022</w:t>
      </w:r>
      <w:r w:rsidRPr="00B03131">
        <w:t xml:space="preserve"> for Pricing Pathway A were not met.</w:t>
      </w:r>
    </w:p>
    <w:p w14:paraId="03576A3D" w14:textId="77777777" w:rsidR="009659DF" w:rsidRPr="00B03131" w:rsidRDefault="009659DF" w:rsidP="00B03131">
      <w:pPr>
        <w:pStyle w:val="3-BodyText"/>
      </w:pPr>
      <w:r w:rsidRPr="00B03131">
        <w:t xml:space="preserve">The PBAC noted that this submission is not eligible for an Independent Review as it received a positive recommendation. </w:t>
      </w:r>
    </w:p>
    <w:p w14:paraId="7353AA03" w14:textId="77777777" w:rsidR="004F2A19" w:rsidRPr="00B8449F" w:rsidRDefault="004F2A19" w:rsidP="004F2A19">
      <w:pPr>
        <w:spacing w:before="240"/>
        <w:rPr>
          <w:rFonts w:asciiTheme="minorHAnsi" w:hAnsiTheme="minorHAnsi"/>
          <w:b/>
          <w:bCs/>
          <w:snapToGrid w:val="0"/>
          <w:lang w:eastAsia="en-US"/>
        </w:rPr>
      </w:pPr>
      <w:r w:rsidRPr="00B8449F">
        <w:rPr>
          <w:rFonts w:asciiTheme="minorHAnsi" w:hAnsiTheme="minorHAnsi"/>
          <w:b/>
          <w:bCs/>
          <w:snapToGrid w:val="0"/>
          <w:lang w:eastAsia="en-US"/>
        </w:rPr>
        <w:t>Outcome:</w:t>
      </w:r>
    </w:p>
    <w:p w14:paraId="6BAE2C39" w14:textId="06F2E9BE" w:rsidR="004F2A19" w:rsidRPr="00B8449F" w:rsidRDefault="004F2A19" w:rsidP="004F2A19">
      <w:pPr>
        <w:spacing w:after="120"/>
        <w:rPr>
          <w:rFonts w:asciiTheme="minorHAnsi" w:hAnsiTheme="minorHAnsi"/>
          <w:bCs/>
          <w:snapToGrid w:val="0"/>
          <w:lang w:eastAsia="en-US"/>
        </w:rPr>
      </w:pPr>
      <w:r w:rsidRPr="00B8449F">
        <w:rPr>
          <w:rFonts w:asciiTheme="minorHAnsi" w:hAnsiTheme="minorHAnsi"/>
          <w:bCs/>
          <w:snapToGrid w:val="0"/>
          <w:lang w:eastAsia="en-US"/>
        </w:rPr>
        <w:t>Recommended</w:t>
      </w:r>
    </w:p>
    <w:bookmarkEnd w:id="98"/>
    <w:p w14:paraId="15068996" w14:textId="77777777" w:rsidR="004F2A19" w:rsidRPr="009F231B" w:rsidRDefault="004F2A19" w:rsidP="009F231B">
      <w:pPr>
        <w:pStyle w:val="2-SectionHeading"/>
        <w:numPr>
          <w:ilvl w:val="0"/>
          <w:numId w:val="1"/>
        </w:numPr>
      </w:pPr>
      <w:r w:rsidRPr="009F231B">
        <w:t xml:space="preserve">Recommended </w:t>
      </w:r>
      <w:proofErr w:type="gramStart"/>
      <w:r w:rsidRPr="009F231B">
        <w:t>listing</w:t>
      </w:r>
      <w:proofErr w:type="gramEnd"/>
    </w:p>
    <w:p w14:paraId="1CB88C24" w14:textId="41D21D67" w:rsidR="004F2A19" w:rsidRPr="00B03131" w:rsidRDefault="000268D1" w:rsidP="00B03131">
      <w:pPr>
        <w:pStyle w:val="3-BodyText"/>
        <w:rPr>
          <w:rFonts w:cs="Arial"/>
          <w:snapToGrid w:val="0"/>
          <w:lang w:eastAsia="en-US"/>
        </w:rPr>
      </w:pPr>
      <w:r w:rsidRPr="0019444B">
        <w:rPr>
          <w:snapToGrid w:val="0"/>
          <w:lang w:eastAsia="en-US"/>
        </w:rPr>
        <w:t xml:space="preserve">Add indication as follows: </w:t>
      </w:r>
      <w:bookmarkEnd w:id="99"/>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560"/>
        <w:gridCol w:w="2983"/>
        <w:gridCol w:w="1134"/>
        <w:gridCol w:w="709"/>
        <w:gridCol w:w="709"/>
        <w:gridCol w:w="850"/>
        <w:gridCol w:w="1418"/>
      </w:tblGrid>
      <w:tr w:rsidR="0028137A" w:rsidRPr="0019444B" w14:paraId="72A6399C" w14:textId="77777777" w:rsidTr="000F4A21">
        <w:trPr>
          <w:cantSplit/>
          <w:trHeight w:val="471"/>
        </w:trPr>
        <w:tc>
          <w:tcPr>
            <w:tcW w:w="3964" w:type="dxa"/>
            <w:gridSpan w:val="3"/>
          </w:tcPr>
          <w:bookmarkEnd w:id="100"/>
          <w:bookmarkEnd w:id="97"/>
          <w:p w14:paraId="4F017DAA" w14:textId="77777777" w:rsidR="0028137A" w:rsidRPr="0019444B" w:rsidRDefault="0028137A" w:rsidP="000F4A21">
            <w:pPr>
              <w:keepNext/>
              <w:ind w:left="-57"/>
              <w:rPr>
                <w:rFonts w:ascii="Arial Narrow" w:hAnsi="Arial Narrow"/>
                <w:b/>
                <w:bCs/>
                <w:sz w:val="20"/>
                <w:szCs w:val="20"/>
              </w:rPr>
            </w:pPr>
            <w:r w:rsidRPr="0019444B">
              <w:rPr>
                <w:rFonts w:ascii="Arial Narrow" w:hAnsi="Arial Narrow"/>
                <w:b/>
                <w:bCs/>
                <w:sz w:val="20"/>
                <w:szCs w:val="20"/>
              </w:rPr>
              <w:t>MEDICINAL PRODUCT</w:t>
            </w:r>
          </w:p>
          <w:p w14:paraId="073EB7F4" w14:textId="77777777" w:rsidR="0028137A" w:rsidRPr="0019444B" w:rsidRDefault="0028137A" w:rsidP="000F4A21">
            <w:pPr>
              <w:keepNext/>
              <w:ind w:left="-57"/>
              <w:rPr>
                <w:rFonts w:ascii="Arial Narrow" w:hAnsi="Arial Narrow"/>
                <w:b/>
                <w:sz w:val="20"/>
                <w:szCs w:val="20"/>
              </w:rPr>
            </w:pPr>
            <w:r w:rsidRPr="0019444B">
              <w:rPr>
                <w:rFonts w:ascii="Arial Narrow" w:hAnsi="Arial Narrow"/>
                <w:b/>
                <w:bCs/>
                <w:sz w:val="20"/>
                <w:szCs w:val="20"/>
              </w:rPr>
              <w:t>medicinal product pack</w:t>
            </w:r>
          </w:p>
        </w:tc>
        <w:tc>
          <w:tcPr>
            <w:tcW w:w="1134" w:type="dxa"/>
          </w:tcPr>
          <w:p w14:paraId="0C23D347" w14:textId="77777777" w:rsidR="0028137A" w:rsidRPr="00941556" w:rsidRDefault="0028137A" w:rsidP="000F4A21">
            <w:pPr>
              <w:keepNext/>
              <w:rPr>
                <w:rFonts w:ascii="Arial Narrow" w:hAnsi="Arial Narrow"/>
                <w:b/>
                <w:sz w:val="20"/>
                <w:szCs w:val="20"/>
              </w:rPr>
            </w:pPr>
            <w:r w:rsidRPr="00941556">
              <w:rPr>
                <w:rFonts w:ascii="Arial Narrow" w:hAnsi="Arial Narrow"/>
                <w:b/>
                <w:sz w:val="20"/>
                <w:szCs w:val="20"/>
              </w:rPr>
              <w:t>PBS item code</w:t>
            </w:r>
          </w:p>
        </w:tc>
        <w:tc>
          <w:tcPr>
            <w:tcW w:w="709" w:type="dxa"/>
          </w:tcPr>
          <w:p w14:paraId="556CF0C8" w14:textId="77777777" w:rsidR="0028137A" w:rsidRPr="0019444B" w:rsidRDefault="0028137A" w:rsidP="000F4A21">
            <w:pPr>
              <w:keepNext/>
              <w:rPr>
                <w:rFonts w:ascii="Arial Narrow" w:hAnsi="Arial Narrow"/>
                <w:b/>
                <w:sz w:val="20"/>
                <w:szCs w:val="20"/>
              </w:rPr>
            </w:pPr>
            <w:r w:rsidRPr="0019444B">
              <w:rPr>
                <w:rFonts w:ascii="Arial Narrow" w:hAnsi="Arial Narrow"/>
                <w:b/>
                <w:sz w:val="20"/>
                <w:szCs w:val="20"/>
              </w:rPr>
              <w:t>Max. qty packs</w:t>
            </w:r>
          </w:p>
        </w:tc>
        <w:tc>
          <w:tcPr>
            <w:tcW w:w="709" w:type="dxa"/>
          </w:tcPr>
          <w:p w14:paraId="4F5E0604" w14:textId="77777777" w:rsidR="0028137A" w:rsidRPr="0019444B" w:rsidRDefault="0028137A" w:rsidP="000F4A21">
            <w:pPr>
              <w:keepNext/>
              <w:rPr>
                <w:rFonts w:ascii="Arial Narrow" w:hAnsi="Arial Narrow"/>
                <w:b/>
                <w:sz w:val="20"/>
                <w:szCs w:val="20"/>
              </w:rPr>
            </w:pPr>
            <w:r w:rsidRPr="0019444B">
              <w:rPr>
                <w:rFonts w:ascii="Arial Narrow" w:hAnsi="Arial Narrow"/>
                <w:b/>
                <w:sz w:val="20"/>
                <w:szCs w:val="20"/>
              </w:rPr>
              <w:t>Max. qty units</w:t>
            </w:r>
          </w:p>
        </w:tc>
        <w:tc>
          <w:tcPr>
            <w:tcW w:w="850" w:type="dxa"/>
          </w:tcPr>
          <w:p w14:paraId="6519ADBA" w14:textId="77777777" w:rsidR="0028137A" w:rsidRPr="0019444B" w:rsidRDefault="0028137A" w:rsidP="000F4A21">
            <w:pPr>
              <w:keepNext/>
              <w:ind w:left="-108"/>
              <w:rPr>
                <w:rFonts w:ascii="Arial Narrow" w:hAnsi="Arial Narrow"/>
                <w:b/>
                <w:sz w:val="20"/>
                <w:szCs w:val="20"/>
              </w:rPr>
            </w:pPr>
            <w:proofErr w:type="gramStart"/>
            <w:r w:rsidRPr="0019444B">
              <w:rPr>
                <w:rFonts w:ascii="Arial Narrow" w:hAnsi="Arial Narrow"/>
                <w:b/>
                <w:sz w:val="20"/>
                <w:szCs w:val="20"/>
              </w:rPr>
              <w:t>№.of</w:t>
            </w:r>
            <w:proofErr w:type="gramEnd"/>
            <w:r w:rsidRPr="0019444B">
              <w:rPr>
                <w:rFonts w:ascii="Arial Narrow" w:hAnsi="Arial Narrow"/>
                <w:b/>
                <w:sz w:val="20"/>
                <w:szCs w:val="20"/>
              </w:rPr>
              <w:t xml:space="preserve"> Rpts</w:t>
            </w:r>
          </w:p>
        </w:tc>
        <w:tc>
          <w:tcPr>
            <w:tcW w:w="1418" w:type="dxa"/>
          </w:tcPr>
          <w:p w14:paraId="252AB674" w14:textId="77777777" w:rsidR="0028137A" w:rsidRPr="000F39CD" w:rsidRDefault="0028137A" w:rsidP="000F4A21">
            <w:pPr>
              <w:keepNext/>
              <w:rPr>
                <w:rFonts w:ascii="Arial Narrow" w:hAnsi="Arial Narrow"/>
                <w:b/>
                <w:sz w:val="20"/>
                <w:szCs w:val="20"/>
              </w:rPr>
            </w:pPr>
            <w:r w:rsidRPr="0019444B">
              <w:rPr>
                <w:rFonts w:ascii="Arial Narrow" w:hAnsi="Arial Narrow"/>
                <w:b/>
                <w:sz w:val="20"/>
                <w:szCs w:val="20"/>
              </w:rPr>
              <w:t>Available brands</w:t>
            </w:r>
          </w:p>
        </w:tc>
      </w:tr>
      <w:tr w:rsidR="0028137A" w:rsidRPr="0019444B" w14:paraId="1D51D155" w14:textId="77777777" w:rsidTr="000F4A21">
        <w:trPr>
          <w:cantSplit/>
          <w:trHeight w:val="224"/>
        </w:trPr>
        <w:tc>
          <w:tcPr>
            <w:tcW w:w="8784" w:type="dxa"/>
            <w:gridSpan w:val="8"/>
          </w:tcPr>
          <w:p w14:paraId="6DFCFBB9" w14:textId="77777777" w:rsidR="0028137A" w:rsidRPr="0019444B" w:rsidRDefault="0028137A" w:rsidP="000F4A21">
            <w:pPr>
              <w:keepNext/>
              <w:ind w:left="-57"/>
              <w:rPr>
                <w:rFonts w:ascii="Arial Narrow" w:hAnsi="Arial Narrow"/>
                <w:sz w:val="20"/>
                <w:szCs w:val="20"/>
              </w:rPr>
            </w:pPr>
            <w:r w:rsidRPr="0019444B">
              <w:rPr>
                <w:rFonts w:ascii="Arial Narrow" w:hAnsi="Arial Narrow"/>
                <w:sz w:val="20"/>
                <w:szCs w:val="20"/>
              </w:rPr>
              <w:t>ACALABRUTINIB</w:t>
            </w:r>
          </w:p>
        </w:tc>
      </w:tr>
      <w:tr w:rsidR="0028137A" w:rsidRPr="0019444B" w14:paraId="3A1958DC" w14:textId="77777777" w:rsidTr="000F4A21">
        <w:trPr>
          <w:cantSplit/>
          <w:trHeight w:val="553"/>
        </w:trPr>
        <w:tc>
          <w:tcPr>
            <w:tcW w:w="3964" w:type="dxa"/>
            <w:gridSpan w:val="3"/>
          </w:tcPr>
          <w:p w14:paraId="66D87DB9" w14:textId="708A221D" w:rsidR="0028137A" w:rsidRPr="0019444B" w:rsidRDefault="0028137A" w:rsidP="000F4A21">
            <w:pPr>
              <w:keepNext/>
              <w:ind w:left="-57"/>
              <w:rPr>
                <w:rFonts w:ascii="Arial Narrow" w:hAnsi="Arial Narrow"/>
                <w:sz w:val="20"/>
                <w:szCs w:val="20"/>
              </w:rPr>
            </w:pPr>
            <w:r w:rsidRPr="0019444B">
              <w:rPr>
                <w:rFonts w:ascii="Arial Narrow" w:hAnsi="Arial Narrow"/>
                <w:sz w:val="20"/>
                <w:szCs w:val="20"/>
              </w:rPr>
              <w:t>100 mg, tablet</w:t>
            </w:r>
          </w:p>
        </w:tc>
        <w:tc>
          <w:tcPr>
            <w:tcW w:w="1134" w:type="dxa"/>
          </w:tcPr>
          <w:p w14:paraId="1A5C05DD" w14:textId="77777777" w:rsidR="0028137A" w:rsidRPr="0019444B" w:rsidRDefault="0028137A" w:rsidP="000F4A21">
            <w:pPr>
              <w:keepNext/>
              <w:rPr>
                <w:rFonts w:ascii="Arial Narrow" w:hAnsi="Arial Narrow"/>
                <w:sz w:val="20"/>
                <w:szCs w:val="20"/>
              </w:rPr>
            </w:pPr>
            <w:r w:rsidRPr="0019444B">
              <w:rPr>
                <w:rFonts w:ascii="Arial Narrow" w:hAnsi="Arial Narrow"/>
                <w:sz w:val="20"/>
                <w:szCs w:val="20"/>
              </w:rPr>
              <w:t>NEW</w:t>
            </w:r>
          </w:p>
        </w:tc>
        <w:tc>
          <w:tcPr>
            <w:tcW w:w="709" w:type="dxa"/>
          </w:tcPr>
          <w:p w14:paraId="5759B917" w14:textId="77777777" w:rsidR="0028137A" w:rsidRPr="0019444B" w:rsidRDefault="0028137A" w:rsidP="000F4A21">
            <w:pPr>
              <w:keepNext/>
              <w:rPr>
                <w:rFonts w:ascii="Arial Narrow" w:hAnsi="Arial Narrow"/>
                <w:sz w:val="20"/>
                <w:szCs w:val="20"/>
              </w:rPr>
            </w:pPr>
            <w:r w:rsidRPr="0019444B">
              <w:rPr>
                <w:rFonts w:ascii="Arial Narrow" w:hAnsi="Arial Narrow"/>
                <w:sz w:val="20"/>
                <w:szCs w:val="20"/>
              </w:rPr>
              <w:t>1</w:t>
            </w:r>
          </w:p>
        </w:tc>
        <w:tc>
          <w:tcPr>
            <w:tcW w:w="709" w:type="dxa"/>
          </w:tcPr>
          <w:p w14:paraId="281E7DF9" w14:textId="77777777" w:rsidR="0028137A" w:rsidRPr="0019444B" w:rsidRDefault="0028137A" w:rsidP="000F4A21">
            <w:pPr>
              <w:keepNext/>
              <w:rPr>
                <w:rFonts w:ascii="Arial Narrow" w:hAnsi="Arial Narrow"/>
                <w:sz w:val="20"/>
                <w:szCs w:val="20"/>
              </w:rPr>
            </w:pPr>
            <w:r w:rsidRPr="0019444B">
              <w:rPr>
                <w:rFonts w:ascii="Arial Narrow" w:hAnsi="Arial Narrow"/>
                <w:sz w:val="20"/>
                <w:szCs w:val="20"/>
              </w:rPr>
              <w:t>56</w:t>
            </w:r>
          </w:p>
        </w:tc>
        <w:tc>
          <w:tcPr>
            <w:tcW w:w="850" w:type="dxa"/>
          </w:tcPr>
          <w:p w14:paraId="34D39266" w14:textId="77777777" w:rsidR="0028137A" w:rsidRPr="0019444B" w:rsidRDefault="0028137A" w:rsidP="000F4A21">
            <w:pPr>
              <w:keepNext/>
              <w:rPr>
                <w:rFonts w:ascii="Arial Narrow" w:hAnsi="Arial Narrow"/>
                <w:sz w:val="20"/>
                <w:szCs w:val="20"/>
              </w:rPr>
            </w:pPr>
            <w:r w:rsidRPr="0019444B">
              <w:rPr>
                <w:rFonts w:ascii="Arial Narrow" w:hAnsi="Arial Narrow"/>
                <w:sz w:val="20"/>
                <w:szCs w:val="20"/>
              </w:rPr>
              <w:t>5</w:t>
            </w:r>
          </w:p>
        </w:tc>
        <w:tc>
          <w:tcPr>
            <w:tcW w:w="1418" w:type="dxa"/>
          </w:tcPr>
          <w:p w14:paraId="33A41DD6" w14:textId="77777777" w:rsidR="0028137A" w:rsidRPr="0019444B" w:rsidRDefault="0028137A" w:rsidP="000F4A21">
            <w:pPr>
              <w:keepNext/>
              <w:rPr>
                <w:rFonts w:ascii="Arial Narrow" w:eastAsia="MS Gothic" w:hAnsi="Arial Narrow" w:cs="Times New Roman"/>
                <w:bCs/>
                <w:sz w:val="20"/>
                <w:szCs w:val="20"/>
              </w:rPr>
            </w:pPr>
            <w:r w:rsidRPr="0019444B">
              <w:rPr>
                <w:rFonts w:ascii="Arial Narrow" w:eastAsia="MS Gothic" w:hAnsi="Arial Narrow" w:cs="Times New Roman"/>
                <w:bCs/>
                <w:sz w:val="20"/>
                <w:szCs w:val="20"/>
              </w:rPr>
              <w:t>Calquence</w:t>
            </w:r>
          </w:p>
        </w:tc>
      </w:tr>
      <w:tr w:rsidR="0028137A" w:rsidRPr="0019444B" w14:paraId="0DB008B0" w14:textId="77777777" w:rsidTr="000F4A21">
        <w:trPr>
          <w:cantSplit/>
          <w:trHeight w:val="327"/>
        </w:trPr>
        <w:tc>
          <w:tcPr>
            <w:tcW w:w="5098" w:type="dxa"/>
            <w:gridSpan w:val="4"/>
          </w:tcPr>
          <w:p w14:paraId="7972B9A6" w14:textId="77777777" w:rsidR="0028137A" w:rsidRPr="0019444B" w:rsidRDefault="0028137A" w:rsidP="000F4A21">
            <w:pPr>
              <w:keepNext/>
              <w:rPr>
                <w:rFonts w:ascii="Arial Narrow" w:hAnsi="Arial Narrow"/>
                <w:sz w:val="20"/>
                <w:szCs w:val="20"/>
              </w:rPr>
            </w:pPr>
          </w:p>
        </w:tc>
        <w:tc>
          <w:tcPr>
            <w:tcW w:w="3686" w:type="dxa"/>
            <w:gridSpan w:val="4"/>
          </w:tcPr>
          <w:p w14:paraId="41490B51" w14:textId="77777777" w:rsidR="0028137A" w:rsidRPr="0019444B" w:rsidRDefault="0028137A" w:rsidP="000F4A21">
            <w:pPr>
              <w:keepNext/>
              <w:ind w:left="-57"/>
              <w:rPr>
                <w:rFonts w:ascii="Arial Narrow" w:hAnsi="Arial Narrow"/>
                <w:sz w:val="20"/>
                <w:szCs w:val="20"/>
              </w:rPr>
            </w:pPr>
            <w:r w:rsidRPr="0019444B">
              <w:rPr>
                <w:rFonts w:ascii="Arial Narrow" w:hAnsi="Arial Narrow"/>
                <w:sz w:val="20"/>
                <w:szCs w:val="20"/>
              </w:rPr>
              <w:t>Max.qty (packs) multiplier = 2</w:t>
            </w:r>
          </w:p>
          <w:p w14:paraId="2A43FF90" w14:textId="77777777" w:rsidR="0028137A" w:rsidRPr="0019444B" w:rsidRDefault="0028137A" w:rsidP="000F4A21">
            <w:pPr>
              <w:keepNext/>
              <w:ind w:left="-57"/>
              <w:rPr>
                <w:rFonts w:ascii="Arial Narrow" w:hAnsi="Arial Narrow"/>
                <w:sz w:val="20"/>
                <w:szCs w:val="20"/>
              </w:rPr>
            </w:pPr>
            <w:r w:rsidRPr="0019444B">
              <w:rPr>
                <w:rFonts w:ascii="Arial Narrow" w:hAnsi="Arial Narrow"/>
                <w:sz w:val="20"/>
                <w:szCs w:val="20"/>
              </w:rPr>
              <w:t>Repeat increases: nil</w:t>
            </w:r>
          </w:p>
        </w:tc>
      </w:tr>
      <w:tr w:rsidR="0028137A" w:rsidRPr="0019444B" w14:paraId="73C011D9" w14:textId="77777777" w:rsidTr="000F4A21">
        <w:tblPrEx>
          <w:tblCellMar>
            <w:top w:w="15" w:type="dxa"/>
            <w:left w:w="15" w:type="dxa"/>
            <w:bottom w:w="15" w:type="dxa"/>
            <w:right w:w="15" w:type="dxa"/>
          </w:tblCellMar>
          <w:tblLook w:val="04A0" w:firstRow="1" w:lastRow="0" w:firstColumn="1" w:lastColumn="0" w:noHBand="0" w:noVBand="1"/>
        </w:tblPrEx>
        <w:tc>
          <w:tcPr>
            <w:tcW w:w="8784" w:type="dxa"/>
            <w:gridSpan w:val="8"/>
            <w:tcBorders>
              <w:top w:val="single" w:sz="4" w:space="0" w:color="auto"/>
              <w:left w:val="single" w:sz="4" w:space="0" w:color="auto"/>
              <w:right w:val="single" w:sz="4" w:space="0" w:color="auto"/>
            </w:tcBorders>
          </w:tcPr>
          <w:p w14:paraId="354A0574" w14:textId="77777777" w:rsidR="0028137A" w:rsidRPr="0019444B" w:rsidRDefault="0028137A" w:rsidP="000F4A21">
            <w:pPr>
              <w:rPr>
                <w:rFonts w:ascii="Arial Narrow" w:hAnsi="Arial Narrow"/>
                <w:i/>
                <w:iCs/>
                <w:sz w:val="20"/>
                <w:szCs w:val="20"/>
              </w:rPr>
            </w:pPr>
          </w:p>
        </w:tc>
      </w:tr>
      <w:tr w:rsidR="0028137A" w:rsidRPr="0019444B" w14:paraId="1759EFEB" w14:textId="77777777" w:rsidTr="000F4A21">
        <w:tblPrEx>
          <w:tblCellMar>
            <w:top w:w="15" w:type="dxa"/>
            <w:left w:w="15" w:type="dxa"/>
            <w:bottom w:w="15" w:type="dxa"/>
            <w:right w:w="15" w:type="dxa"/>
          </w:tblCellMar>
          <w:tblLook w:val="04A0" w:firstRow="1" w:lastRow="0" w:firstColumn="1" w:lastColumn="0" w:noHBand="0" w:noVBand="1"/>
        </w:tblPrEx>
        <w:tc>
          <w:tcPr>
            <w:tcW w:w="8784" w:type="dxa"/>
            <w:gridSpan w:val="8"/>
            <w:tcBorders>
              <w:top w:val="single" w:sz="4" w:space="0" w:color="auto"/>
              <w:left w:val="single" w:sz="4" w:space="0" w:color="auto"/>
              <w:right w:val="single" w:sz="4" w:space="0" w:color="auto"/>
            </w:tcBorders>
          </w:tcPr>
          <w:p w14:paraId="2A79A273" w14:textId="2F27A1F5" w:rsidR="0028137A" w:rsidRPr="0019444B" w:rsidRDefault="0028137A" w:rsidP="000F4A21">
            <w:pPr>
              <w:rPr>
                <w:rFonts w:ascii="Arial Narrow" w:hAnsi="Arial Narrow"/>
                <w:b/>
                <w:sz w:val="20"/>
                <w:szCs w:val="20"/>
              </w:rPr>
            </w:pPr>
            <w:r w:rsidRPr="0019444B">
              <w:rPr>
                <w:rFonts w:ascii="Arial Narrow" w:hAnsi="Arial Narrow"/>
                <w:b/>
                <w:sz w:val="20"/>
                <w:szCs w:val="20"/>
              </w:rPr>
              <w:t xml:space="preserve">Restriction Summary] / Treatment of Concept:  </w:t>
            </w:r>
          </w:p>
        </w:tc>
      </w:tr>
      <w:tr w:rsidR="0028137A" w:rsidRPr="0019444B" w14:paraId="0D6FBE0A" w14:textId="77777777" w:rsidTr="000F4A21">
        <w:tblPrEx>
          <w:tblCellMar>
            <w:top w:w="15" w:type="dxa"/>
            <w:left w:w="15" w:type="dxa"/>
            <w:bottom w:w="15" w:type="dxa"/>
            <w:right w:w="15" w:type="dxa"/>
          </w:tblCellMar>
          <w:tblLook w:val="04A0" w:firstRow="1" w:lastRow="0" w:firstColumn="1" w:lastColumn="0" w:noHBand="0" w:noVBand="1"/>
        </w:tblPrEx>
        <w:tc>
          <w:tcPr>
            <w:tcW w:w="981" w:type="dxa"/>
            <w:gridSpan w:val="2"/>
            <w:vMerge w:val="restart"/>
            <w:tcBorders>
              <w:top w:val="single" w:sz="4" w:space="0" w:color="auto"/>
              <w:left w:val="single" w:sz="4" w:space="0" w:color="auto"/>
              <w:right w:val="single" w:sz="4" w:space="0" w:color="auto"/>
            </w:tcBorders>
          </w:tcPr>
          <w:p w14:paraId="7055D18D" w14:textId="77777777" w:rsidR="0028137A" w:rsidRPr="0019444B" w:rsidRDefault="0028137A" w:rsidP="000F4A21">
            <w:pPr>
              <w:jc w:val="center"/>
              <w:rPr>
                <w:rFonts w:ascii="Arial Narrow" w:hAnsi="Arial Narrow"/>
                <w:b/>
                <w:sz w:val="20"/>
                <w:szCs w:val="20"/>
              </w:rPr>
            </w:pPr>
            <w:r w:rsidRPr="0019444B">
              <w:rPr>
                <w:rFonts w:ascii="Arial Narrow" w:hAnsi="Arial Narrow"/>
                <w:b/>
                <w:sz w:val="20"/>
                <w:szCs w:val="20"/>
              </w:rPr>
              <w:t>Concept ID</w:t>
            </w:r>
          </w:p>
          <w:p w14:paraId="2754FD7E" w14:textId="7BE32322" w:rsidR="0028137A" w:rsidRPr="0019444B" w:rsidRDefault="0028137A" w:rsidP="000F4A21">
            <w:pPr>
              <w:jc w:val="center"/>
              <w:rPr>
                <w:rFonts w:ascii="Arial Narrow" w:hAnsi="Arial Narrow"/>
                <w:b/>
                <w:sz w:val="20"/>
                <w:szCs w:val="20"/>
              </w:rPr>
            </w:pPr>
          </w:p>
        </w:tc>
        <w:tc>
          <w:tcPr>
            <w:tcW w:w="7803" w:type="dxa"/>
            <w:gridSpan w:val="6"/>
            <w:tcBorders>
              <w:top w:val="single" w:sz="4" w:space="0" w:color="auto"/>
              <w:left w:val="single" w:sz="4" w:space="0" w:color="auto"/>
              <w:bottom w:val="single" w:sz="4" w:space="0" w:color="auto"/>
              <w:right w:val="single" w:sz="4" w:space="0" w:color="auto"/>
            </w:tcBorders>
          </w:tcPr>
          <w:p w14:paraId="028D9A93" w14:textId="77777777" w:rsidR="0028137A" w:rsidRPr="0019444B" w:rsidRDefault="0028137A" w:rsidP="000F4A21">
            <w:pPr>
              <w:rPr>
                <w:rFonts w:ascii="Arial Narrow" w:hAnsi="Arial Narrow"/>
                <w:sz w:val="20"/>
                <w:szCs w:val="20"/>
              </w:rPr>
            </w:pPr>
            <w:r w:rsidRPr="0019444B">
              <w:rPr>
                <w:rFonts w:ascii="Arial Narrow" w:hAnsi="Arial Narrow"/>
                <w:b/>
                <w:sz w:val="20"/>
                <w:szCs w:val="20"/>
              </w:rPr>
              <w:t xml:space="preserve">Category / Program: </w:t>
            </w:r>
            <w:r w:rsidRPr="0019444B">
              <w:rPr>
                <w:rFonts w:ascii="Arial Narrow" w:hAnsi="Arial Narrow"/>
                <w:sz w:val="20"/>
                <w:szCs w:val="20"/>
              </w:rPr>
              <w:t xml:space="preserve">GENERAL – General Schedule (Code GE) </w:t>
            </w:r>
          </w:p>
        </w:tc>
      </w:tr>
      <w:tr w:rsidR="0028137A" w:rsidRPr="0019444B" w14:paraId="58949AB9" w14:textId="77777777" w:rsidTr="000F4A21">
        <w:tblPrEx>
          <w:tblCellMar>
            <w:top w:w="15" w:type="dxa"/>
            <w:left w:w="15" w:type="dxa"/>
            <w:bottom w:w="15" w:type="dxa"/>
            <w:right w:w="15" w:type="dxa"/>
          </w:tblCellMar>
          <w:tblLook w:val="04A0" w:firstRow="1" w:lastRow="0" w:firstColumn="1" w:lastColumn="0" w:noHBand="0" w:noVBand="1"/>
        </w:tblPrEx>
        <w:trPr>
          <w:trHeight w:val="240"/>
        </w:trPr>
        <w:tc>
          <w:tcPr>
            <w:tcW w:w="981" w:type="dxa"/>
            <w:gridSpan w:val="2"/>
            <w:vMerge/>
            <w:tcBorders>
              <w:left w:val="single" w:sz="4" w:space="0" w:color="auto"/>
              <w:right w:val="single" w:sz="4" w:space="0" w:color="auto"/>
            </w:tcBorders>
          </w:tcPr>
          <w:p w14:paraId="12DA47CD" w14:textId="77777777" w:rsidR="0028137A" w:rsidRPr="0019444B" w:rsidRDefault="0028137A" w:rsidP="000F4A21">
            <w:pPr>
              <w:rPr>
                <w:rFonts w:ascii="Arial Narrow" w:hAnsi="Arial Narrow"/>
                <w:sz w:val="20"/>
                <w:szCs w:val="20"/>
              </w:rPr>
            </w:pPr>
          </w:p>
        </w:tc>
        <w:tc>
          <w:tcPr>
            <w:tcW w:w="7803" w:type="dxa"/>
            <w:gridSpan w:val="6"/>
            <w:tcBorders>
              <w:top w:val="single" w:sz="4" w:space="0" w:color="auto"/>
              <w:left w:val="single" w:sz="4" w:space="0" w:color="auto"/>
              <w:bottom w:val="single" w:sz="4" w:space="0" w:color="auto"/>
              <w:right w:val="single" w:sz="4" w:space="0" w:color="auto"/>
            </w:tcBorders>
          </w:tcPr>
          <w:p w14:paraId="5B01367F" w14:textId="77777777" w:rsidR="0028137A" w:rsidRPr="0019444B" w:rsidRDefault="0028137A" w:rsidP="000F4A21">
            <w:pPr>
              <w:rPr>
                <w:rFonts w:ascii="Arial Narrow" w:hAnsi="Arial Narrow"/>
                <w:b/>
                <w:sz w:val="20"/>
                <w:szCs w:val="20"/>
              </w:rPr>
            </w:pPr>
            <w:r w:rsidRPr="0019444B">
              <w:rPr>
                <w:rFonts w:ascii="Arial Narrow" w:hAnsi="Arial Narrow"/>
                <w:b/>
                <w:sz w:val="20"/>
                <w:szCs w:val="20"/>
              </w:rPr>
              <w:t xml:space="preserve">Prescriber type: </w:t>
            </w:r>
            <w:r w:rsidRPr="00B465C7">
              <w:rPr>
                <w:rFonts w:ascii="Arial Narrow" w:hAnsi="Arial Narrow"/>
                <w:sz w:val="20"/>
                <w:szCs w:val="20"/>
              </w:rPr>
              <w:fldChar w:fldCharType="begin" w:fldLock="1">
                <w:ffData>
                  <w:name w:val=""/>
                  <w:enabled/>
                  <w:calcOnExit w:val="0"/>
                  <w:checkBox>
                    <w:sizeAuto/>
                    <w:default w:val="1"/>
                  </w:checkBox>
                </w:ffData>
              </w:fldChar>
            </w:r>
            <w:r w:rsidRPr="0019444B">
              <w:rPr>
                <w:rFonts w:ascii="Arial Narrow" w:hAnsi="Arial Narrow"/>
                <w:sz w:val="20"/>
                <w:szCs w:val="20"/>
              </w:rPr>
              <w:instrText xml:space="preserve"> FORMCHECKBOX </w:instrText>
            </w:r>
            <w:r w:rsidR="00FF5E98">
              <w:rPr>
                <w:rFonts w:ascii="Arial Narrow" w:hAnsi="Arial Narrow"/>
                <w:sz w:val="20"/>
                <w:szCs w:val="20"/>
              </w:rPr>
            </w:r>
            <w:r w:rsidR="00FF5E98">
              <w:rPr>
                <w:rFonts w:ascii="Arial Narrow" w:hAnsi="Arial Narrow"/>
                <w:sz w:val="20"/>
                <w:szCs w:val="20"/>
              </w:rPr>
              <w:fldChar w:fldCharType="separate"/>
            </w:r>
            <w:r w:rsidRPr="00B465C7">
              <w:rPr>
                <w:rFonts w:ascii="Arial Narrow" w:hAnsi="Arial Narrow"/>
                <w:sz w:val="20"/>
                <w:szCs w:val="20"/>
              </w:rPr>
              <w:fldChar w:fldCharType="end"/>
            </w:r>
            <w:r w:rsidRPr="0019444B">
              <w:rPr>
                <w:rFonts w:ascii="Arial Narrow" w:hAnsi="Arial Narrow"/>
                <w:sz w:val="20"/>
                <w:szCs w:val="20"/>
              </w:rPr>
              <w:t>Medical Practitioners</w:t>
            </w:r>
          </w:p>
        </w:tc>
      </w:tr>
      <w:tr w:rsidR="0028137A" w:rsidRPr="0019444B" w14:paraId="6188E3DE" w14:textId="77777777" w:rsidTr="000F4A21">
        <w:tblPrEx>
          <w:tblCellMar>
            <w:top w:w="15" w:type="dxa"/>
            <w:left w:w="15" w:type="dxa"/>
            <w:bottom w:w="15" w:type="dxa"/>
            <w:right w:w="15" w:type="dxa"/>
          </w:tblCellMar>
          <w:tblLook w:val="04A0" w:firstRow="1" w:lastRow="0" w:firstColumn="1" w:lastColumn="0" w:noHBand="0" w:noVBand="1"/>
        </w:tblPrEx>
        <w:tc>
          <w:tcPr>
            <w:tcW w:w="981" w:type="dxa"/>
            <w:gridSpan w:val="2"/>
            <w:vMerge/>
            <w:tcBorders>
              <w:left w:val="single" w:sz="4" w:space="0" w:color="auto"/>
              <w:bottom w:val="single" w:sz="4" w:space="0" w:color="auto"/>
              <w:right w:val="single" w:sz="4" w:space="0" w:color="auto"/>
            </w:tcBorders>
          </w:tcPr>
          <w:p w14:paraId="58009D52" w14:textId="77777777" w:rsidR="0028137A" w:rsidRPr="0019444B" w:rsidRDefault="0028137A" w:rsidP="000F4A21">
            <w:pPr>
              <w:rPr>
                <w:rFonts w:ascii="Arial Narrow" w:hAnsi="Arial Narrow"/>
                <w:sz w:val="20"/>
                <w:szCs w:val="20"/>
              </w:rPr>
            </w:pPr>
          </w:p>
        </w:tc>
        <w:tc>
          <w:tcPr>
            <w:tcW w:w="7803" w:type="dxa"/>
            <w:gridSpan w:val="6"/>
            <w:tcBorders>
              <w:top w:val="single" w:sz="4" w:space="0" w:color="auto"/>
              <w:left w:val="single" w:sz="4" w:space="0" w:color="auto"/>
              <w:bottom w:val="single" w:sz="4" w:space="0" w:color="auto"/>
              <w:right w:val="single" w:sz="4" w:space="0" w:color="auto"/>
            </w:tcBorders>
          </w:tcPr>
          <w:p w14:paraId="2AA04522" w14:textId="77777777" w:rsidR="0028137A" w:rsidRPr="0019444B" w:rsidRDefault="0028137A" w:rsidP="000F4A21">
            <w:pPr>
              <w:rPr>
                <w:rFonts w:ascii="Arial Narrow" w:eastAsia="Calibri" w:hAnsi="Arial Narrow"/>
                <w:sz w:val="20"/>
                <w:szCs w:val="20"/>
              </w:rPr>
            </w:pPr>
            <w:r w:rsidRPr="0019444B">
              <w:rPr>
                <w:rFonts w:ascii="Arial Narrow" w:hAnsi="Arial Narrow"/>
                <w:b/>
                <w:sz w:val="20"/>
                <w:szCs w:val="20"/>
              </w:rPr>
              <w:t xml:space="preserve">Restriction type: </w:t>
            </w:r>
            <w:r w:rsidRPr="00B465C7">
              <w:rPr>
                <w:rFonts w:ascii="Arial Narrow" w:eastAsia="Calibri" w:hAnsi="Arial Narrow"/>
                <w:sz w:val="20"/>
                <w:szCs w:val="20"/>
              </w:rPr>
              <w:fldChar w:fldCharType="begin" w:fldLock="1">
                <w:ffData>
                  <w:name w:val="Check3"/>
                  <w:enabled/>
                  <w:calcOnExit w:val="0"/>
                  <w:checkBox>
                    <w:sizeAuto/>
                    <w:default w:val="1"/>
                  </w:checkBox>
                </w:ffData>
              </w:fldChar>
            </w:r>
            <w:r w:rsidRPr="0019444B">
              <w:rPr>
                <w:rFonts w:ascii="Arial Narrow" w:eastAsia="Calibri" w:hAnsi="Arial Narrow"/>
                <w:sz w:val="20"/>
                <w:szCs w:val="20"/>
              </w:rPr>
              <w:instrText xml:space="preserve"> FORMCHECKBOX </w:instrText>
            </w:r>
            <w:r w:rsidR="00FF5E98">
              <w:rPr>
                <w:rFonts w:ascii="Arial Narrow" w:eastAsia="Calibri" w:hAnsi="Arial Narrow"/>
                <w:sz w:val="20"/>
                <w:szCs w:val="20"/>
              </w:rPr>
            </w:r>
            <w:r w:rsidR="00FF5E98">
              <w:rPr>
                <w:rFonts w:ascii="Arial Narrow" w:eastAsia="Calibri" w:hAnsi="Arial Narrow"/>
                <w:sz w:val="20"/>
                <w:szCs w:val="20"/>
              </w:rPr>
              <w:fldChar w:fldCharType="separate"/>
            </w:r>
            <w:r w:rsidRPr="00B465C7">
              <w:rPr>
                <w:rFonts w:ascii="Arial Narrow" w:eastAsia="Calibri" w:hAnsi="Arial Narrow"/>
                <w:sz w:val="20"/>
                <w:szCs w:val="20"/>
              </w:rPr>
              <w:fldChar w:fldCharType="end"/>
            </w:r>
            <w:r w:rsidRPr="0019444B">
              <w:rPr>
                <w:rFonts w:ascii="Arial Narrow" w:eastAsia="Calibri" w:hAnsi="Arial Narrow"/>
                <w:sz w:val="20"/>
                <w:szCs w:val="20"/>
              </w:rPr>
              <w:t>Authority Required – Telephone/electronic via Online PBS Authorities</w:t>
            </w:r>
          </w:p>
        </w:tc>
      </w:tr>
      <w:tr w:rsidR="0028137A" w:rsidRPr="0019444B" w14:paraId="415F6778" w14:textId="77777777" w:rsidTr="000F4A21">
        <w:tblPrEx>
          <w:tblCellMar>
            <w:top w:w="15" w:type="dxa"/>
            <w:left w:w="15" w:type="dxa"/>
            <w:bottom w:w="15" w:type="dxa"/>
            <w:right w:w="15" w:type="dxa"/>
          </w:tblCellMar>
          <w:tblLook w:val="04A0" w:firstRow="1" w:lastRow="0" w:firstColumn="1" w:lastColumn="0" w:noHBand="0" w:noVBand="1"/>
        </w:tblPrEx>
        <w:tc>
          <w:tcPr>
            <w:tcW w:w="421" w:type="dxa"/>
            <w:vMerge w:val="restart"/>
            <w:tcBorders>
              <w:left w:val="single" w:sz="4" w:space="0" w:color="auto"/>
              <w:right w:val="single" w:sz="4" w:space="0" w:color="auto"/>
            </w:tcBorders>
            <w:textDirection w:val="btLr"/>
          </w:tcPr>
          <w:p w14:paraId="53209ECD" w14:textId="77777777" w:rsidR="0028137A" w:rsidRPr="0019444B" w:rsidRDefault="0028137A" w:rsidP="000F4A21">
            <w:pPr>
              <w:jc w:val="center"/>
              <w:rPr>
                <w:rFonts w:ascii="Arial Narrow" w:hAnsi="Arial Narrow"/>
                <w:sz w:val="20"/>
                <w:szCs w:val="20"/>
              </w:rPr>
            </w:pPr>
          </w:p>
        </w:tc>
        <w:tc>
          <w:tcPr>
            <w:tcW w:w="560" w:type="dxa"/>
          </w:tcPr>
          <w:p w14:paraId="2578F877" w14:textId="1E7D0959" w:rsidR="0028137A" w:rsidRPr="0019444B" w:rsidRDefault="0028137A" w:rsidP="000F4A21">
            <w:pPr>
              <w:jc w:val="center"/>
              <w:rPr>
                <w:rFonts w:ascii="Arial Narrow" w:hAnsi="Arial Narrow"/>
                <w:sz w:val="20"/>
                <w:szCs w:val="20"/>
              </w:rPr>
            </w:pPr>
          </w:p>
        </w:tc>
        <w:tc>
          <w:tcPr>
            <w:tcW w:w="7803" w:type="dxa"/>
            <w:gridSpan w:val="6"/>
          </w:tcPr>
          <w:p w14:paraId="2CE0A67A" w14:textId="77777777" w:rsidR="0028137A" w:rsidRPr="0019444B" w:rsidRDefault="0028137A" w:rsidP="000F4A21">
            <w:pPr>
              <w:rPr>
                <w:rFonts w:ascii="Arial Narrow" w:hAnsi="Arial Narrow"/>
                <w:sz w:val="20"/>
                <w:szCs w:val="20"/>
              </w:rPr>
            </w:pPr>
            <w:r w:rsidRPr="0019444B">
              <w:rPr>
                <w:rFonts w:ascii="Arial Narrow" w:hAnsi="Arial Narrow"/>
                <w:b/>
                <w:bCs/>
                <w:sz w:val="20"/>
                <w:szCs w:val="20"/>
              </w:rPr>
              <w:t xml:space="preserve">Administrative advice: </w:t>
            </w:r>
            <w:r w:rsidRPr="0019444B">
              <w:rPr>
                <w:rFonts w:ascii="Arial Narrow" w:hAnsi="Arial Narrow"/>
                <w:bCs/>
                <w:sz w:val="20"/>
                <w:szCs w:val="20"/>
              </w:rPr>
              <w:t>No increase in the maximum number of repeats may be authorised.</w:t>
            </w:r>
          </w:p>
        </w:tc>
      </w:tr>
      <w:tr w:rsidR="0028137A" w:rsidRPr="0019444B" w14:paraId="561DC85E" w14:textId="77777777" w:rsidTr="000F4A21">
        <w:tblPrEx>
          <w:tblCellMar>
            <w:top w:w="15" w:type="dxa"/>
            <w:left w:w="15" w:type="dxa"/>
            <w:bottom w:w="15" w:type="dxa"/>
            <w:right w:w="15" w:type="dxa"/>
          </w:tblCellMar>
          <w:tblLook w:val="04A0" w:firstRow="1" w:lastRow="0" w:firstColumn="1" w:lastColumn="0" w:noHBand="0" w:noVBand="1"/>
        </w:tblPrEx>
        <w:tc>
          <w:tcPr>
            <w:tcW w:w="421" w:type="dxa"/>
            <w:vMerge/>
            <w:tcBorders>
              <w:left w:val="single" w:sz="4" w:space="0" w:color="auto"/>
              <w:right w:val="single" w:sz="4" w:space="0" w:color="auto"/>
            </w:tcBorders>
          </w:tcPr>
          <w:p w14:paraId="04113592" w14:textId="77777777" w:rsidR="0028137A" w:rsidRPr="0019444B" w:rsidRDefault="0028137A" w:rsidP="000F4A21">
            <w:pPr>
              <w:jc w:val="center"/>
              <w:rPr>
                <w:rFonts w:ascii="Arial Narrow" w:hAnsi="Arial Narrow"/>
                <w:sz w:val="20"/>
                <w:szCs w:val="20"/>
              </w:rPr>
            </w:pPr>
          </w:p>
        </w:tc>
        <w:tc>
          <w:tcPr>
            <w:tcW w:w="560" w:type="dxa"/>
          </w:tcPr>
          <w:p w14:paraId="2340E6C0" w14:textId="3DDC70E7" w:rsidR="0028137A" w:rsidRPr="0019444B" w:rsidRDefault="0028137A" w:rsidP="000F4A21">
            <w:pPr>
              <w:jc w:val="center"/>
              <w:rPr>
                <w:rFonts w:ascii="Arial Narrow" w:hAnsi="Arial Narrow"/>
                <w:sz w:val="20"/>
                <w:szCs w:val="20"/>
              </w:rPr>
            </w:pPr>
          </w:p>
        </w:tc>
        <w:tc>
          <w:tcPr>
            <w:tcW w:w="7803" w:type="dxa"/>
            <w:gridSpan w:val="6"/>
          </w:tcPr>
          <w:p w14:paraId="0BE11CE2" w14:textId="77777777" w:rsidR="0028137A" w:rsidRPr="0019444B" w:rsidRDefault="0028137A" w:rsidP="000F4A21">
            <w:pPr>
              <w:rPr>
                <w:rFonts w:ascii="Arial Narrow" w:hAnsi="Arial Narrow"/>
                <w:b/>
                <w:bCs/>
                <w:sz w:val="20"/>
                <w:szCs w:val="20"/>
              </w:rPr>
            </w:pPr>
            <w:r w:rsidRPr="0019444B">
              <w:rPr>
                <w:rFonts w:ascii="Arial Narrow" w:hAnsi="Arial Narrow"/>
                <w:b/>
                <w:bCs/>
                <w:sz w:val="20"/>
                <w:szCs w:val="20"/>
              </w:rPr>
              <w:t xml:space="preserve">Administrative advice: </w:t>
            </w:r>
            <w:r w:rsidRPr="0019444B">
              <w:rPr>
                <w:rFonts w:ascii="Arial Narrow" w:hAnsi="Arial Narrow"/>
                <w:bCs/>
                <w:sz w:val="20"/>
                <w:szCs w:val="20"/>
              </w:rPr>
              <w:t>Special Pricing Arrangements apply.</w:t>
            </w:r>
          </w:p>
        </w:tc>
      </w:tr>
      <w:tr w:rsidR="0028137A" w:rsidRPr="0019444B" w14:paraId="7CDBC5A8" w14:textId="77777777" w:rsidTr="000F4A21">
        <w:tblPrEx>
          <w:tblCellMar>
            <w:top w:w="15" w:type="dxa"/>
            <w:left w:w="15" w:type="dxa"/>
            <w:bottom w:w="15" w:type="dxa"/>
            <w:right w:w="15" w:type="dxa"/>
          </w:tblCellMar>
          <w:tblLook w:val="04A0" w:firstRow="1" w:lastRow="0" w:firstColumn="1" w:lastColumn="0" w:noHBand="0" w:noVBand="1"/>
        </w:tblPrEx>
        <w:trPr>
          <w:trHeight w:val="630"/>
        </w:trPr>
        <w:tc>
          <w:tcPr>
            <w:tcW w:w="421" w:type="dxa"/>
            <w:vMerge/>
            <w:tcBorders>
              <w:left w:val="single" w:sz="4" w:space="0" w:color="auto"/>
              <w:right w:val="single" w:sz="4" w:space="0" w:color="auto"/>
            </w:tcBorders>
          </w:tcPr>
          <w:p w14:paraId="4F9C95D0" w14:textId="77777777" w:rsidR="0028137A" w:rsidRPr="0019444B" w:rsidRDefault="0028137A" w:rsidP="000F4A21">
            <w:pPr>
              <w:jc w:val="center"/>
              <w:rPr>
                <w:rFonts w:ascii="Arial Narrow" w:hAnsi="Arial Narrow"/>
                <w:sz w:val="20"/>
                <w:szCs w:val="20"/>
              </w:rPr>
            </w:pPr>
          </w:p>
        </w:tc>
        <w:tc>
          <w:tcPr>
            <w:tcW w:w="560" w:type="dxa"/>
          </w:tcPr>
          <w:p w14:paraId="452C3A55" w14:textId="4CE41207" w:rsidR="0028137A" w:rsidRPr="0019444B" w:rsidRDefault="0028137A" w:rsidP="000F4A21">
            <w:pPr>
              <w:jc w:val="center"/>
              <w:rPr>
                <w:rFonts w:ascii="Arial Narrow" w:hAnsi="Arial Narrow"/>
                <w:sz w:val="20"/>
                <w:szCs w:val="20"/>
              </w:rPr>
            </w:pPr>
          </w:p>
        </w:tc>
        <w:tc>
          <w:tcPr>
            <w:tcW w:w="7803" w:type="dxa"/>
            <w:gridSpan w:val="6"/>
          </w:tcPr>
          <w:p w14:paraId="4CC6ACB0" w14:textId="77777777" w:rsidR="0028137A" w:rsidRPr="0019444B" w:rsidRDefault="0028137A" w:rsidP="000F4A21">
            <w:pPr>
              <w:rPr>
                <w:rFonts w:ascii="Arial Narrow" w:hAnsi="Arial Narrow"/>
                <w:b/>
                <w:bCs/>
                <w:sz w:val="20"/>
                <w:szCs w:val="20"/>
              </w:rPr>
            </w:pPr>
            <w:r w:rsidRPr="0019444B">
              <w:rPr>
                <w:rFonts w:ascii="Arial Narrow" w:hAnsi="Arial Narrow"/>
                <w:b/>
                <w:bCs/>
                <w:sz w:val="20"/>
                <w:szCs w:val="20"/>
              </w:rPr>
              <w:t xml:space="preserve">Administrative advice: </w:t>
            </w:r>
            <w:r w:rsidRPr="0019444B">
              <w:rPr>
                <w:rFonts w:ascii="Arial Narrow" w:hAnsi="Arial Narrow"/>
                <w:b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28137A" w:rsidRPr="0019444B" w14:paraId="76B43F5A" w14:textId="77777777" w:rsidTr="00941556">
        <w:tblPrEx>
          <w:tblCellMar>
            <w:top w:w="15" w:type="dxa"/>
            <w:left w:w="15" w:type="dxa"/>
            <w:bottom w:w="15" w:type="dxa"/>
            <w:right w:w="15" w:type="dxa"/>
          </w:tblCellMar>
          <w:tblLook w:val="04A0" w:firstRow="1" w:lastRow="0" w:firstColumn="1" w:lastColumn="0" w:noHBand="0" w:noVBand="1"/>
        </w:tblPrEx>
        <w:tc>
          <w:tcPr>
            <w:tcW w:w="421" w:type="dxa"/>
            <w:vMerge/>
            <w:tcBorders>
              <w:left w:val="single" w:sz="4" w:space="0" w:color="auto"/>
              <w:bottom w:val="single" w:sz="4" w:space="0" w:color="auto"/>
              <w:right w:val="single" w:sz="4" w:space="0" w:color="auto"/>
            </w:tcBorders>
            <w:vAlign w:val="center"/>
          </w:tcPr>
          <w:p w14:paraId="163AC98D" w14:textId="77777777" w:rsidR="0028137A" w:rsidRPr="0019444B" w:rsidRDefault="0028137A" w:rsidP="000F4A21">
            <w:pPr>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6852E217" w14:textId="649474A7" w:rsidR="0028137A" w:rsidRPr="0019444B" w:rsidRDefault="0028137A" w:rsidP="000F4A21">
            <w:pPr>
              <w:jc w:val="center"/>
              <w:rPr>
                <w:rFonts w:ascii="Arial Narrow" w:hAnsi="Arial Narrow"/>
                <w:sz w:val="20"/>
                <w:szCs w:val="20"/>
              </w:rPr>
            </w:pPr>
          </w:p>
        </w:tc>
        <w:tc>
          <w:tcPr>
            <w:tcW w:w="7803" w:type="dxa"/>
            <w:gridSpan w:val="6"/>
            <w:tcBorders>
              <w:top w:val="single" w:sz="4" w:space="0" w:color="auto"/>
              <w:left w:val="single" w:sz="4" w:space="0" w:color="auto"/>
              <w:bottom w:val="single" w:sz="4" w:space="0" w:color="auto"/>
              <w:right w:val="single" w:sz="4" w:space="0" w:color="auto"/>
            </w:tcBorders>
            <w:vAlign w:val="center"/>
            <w:hideMark/>
          </w:tcPr>
          <w:p w14:paraId="4EB86B37" w14:textId="77777777" w:rsidR="0028137A" w:rsidRPr="0019444B" w:rsidRDefault="0028137A" w:rsidP="000F4A21">
            <w:pPr>
              <w:rPr>
                <w:rFonts w:ascii="Arial Narrow" w:hAnsi="Arial Narrow"/>
                <w:b/>
                <w:bCs/>
                <w:sz w:val="20"/>
                <w:szCs w:val="20"/>
              </w:rPr>
            </w:pPr>
            <w:r w:rsidRPr="0019444B">
              <w:rPr>
                <w:rFonts w:ascii="Arial Narrow" w:hAnsi="Arial Narrow"/>
                <w:b/>
                <w:bCs/>
                <w:sz w:val="20"/>
                <w:szCs w:val="20"/>
              </w:rPr>
              <w:t xml:space="preserve">Administrative advice: </w:t>
            </w:r>
          </w:p>
          <w:p w14:paraId="13F5F52D" w14:textId="77777777" w:rsidR="0028137A" w:rsidRPr="0019444B" w:rsidRDefault="0028137A" w:rsidP="000F4A21">
            <w:pPr>
              <w:rPr>
                <w:rFonts w:ascii="Arial Narrow" w:hAnsi="Arial Narrow"/>
                <w:sz w:val="20"/>
                <w:szCs w:val="20"/>
              </w:rPr>
            </w:pPr>
            <w:r w:rsidRPr="0019444B">
              <w:rPr>
                <w:rFonts w:ascii="Arial Narrow" w:hAnsi="Arial Narrow"/>
                <w:sz w:val="20"/>
                <w:szCs w:val="20"/>
              </w:rPr>
              <w:t>The latest International Workshop on CLL (iwCLL) provides guidance on various aspects of management of CLL/SLL. Notably, two of these are:</w:t>
            </w:r>
          </w:p>
          <w:p w14:paraId="5DCB6ACE" w14:textId="77777777" w:rsidR="0028137A" w:rsidRPr="0019444B" w:rsidRDefault="0028137A" w:rsidP="000F4A21">
            <w:pPr>
              <w:rPr>
                <w:rFonts w:ascii="Arial Narrow" w:hAnsi="Arial Narrow"/>
                <w:sz w:val="20"/>
                <w:szCs w:val="20"/>
              </w:rPr>
            </w:pPr>
            <w:r w:rsidRPr="0019444B">
              <w:rPr>
                <w:rFonts w:ascii="Arial Narrow" w:hAnsi="Arial Narrow"/>
                <w:sz w:val="20"/>
                <w:szCs w:val="20"/>
              </w:rPr>
              <w:t>(1) when to treat versus when to monitor the patient without therapy – see ‘Indications for treatment’ section; and</w:t>
            </w:r>
          </w:p>
          <w:p w14:paraId="5FCD4829" w14:textId="77777777" w:rsidR="0028137A" w:rsidRPr="0019444B" w:rsidRDefault="0028137A" w:rsidP="000F4A21">
            <w:pPr>
              <w:rPr>
                <w:rFonts w:ascii="Arial Narrow" w:hAnsi="Arial Narrow"/>
                <w:sz w:val="20"/>
                <w:szCs w:val="20"/>
              </w:rPr>
            </w:pPr>
            <w:r w:rsidRPr="0019444B">
              <w:rPr>
                <w:rFonts w:ascii="Arial Narrow" w:hAnsi="Arial Narrow"/>
                <w:sz w:val="20"/>
                <w:szCs w:val="20"/>
              </w:rPr>
              <w:t>(2) recognising progressive disease – see ‘Definition of response, relapse, and refractory disease’ section.</w:t>
            </w:r>
          </w:p>
          <w:p w14:paraId="6156393D" w14:textId="77777777" w:rsidR="0028137A" w:rsidRPr="0019444B" w:rsidRDefault="0028137A" w:rsidP="000F4A21">
            <w:pPr>
              <w:rPr>
                <w:rFonts w:ascii="Arial Narrow" w:hAnsi="Arial Narrow"/>
                <w:sz w:val="20"/>
                <w:szCs w:val="20"/>
              </w:rPr>
            </w:pPr>
          </w:p>
          <w:p w14:paraId="43DECC06" w14:textId="77777777" w:rsidR="0028137A" w:rsidRPr="0019444B" w:rsidRDefault="0028137A" w:rsidP="000F4A21">
            <w:pPr>
              <w:rPr>
                <w:rFonts w:ascii="Arial Narrow" w:hAnsi="Arial Narrow"/>
                <w:sz w:val="20"/>
                <w:szCs w:val="20"/>
              </w:rPr>
            </w:pPr>
            <w:r w:rsidRPr="0019444B">
              <w:rPr>
                <w:rFonts w:ascii="Arial Narrow" w:hAnsi="Arial Narrow"/>
                <w:sz w:val="20"/>
                <w:szCs w:val="20"/>
              </w:rPr>
              <w:t>See the following literature reference for details:</w:t>
            </w:r>
          </w:p>
          <w:p w14:paraId="5545ED7A" w14:textId="77777777" w:rsidR="0028137A" w:rsidRPr="0019444B" w:rsidRDefault="0028137A" w:rsidP="000F4A21">
            <w:pPr>
              <w:rPr>
                <w:rFonts w:ascii="Arial Narrow" w:hAnsi="Arial Narrow"/>
                <w:sz w:val="20"/>
                <w:szCs w:val="20"/>
              </w:rPr>
            </w:pPr>
            <w:r w:rsidRPr="0019444B">
              <w:rPr>
                <w:rFonts w:ascii="Arial Narrow" w:hAnsi="Arial Narrow"/>
                <w:sz w:val="20"/>
                <w:szCs w:val="20"/>
              </w:rPr>
              <w:t>Hallek, M et al. iwCLL guidelines for diagnosis, indications for treatment, response assessment, and supportive management of CLL. Blood vol. 131, 25 (2018): 2745-2760.</w:t>
            </w:r>
          </w:p>
        </w:tc>
      </w:tr>
      <w:tr w:rsidR="0028137A" w:rsidRPr="0019444B" w14:paraId="5D6CB692" w14:textId="77777777" w:rsidTr="000F4A21">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7BEF5E52" w14:textId="77777777" w:rsidR="0028137A" w:rsidRPr="0019444B" w:rsidRDefault="0028137A" w:rsidP="000F4A21">
            <w:pPr>
              <w:jc w:val="center"/>
              <w:rPr>
                <w:rFonts w:ascii="Arial Narrow" w:hAnsi="Arial Narrow"/>
                <w:sz w:val="20"/>
                <w:szCs w:val="20"/>
                <w:highlight w:val="yellow"/>
              </w:rPr>
            </w:pPr>
          </w:p>
        </w:tc>
        <w:tc>
          <w:tcPr>
            <w:tcW w:w="7803" w:type="dxa"/>
            <w:gridSpan w:val="6"/>
            <w:vAlign w:val="center"/>
          </w:tcPr>
          <w:p w14:paraId="29026F18" w14:textId="77777777" w:rsidR="0028137A" w:rsidRPr="0019444B" w:rsidRDefault="0028137A" w:rsidP="000F4A21">
            <w:pPr>
              <w:rPr>
                <w:rFonts w:ascii="Arial Narrow" w:hAnsi="Arial Narrow"/>
                <w:b/>
                <w:bCs/>
                <w:sz w:val="20"/>
                <w:szCs w:val="20"/>
                <w:highlight w:val="yellow"/>
              </w:rPr>
            </w:pPr>
          </w:p>
        </w:tc>
      </w:tr>
      <w:tr w:rsidR="0028137A" w:rsidRPr="0019444B" w14:paraId="18E326D8" w14:textId="77777777" w:rsidTr="000F4A21">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2EA4EA7D" w14:textId="77777777" w:rsidR="0028137A" w:rsidRPr="0019444B" w:rsidRDefault="0028137A" w:rsidP="000F4A21">
            <w:pPr>
              <w:jc w:val="center"/>
              <w:rPr>
                <w:rFonts w:ascii="Arial Narrow" w:hAnsi="Arial Narrow"/>
                <w:sz w:val="20"/>
                <w:szCs w:val="20"/>
              </w:rPr>
            </w:pPr>
          </w:p>
        </w:tc>
        <w:tc>
          <w:tcPr>
            <w:tcW w:w="7803" w:type="dxa"/>
            <w:gridSpan w:val="6"/>
            <w:vAlign w:val="center"/>
          </w:tcPr>
          <w:p w14:paraId="07C48306" w14:textId="77777777" w:rsidR="0028137A" w:rsidRPr="0019444B" w:rsidRDefault="0028137A" w:rsidP="000F4A21">
            <w:pPr>
              <w:rPr>
                <w:rFonts w:ascii="Arial Narrow" w:hAnsi="Arial Narrow"/>
                <w:b/>
                <w:bCs/>
                <w:sz w:val="20"/>
                <w:szCs w:val="20"/>
              </w:rPr>
            </w:pPr>
            <w:r w:rsidRPr="0019444B">
              <w:rPr>
                <w:rFonts w:ascii="Arial Narrow" w:hAnsi="Arial Narrow"/>
                <w:b/>
                <w:bCs/>
                <w:sz w:val="20"/>
                <w:szCs w:val="20"/>
              </w:rPr>
              <w:t xml:space="preserve">Condition: </w:t>
            </w:r>
            <w:r w:rsidRPr="0019444B">
              <w:rPr>
                <w:rFonts w:ascii="Arial Narrow" w:hAnsi="Arial Narrow"/>
                <w:sz w:val="20"/>
                <w:szCs w:val="20"/>
              </w:rPr>
              <w:t>Chronic lymphocytic leukaemia (CLL) or small lymphocytic lymphoma (SLL)</w:t>
            </w:r>
            <w:r w:rsidRPr="0019444B">
              <w:rPr>
                <w:rFonts w:ascii="Arial Narrow" w:hAnsi="Arial Narrow"/>
                <w:bCs/>
                <w:sz w:val="20"/>
                <w:szCs w:val="20"/>
              </w:rPr>
              <w:t xml:space="preserve"> </w:t>
            </w:r>
          </w:p>
        </w:tc>
      </w:tr>
      <w:tr w:rsidR="0028137A" w:rsidRPr="0019444B" w14:paraId="1B0B6452" w14:textId="77777777" w:rsidTr="000F4A21">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5D55DFA5" w14:textId="77777777" w:rsidR="0028137A" w:rsidRPr="0019444B" w:rsidRDefault="0028137A" w:rsidP="000F4A21">
            <w:pPr>
              <w:jc w:val="center"/>
              <w:rPr>
                <w:rFonts w:ascii="Arial Narrow" w:hAnsi="Arial Narrow"/>
                <w:sz w:val="20"/>
                <w:szCs w:val="20"/>
              </w:rPr>
            </w:pPr>
          </w:p>
        </w:tc>
        <w:tc>
          <w:tcPr>
            <w:tcW w:w="7803" w:type="dxa"/>
            <w:gridSpan w:val="6"/>
            <w:vAlign w:val="center"/>
          </w:tcPr>
          <w:p w14:paraId="4271991A" w14:textId="77777777" w:rsidR="0028137A" w:rsidRPr="0019444B" w:rsidRDefault="0028137A" w:rsidP="000F4A21">
            <w:pPr>
              <w:rPr>
                <w:rFonts w:ascii="Arial Narrow" w:hAnsi="Arial Narrow"/>
                <w:b/>
                <w:bCs/>
                <w:sz w:val="20"/>
                <w:szCs w:val="20"/>
              </w:rPr>
            </w:pPr>
          </w:p>
        </w:tc>
      </w:tr>
      <w:tr w:rsidR="0028137A" w:rsidRPr="0019444B" w14:paraId="5D34F46B" w14:textId="77777777" w:rsidTr="00941556">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1F146A85" w14:textId="2E4C09E7" w:rsidR="0028137A" w:rsidRPr="0019444B" w:rsidRDefault="0028137A" w:rsidP="000F4A21">
            <w:pPr>
              <w:jc w:val="center"/>
              <w:rPr>
                <w:rFonts w:ascii="Arial Narrow" w:hAnsi="Arial Narrow"/>
                <w:sz w:val="20"/>
                <w:szCs w:val="20"/>
              </w:rPr>
            </w:pPr>
          </w:p>
        </w:tc>
        <w:tc>
          <w:tcPr>
            <w:tcW w:w="7803" w:type="dxa"/>
            <w:gridSpan w:val="6"/>
            <w:vAlign w:val="center"/>
            <w:hideMark/>
          </w:tcPr>
          <w:p w14:paraId="6D4723CA" w14:textId="05686054" w:rsidR="0028137A" w:rsidRPr="0019444B" w:rsidRDefault="0028137A" w:rsidP="000F4A21">
            <w:pPr>
              <w:rPr>
                <w:rFonts w:ascii="Arial Narrow" w:hAnsi="Arial Narrow"/>
                <w:sz w:val="20"/>
                <w:szCs w:val="20"/>
              </w:rPr>
            </w:pPr>
            <w:r w:rsidRPr="0019444B">
              <w:rPr>
                <w:rFonts w:ascii="Arial Narrow" w:hAnsi="Arial Narrow"/>
                <w:b/>
                <w:bCs/>
                <w:sz w:val="20"/>
                <w:szCs w:val="20"/>
              </w:rPr>
              <w:t>Indication:</w:t>
            </w:r>
            <w:r w:rsidRPr="0019444B">
              <w:rPr>
                <w:rFonts w:ascii="Arial Narrow" w:hAnsi="Arial Narrow"/>
                <w:sz w:val="20"/>
                <w:szCs w:val="20"/>
              </w:rPr>
              <w:t xml:space="preserve"> Chronic lymphocytic leukaemia (CLL) or small lymphocytic lymphoma (SLL)</w:t>
            </w:r>
          </w:p>
        </w:tc>
      </w:tr>
      <w:tr w:rsidR="0028137A" w:rsidRPr="0019444B" w14:paraId="3A3C0836" w14:textId="77777777" w:rsidTr="000F4A21">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53918669" w14:textId="77777777" w:rsidR="0028137A" w:rsidRPr="0019444B" w:rsidRDefault="0028137A" w:rsidP="000F4A21">
            <w:pPr>
              <w:jc w:val="center"/>
              <w:rPr>
                <w:rFonts w:ascii="Arial Narrow" w:hAnsi="Arial Narrow"/>
                <w:sz w:val="20"/>
                <w:szCs w:val="20"/>
              </w:rPr>
            </w:pPr>
          </w:p>
        </w:tc>
        <w:tc>
          <w:tcPr>
            <w:tcW w:w="7803" w:type="dxa"/>
            <w:gridSpan w:val="6"/>
            <w:vAlign w:val="center"/>
          </w:tcPr>
          <w:p w14:paraId="10DE464F" w14:textId="77777777" w:rsidR="0028137A" w:rsidRPr="0019444B" w:rsidRDefault="0028137A" w:rsidP="000F4A21">
            <w:pPr>
              <w:rPr>
                <w:rFonts w:ascii="Arial Narrow" w:hAnsi="Arial Narrow"/>
                <w:b/>
                <w:bCs/>
                <w:sz w:val="20"/>
                <w:szCs w:val="20"/>
              </w:rPr>
            </w:pPr>
          </w:p>
        </w:tc>
      </w:tr>
      <w:tr w:rsidR="0028137A" w:rsidRPr="0019444B" w14:paraId="3E1E47DF" w14:textId="77777777" w:rsidTr="00941556">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2C13CC58" w14:textId="77777777" w:rsidR="0028137A" w:rsidRPr="0019444B" w:rsidRDefault="0028137A" w:rsidP="000F4A21">
            <w:pPr>
              <w:jc w:val="center"/>
              <w:rPr>
                <w:rFonts w:ascii="Arial Narrow" w:hAnsi="Arial Narrow"/>
                <w:sz w:val="20"/>
                <w:szCs w:val="20"/>
              </w:rPr>
            </w:pPr>
          </w:p>
        </w:tc>
        <w:tc>
          <w:tcPr>
            <w:tcW w:w="7803" w:type="dxa"/>
            <w:gridSpan w:val="6"/>
            <w:vAlign w:val="center"/>
            <w:hideMark/>
          </w:tcPr>
          <w:p w14:paraId="0E9325D0" w14:textId="7EA4CD0C" w:rsidR="0028137A" w:rsidRPr="0019444B" w:rsidRDefault="0028137A" w:rsidP="000F4A21">
            <w:pPr>
              <w:rPr>
                <w:rFonts w:ascii="Arial Narrow" w:hAnsi="Arial Narrow"/>
                <w:sz w:val="20"/>
                <w:szCs w:val="20"/>
              </w:rPr>
            </w:pPr>
            <w:r w:rsidRPr="0019444B">
              <w:rPr>
                <w:rFonts w:ascii="Arial Narrow" w:hAnsi="Arial Narrow"/>
                <w:b/>
                <w:bCs/>
                <w:sz w:val="20"/>
                <w:szCs w:val="20"/>
              </w:rPr>
              <w:t>Treatment Phas</w:t>
            </w:r>
            <w:r w:rsidR="00A6287D" w:rsidRPr="0019444B">
              <w:rPr>
                <w:rFonts w:ascii="Arial Narrow" w:hAnsi="Arial Narrow"/>
                <w:b/>
                <w:bCs/>
                <w:sz w:val="20"/>
                <w:szCs w:val="20"/>
              </w:rPr>
              <w:t xml:space="preserve">e: </w:t>
            </w:r>
            <w:r w:rsidRPr="0019444B">
              <w:rPr>
                <w:rFonts w:ascii="Arial Narrow" w:hAnsi="Arial Narrow"/>
                <w:sz w:val="20"/>
                <w:szCs w:val="20"/>
              </w:rPr>
              <w:t xml:space="preserve">First line drug treatment of this </w:t>
            </w:r>
            <w:r w:rsidRPr="00863F78">
              <w:rPr>
                <w:rFonts w:ascii="Arial Narrow" w:hAnsi="Arial Narrow"/>
                <w:sz w:val="20"/>
                <w:szCs w:val="20"/>
              </w:rPr>
              <w:t>indication</w:t>
            </w:r>
            <w:r w:rsidR="00A95B88" w:rsidRPr="00863F78">
              <w:rPr>
                <w:rFonts w:ascii="Arial Narrow" w:hAnsi="Arial Narrow"/>
                <w:sz w:val="20"/>
                <w:szCs w:val="20"/>
              </w:rPr>
              <w:t xml:space="preserve"> - as monotherapy</w:t>
            </w:r>
          </w:p>
        </w:tc>
      </w:tr>
      <w:tr w:rsidR="0028137A" w:rsidRPr="0019444B" w14:paraId="440C75B2" w14:textId="77777777" w:rsidTr="000F4A21">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2AB80F67" w14:textId="77777777" w:rsidR="0028137A" w:rsidRPr="0019444B" w:rsidRDefault="0028137A" w:rsidP="000F4A21">
            <w:pPr>
              <w:jc w:val="center"/>
              <w:rPr>
                <w:rFonts w:ascii="Arial Narrow" w:hAnsi="Arial Narrow"/>
                <w:sz w:val="20"/>
                <w:szCs w:val="20"/>
                <w:highlight w:val="yellow"/>
              </w:rPr>
            </w:pPr>
          </w:p>
        </w:tc>
        <w:tc>
          <w:tcPr>
            <w:tcW w:w="7803" w:type="dxa"/>
            <w:gridSpan w:val="6"/>
            <w:vAlign w:val="center"/>
          </w:tcPr>
          <w:p w14:paraId="7233B0A4" w14:textId="77777777" w:rsidR="0028137A" w:rsidRPr="0019444B" w:rsidRDefault="0028137A" w:rsidP="000F4A21">
            <w:pPr>
              <w:rPr>
                <w:rFonts w:ascii="Arial Narrow" w:hAnsi="Arial Narrow"/>
                <w:b/>
                <w:bCs/>
                <w:sz w:val="20"/>
                <w:szCs w:val="20"/>
                <w:highlight w:val="yellow"/>
              </w:rPr>
            </w:pPr>
          </w:p>
        </w:tc>
      </w:tr>
      <w:tr w:rsidR="0028137A" w:rsidRPr="0019444B" w14:paraId="71739246" w14:textId="77777777" w:rsidTr="00941556">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2D0BF9B8" w14:textId="3624B796" w:rsidR="0028137A" w:rsidRPr="0019444B" w:rsidRDefault="0028137A" w:rsidP="000F4A21">
            <w:pPr>
              <w:jc w:val="center"/>
              <w:rPr>
                <w:rFonts w:ascii="Arial Narrow" w:hAnsi="Arial Narrow"/>
                <w:sz w:val="20"/>
                <w:szCs w:val="20"/>
              </w:rPr>
            </w:pPr>
          </w:p>
        </w:tc>
        <w:tc>
          <w:tcPr>
            <w:tcW w:w="7803" w:type="dxa"/>
            <w:gridSpan w:val="6"/>
            <w:vAlign w:val="center"/>
            <w:hideMark/>
          </w:tcPr>
          <w:p w14:paraId="3F77C955" w14:textId="77777777" w:rsidR="0028137A" w:rsidRPr="0019444B" w:rsidRDefault="0028137A" w:rsidP="000F4A21">
            <w:pPr>
              <w:rPr>
                <w:rFonts w:ascii="Arial Narrow" w:hAnsi="Arial Narrow"/>
                <w:sz w:val="20"/>
                <w:szCs w:val="20"/>
              </w:rPr>
            </w:pPr>
            <w:r w:rsidRPr="0019444B">
              <w:rPr>
                <w:rFonts w:ascii="Arial Narrow" w:hAnsi="Arial Narrow"/>
                <w:b/>
                <w:bCs/>
                <w:sz w:val="20"/>
                <w:szCs w:val="20"/>
              </w:rPr>
              <w:t xml:space="preserve">Clinical criteria: </w:t>
            </w:r>
          </w:p>
        </w:tc>
      </w:tr>
      <w:tr w:rsidR="0028137A" w:rsidRPr="0019444B" w14:paraId="382F8CB9" w14:textId="77777777" w:rsidTr="00941556">
        <w:tblPrEx>
          <w:tblCellMar>
            <w:top w:w="15" w:type="dxa"/>
            <w:left w:w="15" w:type="dxa"/>
            <w:bottom w:w="15" w:type="dxa"/>
            <w:right w:w="15" w:type="dxa"/>
          </w:tblCellMar>
          <w:tblLook w:val="04A0" w:firstRow="1" w:lastRow="0" w:firstColumn="1" w:lastColumn="0" w:noHBand="0" w:noVBand="1"/>
        </w:tblPrEx>
        <w:tc>
          <w:tcPr>
            <w:tcW w:w="981" w:type="dxa"/>
            <w:gridSpan w:val="2"/>
            <w:tcBorders>
              <w:top w:val="single" w:sz="4" w:space="0" w:color="auto"/>
              <w:left w:val="single" w:sz="4" w:space="0" w:color="auto"/>
              <w:bottom w:val="single" w:sz="4" w:space="0" w:color="auto"/>
              <w:right w:val="single" w:sz="4" w:space="0" w:color="auto"/>
            </w:tcBorders>
            <w:vAlign w:val="center"/>
          </w:tcPr>
          <w:p w14:paraId="79BF83CF" w14:textId="39A3D913" w:rsidR="0028137A" w:rsidRPr="0019444B" w:rsidRDefault="0028137A" w:rsidP="000F4A21">
            <w:pPr>
              <w:jc w:val="center"/>
              <w:rPr>
                <w:rFonts w:ascii="Arial Narrow" w:hAnsi="Arial Narrow"/>
                <w:sz w:val="20"/>
                <w:szCs w:val="20"/>
              </w:rPr>
            </w:pPr>
          </w:p>
        </w:tc>
        <w:tc>
          <w:tcPr>
            <w:tcW w:w="7803" w:type="dxa"/>
            <w:gridSpan w:val="6"/>
            <w:tcBorders>
              <w:top w:val="single" w:sz="4" w:space="0" w:color="auto"/>
              <w:left w:val="single" w:sz="4" w:space="0" w:color="auto"/>
              <w:bottom w:val="single" w:sz="4" w:space="0" w:color="auto"/>
              <w:right w:val="single" w:sz="4" w:space="0" w:color="auto"/>
            </w:tcBorders>
            <w:vAlign w:val="center"/>
            <w:hideMark/>
          </w:tcPr>
          <w:p w14:paraId="43308A1F" w14:textId="30DE87BF" w:rsidR="0028137A" w:rsidRPr="0019444B" w:rsidRDefault="0028137A" w:rsidP="000F4A21">
            <w:pPr>
              <w:rPr>
                <w:rFonts w:ascii="Arial Narrow" w:hAnsi="Arial Narrow"/>
                <w:sz w:val="20"/>
                <w:szCs w:val="20"/>
              </w:rPr>
            </w:pPr>
            <w:r w:rsidRPr="0019444B">
              <w:rPr>
                <w:rFonts w:ascii="Arial Narrow" w:hAnsi="Arial Narrow"/>
                <w:sz w:val="20"/>
                <w:szCs w:val="20"/>
              </w:rPr>
              <w:t>The condition must be untreated with</w:t>
            </w:r>
            <w:r w:rsidR="00A95B88" w:rsidRPr="00B61331">
              <w:rPr>
                <w:rFonts w:ascii="Arial Narrow" w:hAnsi="Arial Narrow"/>
                <w:i/>
                <w:iCs/>
                <w:sz w:val="20"/>
                <w:szCs w:val="20"/>
              </w:rPr>
              <w:t xml:space="preserve"> </w:t>
            </w:r>
            <w:r w:rsidR="00A95B88" w:rsidRPr="00B61331">
              <w:rPr>
                <w:rFonts w:ascii="Arial Narrow" w:hAnsi="Arial Narrow"/>
                <w:sz w:val="20"/>
                <w:szCs w:val="20"/>
              </w:rPr>
              <w:t xml:space="preserve">acalabrutinib </w:t>
            </w:r>
            <w:r w:rsidRPr="00B61331">
              <w:rPr>
                <w:rFonts w:ascii="Arial Narrow" w:hAnsi="Arial Narrow"/>
                <w:i/>
                <w:iCs/>
                <w:sz w:val="20"/>
                <w:szCs w:val="20"/>
              </w:rPr>
              <w:t xml:space="preserve">at </w:t>
            </w:r>
            <w:r w:rsidRPr="0019444B">
              <w:rPr>
                <w:rFonts w:ascii="Arial Narrow" w:hAnsi="Arial Narrow"/>
                <w:sz w:val="20"/>
                <w:szCs w:val="20"/>
              </w:rPr>
              <w:t>the time of the first dose of this drug; or</w:t>
            </w:r>
          </w:p>
        </w:tc>
      </w:tr>
      <w:tr w:rsidR="0028137A" w:rsidRPr="0019444B" w14:paraId="245079F5" w14:textId="77777777" w:rsidTr="000F4A21">
        <w:tblPrEx>
          <w:tblCellMar>
            <w:top w:w="15" w:type="dxa"/>
            <w:left w:w="15" w:type="dxa"/>
            <w:bottom w:w="15" w:type="dxa"/>
            <w:right w:w="15" w:type="dxa"/>
          </w:tblCellMar>
          <w:tblLook w:val="04A0" w:firstRow="1" w:lastRow="0" w:firstColumn="1" w:lastColumn="0" w:noHBand="0" w:noVBand="1"/>
        </w:tblPrEx>
        <w:tc>
          <w:tcPr>
            <w:tcW w:w="981" w:type="dxa"/>
            <w:gridSpan w:val="2"/>
            <w:tcBorders>
              <w:top w:val="single" w:sz="4" w:space="0" w:color="auto"/>
              <w:left w:val="single" w:sz="4" w:space="0" w:color="auto"/>
              <w:bottom w:val="single" w:sz="4" w:space="0" w:color="auto"/>
              <w:right w:val="single" w:sz="4" w:space="0" w:color="auto"/>
            </w:tcBorders>
            <w:vAlign w:val="center"/>
          </w:tcPr>
          <w:p w14:paraId="1336574C" w14:textId="5DCB70BD" w:rsidR="0028137A" w:rsidRPr="0019444B" w:rsidRDefault="0028137A" w:rsidP="000F4A21">
            <w:pPr>
              <w:jc w:val="center"/>
              <w:rPr>
                <w:rFonts w:ascii="Arial Narrow" w:hAnsi="Arial Narrow"/>
                <w:sz w:val="20"/>
                <w:szCs w:val="20"/>
              </w:rPr>
            </w:pPr>
          </w:p>
        </w:tc>
        <w:tc>
          <w:tcPr>
            <w:tcW w:w="7803" w:type="dxa"/>
            <w:gridSpan w:val="6"/>
            <w:tcBorders>
              <w:top w:val="single" w:sz="4" w:space="0" w:color="auto"/>
              <w:left w:val="single" w:sz="4" w:space="0" w:color="auto"/>
              <w:bottom w:val="single" w:sz="4" w:space="0" w:color="auto"/>
              <w:right w:val="single" w:sz="4" w:space="0" w:color="auto"/>
            </w:tcBorders>
            <w:vAlign w:val="center"/>
          </w:tcPr>
          <w:p w14:paraId="26BFBA08" w14:textId="77777777" w:rsidR="0028137A" w:rsidRPr="0019444B" w:rsidRDefault="0028137A" w:rsidP="000F4A21">
            <w:pPr>
              <w:rPr>
                <w:rFonts w:ascii="Arial Narrow" w:hAnsi="Arial Narrow"/>
                <w:sz w:val="20"/>
                <w:szCs w:val="20"/>
              </w:rPr>
            </w:pPr>
            <w:r w:rsidRPr="0019444B">
              <w:rPr>
                <w:rFonts w:ascii="Arial Narrow" w:hAnsi="Arial Narrow"/>
                <w:sz w:val="20"/>
                <w:szCs w:val="20"/>
              </w:rPr>
              <w:t>Patient must have developed an intolerance of a severity necessitating permanent treatment withdrawal following use of another drug PBS-indicated as first-line drug treatment of CLL/SLL</w:t>
            </w:r>
          </w:p>
        </w:tc>
      </w:tr>
      <w:tr w:rsidR="0028137A" w:rsidRPr="0019444B" w14:paraId="7FD4B9C5" w14:textId="77777777" w:rsidTr="000F4A21">
        <w:tblPrEx>
          <w:tblCellMar>
            <w:top w:w="15" w:type="dxa"/>
            <w:left w:w="15" w:type="dxa"/>
            <w:bottom w:w="15" w:type="dxa"/>
            <w:right w:w="15" w:type="dxa"/>
          </w:tblCellMar>
          <w:tblLook w:val="04A0" w:firstRow="1" w:lastRow="0" w:firstColumn="1" w:lastColumn="0" w:noHBand="0" w:noVBand="1"/>
        </w:tblPrEx>
        <w:tc>
          <w:tcPr>
            <w:tcW w:w="981" w:type="dxa"/>
            <w:gridSpan w:val="2"/>
            <w:tcBorders>
              <w:top w:val="single" w:sz="4" w:space="0" w:color="auto"/>
              <w:left w:val="single" w:sz="4" w:space="0" w:color="auto"/>
              <w:bottom w:val="single" w:sz="4" w:space="0" w:color="auto"/>
              <w:right w:val="single" w:sz="4" w:space="0" w:color="auto"/>
            </w:tcBorders>
            <w:vAlign w:val="center"/>
          </w:tcPr>
          <w:p w14:paraId="3E63768F" w14:textId="77777777" w:rsidR="0028137A" w:rsidRPr="0019444B" w:rsidRDefault="0028137A" w:rsidP="000F4A21">
            <w:pPr>
              <w:jc w:val="center"/>
              <w:rPr>
                <w:rFonts w:ascii="Arial Narrow" w:hAnsi="Arial Narrow"/>
                <w:sz w:val="20"/>
                <w:szCs w:val="20"/>
              </w:rPr>
            </w:pPr>
          </w:p>
        </w:tc>
        <w:tc>
          <w:tcPr>
            <w:tcW w:w="7803" w:type="dxa"/>
            <w:gridSpan w:val="6"/>
            <w:tcBorders>
              <w:top w:val="single" w:sz="4" w:space="0" w:color="auto"/>
              <w:left w:val="single" w:sz="4" w:space="0" w:color="auto"/>
              <w:bottom w:val="single" w:sz="4" w:space="0" w:color="auto"/>
              <w:right w:val="single" w:sz="4" w:space="0" w:color="auto"/>
            </w:tcBorders>
            <w:vAlign w:val="center"/>
          </w:tcPr>
          <w:p w14:paraId="08C81B87" w14:textId="77777777" w:rsidR="0028137A" w:rsidRPr="0019444B" w:rsidRDefault="0028137A" w:rsidP="000F4A21">
            <w:pPr>
              <w:rPr>
                <w:rFonts w:ascii="Arial Narrow" w:hAnsi="Arial Narrow"/>
                <w:b/>
                <w:bCs/>
                <w:sz w:val="20"/>
                <w:szCs w:val="20"/>
              </w:rPr>
            </w:pPr>
            <w:r w:rsidRPr="0019444B">
              <w:rPr>
                <w:rFonts w:ascii="Arial Narrow" w:hAnsi="Arial Narrow"/>
                <w:b/>
                <w:bCs/>
                <w:sz w:val="20"/>
                <w:szCs w:val="20"/>
              </w:rPr>
              <w:t>AND</w:t>
            </w:r>
          </w:p>
        </w:tc>
      </w:tr>
      <w:tr w:rsidR="0028137A" w:rsidRPr="0019444B" w14:paraId="551C2D0F" w14:textId="77777777" w:rsidTr="000F4A21">
        <w:tblPrEx>
          <w:tblCellMar>
            <w:top w:w="15" w:type="dxa"/>
            <w:left w:w="15" w:type="dxa"/>
            <w:bottom w:w="15" w:type="dxa"/>
            <w:right w:w="15" w:type="dxa"/>
          </w:tblCellMar>
          <w:tblLook w:val="04A0" w:firstRow="1" w:lastRow="0" w:firstColumn="1" w:lastColumn="0" w:noHBand="0" w:noVBand="1"/>
        </w:tblPrEx>
        <w:tc>
          <w:tcPr>
            <w:tcW w:w="981" w:type="dxa"/>
            <w:gridSpan w:val="2"/>
            <w:tcBorders>
              <w:top w:val="single" w:sz="4" w:space="0" w:color="auto"/>
              <w:left w:val="single" w:sz="4" w:space="0" w:color="auto"/>
              <w:bottom w:val="single" w:sz="4" w:space="0" w:color="auto"/>
              <w:right w:val="single" w:sz="4" w:space="0" w:color="auto"/>
            </w:tcBorders>
            <w:vAlign w:val="center"/>
          </w:tcPr>
          <w:p w14:paraId="1EE7AF75" w14:textId="60B0DD66" w:rsidR="0028137A" w:rsidRPr="0019444B" w:rsidRDefault="0028137A" w:rsidP="000F4A21">
            <w:pPr>
              <w:jc w:val="center"/>
              <w:rPr>
                <w:rFonts w:ascii="Arial Narrow" w:hAnsi="Arial Narrow"/>
                <w:sz w:val="20"/>
                <w:szCs w:val="20"/>
              </w:rPr>
            </w:pPr>
          </w:p>
        </w:tc>
        <w:tc>
          <w:tcPr>
            <w:tcW w:w="7803" w:type="dxa"/>
            <w:gridSpan w:val="6"/>
            <w:tcBorders>
              <w:top w:val="single" w:sz="4" w:space="0" w:color="auto"/>
              <w:left w:val="single" w:sz="4" w:space="0" w:color="auto"/>
              <w:bottom w:val="single" w:sz="4" w:space="0" w:color="auto"/>
              <w:right w:val="single" w:sz="4" w:space="0" w:color="auto"/>
            </w:tcBorders>
            <w:vAlign w:val="center"/>
          </w:tcPr>
          <w:p w14:paraId="3942DCC4" w14:textId="77777777" w:rsidR="0028137A" w:rsidRPr="0019444B" w:rsidRDefault="0028137A" w:rsidP="000F4A21">
            <w:pPr>
              <w:rPr>
                <w:rFonts w:ascii="Arial Narrow" w:hAnsi="Arial Narrow"/>
                <w:b/>
                <w:bCs/>
                <w:sz w:val="20"/>
                <w:szCs w:val="20"/>
              </w:rPr>
            </w:pPr>
            <w:r w:rsidRPr="0019444B">
              <w:rPr>
                <w:rFonts w:ascii="Arial Narrow" w:hAnsi="Arial Narrow"/>
                <w:b/>
                <w:bCs/>
                <w:sz w:val="20"/>
                <w:szCs w:val="20"/>
              </w:rPr>
              <w:t>Clinical criteria:</w:t>
            </w:r>
          </w:p>
        </w:tc>
      </w:tr>
      <w:tr w:rsidR="0028137A" w:rsidRPr="0019444B" w14:paraId="69A11282" w14:textId="77777777" w:rsidTr="000F4A21">
        <w:tblPrEx>
          <w:tblCellMar>
            <w:top w:w="15" w:type="dxa"/>
            <w:left w:w="15" w:type="dxa"/>
            <w:bottom w:w="15" w:type="dxa"/>
            <w:right w:w="15" w:type="dxa"/>
          </w:tblCellMar>
          <w:tblLook w:val="04A0" w:firstRow="1" w:lastRow="0" w:firstColumn="1" w:lastColumn="0" w:noHBand="0" w:noVBand="1"/>
        </w:tblPrEx>
        <w:tc>
          <w:tcPr>
            <w:tcW w:w="981" w:type="dxa"/>
            <w:gridSpan w:val="2"/>
            <w:tcBorders>
              <w:top w:val="single" w:sz="4" w:space="0" w:color="auto"/>
              <w:left w:val="single" w:sz="4" w:space="0" w:color="auto"/>
              <w:bottom w:val="single" w:sz="4" w:space="0" w:color="auto"/>
              <w:right w:val="single" w:sz="4" w:space="0" w:color="auto"/>
            </w:tcBorders>
            <w:vAlign w:val="center"/>
          </w:tcPr>
          <w:p w14:paraId="34F97AD5" w14:textId="7C2A6A9E" w:rsidR="0028137A" w:rsidRPr="0019444B" w:rsidRDefault="0028137A" w:rsidP="000F4A21">
            <w:pPr>
              <w:jc w:val="center"/>
              <w:rPr>
                <w:rFonts w:ascii="Arial Narrow" w:hAnsi="Arial Narrow"/>
                <w:sz w:val="20"/>
                <w:szCs w:val="20"/>
              </w:rPr>
            </w:pPr>
          </w:p>
        </w:tc>
        <w:tc>
          <w:tcPr>
            <w:tcW w:w="7803" w:type="dxa"/>
            <w:gridSpan w:val="6"/>
            <w:tcBorders>
              <w:top w:val="single" w:sz="4" w:space="0" w:color="auto"/>
              <w:left w:val="single" w:sz="4" w:space="0" w:color="auto"/>
              <w:bottom w:val="single" w:sz="4" w:space="0" w:color="auto"/>
              <w:right w:val="single" w:sz="4" w:space="0" w:color="auto"/>
            </w:tcBorders>
            <w:vAlign w:val="center"/>
          </w:tcPr>
          <w:p w14:paraId="61EA03CF" w14:textId="1C4F9BE0" w:rsidR="0028137A" w:rsidRPr="0019444B" w:rsidRDefault="0028137A" w:rsidP="000F4A21">
            <w:pPr>
              <w:rPr>
                <w:rFonts w:ascii="Arial Narrow" w:hAnsi="Arial Narrow"/>
                <w:b/>
                <w:bCs/>
                <w:sz w:val="20"/>
                <w:szCs w:val="20"/>
              </w:rPr>
            </w:pPr>
            <w:r w:rsidRPr="0019444B">
              <w:rPr>
                <w:rFonts w:ascii="Arial Narrow" w:hAnsi="Arial Narrow"/>
                <w:sz w:val="20"/>
                <w:szCs w:val="20"/>
              </w:rPr>
              <w:t>The treatment must only be prescribed for</w:t>
            </w:r>
            <w:r w:rsidR="002236E2" w:rsidRPr="0019444B">
              <w:rPr>
                <w:rFonts w:ascii="Arial Narrow" w:hAnsi="Arial Narrow"/>
                <w:sz w:val="20"/>
                <w:szCs w:val="20"/>
              </w:rPr>
              <w:t xml:space="preserve"> a</w:t>
            </w:r>
            <w:r w:rsidRPr="0019444B">
              <w:rPr>
                <w:rFonts w:ascii="Arial Narrow" w:hAnsi="Arial Narrow"/>
                <w:sz w:val="20"/>
                <w:szCs w:val="20"/>
              </w:rPr>
              <w:t xml:space="preserve"> patient with active disease in accordance with the International Workshop on CLL (iwCLL) guidance (latest version) in relation to when to prescribe drug treatment for this condition</w:t>
            </w:r>
          </w:p>
        </w:tc>
      </w:tr>
      <w:tr w:rsidR="0028137A" w:rsidRPr="0019444B" w14:paraId="4E0EE6D9" w14:textId="77777777" w:rsidTr="000F4A21">
        <w:tblPrEx>
          <w:tblCellMar>
            <w:top w:w="15" w:type="dxa"/>
            <w:left w:w="15" w:type="dxa"/>
            <w:bottom w:w="15" w:type="dxa"/>
            <w:right w:w="15" w:type="dxa"/>
          </w:tblCellMar>
          <w:tblLook w:val="04A0" w:firstRow="1" w:lastRow="0" w:firstColumn="1" w:lastColumn="0" w:noHBand="0" w:noVBand="1"/>
        </w:tblPrEx>
        <w:tc>
          <w:tcPr>
            <w:tcW w:w="981" w:type="dxa"/>
            <w:gridSpan w:val="2"/>
            <w:tcBorders>
              <w:top w:val="single" w:sz="4" w:space="0" w:color="auto"/>
              <w:left w:val="single" w:sz="4" w:space="0" w:color="auto"/>
              <w:bottom w:val="single" w:sz="4" w:space="0" w:color="auto"/>
              <w:right w:val="single" w:sz="4" w:space="0" w:color="auto"/>
            </w:tcBorders>
            <w:vAlign w:val="center"/>
          </w:tcPr>
          <w:p w14:paraId="634FFE29" w14:textId="77777777" w:rsidR="0028137A" w:rsidRPr="0019444B" w:rsidRDefault="0028137A" w:rsidP="000F4A21">
            <w:pPr>
              <w:jc w:val="center"/>
              <w:rPr>
                <w:rFonts w:ascii="Arial Narrow" w:hAnsi="Arial Narrow"/>
                <w:sz w:val="20"/>
                <w:szCs w:val="20"/>
              </w:rPr>
            </w:pPr>
          </w:p>
        </w:tc>
        <w:tc>
          <w:tcPr>
            <w:tcW w:w="7803" w:type="dxa"/>
            <w:gridSpan w:val="6"/>
            <w:tcBorders>
              <w:top w:val="single" w:sz="4" w:space="0" w:color="auto"/>
              <w:left w:val="single" w:sz="4" w:space="0" w:color="auto"/>
              <w:bottom w:val="single" w:sz="4" w:space="0" w:color="auto"/>
              <w:right w:val="single" w:sz="4" w:space="0" w:color="auto"/>
            </w:tcBorders>
            <w:vAlign w:val="center"/>
          </w:tcPr>
          <w:p w14:paraId="0ED64B2E" w14:textId="77777777" w:rsidR="0028137A" w:rsidRPr="0019444B" w:rsidRDefault="0028137A" w:rsidP="000F4A21">
            <w:pPr>
              <w:rPr>
                <w:rFonts w:ascii="Arial Narrow" w:hAnsi="Arial Narrow"/>
                <w:b/>
                <w:bCs/>
                <w:sz w:val="20"/>
                <w:szCs w:val="20"/>
              </w:rPr>
            </w:pPr>
            <w:r w:rsidRPr="0019444B">
              <w:rPr>
                <w:rFonts w:ascii="Arial Narrow" w:hAnsi="Arial Narrow"/>
                <w:b/>
                <w:bCs/>
                <w:sz w:val="20"/>
                <w:szCs w:val="20"/>
              </w:rPr>
              <w:t>AND</w:t>
            </w:r>
          </w:p>
        </w:tc>
      </w:tr>
      <w:tr w:rsidR="0028137A" w:rsidRPr="0019444B" w14:paraId="427269EA" w14:textId="77777777" w:rsidTr="000F4A21">
        <w:tblPrEx>
          <w:tblCellMar>
            <w:top w:w="15" w:type="dxa"/>
            <w:left w:w="15" w:type="dxa"/>
            <w:bottom w:w="15" w:type="dxa"/>
            <w:right w:w="15" w:type="dxa"/>
          </w:tblCellMar>
          <w:tblLook w:val="04A0" w:firstRow="1" w:lastRow="0" w:firstColumn="1" w:lastColumn="0" w:noHBand="0" w:noVBand="1"/>
        </w:tblPrEx>
        <w:tc>
          <w:tcPr>
            <w:tcW w:w="981" w:type="dxa"/>
            <w:gridSpan w:val="2"/>
            <w:tcBorders>
              <w:top w:val="single" w:sz="4" w:space="0" w:color="auto"/>
              <w:left w:val="single" w:sz="4" w:space="0" w:color="auto"/>
              <w:bottom w:val="single" w:sz="4" w:space="0" w:color="auto"/>
              <w:right w:val="single" w:sz="4" w:space="0" w:color="auto"/>
            </w:tcBorders>
            <w:vAlign w:val="center"/>
          </w:tcPr>
          <w:p w14:paraId="2CBAE315" w14:textId="02492411" w:rsidR="0028137A" w:rsidRPr="0019444B" w:rsidRDefault="0028137A" w:rsidP="000F4A21">
            <w:pPr>
              <w:jc w:val="center"/>
              <w:rPr>
                <w:rFonts w:ascii="Arial Narrow" w:hAnsi="Arial Narrow"/>
                <w:sz w:val="20"/>
                <w:szCs w:val="20"/>
              </w:rPr>
            </w:pPr>
          </w:p>
        </w:tc>
        <w:tc>
          <w:tcPr>
            <w:tcW w:w="7803" w:type="dxa"/>
            <w:gridSpan w:val="6"/>
            <w:tcBorders>
              <w:top w:val="single" w:sz="4" w:space="0" w:color="auto"/>
              <w:left w:val="single" w:sz="4" w:space="0" w:color="auto"/>
              <w:bottom w:val="single" w:sz="4" w:space="0" w:color="auto"/>
              <w:right w:val="single" w:sz="4" w:space="0" w:color="auto"/>
            </w:tcBorders>
            <w:vAlign w:val="center"/>
          </w:tcPr>
          <w:p w14:paraId="18A664B6" w14:textId="77777777" w:rsidR="0028137A" w:rsidRPr="0019444B" w:rsidRDefault="0028137A" w:rsidP="000F4A21">
            <w:pPr>
              <w:rPr>
                <w:rFonts w:ascii="Arial Narrow" w:hAnsi="Arial Narrow"/>
                <w:b/>
                <w:bCs/>
                <w:sz w:val="20"/>
                <w:szCs w:val="20"/>
              </w:rPr>
            </w:pPr>
            <w:r w:rsidRPr="0019444B">
              <w:rPr>
                <w:rFonts w:ascii="Arial Narrow" w:hAnsi="Arial Narrow"/>
                <w:b/>
                <w:bCs/>
                <w:sz w:val="20"/>
                <w:szCs w:val="20"/>
              </w:rPr>
              <w:t>Clinical criteria:</w:t>
            </w:r>
          </w:p>
        </w:tc>
      </w:tr>
      <w:tr w:rsidR="0028137A" w:rsidRPr="0019444B" w14:paraId="61FDEC36" w14:textId="77777777" w:rsidTr="000F4A21">
        <w:tblPrEx>
          <w:tblCellMar>
            <w:top w:w="15" w:type="dxa"/>
            <w:left w:w="15" w:type="dxa"/>
            <w:bottom w:w="15" w:type="dxa"/>
            <w:right w:w="15" w:type="dxa"/>
          </w:tblCellMar>
          <w:tblLook w:val="04A0" w:firstRow="1" w:lastRow="0" w:firstColumn="1" w:lastColumn="0" w:noHBand="0" w:noVBand="1"/>
        </w:tblPrEx>
        <w:tc>
          <w:tcPr>
            <w:tcW w:w="981" w:type="dxa"/>
            <w:gridSpan w:val="2"/>
            <w:tcBorders>
              <w:top w:val="single" w:sz="4" w:space="0" w:color="auto"/>
              <w:left w:val="single" w:sz="4" w:space="0" w:color="auto"/>
              <w:bottom w:val="single" w:sz="4" w:space="0" w:color="auto"/>
              <w:right w:val="single" w:sz="4" w:space="0" w:color="auto"/>
            </w:tcBorders>
            <w:vAlign w:val="center"/>
          </w:tcPr>
          <w:p w14:paraId="3A562102" w14:textId="4AF94C9C" w:rsidR="0028137A" w:rsidRPr="0019444B" w:rsidRDefault="0028137A" w:rsidP="000F4A21">
            <w:pPr>
              <w:jc w:val="center"/>
              <w:rPr>
                <w:rFonts w:ascii="Arial Narrow" w:hAnsi="Arial Narrow"/>
                <w:sz w:val="20"/>
                <w:szCs w:val="20"/>
              </w:rPr>
            </w:pPr>
          </w:p>
        </w:tc>
        <w:tc>
          <w:tcPr>
            <w:tcW w:w="7803" w:type="dxa"/>
            <w:gridSpan w:val="6"/>
            <w:tcBorders>
              <w:top w:val="single" w:sz="4" w:space="0" w:color="auto"/>
              <w:left w:val="single" w:sz="4" w:space="0" w:color="auto"/>
              <w:bottom w:val="single" w:sz="4" w:space="0" w:color="auto"/>
              <w:right w:val="single" w:sz="4" w:space="0" w:color="auto"/>
            </w:tcBorders>
            <w:vAlign w:val="center"/>
          </w:tcPr>
          <w:p w14:paraId="153D0BE4" w14:textId="4B6AF5DB" w:rsidR="0028137A" w:rsidRPr="0019444B" w:rsidRDefault="0028137A" w:rsidP="000F4A21">
            <w:pPr>
              <w:rPr>
                <w:rFonts w:ascii="Arial Narrow" w:hAnsi="Arial Narrow"/>
                <w:b/>
                <w:bCs/>
                <w:sz w:val="20"/>
                <w:szCs w:val="20"/>
              </w:rPr>
            </w:pPr>
            <w:r w:rsidRPr="0019444B">
              <w:rPr>
                <w:rFonts w:ascii="Arial Narrow" w:hAnsi="Arial Narrow"/>
                <w:sz w:val="20"/>
                <w:szCs w:val="20"/>
              </w:rPr>
              <w:t>The treatment must be the sole PBS-subsidised systemic anti-cancer therapy for this PBS indication.</w:t>
            </w:r>
          </w:p>
        </w:tc>
      </w:tr>
      <w:tr w:rsidR="0028137A" w:rsidRPr="0019444B" w14:paraId="50146399" w14:textId="77777777" w:rsidTr="000F4A21">
        <w:tblPrEx>
          <w:tblCellMar>
            <w:top w:w="15" w:type="dxa"/>
            <w:left w:w="15" w:type="dxa"/>
            <w:bottom w:w="15" w:type="dxa"/>
            <w:right w:w="15" w:type="dxa"/>
          </w:tblCellMar>
          <w:tblLook w:val="04A0" w:firstRow="1" w:lastRow="0" w:firstColumn="1" w:lastColumn="0" w:noHBand="0" w:noVBand="1"/>
        </w:tblPrEx>
        <w:tc>
          <w:tcPr>
            <w:tcW w:w="981" w:type="dxa"/>
            <w:gridSpan w:val="2"/>
            <w:tcBorders>
              <w:top w:val="single" w:sz="4" w:space="0" w:color="auto"/>
              <w:left w:val="single" w:sz="4" w:space="0" w:color="auto"/>
              <w:bottom w:val="single" w:sz="4" w:space="0" w:color="auto"/>
              <w:right w:val="single" w:sz="4" w:space="0" w:color="auto"/>
            </w:tcBorders>
            <w:vAlign w:val="center"/>
          </w:tcPr>
          <w:p w14:paraId="0C67C7D0" w14:textId="77777777" w:rsidR="0028137A" w:rsidRPr="0019444B" w:rsidRDefault="0028137A" w:rsidP="000F4A21">
            <w:pPr>
              <w:jc w:val="center"/>
              <w:rPr>
                <w:rFonts w:ascii="Arial Narrow" w:hAnsi="Arial Narrow"/>
                <w:sz w:val="20"/>
                <w:szCs w:val="20"/>
                <w:highlight w:val="yellow"/>
              </w:rPr>
            </w:pPr>
          </w:p>
        </w:tc>
        <w:tc>
          <w:tcPr>
            <w:tcW w:w="7803" w:type="dxa"/>
            <w:gridSpan w:val="6"/>
            <w:tcBorders>
              <w:top w:val="single" w:sz="4" w:space="0" w:color="auto"/>
              <w:left w:val="single" w:sz="4" w:space="0" w:color="auto"/>
              <w:bottom w:val="single" w:sz="4" w:space="0" w:color="auto"/>
              <w:right w:val="single" w:sz="4" w:space="0" w:color="auto"/>
            </w:tcBorders>
            <w:vAlign w:val="center"/>
          </w:tcPr>
          <w:p w14:paraId="0469209A" w14:textId="77777777" w:rsidR="0028137A" w:rsidRPr="0019444B" w:rsidRDefault="0028137A" w:rsidP="000F4A21">
            <w:pPr>
              <w:rPr>
                <w:rFonts w:ascii="Arial Narrow" w:hAnsi="Arial Narrow"/>
                <w:strike/>
                <w:sz w:val="20"/>
                <w:szCs w:val="20"/>
                <w:highlight w:val="yellow"/>
              </w:rPr>
            </w:pPr>
          </w:p>
        </w:tc>
      </w:tr>
      <w:tr w:rsidR="0028137A" w:rsidRPr="0019444B" w14:paraId="7D2FA65D" w14:textId="77777777" w:rsidTr="000F4A21">
        <w:tblPrEx>
          <w:tblCellMar>
            <w:top w:w="15" w:type="dxa"/>
            <w:left w:w="15" w:type="dxa"/>
            <w:bottom w:w="15" w:type="dxa"/>
            <w:right w:w="15" w:type="dxa"/>
          </w:tblCellMar>
          <w:tblLook w:val="04A0" w:firstRow="1" w:lastRow="0" w:firstColumn="1" w:lastColumn="0" w:noHBand="0" w:noVBand="1"/>
        </w:tblPrEx>
        <w:tc>
          <w:tcPr>
            <w:tcW w:w="981" w:type="dxa"/>
            <w:gridSpan w:val="2"/>
            <w:tcBorders>
              <w:top w:val="single" w:sz="4" w:space="0" w:color="auto"/>
              <w:left w:val="single" w:sz="4" w:space="0" w:color="auto"/>
              <w:bottom w:val="single" w:sz="4" w:space="0" w:color="auto"/>
              <w:right w:val="single" w:sz="4" w:space="0" w:color="auto"/>
            </w:tcBorders>
            <w:vAlign w:val="center"/>
          </w:tcPr>
          <w:p w14:paraId="393DD281" w14:textId="58FCCB7F" w:rsidR="0028137A" w:rsidRPr="0019444B" w:rsidRDefault="0028137A" w:rsidP="000F4A21">
            <w:pPr>
              <w:jc w:val="center"/>
              <w:rPr>
                <w:rFonts w:ascii="Arial Narrow" w:hAnsi="Arial Narrow"/>
                <w:sz w:val="20"/>
                <w:szCs w:val="20"/>
              </w:rPr>
            </w:pPr>
          </w:p>
        </w:tc>
        <w:tc>
          <w:tcPr>
            <w:tcW w:w="7803" w:type="dxa"/>
            <w:gridSpan w:val="6"/>
            <w:tcBorders>
              <w:top w:val="single" w:sz="4" w:space="0" w:color="auto"/>
              <w:left w:val="single" w:sz="4" w:space="0" w:color="auto"/>
              <w:bottom w:val="single" w:sz="4" w:space="0" w:color="auto"/>
              <w:right w:val="single" w:sz="4" w:space="0" w:color="auto"/>
            </w:tcBorders>
            <w:vAlign w:val="center"/>
          </w:tcPr>
          <w:p w14:paraId="13C16440" w14:textId="77777777" w:rsidR="0028137A" w:rsidRPr="0019444B" w:rsidRDefault="0028137A" w:rsidP="000F4A21">
            <w:pPr>
              <w:rPr>
                <w:rFonts w:ascii="Arial Narrow" w:hAnsi="Arial Narrow"/>
                <w:strike/>
                <w:sz w:val="20"/>
                <w:szCs w:val="20"/>
              </w:rPr>
            </w:pPr>
            <w:r w:rsidRPr="0019444B">
              <w:rPr>
                <w:rFonts w:ascii="Arial Narrow" w:hAnsi="Arial Narrow"/>
                <w:b/>
                <w:bCs/>
                <w:sz w:val="20"/>
                <w:szCs w:val="20"/>
              </w:rPr>
              <w:t>Treatment criteria:</w:t>
            </w:r>
          </w:p>
        </w:tc>
      </w:tr>
      <w:tr w:rsidR="0028137A" w:rsidRPr="0019444B" w14:paraId="57D299EA" w14:textId="77777777" w:rsidTr="000F4A21">
        <w:tblPrEx>
          <w:tblCellMar>
            <w:top w:w="15" w:type="dxa"/>
            <w:left w:w="15" w:type="dxa"/>
            <w:bottom w:w="15" w:type="dxa"/>
            <w:right w:w="15" w:type="dxa"/>
          </w:tblCellMar>
          <w:tblLook w:val="04A0" w:firstRow="1" w:lastRow="0" w:firstColumn="1" w:lastColumn="0" w:noHBand="0" w:noVBand="1"/>
        </w:tblPrEx>
        <w:tc>
          <w:tcPr>
            <w:tcW w:w="981" w:type="dxa"/>
            <w:gridSpan w:val="2"/>
            <w:tcBorders>
              <w:top w:val="single" w:sz="4" w:space="0" w:color="auto"/>
              <w:left w:val="single" w:sz="4" w:space="0" w:color="auto"/>
              <w:bottom w:val="single" w:sz="4" w:space="0" w:color="auto"/>
              <w:right w:val="single" w:sz="4" w:space="0" w:color="auto"/>
            </w:tcBorders>
            <w:vAlign w:val="center"/>
          </w:tcPr>
          <w:p w14:paraId="280E4A0D" w14:textId="7517BB46" w:rsidR="0028137A" w:rsidRPr="0019444B" w:rsidRDefault="0028137A" w:rsidP="000F4A21">
            <w:pPr>
              <w:jc w:val="center"/>
              <w:rPr>
                <w:rFonts w:ascii="Arial Narrow" w:hAnsi="Arial Narrow"/>
                <w:sz w:val="20"/>
                <w:szCs w:val="20"/>
              </w:rPr>
            </w:pPr>
          </w:p>
        </w:tc>
        <w:tc>
          <w:tcPr>
            <w:tcW w:w="7803" w:type="dxa"/>
            <w:gridSpan w:val="6"/>
            <w:tcBorders>
              <w:top w:val="single" w:sz="4" w:space="0" w:color="auto"/>
              <w:left w:val="single" w:sz="4" w:space="0" w:color="auto"/>
              <w:bottom w:val="single" w:sz="4" w:space="0" w:color="auto"/>
              <w:right w:val="single" w:sz="4" w:space="0" w:color="auto"/>
            </w:tcBorders>
            <w:vAlign w:val="center"/>
          </w:tcPr>
          <w:p w14:paraId="473BAFC3" w14:textId="77777777" w:rsidR="0028137A" w:rsidRPr="0019444B" w:rsidRDefault="0028137A" w:rsidP="000F4A21">
            <w:pPr>
              <w:rPr>
                <w:rFonts w:ascii="Arial Narrow" w:hAnsi="Arial Narrow"/>
                <w:strike/>
                <w:sz w:val="20"/>
                <w:szCs w:val="20"/>
              </w:rPr>
            </w:pPr>
            <w:r w:rsidRPr="0019444B">
              <w:rPr>
                <w:rFonts w:ascii="Arial Narrow" w:hAnsi="Arial Narrow"/>
                <w:sz w:val="20"/>
                <w:szCs w:val="20"/>
              </w:rPr>
              <w:t>Patient must be undergoing initial treatment with this drug – this is the first PBS prescription for this drug; or</w:t>
            </w:r>
          </w:p>
        </w:tc>
      </w:tr>
      <w:tr w:rsidR="0028137A" w:rsidRPr="0019444B" w14:paraId="409816C8" w14:textId="77777777" w:rsidTr="000F4A21">
        <w:tblPrEx>
          <w:tblCellMar>
            <w:top w:w="15" w:type="dxa"/>
            <w:left w:w="15" w:type="dxa"/>
            <w:bottom w:w="15" w:type="dxa"/>
            <w:right w:w="15" w:type="dxa"/>
          </w:tblCellMar>
          <w:tblLook w:val="04A0" w:firstRow="1" w:lastRow="0" w:firstColumn="1" w:lastColumn="0" w:noHBand="0" w:noVBand="1"/>
        </w:tblPrEx>
        <w:tc>
          <w:tcPr>
            <w:tcW w:w="981" w:type="dxa"/>
            <w:gridSpan w:val="2"/>
            <w:tcBorders>
              <w:top w:val="single" w:sz="4" w:space="0" w:color="auto"/>
              <w:left w:val="single" w:sz="4" w:space="0" w:color="auto"/>
              <w:bottom w:val="single" w:sz="4" w:space="0" w:color="auto"/>
              <w:right w:val="single" w:sz="4" w:space="0" w:color="auto"/>
            </w:tcBorders>
            <w:vAlign w:val="center"/>
          </w:tcPr>
          <w:p w14:paraId="45678A30" w14:textId="2A785B1A" w:rsidR="0028137A" w:rsidRPr="0019444B" w:rsidRDefault="0028137A" w:rsidP="000F4A21">
            <w:pPr>
              <w:jc w:val="center"/>
              <w:rPr>
                <w:rFonts w:ascii="Arial Narrow" w:hAnsi="Arial Narrow"/>
                <w:sz w:val="20"/>
                <w:szCs w:val="20"/>
              </w:rPr>
            </w:pPr>
          </w:p>
        </w:tc>
        <w:tc>
          <w:tcPr>
            <w:tcW w:w="7803" w:type="dxa"/>
            <w:gridSpan w:val="6"/>
            <w:tcBorders>
              <w:top w:val="single" w:sz="4" w:space="0" w:color="auto"/>
              <w:left w:val="single" w:sz="4" w:space="0" w:color="auto"/>
              <w:bottom w:val="single" w:sz="4" w:space="0" w:color="auto"/>
              <w:right w:val="single" w:sz="4" w:space="0" w:color="auto"/>
            </w:tcBorders>
            <w:vAlign w:val="center"/>
          </w:tcPr>
          <w:p w14:paraId="60127ED2" w14:textId="66806EF2" w:rsidR="0028137A" w:rsidRPr="0019444B" w:rsidRDefault="00A95B88" w:rsidP="000F4A21">
            <w:pPr>
              <w:rPr>
                <w:rFonts w:ascii="Arial Narrow" w:hAnsi="Arial Narrow"/>
                <w:strike/>
                <w:sz w:val="20"/>
                <w:szCs w:val="20"/>
              </w:rPr>
            </w:pPr>
            <w:r w:rsidRPr="0019444B">
              <w:rPr>
                <w:rFonts w:ascii="Arial Narrow" w:hAnsi="Arial Narrow"/>
                <w:sz w:val="20"/>
                <w:szCs w:val="20"/>
              </w:rPr>
              <w:t xml:space="preserve">Patient </w:t>
            </w:r>
            <w:r w:rsidR="0028137A" w:rsidRPr="0019444B">
              <w:rPr>
                <w:rFonts w:ascii="Arial Narrow" w:hAnsi="Arial Narrow"/>
                <w:sz w:val="20"/>
                <w:szCs w:val="20"/>
              </w:rPr>
              <w:t>must be undergoing continuing treatment with this drug – the condition has not progressed whilst the patient has actively been on this drug</w:t>
            </w:r>
          </w:p>
        </w:tc>
      </w:tr>
    </w:tbl>
    <w:p w14:paraId="25AEBDFD" w14:textId="77777777" w:rsidR="0028137A" w:rsidRPr="0019444B" w:rsidRDefault="0028137A" w:rsidP="0028137A">
      <w:pPr>
        <w:rPr>
          <w:i/>
          <w:iCs/>
        </w:rPr>
      </w:pPr>
      <w:bookmarkStart w:id="108" w:name="_Hlk113624522"/>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560"/>
        <w:gridCol w:w="2983"/>
        <w:gridCol w:w="1134"/>
        <w:gridCol w:w="709"/>
        <w:gridCol w:w="709"/>
        <w:gridCol w:w="850"/>
        <w:gridCol w:w="1418"/>
      </w:tblGrid>
      <w:tr w:rsidR="0028137A" w:rsidRPr="0019444B" w14:paraId="7C6C543A" w14:textId="77777777" w:rsidTr="000F4A21">
        <w:trPr>
          <w:cantSplit/>
          <w:trHeight w:val="471"/>
        </w:trPr>
        <w:tc>
          <w:tcPr>
            <w:tcW w:w="3964" w:type="dxa"/>
            <w:gridSpan w:val="3"/>
          </w:tcPr>
          <w:p w14:paraId="3BBB69C1" w14:textId="77777777" w:rsidR="0028137A" w:rsidRPr="0019444B" w:rsidRDefault="0028137A" w:rsidP="000F4A21">
            <w:pPr>
              <w:keepNext/>
              <w:ind w:left="-57"/>
              <w:rPr>
                <w:rFonts w:ascii="Arial Narrow" w:hAnsi="Arial Narrow"/>
                <w:b/>
                <w:bCs/>
                <w:sz w:val="20"/>
                <w:szCs w:val="20"/>
              </w:rPr>
            </w:pPr>
            <w:r w:rsidRPr="0019444B">
              <w:rPr>
                <w:rFonts w:ascii="Arial Narrow" w:hAnsi="Arial Narrow"/>
                <w:b/>
                <w:bCs/>
                <w:sz w:val="20"/>
                <w:szCs w:val="20"/>
              </w:rPr>
              <w:t>MEDICINAL PRODUCT</w:t>
            </w:r>
          </w:p>
          <w:p w14:paraId="1FD4D899" w14:textId="77777777" w:rsidR="0028137A" w:rsidRPr="0019444B" w:rsidRDefault="0028137A" w:rsidP="000F4A21">
            <w:pPr>
              <w:keepNext/>
              <w:ind w:left="-57"/>
              <w:rPr>
                <w:rFonts w:ascii="Arial Narrow" w:hAnsi="Arial Narrow"/>
                <w:b/>
                <w:sz w:val="20"/>
                <w:szCs w:val="20"/>
              </w:rPr>
            </w:pPr>
            <w:r w:rsidRPr="0019444B">
              <w:rPr>
                <w:rFonts w:ascii="Arial Narrow" w:hAnsi="Arial Narrow"/>
                <w:b/>
                <w:bCs/>
                <w:sz w:val="20"/>
                <w:szCs w:val="20"/>
              </w:rPr>
              <w:t>medicinal product pack</w:t>
            </w:r>
          </w:p>
        </w:tc>
        <w:tc>
          <w:tcPr>
            <w:tcW w:w="1134" w:type="dxa"/>
          </w:tcPr>
          <w:p w14:paraId="438623FF" w14:textId="77777777" w:rsidR="0028137A" w:rsidRPr="0019444B" w:rsidRDefault="0028137A" w:rsidP="000F4A21">
            <w:pPr>
              <w:keepNext/>
              <w:rPr>
                <w:rFonts w:ascii="Arial Narrow" w:hAnsi="Arial Narrow"/>
                <w:b/>
                <w:sz w:val="20"/>
                <w:szCs w:val="20"/>
              </w:rPr>
            </w:pPr>
            <w:r w:rsidRPr="0019444B">
              <w:rPr>
                <w:rFonts w:ascii="Arial Narrow" w:hAnsi="Arial Narrow"/>
                <w:b/>
                <w:sz w:val="20"/>
                <w:szCs w:val="20"/>
              </w:rPr>
              <w:t>PBS item code</w:t>
            </w:r>
          </w:p>
        </w:tc>
        <w:tc>
          <w:tcPr>
            <w:tcW w:w="709" w:type="dxa"/>
          </w:tcPr>
          <w:p w14:paraId="0C1FD33E" w14:textId="77777777" w:rsidR="0028137A" w:rsidRPr="0019444B" w:rsidRDefault="0028137A" w:rsidP="000F4A21">
            <w:pPr>
              <w:keepNext/>
              <w:rPr>
                <w:rFonts w:ascii="Arial Narrow" w:hAnsi="Arial Narrow"/>
                <w:b/>
                <w:sz w:val="20"/>
                <w:szCs w:val="20"/>
              </w:rPr>
            </w:pPr>
            <w:r w:rsidRPr="0019444B">
              <w:rPr>
                <w:rFonts w:ascii="Arial Narrow" w:hAnsi="Arial Narrow"/>
                <w:b/>
                <w:sz w:val="20"/>
                <w:szCs w:val="20"/>
              </w:rPr>
              <w:t>Max. qty packs</w:t>
            </w:r>
          </w:p>
        </w:tc>
        <w:tc>
          <w:tcPr>
            <w:tcW w:w="709" w:type="dxa"/>
          </w:tcPr>
          <w:p w14:paraId="3BF7B0B0" w14:textId="77777777" w:rsidR="0028137A" w:rsidRPr="0019444B" w:rsidRDefault="0028137A" w:rsidP="000F4A21">
            <w:pPr>
              <w:keepNext/>
              <w:rPr>
                <w:rFonts w:ascii="Arial Narrow" w:hAnsi="Arial Narrow"/>
                <w:b/>
                <w:sz w:val="20"/>
                <w:szCs w:val="20"/>
              </w:rPr>
            </w:pPr>
            <w:r w:rsidRPr="0019444B">
              <w:rPr>
                <w:rFonts w:ascii="Arial Narrow" w:hAnsi="Arial Narrow"/>
                <w:b/>
                <w:sz w:val="20"/>
                <w:szCs w:val="20"/>
              </w:rPr>
              <w:t>Max. qty units</w:t>
            </w:r>
          </w:p>
        </w:tc>
        <w:tc>
          <w:tcPr>
            <w:tcW w:w="850" w:type="dxa"/>
          </w:tcPr>
          <w:p w14:paraId="28422E80" w14:textId="77777777" w:rsidR="0028137A" w:rsidRPr="0019444B" w:rsidRDefault="0028137A" w:rsidP="000F4A21">
            <w:pPr>
              <w:keepNext/>
              <w:ind w:left="-108"/>
              <w:rPr>
                <w:rFonts w:ascii="Arial Narrow" w:hAnsi="Arial Narrow"/>
                <w:b/>
                <w:sz w:val="20"/>
                <w:szCs w:val="20"/>
              </w:rPr>
            </w:pPr>
            <w:proofErr w:type="gramStart"/>
            <w:r w:rsidRPr="0019444B">
              <w:rPr>
                <w:rFonts w:ascii="Arial Narrow" w:hAnsi="Arial Narrow"/>
                <w:b/>
                <w:sz w:val="20"/>
                <w:szCs w:val="20"/>
              </w:rPr>
              <w:t>№.of</w:t>
            </w:r>
            <w:proofErr w:type="gramEnd"/>
            <w:r w:rsidRPr="0019444B">
              <w:rPr>
                <w:rFonts w:ascii="Arial Narrow" w:hAnsi="Arial Narrow"/>
                <w:b/>
                <w:sz w:val="20"/>
                <w:szCs w:val="20"/>
              </w:rPr>
              <w:t xml:space="preserve"> Rpts</w:t>
            </w:r>
          </w:p>
        </w:tc>
        <w:tc>
          <w:tcPr>
            <w:tcW w:w="1418" w:type="dxa"/>
          </w:tcPr>
          <w:p w14:paraId="0DFEA0D2" w14:textId="77777777" w:rsidR="0028137A" w:rsidRPr="000F39CD" w:rsidRDefault="0028137A" w:rsidP="000F4A21">
            <w:pPr>
              <w:keepNext/>
              <w:rPr>
                <w:rFonts w:ascii="Arial Narrow" w:hAnsi="Arial Narrow"/>
                <w:b/>
                <w:sz w:val="20"/>
                <w:szCs w:val="20"/>
              </w:rPr>
            </w:pPr>
            <w:r w:rsidRPr="0019444B">
              <w:rPr>
                <w:rFonts w:ascii="Arial Narrow" w:hAnsi="Arial Narrow"/>
                <w:b/>
                <w:sz w:val="20"/>
                <w:szCs w:val="20"/>
              </w:rPr>
              <w:t>Available brands</w:t>
            </w:r>
          </w:p>
        </w:tc>
      </w:tr>
      <w:tr w:rsidR="0028137A" w:rsidRPr="0019444B" w14:paraId="031C7B7D" w14:textId="77777777" w:rsidTr="000F4A21">
        <w:trPr>
          <w:cantSplit/>
          <w:trHeight w:val="224"/>
        </w:trPr>
        <w:tc>
          <w:tcPr>
            <w:tcW w:w="8784" w:type="dxa"/>
            <w:gridSpan w:val="8"/>
          </w:tcPr>
          <w:p w14:paraId="62E84142" w14:textId="77777777" w:rsidR="0028137A" w:rsidRPr="0019444B" w:rsidRDefault="0028137A" w:rsidP="000F4A21">
            <w:pPr>
              <w:keepNext/>
              <w:ind w:left="-57"/>
              <w:rPr>
                <w:rFonts w:ascii="Arial Narrow" w:hAnsi="Arial Narrow"/>
                <w:sz w:val="20"/>
                <w:szCs w:val="20"/>
              </w:rPr>
            </w:pPr>
            <w:r w:rsidRPr="0019444B">
              <w:rPr>
                <w:rFonts w:ascii="Arial Narrow" w:hAnsi="Arial Narrow"/>
                <w:sz w:val="20"/>
                <w:szCs w:val="20"/>
              </w:rPr>
              <w:t>ACALABRUTINIB</w:t>
            </w:r>
          </w:p>
        </w:tc>
      </w:tr>
      <w:tr w:rsidR="0028137A" w:rsidRPr="0019444B" w14:paraId="065EE84F" w14:textId="77777777" w:rsidTr="000F4A21">
        <w:trPr>
          <w:cantSplit/>
          <w:trHeight w:val="553"/>
        </w:trPr>
        <w:tc>
          <w:tcPr>
            <w:tcW w:w="3964" w:type="dxa"/>
            <w:gridSpan w:val="3"/>
          </w:tcPr>
          <w:p w14:paraId="76BA1D35" w14:textId="2E9A7389" w:rsidR="0028137A" w:rsidRPr="0019444B" w:rsidRDefault="00A6287D" w:rsidP="000F4A21">
            <w:pPr>
              <w:keepNext/>
              <w:ind w:left="-57"/>
              <w:rPr>
                <w:rFonts w:ascii="Arial Narrow" w:hAnsi="Arial Narrow"/>
                <w:sz w:val="20"/>
                <w:szCs w:val="20"/>
              </w:rPr>
            </w:pPr>
            <w:r w:rsidRPr="0019444B">
              <w:rPr>
                <w:rFonts w:ascii="Arial Narrow" w:hAnsi="Arial Narrow"/>
                <w:sz w:val="20"/>
                <w:szCs w:val="20"/>
              </w:rPr>
              <w:t>1</w:t>
            </w:r>
            <w:r w:rsidR="0028137A" w:rsidRPr="0019444B">
              <w:rPr>
                <w:rFonts w:ascii="Arial Narrow" w:hAnsi="Arial Narrow"/>
                <w:sz w:val="20"/>
                <w:szCs w:val="20"/>
              </w:rPr>
              <w:t>00 mg, tablet</w:t>
            </w:r>
          </w:p>
        </w:tc>
        <w:tc>
          <w:tcPr>
            <w:tcW w:w="1134" w:type="dxa"/>
          </w:tcPr>
          <w:p w14:paraId="5CFF804D" w14:textId="77777777" w:rsidR="0028137A" w:rsidRPr="0019444B" w:rsidRDefault="0028137A" w:rsidP="000F4A21">
            <w:pPr>
              <w:keepNext/>
              <w:rPr>
                <w:rFonts w:ascii="Arial Narrow" w:hAnsi="Arial Narrow"/>
                <w:sz w:val="20"/>
                <w:szCs w:val="20"/>
              </w:rPr>
            </w:pPr>
            <w:r w:rsidRPr="0019444B">
              <w:rPr>
                <w:rFonts w:ascii="Arial Narrow" w:hAnsi="Arial Narrow"/>
                <w:sz w:val="20"/>
                <w:szCs w:val="20"/>
              </w:rPr>
              <w:t>NEW</w:t>
            </w:r>
          </w:p>
        </w:tc>
        <w:tc>
          <w:tcPr>
            <w:tcW w:w="709" w:type="dxa"/>
          </w:tcPr>
          <w:p w14:paraId="50E9F917" w14:textId="77777777" w:rsidR="0028137A" w:rsidRPr="0019444B" w:rsidRDefault="0028137A" w:rsidP="000F4A21">
            <w:pPr>
              <w:keepNext/>
              <w:rPr>
                <w:rFonts w:ascii="Arial Narrow" w:hAnsi="Arial Narrow"/>
                <w:sz w:val="20"/>
                <w:szCs w:val="20"/>
              </w:rPr>
            </w:pPr>
            <w:r w:rsidRPr="0019444B">
              <w:rPr>
                <w:rFonts w:ascii="Arial Narrow" w:hAnsi="Arial Narrow"/>
                <w:sz w:val="20"/>
                <w:szCs w:val="20"/>
              </w:rPr>
              <w:t>1</w:t>
            </w:r>
          </w:p>
        </w:tc>
        <w:tc>
          <w:tcPr>
            <w:tcW w:w="709" w:type="dxa"/>
          </w:tcPr>
          <w:p w14:paraId="3B05CF82" w14:textId="77777777" w:rsidR="0028137A" w:rsidRPr="0019444B" w:rsidRDefault="0028137A" w:rsidP="000F4A21">
            <w:pPr>
              <w:keepNext/>
              <w:rPr>
                <w:rFonts w:ascii="Arial Narrow" w:hAnsi="Arial Narrow"/>
                <w:sz w:val="20"/>
                <w:szCs w:val="20"/>
              </w:rPr>
            </w:pPr>
            <w:r w:rsidRPr="0019444B">
              <w:rPr>
                <w:rFonts w:ascii="Arial Narrow" w:hAnsi="Arial Narrow"/>
                <w:sz w:val="20"/>
                <w:szCs w:val="20"/>
              </w:rPr>
              <w:t>56</w:t>
            </w:r>
          </w:p>
        </w:tc>
        <w:tc>
          <w:tcPr>
            <w:tcW w:w="850" w:type="dxa"/>
          </w:tcPr>
          <w:p w14:paraId="68F67422" w14:textId="77777777" w:rsidR="0028137A" w:rsidRPr="0019444B" w:rsidRDefault="0028137A" w:rsidP="000F4A21">
            <w:pPr>
              <w:keepNext/>
              <w:rPr>
                <w:rFonts w:ascii="Arial Narrow" w:hAnsi="Arial Narrow"/>
                <w:sz w:val="20"/>
                <w:szCs w:val="20"/>
              </w:rPr>
            </w:pPr>
            <w:r w:rsidRPr="0019444B">
              <w:rPr>
                <w:rFonts w:ascii="Arial Narrow" w:hAnsi="Arial Narrow"/>
                <w:sz w:val="20"/>
                <w:szCs w:val="20"/>
              </w:rPr>
              <w:t>6</w:t>
            </w:r>
          </w:p>
        </w:tc>
        <w:tc>
          <w:tcPr>
            <w:tcW w:w="1418" w:type="dxa"/>
          </w:tcPr>
          <w:p w14:paraId="51D2283F" w14:textId="77777777" w:rsidR="0028137A" w:rsidRPr="0019444B" w:rsidRDefault="0028137A" w:rsidP="000F4A21">
            <w:pPr>
              <w:keepNext/>
              <w:rPr>
                <w:rFonts w:ascii="Arial Narrow" w:eastAsia="MS Gothic" w:hAnsi="Arial Narrow" w:cs="Times New Roman"/>
                <w:bCs/>
                <w:sz w:val="20"/>
                <w:szCs w:val="20"/>
              </w:rPr>
            </w:pPr>
            <w:r w:rsidRPr="0019444B">
              <w:rPr>
                <w:rFonts w:ascii="Arial Narrow" w:eastAsia="MS Gothic" w:hAnsi="Arial Narrow" w:cs="Times New Roman"/>
                <w:bCs/>
                <w:sz w:val="20"/>
                <w:szCs w:val="20"/>
              </w:rPr>
              <w:t>Calquence</w:t>
            </w:r>
          </w:p>
        </w:tc>
      </w:tr>
      <w:tr w:rsidR="0028137A" w:rsidRPr="0019444B" w14:paraId="13B98FD3" w14:textId="77777777" w:rsidTr="000F4A21">
        <w:trPr>
          <w:cantSplit/>
          <w:trHeight w:val="327"/>
        </w:trPr>
        <w:tc>
          <w:tcPr>
            <w:tcW w:w="5098" w:type="dxa"/>
            <w:gridSpan w:val="4"/>
          </w:tcPr>
          <w:p w14:paraId="0202D600" w14:textId="77777777" w:rsidR="0028137A" w:rsidRPr="0019444B" w:rsidRDefault="0028137A" w:rsidP="000F4A21">
            <w:pPr>
              <w:keepNext/>
              <w:rPr>
                <w:rFonts w:ascii="Arial Narrow" w:hAnsi="Arial Narrow"/>
                <w:sz w:val="20"/>
                <w:szCs w:val="20"/>
              </w:rPr>
            </w:pPr>
          </w:p>
        </w:tc>
        <w:tc>
          <w:tcPr>
            <w:tcW w:w="3686" w:type="dxa"/>
            <w:gridSpan w:val="4"/>
          </w:tcPr>
          <w:p w14:paraId="41D8736D" w14:textId="77777777" w:rsidR="0028137A" w:rsidRPr="0019444B" w:rsidRDefault="0028137A" w:rsidP="000F4A21">
            <w:pPr>
              <w:keepNext/>
              <w:ind w:left="-57"/>
              <w:rPr>
                <w:rFonts w:ascii="Arial Narrow" w:hAnsi="Arial Narrow"/>
                <w:sz w:val="20"/>
                <w:szCs w:val="20"/>
              </w:rPr>
            </w:pPr>
            <w:r w:rsidRPr="0019444B">
              <w:rPr>
                <w:rFonts w:ascii="Arial Narrow" w:hAnsi="Arial Narrow"/>
                <w:sz w:val="20"/>
                <w:szCs w:val="20"/>
              </w:rPr>
              <w:t>Max.qty (packs) multiplier = 2</w:t>
            </w:r>
          </w:p>
          <w:p w14:paraId="27D0E3A2" w14:textId="77777777" w:rsidR="0028137A" w:rsidRPr="0019444B" w:rsidRDefault="0028137A" w:rsidP="000F4A21">
            <w:pPr>
              <w:keepNext/>
              <w:ind w:left="-57"/>
              <w:rPr>
                <w:rFonts w:ascii="Arial Narrow" w:hAnsi="Arial Narrow"/>
                <w:sz w:val="20"/>
                <w:szCs w:val="20"/>
              </w:rPr>
            </w:pPr>
            <w:r w:rsidRPr="0019444B">
              <w:rPr>
                <w:rFonts w:ascii="Arial Narrow" w:hAnsi="Arial Narrow"/>
                <w:sz w:val="20"/>
                <w:szCs w:val="20"/>
              </w:rPr>
              <w:t>Repeat increases: nil</w:t>
            </w:r>
          </w:p>
        </w:tc>
      </w:tr>
      <w:tr w:rsidR="0028137A" w:rsidRPr="0019444B" w14:paraId="3EB7E554" w14:textId="77777777" w:rsidTr="000F4A21">
        <w:tblPrEx>
          <w:tblCellMar>
            <w:top w:w="15" w:type="dxa"/>
            <w:left w:w="15" w:type="dxa"/>
            <w:bottom w:w="15" w:type="dxa"/>
            <w:right w:w="15" w:type="dxa"/>
          </w:tblCellMar>
          <w:tblLook w:val="04A0" w:firstRow="1" w:lastRow="0" w:firstColumn="1" w:lastColumn="0" w:noHBand="0" w:noVBand="1"/>
        </w:tblPrEx>
        <w:tc>
          <w:tcPr>
            <w:tcW w:w="8784" w:type="dxa"/>
            <w:gridSpan w:val="8"/>
            <w:tcBorders>
              <w:top w:val="single" w:sz="4" w:space="0" w:color="auto"/>
              <w:left w:val="single" w:sz="4" w:space="0" w:color="auto"/>
              <w:right w:val="single" w:sz="4" w:space="0" w:color="auto"/>
            </w:tcBorders>
          </w:tcPr>
          <w:p w14:paraId="50CF608D" w14:textId="77777777" w:rsidR="0028137A" w:rsidRPr="0019444B" w:rsidRDefault="0028137A" w:rsidP="000F4A21">
            <w:pPr>
              <w:rPr>
                <w:rFonts w:ascii="Arial Narrow" w:hAnsi="Arial Narrow"/>
                <w:sz w:val="20"/>
                <w:szCs w:val="20"/>
              </w:rPr>
            </w:pPr>
          </w:p>
        </w:tc>
      </w:tr>
      <w:tr w:rsidR="0028137A" w:rsidRPr="0019444B" w14:paraId="15890776" w14:textId="77777777" w:rsidTr="000F4A21">
        <w:tblPrEx>
          <w:tblCellMar>
            <w:top w:w="15" w:type="dxa"/>
            <w:left w:w="15" w:type="dxa"/>
            <w:bottom w:w="15" w:type="dxa"/>
            <w:right w:w="15" w:type="dxa"/>
          </w:tblCellMar>
          <w:tblLook w:val="04A0" w:firstRow="1" w:lastRow="0" w:firstColumn="1" w:lastColumn="0" w:noHBand="0" w:noVBand="1"/>
        </w:tblPrEx>
        <w:tc>
          <w:tcPr>
            <w:tcW w:w="8784" w:type="dxa"/>
            <w:gridSpan w:val="8"/>
            <w:tcBorders>
              <w:top w:val="single" w:sz="4" w:space="0" w:color="auto"/>
              <w:left w:val="single" w:sz="4" w:space="0" w:color="auto"/>
              <w:right w:val="single" w:sz="4" w:space="0" w:color="auto"/>
            </w:tcBorders>
          </w:tcPr>
          <w:p w14:paraId="2FE594C5" w14:textId="01198787" w:rsidR="0028137A" w:rsidRPr="0019444B" w:rsidRDefault="0028137A" w:rsidP="000F4A21">
            <w:pPr>
              <w:rPr>
                <w:rFonts w:ascii="Arial Narrow" w:hAnsi="Arial Narrow"/>
                <w:b/>
                <w:sz w:val="20"/>
                <w:szCs w:val="20"/>
              </w:rPr>
            </w:pPr>
            <w:r w:rsidRPr="0019444B">
              <w:rPr>
                <w:rFonts w:ascii="Arial Narrow" w:hAnsi="Arial Narrow"/>
                <w:b/>
                <w:sz w:val="20"/>
                <w:szCs w:val="20"/>
              </w:rPr>
              <w:t xml:space="preserve">Restriction Summary / Treatment of Concept: </w:t>
            </w:r>
          </w:p>
        </w:tc>
      </w:tr>
      <w:tr w:rsidR="0028137A" w:rsidRPr="0019444B" w14:paraId="1B2F41F9" w14:textId="77777777" w:rsidTr="000F4A21">
        <w:tblPrEx>
          <w:tblCellMar>
            <w:top w:w="15" w:type="dxa"/>
            <w:left w:w="15" w:type="dxa"/>
            <w:bottom w:w="15" w:type="dxa"/>
            <w:right w:w="15" w:type="dxa"/>
          </w:tblCellMar>
          <w:tblLook w:val="04A0" w:firstRow="1" w:lastRow="0" w:firstColumn="1" w:lastColumn="0" w:noHBand="0" w:noVBand="1"/>
        </w:tblPrEx>
        <w:tc>
          <w:tcPr>
            <w:tcW w:w="981" w:type="dxa"/>
            <w:gridSpan w:val="2"/>
            <w:vMerge w:val="restart"/>
            <w:tcBorders>
              <w:top w:val="single" w:sz="4" w:space="0" w:color="auto"/>
              <w:left w:val="single" w:sz="4" w:space="0" w:color="auto"/>
              <w:right w:val="single" w:sz="4" w:space="0" w:color="auto"/>
            </w:tcBorders>
          </w:tcPr>
          <w:p w14:paraId="44EFEEB1" w14:textId="77777777" w:rsidR="0028137A" w:rsidRPr="0019444B" w:rsidRDefault="0028137A" w:rsidP="000F4A21">
            <w:pPr>
              <w:jc w:val="center"/>
              <w:rPr>
                <w:rFonts w:ascii="Arial Narrow" w:hAnsi="Arial Narrow"/>
                <w:b/>
                <w:sz w:val="20"/>
                <w:szCs w:val="20"/>
              </w:rPr>
            </w:pPr>
            <w:r w:rsidRPr="0019444B">
              <w:rPr>
                <w:rFonts w:ascii="Arial Narrow" w:hAnsi="Arial Narrow"/>
                <w:b/>
                <w:sz w:val="20"/>
                <w:szCs w:val="20"/>
              </w:rPr>
              <w:t>Concept ID</w:t>
            </w:r>
          </w:p>
          <w:p w14:paraId="43A4D850" w14:textId="4B710535" w:rsidR="0028137A" w:rsidRPr="0019444B" w:rsidRDefault="0028137A" w:rsidP="000F4A21">
            <w:pPr>
              <w:jc w:val="center"/>
              <w:rPr>
                <w:rFonts w:ascii="Arial Narrow" w:hAnsi="Arial Narrow"/>
                <w:b/>
                <w:sz w:val="20"/>
                <w:szCs w:val="20"/>
              </w:rPr>
            </w:pPr>
          </w:p>
        </w:tc>
        <w:tc>
          <w:tcPr>
            <w:tcW w:w="7803" w:type="dxa"/>
            <w:gridSpan w:val="6"/>
            <w:tcBorders>
              <w:top w:val="single" w:sz="4" w:space="0" w:color="auto"/>
              <w:left w:val="single" w:sz="4" w:space="0" w:color="auto"/>
              <w:bottom w:val="single" w:sz="4" w:space="0" w:color="auto"/>
              <w:right w:val="single" w:sz="4" w:space="0" w:color="auto"/>
            </w:tcBorders>
          </w:tcPr>
          <w:p w14:paraId="260B5100" w14:textId="77777777" w:rsidR="0028137A" w:rsidRPr="0019444B" w:rsidRDefault="0028137A" w:rsidP="000F4A21">
            <w:pPr>
              <w:rPr>
                <w:rFonts w:ascii="Arial Narrow" w:hAnsi="Arial Narrow"/>
                <w:sz w:val="20"/>
                <w:szCs w:val="20"/>
              </w:rPr>
            </w:pPr>
            <w:r w:rsidRPr="0019444B">
              <w:rPr>
                <w:rFonts w:ascii="Arial Narrow" w:hAnsi="Arial Narrow"/>
                <w:b/>
                <w:sz w:val="20"/>
                <w:szCs w:val="20"/>
              </w:rPr>
              <w:t xml:space="preserve">Category / Program: </w:t>
            </w:r>
            <w:r w:rsidRPr="0019444B">
              <w:rPr>
                <w:rFonts w:ascii="Arial Narrow" w:hAnsi="Arial Narrow"/>
                <w:sz w:val="20"/>
                <w:szCs w:val="20"/>
              </w:rPr>
              <w:t xml:space="preserve">GENERAL – General Schedule (Code GE) </w:t>
            </w:r>
          </w:p>
        </w:tc>
      </w:tr>
      <w:tr w:rsidR="0028137A" w:rsidRPr="0019444B" w14:paraId="6E46389E" w14:textId="77777777" w:rsidTr="000F4A21">
        <w:tblPrEx>
          <w:tblCellMar>
            <w:top w:w="15" w:type="dxa"/>
            <w:left w:w="15" w:type="dxa"/>
            <w:bottom w:w="15" w:type="dxa"/>
            <w:right w:w="15" w:type="dxa"/>
          </w:tblCellMar>
          <w:tblLook w:val="04A0" w:firstRow="1" w:lastRow="0" w:firstColumn="1" w:lastColumn="0" w:noHBand="0" w:noVBand="1"/>
        </w:tblPrEx>
        <w:trPr>
          <w:trHeight w:val="240"/>
        </w:trPr>
        <w:tc>
          <w:tcPr>
            <w:tcW w:w="981" w:type="dxa"/>
            <w:gridSpan w:val="2"/>
            <w:vMerge/>
            <w:tcBorders>
              <w:left w:val="single" w:sz="4" w:space="0" w:color="auto"/>
              <w:right w:val="single" w:sz="4" w:space="0" w:color="auto"/>
            </w:tcBorders>
          </w:tcPr>
          <w:p w14:paraId="7F02A02E" w14:textId="77777777" w:rsidR="0028137A" w:rsidRPr="0019444B" w:rsidRDefault="0028137A" w:rsidP="000F4A21">
            <w:pPr>
              <w:rPr>
                <w:rFonts w:ascii="Arial Narrow" w:hAnsi="Arial Narrow"/>
                <w:sz w:val="20"/>
                <w:szCs w:val="20"/>
              </w:rPr>
            </w:pPr>
          </w:p>
        </w:tc>
        <w:tc>
          <w:tcPr>
            <w:tcW w:w="7803" w:type="dxa"/>
            <w:gridSpan w:val="6"/>
            <w:tcBorders>
              <w:top w:val="single" w:sz="4" w:space="0" w:color="auto"/>
              <w:left w:val="single" w:sz="4" w:space="0" w:color="auto"/>
              <w:bottom w:val="single" w:sz="4" w:space="0" w:color="auto"/>
              <w:right w:val="single" w:sz="4" w:space="0" w:color="auto"/>
            </w:tcBorders>
          </w:tcPr>
          <w:p w14:paraId="22C803CB" w14:textId="77777777" w:rsidR="0028137A" w:rsidRPr="0019444B" w:rsidRDefault="0028137A" w:rsidP="000F4A21">
            <w:pPr>
              <w:rPr>
                <w:rFonts w:ascii="Arial Narrow" w:hAnsi="Arial Narrow"/>
                <w:b/>
                <w:sz w:val="20"/>
                <w:szCs w:val="20"/>
              </w:rPr>
            </w:pPr>
            <w:r w:rsidRPr="0019444B">
              <w:rPr>
                <w:rFonts w:ascii="Arial Narrow" w:hAnsi="Arial Narrow"/>
                <w:b/>
                <w:sz w:val="20"/>
                <w:szCs w:val="20"/>
              </w:rPr>
              <w:t xml:space="preserve">Prescriber type: </w:t>
            </w:r>
            <w:r w:rsidRPr="00B465C7">
              <w:rPr>
                <w:rFonts w:ascii="Arial Narrow" w:hAnsi="Arial Narrow"/>
                <w:sz w:val="20"/>
                <w:szCs w:val="20"/>
              </w:rPr>
              <w:fldChar w:fldCharType="begin" w:fldLock="1">
                <w:ffData>
                  <w:name w:val=""/>
                  <w:enabled/>
                  <w:calcOnExit w:val="0"/>
                  <w:checkBox>
                    <w:sizeAuto/>
                    <w:default w:val="1"/>
                  </w:checkBox>
                </w:ffData>
              </w:fldChar>
            </w:r>
            <w:r w:rsidRPr="0019444B">
              <w:rPr>
                <w:rFonts w:ascii="Arial Narrow" w:hAnsi="Arial Narrow"/>
                <w:sz w:val="20"/>
                <w:szCs w:val="20"/>
              </w:rPr>
              <w:instrText xml:space="preserve"> FORMCHECKBOX </w:instrText>
            </w:r>
            <w:r w:rsidR="00FF5E98">
              <w:rPr>
                <w:rFonts w:ascii="Arial Narrow" w:hAnsi="Arial Narrow"/>
                <w:sz w:val="20"/>
                <w:szCs w:val="20"/>
              </w:rPr>
            </w:r>
            <w:r w:rsidR="00FF5E98">
              <w:rPr>
                <w:rFonts w:ascii="Arial Narrow" w:hAnsi="Arial Narrow"/>
                <w:sz w:val="20"/>
                <w:szCs w:val="20"/>
              </w:rPr>
              <w:fldChar w:fldCharType="separate"/>
            </w:r>
            <w:r w:rsidRPr="00B465C7">
              <w:rPr>
                <w:rFonts w:ascii="Arial Narrow" w:hAnsi="Arial Narrow"/>
                <w:sz w:val="20"/>
                <w:szCs w:val="20"/>
              </w:rPr>
              <w:fldChar w:fldCharType="end"/>
            </w:r>
            <w:r w:rsidRPr="0019444B">
              <w:rPr>
                <w:rFonts w:ascii="Arial Narrow" w:hAnsi="Arial Narrow"/>
                <w:sz w:val="20"/>
                <w:szCs w:val="20"/>
              </w:rPr>
              <w:t>Medical Practitioners</w:t>
            </w:r>
          </w:p>
        </w:tc>
      </w:tr>
      <w:tr w:rsidR="0028137A" w:rsidRPr="0019444B" w14:paraId="1E7398F2" w14:textId="77777777" w:rsidTr="000F4A21">
        <w:tblPrEx>
          <w:tblCellMar>
            <w:top w:w="15" w:type="dxa"/>
            <w:left w:w="15" w:type="dxa"/>
            <w:bottom w:w="15" w:type="dxa"/>
            <w:right w:w="15" w:type="dxa"/>
          </w:tblCellMar>
          <w:tblLook w:val="04A0" w:firstRow="1" w:lastRow="0" w:firstColumn="1" w:lastColumn="0" w:noHBand="0" w:noVBand="1"/>
        </w:tblPrEx>
        <w:tc>
          <w:tcPr>
            <w:tcW w:w="981" w:type="dxa"/>
            <w:gridSpan w:val="2"/>
            <w:vMerge/>
            <w:tcBorders>
              <w:left w:val="single" w:sz="4" w:space="0" w:color="auto"/>
              <w:bottom w:val="single" w:sz="4" w:space="0" w:color="auto"/>
              <w:right w:val="single" w:sz="4" w:space="0" w:color="auto"/>
            </w:tcBorders>
          </w:tcPr>
          <w:p w14:paraId="16F6F63E" w14:textId="77777777" w:rsidR="0028137A" w:rsidRPr="0019444B" w:rsidRDefault="0028137A" w:rsidP="000F4A21">
            <w:pPr>
              <w:rPr>
                <w:rFonts w:ascii="Arial Narrow" w:hAnsi="Arial Narrow"/>
                <w:sz w:val="20"/>
                <w:szCs w:val="20"/>
              </w:rPr>
            </w:pPr>
          </w:p>
        </w:tc>
        <w:tc>
          <w:tcPr>
            <w:tcW w:w="7803" w:type="dxa"/>
            <w:gridSpan w:val="6"/>
            <w:tcBorders>
              <w:top w:val="single" w:sz="4" w:space="0" w:color="auto"/>
              <w:left w:val="single" w:sz="4" w:space="0" w:color="auto"/>
              <w:bottom w:val="single" w:sz="4" w:space="0" w:color="auto"/>
              <w:right w:val="single" w:sz="4" w:space="0" w:color="auto"/>
            </w:tcBorders>
          </w:tcPr>
          <w:p w14:paraId="1B517148" w14:textId="77777777" w:rsidR="0028137A" w:rsidRPr="0019444B" w:rsidRDefault="0028137A" w:rsidP="000F4A21">
            <w:pPr>
              <w:rPr>
                <w:rFonts w:ascii="Arial Narrow" w:eastAsia="Calibri" w:hAnsi="Arial Narrow"/>
                <w:sz w:val="20"/>
                <w:szCs w:val="20"/>
              </w:rPr>
            </w:pPr>
            <w:r w:rsidRPr="0019444B">
              <w:rPr>
                <w:rFonts w:ascii="Arial Narrow" w:hAnsi="Arial Narrow"/>
                <w:b/>
                <w:sz w:val="20"/>
                <w:szCs w:val="20"/>
              </w:rPr>
              <w:t xml:space="preserve">Restriction type: </w:t>
            </w:r>
            <w:r w:rsidRPr="00B465C7">
              <w:rPr>
                <w:rFonts w:ascii="Arial Narrow" w:eastAsia="Calibri" w:hAnsi="Arial Narrow"/>
                <w:sz w:val="20"/>
                <w:szCs w:val="20"/>
              </w:rPr>
              <w:fldChar w:fldCharType="begin" w:fldLock="1">
                <w:ffData>
                  <w:name w:val="Check3"/>
                  <w:enabled/>
                  <w:calcOnExit w:val="0"/>
                  <w:checkBox>
                    <w:sizeAuto/>
                    <w:default w:val="1"/>
                  </w:checkBox>
                </w:ffData>
              </w:fldChar>
            </w:r>
            <w:r w:rsidRPr="0019444B">
              <w:rPr>
                <w:rFonts w:ascii="Arial Narrow" w:eastAsia="Calibri" w:hAnsi="Arial Narrow"/>
                <w:sz w:val="20"/>
                <w:szCs w:val="20"/>
              </w:rPr>
              <w:instrText xml:space="preserve"> FORMCHECKBOX </w:instrText>
            </w:r>
            <w:r w:rsidR="00FF5E98">
              <w:rPr>
                <w:rFonts w:ascii="Arial Narrow" w:eastAsia="Calibri" w:hAnsi="Arial Narrow"/>
                <w:sz w:val="20"/>
                <w:szCs w:val="20"/>
              </w:rPr>
            </w:r>
            <w:r w:rsidR="00FF5E98">
              <w:rPr>
                <w:rFonts w:ascii="Arial Narrow" w:eastAsia="Calibri" w:hAnsi="Arial Narrow"/>
                <w:sz w:val="20"/>
                <w:szCs w:val="20"/>
              </w:rPr>
              <w:fldChar w:fldCharType="separate"/>
            </w:r>
            <w:r w:rsidRPr="00B465C7">
              <w:rPr>
                <w:rFonts w:ascii="Arial Narrow" w:eastAsia="Calibri" w:hAnsi="Arial Narrow"/>
                <w:sz w:val="20"/>
                <w:szCs w:val="20"/>
              </w:rPr>
              <w:fldChar w:fldCharType="end"/>
            </w:r>
            <w:r w:rsidRPr="0019444B">
              <w:rPr>
                <w:rFonts w:ascii="Arial Narrow" w:eastAsia="Calibri" w:hAnsi="Arial Narrow"/>
                <w:sz w:val="20"/>
                <w:szCs w:val="20"/>
              </w:rPr>
              <w:t>Authority Required – Telephone/electronic via Online PBS Authorities</w:t>
            </w:r>
          </w:p>
        </w:tc>
      </w:tr>
      <w:tr w:rsidR="0028137A" w:rsidRPr="0019444B" w14:paraId="66AAF975" w14:textId="77777777" w:rsidTr="000F4A21">
        <w:tblPrEx>
          <w:tblCellMar>
            <w:top w:w="15" w:type="dxa"/>
            <w:left w:w="15" w:type="dxa"/>
            <w:bottom w:w="15" w:type="dxa"/>
            <w:right w:w="15" w:type="dxa"/>
          </w:tblCellMar>
          <w:tblLook w:val="04A0" w:firstRow="1" w:lastRow="0" w:firstColumn="1" w:lastColumn="0" w:noHBand="0" w:noVBand="1"/>
        </w:tblPrEx>
        <w:tc>
          <w:tcPr>
            <w:tcW w:w="421" w:type="dxa"/>
            <w:vMerge w:val="restart"/>
            <w:tcBorders>
              <w:left w:val="single" w:sz="4" w:space="0" w:color="auto"/>
              <w:right w:val="single" w:sz="4" w:space="0" w:color="auto"/>
            </w:tcBorders>
            <w:textDirection w:val="btLr"/>
          </w:tcPr>
          <w:p w14:paraId="0433577F" w14:textId="77777777" w:rsidR="0028137A" w:rsidRPr="0019444B" w:rsidRDefault="0028137A" w:rsidP="000F4A21">
            <w:pPr>
              <w:jc w:val="center"/>
              <w:rPr>
                <w:rFonts w:ascii="Arial Narrow" w:hAnsi="Arial Narrow"/>
                <w:sz w:val="20"/>
                <w:szCs w:val="20"/>
              </w:rPr>
            </w:pPr>
          </w:p>
        </w:tc>
        <w:tc>
          <w:tcPr>
            <w:tcW w:w="560" w:type="dxa"/>
          </w:tcPr>
          <w:p w14:paraId="40B05A82" w14:textId="49E1A0D0" w:rsidR="0028137A" w:rsidRPr="0019444B" w:rsidRDefault="0028137A" w:rsidP="000F4A21">
            <w:pPr>
              <w:jc w:val="center"/>
              <w:rPr>
                <w:rFonts w:ascii="Arial Narrow" w:hAnsi="Arial Narrow"/>
                <w:sz w:val="20"/>
                <w:szCs w:val="20"/>
              </w:rPr>
            </w:pPr>
          </w:p>
        </w:tc>
        <w:tc>
          <w:tcPr>
            <w:tcW w:w="7803" w:type="dxa"/>
            <w:gridSpan w:val="6"/>
          </w:tcPr>
          <w:p w14:paraId="488D0FFB" w14:textId="77777777" w:rsidR="0028137A" w:rsidRPr="0019444B" w:rsidRDefault="0028137A" w:rsidP="000F4A21">
            <w:pPr>
              <w:rPr>
                <w:rFonts w:ascii="Arial Narrow" w:hAnsi="Arial Narrow"/>
                <w:sz w:val="20"/>
                <w:szCs w:val="20"/>
              </w:rPr>
            </w:pPr>
            <w:r w:rsidRPr="0019444B">
              <w:rPr>
                <w:rFonts w:ascii="Arial Narrow" w:hAnsi="Arial Narrow"/>
                <w:b/>
                <w:bCs/>
                <w:sz w:val="20"/>
                <w:szCs w:val="20"/>
              </w:rPr>
              <w:t xml:space="preserve">Administrative advice: </w:t>
            </w:r>
            <w:r w:rsidRPr="0019444B">
              <w:rPr>
                <w:rFonts w:ascii="Arial Narrow" w:hAnsi="Arial Narrow"/>
                <w:bCs/>
                <w:sz w:val="20"/>
                <w:szCs w:val="20"/>
              </w:rPr>
              <w:t>No increase in the maximum number of repeats may be authorised.</w:t>
            </w:r>
          </w:p>
        </w:tc>
      </w:tr>
      <w:tr w:rsidR="0028137A" w:rsidRPr="0019444B" w14:paraId="5F33159C" w14:textId="77777777" w:rsidTr="000F4A21">
        <w:tblPrEx>
          <w:tblCellMar>
            <w:top w:w="15" w:type="dxa"/>
            <w:left w:w="15" w:type="dxa"/>
            <w:bottom w:w="15" w:type="dxa"/>
            <w:right w:w="15" w:type="dxa"/>
          </w:tblCellMar>
          <w:tblLook w:val="04A0" w:firstRow="1" w:lastRow="0" w:firstColumn="1" w:lastColumn="0" w:noHBand="0" w:noVBand="1"/>
        </w:tblPrEx>
        <w:tc>
          <w:tcPr>
            <w:tcW w:w="421" w:type="dxa"/>
            <w:vMerge/>
            <w:tcBorders>
              <w:left w:val="single" w:sz="4" w:space="0" w:color="auto"/>
              <w:right w:val="single" w:sz="4" w:space="0" w:color="auto"/>
            </w:tcBorders>
          </w:tcPr>
          <w:p w14:paraId="4830DF36" w14:textId="77777777" w:rsidR="0028137A" w:rsidRPr="0019444B" w:rsidRDefault="0028137A" w:rsidP="000F4A21">
            <w:pPr>
              <w:jc w:val="center"/>
              <w:rPr>
                <w:rFonts w:ascii="Arial Narrow" w:hAnsi="Arial Narrow"/>
                <w:sz w:val="20"/>
                <w:szCs w:val="20"/>
              </w:rPr>
            </w:pPr>
          </w:p>
        </w:tc>
        <w:tc>
          <w:tcPr>
            <w:tcW w:w="560" w:type="dxa"/>
          </w:tcPr>
          <w:p w14:paraId="15EFEF10" w14:textId="6FE339B4" w:rsidR="0028137A" w:rsidRPr="0019444B" w:rsidRDefault="0028137A" w:rsidP="000F4A21">
            <w:pPr>
              <w:jc w:val="center"/>
              <w:rPr>
                <w:rFonts w:ascii="Arial Narrow" w:hAnsi="Arial Narrow"/>
                <w:sz w:val="20"/>
                <w:szCs w:val="20"/>
              </w:rPr>
            </w:pPr>
          </w:p>
        </w:tc>
        <w:tc>
          <w:tcPr>
            <w:tcW w:w="7803" w:type="dxa"/>
            <w:gridSpan w:val="6"/>
          </w:tcPr>
          <w:p w14:paraId="30B3077D" w14:textId="77777777" w:rsidR="0028137A" w:rsidRPr="0019444B" w:rsidRDefault="0028137A" w:rsidP="000F4A21">
            <w:pPr>
              <w:rPr>
                <w:rFonts w:ascii="Arial Narrow" w:hAnsi="Arial Narrow"/>
                <w:b/>
                <w:bCs/>
                <w:sz w:val="20"/>
                <w:szCs w:val="20"/>
              </w:rPr>
            </w:pPr>
            <w:r w:rsidRPr="0019444B">
              <w:rPr>
                <w:rFonts w:ascii="Arial Narrow" w:hAnsi="Arial Narrow"/>
                <w:b/>
                <w:bCs/>
                <w:sz w:val="20"/>
                <w:szCs w:val="20"/>
              </w:rPr>
              <w:t xml:space="preserve">Administrative advice: </w:t>
            </w:r>
            <w:r w:rsidRPr="0019444B">
              <w:rPr>
                <w:rFonts w:ascii="Arial Narrow" w:hAnsi="Arial Narrow"/>
                <w:bCs/>
                <w:sz w:val="20"/>
                <w:szCs w:val="20"/>
              </w:rPr>
              <w:t>Special Pricing Arrangements apply.</w:t>
            </w:r>
          </w:p>
        </w:tc>
      </w:tr>
      <w:tr w:rsidR="0028137A" w:rsidRPr="0019444B" w14:paraId="65D3ECB3" w14:textId="77777777" w:rsidTr="000F4A21">
        <w:tblPrEx>
          <w:tblCellMar>
            <w:top w:w="15" w:type="dxa"/>
            <w:left w:w="15" w:type="dxa"/>
            <w:bottom w:w="15" w:type="dxa"/>
            <w:right w:w="15" w:type="dxa"/>
          </w:tblCellMar>
          <w:tblLook w:val="04A0" w:firstRow="1" w:lastRow="0" w:firstColumn="1" w:lastColumn="0" w:noHBand="0" w:noVBand="1"/>
        </w:tblPrEx>
        <w:trPr>
          <w:trHeight w:val="630"/>
        </w:trPr>
        <w:tc>
          <w:tcPr>
            <w:tcW w:w="421" w:type="dxa"/>
            <w:vMerge/>
            <w:tcBorders>
              <w:left w:val="single" w:sz="4" w:space="0" w:color="auto"/>
              <w:right w:val="single" w:sz="4" w:space="0" w:color="auto"/>
            </w:tcBorders>
          </w:tcPr>
          <w:p w14:paraId="45D0DB49" w14:textId="77777777" w:rsidR="0028137A" w:rsidRPr="0019444B" w:rsidRDefault="0028137A" w:rsidP="000F4A21">
            <w:pPr>
              <w:jc w:val="center"/>
              <w:rPr>
                <w:rFonts w:ascii="Arial Narrow" w:hAnsi="Arial Narrow"/>
                <w:sz w:val="20"/>
                <w:szCs w:val="20"/>
              </w:rPr>
            </w:pPr>
          </w:p>
        </w:tc>
        <w:tc>
          <w:tcPr>
            <w:tcW w:w="560" w:type="dxa"/>
          </w:tcPr>
          <w:p w14:paraId="787962A6" w14:textId="7B29AF0A" w:rsidR="0028137A" w:rsidRPr="0019444B" w:rsidRDefault="0028137A" w:rsidP="000F4A21">
            <w:pPr>
              <w:jc w:val="center"/>
              <w:rPr>
                <w:rFonts w:ascii="Arial Narrow" w:hAnsi="Arial Narrow"/>
                <w:sz w:val="20"/>
                <w:szCs w:val="20"/>
              </w:rPr>
            </w:pPr>
          </w:p>
        </w:tc>
        <w:tc>
          <w:tcPr>
            <w:tcW w:w="7803" w:type="dxa"/>
            <w:gridSpan w:val="6"/>
          </w:tcPr>
          <w:p w14:paraId="63CA600E" w14:textId="77777777" w:rsidR="0028137A" w:rsidRPr="0019444B" w:rsidRDefault="0028137A" w:rsidP="000F4A21">
            <w:pPr>
              <w:rPr>
                <w:rFonts w:ascii="Arial Narrow" w:hAnsi="Arial Narrow"/>
                <w:b/>
                <w:bCs/>
                <w:sz w:val="20"/>
                <w:szCs w:val="20"/>
              </w:rPr>
            </w:pPr>
            <w:r w:rsidRPr="0019444B">
              <w:rPr>
                <w:rFonts w:ascii="Arial Narrow" w:hAnsi="Arial Narrow"/>
                <w:b/>
                <w:bCs/>
                <w:sz w:val="20"/>
                <w:szCs w:val="20"/>
              </w:rPr>
              <w:t xml:space="preserve">Administrative advice: </w:t>
            </w:r>
            <w:r w:rsidRPr="0019444B">
              <w:rPr>
                <w:rFonts w:ascii="Arial Narrow" w:hAnsi="Arial Narrow"/>
                <w:b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28137A" w:rsidRPr="0019444B" w14:paraId="13B50DE6" w14:textId="77777777" w:rsidTr="00941556">
        <w:tblPrEx>
          <w:tblCellMar>
            <w:top w:w="15" w:type="dxa"/>
            <w:left w:w="15" w:type="dxa"/>
            <w:bottom w:w="15" w:type="dxa"/>
            <w:right w:w="15" w:type="dxa"/>
          </w:tblCellMar>
          <w:tblLook w:val="04A0" w:firstRow="1" w:lastRow="0" w:firstColumn="1" w:lastColumn="0" w:noHBand="0" w:noVBand="1"/>
        </w:tblPrEx>
        <w:tc>
          <w:tcPr>
            <w:tcW w:w="421" w:type="dxa"/>
            <w:vMerge/>
            <w:tcBorders>
              <w:left w:val="single" w:sz="4" w:space="0" w:color="auto"/>
              <w:bottom w:val="single" w:sz="4" w:space="0" w:color="auto"/>
              <w:right w:val="single" w:sz="4" w:space="0" w:color="auto"/>
            </w:tcBorders>
            <w:vAlign w:val="center"/>
          </w:tcPr>
          <w:p w14:paraId="0E2C7349" w14:textId="77777777" w:rsidR="0028137A" w:rsidRPr="0019444B" w:rsidRDefault="0028137A" w:rsidP="000F4A21">
            <w:pPr>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5A4F6C58" w14:textId="092D0E31" w:rsidR="0028137A" w:rsidRPr="0019444B" w:rsidRDefault="0028137A" w:rsidP="000F4A21">
            <w:pPr>
              <w:jc w:val="center"/>
              <w:rPr>
                <w:rFonts w:ascii="Arial Narrow" w:hAnsi="Arial Narrow"/>
                <w:sz w:val="20"/>
                <w:szCs w:val="20"/>
              </w:rPr>
            </w:pPr>
          </w:p>
        </w:tc>
        <w:tc>
          <w:tcPr>
            <w:tcW w:w="7803" w:type="dxa"/>
            <w:gridSpan w:val="6"/>
            <w:tcBorders>
              <w:top w:val="single" w:sz="4" w:space="0" w:color="auto"/>
              <w:left w:val="single" w:sz="4" w:space="0" w:color="auto"/>
              <w:bottom w:val="single" w:sz="4" w:space="0" w:color="auto"/>
              <w:right w:val="single" w:sz="4" w:space="0" w:color="auto"/>
            </w:tcBorders>
            <w:vAlign w:val="center"/>
            <w:hideMark/>
          </w:tcPr>
          <w:p w14:paraId="33FC47FB" w14:textId="77777777" w:rsidR="0028137A" w:rsidRPr="0019444B" w:rsidRDefault="0028137A" w:rsidP="000F4A21">
            <w:pPr>
              <w:rPr>
                <w:rFonts w:ascii="Arial Narrow" w:hAnsi="Arial Narrow"/>
                <w:b/>
                <w:bCs/>
                <w:sz w:val="20"/>
                <w:szCs w:val="20"/>
              </w:rPr>
            </w:pPr>
            <w:r w:rsidRPr="0019444B">
              <w:rPr>
                <w:rFonts w:ascii="Arial Narrow" w:hAnsi="Arial Narrow"/>
                <w:b/>
                <w:bCs/>
                <w:sz w:val="20"/>
                <w:szCs w:val="20"/>
              </w:rPr>
              <w:t xml:space="preserve">Administrative advice: </w:t>
            </w:r>
          </w:p>
          <w:p w14:paraId="7062441E" w14:textId="77777777" w:rsidR="0028137A" w:rsidRPr="0019444B" w:rsidRDefault="0028137A" w:rsidP="000F4A21">
            <w:pPr>
              <w:rPr>
                <w:rFonts w:ascii="Arial Narrow" w:hAnsi="Arial Narrow"/>
                <w:sz w:val="20"/>
                <w:szCs w:val="20"/>
              </w:rPr>
            </w:pPr>
            <w:r w:rsidRPr="0019444B">
              <w:rPr>
                <w:rFonts w:ascii="Arial Narrow" w:hAnsi="Arial Narrow"/>
                <w:sz w:val="20"/>
                <w:szCs w:val="20"/>
              </w:rPr>
              <w:t>The latest International Workshop on CLL (iwCLL) provides guidance on various aspects of management of CLL/SLL. Notably, two of these are:</w:t>
            </w:r>
          </w:p>
          <w:p w14:paraId="04DC2E3C" w14:textId="77777777" w:rsidR="0028137A" w:rsidRPr="0019444B" w:rsidRDefault="0028137A" w:rsidP="000F4A21">
            <w:pPr>
              <w:rPr>
                <w:rFonts w:ascii="Arial Narrow" w:hAnsi="Arial Narrow"/>
                <w:sz w:val="20"/>
                <w:szCs w:val="20"/>
              </w:rPr>
            </w:pPr>
            <w:r w:rsidRPr="0019444B">
              <w:rPr>
                <w:rFonts w:ascii="Arial Narrow" w:hAnsi="Arial Narrow"/>
                <w:sz w:val="20"/>
                <w:szCs w:val="20"/>
              </w:rPr>
              <w:t>(1) when to treat versus when to monitor the patient without therapy – see ‘Indications for treatment’ section; and</w:t>
            </w:r>
          </w:p>
          <w:p w14:paraId="0DE666AD" w14:textId="77777777" w:rsidR="0028137A" w:rsidRPr="0019444B" w:rsidRDefault="0028137A" w:rsidP="000F4A21">
            <w:pPr>
              <w:rPr>
                <w:rFonts w:ascii="Arial Narrow" w:hAnsi="Arial Narrow"/>
                <w:sz w:val="20"/>
                <w:szCs w:val="20"/>
              </w:rPr>
            </w:pPr>
            <w:r w:rsidRPr="0019444B">
              <w:rPr>
                <w:rFonts w:ascii="Arial Narrow" w:hAnsi="Arial Narrow"/>
                <w:sz w:val="20"/>
                <w:szCs w:val="20"/>
              </w:rPr>
              <w:t>(2) recognising progressive disease – see ‘Definition of response, relapse, and refractory disease’ section.</w:t>
            </w:r>
          </w:p>
          <w:p w14:paraId="5AFDBB23" w14:textId="77777777" w:rsidR="0028137A" w:rsidRPr="0019444B" w:rsidRDefault="0028137A" w:rsidP="000F4A21">
            <w:pPr>
              <w:rPr>
                <w:rFonts w:ascii="Arial Narrow" w:hAnsi="Arial Narrow"/>
                <w:sz w:val="20"/>
                <w:szCs w:val="20"/>
              </w:rPr>
            </w:pPr>
          </w:p>
          <w:p w14:paraId="530101B5" w14:textId="77777777" w:rsidR="0028137A" w:rsidRPr="0019444B" w:rsidRDefault="0028137A" w:rsidP="000F4A21">
            <w:pPr>
              <w:rPr>
                <w:rFonts w:ascii="Arial Narrow" w:hAnsi="Arial Narrow"/>
                <w:sz w:val="20"/>
                <w:szCs w:val="20"/>
              </w:rPr>
            </w:pPr>
            <w:r w:rsidRPr="0019444B">
              <w:rPr>
                <w:rFonts w:ascii="Arial Narrow" w:hAnsi="Arial Narrow"/>
                <w:sz w:val="20"/>
                <w:szCs w:val="20"/>
              </w:rPr>
              <w:t>See the following literature reference for details:</w:t>
            </w:r>
          </w:p>
          <w:p w14:paraId="68AB6E58" w14:textId="77777777" w:rsidR="0028137A" w:rsidRPr="0019444B" w:rsidRDefault="0028137A" w:rsidP="000F4A21">
            <w:pPr>
              <w:rPr>
                <w:rFonts w:ascii="Arial Narrow" w:hAnsi="Arial Narrow"/>
                <w:sz w:val="20"/>
                <w:szCs w:val="20"/>
              </w:rPr>
            </w:pPr>
            <w:r w:rsidRPr="0019444B">
              <w:rPr>
                <w:rFonts w:ascii="Arial Narrow" w:hAnsi="Arial Narrow"/>
                <w:sz w:val="20"/>
                <w:szCs w:val="20"/>
              </w:rPr>
              <w:t>Hallek, M et al. iwCLL guidelines for diagnosis, indications for treatment, response assessment, and supportive management of CLL. Blood vol. 131, 25 (2018): 2745-2760.</w:t>
            </w:r>
          </w:p>
        </w:tc>
      </w:tr>
      <w:tr w:rsidR="0028137A" w:rsidRPr="0019444B" w14:paraId="1837D8C4" w14:textId="77777777" w:rsidTr="000F4A21">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23E2E18F" w14:textId="77777777" w:rsidR="0028137A" w:rsidRPr="0019444B" w:rsidRDefault="0028137A" w:rsidP="000F4A21">
            <w:pPr>
              <w:jc w:val="center"/>
              <w:rPr>
                <w:rFonts w:ascii="Arial Narrow" w:hAnsi="Arial Narrow"/>
                <w:sz w:val="20"/>
                <w:szCs w:val="20"/>
              </w:rPr>
            </w:pPr>
          </w:p>
        </w:tc>
        <w:tc>
          <w:tcPr>
            <w:tcW w:w="7803" w:type="dxa"/>
            <w:gridSpan w:val="6"/>
            <w:vAlign w:val="center"/>
          </w:tcPr>
          <w:p w14:paraId="51F3FCD8" w14:textId="77777777" w:rsidR="0028137A" w:rsidRPr="0019444B" w:rsidRDefault="0028137A" w:rsidP="000F4A21">
            <w:pPr>
              <w:rPr>
                <w:rFonts w:ascii="Arial Narrow" w:hAnsi="Arial Narrow"/>
                <w:b/>
                <w:bCs/>
                <w:sz w:val="20"/>
                <w:szCs w:val="20"/>
              </w:rPr>
            </w:pPr>
          </w:p>
        </w:tc>
      </w:tr>
      <w:tr w:rsidR="0028137A" w:rsidRPr="0019444B" w14:paraId="6620507F" w14:textId="77777777" w:rsidTr="000F4A21">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31839911" w14:textId="77777777" w:rsidR="0028137A" w:rsidRPr="0019444B" w:rsidRDefault="0028137A" w:rsidP="000F4A21">
            <w:pPr>
              <w:jc w:val="center"/>
              <w:rPr>
                <w:rFonts w:ascii="Arial Narrow" w:hAnsi="Arial Narrow"/>
                <w:sz w:val="20"/>
                <w:szCs w:val="20"/>
              </w:rPr>
            </w:pPr>
          </w:p>
        </w:tc>
        <w:tc>
          <w:tcPr>
            <w:tcW w:w="7803" w:type="dxa"/>
            <w:gridSpan w:val="6"/>
            <w:vAlign w:val="center"/>
          </w:tcPr>
          <w:p w14:paraId="2093EE0E" w14:textId="77777777" w:rsidR="0028137A" w:rsidRPr="0019444B" w:rsidRDefault="0028137A" w:rsidP="000F4A21">
            <w:pPr>
              <w:rPr>
                <w:rFonts w:ascii="Arial Narrow" w:hAnsi="Arial Narrow"/>
                <w:b/>
                <w:bCs/>
                <w:sz w:val="20"/>
                <w:szCs w:val="20"/>
              </w:rPr>
            </w:pPr>
            <w:r w:rsidRPr="0019444B">
              <w:rPr>
                <w:rFonts w:ascii="Arial Narrow" w:hAnsi="Arial Narrow"/>
                <w:b/>
                <w:bCs/>
                <w:sz w:val="20"/>
                <w:szCs w:val="20"/>
              </w:rPr>
              <w:t xml:space="preserve">Condition: </w:t>
            </w:r>
            <w:r w:rsidRPr="0019444B">
              <w:rPr>
                <w:rFonts w:ascii="Arial Narrow" w:hAnsi="Arial Narrow"/>
                <w:sz w:val="20"/>
                <w:szCs w:val="20"/>
              </w:rPr>
              <w:t>Chronic lymphocytic leukaemia (CLL) or small lymphocytic lymphoma (SLL)</w:t>
            </w:r>
            <w:r w:rsidRPr="0019444B">
              <w:rPr>
                <w:rFonts w:ascii="Arial Narrow" w:hAnsi="Arial Narrow"/>
                <w:bCs/>
                <w:sz w:val="20"/>
                <w:szCs w:val="20"/>
              </w:rPr>
              <w:t xml:space="preserve"> </w:t>
            </w:r>
          </w:p>
        </w:tc>
      </w:tr>
      <w:tr w:rsidR="0028137A" w:rsidRPr="0019444B" w14:paraId="0AF14E22" w14:textId="77777777" w:rsidTr="000F4A21">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00BD07EF" w14:textId="77777777" w:rsidR="0028137A" w:rsidRPr="0019444B" w:rsidRDefault="0028137A" w:rsidP="000F4A21">
            <w:pPr>
              <w:jc w:val="center"/>
              <w:rPr>
                <w:rFonts w:ascii="Arial Narrow" w:hAnsi="Arial Narrow"/>
                <w:sz w:val="20"/>
                <w:szCs w:val="20"/>
              </w:rPr>
            </w:pPr>
          </w:p>
        </w:tc>
        <w:tc>
          <w:tcPr>
            <w:tcW w:w="7803" w:type="dxa"/>
            <w:gridSpan w:val="6"/>
            <w:vAlign w:val="center"/>
          </w:tcPr>
          <w:p w14:paraId="6EE60F99" w14:textId="77777777" w:rsidR="0028137A" w:rsidRPr="0019444B" w:rsidRDefault="0028137A" w:rsidP="000F4A21">
            <w:pPr>
              <w:rPr>
                <w:rFonts w:ascii="Arial Narrow" w:hAnsi="Arial Narrow"/>
                <w:b/>
                <w:bCs/>
                <w:sz w:val="20"/>
                <w:szCs w:val="20"/>
              </w:rPr>
            </w:pPr>
          </w:p>
        </w:tc>
      </w:tr>
      <w:bookmarkEnd w:id="108"/>
      <w:tr w:rsidR="0028137A" w:rsidRPr="0019444B" w14:paraId="734DD832" w14:textId="77777777" w:rsidTr="00941556">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664F1C6E" w14:textId="7ECCF0BB" w:rsidR="0028137A" w:rsidRPr="0019444B" w:rsidRDefault="0028137A" w:rsidP="000F4A21">
            <w:pPr>
              <w:jc w:val="center"/>
              <w:rPr>
                <w:rFonts w:ascii="Arial Narrow" w:hAnsi="Arial Narrow"/>
                <w:sz w:val="20"/>
                <w:szCs w:val="20"/>
              </w:rPr>
            </w:pPr>
          </w:p>
        </w:tc>
        <w:tc>
          <w:tcPr>
            <w:tcW w:w="7803" w:type="dxa"/>
            <w:gridSpan w:val="6"/>
            <w:vAlign w:val="center"/>
            <w:hideMark/>
          </w:tcPr>
          <w:p w14:paraId="04029D01" w14:textId="7458E9E1" w:rsidR="0028137A" w:rsidRPr="0019444B" w:rsidRDefault="0028137A" w:rsidP="000F4A21">
            <w:pPr>
              <w:rPr>
                <w:rFonts w:ascii="Arial Narrow" w:hAnsi="Arial Narrow"/>
                <w:sz w:val="20"/>
                <w:szCs w:val="20"/>
              </w:rPr>
            </w:pPr>
            <w:r w:rsidRPr="0019444B">
              <w:rPr>
                <w:rFonts w:ascii="Arial Narrow" w:hAnsi="Arial Narrow"/>
                <w:b/>
                <w:bCs/>
                <w:sz w:val="20"/>
                <w:szCs w:val="20"/>
              </w:rPr>
              <w:t>Indication:</w:t>
            </w:r>
            <w:r w:rsidRPr="0019444B">
              <w:rPr>
                <w:rFonts w:ascii="Arial Narrow" w:hAnsi="Arial Narrow"/>
                <w:sz w:val="20"/>
                <w:szCs w:val="20"/>
              </w:rPr>
              <w:t xml:space="preserve"> Chronic lymphocytic leukaemia (CLL) or small lymphocytic lymphoma (SLL)</w:t>
            </w:r>
          </w:p>
        </w:tc>
      </w:tr>
      <w:tr w:rsidR="0028137A" w:rsidRPr="0019444B" w14:paraId="26CB2502" w14:textId="77777777" w:rsidTr="000F4A21">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0C6BF625" w14:textId="77777777" w:rsidR="0028137A" w:rsidRPr="0019444B" w:rsidRDefault="0028137A" w:rsidP="000F4A21">
            <w:pPr>
              <w:jc w:val="center"/>
              <w:rPr>
                <w:rFonts w:ascii="Arial Narrow" w:hAnsi="Arial Narrow"/>
                <w:sz w:val="20"/>
                <w:szCs w:val="20"/>
              </w:rPr>
            </w:pPr>
          </w:p>
        </w:tc>
        <w:tc>
          <w:tcPr>
            <w:tcW w:w="7803" w:type="dxa"/>
            <w:gridSpan w:val="6"/>
            <w:vAlign w:val="center"/>
          </w:tcPr>
          <w:p w14:paraId="24CEA636" w14:textId="77777777" w:rsidR="0028137A" w:rsidRPr="0019444B" w:rsidRDefault="0028137A" w:rsidP="000F4A21">
            <w:pPr>
              <w:rPr>
                <w:rFonts w:ascii="Arial Narrow" w:hAnsi="Arial Narrow"/>
                <w:b/>
                <w:bCs/>
                <w:sz w:val="20"/>
                <w:szCs w:val="20"/>
              </w:rPr>
            </w:pPr>
          </w:p>
        </w:tc>
      </w:tr>
      <w:tr w:rsidR="0028137A" w:rsidRPr="0019444B" w14:paraId="1EED4950" w14:textId="77777777" w:rsidTr="00941556">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5A578AD4" w14:textId="77777777" w:rsidR="0028137A" w:rsidRPr="0019444B" w:rsidRDefault="0028137A" w:rsidP="000F4A21">
            <w:pPr>
              <w:jc w:val="center"/>
              <w:rPr>
                <w:rFonts w:ascii="Arial Narrow" w:hAnsi="Arial Narrow"/>
                <w:sz w:val="20"/>
                <w:szCs w:val="20"/>
              </w:rPr>
            </w:pPr>
          </w:p>
        </w:tc>
        <w:tc>
          <w:tcPr>
            <w:tcW w:w="7803" w:type="dxa"/>
            <w:gridSpan w:val="6"/>
            <w:vAlign w:val="center"/>
            <w:hideMark/>
          </w:tcPr>
          <w:p w14:paraId="6B75BD55" w14:textId="5BAB5B57" w:rsidR="0028137A" w:rsidRPr="0019444B" w:rsidRDefault="0028137A" w:rsidP="000F4A21">
            <w:pPr>
              <w:rPr>
                <w:rFonts w:ascii="Arial Narrow" w:hAnsi="Arial Narrow"/>
                <w:sz w:val="20"/>
                <w:szCs w:val="20"/>
              </w:rPr>
            </w:pPr>
            <w:r w:rsidRPr="0019444B">
              <w:rPr>
                <w:rFonts w:ascii="Arial Narrow" w:hAnsi="Arial Narrow"/>
                <w:b/>
                <w:bCs/>
                <w:sz w:val="20"/>
                <w:szCs w:val="20"/>
              </w:rPr>
              <w:t>Treatment Phas</w:t>
            </w:r>
            <w:r w:rsidR="003A6D86" w:rsidRPr="0019444B">
              <w:rPr>
                <w:rFonts w:ascii="Arial Narrow" w:hAnsi="Arial Narrow"/>
                <w:b/>
                <w:bCs/>
                <w:sz w:val="20"/>
                <w:szCs w:val="20"/>
              </w:rPr>
              <w:t xml:space="preserve">e: </w:t>
            </w:r>
            <w:r w:rsidRPr="0019444B">
              <w:rPr>
                <w:rFonts w:ascii="Arial Narrow" w:hAnsi="Arial Narrow"/>
                <w:sz w:val="20"/>
                <w:szCs w:val="20"/>
              </w:rPr>
              <w:t xml:space="preserve">First line drug treatment of this </w:t>
            </w:r>
            <w:r w:rsidRPr="00B61331">
              <w:rPr>
                <w:rFonts w:ascii="Arial Narrow" w:hAnsi="Arial Narrow"/>
                <w:sz w:val="20"/>
                <w:szCs w:val="20"/>
              </w:rPr>
              <w:t>indication</w:t>
            </w:r>
            <w:r w:rsidR="00A95B88" w:rsidRPr="00B61331">
              <w:rPr>
                <w:rFonts w:ascii="Arial Narrow" w:hAnsi="Arial Narrow"/>
                <w:sz w:val="20"/>
                <w:szCs w:val="20"/>
              </w:rPr>
              <w:t xml:space="preserve"> – in combination with obinutuzumab</w:t>
            </w:r>
            <w:r w:rsidR="00A95B88" w:rsidRPr="0019444B">
              <w:rPr>
                <w:rFonts w:ascii="Arial Narrow" w:hAnsi="Arial Narrow"/>
                <w:i/>
                <w:iCs/>
                <w:sz w:val="20"/>
                <w:szCs w:val="20"/>
              </w:rPr>
              <w:t xml:space="preserve"> </w:t>
            </w:r>
          </w:p>
        </w:tc>
      </w:tr>
      <w:tr w:rsidR="0028137A" w:rsidRPr="0019444B" w14:paraId="03ADBE0B" w14:textId="77777777" w:rsidTr="000F4A21">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1022370A" w14:textId="77777777" w:rsidR="0028137A" w:rsidRPr="0019444B" w:rsidRDefault="0028137A" w:rsidP="000F4A21">
            <w:pPr>
              <w:jc w:val="center"/>
              <w:rPr>
                <w:rFonts w:ascii="Arial Narrow" w:hAnsi="Arial Narrow"/>
                <w:sz w:val="20"/>
                <w:szCs w:val="20"/>
              </w:rPr>
            </w:pPr>
          </w:p>
        </w:tc>
        <w:tc>
          <w:tcPr>
            <w:tcW w:w="7803" w:type="dxa"/>
            <w:gridSpan w:val="6"/>
            <w:vAlign w:val="center"/>
          </w:tcPr>
          <w:p w14:paraId="0BA63E39" w14:textId="77777777" w:rsidR="0028137A" w:rsidRPr="0019444B" w:rsidRDefault="0028137A" w:rsidP="000F4A21">
            <w:pPr>
              <w:rPr>
                <w:rFonts w:ascii="Arial Narrow" w:hAnsi="Arial Narrow"/>
                <w:b/>
                <w:bCs/>
                <w:sz w:val="20"/>
                <w:szCs w:val="20"/>
              </w:rPr>
            </w:pPr>
          </w:p>
        </w:tc>
      </w:tr>
      <w:tr w:rsidR="0028137A" w:rsidRPr="0019444B" w14:paraId="022217E5" w14:textId="77777777" w:rsidTr="00941556">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3B605B5A" w14:textId="173C3072" w:rsidR="0028137A" w:rsidRPr="0019444B" w:rsidRDefault="0028137A" w:rsidP="000F4A21">
            <w:pPr>
              <w:jc w:val="center"/>
              <w:rPr>
                <w:rFonts w:ascii="Arial Narrow" w:hAnsi="Arial Narrow"/>
                <w:sz w:val="20"/>
                <w:szCs w:val="20"/>
              </w:rPr>
            </w:pPr>
          </w:p>
        </w:tc>
        <w:tc>
          <w:tcPr>
            <w:tcW w:w="7803" w:type="dxa"/>
            <w:gridSpan w:val="6"/>
            <w:vAlign w:val="center"/>
            <w:hideMark/>
          </w:tcPr>
          <w:p w14:paraId="7A9D5DBD" w14:textId="77777777" w:rsidR="0028137A" w:rsidRPr="0019444B" w:rsidRDefault="0028137A" w:rsidP="000F4A21">
            <w:pPr>
              <w:rPr>
                <w:rFonts w:ascii="Arial Narrow" w:hAnsi="Arial Narrow"/>
                <w:sz w:val="20"/>
                <w:szCs w:val="20"/>
              </w:rPr>
            </w:pPr>
            <w:r w:rsidRPr="0019444B">
              <w:rPr>
                <w:rFonts w:ascii="Arial Narrow" w:hAnsi="Arial Narrow"/>
                <w:b/>
                <w:bCs/>
                <w:sz w:val="20"/>
                <w:szCs w:val="20"/>
              </w:rPr>
              <w:t xml:space="preserve">Clinical criteria: </w:t>
            </w:r>
          </w:p>
        </w:tc>
      </w:tr>
      <w:tr w:rsidR="0028137A" w:rsidRPr="0019444B" w14:paraId="0783BF08" w14:textId="77777777" w:rsidTr="00941556">
        <w:tblPrEx>
          <w:tblCellMar>
            <w:top w:w="15" w:type="dxa"/>
            <w:left w:w="15" w:type="dxa"/>
            <w:bottom w:w="15" w:type="dxa"/>
            <w:right w:w="15" w:type="dxa"/>
          </w:tblCellMar>
          <w:tblLook w:val="04A0" w:firstRow="1" w:lastRow="0" w:firstColumn="1" w:lastColumn="0" w:noHBand="0" w:noVBand="1"/>
        </w:tblPrEx>
        <w:tc>
          <w:tcPr>
            <w:tcW w:w="981" w:type="dxa"/>
            <w:gridSpan w:val="2"/>
            <w:tcBorders>
              <w:top w:val="single" w:sz="4" w:space="0" w:color="auto"/>
              <w:left w:val="single" w:sz="4" w:space="0" w:color="auto"/>
              <w:bottom w:val="single" w:sz="4" w:space="0" w:color="auto"/>
              <w:right w:val="single" w:sz="4" w:space="0" w:color="auto"/>
            </w:tcBorders>
            <w:vAlign w:val="center"/>
          </w:tcPr>
          <w:p w14:paraId="70FB65F5" w14:textId="7B1B3849" w:rsidR="0028137A" w:rsidRPr="0019444B" w:rsidRDefault="0028137A" w:rsidP="000F4A21">
            <w:pPr>
              <w:jc w:val="center"/>
              <w:rPr>
                <w:rFonts w:ascii="Arial Narrow" w:hAnsi="Arial Narrow"/>
                <w:sz w:val="20"/>
                <w:szCs w:val="20"/>
              </w:rPr>
            </w:pPr>
          </w:p>
        </w:tc>
        <w:tc>
          <w:tcPr>
            <w:tcW w:w="7803" w:type="dxa"/>
            <w:gridSpan w:val="6"/>
            <w:tcBorders>
              <w:top w:val="single" w:sz="4" w:space="0" w:color="auto"/>
              <w:left w:val="single" w:sz="4" w:space="0" w:color="auto"/>
              <w:bottom w:val="single" w:sz="4" w:space="0" w:color="auto"/>
              <w:right w:val="single" w:sz="4" w:space="0" w:color="auto"/>
            </w:tcBorders>
            <w:vAlign w:val="center"/>
            <w:hideMark/>
          </w:tcPr>
          <w:p w14:paraId="778369EE" w14:textId="640A73AA" w:rsidR="0028137A" w:rsidRPr="0019444B" w:rsidRDefault="0028137A" w:rsidP="000F4A21">
            <w:pPr>
              <w:rPr>
                <w:rFonts w:ascii="Arial Narrow" w:hAnsi="Arial Narrow"/>
                <w:sz w:val="20"/>
                <w:szCs w:val="20"/>
              </w:rPr>
            </w:pPr>
            <w:r w:rsidRPr="0019444B">
              <w:rPr>
                <w:rFonts w:ascii="Arial Narrow" w:hAnsi="Arial Narrow"/>
                <w:sz w:val="20"/>
                <w:szCs w:val="20"/>
              </w:rPr>
              <w:t xml:space="preserve">The condition must be untreated with </w:t>
            </w:r>
            <w:r w:rsidR="00A95B88" w:rsidRPr="00B61331">
              <w:rPr>
                <w:rFonts w:ascii="Arial Narrow" w:hAnsi="Arial Narrow"/>
                <w:sz w:val="20"/>
                <w:szCs w:val="20"/>
              </w:rPr>
              <w:t>acalabrutinib</w:t>
            </w:r>
            <w:r w:rsidR="00A95B88" w:rsidRPr="0019444B">
              <w:rPr>
                <w:rFonts w:ascii="Arial Narrow" w:hAnsi="Arial Narrow"/>
                <w:i/>
                <w:iCs/>
                <w:sz w:val="20"/>
                <w:szCs w:val="20"/>
              </w:rPr>
              <w:t xml:space="preserve"> </w:t>
            </w:r>
            <w:r w:rsidRPr="0019444B">
              <w:rPr>
                <w:rFonts w:ascii="Arial Narrow" w:hAnsi="Arial Narrow"/>
                <w:sz w:val="20"/>
                <w:szCs w:val="20"/>
              </w:rPr>
              <w:t>at the time of the first dose of this drug; or</w:t>
            </w:r>
          </w:p>
        </w:tc>
      </w:tr>
      <w:tr w:rsidR="0028137A" w:rsidRPr="0019444B" w14:paraId="2933F6CC" w14:textId="77777777" w:rsidTr="000F4A21">
        <w:tblPrEx>
          <w:tblCellMar>
            <w:top w:w="15" w:type="dxa"/>
            <w:left w:w="15" w:type="dxa"/>
            <w:bottom w:w="15" w:type="dxa"/>
            <w:right w:w="15" w:type="dxa"/>
          </w:tblCellMar>
          <w:tblLook w:val="04A0" w:firstRow="1" w:lastRow="0" w:firstColumn="1" w:lastColumn="0" w:noHBand="0" w:noVBand="1"/>
        </w:tblPrEx>
        <w:tc>
          <w:tcPr>
            <w:tcW w:w="981" w:type="dxa"/>
            <w:gridSpan w:val="2"/>
            <w:tcBorders>
              <w:top w:val="single" w:sz="4" w:space="0" w:color="auto"/>
              <w:left w:val="single" w:sz="4" w:space="0" w:color="auto"/>
              <w:bottom w:val="single" w:sz="4" w:space="0" w:color="auto"/>
              <w:right w:val="single" w:sz="4" w:space="0" w:color="auto"/>
            </w:tcBorders>
            <w:vAlign w:val="center"/>
          </w:tcPr>
          <w:p w14:paraId="64445B37" w14:textId="5E4B5588" w:rsidR="0028137A" w:rsidRPr="0019444B" w:rsidRDefault="0028137A" w:rsidP="000F4A21">
            <w:pPr>
              <w:jc w:val="center"/>
              <w:rPr>
                <w:rFonts w:ascii="Arial Narrow" w:hAnsi="Arial Narrow"/>
                <w:sz w:val="20"/>
                <w:szCs w:val="20"/>
              </w:rPr>
            </w:pPr>
          </w:p>
        </w:tc>
        <w:tc>
          <w:tcPr>
            <w:tcW w:w="7803" w:type="dxa"/>
            <w:gridSpan w:val="6"/>
            <w:tcBorders>
              <w:top w:val="single" w:sz="4" w:space="0" w:color="auto"/>
              <w:left w:val="single" w:sz="4" w:space="0" w:color="auto"/>
              <w:bottom w:val="single" w:sz="4" w:space="0" w:color="auto"/>
              <w:right w:val="single" w:sz="4" w:space="0" w:color="auto"/>
            </w:tcBorders>
            <w:vAlign w:val="center"/>
          </w:tcPr>
          <w:p w14:paraId="2D6C277F" w14:textId="77777777" w:rsidR="0028137A" w:rsidRPr="0019444B" w:rsidRDefault="0028137A" w:rsidP="000F4A21">
            <w:pPr>
              <w:rPr>
                <w:rFonts w:ascii="Arial Narrow" w:hAnsi="Arial Narrow"/>
                <w:sz w:val="20"/>
                <w:szCs w:val="20"/>
              </w:rPr>
            </w:pPr>
            <w:r w:rsidRPr="0019444B">
              <w:rPr>
                <w:rFonts w:ascii="Arial Narrow" w:hAnsi="Arial Narrow"/>
                <w:sz w:val="20"/>
                <w:szCs w:val="20"/>
              </w:rPr>
              <w:t>Patient must have developed an intolerance of a severity necessitating permanent treatment withdrawal following use of another drug PBS-indicated as first-line drug treatment of CLL/SLL</w:t>
            </w:r>
          </w:p>
        </w:tc>
      </w:tr>
      <w:tr w:rsidR="0028137A" w:rsidRPr="0019444B" w14:paraId="68261076" w14:textId="77777777" w:rsidTr="000F4A21">
        <w:tblPrEx>
          <w:tblCellMar>
            <w:top w:w="15" w:type="dxa"/>
            <w:left w:w="15" w:type="dxa"/>
            <w:bottom w:w="15" w:type="dxa"/>
            <w:right w:w="15" w:type="dxa"/>
          </w:tblCellMar>
          <w:tblLook w:val="04A0" w:firstRow="1" w:lastRow="0" w:firstColumn="1" w:lastColumn="0" w:noHBand="0" w:noVBand="1"/>
        </w:tblPrEx>
        <w:tc>
          <w:tcPr>
            <w:tcW w:w="981" w:type="dxa"/>
            <w:gridSpan w:val="2"/>
            <w:tcBorders>
              <w:top w:val="single" w:sz="4" w:space="0" w:color="auto"/>
              <w:left w:val="single" w:sz="4" w:space="0" w:color="auto"/>
              <w:bottom w:val="single" w:sz="4" w:space="0" w:color="auto"/>
              <w:right w:val="single" w:sz="4" w:space="0" w:color="auto"/>
            </w:tcBorders>
            <w:vAlign w:val="center"/>
          </w:tcPr>
          <w:p w14:paraId="498FCAC6" w14:textId="77777777" w:rsidR="0028137A" w:rsidRPr="0019444B" w:rsidRDefault="0028137A" w:rsidP="000F4A21">
            <w:pPr>
              <w:jc w:val="center"/>
              <w:rPr>
                <w:rFonts w:ascii="Arial Narrow" w:hAnsi="Arial Narrow"/>
                <w:sz w:val="20"/>
                <w:szCs w:val="20"/>
              </w:rPr>
            </w:pPr>
          </w:p>
        </w:tc>
        <w:tc>
          <w:tcPr>
            <w:tcW w:w="7803" w:type="dxa"/>
            <w:gridSpan w:val="6"/>
            <w:tcBorders>
              <w:top w:val="single" w:sz="4" w:space="0" w:color="auto"/>
              <w:left w:val="single" w:sz="4" w:space="0" w:color="auto"/>
              <w:bottom w:val="single" w:sz="4" w:space="0" w:color="auto"/>
              <w:right w:val="single" w:sz="4" w:space="0" w:color="auto"/>
            </w:tcBorders>
            <w:vAlign w:val="center"/>
          </w:tcPr>
          <w:p w14:paraId="2C62DF87" w14:textId="77777777" w:rsidR="0028137A" w:rsidRPr="0019444B" w:rsidRDefault="0028137A" w:rsidP="000F4A21">
            <w:pPr>
              <w:rPr>
                <w:rFonts w:ascii="Arial Narrow" w:hAnsi="Arial Narrow"/>
                <w:b/>
                <w:bCs/>
                <w:sz w:val="20"/>
                <w:szCs w:val="20"/>
              </w:rPr>
            </w:pPr>
            <w:r w:rsidRPr="0019444B">
              <w:rPr>
                <w:rFonts w:ascii="Arial Narrow" w:hAnsi="Arial Narrow"/>
                <w:b/>
                <w:bCs/>
                <w:sz w:val="20"/>
                <w:szCs w:val="20"/>
              </w:rPr>
              <w:t>AND</w:t>
            </w:r>
          </w:p>
        </w:tc>
      </w:tr>
      <w:tr w:rsidR="0028137A" w:rsidRPr="0019444B" w14:paraId="22573EF1" w14:textId="77777777" w:rsidTr="000F4A21">
        <w:tblPrEx>
          <w:tblCellMar>
            <w:top w:w="15" w:type="dxa"/>
            <w:left w:w="15" w:type="dxa"/>
            <w:bottom w:w="15" w:type="dxa"/>
            <w:right w:w="15" w:type="dxa"/>
          </w:tblCellMar>
          <w:tblLook w:val="04A0" w:firstRow="1" w:lastRow="0" w:firstColumn="1" w:lastColumn="0" w:noHBand="0" w:noVBand="1"/>
        </w:tblPrEx>
        <w:tc>
          <w:tcPr>
            <w:tcW w:w="981" w:type="dxa"/>
            <w:gridSpan w:val="2"/>
            <w:tcBorders>
              <w:top w:val="single" w:sz="4" w:space="0" w:color="auto"/>
              <w:left w:val="single" w:sz="4" w:space="0" w:color="auto"/>
              <w:bottom w:val="single" w:sz="4" w:space="0" w:color="auto"/>
              <w:right w:val="single" w:sz="4" w:space="0" w:color="auto"/>
            </w:tcBorders>
            <w:vAlign w:val="center"/>
          </w:tcPr>
          <w:p w14:paraId="17527794" w14:textId="0B1D3CEB" w:rsidR="0028137A" w:rsidRPr="0019444B" w:rsidRDefault="0028137A" w:rsidP="000F4A21">
            <w:pPr>
              <w:jc w:val="center"/>
              <w:rPr>
                <w:rFonts w:ascii="Arial Narrow" w:hAnsi="Arial Narrow"/>
                <w:sz w:val="20"/>
                <w:szCs w:val="20"/>
              </w:rPr>
            </w:pPr>
          </w:p>
        </w:tc>
        <w:tc>
          <w:tcPr>
            <w:tcW w:w="7803" w:type="dxa"/>
            <w:gridSpan w:val="6"/>
            <w:tcBorders>
              <w:top w:val="single" w:sz="4" w:space="0" w:color="auto"/>
              <w:left w:val="single" w:sz="4" w:space="0" w:color="auto"/>
              <w:bottom w:val="single" w:sz="4" w:space="0" w:color="auto"/>
              <w:right w:val="single" w:sz="4" w:space="0" w:color="auto"/>
            </w:tcBorders>
            <w:vAlign w:val="center"/>
          </w:tcPr>
          <w:p w14:paraId="51C23425" w14:textId="77777777" w:rsidR="0028137A" w:rsidRPr="0019444B" w:rsidRDefault="0028137A" w:rsidP="000F4A21">
            <w:pPr>
              <w:rPr>
                <w:rFonts w:ascii="Arial Narrow" w:hAnsi="Arial Narrow"/>
                <w:b/>
                <w:bCs/>
                <w:sz w:val="20"/>
                <w:szCs w:val="20"/>
              </w:rPr>
            </w:pPr>
            <w:r w:rsidRPr="0019444B">
              <w:rPr>
                <w:rFonts w:ascii="Arial Narrow" w:hAnsi="Arial Narrow"/>
                <w:b/>
                <w:bCs/>
                <w:sz w:val="20"/>
                <w:szCs w:val="20"/>
              </w:rPr>
              <w:t>Clinical criteria:</w:t>
            </w:r>
          </w:p>
        </w:tc>
      </w:tr>
      <w:tr w:rsidR="0028137A" w:rsidRPr="0019444B" w14:paraId="3256AE07" w14:textId="77777777" w:rsidTr="000F4A21">
        <w:tblPrEx>
          <w:tblCellMar>
            <w:top w:w="15" w:type="dxa"/>
            <w:left w:w="15" w:type="dxa"/>
            <w:bottom w:w="15" w:type="dxa"/>
            <w:right w:w="15" w:type="dxa"/>
          </w:tblCellMar>
          <w:tblLook w:val="04A0" w:firstRow="1" w:lastRow="0" w:firstColumn="1" w:lastColumn="0" w:noHBand="0" w:noVBand="1"/>
        </w:tblPrEx>
        <w:tc>
          <w:tcPr>
            <w:tcW w:w="981" w:type="dxa"/>
            <w:gridSpan w:val="2"/>
            <w:tcBorders>
              <w:top w:val="single" w:sz="4" w:space="0" w:color="auto"/>
              <w:left w:val="single" w:sz="4" w:space="0" w:color="auto"/>
              <w:bottom w:val="single" w:sz="4" w:space="0" w:color="auto"/>
              <w:right w:val="single" w:sz="4" w:space="0" w:color="auto"/>
            </w:tcBorders>
            <w:vAlign w:val="center"/>
          </w:tcPr>
          <w:p w14:paraId="081672AE" w14:textId="7BB6B62B" w:rsidR="0028137A" w:rsidRPr="0019444B" w:rsidRDefault="0028137A" w:rsidP="000F4A21">
            <w:pPr>
              <w:jc w:val="center"/>
              <w:rPr>
                <w:rFonts w:ascii="Arial Narrow" w:hAnsi="Arial Narrow"/>
                <w:sz w:val="20"/>
                <w:szCs w:val="20"/>
              </w:rPr>
            </w:pPr>
          </w:p>
        </w:tc>
        <w:tc>
          <w:tcPr>
            <w:tcW w:w="7803" w:type="dxa"/>
            <w:gridSpan w:val="6"/>
            <w:tcBorders>
              <w:top w:val="single" w:sz="4" w:space="0" w:color="auto"/>
              <w:left w:val="single" w:sz="4" w:space="0" w:color="auto"/>
              <w:bottom w:val="single" w:sz="4" w:space="0" w:color="auto"/>
              <w:right w:val="single" w:sz="4" w:space="0" w:color="auto"/>
            </w:tcBorders>
            <w:vAlign w:val="center"/>
          </w:tcPr>
          <w:p w14:paraId="603A297E" w14:textId="00043354" w:rsidR="0028137A" w:rsidRPr="0019444B" w:rsidRDefault="0028137A" w:rsidP="000F4A21">
            <w:pPr>
              <w:rPr>
                <w:rFonts w:ascii="Arial Narrow" w:hAnsi="Arial Narrow"/>
                <w:b/>
                <w:bCs/>
                <w:sz w:val="20"/>
                <w:szCs w:val="20"/>
              </w:rPr>
            </w:pPr>
            <w:r w:rsidRPr="0019444B">
              <w:rPr>
                <w:rFonts w:ascii="Arial Narrow" w:hAnsi="Arial Narrow"/>
                <w:sz w:val="20"/>
                <w:szCs w:val="20"/>
              </w:rPr>
              <w:t xml:space="preserve">The treatment must only be prescribed for </w:t>
            </w:r>
            <w:r w:rsidR="00A95B88" w:rsidRPr="0019444B">
              <w:rPr>
                <w:rFonts w:ascii="Arial Narrow" w:hAnsi="Arial Narrow"/>
                <w:i/>
                <w:iCs/>
                <w:sz w:val="20"/>
                <w:szCs w:val="20"/>
              </w:rPr>
              <w:t xml:space="preserve">a </w:t>
            </w:r>
            <w:r w:rsidRPr="0019444B">
              <w:rPr>
                <w:rFonts w:ascii="Arial Narrow" w:hAnsi="Arial Narrow"/>
                <w:sz w:val="20"/>
                <w:szCs w:val="20"/>
              </w:rPr>
              <w:t>patient with active disease in accordance with the International Workshop on CLL (iwCLL) guidance (latest version) in relation to when to prescribe drug treatment for this condition</w:t>
            </w:r>
          </w:p>
        </w:tc>
      </w:tr>
      <w:tr w:rsidR="0028137A" w:rsidRPr="0019444B" w14:paraId="0B1C1AF7" w14:textId="77777777" w:rsidTr="000F4A21">
        <w:tblPrEx>
          <w:tblCellMar>
            <w:top w:w="15" w:type="dxa"/>
            <w:left w:w="15" w:type="dxa"/>
            <w:bottom w:w="15" w:type="dxa"/>
            <w:right w:w="15" w:type="dxa"/>
          </w:tblCellMar>
          <w:tblLook w:val="04A0" w:firstRow="1" w:lastRow="0" w:firstColumn="1" w:lastColumn="0" w:noHBand="0" w:noVBand="1"/>
        </w:tblPrEx>
        <w:tc>
          <w:tcPr>
            <w:tcW w:w="981" w:type="dxa"/>
            <w:gridSpan w:val="2"/>
            <w:tcBorders>
              <w:top w:val="single" w:sz="4" w:space="0" w:color="auto"/>
              <w:left w:val="single" w:sz="4" w:space="0" w:color="auto"/>
              <w:bottom w:val="single" w:sz="4" w:space="0" w:color="auto"/>
              <w:right w:val="single" w:sz="4" w:space="0" w:color="auto"/>
            </w:tcBorders>
            <w:vAlign w:val="center"/>
          </w:tcPr>
          <w:p w14:paraId="425F018F" w14:textId="77777777" w:rsidR="0028137A" w:rsidRPr="0019444B" w:rsidRDefault="0028137A" w:rsidP="000F4A21">
            <w:pPr>
              <w:jc w:val="center"/>
              <w:rPr>
                <w:rFonts w:ascii="Arial Narrow" w:hAnsi="Arial Narrow"/>
                <w:sz w:val="20"/>
                <w:szCs w:val="20"/>
              </w:rPr>
            </w:pPr>
          </w:p>
        </w:tc>
        <w:tc>
          <w:tcPr>
            <w:tcW w:w="7803" w:type="dxa"/>
            <w:gridSpan w:val="6"/>
            <w:tcBorders>
              <w:top w:val="single" w:sz="4" w:space="0" w:color="auto"/>
              <w:left w:val="single" w:sz="4" w:space="0" w:color="auto"/>
              <w:bottom w:val="single" w:sz="4" w:space="0" w:color="auto"/>
              <w:right w:val="single" w:sz="4" w:space="0" w:color="auto"/>
            </w:tcBorders>
            <w:vAlign w:val="center"/>
          </w:tcPr>
          <w:p w14:paraId="51CB9B92" w14:textId="77777777" w:rsidR="0028137A" w:rsidRPr="0019444B" w:rsidRDefault="0028137A" w:rsidP="000F4A21">
            <w:pPr>
              <w:rPr>
                <w:rFonts w:ascii="Arial Narrow" w:hAnsi="Arial Narrow"/>
                <w:b/>
                <w:bCs/>
                <w:sz w:val="20"/>
                <w:szCs w:val="20"/>
              </w:rPr>
            </w:pPr>
            <w:r w:rsidRPr="0019444B">
              <w:rPr>
                <w:rFonts w:ascii="Arial Narrow" w:hAnsi="Arial Narrow"/>
                <w:b/>
                <w:bCs/>
                <w:sz w:val="20"/>
                <w:szCs w:val="20"/>
              </w:rPr>
              <w:t>AND</w:t>
            </w:r>
          </w:p>
        </w:tc>
      </w:tr>
      <w:tr w:rsidR="0028137A" w:rsidRPr="0019444B" w14:paraId="15DBA33A" w14:textId="77777777" w:rsidTr="000F4A21">
        <w:tblPrEx>
          <w:tblCellMar>
            <w:top w:w="15" w:type="dxa"/>
            <w:left w:w="15" w:type="dxa"/>
            <w:bottom w:w="15" w:type="dxa"/>
            <w:right w:w="15" w:type="dxa"/>
          </w:tblCellMar>
          <w:tblLook w:val="04A0" w:firstRow="1" w:lastRow="0" w:firstColumn="1" w:lastColumn="0" w:noHBand="0" w:noVBand="1"/>
        </w:tblPrEx>
        <w:tc>
          <w:tcPr>
            <w:tcW w:w="981" w:type="dxa"/>
            <w:gridSpan w:val="2"/>
            <w:tcBorders>
              <w:top w:val="single" w:sz="4" w:space="0" w:color="auto"/>
              <w:left w:val="single" w:sz="4" w:space="0" w:color="auto"/>
              <w:bottom w:val="single" w:sz="4" w:space="0" w:color="auto"/>
              <w:right w:val="single" w:sz="4" w:space="0" w:color="auto"/>
            </w:tcBorders>
            <w:vAlign w:val="center"/>
          </w:tcPr>
          <w:p w14:paraId="504330EC" w14:textId="2B7795AB" w:rsidR="0028137A" w:rsidRPr="0019444B" w:rsidRDefault="0028137A" w:rsidP="000F4A21">
            <w:pPr>
              <w:jc w:val="center"/>
              <w:rPr>
                <w:rFonts w:ascii="Arial Narrow" w:hAnsi="Arial Narrow"/>
                <w:sz w:val="20"/>
                <w:szCs w:val="20"/>
              </w:rPr>
            </w:pPr>
          </w:p>
        </w:tc>
        <w:tc>
          <w:tcPr>
            <w:tcW w:w="7803" w:type="dxa"/>
            <w:gridSpan w:val="6"/>
            <w:tcBorders>
              <w:top w:val="single" w:sz="4" w:space="0" w:color="auto"/>
              <w:left w:val="single" w:sz="4" w:space="0" w:color="auto"/>
              <w:bottom w:val="single" w:sz="4" w:space="0" w:color="auto"/>
              <w:right w:val="single" w:sz="4" w:space="0" w:color="auto"/>
            </w:tcBorders>
            <w:vAlign w:val="center"/>
          </w:tcPr>
          <w:p w14:paraId="3CB8BA9B" w14:textId="77777777" w:rsidR="0028137A" w:rsidRPr="0019444B" w:rsidRDefault="0028137A" w:rsidP="000F4A21">
            <w:pPr>
              <w:rPr>
                <w:rFonts w:ascii="Arial Narrow" w:hAnsi="Arial Narrow"/>
                <w:b/>
                <w:bCs/>
                <w:sz w:val="20"/>
                <w:szCs w:val="20"/>
              </w:rPr>
            </w:pPr>
            <w:r w:rsidRPr="0019444B">
              <w:rPr>
                <w:rFonts w:ascii="Arial Narrow" w:hAnsi="Arial Narrow"/>
                <w:b/>
                <w:bCs/>
                <w:sz w:val="20"/>
                <w:szCs w:val="20"/>
              </w:rPr>
              <w:t>Clinical criteria:</w:t>
            </w:r>
          </w:p>
        </w:tc>
      </w:tr>
      <w:tr w:rsidR="0028137A" w:rsidRPr="0019444B" w14:paraId="15F6F270" w14:textId="77777777" w:rsidTr="000F4A21">
        <w:tblPrEx>
          <w:tblCellMar>
            <w:top w:w="15" w:type="dxa"/>
            <w:left w:w="15" w:type="dxa"/>
            <w:bottom w:w="15" w:type="dxa"/>
            <w:right w:w="15" w:type="dxa"/>
          </w:tblCellMar>
          <w:tblLook w:val="04A0" w:firstRow="1" w:lastRow="0" w:firstColumn="1" w:lastColumn="0" w:noHBand="0" w:noVBand="1"/>
        </w:tblPrEx>
        <w:tc>
          <w:tcPr>
            <w:tcW w:w="981" w:type="dxa"/>
            <w:gridSpan w:val="2"/>
            <w:tcBorders>
              <w:top w:val="single" w:sz="4" w:space="0" w:color="auto"/>
              <w:left w:val="single" w:sz="4" w:space="0" w:color="auto"/>
              <w:bottom w:val="single" w:sz="4" w:space="0" w:color="auto"/>
              <w:right w:val="single" w:sz="4" w:space="0" w:color="auto"/>
            </w:tcBorders>
            <w:vAlign w:val="center"/>
          </w:tcPr>
          <w:p w14:paraId="2611B686" w14:textId="25B59950" w:rsidR="0028137A" w:rsidRPr="0019444B" w:rsidRDefault="0028137A" w:rsidP="000F4A21">
            <w:pPr>
              <w:jc w:val="center"/>
              <w:rPr>
                <w:rFonts w:ascii="Arial Narrow" w:hAnsi="Arial Narrow"/>
                <w:sz w:val="20"/>
                <w:szCs w:val="20"/>
              </w:rPr>
            </w:pPr>
          </w:p>
        </w:tc>
        <w:tc>
          <w:tcPr>
            <w:tcW w:w="7803" w:type="dxa"/>
            <w:gridSpan w:val="6"/>
            <w:tcBorders>
              <w:top w:val="single" w:sz="4" w:space="0" w:color="auto"/>
              <w:left w:val="single" w:sz="4" w:space="0" w:color="auto"/>
              <w:bottom w:val="single" w:sz="4" w:space="0" w:color="auto"/>
              <w:right w:val="single" w:sz="4" w:space="0" w:color="auto"/>
            </w:tcBorders>
            <w:vAlign w:val="center"/>
          </w:tcPr>
          <w:p w14:paraId="1093ECFA" w14:textId="5C9BE3EC" w:rsidR="0028137A" w:rsidRPr="0019444B" w:rsidRDefault="00A95B88" w:rsidP="000F4A21">
            <w:pPr>
              <w:rPr>
                <w:rFonts w:ascii="Arial Narrow" w:hAnsi="Arial Narrow"/>
                <w:b/>
                <w:bCs/>
                <w:sz w:val="20"/>
                <w:szCs w:val="20"/>
              </w:rPr>
            </w:pPr>
            <w:r w:rsidRPr="0019444B">
              <w:rPr>
                <w:rFonts w:ascii="Arial Narrow" w:hAnsi="Arial Narrow"/>
                <w:sz w:val="20"/>
                <w:szCs w:val="20"/>
              </w:rPr>
              <w:t xml:space="preserve">The treatment </w:t>
            </w:r>
            <w:r w:rsidR="0028137A" w:rsidRPr="0019444B">
              <w:rPr>
                <w:rFonts w:ascii="Arial Narrow" w:hAnsi="Arial Narrow"/>
                <w:sz w:val="20"/>
                <w:szCs w:val="20"/>
              </w:rPr>
              <w:t xml:space="preserve">must be initiated as a monotherapy for 1 Cycle with treatment in combination with obinutuzumab </w:t>
            </w:r>
            <w:r w:rsidRPr="0019444B">
              <w:rPr>
                <w:rFonts w:ascii="Arial Narrow" w:hAnsi="Arial Narrow"/>
                <w:sz w:val="20"/>
                <w:szCs w:val="20"/>
              </w:rPr>
              <w:t xml:space="preserve">from </w:t>
            </w:r>
            <w:r w:rsidR="0028137A" w:rsidRPr="0019444B">
              <w:rPr>
                <w:rFonts w:ascii="Arial Narrow" w:hAnsi="Arial Narrow"/>
                <w:sz w:val="20"/>
                <w:szCs w:val="20"/>
              </w:rPr>
              <w:t xml:space="preserve">Cycle 2 </w:t>
            </w:r>
            <w:r w:rsidRPr="0019444B">
              <w:rPr>
                <w:rFonts w:ascii="Arial Narrow" w:hAnsi="Arial Narrow"/>
                <w:sz w:val="20"/>
                <w:szCs w:val="20"/>
              </w:rPr>
              <w:t xml:space="preserve">to 7 (refer to Product information for timing of </w:t>
            </w:r>
            <w:r w:rsidR="00F914A1" w:rsidRPr="0019444B">
              <w:rPr>
                <w:rFonts w:ascii="Arial Narrow" w:hAnsi="Arial Narrow"/>
                <w:sz w:val="20"/>
                <w:szCs w:val="20"/>
              </w:rPr>
              <w:t>o</w:t>
            </w:r>
            <w:r w:rsidRPr="0019444B">
              <w:rPr>
                <w:rFonts w:ascii="Arial Narrow" w:hAnsi="Arial Narrow"/>
                <w:sz w:val="20"/>
                <w:szCs w:val="20"/>
              </w:rPr>
              <w:t>binutuzumab and acalabrutinib doses) after which treatment must be monotherapy</w:t>
            </w:r>
          </w:p>
        </w:tc>
      </w:tr>
      <w:tr w:rsidR="0028137A" w:rsidRPr="0019444B" w14:paraId="6137B278" w14:textId="77777777" w:rsidTr="000F4A21">
        <w:tblPrEx>
          <w:tblCellMar>
            <w:top w:w="15" w:type="dxa"/>
            <w:left w:w="15" w:type="dxa"/>
            <w:bottom w:w="15" w:type="dxa"/>
            <w:right w:w="15" w:type="dxa"/>
          </w:tblCellMar>
          <w:tblLook w:val="04A0" w:firstRow="1" w:lastRow="0" w:firstColumn="1" w:lastColumn="0" w:noHBand="0" w:noVBand="1"/>
        </w:tblPrEx>
        <w:tc>
          <w:tcPr>
            <w:tcW w:w="981" w:type="dxa"/>
            <w:gridSpan w:val="2"/>
            <w:tcBorders>
              <w:top w:val="single" w:sz="4" w:space="0" w:color="auto"/>
              <w:left w:val="single" w:sz="4" w:space="0" w:color="auto"/>
              <w:bottom w:val="single" w:sz="4" w:space="0" w:color="auto"/>
              <w:right w:val="single" w:sz="4" w:space="0" w:color="auto"/>
            </w:tcBorders>
            <w:vAlign w:val="center"/>
          </w:tcPr>
          <w:p w14:paraId="26D730AC" w14:textId="77777777" w:rsidR="0028137A" w:rsidRPr="0019444B" w:rsidRDefault="0028137A" w:rsidP="000F4A21">
            <w:pPr>
              <w:jc w:val="center"/>
              <w:rPr>
                <w:rFonts w:ascii="Arial Narrow" w:hAnsi="Arial Narrow"/>
                <w:sz w:val="20"/>
                <w:szCs w:val="20"/>
              </w:rPr>
            </w:pPr>
          </w:p>
        </w:tc>
        <w:tc>
          <w:tcPr>
            <w:tcW w:w="7803" w:type="dxa"/>
            <w:gridSpan w:val="6"/>
            <w:tcBorders>
              <w:top w:val="single" w:sz="4" w:space="0" w:color="auto"/>
              <w:left w:val="single" w:sz="4" w:space="0" w:color="auto"/>
              <w:bottom w:val="single" w:sz="4" w:space="0" w:color="auto"/>
              <w:right w:val="single" w:sz="4" w:space="0" w:color="auto"/>
            </w:tcBorders>
            <w:vAlign w:val="center"/>
          </w:tcPr>
          <w:p w14:paraId="28730FF3" w14:textId="77777777" w:rsidR="0028137A" w:rsidRPr="0019444B" w:rsidRDefault="0028137A" w:rsidP="000F4A21">
            <w:pPr>
              <w:rPr>
                <w:rFonts w:ascii="Arial Narrow" w:hAnsi="Arial Narrow"/>
                <w:strike/>
                <w:sz w:val="20"/>
                <w:szCs w:val="20"/>
              </w:rPr>
            </w:pPr>
          </w:p>
        </w:tc>
      </w:tr>
      <w:tr w:rsidR="0028137A" w:rsidRPr="0019444B" w14:paraId="4C91D29D" w14:textId="77777777" w:rsidTr="000F4A21">
        <w:tblPrEx>
          <w:tblCellMar>
            <w:top w:w="15" w:type="dxa"/>
            <w:left w:w="15" w:type="dxa"/>
            <w:bottom w:w="15" w:type="dxa"/>
            <w:right w:w="15" w:type="dxa"/>
          </w:tblCellMar>
          <w:tblLook w:val="04A0" w:firstRow="1" w:lastRow="0" w:firstColumn="1" w:lastColumn="0" w:noHBand="0" w:noVBand="1"/>
        </w:tblPrEx>
        <w:tc>
          <w:tcPr>
            <w:tcW w:w="981" w:type="dxa"/>
            <w:gridSpan w:val="2"/>
            <w:tcBorders>
              <w:top w:val="single" w:sz="4" w:space="0" w:color="auto"/>
              <w:left w:val="single" w:sz="4" w:space="0" w:color="auto"/>
              <w:bottom w:val="single" w:sz="4" w:space="0" w:color="auto"/>
              <w:right w:val="single" w:sz="4" w:space="0" w:color="auto"/>
            </w:tcBorders>
            <w:vAlign w:val="center"/>
          </w:tcPr>
          <w:p w14:paraId="30C69397" w14:textId="42C763E2" w:rsidR="0028137A" w:rsidRPr="0019444B" w:rsidRDefault="0028137A" w:rsidP="000F4A21">
            <w:pPr>
              <w:jc w:val="center"/>
              <w:rPr>
                <w:rFonts w:ascii="Arial Narrow" w:hAnsi="Arial Narrow"/>
                <w:sz w:val="20"/>
                <w:szCs w:val="20"/>
              </w:rPr>
            </w:pPr>
          </w:p>
        </w:tc>
        <w:tc>
          <w:tcPr>
            <w:tcW w:w="7803" w:type="dxa"/>
            <w:gridSpan w:val="6"/>
            <w:tcBorders>
              <w:top w:val="single" w:sz="4" w:space="0" w:color="auto"/>
              <w:left w:val="single" w:sz="4" w:space="0" w:color="auto"/>
              <w:bottom w:val="single" w:sz="4" w:space="0" w:color="auto"/>
              <w:right w:val="single" w:sz="4" w:space="0" w:color="auto"/>
            </w:tcBorders>
            <w:vAlign w:val="center"/>
          </w:tcPr>
          <w:p w14:paraId="4D18D435" w14:textId="77777777" w:rsidR="0028137A" w:rsidRPr="0019444B" w:rsidRDefault="0028137A" w:rsidP="000F4A21">
            <w:pPr>
              <w:rPr>
                <w:rFonts w:ascii="Arial Narrow" w:hAnsi="Arial Narrow"/>
                <w:strike/>
                <w:sz w:val="20"/>
                <w:szCs w:val="20"/>
              </w:rPr>
            </w:pPr>
            <w:r w:rsidRPr="0019444B">
              <w:rPr>
                <w:rFonts w:ascii="Arial Narrow" w:hAnsi="Arial Narrow"/>
                <w:b/>
                <w:bCs/>
                <w:sz w:val="20"/>
                <w:szCs w:val="20"/>
              </w:rPr>
              <w:t>Treatment criteria:</w:t>
            </w:r>
          </w:p>
        </w:tc>
      </w:tr>
      <w:tr w:rsidR="0028137A" w:rsidRPr="0019444B" w14:paraId="2A9BC09A" w14:textId="77777777" w:rsidTr="000F4A21">
        <w:tblPrEx>
          <w:tblCellMar>
            <w:top w:w="15" w:type="dxa"/>
            <w:left w:w="15" w:type="dxa"/>
            <w:bottom w:w="15" w:type="dxa"/>
            <w:right w:w="15" w:type="dxa"/>
          </w:tblCellMar>
          <w:tblLook w:val="04A0" w:firstRow="1" w:lastRow="0" w:firstColumn="1" w:lastColumn="0" w:noHBand="0" w:noVBand="1"/>
        </w:tblPrEx>
        <w:tc>
          <w:tcPr>
            <w:tcW w:w="981" w:type="dxa"/>
            <w:gridSpan w:val="2"/>
            <w:tcBorders>
              <w:top w:val="single" w:sz="4" w:space="0" w:color="auto"/>
              <w:left w:val="single" w:sz="4" w:space="0" w:color="auto"/>
              <w:bottom w:val="single" w:sz="4" w:space="0" w:color="auto"/>
              <w:right w:val="single" w:sz="4" w:space="0" w:color="auto"/>
            </w:tcBorders>
            <w:vAlign w:val="center"/>
          </w:tcPr>
          <w:p w14:paraId="1149B751" w14:textId="764FBC6D" w:rsidR="0028137A" w:rsidRPr="0019444B" w:rsidRDefault="0028137A" w:rsidP="000F4A21">
            <w:pPr>
              <w:jc w:val="center"/>
              <w:rPr>
                <w:rFonts w:ascii="Arial Narrow" w:hAnsi="Arial Narrow"/>
                <w:sz w:val="20"/>
                <w:szCs w:val="20"/>
              </w:rPr>
            </w:pPr>
          </w:p>
        </w:tc>
        <w:tc>
          <w:tcPr>
            <w:tcW w:w="7803" w:type="dxa"/>
            <w:gridSpan w:val="6"/>
            <w:tcBorders>
              <w:top w:val="single" w:sz="4" w:space="0" w:color="auto"/>
              <w:left w:val="single" w:sz="4" w:space="0" w:color="auto"/>
              <w:bottom w:val="single" w:sz="4" w:space="0" w:color="auto"/>
              <w:right w:val="single" w:sz="4" w:space="0" w:color="auto"/>
            </w:tcBorders>
            <w:vAlign w:val="center"/>
          </w:tcPr>
          <w:p w14:paraId="540A4F94" w14:textId="77777777" w:rsidR="0028137A" w:rsidRPr="0019444B" w:rsidRDefault="0028137A" w:rsidP="000F4A21">
            <w:pPr>
              <w:rPr>
                <w:rFonts w:ascii="Arial Narrow" w:hAnsi="Arial Narrow"/>
                <w:strike/>
                <w:sz w:val="20"/>
                <w:szCs w:val="20"/>
              </w:rPr>
            </w:pPr>
            <w:r w:rsidRPr="0019444B">
              <w:rPr>
                <w:rFonts w:ascii="Arial Narrow" w:hAnsi="Arial Narrow"/>
                <w:sz w:val="20"/>
                <w:szCs w:val="20"/>
              </w:rPr>
              <w:t>Patient must be undergoing initial treatment with this drug – this is the first PBS prescription for this drug; or</w:t>
            </w:r>
          </w:p>
        </w:tc>
      </w:tr>
      <w:tr w:rsidR="0028137A" w:rsidRPr="0019444B" w14:paraId="7CE07316" w14:textId="77777777" w:rsidTr="000F4A21">
        <w:tblPrEx>
          <w:tblCellMar>
            <w:top w:w="15" w:type="dxa"/>
            <w:left w:w="15" w:type="dxa"/>
            <w:bottom w:w="15" w:type="dxa"/>
            <w:right w:w="15" w:type="dxa"/>
          </w:tblCellMar>
          <w:tblLook w:val="04A0" w:firstRow="1" w:lastRow="0" w:firstColumn="1" w:lastColumn="0" w:noHBand="0" w:noVBand="1"/>
        </w:tblPrEx>
        <w:tc>
          <w:tcPr>
            <w:tcW w:w="981" w:type="dxa"/>
            <w:gridSpan w:val="2"/>
            <w:tcBorders>
              <w:top w:val="single" w:sz="4" w:space="0" w:color="auto"/>
              <w:left w:val="single" w:sz="4" w:space="0" w:color="auto"/>
              <w:bottom w:val="single" w:sz="4" w:space="0" w:color="auto"/>
              <w:right w:val="single" w:sz="4" w:space="0" w:color="auto"/>
            </w:tcBorders>
            <w:vAlign w:val="center"/>
          </w:tcPr>
          <w:p w14:paraId="343893A3" w14:textId="6BFC8DF1" w:rsidR="0028137A" w:rsidRPr="0019444B" w:rsidRDefault="0028137A" w:rsidP="000F4A21">
            <w:pPr>
              <w:jc w:val="center"/>
              <w:rPr>
                <w:rFonts w:ascii="Arial Narrow" w:hAnsi="Arial Narrow"/>
                <w:sz w:val="20"/>
                <w:szCs w:val="20"/>
              </w:rPr>
            </w:pPr>
          </w:p>
        </w:tc>
        <w:tc>
          <w:tcPr>
            <w:tcW w:w="7803" w:type="dxa"/>
            <w:gridSpan w:val="6"/>
            <w:tcBorders>
              <w:top w:val="single" w:sz="4" w:space="0" w:color="auto"/>
              <w:left w:val="single" w:sz="4" w:space="0" w:color="auto"/>
              <w:bottom w:val="single" w:sz="4" w:space="0" w:color="auto"/>
              <w:right w:val="single" w:sz="4" w:space="0" w:color="auto"/>
            </w:tcBorders>
            <w:vAlign w:val="center"/>
          </w:tcPr>
          <w:p w14:paraId="4CAF51C3" w14:textId="16564174" w:rsidR="0028137A" w:rsidRPr="0019444B" w:rsidRDefault="00A95B88" w:rsidP="000F4A21">
            <w:pPr>
              <w:rPr>
                <w:rFonts w:ascii="Arial Narrow" w:hAnsi="Arial Narrow"/>
                <w:strike/>
                <w:sz w:val="20"/>
                <w:szCs w:val="20"/>
              </w:rPr>
            </w:pPr>
            <w:r w:rsidRPr="0019444B">
              <w:rPr>
                <w:rFonts w:ascii="Arial Narrow" w:hAnsi="Arial Narrow"/>
                <w:sz w:val="20"/>
                <w:szCs w:val="20"/>
              </w:rPr>
              <w:t xml:space="preserve">Patient </w:t>
            </w:r>
            <w:r w:rsidR="0028137A" w:rsidRPr="0019444B">
              <w:rPr>
                <w:rFonts w:ascii="Arial Narrow" w:hAnsi="Arial Narrow"/>
                <w:sz w:val="20"/>
                <w:szCs w:val="20"/>
              </w:rPr>
              <w:t>must be undergoing continuing treatment with this drug – the condition has not progressed whilst the patient has actively been on this drug</w:t>
            </w:r>
          </w:p>
        </w:tc>
      </w:tr>
    </w:tbl>
    <w:p w14:paraId="151F73AE" w14:textId="77777777" w:rsidR="00BC3925" w:rsidRDefault="00BC3925" w:rsidP="00B03131">
      <w:pPr>
        <w:widowControl w:val="0"/>
        <w:contextualSpacing/>
        <w:jc w:val="left"/>
        <w:rPr>
          <w:rFonts w:asciiTheme="minorHAnsi" w:hAnsiTheme="minorHAnsi"/>
          <w:bCs/>
          <w:snapToGrid w:val="0"/>
          <w:lang w:eastAsia="en-US"/>
        </w:rPr>
      </w:pPr>
    </w:p>
    <w:p w14:paraId="46EF28A2" w14:textId="42F606A6" w:rsidR="00753B29" w:rsidRPr="00941556" w:rsidRDefault="00BC3925" w:rsidP="00B03131">
      <w:pPr>
        <w:pStyle w:val="3-BodyText"/>
        <w:rPr>
          <w:snapToGrid w:val="0"/>
          <w:szCs w:val="24"/>
          <w:lang w:eastAsia="en-US"/>
        </w:rPr>
      </w:pPr>
      <w:r>
        <w:rPr>
          <w:snapToGrid w:val="0"/>
          <w:lang w:eastAsia="en-US"/>
        </w:rPr>
        <w:t>Flow-on changes to OBIN</w:t>
      </w:r>
      <w:r w:rsidRPr="0019444B">
        <w:rPr>
          <w:snapToGrid w:val="0"/>
          <w:lang w:eastAsia="en-US"/>
        </w:rPr>
        <w:t xml:space="preserve"> as follows: </w:t>
      </w:r>
    </w:p>
    <w:tbl>
      <w:tblPr>
        <w:tblW w:w="48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3032"/>
        <w:gridCol w:w="1003"/>
        <w:gridCol w:w="858"/>
        <w:gridCol w:w="715"/>
        <w:gridCol w:w="2157"/>
      </w:tblGrid>
      <w:tr w:rsidR="000F39CD" w:rsidRPr="0019444B" w14:paraId="77C2A9C4" w14:textId="77777777" w:rsidTr="00765B1E">
        <w:trPr>
          <w:cantSplit/>
          <w:trHeight w:val="471"/>
        </w:trPr>
        <w:tc>
          <w:tcPr>
            <w:tcW w:w="2292" w:type="pct"/>
            <w:gridSpan w:val="2"/>
          </w:tcPr>
          <w:p w14:paraId="73BBF60C" w14:textId="77777777" w:rsidR="00F914A1" w:rsidRPr="0019444B" w:rsidRDefault="00F914A1" w:rsidP="00765B1E">
            <w:pPr>
              <w:keepNext/>
              <w:keepLines/>
              <w:ind w:left="-108"/>
              <w:rPr>
                <w:rFonts w:ascii="Arial Narrow" w:hAnsi="Arial Narrow"/>
                <w:b/>
                <w:sz w:val="20"/>
                <w:szCs w:val="20"/>
              </w:rPr>
            </w:pPr>
            <w:r w:rsidRPr="0019444B">
              <w:rPr>
                <w:rFonts w:ascii="Arial Narrow" w:hAnsi="Arial Narrow"/>
                <w:b/>
                <w:sz w:val="20"/>
                <w:szCs w:val="20"/>
              </w:rPr>
              <w:t>Name, Restriction,</w:t>
            </w:r>
          </w:p>
          <w:p w14:paraId="0CDB0D31" w14:textId="77777777" w:rsidR="00F914A1" w:rsidRPr="0019444B" w:rsidRDefault="00F914A1" w:rsidP="00765B1E">
            <w:pPr>
              <w:keepNext/>
              <w:keepLines/>
              <w:ind w:left="-108"/>
              <w:rPr>
                <w:rFonts w:ascii="Arial Narrow" w:hAnsi="Arial Narrow"/>
                <w:b/>
                <w:sz w:val="20"/>
                <w:szCs w:val="20"/>
              </w:rPr>
            </w:pPr>
            <w:r w:rsidRPr="0019444B">
              <w:rPr>
                <w:rFonts w:ascii="Arial Narrow" w:hAnsi="Arial Narrow"/>
                <w:b/>
                <w:sz w:val="20"/>
                <w:szCs w:val="20"/>
              </w:rPr>
              <w:t>Manner of administration and form</w:t>
            </w:r>
          </w:p>
        </w:tc>
        <w:tc>
          <w:tcPr>
            <w:tcW w:w="574" w:type="pct"/>
          </w:tcPr>
          <w:p w14:paraId="4A95DAC1" w14:textId="77777777" w:rsidR="00F914A1" w:rsidRPr="0019444B" w:rsidRDefault="00F914A1" w:rsidP="00765B1E">
            <w:pPr>
              <w:keepNext/>
              <w:keepLines/>
              <w:ind w:left="-108"/>
              <w:jc w:val="center"/>
              <w:rPr>
                <w:rFonts w:ascii="Arial Narrow" w:hAnsi="Arial Narrow"/>
                <w:b/>
                <w:sz w:val="20"/>
                <w:szCs w:val="20"/>
              </w:rPr>
            </w:pPr>
            <w:r w:rsidRPr="0019444B">
              <w:rPr>
                <w:rFonts w:ascii="Arial Narrow" w:hAnsi="Arial Narrow"/>
                <w:b/>
                <w:sz w:val="20"/>
                <w:szCs w:val="20"/>
              </w:rPr>
              <w:t>PBS item code</w:t>
            </w:r>
          </w:p>
        </w:tc>
        <w:tc>
          <w:tcPr>
            <w:tcW w:w="491" w:type="pct"/>
          </w:tcPr>
          <w:p w14:paraId="71F602AA" w14:textId="77777777" w:rsidR="00F914A1" w:rsidRPr="0019444B" w:rsidRDefault="00F914A1" w:rsidP="00765B1E">
            <w:pPr>
              <w:keepNext/>
              <w:keepLines/>
              <w:ind w:left="-108"/>
              <w:jc w:val="center"/>
              <w:rPr>
                <w:rFonts w:ascii="Arial Narrow" w:hAnsi="Arial Narrow"/>
                <w:b/>
                <w:sz w:val="20"/>
                <w:szCs w:val="20"/>
              </w:rPr>
            </w:pPr>
            <w:r w:rsidRPr="0019444B">
              <w:rPr>
                <w:rFonts w:ascii="Arial Narrow" w:hAnsi="Arial Narrow"/>
                <w:b/>
                <w:sz w:val="20"/>
                <w:szCs w:val="20"/>
              </w:rPr>
              <w:t>Max amount</w:t>
            </w:r>
          </w:p>
        </w:tc>
        <w:tc>
          <w:tcPr>
            <w:tcW w:w="409" w:type="pct"/>
          </w:tcPr>
          <w:p w14:paraId="05D12AD3" w14:textId="77777777" w:rsidR="00F914A1" w:rsidRPr="0019444B" w:rsidRDefault="00F914A1" w:rsidP="00765B1E">
            <w:pPr>
              <w:keepNext/>
              <w:keepLines/>
              <w:ind w:left="-108"/>
              <w:jc w:val="center"/>
              <w:rPr>
                <w:rFonts w:ascii="Arial Narrow" w:hAnsi="Arial Narrow"/>
                <w:b/>
                <w:sz w:val="20"/>
                <w:szCs w:val="20"/>
              </w:rPr>
            </w:pPr>
            <w:proofErr w:type="gramStart"/>
            <w:r w:rsidRPr="0019444B">
              <w:rPr>
                <w:rFonts w:ascii="Arial Narrow" w:hAnsi="Arial Narrow"/>
                <w:b/>
                <w:sz w:val="20"/>
                <w:szCs w:val="20"/>
              </w:rPr>
              <w:t>№.of</w:t>
            </w:r>
            <w:proofErr w:type="gramEnd"/>
          </w:p>
          <w:p w14:paraId="446485E4" w14:textId="77777777" w:rsidR="00F914A1" w:rsidRPr="0019444B" w:rsidRDefault="00F914A1" w:rsidP="00765B1E">
            <w:pPr>
              <w:keepNext/>
              <w:keepLines/>
              <w:ind w:left="-108"/>
              <w:jc w:val="center"/>
              <w:rPr>
                <w:rFonts w:ascii="Arial Narrow" w:hAnsi="Arial Narrow"/>
                <w:b/>
                <w:sz w:val="20"/>
                <w:szCs w:val="20"/>
              </w:rPr>
            </w:pPr>
            <w:r w:rsidRPr="0019444B">
              <w:rPr>
                <w:rFonts w:ascii="Arial Narrow" w:hAnsi="Arial Narrow"/>
                <w:b/>
                <w:sz w:val="20"/>
                <w:szCs w:val="20"/>
              </w:rPr>
              <w:t>Rpts</w:t>
            </w:r>
          </w:p>
        </w:tc>
        <w:tc>
          <w:tcPr>
            <w:tcW w:w="1234" w:type="pct"/>
          </w:tcPr>
          <w:p w14:paraId="5F71603B" w14:textId="77777777" w:rsidR="00F914A1" w:rsidRPr="000F39CD" w:rsidRDefault="00F914A1" w:rsidP="00765B1E">
            <w:pPr>
              <w:keepNext/>
              <w:keepLines/>
              <w:rPr>
                <w:rFonts w:ascii="Arial Narrow" w:hAnsi="Arial Narrow"/>
                <w:b/>
                <w:sz w:val="20"/>
                <w:szCs w:val="20"/>
              </w:rPr>
            </w:pPr>
            <w:r w:rsidRPr="0019444B">
              <w:rPr>
                <w:rFonts w:ascii="Arial Narrow" w:hAnsi="Arial Narrow"/>
                <w:b/>
                <w:sz w:val="20"/>
                <w:szCs w:val="20"/>
              </w:rPr>
              <w:t>Available brands</w:t>
            </w:r>
          </w:p>
        </w:tc>
      </w:tr>
      <w:tr w:rsidR="000F39CD" w:rsidRPr="0019444B" w14:paraId="76745189" w14:textId="77777777" w:rsidTr="0065490B">
        <w:trPr>
          <w:cantSplit/>
          <w:trHeight w:val="810"/>
        </w:trPr>
        <w:tc>
          <w:tcPr>
            <w:tcW w:w="2292" w:type="pct"/>
            <w:gridSpan w:val="2"/>
          </w:tcPr>
          <w:p w14:paraId="706D61B7" w14:textId="77777777" w:rsidR="00F914A1" w:rsidRPr="0019444B" w:rsidRDefault="00F914A1" w:rsidP="00765B1E">
            <w:pPr>
              <w:keepNext/>
              <w:keepLines/>
              <w:ind w:left="-108"/>
              <w:rPr>
                <w:rFonts w:ascii="Arial Narrow" w:hAnsi="Arial Narrow"/>
                <w:sz w:val="20"/>
                <w:szCs w:val="20"/>
              </w:rPr>
            </w:pPr>
            <w:r w:rsidRPr="0019444B">
              <w:rPr>
                <w:rFonts w:ascii="Arial Narrow" w:hAnsi="Arial Narrow"/>
                <w:sz w:val="20"/>
                <w:szCs w:val="20"/>
              </w:rPr>
              <w:t>OBINUTUZUMAB</w:t>
            </w:r>
          </w:p>
          <w:p w14:paraId="2F4AAC88" w14:textId="77777777" w:rsidR="00F914A1" w:rsidRPr="0019444B" w:rsidRDefault="00F914A1" w:rsidP="00765B1E">
            <w:pPr>
              <w:keepNext/>
              <w:keepLines/>
              <w:ind w:left="-108"/>
              <w:rPr>
                <w:rFonts w:ascii="Arial Narrow" w:hAnsi="Arial Narrow"/>
                <w:sz w:val="20"/>
                <w:szCs w:val="20"/>
              </w:rPr>
            </w:pPr>
          </w:p>
          <w:p w14:paraId="5EC9AB68" w14:textId="77777777" w:rsidR="00F914A1" w:rsidRPr="0019444B" w:rsidRDefault="00F914A1" w:rsidP="00765B1E">
            <w:pPr>
              <w:keepNext/>
              <w:keepLines/>
              <w:ind w:left="-108"/>
              <w:rPr>
                <w:rFonts w:ascii="Arial Narrow" w:hAnsi="Arial Narrow"/>
                <w:sz w:val="20"/>
                <w:szCs w:val="20"/>
              </w:rPr>
            </w:pPr>
            <w:r w:rsidRPr="0019444B">
              <w:rPr>
                <w:rFonts w:ascii="Arial Narrow" w:hAnsi="Arial Narrow"/>
                <w:sz w:val="20"/>
                <w:szCs w:val="20"/>
              </w:rPr>
              <w:t>obinutuzumab 1 g/40 mL injection, 40 mL vial</w:t>
            </w:r>
          </w:p>
        </w:tc>
        <w:tc>
          <w:tcPr>
            <w:tcW w:w="574" w:type="pct"/>
          </w:tcPr>
          <w:p w14:paraId="79C191FD" w14:textId="77777777" w:rsidR="00F914A1" w:rsidRPr="0019444B" w:rsidRDefault="00F914A1" w:rsidP="00765B1E">
            <w:pPr>
              <w:keepNext/>
              <w:keepLines/>
              <w:ind w:left="-108"/>
              <w:jc w:val="center"/>
              <w:rPr>
                <w:rFonts w:ascii="Arial Narrow" w:hAnsi="Arial Narrow"/>
                <w:sz w:val="20"/>
                <w:szCs w:val="20"/>
              </w:rPr>
            </w:pPr>
          </w:p>
          <w:p w14:paraId="120A959E" w14:textId="77777777" w:rsidR="00F914A1" w:rsidRPr="0019444B" w:rsidRDefault="00F914A1" w:rsidP="00765B1E">
            <w:pPr>
              <w:keepNext/>
              <w:keepLines/>
              <w:rPr>
                <w:rFonts w:ascii="Arial Narrow" w:hAnsi="Arial Narrow"/>
                <w:sz w:val="20"/>
                <w:szCs w:val="20"/>
              </w:rPr>
            </w:pPr>
          </w:p>
          <w:p w14:paraId="3B1A87DE" w14:textId="77777777" w:rsidR="00F914A1" w:rsidRPr="0019444B" w:rsidRDefault="00F914A1" w:rsidP="00765B1E">
            <w:pPr>
              <w:keepNext/>
              <w:keepLines/>
              <w:rPr>
                <w:rFonts w:ascii="Arial Narrow" w:hAnsi="Arial Narrow"/>
                <w:sz w:val="20"/>
                <w:szCs w:val="20"/>
              </w:rPr>
            </w:pPr>
            <w:r w:rsidRPr="0019444B">
              <w:rPr>
                <w:rFonts w:ascii="Arial Narrow" w:hAnsi="Arial Narrow"/>
                <w:sz w:val="20"/>
                <w:szCs w:val="20"/>
              </w:rPr>
              <w:t>NEW</w:t>
            </w:r>
          </w:p>
        </w:tc>
        <w:tc>
          <w:tcPr>
            <w:tcW w:w="491" w:type="pct"/>
          </w:tcPr>
          <w:p w14:paraId="03DB35B4" w14:textId="77777777" w:rsidR="00F914A1" w:rsidRPr="0019444B" w:rsidRDefault="00F914A1" w:rsidP="00765B1E">
            <w:pPr>
              <w:keepNext/>
              <w:keepLines/>
              <w:ind w:left="-108"/>
              <w:jc w:val="center"/>
              <w:rPr>
                <w:rFonts w:ascii="Arial Narrow" w:hAnsi="Arial Narrow"/>
                <w:sz w:val="20"/>
                <w:szCs w:val="20"/>
              </w:rPr>
            </w:pPr>
          </w:p>
          <w:p w14:paraId="0BA7FD01" w14:textId="77777777" w:rsidR="00F914A1" w:rsidRPr="0019444B" w:rsidRDefault="00F914A1" w:rsidP="00765B1E">
            <w:pPr>
              <w:keepNext/>
              <w:keepLines/>
              <w:rPr>
                <w:rFonts w:ascii="Arial Narrow" w:hAnsi="Arial Narrow"/>
                <w:sz w:val="20"/>
                <w:szCs w:val="20"/>
              </w:rPr>
            </w:pPr>
          </w:p>
          <w:p w14:paraId="46A1D532" w14:textId="77777777" w:rsidR="00F914A1" w:rsidRPr="0019444B" w:rsidRDefault="00F914A1" w:rsidP="00765B1E">
            <w:pPr>
              <w:keepNext/>
              <w:keepLines/>
              <w:ind w:left="-108"/>
              <w:jc w:val="center"/>
              <w:rPr>
                <w:rFonts w:ascii="Arial Narrow" w:hAnsi="Arial Narrow"/>
                <w:sz w:val="20"/>
                <w:szCs w:val="20"/>
              </w:rPr>
            </w:pPr>
            <w:r w:rsidRPr="0019444B">
              <w:rPr>
                <w:rFonts w:ascii="Arial Narrow" w:hAnsi="Arial Narrow"/>
                <w:sz w:val="20"/>
                <w:szCs w:val="20"/>
              </w:rPr>
              <w:t>1000 mg</w:t>
            </w:r>
          </w:p>
        </w:tc>
        <w:tc>
          <w:tcPr>
            <w:tcW w:w="409" w:type="pct"/>
          </w:tcPr>
          <w:p w14:paraId="497CC418" w14:textId="77777777" w:rsidR="00F914A1" w:rsidRPr="0019444B" w:rsidRDefault="00F914A1" w:rsidP="00765B1E">
            <w:pPr>
              <w:keepNext/>
              <w:keepLines/>
              <w:ind w:left="-108"/>
              <w:jc w:val="center"/>
              <w:rPr>
                <w:rFonts w:ascii="Arial Narrow" w:hAnsi="Arial Narrow"/>
                <w:sz w:val="20"/>
                <w:szCs w:val="20"/>
              </w:rPr>
            </w:pPr>
          </w:p>
          <w:p w14:paraId="527B99E5" w14:textId="77777777" w:rsidR="00F914A1" w:rsidRPr="0019444B" w:rsidRDefault="00F914A1" w:rsidP="00765B1E">
            <w:pPr>
              <w:keepNext/>
              <w:keepLines/>
              <w:rPr>
                <w:rFonts w:ascii="Arial Narrow" w:hAnsi="Arial Narrow"/>
                <w:sz w:val="20"/>
                <w:szCs w:val="20"/>
              </w:rPr>
            </w:pPr>
          </w:p>
          <w:p w14:paraId="6ACBC37A" w14:textId="2C3DD0EC" w:rsidR="00F914A1" w:rsidRPr="0019444B" w:rsidRDefault="00F914A1" w:rsidP="00765B1E">
            <w:pPr>
              <w:keepNext/>
              <w:keepLines/>
              <w:ind w:left="-108"/>
              <w:jc w:val="center"/>
              <w:rPr>
                <w:rFonts w:ascii="Arial Narrow" w:hAnsi="Arial Narrow"/>
                <w:sz w:val="20"/>
                <w:szCs w:val="20"/>
              </w:rPr>
            </w:pPr>
            <w:r w:rsidRPr="0019444B">
              <w:rPr>
                <w:rFonts w:ascii="Arial Narrow" w:hAnsi="Arial Narrow"/>
                <w:sz w:val="20"/>
                <w:szCs w:val="20"/>
              </w:rPr>
              <w:t>5</w:t>
            </w:r>
          </w:p>
          <w:p w14:paraId="2616FEA2" w14:textId="77777777" w:rsidR="00F914A1" w:rsidRPr="0019444B" w:rsidRDefault="00F914A1" w:rsidP="00765B1E">
            <w:pPr>
              <w:keepNext/>
              <w:keepLines/>
              <w:rPr>
                <w:rFonts w:ascii="Arial Narrow" w:hAnsi="Arial Narrow"/>
                <w:sz w:val="20"/>
                <w:szCs w:val="20"/>
              </w:rPr>
            </w:pPr>
          </w:p>
        </w:tc>
        <w:tc>
          <w:tcPr>
            <w:tcW w:w="1234" w:type="pct"/>
          </w:tcPr>
          <w:p w14:paraId="5B334220" w14:textId="77777777" w:rsidR="00F914A1" w:rsidRPr="0019444B" w:rsidRDefault="00F914A1" w:rsidP="00765B1E">
            <w:pPr>
              <w:keepNext/>
              <w:keepLines/>
              <w:rPr>
                <w:rFonts w:ascii="Arial Narrow" w:hAnsi="Arial Narrow"/>
                <w:sz w:val="20"/>
                <w:szCs w:val="20"/>
              </w:rPr>
            </w:pPr>
          </w:p>
          <w:p w14:paraId="587CA515" w14:textId="77777777" w:rsidR="00F914A1" w:rsidRPr="0019444B" w:rsidRDefault="00F914A1" w:rsidP="00765B1E">
            <w:pPr>
              <w:keepNext/>
              <w:keepLines/>
              <w:rPr>
                <w:rFonts w:ascii="Arial Narrow" w:hAnsi="Arial Narrow"/>
                <w:sz w:val="20"/>
                <w:szCs w:val="20"/>
              </w:rPr>
            </w:pPr>
          </w:p>
          <w:p w14:paraId="40D60034" w14:textId="77777777" w:rsidR="00F914A1" w:rsidRPr="0019444B" w:rsidRDefault="00F914A1" w:rsidP="00765B1E">
            <w:pPr>
              <w:keepNext/>
              <w:keepLines/>
              <w:rPr>
                <w:rFonts w:ascii="Arial Narrow" w:hAnsi="Arial Narrow"/>
                <w:sz w:val="20"/>
                <w:szCs w:val="20"/>
              </w:rPr>
            </w:pPr>
            <w:r w:rsidRPr="0019444B">
              <w:rPr>
                <w:rFonts w:ascii="Arial Narrow" w:hAnsi="Arial Narrow"/>
                <w:sz w:val="20"/>
                <w:szCs w:val="20"/>
              </w:rPr>
              <w:t>GAZYVA</w:t>
            </w:r>
          </w:p>
        </w:tc>
      </w:tr>
      <w:tr w:rsidR="000F39CD" w:rsidRPr="0019444B" w14:paraId="0109AEDA" w14:textId="77777777" w:rsidTr="00765B1E">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right w:val="single" w:sz="4" w:space="0" w:color="auto"/>
            </w:tcBorders>
          </w:tcPr>
          <w:p w14:paraId="67A1D021" w14:textId="77777777" w:rsidR="00F914A1" w:rsidRPr="0019444B" w:rsidRDefault="00F914A1" w:rsidP="00765B1E">
            <w:pPr>
              <w:rPr>
                <w:rFonts w:ascii="Arial Narrow" w:hAnsi="Arial Narrow"/>
                <w:sz w:val="20"/>
                <w:szCs w:val="20"/>
              </w:rPr>
            </w:pPr>
          </w:p>
        </w:tc>
      </w:tr>
      <w:tr w:rsidR="000F39CD" w:rsidRPr="0019444B" w14:paraId="7F579423" w14:textId="77777777" w:rsidTr="00765B1E">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right w:val="single" w:sz="4" w:space="0" w:color="auto"/>
            </w:tcBorders>
          </w:tcPr>
          <w:p w14:paraId="1DB17407" w14:textId="34B9129F" w:rsidR="00F914A1" w:rsidRPr="0019444B" w:rsidRDefault="00F914A1" w:rsidP="00765B1E">
            <w:pPr>
              <w:rPr>
                <w:rFonts w:ascii="Arial Narrow" w:hAnsi="Arial Narrow"/>
                <w:b/>
                <w:sz w:val="20"/>
                <w:szCs w:val="20"/>
              </w:rPr>
            </w:pPr>
            <w:r w:rsidRPr="0019444B">
              <w:rPr>
                <w:rFonts w:ascii="Arial Narrow" w:hAnsi="Arial Narrow"/>
                <w:b/>
                <w:sz w:val="20"/>
                <w:szCs w:val="20"/>
              </w:rPr>
              <w:t xml:space="preserve">Restriction Summary / Treatment of Concept: </w:t>
            </w:r>
          </w:p>
        </w:tc>
      </w:tr>
      <w:tr w:rsidR="000F39CD" w:rsidRPr="0019444B" w14:paraId="2D0FC58E" w14:textId="77777777" w:rsidTr="00765B1E">
        <w:tblPrEx>
          <w:tblCellMar>
            <w:top w:w="15" w:type="dxa"/>
            <w:left w:w="15" w:type="dxa"/>
            <w:bottom w:w="15" w:type="dxa"/>
            <w:right w:w="15" w:type="dxa"/>
          </w:tblCellMar>
          <w:tblLook w:val="04A0" w:firstRow="1" w:lastRow="0" w:firstColumn="1" w:lastColumn="0" w:noHBand="0" w:noVBand="1"/>
        </w:tblPrEx>
        <w:tc>
          <w:tcPr>
            <w:tcW w:w="558" w:type="pct"/>
            <w:vMerge w:val="restart"/>
            <w:tcBorders>
              <w:top w:val="single" w:sz="4" w:space="0" w:color="auto"/>
              <w:left w:val="single" w:sz="4" w:space="0" w:color="auto"/>
              <w:right w:val="single" w:sz="4" w:space="0" w:color="auto"/>
            </w:tcBorders>
          </w:tcPr>
          <w:p w14:paraId="5CC2F49A" w14:textId="77777777" w:rsidR="00F914A1" w:rsidRPr="0019444B" w:rsidRDefault="00F914A1" w:rsidP="00765B1E">
            <w:pPr>
              <w:jc w:val="center"/>
              <w:rPr>
                <w:rFonts w:ascii="Arial Narrow" w:hAnsi="Arial Narrow"/>
                <w:b/>
                <w:sz w:val="20"/>
                <w:szCs w:val="20"/>
              </w:rPr>
            </w:pPr>
            <w:r w:rsidRPr="0019444B">
              <w:rPr>
                <w:rFonts w:ascii="Arial Narrow" w:hAnsi="Arial Narrow"/>
                <w:b/>
                <w:sz w:val="20"/>
                <w:szCs w:val="20"/>
              </w:rPr>
              <w:t>Concept ID</w:t>
            </w:r>
          </w:p>
          <w:p w14:paraId="3E2EA079" w14:textId="5F2DFB92" w:rsidR="00F914A1" w:rsidRPr="0019444B" w:rsidRDefault="00F914A1" w:rsidP="00765B1E">
            <w:pPr>
              <w:jc w:val="center"/>
              <w:rPr>
                <w:rFonts w:ascii="Arial Narrow" w:hAnsi="Arial Narrow"/>
                <w:b/>
                <w:sz w:val="20"/>
                <w:szCs w:val="20"/>
              </w:rPr>
            </w:pPr>
          </w:p>
        </w:tc>
        <w:tc>
          <w:tcPr>
            <w:tcW w:w="4442" w:type="pct"/>
            <w:gridSpan w:val="5"/>
            <w:tcBorders>
              <w:top w:val="single" w:sz="4" w:space="0" w:color="auto"/>
              <w:left w:val="single" w:sz="4" w:space="0" w:color="auto"/>
              <w:bottom w:val="single" w:sz="4" w:space="0" w:color="auto"/>
              <w:right w:val="single" w:sz="4" w:space="0" w:color="auto"/>
            </w:tcBorders>
          </w:tcPr>
          <w:p w14:paraId="1DCF0459" w14:textId="77777777" w:rsidR="00F914A1" w:rsidRPr="0019444B" w:rsidRDefault="00F914A1" w:rsidP="00765B1E">
            <w:pPr>
              <w:rPr>
                <w:rFonts w:ascii="Arial Narrow" w:hAnsi="Arial Narrow"/>
                <w:sz w:val="20"/>
                <w:szCs w:val="20"/>
              </w:rPr>
            </w:pPr>
            <w:r w:rsidRPr="0019444B">
              <w:rPr>
                <w:rFonts w:ascii="Arial Narrow" w:hAnsi="Arial Narrow"/>
                <w:b/>
                <w:sz w:val="20"/>
                <w:szCs w:val="20"/>
              </w:rPr>
              <w:t xml:space="preserve">Category / Program: </w:t>
            </w:r>
            <w:r w:rsidRPr="0019444B">
              <w:rPr>
                <w:rFonts w:ascii="Arial Narrow" w:hAnsi="Arial Narrow"/>
                <w:sz w:val="20"/>
                <w:szCs w:val="20"/>
              </w:rPr>
              <w:t>Section 100 – Efficient Funding of Chemotherapy (Public/Private hospitals)</w:t>
            </w:r>
          </w:p>
        </w:tc>
      </w:tr>
      <w:tr w:rsidR="000F39CD" w:rsidRPr="0019444B" w14:paraId="7FABE6C0" w14:textId="77777777" w:rsidTr="00765B1E">
        <w:tblPrEx>
          <w:tblCellMar>
            <w:top w:w="15" w:type="dxa"/>
            <w:left w:w="15" w:type="dxa"/>
            <w:bottom w:w="15" w:type="dxa"/>
            <w:right w:w="15" w:type="dxa"/>
          </w:tblCellMar>
          <w:tblLook w:val="04A0" w:firstRow="1" w:lastRow="0" w:firstColumn="1" w:lastColumn="0" w:noHBand="0" w:noVBand="1"/>
        </w:tblPrEx>
        <w:trPr>
          <w:trHeight w:val="240"/>
        </w:trPr>
        <w:tc>
          <w:tcPr>
            <w:tcW w:w="558" w:type="pct"/>
            <w:vMerge/>
            <w:tcBorders>
              <w:left w:val="single" w:sz="4" w:space="0" w:color="auto"/>
              <w:right w:val="single" w:sz="4" w:space="0" w:color="auto"/>
            </w:tcBorders>
          </w:tcPr>
          <w:p w14:paraId="0A138446" w14:textId="77777777" w:rsidR="00F914A1" w:rsidRPr="0019444B" w:rsidRDefault="00F914A1" w:rsidP="00765B1E">
            <w:pPr>
              <w:rPr>
                <w:rFonts w:ascii="Arial Narrow" w:hAnsi="Arial Narrow"/>
                <w:sz w:val="20"/>
                <w:szCs w:val="20"/>
              </w:rPr>
            </w:pPr>
          </w:p>
        </w:tc>
        <w:tc>
          <w:tcPr>
            <w:tcW w:w="4442" w:type="pct"/>
            <w:gridSpan w:val="5"/>
            <w:tcBorders>
              <w:top w:val="single" w:sz="4" w:space="0" w:color="auto"/>
              <w:left w:val="single" w:sz="4" w:space="0" w:color="auto"/>
              <w:bottom w:val="single" w:sz="4" w:space="0" w:color="auto"/>
              <w:right w:val="single" w:sz="4" w:space="0" w:color="auto"/>
            </w:tcBorders>
          </w:tcPr>
          <w:p w14:paraId="29C6171F" w14:textId="77777777" w:rsidR="00F914A1" w:rsidRPr="0019444B" w:rsidRDefault="00F914A1" w:rsidP="00765B1E">
            <w:pPr>
              <w:rPr>
                <w:rFonts w:ascii="Arial Narrow" w:hAnsi="Arial Narrow"/>
                <w:b/>
                <w:sz w:val="20"/>
                <w:szCs w:val="20"/>
              </w:rPr>
            </w:pPr>
            <w:r w:rsidRPr="0019444B">
              <w:rPr>
                <w:rFonts w:ascii="Arial Narrow" w:hAnsi="Arial Narrow"/>
                <w:b/>
                <w:sz w:val="20"/>
                <w:szCs w:val="20"/>
              </w:rPr>
              <w:t xml:space="preserve">Prescriber type: </w:t>
            </w:r>
            <w:r w:rsidRPr="00B465C7">
              <w:rPr>
                <w:rFonts w:ascii="Arial Narrow" w:hAnsi="Arial Narrow"/>
                <w:sz w:val="20"/>
                <w:szCs w:val="20"/>
              </w:rPr>
              <w:fldChar w:fldCharType="begin" w:fldLock="1">
                <w:ffData>
                  <w:name w:val=""/>
                  <w:enabled/>
                  <w:calcOnExit w:val="0"/>
                  <w:checkBox>
                    <w:sizeAuto/>
                    <w:default w:val="1"/>
                  </w:checkBox>
                </w:ffData>
              </w:fldChar>
            </w:r>
            <w:r w:rsidRPr="0019444B">
              <w:rPr>
                <w:rFonts w:ascii="Arial Narrow" w:hAnsi="Arial Narrow"/>
                <w:sz w:val="20"/>
                <w:szCs w:val="20"/>
              </w:rPr>
              <w:instrText xml:space="preserve"> FORMCHECKBOX </w:instrText>
            </w:r>
            <w:r w:rsidR="00FF5E98">
              <w:rPr>
                <w:rFonts w:ascii="Arial Narrow" w:hAnsi="Arial Narrow"/>
                <w:sz w:val="20"/>
                <w:szCs w:val="20"/>
              </w:rPr>
            </w:r>
            <w:r w:rsidR="00FF5E98">
              <w:rPr>
                <w:rFonts w:ascii="Arial Narrow" w:hAnsi="Arial Narrow"/>
                <w:sz w:val="20"/>
                <w:szCs w:val="20"/>
              </w:rPr>
              <w:fldChar w:fldCharType="separate"/>
            </w:r>
            <w:r w:rsidRPr="00B465C7">
              <w:rPr>
                <w:rFonts w:ascii="Arial Narrow" w:hAnsi="Arial Narrow"/>
                <w:sz w:val="20"/>
                <w:szCs w:val="20"/>
              </w:rPr>
              <w:fldChar w:fldCharType="end"/>
            </w:r>
            <w:r w:rsidRPr="0019444B">
              <w:rPr>
                <w:rFonts w:ascii="Arial Narrow" w:hAnsi="Arial Narrow"/>
                <w:sz w:val="20"/>
                <w:szCs w:val="20"/>
              </w:rPr>
              <w:t>Medical Practitioners</w:t>
            </w:r>
          </w:p>
        </w:tc>
      </w:tr>
      <w:tr w:rsidR="000F39CD" w:rsidRPr="0019444B" w14:paraId="2A614CC4" w14:textId="77777777" w:rsidTr="00765B1E">
        <w:tblPrEx>
          <w:tblCellMar>
            <w:top w:w="15" w:type="dxa"/>
            <w:left w:w="15" w:type="dxa"/>
            <w:bottom w:w="15" w:type="dxa"/>
            <w:right w:w="15" w:type="dxa"/>
          </w:tblCellMar>
          <w:tblLook w:val="04A0" w:firstRow="1" w:lastRow="0" w:firstColumn="1" w:lastColumn="0" w:noHBand="0" w:noVBand="1"/>
        </w:tblPrEx>
        <w:tc>
          <w:tcPr>
            <w:tcW w:w="558" w:type="pct"/>
            <w:vMerge/>
            <w:tcBorders>
              <w:left w:val="single" w:sz="4" w:space="0" w:color="auto"/>
              <w:bottom w:val="single" w:sz="4" w:space="0" w:color="auto"/>
              <w:right w:val="single" w:sz="4" w:space="0" w:color="auto"/>
            </w:tcBorders>
          </w:tcPr>
          <w:p w14:paraId="3A22B326" w14:textId="77777777" w:rsidR="00F914A1" w:rsidRPr="0019444B" w:rsidRDefault="00F914A1" w:rsidP="00765B1E">
            <w:pPr>
              <w:rPr>
                <w:rFonts w:ascii="Arial Narrow" w:hAnsi="Arial Narrow"/>
                <w:sz w:val="20"/>
                <w:szCs w:val="20"/>
              </w:rPr>
            </w:pPr>
          </w:p>
        </w:tc>
        <w:tc>
          <w:tcPr>
            <w:tcW w:w="4442" w:type="pct"/>
            <w:gridSpan w:val="5"/>
            <w:tcBorders>
              <w:top w:val="single" w:sz="4" w:space="0" w:color="auto"/>
              <w:left w:val="single" w:sz="4" w:space="0" w:color="auto"/>
              <w:bottom w:val="single" w:sz="4" w:space="0" w:color="auto"/>
              <w:right w:val="single" w:sz="4" w:space="0" w:color="auto"/>
            </w:tcBorders>
          </w:tcPr>
          <w:p w14:paraId="603F8ED2" w14:textId="77777777" w:rsidR="00F914A1" w:rsidRPr="0019444B" w:rsidRDefault="00F914A1" w:rsidP="00765B1E">
            <w:pPr>
              <w:rPr>
                <w:rFonts w:ascii="Arial Narrow" w:eastAsia="Calibri" w:hAnsi="Arial Narrow"/>
                <w:sz w:val="20"/>
                <w:szCs w:val="20"/>
              </w:rPr>
            </w:pPr>
            <w:r w:rsidRPr="0019444B">
              <w:rPr>
                <w:rFonts w:ascii="Arial Narrow" w:hAnsi="Arial Narrow"/>
                <w:b/>
                <w:sz w:val="20"/>
                <w:szCs w:val="20"/>
              </w:rPr>
              <w:t xml:space="preserve">Restriction type: </w:t>
            </w:r>
            <w:r w:rsidRPr="00B465C7">
              <w:rPr>
                <w:rFonts w:ascii="Arial Narrow" w:eastAsia="Calibri" w:hAnsi="Arial Narrow"/>
                <w:sz w:val="20"/>
                <w:szCs w:val="20"/>
              </w:rPr>
              <w:fldChar w:fldCharType="begin" w:fldLock="1">
                <w:ffData>
                  <w:name w:val="Check3"/>
                  <w:enabled/>
                  <w:calcOnExit w:val="0"/>
                  <w:checkBox>
                    <w:sizeAuto/>
                    <w:default w:val="1"/>
                  </w:checkBox>
                </w:ffData>
              </w:fldChar>
            </w:r>
            <w:r w:rsidRPr="0019444B">
              <w:rPr>
                <w:rFonts w:ascii="Arial Narrow" w:eastAsia="Calibri" w:hAnsi="Arial Narrow"/>
                <w:sz w:val="20"/>
                <w:szCs w:val="20"/>
              </w:rPr>
              <w:instrText xml:space="preserve"> FORMCHECKBOX </w:instrText>
            </w:r>
            <w:r w:rsidR="00FF5E98">
              <w:rPr>
                <w:rFonts w:ascii="Arial Narrow" w:eastAsia="Calibri" w:hAnsi="Arial Narrow"/>
                <w:sz w:val="20"/>
                <w:szCs w:val="20"/>
              </w:rPr>
            </w:r>
            <w:r w:rsidR="00FF5E98">
              <w:rPr>
                <w:rFonts w:ascii="Arial Narrow" w:eastAsia="Calibri" w:hAnsi="Arial Narrow"/>
                <w:sz w:val="20"/>
                <w:szCs w:val="20"/>
              </w:rPr>
              <w:fldChar w:fldCharType="separate"/>
            </w:r>
            <w:r w:rsidRPr="00B465C7">
              <w:rPr>
                <w:rFonts w:ascii="Arial Narrow" w:eastAsia="Calibri" w:hAnsi="Arial Narrow"/>
                <w:sz w:val="20"/>
                <w:szCs w:val="20"/>
              </w:rPr>
              <w:fldChar w:fldCharType="end"/>
            </w:r>
            <w:r w:rsidRPr="0019444B">
              <w:rPr>
                <w:rFonts w:ascii="Arial Narrow" w:eastAsia="Calibri" w:hAnsi="Arial Narrow"/>
                <w:sz w:val="20"/>
                <w:szCs w:val="20"/>
              </w:rPr>
              <w:t>Authority Required – Streamlined</w:t>
            </w:r>
          </w:p>
        </w:tc>
      </w:tr>
    </w:tbl>
    <w:p w14:paraId="01166901" w14:textId="77777777" w:rsidR="00F914A1" w:rsidRPr="0019444B" w:rsidRDefault="00F914A1" w:rsidP="00F914A1"/>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88"/>
        <w:gridCol w:w="7796"/>
      </w:tblGrid>
      <w:tr w:rsidR="00F914A1" w:rsidRPr="0019444B" w14:paraId="7B8C9855" w14:textId="77777777" w:rsidTr="00941556">
        <w:trPr>
          <w:trHeight w:val="113"/>
        </w:trPr>
        <w:tc>
          <w:tcPr>
            <w:tcW w:w="988" w:type="dxa"/>
            <w:shd w:val="clear" w:color="auto" w:fill="auto"/>
            <w:tcMar>
              <w:top w:w="0" w:type="dxa"/>
              <w:left w:w="85" w:type="dxa"/>
              <w:bottom w:w="0" w:type="dxa"/>
              <w:right w:w="85" w:type="dxa"/>
            </w:tcMar>
          </w:tcPr>
          <w:p w14:paraId="53C7067B" w14:textId="02190887" w:rsidR="00F914A1" w:rsidRPr="0019444B" w:rsidRDefault="00F914A1" w:rsidP="00765B1E">
            <w:pPr>
              <w:rPr>
                <w:rFonts w:ascii="Arial Narrow" w:hAnsi="Arial Narrow"/>
                <w:sz w:val="20"/>
                <w:szCs w:val="20"/>
              </w:rPr>
            </w:pPr>
          </w:p>
        </w:tc>
        <w:tc>
          <w:tcPr>
            <w:tcW w:w="7796" w:type="dxa"/>
            <w:shd w:val="clear" w:color="auto" w:fill="auto"/>
            <w:tcMar>
              <w:top w:w="0" w:type="dxa"/>
              <w:left w:w="85" w:type="dxa"/>
              <w:bottom w:w="0" w:type="dxa"/>
              <w:right w:w="85" w:type="dxa"/>
            </w:tcMar>
            <w:hideMark/>
          </w:tcPr>
          <w:p w14:paraId="15508E17" w14:textId="77777777" w:rsidR="00F914A1" w:rsidRPr="0019444B" w:rsidRDefault="00F914A1" w:rsidP="00941556">
            <w:pPr>
              <w:rPr>
                <w:rFonts w:ascii="Arial Narrow" w:hAnsi="Arial Narrow"/>
                <w:sz w:val="20"/>
                <w:szCs w:val="20"/>
              </w:rPr>
            </w:pPr>
            <w:r w:rsidRPr="0019444B">
              <w:rPr>
                <w:rFonts w:ascii="Arial Narrow" w:hAnsi="Arial Narrow"/>
                <w:b/>
                <w:bCs/>
                <w:sz w:val="20"/>
                <w:szCs w:val="20"/>
              </w:rPr>
              <w:t>Administrative Advice:</w:t>
            </w:r>
          </w:p>
          <w:p w14:paraId="4E67B4B6" w14:textId="77777777" w:rsidR="00F914A1" w:rsidRPr="0019444B" w:rsidRDefault="00F914A1" w:rsidP="00941556">
            <w:pPr>
              <w:rPr>
                <w:rFonts w:ascii="Arial Narrow" w:hAnsi="Arial Narrow"/>
                <w:sz w:val="20"/>
                <w:szCs w:val="20"/>
              </w:rPr>
            </w:pPr>
            <w:r w:rsidRPr="0019444B">
              <w:rPr>
                <w:rFonts w:ascii="Arial Narrow" w:hAnsi="Arial Narrow"/>
                <w:sz w:val="20"/>
                <w:szCs w:val="20"/>
              </w:rPr>
              <w:t>A patient may only qualify for PBS-subsidised treatment under this restriction once in a lifetime.</w:t>
            </w:r>
          </w:p>
        </w:tc>
      </w:tr>
      <w:tr w:rsidR="00F914A1" w:rsidRPr="0019444B" w14:paraId="5FB54504" w14:textId="77777777" w:rsidTr="00941556">
        <w:trPr>
          <w:trHeight w:val="113"/>
        </w:trPr>
        <w:tc>
          <w:tcPr>
            <w:tcW w:w="988" w:type="dxa"/>
            <w:shd w:val="clear" w:color="auto" w:fill="auto"/>
            <w:tcMar>
              <w:top w:w="0" w:type="dxa"/>
              <w:left w:w="85" w:type="dxa"/>
              <w:bottom w:w="0" w:type="dxa"/>
              <w:right w:w="85" w:type="dxa"/>
            </w:tcMar>
          </w:tcPr>
          <w:p w14:paraId="5BBCFC7F" w14:textId="1568D985" w:rsidR="00F914A1" w:rsidRPr="0019444B" w:rsidRDefault="00F914A1" w:rsidP="00765B1E">
            <w:pPr>
              <w:rPr>
                <w:rFonts w:ascii="Arial Narrow" w:hAnsi="Arial Narrow"/>
                <w:sz w:val="20"/>
                <w:szCs w:val="20"/>
              </w:rPr>
            </w:pPr>
          </w:p>
        </w:tc>
        <w:tc>
          <w:tcPr>
            <w:tcW w:w="7796" w:type="dxa"/>
            <w:shd w:val="clear" w:color="auto" w:fill="auto"/>
            <w:tcMar>
              <w:top w:w="0" w:type="dxa"/>
              <w:left w:w="85" w:type="dxa"/>
              <w:bottom w:w="0" w:type="dxa"/>
              <w:right w:w="85" w:type="dxa"/>
            </w:tcMar>
            <w:hideMark/>
          </w:tcPr>
          <w:p w14:paraId="7C2F8BA5" w14:textId="77777777" w:rsidR="00F914A1" w:rsidRPr="0019444B" w:rsidRDefault="00F914A1" w:rsidP="00941556">
            <w:pPr>
              <w:rPr>
                <w:rFonts w:ascii="Arial Narrow" w:hAnsi="Arial Narrow"/>
                <w:sz w:val="20"/>
                <w:szCs w:val="20"/>
              </w:rPr>
            </w:pPr>
            <w:r w:rsidRPr="0019444B">
              <w:rPr>
                <w:rFonts w:ascii="Arial Narrow" w:hAnsi="Arial Narrow"/>
                <w:b/>
                <w:bCs/>
                <w:sz w:val="20"/>
                <w:szCs w:val="20"/>
              </w:rPr>
              <w:t>Administrative Advice:</w:t>
            </w:r>
          </w:p>
          <w:p w14:paraId="470D2E47" w14:textId="77777777" w:rsidR="00F914A1" w:rsidRPr="0019444B" w:rsidRDefault="00F914A1" w:rsidP="00941556">
            <w:pPr>
              <w:rPr>
                <w:rFonts w:ascii="Arial Narrow" w:hAnsi="Arial Narrow"/>
                <w:sz w:val="20"/>
                <w:szCs w:val="20"/>
              </w:rPr>
            </w:pPr>
            <w:r w:rsidRPr="0019444B">
              <w:rPr>
                <w:rFonts w:ascii="Arial Narrow" w:hAnsi="Arial Narrow"/>
                <w:sz w:val="20"/>
                <w:szCs w:val="20"/>
              </w:rPr>
              <w:t>No increase in the maximum quantity or number of units may be authorised.</w:t>
            </w:r>
          </w:p>
        </w:tc>
      </w:tr>
      <w:tr w:rsidR="00F914A1" w:rsidRPr="0019444B" w14:paraId="220CD191" w14:textId="77777777" w:rsidTr="00941556">
        <w:trPr>
          <w:trHeight w:val="21"/>
        </w:trPr>
        <w:tc>
          <w:tcPr>
            <w:tcW w:w="988" w:type="dxa"/>
            <w:shd w:val="clear" w:color="auto" w:fill="auto"/>
            <w:tcMar>
              <w:top w:w="0" w:type="dxa"/>
              <w:left w:w="85" w:type="dxa"/>
              <w:bottom w:w="0" w:type="dxa"/>
              <w:right w:w="85" w:type="dxa"/>
            </w:tcMar>
          </w:tcPr>
          <w:p w14:paraId="48258185" w14:textId="726D78D1" w:rsidR="00F914A1" w:rsidRPr="0019444B" w:rsidRDefault="00F914A1" w:rsidP="00765B1E">
            <w:pPr>
              <w:rPr>
                <w:rFonts w:ascii="Arial Narrow" w:hAnsi="Arial Narrow"/>
                <w:sz w:val="20"/>
                <w:szCs w:val="20"/>
              </w:rPr>
            </w:pPr>
          </w:p>
        </w:tc>
        <w:tc>
          <w:tcPr>
            <w:tcW w:w="7796" w:type="dxa"/>
            <w:shd w:val="clear" w:color="auto" w:fill="auto"/>
            <w:tcMar>
              <w:top w:w="0" w:type="dxa"/>
              <w:left w:w="85" w:type="dxa"/>
              <w:bottom w:w="0" w:type="dxa"/>
              <w:right w:w="85" w:type="dxa"/>
            </w:tcMar>
            <w:hideMark/>
          </w:tcPr>
          <w:p w14:paraId="61E6A7B4" w14:textId="77777777" w:rsidR="00F914A1" w:rsidRPr="0019444B" w:rsidRDefault="00F914A1" w:rsidP="00941556">
            <w:pPr>
              <w:rPr>
                <w:rFonts w:ascii="Arial Narrow" w:hAnsi="Arial Narrow"/>
                <w:sz w:val="20"/>
                <w:szCs w:val="20"/>
              </w:rPr>
            </w:pPr>
            <w:r w:rsidRPr="0019444B">
              <w:rPr>
                <w:rFonts w:ascii="Arial Narrow" w:hAnsi="Arial Narrow"/>
                <w:b/>
                <w:bCs/>
                <w:sz w:val="20"/>
                <w:szCs w:val="20"/>
              </w:rPr>
              <w:t>Administrative Advice:</w:t>
            </w:r>
          </w:p>
          <w:p w14:paraId="68BC7CCE" w14:textId="77777777" w:rsidR="00F914A1" w:rsidRPr="0019444B" w:rsidRDefault="00F914A1" w:rsidP="00941556">
            <w:pPr>
              <w:rPr>
                <w:rFonts w:ascii="Arial Narrow" w:hAnsi="Arial Narrow"/>
                <w:sz w:val="20"/>
                <w:szCs w:val="20"/>
              </w:rPr>
            </w:pPr>
            <w:r w:rsidRPr="0019444B">
              <w:rPr>
                <w:rFonts w:ascii="Arial Narrow" w:hAnsi="Arial Narrow"/>
                <w:sz w:val="20"/>
                <w:szCs w:val="20"/>
              </w:rPr>
              <w:t>No increase in the maximum number of repeats may be authorised.</w:t>
            </w:r>
          </w:p>
        </w:tc>
      </w:tr>
      <w:tr w:rsidR="00F914A1" w:rsidRPr="0019444B" w14:paraId="02E80914" w14:textId="77777777" w:rsidTr="00941556">
        <w:trPr>
          <w:trHeight w:val="389"/>
        </w:trPr>
        <w:tc>
          <w:tcPr>
            <w:tcW w:w="988" w:type="dxa"/>
            <w:shd w:val="clear" w:color="auto" w:fill="auto"/>
            <w:tcMar>
              <w:top w:w="0" w:type="dxa"/>
              <w:left w:w="85" w:type="dxa"/>
              <w:bottom w:w="0" w:type="dxa"/>
              <w:right w:w="85" w:type="dxa"/>
            </w:tcMar>
          </w:tcPr>
          <w:p w14:paraId="3470D6E7" w14:textId="6CC0CEED" w:rsidR="00F914A1" w:rsidRPr="0019444B" w:rsidRDefault="00F914A1" w:rsidP="00765B1E">
            <w:pPr>
              <w:rPr>
                <w:rFonts w:ascii="Arial Narrow" w:hAnsi="Arial Narrow"/>
                <w:sz w:val="20"/>
                <w:szCs w:val="20"/>
              </w:rPr>
            </w:pPr>
          </w:p>
        </w:tc>
        <w:tc>
          <w:tcPr>
            <w:tcW w:w="7796" w:type="dxa"/>
            <w:shd w:val="clear" w:color="auto" w:fill="auto"/>
            <w:tcMar>
              <w:top w:w="0" w:type="dxa"/>
              <w:left w:w="85" w:type="dxa"/>
              <w:bottom w:w="0" w:type="dxa"/>
              <w:right w:w="85" w:type="dxa"/>
            </w:tcMar>
            <w:hideMark/>
          </w:tcPr>
          <w:p w14:paraId="67F11DDA" w14:textId="77777777" w:rsidR="00F914A1" w:rsidRPr="0019444B" w:rsidRDefault="00F914A1" w:rsidP="00941556">
            <w:pPr>
              <w:rPr>
                <w:rFonts w:ascii="Arial Narrow" w:hAnsi="Arial Narrow"/>
                <w:sz w:val="20"/>
                <w:szCs w:val="20"/>
              </w:rPr>
            </w:pPr>
            <w:r w:rsidRPr="0019444B">
              <w:rPr>
                <w:rFonts w:ascii="Arial Narrow" w:hAnsi="Arial Narrow"/>
                <w:b/>
                <w:bCs/>
                <w:sz w:val="20"/>
                <w:szCs w:val="20"/>
              </w:rPr>
              <w:t>Indication:</w:t>
            </w:r>
          </w:p>
          <w:p w14:paraId="28132E68" w14:textId="77777777" w:rsidR="00F914A1" w:rsidRPr="0019444B" w:rsidRDefault="00F914A1" w:rsidP="00941556">
            <w:pPr>
              <w:rPr>
                <w:rFonts w:ascii="Arial Narrow" w:hAnsi="Arial Narrow"/>
                <w:sz w:val="20"/>
                <w:szCs w:val="20"/>
              </w:rPr>
            </w:pPr>
            <w:r w:rsidRPr="0019444B">
              <w:rPr>
                <w:rFonts w:ascii="Arial Narrow" w:hAnsi="Arial Narrow"/>
                <w:sz w:val="20"/>
                <w:szCs w:val="20"/>
              </w:rPr>
              <w:t>Chronic lymphocytic leukaemia (CLL) or small lymphocytic lymphoma (SLL)</w:t>
            </w:r>
          </w:p>
        </w:tc>
      </w:tr>
      <w:tr w:rsidR="00F914A1" w:rsidRPr="0019444B" w14:paraId="786FEF37" w14:textId="77777777" w:rsidTr="00941556">
        <w:tc>
          <w:tcPr>
            <w:tcW w:w="988" w:type="dxa"/>
            <w:shd w:val="clear" w:color="auto" w:fill="auto"/>
            <w:tcMar>
              <w:top w:w="0" w:type="dxa"/>
              <w:left w:w="85" w:type="dxa"/>
              <w:bottom w:w="0" w:type="dxa"/>
              <w:right w:w="85" w:type="dxa"/>
            </w:tcMar>
          </w:tcPr>
          <w:p w14:paraId="1AB0E7B6" w14:textId="3BCF549B" w:rsidR="00F914A1" w:rsidRPr="0019444B" w:rsidRDefault="00F914A1" w:rsidP="00765B1E">
            <w:pPr>
              <w:rPr>
                <w:rFonts w:ascii="Arial Narrow" w:hAnsi="Arial Narrow"/>
                <w:sz w:val="20"/>
                <w:szCs w:val="20"/>
              </w:rPr>
            </w:pPr>
          </w:p>
        </w:tc>
        <w:tc>
          <w:tcPr>
            <w:tcW w:w="7796" w:type="dxa"/>
            <w:shd w:val="clear" w:color="auto" w:fill="auto"/>
            <w:tcMar>
              <w:top w:w="0" w:type="dxa"/>
              <w:left w:w="85" w:type="dxa"/>
              <w:bottom w:w="0" w:type="dxa"/>
              <w:right w:w="85" w:type="dxa"/>
            </w:tcMar>
            <w:hideMark/>
          </w:tcPr>
          <w:p w14:paraId="0FB5E160" w14:textId="77777777" w:rsidR="00F914A1" w:rsidRPr="00B61331" w:rsidRDefault="00F914A1" w:rsidP="00941556">
            <w:pPr>
              <w:rPr>
                <w:rFonts w:ascii="Arial Narrow" w:hAnsi="Arial Narrow"/>
                <w:sz w:val="20"/>
                <w:szCs w:val="20"/>
              </w:rPr>
            </w:pPr>
            <w:r w:rsidRPr="00B61331">
              <w:rPr>
                <w:rFonts w:ascii="Arial Narrow" w:hAnsi="Arial Narrow"/>
                <w:b/>
                <w:bCs/>
                <w:sz w:val="20"/>
                <w:szCs w:val="20"/>
              </w:rPr>
              <w:t>Treatment Phase:</w:t>
            </w:r>
          </w:p>
          <w:p w14:paraId="4F93E974" w14:textId="77AA4F26" w:rsidR="00F914A1" w:rsidRPr="00B61331" w:rsidRDefault="00F914A1" w:rsidP="00941556">
            <w:pPr>
              <w:rPr>
                <w:rFonts w:ascii="Arial Narrow" w:hAnsi="Arial Narrow"/>
                <w:sz w:val="20"/>
                <w:szCs w:val="20"/>
              </w:rPr>
            </w:pPr>
            <w:r w:rsidRPr="00B61331">
              <w:rPr>
                <w:rFonts w:ascii="Arial Narrow" w:hAnsi="Arial Narrow"/>
                <w:sz w:val="20"/>
                <w:szCs w:val="20"/>
              </w:rPr>
              <w:t>For combination use with acalabrutinib from treatment cycles 2 to 7 inclusive in first-line therapy</w:t>
            </w:r>
          </w:p>
        </w:tc>
      </w:tr>
      <w:tr w:rsidR="00F914A1" w:rsidRPr="0019444B" w14:paraId="3DA53F1A" w14:textId="77777777" w:rsidTr="00941556">
        <w:tc>
          <w:tcPr>
            <w:tcW w:w="988" w:type="dxa"/>
            <w:shd w:val="clear" w:color="auto" w:fill="auto"/>
            <w:tcMar>
              <w:top w:w="0" w:type="dxa"/>
              <w:left w:w="85" w:type="dxa"/>
              <w:bottom w:w="0" w:type="dxa"/>
              <w:right w:w="85" w:type="dxa"/>
            </w:tcMar>
          </w:tcPr>
          <w:p w14:paraId="7938F648" w14:textId="1BED978D" w:rsidR="00F914A1" w:rsidRPr="0019444B" w:rsidRDefault="00F914A1" w:rsidP="00765B1E">
            <w:pPr>
              <w:rPr>
                <w:rFonts w:ascii="Arial Narrow" w:hAnsi="Arial Narrow"/>
                <w:sz w:val="20"/>
                <w:szCs w:val="20"/>
              </w:rPr>
            </w:pPr>
          </w:p>
        </w:tc>
        <w:tc>
          <w:tcPr>
            <w:tcW w:w="7796" w:type="dxa"/>
            <w:shd w:val="clear" w:color="auto" w:fill="auto"/>
            <w:tcMar>
              <w:top w:w="0" w:type="dxa"/>
              <w:left w:w="85" w:type="dxa"/>
              <w:bottom w:w="0" w:type="dxa"/>
              <w:right w:w="85" w:type="dxa"/>
            </w:tcMar>
            <w:hideMark/>
          </w:tcPr>
          <w:p w14:paraId="194D182D" w14:textId="77777777" w:rsidR="00F914A1" w:rsidRPr="00B61331" w:rsidRDefault="00F914A1" w:rsidP="00941556">
            <w:pPr>
              <w:rPr>
                <w:rFonts w:ascii="Arial Narrow" w:hAnsi="Arial Narrow"/>
                <w:sz w:val="20"/>
                <w:szCs w:val="20"/>
              </w:rPr>
            </w:pPr>
            <w:r w:rsidRPr="00B61331">
              <w:rPr>
                <w:rFonts w:ascii="Arial Narrow" w:hAnsi="Arial Narrow"/>
                <w:b/>
                <w:bCs/>
                <w:sz w:val="20"/>
                <w:szCs w:val="20"/>
              </w:rPr>
              <w:t>Clinical criteria:</w:t>
            </w:r>
          </w:p>
        </w:tc>
      </w:tr>
      <w:tr w:rsidR="00F914A1" w:rsidRPr="0019444B" w14:paraId="18A5DE4F" w14:textId="77777777" w:rsidTr="00941556">
        <w:tc>
          <w:tcPr>
            <w:tcW w:w="988" w:type="dxa"/>
            <w:shd w:val="clear" w:color="auto" w:fill="auto"/>
            <w:tcMar>
              <w:top w:w="0" w:type="dxa"/>
              <w:left w:w="85" w:type="dxa"/>
              <w:bottom w:w="0" w:type="dxa"/>
              <w:right w:w="85" w:type="dxa"/>
            </w:tcMar>
          </w:tcPr>
          <w:p w14:paraId="0772B099" w14:textId="04DBBC84" w:rsidR="00F914A1" w:rsidRPr="0019444B" w:rsidRDefault="00F914A1" w:rsidP="00765B1E">
            <w:pPr>
              <w:rPr>
                <w:rFonts w:ascii="Arial Narrow" w:hAnsi="Arial Narrow"/>
                <w:sz w:val="20"/>
                <w:szCs w:val="20"/>
              </w:rPr>
            </w:pPr>
          </w:p>
        </w:tc>
        <w:tc>
          <w:tcPr>
            <w:tcW w:w="7796" w:type="dxa"/>
            <w:shd w:val="clear" w:color="auto" w:fill="auto"/>
            <w:tcMar>
              <w:top w:w="0" w:type="dxa"/>
              <w:left w:w="85" w:type="dxa"/>
              <w:bottom w:w="0" w:type="dxa"/>
              <w:right w:w="85" w:type="dxa"/>
            </w:tcMar>
            <w:hideMark/>
          </w:tcPr>
          <w:p w14:paraId="55EDA37D" w14:textId="46AA319F" w:rsidR="00F914A1" w:rsidRPr="00B61331" w:rsidRDefault="00F914A1" w:rsidP="00941556">
            <w:pPr>
              <w:rPr>
                <w:rFonts w:ascii="Arial Narrow" w:hAnsi="Arial Narrow"/>
                <w:sz w:val="20"/>
                <w:szCs w:val="20"/>
              </w:rPr>
            </w:pPr>
            <w:r w:rsidRPr="00B61331">
              <w:rPr>
                <w:rFonts w:ascii="Arial Narrow" w:hAnsi="Arial Narrow"/>
                <w:sz w:val="20"/>
                <w:szCs w:val="20"/>
              </w:rPr>
              <w:t>The condition must be untreated</w:t>
            </w:r>
          </w:p>
        </w:tc>
      </w:tr>
      <w:tr w:rsidR="00F914A1" w:rsidRPr="0019444B" w14:paraId="4C93B9B7" w14:textId="77777777" w:rsidTr="00941556">
        <w:tc>
          <w:tcPr>
            <w:tcW w:w="988" w:type="dxa"/>
            <w:shd w:val="clear" w:color="auto" w:fill="auto"/>
            <w:tcMar>
              <w:top w:w="0" w:type="dxa"/>
              <w:left w:w="85" w:type="dxa"/>
              <w:bottom w:w="0" w:type="dxa"/>
              <w:right w:w="85" w:type="dxa"/>
            </w:tcMar>
          </w:tcPr>
          <w:p w14:paraId="2E4E45C1" w14:textId="77777777" w:rsidR="00F914A1" w:rsidRPr="0019444B" w:rsidRDefault="00F914A1" w:rsidP="00765B1E">
            <w:pPr>
              <w:rPr>
                <w:rFonts w:ascii="Arial Narrow" w:hAnsi="Arial Narrow"/>
                <w:sz w:val="20"/>
                <w:szCs w:val="20"/>
              </w:rPr>
            </w:pPr>
          </w:p>
        </w:tc>
        <w:tc>
          <w:tcPr>
            <w:tcW w:w="7796" w:type="dxa"/>
            <w:shd w:val="clear" w:color="auto" w:fill="auto"/>
            <w:tcMar>
              <w:top w:w="0" w:type="dxa"/>
              <w:left w:w="85" w:type="dxa"/>
              <w:bottom w:w="0" w:type="dxa"/>
              <w:right w:w="85" w:type="dxa"/>
            </w:tcMar>
            <w:hideMark/>
          </w:tcPr>
          <w:p w14:paraId="0BD6DAC7" w14:textId="77777777" w:rsidR="00F914A1" w:rsidRPr="00B61331" w:rsidRDefault="00F914A1" w:rsidP="00941556">
            <w:pPr>
              <w:rPr>
                <w:rFonts w:ascii="Arial Narrow" w:hAnsi="Arial Narrow"/>
                <w:sz w:val="20"/>
                <w:szCs w:val="20"/>
              </w:rPr>
            </w:pPr>
            <w:r w:rsidRPr="00B61331">
              <w:rPr>
                <w:rFonts w:ascii="Arial Narrow" w:hAnsi="Arial Narrow"/>
                <w:b/>
                <w:bCs/>
                <w:sz w:val="20"/>
                <w:szCs w:val="20"/>
              </w:rPr>
              <w:t>AND</w:t>
            </w:r>
          </w:p>
        </w:tc>
      </w:tr>
      <w:tr w:rsidR="00F914A1" w:rsidRPr="0019444B" w14:paraId="45C0DFB8" w14:textId="77777777" w:rsidTr="00941556">
        <w:tc>
          <w:tcPr>
            <w:tcW w:w="988" w:type="dxa"/>
            <w:shd w:val="clear" w:color="auto" w:fill="auto"/>
            <w:tcMar>
              <w:top w:w="0" w:type="dxa"/>
              <w:left w:w="85" w:type="dxa"/>
              <w:bottom w:w="0" w:type="dxa"/>
              <w:right w:w="85" w:type="dxa"/>
            </w:tcMar>
          </w:tcPr>
          <w:p w14:paraId="5A488EE0" w14:textId="77777777" w:rsidR="00F914A1" w:rsidRPr="0019444B" w:rsidRDefault="00F914A1" w:rsidP="00765B1E">
            <w:pPr>
              <w:rPr>
                <w:rFonts w:ascii="Arial Narrow" w:hAnsi="Arial Narrow"/>
                <w:sz w:val="20"/>
                <w:szCs w:val="20"/>
              </w:rPr>
            </w:pPr>
          </w:p>
        </w:tc>
        <w:tc>
          <w:tcPr>
            <w:tcW w:w="7796" w:type="dxa"/>
            <w:shd w:val="clear" w:color="auto" w:fill="auto"/>
            <w:tcMar>
              <w:top w:w="0" w:type="dxa"/>
              <w:left w:w="85" w:type="dxa"/>
              <w:bottom w:w="0" w:type="dxa"/>
              <w:right w:w="85" w:type="dxa"/>
            </w:tcMar>
            <w:hideMark/>
          </w:tcPr>
          <w:p w14:paraId="2C9E08B5" w14:textId="77777777" w:rsidR="00F914A1" w:rsidRPr="00B61331" w:rsidRDefault="00F914A1" w:rsidP="00941556">
            <w:pPr>
              <w:rPr>
                <w:rFonts w:ascii="Arial Narrow" w:hAnsi="Arial Narrow"/>
                <w:sz w:val="20"/>
                <w:szCs w:val="20"/>
              </w:rPr>
            </w:pPr>
            <w:r w:rsidRPr="00B61331">
              <w:rPr>
                <w:rFonts w:ascii="Arial Narrow" w:hAnsi="Arial Narrow"/>
                <w:b/>
                <w:bCs/>
                <w:sz w:val="20"/>
                <w:szCs w:val="20"/>
              </w:rPr>
              <w:t>Clinical criteria:</w:t>
            </w:r>
          </w:p>
        </w:tc>
      </w:tr>
      <w:tr w:rsidR="00F914A1" w:rsidRPr="0019444B" w14:paraId="21048E80" w14:textId="77777777" w:rsidTr="00941556">
        <w:tc>
          <w:tcPr>
            <w:tcW w:w="988" w:type="dxa"/>
            <w:shd w:val="clear" w:color="auto" w:fill="auto"/>
            <w:tcMar>
              <w:top w:w="0" w:type="dxa"/>
              <w:left w:w="85" w:type="dxa"/>
              <w:bottom w:w="0" w:type="dxa"/>
              <w:right w:w="85" w:type="dxa"/>
            </w:tcMar>
          </w:tcPr>
          <w:p w14:paraId="13537920" w14:textId="7CDBC195" w:rsidR="00F914A1" w:rsidRPr="0019444B" w:rsidRDefault="00F914A1" w:rsidP="00765B1E">
            <w:pPr>
              <w:rPr>
                <w:rFonts w:ascii="Arial Narrow" w:hAnsi="Arial Narrow"/>
                <w:sz w:val="20"/>
                <w:szCs w:val="20"/>
              </w:rPr>
            </w:pPr>
          </w:p>
        </w:tc>
        <w:tc>
          <w:tcPr>
            <w:tcW w:w="7796" w:type="dxa"/>
            <w:shd w:val="clear" w:color="auto" w:fill="auto"/>
            <w:tcMar>
              <w:top w:w="0" w:type="dxa"/>
              <w:left w:w="85" w:type="dxa"/>
              <w:bottom w:w="0" w:type="dxa"/>
              <w:right w:w="85" w:type="dxa"/>
            </w:tcMar>
            <w:hideMark/>
          </w:tcPr>
          <w:p w14:paraId="045A8DF4" w14:textId="5CC63ACD" w:rsidR="00F914A1" w:rsidRPr="00B61331" w:rsidRDefault="00F914A1" w:rsidP="00941556">
            <w:pPr>
              <w:rPr>
                <w:rFonts w:ascii="Arial Narrow" w:hAnsi="Arial Narrow"/>
                <w:sz w:val="20"/>
                <w:szCs w:val="20"/>
              </w:rPr>
            </w:pPr>
            <w:r w:rsidRPr="00B61331">
              <w:rPr>
                <w:rFonts w:ascii="Arial Narrow" w:hAnsi="Arial Narrow"/>
                <w:sz w:val="20"/>
                <w:szCs w:val="20"/>
              </w:rPr>
              <w:t>The treatment must be in combination with PBS-subsidised acalabrutinib (refer to Product Information for timing of obinutuzumab and acalabrutinib doses)</w:t>
            </w:r>
          </w:p>
        </w:tc>
      </w:tr>
    </w:tbl>
    <w:p w14:paraId="23D43DCA" w14:textId="77777777" w:rsidR="00F914A1" w:rsidRPr="00B03131" w:rsidRDefault="00F914A1" w:rsidP="00CA022C">
      <w:pPr>
        <w:rPr>
          <w:snapToGrid w:val="0"/>
        </w:rPr>
      </w:pPr>
    </w:p>
    <w:p w14:paraId="4031E746" w14:textId="77777777" w:rsidR="000268D1" w:rsidRPr="00B03131" w:rsidRDefault="000268D1" w:rsidP="00B03131">
      <w:pPr>
        <w:pStyle w:val="3-SubsectionHeading"/>
        <w:spacing w:before="0" w:after="0"/>
        <w:rPr>
          <w:bCs/>
          <w:sz w:val="24"/>
          <w:szCs w:val="32"/>
          <w:u w:val="single"/>
        </w:rPr>
      </w:pPr>
      <w:r w:rsidRPr="00B03131">
        <w:rPr>
          <w:rFonts w:cstheme="minorHAnsi"/>
          <w:sz w:val="24"/>
          <w:szCs w:val="32"/>
        </w:rPr>
        <w:t>The restriction and flow-on changes may be subject to further review. Should there be any changes made to the restriction the sponsor will be informed.</w:t>
      </w:r>
    </w:p>
    <w:p w14:paraId="58BD6838" w14:textId="75540834" w:rsidR="000268D1" w:rsidRPr="0019444B" w:rsidRDefault="000268D1" w:rsidP="00CA022C">
      <w:pPr>
        <w:rPr>
          <w:snapToGrid w:val="0"/>
        </w:rPr>
      </w:pPr>
    </w:p>
    <w:p w14:paraId="459EE62F" w14:textId="691822C7" w:rsidR="00B03131" w:rsidRDefault="00B03131" w:rsidP="00B03131">
      <w:pPr>
        <w:pStyle w:val="2-SectionHeading"/>
        <w:rPr>
          <w:bCs/>
          <w:lang w:val="en-GB"/>
        </w:rPr>
      </w:pPr>
      <w:r w:rsidRPr="00C07617">
        <w:t>Context for Decision</w:t>
      </w:r>
    </w:p>
    <w:p w14:paraId="7BF18006" w14:textId="77777777" w:rsidR="00B03131" w:rsidRPr="007129F2" w:rsidRDefault="00B03131" w:rsidP="00B03131">
      <w:pPr>
        <w:spacing w:after="120"/>
        <w:ind w:left="720"/>
        <w:rPr>
          <w:rFonts w:asciiTheme="minorHAnsi" w:hAnsiTheme="minorHAnsi"/>
          <w:bCs/>
          <w:lang w:val="en-GB"/>
        </w:rPr>
      </w:pPr>
      <w:r w:rsidRPr="007129F2">
        <w:rPr>
          <w:rFonts w:asciiTheme="minorHAnsi" w:hAnsiTheme="minorHAnsi"/>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w:t>
      </w:r>
      <w:proofErr w:type="gramStart"/>
      <w:r w:rsidRPr="007129F2">
        <w:rPr>
          <w:rFonts w:asciiTheme="minorHAnsi" w:hAnsiTheme="minorHAnsi"/>
          <w:bCs/>
          <w:lang w:val="en-GB"/>
        </w:rPr>
        <w:t>be made</w:t>
      </w:r>
      <w:proofErr w:type="gramEnd"/>
      <w:r w:rsidRPr="007129F2">
        <w:rPr>
          <w:rFonts w:asciiTheme="minorHAnsi" w:hAnsiTheme="minorHAnsi"/>
          <w:bCs/>
          <w:lang w:val="en-GB"/>
        </w:rPr>
        <w:t xml:space="preserve"> available through the PBS. The PBAC welcomes applications containing </w:t>
      </w:r>
      <w:proofErr w:type="gramStart"/>
      <w:r w:rsidRPr="007129F2">
        <w:rPr>
          <w:rFonts w:asciiTheme="minorHAnsi" w:hAnsiTheme="minorHAnsi"/>
          <w:bCs/>
          <w:lang w:val="en-GB"/>
        </w:rPr>
        <w:t>new information</w:t>
      </w:r>
      <w:proofErr w:type="gramEnd"/>
      <w:r w:rsidRPr="007129F2">
        <w:rPr>
          <w:rFonts w:asciiTheme="minorHAnsi" w:hAnsiTheme="minorHAnsi"/>
          <w:bCs/>
          <w:lang w:val="en-GB"/>
        </w:rPr>
        <w:t xml:space="preserve"> at any time.</w:t>
      </w:r>
    </w:p>
    <w:p w14:paraId="7AC9560B" w14:textId="59CED04D" w:rsidR="00B03131" w:rsidRPr="00C07617" w:rsidRDefault="00B03131" w:rsidP="00B03131">
      <w:pPr>
        <w:pStyle w:val="2-SectionHeading"/>
      </w:pPr>
      <w:r>
        <w:t>Sponsor’s Comment</w:t>
      </w:r>
    </w:p>
    <w:p w14:paraId="53B6FD99" w14:textId="77777777" w:rsidR="00B03131" w:rsidRPr="001179AC" w:rsidRDefault="00B03131" w:rsidP="00B03131">
      <w:pPr>
        <w:spacing w:after="120"/>
        <w:ind w:left="426" w:firstLine="294"/>
        <w:rPr>
          <w:rFonts w:asciiTheme="minorHAnsi" w:hAnsiTheme="minorHAnsi"/>
          <w:bCs/>
        </w:rPr>
      </w:pPr>
      <w:r w:rsidRPr="00C07617">
        <w:rPr>
          <w:rFonts w:asciiTheme="minorHAnsi" w:hAnsiTheme="minorHAnsi"/>
          <w:bCs/>
        </w:rPr>
        <w:t>The sponsor had no comment.</w:t>
      </w:r>
    </w:p>
    <w:sectPr w:rsidR="00B03131" w:rsidRPr="001179AC" w:rsidSect="005B7189">
      <w:headerReference w:type="default" r:id="rId10"/>
      <w:footerReference w:type="default" r:id="rId11"/>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3762F" w14:textId="77777777" w:rsidR="00E178D2" w:rsidRDefault="00E178D2" w:rsidP="00124A51">
      <w:r>
        <w:separator/>
      </w:r>
    </w:p>
    <w:p w14:paraId="5D09EA79" w14:textId="77777777" w:rsidR="00E178D2" w:rsidRDefault="00E178D2"/>
  </w:endnote>
  <w:endnote w:type="continuationSeparator" w:id="0">
    <w:p w14:paraId="07389EBF" w14:textId="77777777" w:rsidR="00E178D2" w:rsidRDefault="00E178D2" w:rsidP="00124A51">
      <w:r>
        <w:continuationSeparator/>
      </w:r>
    </w:p>
    <w:p w14:paraId="222EAF20" w14:textId="77777777" w:rsidR="00E178D2" w:rsidRDefault="00E178D2"/>
  </w:endnote>
  <w:endnote w:type="continuationNotice" w:id="1">
    <w:p w14:paraId="6920159B" w14:textId="77777777" w:rsidR="00E178D2" w:rsidRDefault="00E178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calaLancetPro">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77777777" w:rsidR="00D843F2" w:rsidRDefault="00D843F2" w:rsidP="00753B29">
    <w:pPr>
      <w:pStyle w:val="Footer"/>
      <w:jc w:val="center"/>
    </w:pPr>
  </w:p>
  <w:p w14:paraId="37484CD3" w14:textId="6194DB49" w:rsidR="00D843F2" w:rsidRPr="007B0CF2" w:rsidRDefault="00FF5E98" w:rsidP="00753B29">
    <w:pPr>
      <w:pStyle w:val="Footer"/>
      <w:jc w:val="center"/>
      <w:rPr>
        <w:b/>
        <w:bCs/>
      </w:rPr>
    </w:pPr>
    <w:sdt>
      <w:sdtPr>
        <w:id w:val="1036156457"/>
        <w:docPartObj>
          <w:docPartGallery w:val="Page Numbers (Bottom of Page)"/>
          <w:docPartUnique/>
        </w:docPartObj>
      </w:sdtPr>
      <w:sdtEndPr>
        <w:rPr>
          <w:b/>
          <w:bCs/>
          <w:noProof/>
        </w:rPr>
      </w:sdtEndPr>
      <w:sdtContent>
        <w:r w:rsidR="00D843F2" w:rsidRPr="007B0CF2">
          <w:rPr>
            <w:b/>
            <w:bCs/>
          </w:rPr>
          <w:fldChar w:fldCharType="begin"/>
        </w:r>
        <w:r w:rsidR="00D843F2" w:rsidRPr="007B0CF2">
          <w:rPr>
            <w:b/>
            <w:bCs/>
          </w:rPr>
          <w:instrText xml:space="preserve"> PAGE   \* MERGEFORMAT </w:instrText>
        </w:r>
        <w:r w:rsidR="00D843F2" w:rsidRPr="007B0CF2">
          <w:rPr>
            <w:b/>
            <w:bCs/>
          </w:rPr>
          <w:fldChar w:fldCharType="separate"/>
        </w:r>
        <w:r w:rsidR="00D843F2" w:rsidRPr="007B0CF2">
          <w:rPr>
            <w:b/>
            <w:bCs/>
            <w:noProof/>
          </w:rPr>
          <w:t>2</w:t>
        </w:r>
        <w:r w:rsidR="00D843F2" w:rsidRPr="007B0CF2">
          <w:rPr>
            <w:b/>
            <w:b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56F9E" w14:textId="77777777" w:rsidR="00E178D2" w:rsidRDefault="00E178D2" w:rsidP="00124A51">
      <w:r>
        <w:separator/>
      </w:r>
    </w:p>
    <w:p w14:paraId="22B7F2D1" w14:textId="77777777" w:rsidR="00E178D2" w:rsidRDefault="00E178D2"/>
  </w:footnote>
  <w:footnote w:type="continuationSeparator" w:id="0">
    <w:p w14:paraId="23089BE8" w14:textId="77777777" w:rsidR="00E178D2" w:rsidRDefault="00E178D2" w:rsidP="00124A51">
      <w:r>
        <w:continuationSeparator/>
      </w:r>
    </w:p>
    <w:p w14:paraId="1C51E94D" w14:textId="77777777" w:rsidR="00E178D2" w:rsidRDefault="00E178D2"/>
  </w:footnote>
  <w:footnote w:type="continuationNotice" w:id="1">
    <w:p w14:paraId="1B5184CB" w14:textId="77777777" w:rsidR="00E178D2" w:rsidRDefault="00E178D2"/>
  </w:footnote>
  <w:footnote w:id="2">
    <w:p w14:paraId="549156F6" w14:textId="3A581853" w:rsidR="0011405D" w:rsidRPr="00F11B7E" w:rsidRDefault="0011405D">
      <w:pPr>
        <w:pStyle w:val="FootnoteText"/>
      </w:pPr>
      <w:r w:rsidRPr="00F11B7E">
        <w:rPr>
          <w:rStyle w:val="FootnoteReference"/>
        </w:rPr>
        <w:footnoteRef/>
      </w:r>
      <w:r w:rsidRPr="00F11B7E">
        <w:t xml:space="preserve"> Gribben, J. G. 2020. Practical management of tumour lysis syndrome in venetoclax-treated patients with chronic lymphocytic leukaemia. Br J Haematol, 188, 844-851.</w:t>
      </w:r>
    </w:p>
  </w:footnote>
  <w:footnote w:id="3">
    <w:p w14:paraId="1D601E10" w14:textId="18851EA6" w:rsidR="0011405D" w:rsidRPr="00F11B7E" w:rsidRDefault="0011405D">
      <w:pPr>
        <w:pStyle w:val="FootnoteText"/>
      </w:pPr>
      <w:r w:rsidRPr="00F11B7E">
        <w:rPr>
          <w:rStyle w:val="FootnoteReference"/>
        </w:rPr>
        <w:footnoteRef/>
      </w:r>
      <w:r w:rsidRPr="00F11B7E">
        <w:t xml:space="preserve"> Mato, A. R., Thompson, M., Allan, J. N., et al. 2018. Real-world outcomes and management strategies for venetoclax-treated chronic lymphocytic leukemia patients in the United States. Haematologica, 103, 1511-1517.</w:t>
      </w:r>
    </w:p>
  </w:footnote>
  <w:footnote w:id="4">
    <w:p w14:paraId="0B2FF57A" w14:textId="16B20F1E" w:rsidR="00401B75" w:rsidRDefault="00401B75">
      <w:pPr>
        <w:pStyle w:val="FootnoteText"/>
      </w:pPr>
      <w:r>
        <w:rPr>
          <w:rStyle w:val="FootnoteReference"/>
        </w:rPr>
        <w:footnoteRef/>
      </w:r>
      <w:r>
        <w:t xml:space="preserve"> Attachment 2E: ELEVATE-TN 58.2-month CSR, Table 33, pp143-144. Mean relative dose intensity.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E204" w14:textId="75A4F39B" w:rsidR="00D843F2" w:rsidRPr="00195452" w:rsidRDefault="00074EE3" w:rsidP="007B0CF2">
    <w:pPr>
      <w:pStyle w:val="Header"/>
      <w:rPr>
        <w:rFonts w:asciiTheme="minorHAnsi" w:hAnsiTheme="minorHAnsi"/>
        <w:i/>
        <w:color w:val="808080"/>
      </w:rPr>
    </w:pPr>
    <w:r>
      <w:rPr>
        <w:rFonts w:asciiTheme="minorHAnsi" w:hAnsiTheme="minorHAnsi"/>
        <w:i/>
        <w:color w:val="808080"/>
      </w:rPr>
      <w:t xml:space="preserve">Public Summary </w:t>
    </w:r>
    <w:proofErr w:type="gramStart"/>
    <w:r>
      <w:rPr>
        <w:rFonts w:asciiTheme="minorHAnsi" w:hAnsiTheme="minorHAnsi"/>
        <w:i/>
        <w:color w:val="808080"/>
      </w:rPr>
      <w:t xml:space="preserve">Document </w:t>
    </w:r>
    <w:r w:rsidR="007B0CF2">
      <w:rPr>
        <w:rFonts w:asciiTheme="minorHAnsi" w:hAnsiTheme="minorHAnsi"/>
        <w:i/>
        <w:color w:val="808080"/>
      </w:rPr>
      <w:t xml:space="preserve"> –</w:t>
    </w:r>
    <w:proofErr w:type="gramEnd"/>
    <w:r w:rsidR="00D843F2">
      <w:rPr>
        <w:rFonts w:asciiTheme="minorHAnsi" w:hAnsiTheme="minorHAnsi"/>
        <w:i/>
        <w:color w:val="808080"/>
      </w:rPr>
      <w:t xml:space="preserve"> </w:t>
    </w:r>
    <w:r w:rsidR="00760B9F">
      <w:rPr>
        <w:rFonts w:asciiTheme="minorHAnsi" w:hAnsiTheme="minorHAnsi"/>
        <w:i/>
        <w:color w:val="808080"/>
      </w:rPr>
      <w:t xml:space="preserve">July </w:t>
    </w:r>
    <w:r w:rsidR="00D843F2">
      <w:rPr>
        <w:rFonts w:asciiTheme="minorHAnsi" w:hAnsiTheme="minorHAnsi"/>
        <w:i/>
        <w:color w:val="808080"/>
      </w:rPr>
      <w:t>202</w:t>
    </w:r>
    <w:r w:rsidR="00296471">
      <w:rPr>
        <w:rFonts w:asciiTheme="minorHAnsi" w:hAnsiTheme="minorHAnsi"/>
        <w:i/>
        <w:color w:val="808080"/>
      </w:rPr>
      <w:t>3</w:t>
    </w:r>
    <w:r w:rsidR="00D843F2">
      <w:rPr>
        <w:rFonts w:asciiTheme="minorHAnsi" w:hAnsiTheme="minorHAnsi"/>
        <w:i/>
        <w:color w:val="808080"/>
      </w:rPr>
      <w:t xml:space="preserve"> </w:t>
    </w:r>
    <w:r w:rsidR="00D843F2" w:rsidRPr="00195452">
      <w:rPr>
        <w:rFonts w:asciiTheme="minorHAnsi" w:hAnsiTheme="minorHAnsi"/>
        <w:i/>
        <w:color w:val="808080"/>
      </w:rPr>
      <w:t>PBAC Meeting</w:t>
    </w:r>
  </w:p>
  <w:p w14:paraId="03AF943B" w14:textId="77777777" w:rsidR="00D843F2" w:rsidRPr="008C7ECB" w:rsidRDefault="00D843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C2A6D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1F4AD2"/>
    <w:multiLevelType w:val="hybridMultilevel"/>
    <w:tmpl w:val="3F1451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44B5432"/>
    <w:multiLevelType w:val="hybridMultilevel"/>
    <w:tmpl w:val="6D6C410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F37C97"/>
    <w:multiLevelType w:val="hybridMultilevel"/>
    <w:tmpl w:val="089EF506"/>
    <w:lvl w:ilvl="0" w:tplc="399A3B2E">
      <w:numFmt w:val="bullet"/>
      <w:lvlText w:val="-"/>
      <w:lvlJc w:val="left"/>
      <w:pPr>
        <w:ind w:left="1440" w:hanging="360"/>
      </w:pPr>
      <w:rPr>
        <w:rFonts w:ascii="Calibri" w:eastAsia="Calibr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1D41B9A"/>
    <w:multiLevelType w:val="hybridMultilevel"/>
    <w:tmpl w:val="87D454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202D89"/>
    <w:multiLevelType w:val="hybridMultilevel"/>
    <w:tmpl w:val="177AE824"/>
    <w:lvl w:ilvl="0" w:tplc="BC1E4674">
      <w:start w:val="10"/>
      <w:numFmt w:val="bullet"/>
      <w:lvlText w:val="-"/>
      <w:lvlJc w:val="left"/>
      <w:pPr>
        <w:ind w:left="720" w:hanging="360"/>
      </w:pPr>
      <w:rPr>
        <w:rFonts w:ascii="Calibri" w:eastAsia="Times New Roman" w:hAnsi="Calibri" w:cs="Calibri" w:hint="default"/>
      </w:rPr>
    </w:lvl>
    <w:lvl w:ilvl="1" w:tplc="29C6DA2C">
      <w:start w:val="48"/>
      <w:numFmt w:val="bullet"/>
      <w:lvlText w:val="•"/>
      <w:lvlJc w:val="left"/>
      <w:pPr>
        <w:ind w:left="1800" w:hanging="72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B219F8"/>
    <w:multiLevelType w:val="hybridMultilevel"/>
    <w:tmpl w:val="6CA0CEB4"/>
    <w:lvl w:ilvl="0" w:tplc="4F38898A">
      <w:start w:val="1"/>
      <w:numFmt w:val="bullet"/>
      <w:pStyle w:val="COMexecsummmainissue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346AD7"/>
    <w:multiLevelType w:val="hybridMultilevel"/>
    <w:tmpl w:val="540A7E38"/>
    <w:lvl w:ilvl="0" w:tplc="C7049F4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BD19EE"/>
    <w:multiLevelType w:val="hybridMultilevel"/>
    <w:tmpl w:val="E034B918"/>
    <w:lvl w:ilvl="0" w:tplc="BC1E4674">
      <w:start w:val="1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0F1A03"/>
    <w:multiLevelType w:val="multilevel"/>
    <w:tmpl w:val="B56C6B24"/>
    <w:lvl w:ilvl="0">
      <w:start w:val="1"/>
      <w:numFmt w:val="decimal"/>
      <w:lvlText w:val="%1"/>
      <w:lvlJc w:val="left"/>
      <w:pPr>
        <w:ind w:left="720" w:hanging="720"/>
      </w:pPr>
      <w:rPr>
        <w:rFonts w:hint="default"/>
        <w:b/>
      </w:rPr>
    </w:lvl>
    <w:lvl w:ilvl="1">
      <w:numFmt w:val="bullet"/>
      <w:lvlText w:val="-"/>
      <w:lvlJc w:val="left"/>
      <w:pPr>
        <w:ind w:left="360" w:hanging="360"/>
      </w:pPr>
      <w:rPr>
        <w:rFonts w:ascii="Calibri" w:eastAsia="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E63ADB"/>
    <w:multiLevelType w:val="hybridMultilevel"/>
    <w:tmpl w:val="5CAE07C8"/>
    <w:lvl w:ilvl="0" w:tplc="83CA7A20">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1">
      <w:start w:val="1"/>
      <w:numFmt w:val="bullet"/>
      <w:lvlText w:val=""/>
      <w:lvlJc w:val="left"/>
      <w:pPr>
        <w:ind w:left="1800" w:hanging="360"/>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C40D0B"/>
    <w:multiLevelType w:val="hybridMultilevel"/>
    <w:tmpl w:val="1C5EB546"/>
    <w:lvl w:ilvl="0" w:tplc="399A3B2E">
      <w:numFmt w:val="bullet"/>
      <w:lvlText w:val="-"/>
      <w:lvlJc w:val="left"/>
      <w:pPr>
        <w:ind w:left="1440" w:hanging="360"/>
      </w:pPr>
      <w:rPr>
        <w:rFonts w:ascii="Calibri" w:eastAsia="Calibr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EEE1CC4"/>
    <w:multiLevelType w:val="multilevel"/>
    <w:tmpl w:val="6C7EBDBE"/>
    <w:lvl w:ilvl="0">
      <w:start w:val="1"/>
      <w:numFmt w:val="decimal"/>
      <w:lvlText w:val="%1"/>
      <w:lvlJc w:val="left"/>
      <w:pPr>
        <w:ind w:left="720" w:hanging="720"/>
      </w:pPr>
      <w:rPr>
        <w:rFonts w:hint="default"/>
        <w:b/>
      </w:rPr>
    </w:lvl>
    <w:lvl w:ilvl="1">
      <w:start w:val="48"/>
      <w:numFmt w:val="bullet"/>
      <w:pStyle w:val="TableBullet"/>
      <w:lvlText w:val="•"/>
      <w:lvlJc w:val="left"/>
      <w:pPr>
        <w:ind w:left="360" w:hanging="360"/>
      </w:pPr>
      <w:rPr>
        <w:rFonts w:ascii="Calibri" w:eastAsia="Times New Roman"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4061394"/>
    <w:multiLevelType w:val="multilevel"/>
    <w:tmpl w:val="075839CC"/>
    <w:styleLink w:val="CurrentList1"/>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69430711"/>
    <w:multiLevelType w:val="multilevel"/>
    <w:tmpl w:val="C6483CFC"/>
    <w:lvl w:ilvl="0">
      <w:start w:val="1"/>
      <w:numFmt w:val="decimal"/>
      <w:lvlText w:val="%1"/>
      <w:lvlJc w:val="left"/>
      <w:pPr>
        <w:ind w:left="720" w:hanging="720"/>
      </w:pPr>
      <w:rPr>
        <w:rFonts w:hint="default"/>
        <w:b/>
      </w:rPr>
    </w:lvl>
    <w:lvl w:ilvl="1">
      <w:numFmt w:val="bullet"/>
      <w:lvlText w:val="-"/>
      <w:lvlJc w:val="left"/>
      <w:pPr>
        <w:ind w:left="360" w:hanging="360"/>
      </w:pPr>
      <w:rPr>
        <w:rFonts w:ascii="Calibri" w:eastAsia="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AB20ED1"/>
    <w:multiLevelType w:val="hybridMultilevel"/>
    <w:tmpl w:val="15E8B9D2"/>
    <w:lvl w:ilvl="0" w:tplc="399A3B2E">
      <w:numFmt w:val="bullet"/>
      <w:lvlText w:val="-"/>
      <w:lvlJc w:val="left"/>
      <w:pPr>
        <w:ind w:left="1440" w:hanging="360"/>
      </w:pPr>
      <w:rPr>
        <w:rFonts w:ascii="Calibri" w:eastAsia="Calibr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84D033C"/>
    <w:multiLevelType w:val="multilevel"/>
    <w:tmpl w:val="4044E9B4"/>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16232267">
    <w:abstractNumId w:val="28"/>
  </w:num>
  <w:num w:numId="2" w16cid:durableId="1044596553">
    <w:abstractNumId w:val="13"/>
  </w:num>
  <w:num w:numId="3" w16cid:durableId="1959795408">
    <w:abstractNumId w:val="14"/>
  </w:num>
  <w:num w:numId="4" w16cid:durableId="1205557420">
    <w:abstractNumId w:val="0"/>
  </w:num>
  <w:num w:numId="5" w16cid:durableId="699744630">
    <w:abstractNumId w:val="24"/>
  </w:num>
  <w:num w:numId="6" w16cid:durableId="1103769178">
    <w:abstractNumId w:val="20"/>
  </w:num>
  <w:num w:numId="7" w16cid:durableId="1523938346">
    <w:abstractNumId w:val="16"/>
  </w:num>
  <w:num w:numId="8" w16cid:durableId="751509583">
    <w:abstractNumId w:val="17"/>
  </w:num>
  <w:num w:numId="9" w16cid:durableId="680475987">
    <w:abstractNumId w:val="25"/>
  </w:num>
  <w:num w:numId="10" w16cid:durableId="1458790142">
    <w:abstractNumId w:val="15"/>
  </w:num>
  <w:num w:numId="11" w16cid:durableId="1225721974">
    <w:abstractNumId w:val="7"/>
  </w:num>
  <w:num w:numId="12" w16cid:durableId="462357116">
    <w:abstractNumId w:val="5"/>
  </w:num>
  <w:num w:numId="13" w16cid:durableId="366175120">
    <w:abstractNumId w:val="26"/>
  </w:num>
  <w:num w:numId="14" w16cid:durableId="1571185547">
    <w:abstractNumId w:val="3"/>
  </w:num>
  <w:num w:numId="15" w16cid:durableId="1670214773">
    <w:abstractNumId w:val="23"/>
  </w:num>
  <w:num w:numId="16" w16cid:durableId="2063627409">
    <w:abstractNumId w:val="8"/>
  </w:num>
  <w:num w:numId="17" w16cid:durableId="2006089312">
    <w:abstractNumId w:val="18"/>
  </w:num>
  <w:num w:numId="18" w16cid:durableId="863715957">
    <w:abstractNumId w:val="19"/>
  </w:num>
  <w:num w:numId="19" w16cid:durableId="106432338">
    <w:abstractNumId w:val="4"/>
  </w:num>
  <w:num w:numId="20" w16cid:durableId="1641812333">
    <w:abstractNumId w:val="1"/>
  </w:num>
  <w:num w:numId="21" w16cid:durableId="1161114294">
    <w:abstractNumId w:val="10"/>
  </w:num>
  <w:num w:numId="22" w16cid:durableId="1900481640">
    <w:abstractNumId w:val="11"/>
  </w:num>
  <w:num w:numId="23" w16cid:durableId="278994685">
    <w:abstractNumId w:val="9"/>
  </w:num>
  <w:num w:numId="24" w16cid:durableId="199185803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06659694">
    <w:abstractNumId w:val="27"/>
  </w:num>
  <w:num w:numId="26" w16cid:durableId="762189710">
    <w:abstractNumId w:val="6"/>
  </w:num>
  <w:num w:numId="27" w16cid:durableId="5128852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0205090">
    <w:abstractNumId w:val="2"/>
  </w:num>
  <w:num w:numId="29" w16cid:durableId="40370766">
    <w:abstractNumId w:val="12"/>
  </w:num>
  <w:num w:numId="30" w16cid:durableId="111673750">
    <w:abstractNumId w:val="28"/>
  </w:num>
  <w:num w:numId="31" w16cid:durableId="1993488063">
    <w:abstractNumId w:val="28"/>
  </w:num>
  <w:num w:numId="32" w16cid:durableId="919215331">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YwMTIxMDW2MAIBJR2l4NTi4sz8PJACk1oA0/r8/iwAAAA="/>
  </w:docVars>
  <w:rsids>
    <w:rsidRoot w:val="00E65E79"/>
    <w:rsid w:val="000003A5"/>
    <w:rsid w:val="00000790"/>
    <w:rsid w:val="0000110B"/>
    <w:rsid w:val="00002F92"/>
    <w:rsid w:val="00003499"/>
    <w:rsid w:val="00003958"/>
    <w:rsid w:val="000039B7"/>
    <w:rsid w:val="00003A8E"/>
    <w:rsid w:val="0000412E"/>
    <w:rsid w:val="0000415F"/>
    <w:rsid w:val="00004C3E"/>
    <w:rsid w:val="00004E71"/>
    <w:rsid w:val="000056B9"/>
    <w:rsid w:val="000056EA"/>
    <w:rsid w:val="000059BC"/>
    <w:rsid w:val="0000639A"/>
    <w:rsid w:val="000065FD"/>
    <w:rsid w:val="00011F5D"/>
    <w:rsid w:val="00012B7C"/>
    <w:rsid w:val="00013247"/>
    <w:rsid w:val="000134A0"/>
    <w:rsid w:val="00013BAA"/>
    <w:rsid w:val="000142F3"/>
    <w:rsid w:val="00014E31"/>
    <w:rsid w:val="00015886"/>
    <w:rsid w:val="00015FC8"/>
    <w:rsid w:val="000162EF"/>
    <w:rsid w:val="0001705B"/>
    <w:rsid w:val="0001798E"/>
    <w:rsid w:val="000207C9"/>
    <w:rsid w:val="0002132E"/>
    <w:rsid w:val="00021552"/>
    <w:rsid w:val="0002225F"/>
    <w:rsid w:val="0002271A"/>
    <w:rsid w:val="00023763"/>
    <w:rsid w:val="00023B38"/>
    <w:rsid w:val="00023F26"/>
    <w:rsid w:val="00024EB5"/>
    <w:rsid w:val="000259BB"/>
    <w:rsid w:val="000268D1"/>
    <w:rsid w:val="00026F9B"/>
    <w:rsid w:val="000271A5"/>
    <w:rsid w:val="0002720F"/>
    <w:rsid w:val="000274B8"/>
    <w:rsid w:val="00027B1F"/>
    <w:rsid w:val="00030C92"/>
    <w:rsid w:val="00031C5F"/>
    <w:rsid w:val="00032396"/>
    <w:rsid w:val="000326AD"/>
    <w:rsid w:val="00032A65"/>
    <w:rsid w:val="00033476"/>
    <w:rsid w:val="00033863"/>
    <w:rsid w:val="000345BC"/>
    <w:rsid w:val="000348D3"/>
    <w:rsid w:val="00035DC0"/>
    <w:rsid w:val="00036829"/>
    <w:rsid w:val="000372CF"/>
    <w:rsid w:val="00040655"/>
    <w:rsid w:val="00040895"/>
    <w:rsid w:val="000410A0"/>
    <w:rsid w:val="00041BB2"/>
    <w:rsid w:val="000427F6"/>
    <w:rsid w:val="00042FC9"/>
    <w:rsid w:val="000435EE"/>
    <w:rsid w:val="00043837"/>
    <w:rsid w:val="00043C37"/>
    <w:rsid w:val="00045017"/>
    <w:rsid w:val="00045A2B"/>
    <w:rsid w:val="00045B4B"/>
    <w:rsid w:val="00045C97"/>
    <w:rsid w:val="00046087"/>
    <w:rsid w:val="0004698F"/>
    <w:rsid w:val="00046D64"/>
    <w:rsid w:val="00047408"/>
    <w:rsid w:val="000477CA"/>
    <w:rsid w:val="00047816"/>
    <w:rsid w:val="000508C2"/>
    <w:rsid w:val="00050BF0"/>
    <w:rsid w:val="00051A3E"/>
    <w:rsid w:val="000539D0"/>
    <w:rsid w:val="00054621"/>
    <w:rsid w:val="000546D7"/>
    <w:rsid w:val="00054A8D"/>
    <w:rsid w:val="00054E1F"/>
    <w:rsid w:val="00056ECF"/>
    <w:rsid w:val="00057AA3"/>
    <w:rsid w:val="00057B70"/>
    <w:rsid w:val="000604DF"/>
    <w:rsid w:val="0006188E"/>
    <w:rsid w:val="00061D34"/>
    <w:rsid w:val="0006209B"/>
    <w:rsid w:val="00062324"/>
    <w:rsid w:val="00063B3A"/>
    <w:rsid w:val="00064032"/>
    <w:rsid w:val="00064135"/>
    <w:rsid w:val="000645BA"/>
    <w:rsid w:val="000653B5"/>
    <w:rsid w:val="00065543"/>
    <w:rsid w:val="00065C8F"/>
    <w:rsid w:val="00066360"/>
    <w:rsid w:val="00066AF8"/>
    <w:rsid w:val="0006723D"/>
    <w:rsid w:val="00067335"/>
    <w:rsid w:val="000675A8"/>
    <w:rsid w:val="00070E85"/>
    <w:rsid w:val="00071248"/>
    <w:rsid w:val="00071776"/>
    <w:rsid w:val="000720B9"/>
    <w:rsid w:val="00072C46"/>
    <w:rsid w:val="000737F7"/>
    <w:rsid w:val="00073BB7"/>
    <w:rsid w:val="00073CB5"/>
    <w:rsid w:val="00074053"/>
    <w:rsid w:val="00074647"/>
    <w:rsid w:val="00074EE3"/>
    <w:rsid w:val="0007584A"/>
    <w:rsid w:val="000760E7"/>
    <w:rsid w:val="0007672F"/>
    <w:rsid w:val="00076AFB"/>
    <w:rsid w:val="00076B54"/>
    <w:rsid w:val="0007728C"/>
    <w:rsid w:val="000774F0"/>
    <w:rsid w:val="0007766A"/>
    <w:rsid w:val="0007792B"/>
    <w:rsid w:val="00080909"/>
    <w:rsid w:val="00081200"/>
    <w:rsid w:val="000812CA"/>
    <w:rsid w:val="00081C1F"/>
    <w:rsid w:val="00081E63"/>
    <w:rsid w:val="0008249B"/>
    <w:rsid w:val="0008258D"/>
    <w:rsid w:val="000833BA"/>
    <w:rsid w:val="00083C6B"/>
    <w:rsid w:val="00083E99"/>
    <w:rsid w:val="00084FA8"/>
    <w:rsid w:val="000856C5"/>
    <w:rsid w:val="00085C31"/>
    <w:rsid w:val="00085F7F"/>
    <w:rsid w:val="00086483"/>
    <w:rsid w:val="000902D9"/>
    <w:rsid w:val="000905CD"/>
    <w:rsid w:val="00090BF1"/>
    <w:rsid w:val="00090C7E"/>
    <w:rsid w:val="000911AC"/>
    <w:rsid w:val="00091948"/>
    <w:rsid w:val="00092600"/>
    <w:rsid w:val="0009262B"/>
    <w:rsid w:val="00092F1E"/>
    <w:rsid w:val="0009326F"/>
    <w:rsid w:val="00093310"/>
    <w:rsid w:val="00094001"/>
    <w:rsid w:val="0009445C"/>
    <w:rsid w:val="00094CD3"/>
    <w:rsid w:val="00095200"/>
    <w:rsid w:val="000952C4"/>
    <w:rsid w:val="00095FE5"/>
    <w:rsid w:val="0009617D"/>
    <w:rsid w:val="00096284"/>
    <w:rsid w:val="00096739"/>
    <w:rsid w:val="00096DFD"/>
    <w:rsid w:val="000A15FB"/>
    <w:rsid w:val="000A1BC0"/>
    <w:rsid w:val="000A2E2B"/>
    <w:rsid w:val="000A2F9E"/>
    <w:rsid w:val="000A311D"/>
    <w:rsid w:val="000A3E47"/>
    <w:rsid w:val="000A3E96"/>
    <w:rsid w:val="000A413A"/>
    <w:rsid w:val="000A522B"/>
    <w:rsid w:val="000A5355"/>
    <w:rsid w:val="000A5B88"/>
    <w:rsid w:val="000A6039"/>
    <w:rsid w:val="000A7453"/>
    <w:rsid w:val="000A7A1A"/>
    <w:rsid w:val="000A7D08"/>
    <w:rsid w:val="000B0121"/>
    <w:rsid w:val="000B0670"/>
    <w:rsid w:val="000B068E"/>
    <w:rsid w:val="000B0ABF"/>
    <w:rsid w:val="000B0E75"/>
    <w:rsid w:val="000B1190"/>
    <w:rsid w:val="000B1E7B"/>
    <w:rsid w:val="000B2DCB"/>
    <w:rsid w:val="000B3522"/>
    <w:rsid w:val="000B37D0"/>
    <w:rsid w:val="000B46F3"/>
    <w:rsid w:val="000B5689"/>
    <w:rsid w:val="000B5CE0"/>
    <w:rsid w:val="000B6CAC"/>
    <w:rsid w:val="000B6D13"/>
    <w:rsid w:val="000B7161"/>
    <w:rsid w:val="000B7612"/>
    <w:rsid w:val="000B78AE"/>
    <w:rsid w:val="000C1F8B"/>
    <w:rsid w:val="000C2C77"/>
    <w:rsid w:val="000C3DF9"/>
    <w:rsid w:val="000C48ED"/>
    <w:rsid w:val="000C4CF2"/>
    <w:rsid w:val="000C6713"/>
    <w:rsid w:val="000D0A14"/>
    <w:rsid w:val="000D0CE2"/>
    <w:rsid w:val="000D16EC"/>
    <w:rsid w:val="000D1931"/>
    <w:rsid w:val="000D1BFC"/>
    <w:rsid w:val="000D1D5D"/>
    <w:rsid w:val="000D1E21"/>
    <w:rsid w:val="000D281A"/>
    <w:rsid w:val="000D2848"/>
    <w:rsid w:val="000D2BBF"/>
    <w:rsid w:val="000D326A"/>
    <w:rsid w:val="000D51FB"/>
    <w:rsid w:val="000D54E1"/>
    <w:rsid w:val="000D5A72"/>
    <w:rsid w:val="000D69D8"/>
    <w:rsid w:val="000D6C57"/>
    <w:rsid w:val="000D6D80"/>
    <w:rsid w:val="000D7579"/>
    <w:rsid w:val="000D7E98"/>
    <w:rsid w:val="000E0640"/>
    <w:rsid w:val="000E08DB"/>
    <w:rsid w:val="000E0B52"/>
    <w:rsid w:val="000E135D"/>
    <w:rsid w:val="000E1708"/>
    <w:rsid w:val="000E22D8"/>
    <w:rsid w:val="000E3263"/>
    <w:rsid w:val="000E38FC"/>
    <w:rsid w:val="000E428C"/>
    <w:rsid w:val="000E44EE"/>
    <w:rsid w:val="000E4675"/>
    <w:rsid w:val="000E502D"/>
    <w:rsid w:val="000E5FF5"/>
    <w:rsid w:val="000E6A58"/>
    <w:rsid w:val="000E7D9A"/>
    <w:rsid w:val="000F00BA"/>
    <w:rsid w:val="000F02EB"/>
    <w:rsid w:val="000F1C60"/>
    <w:rsid w:val="000F316A"/>
    <w:rsid w:val="000F39CD"/>
    <w:rsid w:val="000F3C74"/>
    <w:rsid w:val="000F3E49"/>
    <w:rsid w:val="000F4BB8"/>
    <w:rsid w:val="000F4C3A"/>
    <w:rsid w:val="000F4FA9"/>
    <w:rsid w:val="000F531C"/>
    <w:rsid w:val="000F53FB"/>
    <w:rsid w:val="000F592C"/>
    <w:rsid w:val="000F66F8"/>
    <w:rsid w:val="000F6FD9"/>
    <w:rsid w:val="000F7127"/>
    <w:rsid w:val="000F7266"/>
    <w:rsid w:val="000F7B54"/>
    <w:rsid w:val="000F7E44"/>
    <w:rsid w:val="001000B3"/>
    <w:rsid w:val="00100818"/>
    <w:rsid w:val="00100891"/>
    <w:rsid w:val="00100A65"/>
    <w:rsid w:val="00100F8A"/>
    <w:rsid w:val="00101328"/>
    <w:rsid w:val="00101D0E"/>
    <w:rsid w:val="00101F85"/>
    <w:rsid w:val="0010270D"/>
    <w:rsid w:val="00102B40"/>
    <w:rsid w:val="00103207"/>
    <w:rsid w:val="001040DE"/>
    <w:rsid w:val="0010452E"/>
    <w:rsid w:val="00104836"/>
    <w:rsid w:val="00105AE2"/>
    <w:rsid w:val="001060C6"/>
    <w:rsid w:val="00106B80"/>
    <w:rsid w:val="00106F13"/>
    <w:rsid w:val="0010766D"/>
    <w:rsid w:val="00107B79"/>
    <w:rsid w:val="0011024A"/>
    <w:rsid w:val="0011032E"/>
    <w:rsid w:val="001106CC"/>
    <w:rsid w:val="0011072C"/>
    <w:rsid w:val="001109AE"/>
    <w:rsid w:val="0011100A"/>
    <w:rsid w:val="0011159A"/>
    <w:rsid w:val="00111847"/>
    <w:rsid w:val="00112738"/>
    <w:rsid w:val="0011348B"/>
    <w:rsid w:val="0011356A"/>
    <w:rsid w:val="0011405D"/>
    <w:rsid w:val="00115971"/>
    <w:rsid w:val="00115982"/>
    <w:rsid w:val="00115D5E"/>
    <w:rsid w:val="001163A2"/>
    <w:rsid w:val="00116C53"/>
    <w:rsid w:val="00116F7E"/>
    <w:rsid w:val="00117AA0"/>
    <w:rsid w:val="00120C33"/>
    <w:rsid w:val="0012137E"/>
    <w:rsid w:val="00121799"/>
    <w:rsid w:val="001222FC"/>
    <w:rsid w:val="0012333B"/>
    <w:rsid w:val="00123902"/>
    <w:rsid w:val="00124824"/>
    <w:rsid w:val="00124A51"/>
    <w:rsid w:val="00124B68"/>
    <w:rsid w:val="0012554A"/>
    <w:rsid w:val="001258C2"/>
    <w:rsid w:val="00126621"/>
    <w:rsid w:val="00126B1D"/>
    <w:rsid w:val="00127267"/>
    <w:rsid w:val="00127E6B"/>
    <w:rsid w:val="00127FAE"/>
    <w:rsid w:val="00130176"/>
    <w:rsid w:val="001301E9"/>
    <w:rsid w:val="00131966"/>
    <w:rsid w:val="00131D82"/>
    <w:rsid w:val="00132B22"/>
    <w:rsid w:val="00132EE0"/>
    <w:rsid w:val="00133054"/>
    <w:rsid w:val="00133108"/>
    <w:rsid w:val="00133D36"/>
    <w:rsid w:val="001351A3"/>
    <w:rsid w:val="001355B3"/>
    <w:rsid w:val="00135933"/>
    <w:rsid w:val="00135B85"/>
    <w:rsid w:val="0013647D"/>
    <w:rsid w:val="00137310"/>
    <w:rsid w:val="00137645"/>
    <w:rsid w:val="00137824"/>
    <w:rsid w:val="0014015A"/>
    <w:rsid w:val="00140E99"/>
    <w:rsid w:val="00141A25"/>
    <w:rsid w:val="00141BB4"/>
    <w:rsid w:val="00141BCC"/>
    <w:rsid w:val="001422B5"/>
    <w:rsid w:val="001424E4"/>
    <w:rsid w:val="001427B5"/>
    <w:rsid w:val="00143754"/>
    <w:rsid w:val="00143F67"/>
    <w:rsid w:val="00145234"/>
    <w:rsid w:val="00145540"/>
    <w:rsid w:val="001456B0"/>
    <w:rsid w:val="001459FA"/>
    <w:rsid w:val="00146721"/>
    <w:rsid w:val="00146CD2"/>
    <w:rsid w:val="001470F2"/>
    <w:rsid w:val="001473F7"/>
    <w:rsid w:val="001502A2"/>
    <w:rsid w:val="001519CC"/>
    <w:rsid w:val="00151CA4"/>
    <w:rsid w:val="00151F81"/>
    <w:rsid w:val="00151FFD"/>
    <w:rsid w:val="001547AB"/>
    <w:rsid w:val="001551CC"/>
    <w:rsid w:val="00155C3E"/>
    <w:rsid w:val="00156501"/>
    <w:rsid w:val="001569A3"/>
    <w:rsid w:val="00156F8F"/>
    <w:rsid w:val="00157130"/>
    <w:rsid w:val="00157290"/>
    <w:rsid w:val="001576B1"/>
    <w:rsid w:val="0016047B"/>
    <w:rsid w:val="00160905"/>
    <w:rsid w:val="00160A4C"/>
    <w:rsid w:val="00162913"/>
    <w:rsid w:val="00163EFF"/>
    <w:rsid w:val="00163F66"/>
    <w:rsid w:val="0016478E"/>
    <w:rsid w:val="001649C4"/>
    <w:rsid w:val="00165EC4"/>
    <w:rsid w:val="0016613D"/>
    <w:rsid w:val="001661EB"/>
    <w:rsid w:val="001661FB"/>
    <w:rsid w:val="001670A7"/>
    <w:rsid w:val="00167190"/>
    <w:rsid w:val="001671A0"/>
    <w:rsid w:val="0016758D"/>
    <w:rsid w:val="0016767F"/>
    <w:rsid w:val="00170090"/>
    <w:rsid w:val="00170478"/>
    <w:rsid w:val="001731A8"/>
    <w:rsid w:val="00173565"/>
    <w:rsid w:val="00173B07"/>
    <w:rsid w:val="00173FAC"/>
    <w:rsid w:val="001751FA"/>
    <w:rsid w:val="0017549E"/>
    <w:rsid w:val="00176343"/>
    <w:rsid w:val="001765CB"/>
    <w:rsid w:val="00177685"/>
    <w:rsid w:val="00177C0A"/>
    <w:rsid w:val="00177DB1"/>
    <w:rsid w:val="0018139A"/>
    <w:rsid w:val="00181C10"/>
    <w:rsid w:val="00181D9C"/>
    <w:rsid w:val="00181EED"/>
    <w:rsid w:val="001828E9"/>
    <w:rsid w:val="00182912"/>
    <w:rsid w:val="00182AE9"/>
    <w:rsid w:val="00183111"/>
    <w:rsid w:val="00183144"/>
    <w:rsid w:val="00183267"/>
    <w:rsid w:val="00183333"/>
    <w:rsid w:val="001837B0"/>
    <w:rsid w:val="001837FF"/>
    <w:rsid w:val="00184B0E"/>
    <w:rsid w:val="001867F9"/>
    <w:rsid w:val="00187191"/>
    <w:rsid w:val="001871E1"/>
    <w:rsid w:val="0018752F"/>
    <w:rsid w:val="001877D4"/>
    <w:rsid w:val="00187A19"/>
    <w:rsid w:val="00187AA0"/>
    <w:rsid w:val="00187CB9"/>
    <w:rsid w:val="00191246"/>
    <w:rsid w:val="001914CD"/>
    <w:rsid w:val="00192CCF"/>
    <w:rsid w:val="00193838"/>
    <w:rsid w:val="0019389E"/>
    <w:rsid w:val="001942D4"/>
    <w:rsid w:val="0019444B"/>
    <w:rsid w:val="00194AD8"/>
    <w:rsid w:val="00195222"/>
    <w:rsid w:val="00195452"/>
    <w:rsid w:val="00195DD6"/>
    <w:rsid w:val="00196048"/>
    <w:rsid w:val="001960DC"/>
    <w:rsid w:val="001974E7"/>
    <w:rsid w:val="001975D8"/>
    <w:rsid w:val="001A178E"/>
    <w:rsid w:val="001A1F1E"/>
    <w:rsid w:val="001A2D0C"/>
    <w:rsid w:val="001A2EC9"/>
    <w:rsid w:val="001A3DE5"/>
    <w:rsid w:val="001A4388"/>
    <w:rsid w:val="001A43FA"/>
    <w:rsid w:val="001A47C5"/>
    <w:rsid w:val="001A5082"/>
    <w:rsid w:val="001A5798"/>
    <w:rsid w:val="001A58D8"/>
    <w:rsid w:val="001A59FB"/>
    <w:rsid w:val="001A5C93"/>
    <w:rsid w:val="001A5E9E"/>
    <w:rsid w:val="001A6354"/>
    <w:rsid w:val="001A6366"/>
    <w:rsid w:val="001A638C"/>
    <w:rsid w:val="001A73FA"/>
    <w:rsid w:val="001A7AE8"/>
    <w:rsid w:val="001B0C0A"/>
    <w:rsid w:val="001B204E"/>
    <w:rsid w:val="001B2372"/>
    <w:rsid w:val="001B2AF6"/>
    <w:rsid w:val="001B2B72"/>
    <w:rsid w:val="001B3443"/>
    <w:rsid w:val="001B4D20"/>
    <w:rsid w:val="001B524B"/>
    <w:rsid w:val="001B5D5F"/>
    <w:rsid w:val="001B7F84"/>
    <w:rsid w:val="001C234C"/>
    <w:rsid w:val="001C2A9B"/>
    <w:rsid w:val="001C302C"/>
    <w:rsid w:val="001C3542"/>
    <w:rsid w:val="001C3785"/>
    <w:rsid w:val="001C3DD6"/>
    <w:rsid w:val="001C4299"/>
    <w:rsid w:val="001C4793"/>
    <w:rsid w:val="001C4874"/>
    <w:rsid w:val="001C5F94"/>
    <w:rsid w:val="001C6E66"/>
    <w:rsid w:val="001C73CF"/>
    <w:rsid w:val="001D09A0"/>
    <w:rsid w:val="001D1096"/>
    <w:rsid w:val="001D1100"/>
    <w:rsid w:val="001D1249"/>
    <w:rsid w:val="001D1391"/>
    <w:rsid w:val="001D1B4F"/>
    <w:rsid w:val="001D20AB"/>
    <w:rsid w:val="001D220F"/>
    <w:rsid w:val="001D25D7"/>
    <w:rsid w:val="001D3042"/>
    <w:rsid w:val="001D383B"/>
    <w:rsid w:val="001D3885"/>
    <w:rsid w:val="001D46D8"/>
    <w:rsid w:val="001D50A7"/>
    <w:rsid w:val="001D50B2"/>
    <w:rsid w:val="001D5F87"/>
    <w:rsid w:val="001D66A7"/>
    <w:rsid w:val="001D71F4"/>
    <w:rsid w:val="001D7645"/>
    <w:rsid w:val="001E0EAD"/>
    <w:rsid w:val="001E1674"/>
    <w:rsid w:val="001E1E86"/>
    <w:rsid w:val="001E2139"/>
    <w:rsid w:val="001E238E"/>
    <w:rsid w:val="001E2483"/>
    <w:rsid w:val="001E2B1E"/>
    <w:rsid w:val="001E2CFF"/>
    <w:rsid w:val="001E2F24"/>
    <w:rsid w:val="001E30D4"/>
    <w:rsid w:val="001E34DF"/>
    <w:rsid w:val="001E3ABB"/>
    <w:rsid w:val="001E51D6"/>
    <w:rsid w:val="001E52EB"/>
    <w:rsid w:val="001E5500"/>
    <w:rsid w:val="001E5DA3"/>
    <w:rsid w:val="001E5E5C"/>
    <w:rsid w:val="001E61D2"/>
    <w:rsid w:val="001E63EB"/>
    <w:rsid w:val="001E71A9"/>
    <w:rsid w:val="001E740C"/>
    <w:rsid w:val="001E789A"/>
    <w:rsid w:val="001E7DEF"/>
    <w:rsid w:val="001F0A49"/>
    <w:rsid w:val="001F1109"/>
    <w:rsid w:val="001F1235"/>
    <w:rsid w:val="001F1B4A"/>
    <w:rsid w:val="001F1CB3"/>
    <w:rsid w:val="001F2439"/>
    <w:rsid w:val="001F355E"/>
    <w:rsid w:val="001F38B5"/>
    <w:rsid w:val="001F3B64"/>
    <w:rsid w:val="001F3EF1"/>
    <w:rsid w:val="001F406B"/>
    <w:rsid w:val="001F4081"/>
    <w:rsid w:val="001F43A8"/>
    <w:rsid w:val="001F7361"/>
    <w:rsid w:val="00200158"/>
    <w:rsid w:val="002011B0"/>
    <w:rsid w:val="002011F0"/>
    <w:rsid w:val="00201347"/>
    <w:rsid w:val="0020206B"/>
    <w:rsid w:val="00202699"/>
    <w:rsid w:val="00203181"/>
    <w:rsid w:val="00203783"/>
    <w:rsid w:val="0020385F"/>
    <w:rsid w:val="00204311"/>
    <w:rsid w:val="0020472E"/>
    <w:rsid w:val="00206139"/>
    <w:rsid w:val="00206694"/>
    <w:rsid w:val="002068A0"/>
    <w:rsid w:val="00207021"/>
    <w:rsid w:val="0020732F"/>
    <w:rsid w:val="00207383"/>
    <w:rsid w:val="002075E1"/>
    <w:rsid w:val="00207737"/>
    <w:rsid w:val="00207D00"/>
    <w:rsid w:val="002105C1"/>
    <w:rsid w:val="00210658"/>
    <w:rsid w:val="0021125B"/>
    <w:rsid w:val="002116FD"/>
    <w:rsid w:val="002117A7"/>
    <w:rsid w:val="0021218C"/>
    <w:rsid w:val="00212D98"/>
    <w:rsid w:val="00213EF5"/>
    <w:rsid w:val="00214832"/>
    <w:rsid w:val="002157D6"/>
    <w:rsid w:val="00215A04"/>
    <w:rsid w:val="00215E57"/>
    <w:rsid w:val="00216304"/>
    <w:rsid w:val="00216BF5"/>
    <w:rsid w:val="00216D28"/>
    <w:rsid w:val="00217CF8"/>
    <w:rsid w:val="00220DF3"/>
    <w:rsid w:val="00222DF5"/>
    <w:rsid w:val="002236E2"/>
    <w:rsid w:val="00223B49"/>
    <w:rsid w:val="00223D5A"/>
    <w:rsid w:val="002246A0"/>
    <w:rsid w:val="00224DD4"/>
    <w:rsid w:val="00225F2E"/>
    <w:rsid w:val="00226AD6"/>
    <w:rsid w:val="00226E28"/>
    <w:rsid w:val="00227230"/>
    <w:rsid w:val="002275F8"/>
    <w:rsid w:val="002278A0"/>
    <w:rsid w:val="00227D28"/>
    <w:rsid w:val="002309CC"/>
    <w:rsid w:val="002313DD"/>
    <w:rsid w:val="00231802"/>
    <w:rsid w:val="00231BA9"/>
    <w:rsid w:val="0023209F"/>
    <w:rsid w:val="00233C01"/>
    <w:rsid w:val="0023413C"/>
    <w:rsid w:val="002346F0"/>
    <w:rsid w:val="0023565F"/>
    <w:rsid w:val="002356CB"/>
    <w:rsid w:val="00235D2C"/>
    <w:rsid w:val="0023629D"/>
    <w:rsid w:val="002367CD"/>
    <w:rsid w:val="00237255"/>
    <w:rsid w:val="00240CDB"/>
    <w:rsid w:val="002424AF"/>
    <w:rsid w:val="002439DC"/>
    <w:rsid w:val="002441D2"/>
    <w:rsid w:val="00244451"/>
    <w:rsid w:val="002446EA"/>
    <w:rsid w:val="00244B7F"/>
    <w:rsid w:val="00244DC8"/>
    <w:rsid w:val="002458BA"/>
    <w:rsid w:val="00245C70"/>
    <w:rsid w:val="00245CE9"/>
    <w:rsid w:val="00246309"/>
    <w:rsid w:val="0024636C"/>
    <w:rsid w:val="002477EE"/>
    <w:rsid w:val="00247925"/>
    <w:rsid w:val="00250A2F"/>
    <w:rsid w:val="00250D4C"/>
    <w:rsid w:val="00251006"/>
    <w:rsid w:val="00251E32"/>
    <w:rsid w:val="00251ECA"/>
    <w:rsid w:val="002524D5"/>
    <w:rsid w:val="0025270C"/>
    <w:rsid w:val="0025370C"/>
    <w:rsid w:val="00253B1D"/>
    <w:rsid w:val="00253C12"/>
    <w:rsid w:val="00254DCF"/>
    <w:rsid w:val="0025534B"/>
    <w:rsid w:val="00255BB7"/>
    <w:rsid w:val="002560EE"/>
    <w:rsid w:val="00257541"/>
    <w:rsid w:val="00257A39"/>
    <w:rsid w:val="00257AC4"/>
    <w:rsid w:val="00257BBE"/>
    <w:rsid w:val="00260442"/>
    <w:rsid w:val="00261EEF"/>
    <w:rsid w:val="00262A1A"/>
    <w:rsid w:val="00262A87"/>
    <w:rsid w:val="00262BF8"/>
    <w:rsid w:val="00262C6B"/>
    <w:rsid w:val="0026394C"/>
    <w:rsid w:val="00264D26"/>
    <w:rsid w:val="00265EF7"/>
    <w:rsid w:val="00267136"/>
    <w:rsid w:val="00267642"/>
    <w:rsid w:val="00267AEA"/>
    <w:rsid w:val="002700E6"/>
    <w:rsid w:val="00270163"/>
    <w:rsid w:val="00270B9E"/>
    <w:rsid w:val="00270DE2"/>
    <w:rsid w:val="00270E74"/>
    <w:rsid w:val="00270EAC"/>
    <w:rsid w:val="0027294B"/>
    <w:rsid w:val="00272AEB"/>
    <w:rsid w:val="00273EB4"/>
    <w:rsid w:val="00274682"/>
    <w:rsid w:val="0027500F"/>
    <w:rsid w:val="00275158"/>
    <w:rsid w:val="002755EB"/>
    <w:rsid w:val="00275C5A"/>
    <w:rsid w:val="00276C8C"/>
    <w:rsid w:val="0027741E"/>
    <w:rsid w:val="00280B5D"/>
    <w:rsid w:val="00280F0F"/>
    <w:rsid w:val="00281014"/>
    <w:rsid w:val="0028137A"/>
    <w:rsid w:val="00281B45"/>
    <w:rsid w:val="00283431"/>
    <w:rsid w:val="002840A0"/>
    <w:rsid w:val="002841FA"/>
    <w:rsid w:val="00284DAF"/>
    <w:rsid w:val="00284F0C"/>
    <w:rsid w:val="00285BCE"/>
    <w:rsid w:val="0028653C"/>
    <w:rsid w:val="0028665D"/>
    <w:rsid w:val="00286D89"/>
    <w:rsid w:val="00286E5F"/>
    <w:rsid w:val="0028706C"/>
    <w:rsid w:val="0028782C"/>
    <w:rsid w:val="0029273F"/>
    <w:rsid w:val="00293456"/>
    <w:rsid w:val="00294489"/>
    <w:rsid w:val="002948D9"/>
    <w:rsid w:val="00294A91"/>
    <w:rsid w:val="00294BD0"/>
    <w:rsid w:val="00294C68"/>
    <w:rsid w:val="00294D32"/>
    <w:rsid w:val="00295876"/>
    <w:rsid w:val="00296471"/>
    <w:rsid w:val="00297A0F"/>
    <w:rsid w:val="002A14AB"/>
    <w:rsid w:val="002A1682"/>
    <w:rsid w:val="002A2ADE"/>
    <w:rsid w:val="002A2F50"/>
    <w:rsid w:val="002A2FC6"/>
    <w:rsid w:val="002A383C"/>
    <w:rsid w:val="002A3C7F"/>
    <w:rsid w:val="002A548F"/>
    <w:rsid w:val="002A7943"/>
    <w:rsid w:val="002B0282"/>
    <w:rsid w:val="002B0385"/>
    <w:rsid w:val="002B05A1"/>
    <w:rsid w:val="002B09A4"/>
    <w:rsid w:val="002B0AF5"/>
    <w:rsid w:val="002B0BC8"/>
    <w:rsid w:val="002B1C1F"/>
    <w:rsid w:val="002B432F"/>
    <w:rsid w:val="002B6192"/>
    <w:rsid w:val="002B62B3"/>
    <w:rsid w:val="002B6754"/>
    <w:rsid w:val="002B67AA"/>
    <w:rsid w:val="002B6B32"/>
    <w:rsid w:val="002B6CCE"/>
    <w:rsid w:val="002B6D8D"/>
    <w:rsid w:val="002B6E6D"/>
    <w:rsid w:val="002B6EA9"/>
    <w:rsid w:val="002B7B84"/>
    <w:rsid w:val="002C2510"/>
    <w:rsid w:val="002C2775"/>
    <w:rsid w:val="002C27C1"/>
    <w:rsid w:val="002C36E3"/>
    <w:rsid w:val="002C47F0"/>
    <w:rsid w:val="002C5099"/>
    <w:rsid w:val="002C5889"/>
    <w:rsid w:val="002C5FBB"/>
    <w:rsid w:val="002C6582"/>
    <w:rsid w:val="002C6FAE"/>
    <w:rsid w:val="002C71CE"/>
    <w:rsid w:val="002C7276"/>
    <w:rsid w:val="002C7B6A"/>
    <w:rsid w:val="002D05F9"/>
    <w:rsid w:val="002D08CD"/>
    <w:rsid w:val="002D08F8"/>
    <w:rsid w:val="002D0A90"/>
    <w:rsid w:val="002D0D06"/>
    <w:rsid w:val="002D1158"/>
    <w:rsid w:val="002D138B"/>
    <w:rsid w:val="002D27D0"/>
    <w:rsid w:val="002D2C6B"/>
    <w:rsid w:val="002D35AF"/>
    <w:rsid w:val="002D36E2"/>
    <w:rsid w:val="002D4E28"/>
    <w:rsid w:val="002D524D"/>
    <w:rsid w:val="002D577C"/>
    <w:rsid w:val="002D5C1F"/>
    <w:rsid w:val="002D7832"/>
    <w:rsid w:val="002D7B94"/>
    <w:rsid w:val="002E0732"/>
    <w:rsid w:val="002E0766"/>
    <w:rsid w:val="002E07EA"/>
    <w:rsid w:val="002E1071"/>
    <w:rsid w:val="002E15B9"/>
    <w:rsid w:val="002E2158"/>
    <w:rsid w:val="002E2DEC"/>
    <w:rsid w:val="002E49EF"/>
    <w:rsid w:val="002E4A4A"/>
    <w:rsid w:val="002E4F02"/>
    <w:rsid w:val="002E5099"/>
    <w:rsid w:val="002E5E60"/>
    <w:rsid w:val="002E635E"/>
    <w:rsid w:val="002E710C"/>
    <w:rsid w:val="002E7228"/>
    <w:rsid w:val="002E7722"/>
    <w:rsid w:val="002F0445"/>
    <w:rsid w:val="002F054A"/>
    <w:rsid w:val="002F0706"/>
    <w:rsid w:val="002F07BA"/>
    <w:rsid w:val="002F0DA9"/>
    <w:rsid w:val="002F0DBC"/>
    <w:rsid w:val="002F1014"/>
    <w:rsid w:val="002F17F5"/>
    <w:rsid w:val="002F1865"/>
    <w:rsid w:val="002F1E3B"/>
    <w:rsid w:val="002F2668"/>
    <w:rsid w:val="002F2739"/>
    <w:rsid w:val="002F2A62"/>
    <w:rsid w:val="002F2C5E"/>
    <w:rsid w:val="002F382D"/>
    <w:rsid w:val="002F46FC"/>
    <w:rsid w:val="002F4E4E"/>
    <w:rsid w:val="002F5EE3"/>
    <w:rsid w:val="002F643C"/>
    <w:rsid w:val="002F6BFB"/>
    <w:rsid w:val="002F71C0"/>
    <w:rsid w:val="002F74F1"/>
    <w:rsid w:val="003001C3"/>
    <w:rsid w:val="00300609"/>
    <w:rsid w:val="00301017"/>
    <w:rsid w:val="0030155F"/>
    <w:rsid w:val="00301727"/>
    <w:rsid w:val="0030324A"/>
    <w:rsid w:val="003035F1"/>
    <w:rsid w:val="00305400"/>
    <w:rsid w:val="0030587B"/>
    <w:rsid w:val="00306D98"/>
    <w:rsid w:val="00306EA1"/>
    <w:rsid w:val="0030786C"/>
    <w:rsid w:val="0031031A"/>
    <w:rsid w:val="00310981"/>
    <w:rsid w:val="00311D9B"/>
    <w:rsid w:val="003124D9"/>
    <w:rsid w:val="00312594"/>
    <w:rsid w:val="003130D0"/>
    <w:rsid w:val="003131A0"/>
    <w:rsid w:val="0031383E"/>
    <w:rsid w:val="00314416"/>
    <w:rsid w:val="003149FA"/>
    <w:rsid w:val="00315498"/>
    <w:rsid w:val="00316474"/>
    <w:rsid w:val="00316E20"/>
    <w:rsid w:val="0031759B"/>
    <w:rsid w:val="00322107"/>
    <w:rsid w:val="00322355"/>
    <w:rsid w:val="00322846"/>
    <w:rsid w:val="00322E9F"/>
    <w:rsid w:val="00324180"/>
    <w:rsid w:val="00324AE8"/>
    <w:rsid w:val="00324BB7"/>
    <w:rsid w:val="00324E33"/>
    <w:rsid w:val="00326DA7"/>
    <w:rsid w:val="003270E4"/>
    <w:rsid w:val="00327F7C"/>
    <w:rsid w:val="0033095B"/>
    <w:rsid w:val="00330DAA"/>
    <w:rsid w:val="00330F5C"/>
    <w:rsid w:val="00331127"/>
    <w:rsid w:val="003317D7"/>
    <w:rsid w:val="00331E58"/>
    <w:rsid w:val="00332019"/>
    <w:rsid w:val="003320D8"/>
    <w:rsid w:val="003334CB"/>
    <w:rsid w:val="00333B42"/>
    <w:rsid w:val="00333F19"/>
    <w:rsid w:val="003356C0"/>
    <w:rsid w:val="0033579F"/>
    <w:rsid w:val="003358E5"/>
    <w:rsid w:val="00336564"/>
    <w:rsid w:val="003366C9"/>
    <w:rsid w:val="00337091"/>
    <w:rsid w:val="003371B0"/>
    <w:rsid w:val="003372DF"/>
    <w:rsid w:val="0033775C"/>
    <w:rsid w:val="0034080A"/>
    <w:rsid w:val="003409AA"/>
    <w:rsid w:val="00340AAF"/>
    <w:rsid w:val="00340DF1"/>
    <w:rsid w:val="00342280"/>
    <w:rsid w:val="00344306"/>
    <w:rsid w:val="0034465D"/>
    <w:rsid w:val="00344990"/>
    <w:rsid w:val="00344A4D"/>
    <w:rsid w:val="00345CDE"/>
    <w:rsid w:val="00345F20"/>
    <w:rsid w:val="0034797E"/>
    <w:rsid w:val="00347A48"/>
    <w:rsid w:val="00347B93"/>
    <w:rsid w:val="0035033B"/>
    <w:rsid w:val="003517F9"/>
    <w:rsid w:val="00351AB5"/>
    <w:rsid w:val="00351BA9"/>
    <w:rsid w:val="00352390"/>
    <w:rsid w:val="00352846"/>
    <w:rsid w:val="003537F1"/>
    <w:rsid w:val="00354F64"/>
    <w:rsid w:val="0035573A"/>
    <w:rsid w:val="0035620E"/>
    <w:rsid w:val="00356D1E"/>
    <w:rsid w:val="00356FA6"/>
    <w:rsid w:val="003575BE"/>
    <w:rsid w:val="00357A4F"/>
    <w:rsid w:val="00360120"/>
    <w:rsid w:val="00360345"/>
    <w:rsid w:val="00360831"/>
    <w:rsid w:val="0036171E"/>
    <w:rsid w:val="00361A05"/>
    <w:rsid w:val="0036227F"/>
    <w:rsid w:val="003624C4"/>
    <w:rsid w:val="00363B00"/>
    <w:rsid w:val="003654AC"/>
    <w:rsid w:val="0036609B"/>
    <w:rsid w:val="00366626"/>
    <w:rsid w:val="00367423"/>
    <w:rsid w:val="00367CE5"/>
    <w:rsid w:val="00370851"/>
    <w:rsid w:val="003710CF"/>
    <w:rsid w:val="003717B6"/>
    <w:rsid w:val="00372418"/>
    <w:rsid w:val="00373371"/>
    <w:rsid w:val="003734F5"/>
    <w:rsid w:val="0037358A"/>
    <w:rsid w:val="00373955"/>
    <w:rsid w:val="003741FC"/>
    <w:rsid w:val="003750F6"/>
    <w:rsid w:val="00375976"/>
    <w:rsid w:val="00375C57"/>
    <w:rsid w:val="00375EB8"/>
    <w:rsid w:val="003760FC"/>
    <w:rsid w:val="00376FEA"/>
    <w:rsid w:val="00377DB4"/>
    <w:rsid w:val="00380180"/>
    <w:rsid w:val="00380E9A"/>
    <w:rsid w:val="00382557"/>
    <w:rsid w:val="0038365C"/>
    <w:rsid w:val="0038369B"/>
    <w:rsid w:val="00383A3C"/>
    <w:rsid w:val="00383B78"/>
    <w:rsid w:val="00383E36"/>
    <w:rsid w:val="00383F8D"/>
    <w:rsid w:val="00383FC5"/>
    <w:rsid w:val="0038415A"/>
    <w:rsid w:val="00384271"/>
    <w:rsid w:val="00384619"/>
    <w:rsid w:val="00385998"/>
    <w:rsid w:val="00385A9D"/>
    <w:rsid w:val="003867B9"/>
    <w:rsid w:val="00386B2B"/>
    <w:rsid w:val="00387121"/>
    <w:rsid w:val="0038759E"/>
    <w:rsid w:val="00387B17"/>
    <w:rsid w:val="003902B1"/>
    <w:rsid w:val="0039066F"/>
    <w:rsid w:val="00391420"/>
    <w:rsid w:val="0039157B"/>
    <w:rsid w:val="0039163E"/>
    <w:rsid w:val="0039179C"/>
    <w:rsid w:val="003925F0"/>
    <w:rsid w:val="00392F26"/>
    <w:rsid w:val="0039309F"/>
    <w:rsid w:val="0039339E"/>
    <w:rsid w:val="003935CF"/>
    <w:rsid w:val="00395B12"/>
    <w:rsid w:val="003965B7"/>
    <w:rsid w:val="00396896"/>
    <w:rsid w:val="00396FD0"/>
    <w:rsid w:val="003971EA"/>
    <w:rsid w:val="003973D3"/>
    <w:rsid w:val="00397521"/>
    <w:rsid w:val="00397826"/>
    <w:rsid w:val="00397E28"/>
    <w:rsid w:val="003A07BD"/>
    <w:rsid w:val="003A1A7A"/>
    <w:rsid w:val="003A2342"/>
    <w:rsid w:val="003A2392"/>
    <w:rsid w:val="003A2659"/>
    <w:rsid w:val="003A2831"/>
    <w:rsid w:val="003A2870"/>
    <w:rsid w:val="003A2A85"/>
    <w:rsid w:val="003A2B73"/>
    <w:rsid w:val="003A3CB6"/>
    <w:rsid w:val="003A3ED1"/>
    <w:rsid w:val="003A44DB"/>
    <w:rsid w:val="003A4C14"/>
    <w:rsid w:val="003A53B6"/>
    <w:rsid w:val="003A5E55"/>
    <w:rsid w:val="003A5E8A"/>
    <w:rsid w:val="003A5F43"/>
    <w:rsid w:val="003A6D86"/>
    <w:rsid w:val="003A7759"/>
    <w:rsid w:val="003B0043"/>
    <w:rsid w:val="003B21E2"/>
    <w:rsid w:val="003B3971"/>
    <w:rsid w:val="003B3D05"/>
    <w:rsid w:val="003B4E51"/>
    <w:rsid w:val="003B55D1"/>
    <w:rsid w:val="003B5B61"/>
    <w:rsid w:val="003B5D1F"/>
    <w:rsid w:val="003B643E"/>
    <w:rsid w:val="003B7D2C"/>
    <w:rsid w:val="003C1654"/>
    <w:rsid w:val="003C1BA0"/>
    <w:rsid w:val="003C357B"/>
    <w:rsid w:val="003C3607"/>
    <w:rsid w:val="003C4D7C"/>
    <w:rsid w:val="003C5511"/>
    <w:rsid w:val="003C5542"/>
    <w:rsid w:val="003C6AC5"/>
    <w:rsid w:val="003C7C15"/>
    <w:rsid w:val="003C7D19"/>
    <w:rsid w:val="003C7D2F"/>
    <w:rsid w:val="003D0857"/>
    <w:rsid w:val="003D0C5A"/>
    <w:rsid w:val="003D14E6"/>
    <w:rsid w:val="003D1828"/>
    <w:rsid w:val="003D1DE4"/>
    <w:rsid w:val="003D1E9A"/>
    <w:rsid w:val="003D2422"/>
    <w:rsid w:val="003D3396"/>
    <w:rsid w:val="003D39A1"/>
    <w:rsid w:val="003D3D98"/>
    <w:rsid w:val="003D3DD7"/>
    <w:rsid w:val="003D3FBF"/>
    <w:rsid w:val="003D4438"/>
    <w:rsid w:val="003D46FC"/>
    <w:rsid w:val="003D4A30"/>
    <w:rsid w:val="003D5D4B"/>
    <w:rsid w:val="003D677A"/>
    <w:rsid w:val="003D67AB"/>
    <w:rsid w:val="003D7452"/>
    <w:rsid w:val="003D79BB"/>
    <w:rsid w:val="003D7C98"/>
    <w:rsid w:val="003D7D9D"/>
    <w:rsid w:val="003E0543"/>
    <w:rsid w:val="003E070E"/>
    <w:rsid w:val="003E159E"/>
    <w:rsid w:val="003E197D"/>
    <w:rsid w:val="003E1996"/>
    <w:rsid w:val="003E44A1"/>
    <w:rsid w:val="003E5603"/>
    <w:rsid w:val="003E5EEC"/>
    <w:rsid w:val="003E5FCA"/>
    <w:rsid w:val="003E64DF"/>
    <w:rsid w:val="003E7173"/>
    <w:rsid w:val="003E749E"/>
    <w:rsid w:val="003F03A3"/>
    <w:rsid w:val="003F2211"/>
    <w:rsid w:val="003F2231"/>
    <w:rsid w:val="003F25C5"/>
    <w:rsid w:val="003F2B39"/>
    <w:rsid w:val="003F3058"/>
    <w:rsid w:val="003F3D20"/>
    <w:rsid w:val="003F4156"/>
    <w:rsid w:val="003F41DE"/>
    <w:rsid w:val="003F4621"/>
    <w:rsid w:val="003F4CA2"/>
    <w:rsid w:val="003F5086"/>
    <w:rsid w:val="003F5287"/>
    <w:rsid w:val="003F54DE"/>
    <w:rsid w:val="003F5694"/>
    <w:rsid w:val="003F5ADF"/>
    <w:rsid w:val="003F60C6"/>
    <w:rsid w:val="003F7A5E"/>
    <w:rsid w:val="003F7C66"/>
    <w:rsid w:val="0040018E"/>
    <w:rsid w:val="004004B7"/>
    <w:rsid w:val="004005C6"/>
    <w:rsid w:val="004005E0"/>
    <w:rsid w:val="00400B29"/>
    <w:rsid w:val="00400BC6"/>
    <w:rsid w:val="00400C8C"/>
    <w:rsid w:val="00401210"/>
    <w:rsid w:val="0040149D"/>
    <w:rsid w:val="0040160A"/>
    <w:rsid w:val="00401B75"/>
    <w:rsid w:val="00402812"/>
    <w:rsid w:val="00403440"/>
    <w:rsid w:val="00403687"/>
    <w:rsid w:val="004038F2"/>
    <w:rsid w:val="004040A7"/>
    <w:rsid w:val="00404286"/>
    <w:rsid w:val="004044BE"/>
    <w:rsid w:val="00404786"/>
    <w:rsid w:val="0040504B"/>
    <w:rsid w:val="004059F4"/>
    <w:rsid w:val="00405E42"/>
    <w:rsid w:val="00406D46"/>
    <w:rsid w:val="00406FC0"/>
    <w:rsid w:val="00407268"/>
    <w:rsid w:val="00407B7B"/>
    <w:rsid w:val="00407FE5"/>
    <w:rsid w:val="004101B0"/>
    <w:rsid w:val="00410326"/>
    <w:rsid w:val="00410451"/>
    <w:rsid w:val="004104D0"/>
    <w:rsid w:val="00410708"/>
    <w:rsid w:val="00410C98"/>
    <w:rsid w:val="00410EC7"/>
    <w:rsid w:val="00411B39"/>
    <w:rsid w:val="004127A7"/>
    <w:rsid w:val="0041360A"/>
    <w:rsid w:val="00413A1E"/>
    <w:rsid w:val="00413D86"/>
    <w:rsid w:val="00414476"/>
    <w:rsid w:val="00414C2E"/>
    <w:rsid w:val="004151CF"/>
    <w:rsid w:val="00416364"/>
    <w:rsid w:val="0042047F"/>
    <w:rsid w:val="004207C4"/>
    <w:rsid w:val="00420A66"/>
    <w:rsid w:val="00420A6C"/>
    <w:rsid w:val="00420AA6"/>
    <w:rsid w:val="00420B9F"/>
    <w:rsid w:val="0042192C"/>
    <w:rsid w:val="00422260"/>
    <w:rsid w:val="0042285C"/>
    <w:rsid w:val="00422F5A"/>
    <w:rsid w:val="004235DB"/>
    <w:rsid w:val="0042413F"/>
    <w:rsid w:val="00424D4C"/>
    <w:rsid w:val="00424E67"/>
    <w:rsid w:val="00425DCE"/>
    <w:rsid w:val="004277F0"/>
    <w:rsid w:val="0043022A"/>
    <w:rsid w:val="0043175E"/>
    <w:rsid w:val="004319F8"/>
    <w:rsid w:val="00431E55"/>
    <w:rsid w:val="004321F6"/>
    <w:rsid w:val="0043231A"/>
    <w:rsid w:val="004325BF"/>
    <w:rsid w:val="00432962"/>
    <w:rsid w:val="00433044"/>
    <w:rsid w:val="00433B05"/>
    <w:rsid w:val="00433CC8"/>
    <w:rsid w:val="00434088"/>
    <w:rsid w:val="004345D9"/>
    <w:rsid w:val="004349ED"/>
    <w:rsid w:val="00435892"/>
    <w:rsid w:val="00436890"/>
    <w:rsid w:val="00436D33"/>
    <w:rsid w:val="00436D4C"/>
    <w:rsid w:val="004375B9"/>
    <w:rsid w:val="00440958"/>
    <w:rsid w:val="004428D0"/>
    <w:rsid w:val="00443522"/>
    <w:rsid w:val="00444185"/>
    <w:rsid w:val="004443A7"/>
    <w:rsid w:val="0044442C"/>
    <w:rsid w:val="00445418"/>
    <w:rsid w:val="00445941"/>
    <w:rsid w:val="004464EB"/>
    <w:rsid w:val="00446D9E"/>
    <w:rsid w:val="00447163"/>
    <w:rsid w:val="00447D26"/>
    <w:rsid w:val="00447DFC"/>
    <w:rsid w:val="00450155"/>
    <w:rsid w:val="0045054F"/>
    <w:rsid w:val="0045108C"/>
    <w:rsid w:val="00452071"/>
    <w:rsid w:val="00452141"/>
    <w:rsid w:val="004521D0"/>
    <w:rsid w:val="004522AC"/>
    <w:rsid w:val="0045329E"/>
    <w:rsid w:val="00455D45"/>
    <w:rsid w:val="00462352"/>
    <w:rsid w:val="00462422"/>
    <w:rsid w:val="00463685"/>
    <w:rsid w:val="00464517"/>
    <w:rsid w:val="00464519"/>
    <w:rsid w:val="00464558"/>
    <w:rsid w:val="00464595"/>
    <w:rsid w:val="00464A9E"/>
    <w:rsid w:val="00465484"/>
    <w:rsid w:val="004658B5"/>
    <w:rsid w:val="00466BA4"/>
    <w:rsid w:val="00466FD4"/>
    <w:rsid w:val="0046725C"/>
    <w:rsid w:val="00471EA5"/>
    <w:rsid w:val="00471FF8"/>
    <w:rsid w:val="00472A79"/>
    <w:rsid w:val="00472B82"/>
    <w:rsid w:val="00472CD2"/>
    <w:rsid w:val="00473777"/>
    <w:rsid w:val="00473A24"/>
    <w:rsid w:val="00473F19"/>
    <w:rsid w:val="00475A26"/>
    <w:rsid w:val="00475C31"/>
    <w:rsid w:val="00475E22"/>
    <w:rsid w:val="00476338"/>
    <w:rsid w:val="004769F7"/>
    <w:rsid w:val="004771B7"/>
    <w:rsid w:val="00477512"/>
    <w:rsid w:val="0048088E"/>
    <w:rsid w:val="00480F2B"/>
    <w:rsid w:val="004826A2"/>
    <w:rsid w:val="00482720"/>
    <w:rsid w:val="004835E7"/>
    <w:rsid w:val="00485257"/>
    <w:rsid w:val="0048577F"/>
    <w:rsid w:val="004859E1"/>
    <w:rsid w:val="004867E2"/>
    <w:rsid w:val="00486E96"/>
    <w:rsid w:val="00486FB5"/>
    <w:rsid w:val="004871D4"/>
    <w:rsid w:val="00487433"/>
    <w:rsid w:val="004874FD"/>
    <w:rsid w:val="00487591"/>
    <w:rsid w:val="004879CB"/>
    <w:rsid w:val="00490A09"/>
    <w:rsid w:val="00490B17"/>
    <w:rsid w:val="00491B3A"/>
    <w:rsid w:val="004926FA"/>
    <w:rsid w:val="00492A4A"/>
    <w:rsid w:val="00492CFD"/>
    <w:rsid w:val="00492DD4"/>
    <w:rsid w:val="004934B1"/>
    <w:rsid w:val="00493F65"/>
    <w:rsid w:val="00494207"/>
    <w:rsid w:val="00494B92"/>
    <w:rsid w:val="00494DD5"/>
    <w:rsid w:val="00495C8A"/>
    <w:rsid w:val="0049616B"/>
    <w:rsid w:val="004962D2"/>
    <w:rsid w:val="00496D9E"/>
    <w:rsid w:val="00497DAE"/>
    <w:rsid w:val="004A0DA1"/>
    <w:rsid w:val="004A102D"/>
    <w:rsid w:val="004A13D6"/>
    <w:rsid w:val="004A25D6"/>
    <w:rsid w:val="004A33A5"/>
    <w:rsid w:val="004A478C"/>
    <w:rsid w:val="004A4DE9"/>
    <w:rsid w:val="004A52E9"/>
    <w:rsid w:val="004A5494"/>
    <w:rsid w:val="004A5686"/>
    <w:rsid w:val="004A5919"/>
    <w:rsid w:val="004A6040"/>
    <w:rsid w:val="004A6597"/>
    <w:rsid w:val="004A765B"/>
    <w:rsid w:val="004A7848"/>
    <w:rsid w:val="004A788F"/>
    <w:rsid w:val="004A793B"/>
    <w:rsid w:val="004A7B4F"/>
    <w:rsid w:val="004B1CB4"/>
    <w:rsid w:val="004B1F0C"/>
    <w:rsid w:val="004B2097"/>
    <w:rsid w:val="004B244B"/>
    <w:rsid w:val="004B2F18"/>
    <w:rsid w:val="004B311A"/>
    <w:rsid w:val="004B3795"/>
    <w:rsid w:val="004B397F"/>
    <w:rsid w:val="004B3DDB"/>
    <w:rsid w:val="004B3E24"/>
    <w:rsid w:val="004B44FD"/>
    <w:rsid w:val="004B471F"/>
    <w:rsid w:val="004B5566"/>
    <w:rsid w:val="004B5CFC"/>
    <w:rsid w:val="004B6423"/>
    <w:rsid w:val="004B6F79"/>
    <w:rsid w:val="004B7128"/>
    <w:rsid w:val="004B74E3"/>
    <w:rsid w:val="004B774D"/>
    <w:rsid w:val="004B7F89"/>
    <w:rsid w:val="004C0379"/>
    <w:rsid w:val="004C08CD"/>
    <w:rsid w:val="004C099D"/>
    <w:rsid w:val="004C10B4"/>
    <w:rsid w:val="004C1A03"/>
    <w:rsid w:val="004C2AC2"/>
    <w:rsid w:val="004C33CC"/>
    <w:rsid w:val="004C3F26"/>
    <w:rsid w:val="004C48BF"/>
    <w:rsid w:val="004C4AED"/>
    <w:rsid w:val="004C63C8"/>
    <w:rsid w:val="004D0FCD"/>
    <w:rsid w:val="004D19FC"/>
    <w:rsid w:val="004D2BE1"/>
    <w:rsid w:val="004D2C2D"/>
    <w:rsid w:val="004D2EC3"/>
    <w:rsid w:val="004D3077"/>
    <w:rsid w:val="004D3982"/>
    <w:rsid w:val="004D4A80"/>
    <w:rsid w:val="004D6043"/>
    <w:rsid w:val="004D69B5"/>
    <w:rsid w:val="004D6B7C"/>
    <w:rsid w:val="004D7227"/>
    <w:rsid w:val="004D7B5E"/>
    <w:rsid w:val="004D7E0F"/>
    <w:rsid w:val="004E0E7F"/>
    <w:rsid w:val="004E0EB8"/>
    <w:rsid w:val="004E17B6"/>
    <w:rsid w:val="004E18E9"/>
    <w:rsid w:val="004E1933"/>
    <w:rsid w:val="004E1B09"/>
    <w:rsid w:val="004E23C8"/>
    <w:rsid w:val="004E2ADC"/>
    <w:rsid w:val="004E3AF5"/>
    <w:rsid w:val="004E43B2"/>
    <w:rsid w:val="004E49D9"/>
    <w:rsid w:val="004E4E07"/>
    <w:rsid w:val="004E5347"/>
    <w:rsid w:val="004E71A1"/>
    <w:rsid w:val="004E7D64"/>
    <w:rsid w:val="004F068D"/>
    <w:rsid w:val="004F1383"/>
    <w:rsid w:val="004F1D02"/>
    <w:rsid w:val="004F2679"/>
    <w:rsid w:val="004F2A19"/>
    <w:rsid w:val="004F2F21"/>
    <w:rsid w:val="004F379D"/>
    <w:rsid w:val="004F3DE5"/>
    <w:rsid w:val="004F451D"/>
    <w:rsid w:val="004F4CB6"/>
    <w:rsid w:val="004F5703"/>
    <w:rsid w:val="004F6913"/>
    <w:rsid w:val="004F7865"/>
    <w:rsid w:val="004F7AD3"/>
    <w:rsid w:val="00500550"/>
    <w:rsid w:val="005006FB"/>
    <w:rsid w:val="0050070F"/>
    <w:rsid w:val="00500724"/>
    <w:rsid w:val="00500E44"/>
    <w:rsid w:val="00501020"/>
    <w:rsid w:val="005013F0"/>
    <w:rsid w:val="0050174E"/>
    <w:rsid w:val="00501854"/>
    <w:rsid w:val="00501BBC"/>
    <w:rsid w:val="0050219B"/>
    <w:rsid w:val="00502831"/>
    <w:rsid w:val="00503C2C"/>
    <w:rsid w:val="00503F17"/>
    <w:rsid w:val="00503F3A"/>
    <w:rsid w:val="00504070"/>
    <w:rsid w:val="00504EFA"/>
    <w:rsid w:val="00505240"/>
    <w:rsid w:val="00506928"/>
    <w:rsid w:val="0050750B"/>
    <w:rsid w:val="005077EF"/>
    <w:rsid w:val="00507915"/>
    <w:rsid w:val="00507A59"/>
    <w:rsid w:val="00510DE6"/>
    <w:rsid w:val="00511AD5"/>
    <w:rsid w:val="00511B07"/>
    <w:rsid w:val="00511DC7"/>
    <w:rsid w:val="00513BDC"/>
    <w:rsid w:val="005142C5"/>
    <w:rsid w:val="005144B7"/>
    <w:rsid w:val="0051501B"/>
    <w:rsid w:val="005152B5"/>
    <w:rsid w:val="00515311"/>
    <w:rsid w:val="00515886"/>
    <w:rsid w:val="00515C9E"/>
    <w:rsid w:val="00515E06"/>
    <w:rsid w:val="00516146"/>
    <w:rsid w:val="0051674E"/>
    <w:rsid w:val="00516902"/>
    <w:rsid w:val="005178CB"/>
    <w:rsid w:val="005201B0"/>
    <w:rsid w:val="00520E77"/>
    <w:rsid w:val="0052123C"/>
    <w:rsid w:val="00521319"/>
    <w:rsid w:val="00521991"/>
    <w:rsid w:val="005223C3"/>
    <w:rsid w:val="00522BC8"/>
    <w:rsid w:val="00522E83"/>
    <w:rsid w:val="00523C28"/>
    <w:rsid w:val="005243FB"/>
    <w:rsid w:val="005250CA"/>
    <w:rsid w:val="005251F1"/>
    <w:rsid w:val="00526836"/>
    <w:rsid w:val="005271CD"/>
    <w:rsid w:val="00527A39"/>
    <w:rsid w:val="00527B2A"/>
    <w:rsid w:val="00530F85"/>
    <w:rsid w:val="00531289"/>
    <w:rsid w:val="0053176B"/>
    <w:rsid w:val="00531E4A"/>
    <w:rsid w:val="00532F14"/>
    <w:rsid w:val="00533016"/>
    <w:rsid w:val="005341B3"/>
    <w:rsid w:val="0053467B"/>
    <w:rsid w:val="00535986"/>
    <w:rsid w:val="00535CCD"/>
    <w:rsid w:val="00536205"/>
    <w:rsid w:val="005364F7"/>
    <w:rsid w:val="00536F42"/>
    <w:rsid w:val="00537182"/>
    <w:rsid w:val="00537573"/>
    <w:rsid w:val="00537C9B"/>
    <w:rsid w:val="00540CDA"/>
    <w:rsid w:val="00541EDD"/>
    <w:rsid w:val="00542743"/>
    <w:rsid w:val="00542C1B"/>
    <w:rsid w:val="00542C2D"/>
    <w:rsid w:val="00542CD9"/>
    <w:rsid w:val="00543403"/>
    <w:rsid w:val="005435CE"/>
    <w:rsid w:val="0054415D"/>
    <w:rsid w:val="005442C6"/>
    <w:rsid w:val="00544371"/>
    <w:rsid w:val="00544900"/>
    <w:rsid w:val="0054535C"/>
    <w:rsid w:val="00545A2C"/>
    <w:rsid w:val="00545AA9"/>
    <w:rsid w:val="00545B8B"/>
    <w:rsid w:val="00546030"/>
    <w:rsid w:val="00546457"/>
    <w:rsid w:val="005467AA"/>
    <w:rsid w:val="00546DFB"/>
    <w:rsid w:val="00546F7B"/>
    <w:rsid w:val="0054745D"/>
    <w:rsid w:val="005478BD"/>
    <w:rsid w:val="005479E3"/>
    <w:rsid w:val="00551985"/>
    <w:rsid w:val="00552BD3"/>
    <w:rsid w:val="005532A0"/>
    <w:rsid w:val="0055472A"/>
    <w:rsid w:val="00555109"/>
    <w:rsid w:val="00555A36"/>
    <w:rsid w:val="00555EE7"/>
    <w:rsid w:val="005568FB"/>
    <w:rsid w:val="00556B35"/>
    <w:rsid w:val="0055741A"/>
    <w:rsid w:val="0055796E"/>
    <w:rsid w:val="0056021B"/>
    <w:rsid w:val="005606C7"/>
    <w:rsid w:val="0056094D"/>
    <w:rsid w:val="00560BBF"/>
    <w:rsid w:val="005611B7"/>
    <w:rsid w:val="00561642"/>
    <w:rsid w:val="005618D4"/>
    <w:rsid w:val="00561BE3"/>
    <w:rsid w:val="00562188"/>
    <w:rsid w:val="005628E7"/>
    <w:rsid w:val="0056303E"/>
    <w:rsid w:val="00564345"/>
    <w:rsid w:val="00564867"/>
    <w:rsid w:val="00565577"/>
    <w:rsid w:val="005656A6"/>
    <w:rsid w:val="005656F3"/>
    <w:rsid w:val="005657B2"/>
    <w:rsid w:val="00565C79"/>
    <w:rsid w:val="00565DF0"/>
    <w:rsid w:val="0056696F"/>
    <w:rsid w:val="00566E36"/>
    <w:rsid w:val="00570202"/>
    <w:rsid w:val="00571E0B"/>
    <w:rsid w:val="00572269"/>
    <w:rsid w:val="0057244A"/>
    <w:rsid w:val="00572F26"/>
    <w:rsid w:val="0057323D"/>
    <w:rsid w:val="005740A0"/>
    <w:rsid w:val="00574B16"/>
    <w:rsid w:val="005750C5"/>
    <w:rsid w:val="005750C6"/>
    <w:rsid w:val="005752DE"/>
    <w:rsid w:val="00575D60"/>
    <w:rsid w:val="00575D8D"/>
    <w:rsid w:val="00576972"/>
    <w:rsid w:val="00577248"/>
    <w:rsid w:val="005776B7"/>
    <w:rsid w:val="00577BBE"/>
    <w:rsid w:val="005826D3"/>
    <w:rsid w:val="00582EBE"/>
    <w:rsid w:val="005830BC"/>
    <w:rsid w:val="00583625"/>
    <w:rsid w:val="00583699"/>
    <w:rsid w:val="005856DF"/>
    <w:rsid w:val="00585CDD"/>
    <w:rsid w:val="005861A9"/>
    <w:rsid w:val="005864A3"/>
    <w:rsid w:val="005869F2"/>
    <w:rsid w:val="00586B94"/>
    <w:rsid w:val="00587058"/>
    <w:rsid w:val="0058779F"/>
    <w:rsid w:val="00587EEC"/>
    <w:rsid w:val="00590CBC"/>
    <w:rsid w:val="0059176E"/>
    <w:rsid w:val="00591957"/>
    <w:rsid w:val="005943D3"/>
    <w:rsid w:val="00594700"/>
    <w:rsid w:val="005950F5"/>
    <w:rsid w:val="005965E8"/>
    <w:rsid w:val="005975B8"/>
    <w:rsid w:val="00597BF9"/>
    <w:rsid w:val="005A0C11"/>
    <w:rsid w:val="005A1779"/>
    <w:rsid w:val="005A18FC"/>
    <w:rsid w:val="005A269B"/>
    <w:rsid w:val="005A309A"/>
    <w:rsid w:val="005A3624"/>
    <w:rsid w:val="005A373D"/>
    <w:rsid w:val="005A436E"/>
    <w:rsid w:val="005A501C"/>
    <w:rsid w:val="005A5068"/>
    <w:rsid w:val="005A6CDC"/>
    <w:rsid w:val="005A70CF"/>
    <w:rsid w:val="005A7662"/>
    <w:rsid w:val="005A778D"/>
    <w:rsid w:val="005A7B2D"/>
    <w:rsid w:val="005B0B58"/>
    <w:rsid w:val="005B1C15"/>
    <w:rsid w:val="005B1D71"/>
    <w:rsid w:val="005B1EE2"/>
    <w:rsid w:val="005B2FD2"/>
    <w:rsid w:val="005B34A1"/>
    <w:rsid w:val="005B44C3"/>
    <w:rsid w:val="005B4E53"/>
    <w:rsid w:val="005B5857"/>
    <w:rsid w:val="005B5A6A"/>
    <w:rsid w:val="005B629A"/>
    <w:rsid w:val="005B7189"/>
    <w:rsid w:val="005C0817"/>
    <w:rsid w:val="005C09FA"/>
    <w:rsid w:val="005C0AD0"/>
    <w:rsid w:val="005C19C4"/>
    <w:rsid w:val="005C1B59"/>
    <w:rsid w:val="005C1B83"/>
    <w:rsid w:val="005C25FF"/>
    <w:rsid w:val="005C281F"/>
    <w:rsid w:val="005C2D55"/>
    <w:rsid w:val="005C346B"/>
    <w:rsid w:val="005C36AA"/>
    <w:rsid w:val="005C4314"/>
    <w:rsid w:val="005C4C92"/>
    <w:rsid w:val="005C5459"/>
    <w:rsid w:val="005C5ABC"/>
    <w:rsid w:val="005C5B4D"/>
    <w:rsid w:val="005C6ED6"/>
    <w:rsid w:val="005D044D"/>
    <w:rsid w:val="005D061C"/>
    <w:rsid w:val="005D0ABD"/>
    <w:rsid w:val="005D0C31"/>
    <w:rsid w:val="005D1830"/>
    <w:rsid w:val="005D18AD"/>
    <w:rsid w:val="005D1DF6"/>
    <w:rsid w:val="005D26B4"/>
    <w:rsid w:val="005D2E6E"/>
    <w:rsid w:val="005D3C3D"/>
    <w:rsid w:val="005D4212"/>
    <w:rsid w:val="005D4DA4"/>
    <w:rsid w:val="005D5CC0"/>
    <w:rsid w:val="005D6C0D"/>
    <w:rsid w:val="005D7299"/>
    <w:rsid w:val="005E0284"/>
    <w:rsid w:val="005E1995"/>
    <w:rsid w:val="005E1C10"/>
    <w:rsid w:val="005E1CAB"/>
    <w:rsid w:val="005E2056"/>
    <w:rsid w:val="005E409C"/>
    <w:rsid w:val="005E4176"/>
    <w:rsid w:val="005E4EBF"/>
    <w:rsid w:val="005E5027"/>
    <w:rsid w:val="005E6CBC"/>
    <w:rsid w:val="005E6E21"/>
    <w:rsid w:val="005E72FF"/>
    <w:rsid w:val="005E73C0"/>
    <w:rsid w:val="005E7873"/>
    <w:rsid w:val="005F0656"/>
    <w:rsid w:val="005F07ED"/>
    <w:rsid w:val="005F0BD7"/>
    <w:rsid w:val="005F2489"/>
    <w:rsid w:val="005F2706"/>
    <w:rsid w:val="005F278D"/>
    <w:rsid w:val="005F32EA"/>
    <w:rsid w:val="005F3321"/>
    <w:rsid w:val="005F35B8"/>
    <w:rsid w:val="005F4598"/>
    <w:rsid w:val="005F5A65"/>
    <w:rsid w:val="005F62F8"/>
    <w:rsid w:val="005F6A8F"/>
    <w:rsid w:val="005F6BB7"/>
    <w:rsid w:val="005F6DD2"/>
    <w:rsid w:val="005F7588"/>
    <w:rsid w:val="006006F5"/>
    <w:rsid w:val="00600EBB"/>
    <w:rsid w:val="00600F37"/>
    <w:rsid w:val="006011C3"/>
    <w:rsid w:val="00602B79"/>
    <w:rsid w:val="00602F26"/>
    <w:rsid w:val="006032D5"/>
    <w:rsid w:val="00603733"/>
    <w:rsid w:val="00603DB9"/>
    <w:rsid w:val="0060592D"/>
    <w:rsid w:val="006059BD"/>
    <w:rsid w:val="00606CAD"/>
    <w:rsid w:val="00606FBA"/>
    <w:rsid w:val="00607669"/>
    <w:rsid w:val="006076F4"/>
    <w:rsid w:val="00607AFD"/>
    <w:rsid w:val="006108A9"/>
    <w:rsid w:val="00610E16"/>
    <w:rsid w:val="006110F1"/>
    <w:rsid w:val="006114EC"/>
    <w:rsid w:val="00611B12"/>
    <w:rsid w:val="00612319"/>
    <w:rsid w:val="00612F97"/>
    <w:rsid w:val="0061345D"/>
    <w:rsid w:val="0061390A"/>
    <w:rsid w:val="00614183"/>
    <w:rsid w:val="00614A14"/>
    <w:rsid w:val="00614C9B"/>
    <w:rsid w:val="0061549B"/>
    <w:rsid w:val="006155E5"/>
    <w:rsid w:val="00615D4E"/>
    <w:rsid w:val="006161C4"/>
    <w:rsid w:val="00616802"/>
    <w:rsid w:val="006171E0"/>
    <w:rsid w:val="00617E12"/>
    <w:rsid w:val="00617F13"/>
    <w:rsid w:val="00617F2B"/>
    <w:rsid w:val="006201FC"/>
    <w:rsid w:val="00620C25"/>
    <w:rsid w:val="00620DBC"/>
    <w:rsid w:val="00621477"/>
    <w:rsid w:val="00621747"/>
    <w:rsid w:val="00621808"/>
    <w:rsid w:val="00621ADA"/>
    <w:rsid w:val="00621E8C"/>
    <w:rsid w:val="00622462"/>
    <w:rsid w:val="00622C10"/>
    <w:rsid w:val="00622C9B"/>
    <w:rsid w:val="00623543"/>
    <w:rsid w:val="006235E5"/>
    <w:rsid w:val="00623F7B"/>
    <w:rsid w:val="00624122"/>
    <w:rsid w:val="00624B95"/>
    <w:rsid w:val="00624BD4"/>
    <w:rsid w:val="0062536D"/>
    <w:rsid w:val="0062574B"/>
    <w:rsid w:val="0062643C"/>
    <w:rsid w:val="00626E66"/>
    <w:rsid w:val="00626F7C"/>
    <w:rsid w:val="00630566"/>
    <w:rsid w:val="006305E4"/>
    <w:rsid w:val="006307E1"/>
    <w:rsid w:val="00630A2C"/>
    <w:rsid w:val="0063158F"/>
    <w:rsid w:val="006317B1"/>
    <w:rsid w:val="00631D6B"/>
    <w:rsid w:val="00632183"/>
    <w:rsid w:val="00632F00"/>
    <w:rsid w:val="006330A1"/>
    <w:rsid w:val="00634742"/>
    <w:rsid w:val="0063479F"/>
    <w:rsid w:val="00634EC6"/>
    <w:rsid w:val="006353C8"/>
    <w:rsid w:val="006353F0"/>
    <w:rsid w:val="006357B5"/>
    <w:rsid w:val="006364A1"/>
    <w:rsid w:val="00636754"/>
    <w:rsid w:val="0063678E"/>
    <w:rsid w:val="00637677"/>
    <w:rsid w:val="00637BFD"/>
    <w:rsid w:val="00637C5C"/>
    <w:rsid w:val="00641C4E"/>
    <w:rsid w:val="00641D46"/>
    <w:rsid w:val="00641DCC"/>
    <w:rsid w:val="00641FB3"/>
    <w:rsid w:val="00642DCA"/>
    <w:rsid w:val="0064308B"/>
    <w:rsid w:val="0064434C"/>
    <w:rsid w:val="00644B66"/>
    <w:rsid w:val="00644BE9"/>
    <w:rsid w:val="0064576A"/>
    <w:rsid w:val="00645772"/>
    <w:rsid w:val="00646342"/>
    <w:rsid w:val="006469FA"/>
    <w:rsid w:val="006471CC"/>
    <w:rsid w:val="006472FE"/>
    <w:rsid w:val="00647A29"/>
    <w:rsid w:val="00650672"/>
    <w:rsid w:val="0065079F"/>
    <w:rsid w:val="00651FCB"/>
    <w:rsid w:val="00652A28"/>
    <w:rsid w:val="0065379F"/>
    <w:rsid w:val="00653FC8"/>
    <w:rsid w:val="0065490B"/>
    <w:rsid w:val="006553F6"/>
    <w:rsid w:val="00656188"/>
    <w:rsid w:val="0065715A"/>
    <w:rsid w:val="00657189"/>
    <w:rsid w:val="006578FC"/>
    <w:rsid w:val="00657AFA"/>
    <w:rsid w:val="00660807"/>
    <w:rsid w:val="006610F1"/>
    <w:rsid w:val="00661436"/>
    <w:rsid w:val="00661558"/>
    <w:rsid w:val="00661C6B"/>
    <w:rsid w:val="00662D3E"/>
    <w:rsid w:val="00662F04"/>
    <w:rsid w:val="006634C7"/>
    <w:rsid w:val="006637CE"/>
    <w:rsid w:val="00663837"/>
    <w:rsid w:val="0066418A"/>
    <w:rsid w:val="00666D54"/>
    <w:rsid w:val="00667BE3"/>
    <w:rsid w:val="00670313"/>
    <w:rsid w:val="00671004"/>
    <w:rsid w:val="00671734"/>
    <w:rsid w:val="00671980"/>
    <w:rsid w:val="00672646"/>
    <w:rsid w:val="00673BB2"/>
    <w:rsid w:val="0067493B"/>
    <w:rsid w:val="00674C54"/>
    <w:rsid w:val="00674E42"/>
    <w:rsid w:val="00676563"/>
    <w:rsid w:val="00676A8F"/>
    <w:rsid w:val="00676D6B"/>
    <w:rsid w:val="006777C8"/>
    <w:rsid w:val="006800C6"/>
    <w:rsid w:val="00680830"/>
    <w:rsid w:val="006813F8"/>
    <w:rsid w:val="006818AE"/>
    <w:rsid w:val="006818F6"/>
    <w:rsid w:val="00682112"/>
    <w:rsid w:val="0068223A"/>
    <w:rsid w:val="00682385"/>
    <w:rsid w:val="00682842"/>
    <w:rsid w:val="00682BA6"/>
    <w:rsid w:val="00682C0B"/>
    <w:rsid w:val="00682DC0"/>
    <w:rsid w:val="006834DA"/>
    <w:rsid w:val="00684CF6"/>
    <w:rsid w:val="00684E7A"/>
    <w:rsid w:val="00685A2D"/>
    <w:rsid w:val="00685B19"/>
    <w:rsid w:val="006860B4"/>
    <w:rsid w:val="006861B1"/>
    <w:rsid w:val="00686957"/>
    <w:rsid w:val="006872BA"/>
    <w:rsid w:val="006877F4"/>
    <w:rsid w:val="0069019F"/>
    <w:rsid w:val="00690795"/>
    <w:rsid w:val="00691648"/>
    <w:rsid w:val="006917D7"/>
    <w:rsid w:val="0069205B"/>
    <w:rsid w:val="00692344"/>
    <w:rsid w:val="00692AA3"/>
    <w:rsid w:val="006933AD"/>
    <w:rsid w:val="00694111"/>
    <w:rsid w:val="006941DE"/>
    <w:rsid w:val="0069434C"/>
    <w:rsid w:val="00694733"/>
    <w:rsid w:val="00694737"/>
    <w:rsid w:val="00694F44"/>
    <w:rsid w:val="0069521A"/>
    <w:rsid w:val="00696EF9"/>
    <w:rsid w:val="00696F51"/>
    <w:rsid w:val="00697411"/>
    <w:rsid w:val="006979A5"/>
    <w:rsid w:val="00697DE9"/>
    <w:rsid w:val="006A016F"/>
    <w:rsid w:val="006A0DF7"/>
    <w:rsid w:val="006A3946"/>
    <w:rsid w:val="006A4321"/>
    <w:rsid w:val="006A43D9"/>
    <w:rsid w:val="006A5200"/>
    <w:rsid w:val="006A64D6"/>
    <w:rsid w:val="006A6B99"/>
    <w:rsid w:val="006A7474"/>
    <w:rsid w:val="006A7E5F"/>
    <w:rsid w:val="006A7F81"/>
    <w:rsid w:val="006B1AAA"/>
    <w:rsid w:val="006B1C4E"/>
    <w:rsid w:val="006B2191"/>
    <w:rsid w:val="006B2242"/>
    <w:rsid w:val="006B261B"/>
    <w:rsid w:val="006B28A5"/>
    <w:rsid w:val="006B28BC"/>
    <w:rsid w:val="006B2A7D"/>
    <w:rsid w:val="006B2C90"/>
    <w:rsid w:val="006B34CE"/>
    <w:rsid w:val="006B35E6"/>
    <w:rsid w:val="006B465A"/>
    <w:rsid w:val="006B4EDB"/>
    <w:rsid w:val="006B4FA4"/>
    <w:rsid w:val="006B5E01"/>
    <w:rsid w:val="006B648A"/>
    <w:rsid w:val="006B64AC"/>
    <w:rsid w:val="006B66F4"/>
    <w:rsid w:val="006B6DD0"/>
    <w:rsid w:val="006B73E3"/>
    <w:rsid w:val="006B764C"/>
    <w:rsid w:val="006B76D1"/>
    <w:rsid w:val="006B7998"/>
    <w:rsid w:val="006C02B0"/>
    <w:rsid w:val="006C0399"/>
    <w:rsid w:val="006C056B"/>
    <w:rsid w:val="006C0797"/>
    <w:rsid w:val="006C1605"/>
    <w:rsid w:val="006C164B"/>
    <w:rsid w:val="006C25EA"/>
    <w:rsid w:val="006C2A8E"/>
    <w:rsid w:val="006C3255"/>
    <w:rsid w:val="006C3F26"/>
    <w:rsid w:val="006C5A8C"/>
    <w:rsid w:val="006C65CA"/>
    <w:rsid w:val="006C6C30"/>
    <w:rsid w:val="006C6C35"/>
    <w:rsid w:val="006C7051"/>
    <w:rsid w:val="006C740C"/>
    <w:rsid w:val="006C77D4"/>
    <w:rsid w:val="006D0232"/>
    <w:rsid w:val="006D0D17"/>
    <w:rsid w:val="006D0E3B"/>
    <w:rsid w:val="006D151E"/>
    <w:rsid w:val="006D2390"/>
    <w:rsid w:val="006D2C79"/>
    <w:rsid w:val="006D3B46"/>
    <w:rsid w:val="006D3C7D"/>
    <w:rsid w:val="006D3ECB"/>
    <w:rsid w:val="006D45AB"/>
    <w:rsid w:val="006D4659"/>
    <w:rsid w:val="006D53C4"/>
    <w:rsid w:val="006D5D5F"/>
    <w:rsid w:val="006D68FB"/>
    <w:rsid w:val="006D6DE6"/>
    <w:rsid w:val="006E1C81"/>
    <w:rsid w:val="006E1CE4"/>
    <w:rsid w:val="006E20E9"/>
    <w:rsid w:val="006E2868"/>
    <w:rsid w:val="006E3367"/>
    <w:rsid w:val="006E3B41"/>
    <w:rsid w:val="006E5ED9"/>
    <w:rsid w:val="006E6282"/>
    <w:rsid w:val="006E6C15"/>
    <w:rsid w:val="006F2265"/>
    <w:rsid w:val="006F244D"/>
    <w:rsid w:val="006F306C"/>
    <w:rsid w:val="006F3292"/>
    <w:rsid w:val="006F42AE"/>
    <w:rsid w:val="006F53C9"/>
    <w:rsid w:val="006F5B29"/>
    <w:rsid w:val="006F63A5"/>
    <w:rsid w:val="006F765D"/>
    <w:rsid w:val="007012DE"/>
    <w:rsid w:val="0070142B"/>
    <w:rsid w:val="0070156D"/>
    <w:rsid w:val="00701D68"/>
    <w:rsid w:val="0070227A"/>
    <w:rsid w:val="0070276E"/>
    <w:rsid w:val="00702CEA"/>
    <w:rsid w:val="00702F8F"/>
    <w:rsid w:val="00703084"/>
    <w:rsid w:val="007046CB"/>
    <w:rsid w:val="00704B14"/>
    <w:rsid w:val="00705421"/>
    <w:rsid w:val="00706BE0"/>
    <w:rsid w:val="0070792E"/>
    <w:rsid w:val="007079FC"/>
    <w:rsid w:val="00707F44"/>
    <w:rsid w:val="007101A1"/>
    <w:rsid w:val="007109D6"/>
    <w:rsid w:val="00710E22"/>
    <w:rsid w:val="00710EE8"/>
    <w:rsid w:val="00711A36"/>
    <w:rsid w:val="00711FFA"/>
    <w:rsid w:val="007125D3"/>
    <w:rsid w:val="00712A35"/>
    <w:rsid w:val="0071414E"/>
    <w:rsid w:val="007144CB"/>
    <w:rsid w:val="00714C26"/>
    <w:rsid w:val="0071529C"/>
    <w:rsid w:val="00715311"/>
    <w:rsid w:val="007170DA"/>
    <w:rsid w:val="007172AD"/>
    <w:rsid w:val="00717546"/>
    <w:rsid w:val="0072050E"/>
    <w:rsid w:val="00720657"/>
    <w:rsid w:val="00720801"/>
    <w:rsid w:val="007210B4"/>
    <w:rsid w:val="007225B9"/>
    <w:rsid w:val="00722B1B"/>
    <w:rsid w:val="007239C2"/>
    <w:rsid w:val="0072416F"/>
    <w:rsid w:val="007250D5"/>
    <w:rsid w:val="00725B9B"/>
    <w:rsid w:val="00725EA2"/>
    <w:rsid w:val="00727C94"/>
    <w:rsid w:val="00731B0A"/>
    <w:rsid w:val="00731EAE"/>
    <w:rsid w:val="00731F8D"/>
    <w:rsid w:val="00733073"/>
    <w:rsid w:val="00733077"/>
    <w:rsid w:val="00735033"/>
    <w:rsid w:val="00735328"/>
    <w:rsid w:val="00735669"/>
    <w:rsid w:val="007357DD"/>
    <w:rsid w:val="00736044"/>
    <w:rsid w:val="007363A7"/>
    <w:rsid w:val="0073685B"/>
    <w:rsid w:val="007373AC"/>
    <w:rsid w:val="00737641"/>
    <w:rsid w:val="00737B1E"/>
    <w:rsid w:val="00737B33"/>
    <w:rsid w:val="0074038C"/>
    <w:rsid w:val="007406EE"/>
    <w:rsid w:val="00743387"/>
    <w:rsid w:val="0074338D"/>
    <w:rsid w:val="007449BF"/>
    <w:rsid w:val="00744E10"/>
    <w:rsid w:val="00745086"/>
    <w:rsid w:val="00745A70"/>
    <w:rsid w:val="007463FE"/>
    <w:rsid w:val="00746BC0"/>
    <w:rsid w:val="00746F56"/>
    <w:rsid w:val="007475D3"/>
    <w:rsid w:val="00747E59"/>
    <w:rsid w:val="00750003"/>
    <w:rsid w:val="00750027"/>
    <w:rsid w:val="0075090C"/>
    <w:rsid w:val="00750DF2"/>
    <w:rsid w:val="007510B4"/>
    <w:rsid w:val="00752142"/>
    <w:rsid w:val="007523F9"/>
    <w:rsid w:val="00752B0B"/>
    <w:rsid w:val="00752F4C"/>
    <w:rsid w:val="007532CD"/>
    <w:rsid w:val="0075357E"/>
    <w:rsid w:val="00753B29"/>
    <w:rsid w:val="00754C77"/>
    <w:rsid w:val="00754E58"/>
    <w:rsid w:val="00754F1E"/>
    <w:rsid w:val="00756076"/>
    <w:rsid w:val="00756644"/>
    <w:rsid w:val="00756765"/>
    <w:rsid w:val="00756E6C"/>
    <w:rsid w:val="007573E8"/>
    <w:rsid w:val="00757E74"/>
    <w:rsid w:val="007600C0"/>
    <w:rsid w:val="00760645"/>
    <w:rsid w:val="007608A9"/>
    <w:rsid w:val="00760A09"/>
    <w:rsid w:val="00760B9F"/>
    <w:rsid w:val="00760C4E"/>
    <w:rsid w:val="00760F9E"/>
    <w:rsid w:val="007616E6"/>
    <w:rsid w:val="007617DA"/>
    <w:rsid w:val="007627BE"/>
    <w:rsid w:val="00762E3F"/>
    <w:rsid w:val="007643B5"/>
    <w:rsid w:val="007643EC"/>
    <w:rsid w:val="00764F03"/>
    <w:rsid w:val="00765B1A"/>
    <w:rsid w:val="00765DC1"/>
    <w:rsid w:val="007672FE"/>
    <w:rsid w:val="00767DF9"/>
    <w:rsid w:val="007710D3"/>
    <w:rsid w:val="00771172"/>
    <w:rsid w:val="007728B7"/>
    <w:rsid w:val="00774896"/>
    <w:rsid w:val="00774A2C"/>
    <w:rsid w:val="007767BD"/>
    <w:rsid w:val="00777335"/>
    <w:rsid w:val="0077764E"/>
    <w:rsid w:val="00777FD5"/>
    <w:rsid w:val="00780443"/>
    <w:rsid w:val="00782EAA"/>
    <w:rsid w:val="00783A94"/>
    <w:rsid w:val="007843F2"/>
    <w:rsid w:val="007846FA"/>
    <w:rsid w:val="00784DD6"/>
    <w:rsid w:val="00785A9F"/>
    <w:rsid w:val="007878A3"/>
    <w:rsid w:val="00790507"/>
    <w:rsid w:val="007911C9"/>
    <w:rsid w:val="00791C2D"/>
    <w:rsid w:val="007925DF"/>
    <w:rsid w:val="007944BA"/>
    <w:rsid w:val="00795EE8"/>
    <w:rsid w:val="0079698E"/>
    <w:rsid w:val="00796A63"/>
    <w:rsid w:val="00796C3A"/>
    <w:rsid w:val="007A08AA"/>
    <w:rsid w:val="007A0A12"/>
    <w:rsid w:val="007A132D"/>
    <w:rsid w:val="007A1345"/>
    <w:rsid w:val="007A1AE9"/>
    <w:rsid w:val="007A1EB6"/>
    <w:rsid w:val="007A1FA4"/>
    <w:rsid w:val="007A2DDB"/>
    <w:rsid w:val="007A433A"/>
    <w:rsid w:val="007A6300"/>
    <w:rsid w:val="007A680E"/>
    <w:rsid w:val="007A6FA3"/>
    <w:rsid w:val="007A70BA"/>
    <w:rsid w:val="007A78BA"/>
    <w:rsid w:val="007A7D06"/>
    <w:rsid w:val="007B0CF2"/>
    <w:rsid w:val="007B0D68"/>
    <w:rsid w:val="007B13A1"/>
    <w:rsid w:val="007B15DE"/>
    <w:rsid w:val="007B251D"/>
    <w:rsid w:val="007B3533"/>
    <w:rsid w:val="007B457C"/>
    <w:rsid w:val="007B4F58"/>
    <w:rsid w:val="007B518A"/>
    <w:rsid w:val="007B528D"/>
    <w:rsid w:val="007B5615"/>
    <w:rsid w:val="007B63CA"/>
    <w:rsid w:val="007B65EE"/>
    <w:rsid w:val="007B77D1"/>
    <w:rsid w:val="007C07C7"/>
    <w:rsid w:val="007C108C"/>
    <w:rsid w:val="007C1CD9"/>
    <w:rsid w:val="007C201F"/>
    <w:rsid w:val="007C29BA"/>
    <w:rsid w:val="007C32EF"/>
    <w:rsid w:val="007C361D"/>
    <w:rsid w:val="007C3773"/>
    <w:rsid w:val="007C39B4"/>
    <w:rsid w:val="007C4B84"/>
    <w:rsid w:val="007C4E7B"/>
    <w:rsid w:val="007C4FC4"/>
    <w:rsid w:val="007C5464"/>
    <w:rsid w:val="007C685C"/>
    <w:rsid w:val="007C70FF"/>
    <w:rsid w:val="007C7C25"/>
    <w:rsid w:val="007C7F71"/>
    <w:rsid w:val="007D004F"/>
    <w:rsid w:val="007D035F"/>
    <w:rsid w:val="007D03DA"/>
    <w:rsid w:val="007D06B2"/>
    <w:rsid w:val="007D0B38"/>
    <w:rsid w:val="007D0DD0"/>
    <w:rsid w:val="007D2645"/>
    <w:rsid w:val="007D2C29"/>
    <w:rsid w:val="007D2F3B"/>
    <w:rsid w:val="007D427F"/>
    <w:rsid w:val="007D5440"/>
    <w:rsid w:val="007D591D"/>
    <w:rsid w:val="007D6432"/>
    <w:rsid w:val="007D66FA"/>
    <w:rsid w:val="007D69EB"/>
    <w:rsid w:val="007D6A3E"/>
    <w:rsid w:val="007D6F06"/>
    <w:rsid w:val="007D6F1E"/>
    <w:rsid w:val="007E01F9"/>
    <w:rsid w:val="007E128F"/>
    <w:rsid w:val="007E2521"/>
    <w:rsid w:val="007E3A08"/>
    <w:rsid w:val="007E52A8"/>
    <w:rsid w:val="007E6D6C"/>
    <w:rsid w:val="007E6F6E"/>
    <w:rsid w:val="007E763E"/>
    <w:rsid w:val="007F1017"/>
    <w:rsid w:val="007F28A0"/>
    <w:rsid w:val="007F34B6"/>
    <w:rsid w:val="007F49DA"/>
    <w:rsid w:val="007F4A3F"/>
    <w:rsid w:val="007F4A61"/>
    <w:rsid w:val="007F5255"/>
    <w:rsid w:val="007F56CC"/>
    <w:rsid w:val="007F570F"/>
    <w:rsid w:val="007F5D94"/>
    <w:rsid w:val="007F5DB5"/>
    <w:rsid w:val="007F61C2"/>
    <w:rsid w:val="007F653D"/>
    <w:rsid w:val="007F6A1A"/>
    <w:rsid w:val="007F72C7"/>
    <w:rsid w:val="007F7A4A"/>
    <w:rsid w:val="00800995"/>
    <w:rsid w:val="00801204"/>
    <w:rsid w:val="008018E4"/>
    <w:rsid w:val="00802F59"/>
    <w:rsid w:val="00803E93"/>
    <w:rsid w:val="00804087"/>
    <w:rsid w:val="00804997"/>
    <w:rsid w:val="00804E60"/>
    <w:rsid w:val="00805142"/>
    <w:rsid w:val="0080529C"/>
    <w:rsid w:val="00805BB0"/>
    <w:rsid w:val="00805FCE"/>
    <w:rsid w:val="00806779"/>
    <w:rsid w:val="00806F06"/>
    <w:rsid w:val="00807398"/>
    <w:rsid w:val="00807A8B"/>
    <w:rsid w:val="00807B60"/>
    <w:rsid w:val="00811250"/>
    <w:rsid w:val="008112AD"/>
    <w:rsid w:val="00811383"/>
    <w:rsid w:val="00811AD6"/>
    <w:rsid w:val="00811EA8"/>
    <w:rsid w:val="00812149"/>
    <w:rsid w:val="00812A88"/>
    <w:rsid w:val="00812CAC"/>
    <w:rsid w:val="00813A04"/>
    <w:rsid w:val="008140B7"/>
    <w:rsid w:val="008153CB"/>
    <w:rsid w:val="00815C62"/>
    <w:rsid w:val="00816361"/>
    <w:rsid w:val="008166EF"/>
    <w:rsid w:val="00816FEF"/>
    <w:rsid w:val="00817500"/>
    <w:rsid w:val="00817915"/>
    <w:rsid w:val="0082073D"/>
    <w:rsid w:val="00820A8C"/>
    <w:rsid w:val="00820EA0"/>
    <w:rsid w:val="008215FB"/>
    <w:rsid w:val="00821B77"/>
    <w:rsid w:val="00821C6E"/>
    <w:rsid w:val="008220CC"/>
    <w:rsid w:val="00823174"/>
    <w:rsid w:val="00823E1D"/>
    <w:rsid w:val="00824D96"/>
    <w:rsid w:val="00825751"/>
    <w:rsid w:val="00825BEE"/>
    <w:rsid w:val="00825DEC"/>
    <w:rsid w:val="008264EB"/>
    <w:rsid w:val="008268CE"/>
    <w:rsid w:val="00827886"/>
    <w:rsid w:val="00827C23"/>
    <w:rsid w:val="00827C82"/>
    <w:rsid w:val="008306B1"/>
    <w:rsid w:val="00830823"/>
    <w:rsid w:val="00833B05"/>
    <w:rsid w:val="0083433C"/>
    <w:rsid w:val="008344FC"/>
    <w:rsid w:val="008354E7"/>
    <w:rsid w:val="00835911"/>
    <w:rsid w:val="008360EC"/>
    <w:rsid w:val="008362B4"/>
    <w:rsid w:val="00840C8A"/>
    <w:rsid w:val="00840CA2"/>
    <w:rsid w:val="0084177E"/>
    <w:rsid w:val="0084232B"/>
    <w:rsid w:val="00842A67"/>
    <w:rsid w:val="0084374F"/>
    <w:rsid w:val="008438F1"/>
    <w:rsid w:val="00843C70"/>
    <w:rsid w:val="00844A22"/>
    <w:rsid w:val="0084538D"/>
    <w:rsid w:val="00846940"/>
    <w:rsid w:val="00846CA0"/>
    <w:rsid w:val="0084700F"/>
    <w:rsid w:val="00847703"/>
    <w:rsid w:val="00847B8D"/>
    <w:rsid w:val="00847DF5"/>
    <w:rsid w:val="00847F0E"/>
    <w:rsid w:val="0085170D"/>
    <w:rsid w:val="0085235C"/>
    <w:rsid w:val="0085309D"/>
    <w:rsid w:val="0085352B"/>
    <w:rsid w:val="008544B9"/>
    <w:rsid w:val="008547A2"/>
    <w:rsid w:val="00856150"/>
    <w:rsid w:val="00856897"/>
    <w:rsid w:val="00856C3F"/>
    <w:rsid w:val="00856C40"/>
    <w:rsid w:val="00856E9A"/>
    <w:rsid w:val="0086075D"/>
    <w:rsid w:val="00860C95"/>
    <w:rsid w:val="00860DCB"/>
    <w:rsid w:val="00861471"/>
    <w:rsid w:val="008620F2"/>
    <w:rsid w:val="00862502"/>
    <w:rsid w:val="0086281D"/>
    <w:rsid w:val="00862CC1"/>
    <w:rsid w:val="00863F78"/>
    <w:rsid w:val="00864124"/>
    <w:rsid w:val="008642A7"/>
    <w:rsid w:val="00865025"/>
    <w:rsid w:val="00865EA9"/>
    <w:rsid w:val="008660D4"/>
    <w:rsid w:val="00866D9C"/>
    <w:rsid w:val="00870E21"/>
    <w:rsid w:val="00871FA9"/>
    <w:rsid w:val="008728E9"/>
    <w:rsid w:val="00872B85"/>
    <w:rsid w:val="00872F43"/>
    <w:rsid w:val="008733C8"/>
    <w:rsid w:val="008734CF"/>
    <w:rsid w:val="0087380B"/>
    <w:rsid w:val="00873895"/>
    <w:rsid w:val="00874375"/>
    <w:rsid w:val="00875009"/>
    <w:rsid w:val="00875864"/>
    <w:rsid w:val="0088107B"/>
    <w:rsid w:val="008817CC"/>
    <w:rsid w:val="00882874"/>
    <w:rsid w:val="00882E3C"/>
    <w:rsid w:val="0088308A"/>
    <w:rsid w:val="00883787"/>
    <w:rsid w:val="00884929"/>
    <w:rsid w:val="008855E4"/>
    <w:rsid w:val="008869AF"/>
    <w:rsid w:val="00886AA4"/>
    <w:rsid w:val="00886CD2"/>
    <w:rsid w:val="0089019A"/>
    <w:rsid w:val="00890C22"/>
    <w:rsid w:val="00891E6F"/>
    <w:rsid w:val="008924B5"/>
    <w:rsid w:val="0089275D"/>
    <w:rsid w:val="00892955"/>
    <w:rsid w:val="00892A36"/>
    <w:rsid w:val="00893239"/>
    <w:rsid w:val="00894489"/>
    <w:rsid w:val="00894890"/>
    <w:rsid w:val="00894CD6"/>
    <w:rsid w:val="00894F98"/>
    <w:rsid w:val="00895442"/>
    <w:rsid w:val="008963A5"/>
    <w:rsid w:val="00896D5D"/>
    <w:rsid w:val="00896FE2"/>
    <w:rsid w:val="00897642"/>
    <w:rsid w:val="008A0834"/>
    <w:rsid w:val="008A2876"/>
    <w:rsid w:val="008A3158"/>
    <w:rsid w:val="008A3363"/>
    <w:rsid w:val="008A3371"/>
    <w:rsid w:val="008A3C3E"/>
    <w:rsid w:val="008A49A6"/>
    <w:rsid w:val="008A509A"/>
    <w:rsid w:val="008A5440"/>
    <w:rsid w:val="008A5A78"/>
    <w:rsid w:val="008A79DE"/>
    <w:rsid w:val="008B1584"/>
    <w:rsid w:val="008B1757"/>
    <w:rsid w:val="008B1AB3"/>
    <w:rsid w:val="008B1C33"/>
    <w:rsid w:val="008B1EBE"/>
    <w:rsid w:val="008B2652"/>
    <w:rsid w:val="008B2AC7"/>
    <w:rsid w:val="008B2B78"/>
    <w:rsid w:val="008B31A6"/>
    <w:rsid w:val="008B499E"/>
    <w:rsid w:val="008B4B6F"/>
    <w:rsid w:val="008B4E0E"/>
    <w:rsid w:val="008B649C"/>
    <w:rsid w:val="008B6598"/>
    <w:rsid w:val="008B667E"/>
    <w:rsid w:val="008B672B"/>
    <w:rsid w:val="008B6B8F"/>
    <w:rsid w:val="008B7182"/>
    <w:rsid w:val="008B7992"/>
    <w:rsid w:val="008B7D7E"/>
    <w:rsid w:val="008C1632"/>
    <w:rsid w:val="008C1F56"/>
    <w:rsid w:val="008C33DE"/>
    <w:rsid w:val="008C388E"/>
    <w:rsid w:val="008C3AF5"/>
    <w:rsid w:val="008C3C73"/>
    <w:rsid w:val="008C5460"/>
    <w:rsid w:val="008C5610"/>
    <w:rsid w:val="008C5739"/>
    <w:rsid w:val="008C6816"/>
    <w:rsid w:val="008C6EE2"/>
    <w:rsid w:val="008C7282"/>
    <w:rsid w:val="008C789C"/>
    <w:rsid w:val="008C7ECB"/>
    <w:rsid w:val="008D079C"/>
    <w:rsid w:val="008D0E1A"/>
    <w:rsid w:val="008D2316"/>
    <w:rsid w:val="008D2886"/>
    <w:rsid w:val="008D3B86"/>
    <w:rsid w:val="008D4172"/>
    <w:rsid w:val="008D43FD"/>
    <w:rsid w:val="008D4755"/>
    <w:rsid w:val="008D4C3D"/>
    <w:rsid w:val="008D59CD"/>
    <w:rsid w:val="008D6384"/>
    <w:rsid w:val="008D743C"/>
    <w:rsid w:val="008D7662"/>
    <w:rsid w:val="008E0D3C"/>
    <w:rsid w:val="008E12FD"/>
    <w:rsid w:val="008E1B9E"/>
    <w:rsid w:val="008E2A6D"/>
    <w:rsid w:val="008E33F8"/>
    <w:rsid w:val="008E3EF0"/>
    <w:rsid w:val="008E4421"/>
    <w:rsid w:val="008E49D1"/>
    <w:rsid w:val="008E4A31"/>
    <w:rsid w:val="008E55AB"/>
    <w:rsid w:val="008E5D9E"/>
    <w:rsid w:val="008E7761"/>
    <w:rsid w:val="008E79EA"/>
    <w:rsid w:val="008F067E"/>
    <w:rsid w:val="008F11CA"/>
    <w:rsid w:val="008F120A"/>
    <w:rsid w:val="008F2241"/>
    <w:rsid w:val="008F27E0"/>
    <w:rsid w:val="008F48EB"/>
    <w:rsid w:val="008F4A27"/>
    <w:rsid w:val="008F4F0B"/>
    <w:rsid w:val="008F55D2"/>
    <w:rsid w:val="008F5996"/>
    <w:rsid w:val="008F5E33"/>
    <w:rsid w:val="008F6085"/>
    <w:rsid w:val="008F62F1"/>
    <w:rsid w:val="008F6A15"/>
    <w:rsid w:val="008F6EC8"/>
    <w:rsid w:val="008F7C24"/>
    <w:rsid w:val="00900E50"/>
    <w:rsid w:val="00901360"/>
    <w:rsid w:val="009013B9"/>
    <w:rsid w:val="009046C4"/>
    <w:rsid w:val="009049C8"/>
    <w:rsid w:val="009053C0"/>
    <w:rsid w:val="009062A5"/>
    <w:rsid w:val="00906CD5"/>
    <w:rsid w:val="00907699"/>
    <w:rsid w:val="009079C9"/>
    <w:rsid w:val="00910FA7"/>
    <w:rsid w:val="00911272"/>
    <w:rsid w:val="00911339"/>
    <w:rsid w:val="00911651"/>
    <w:rsid w:val="00911AF7"/>
    <w:rsid w:val="00911C34"/>
    <w:rsid w:val="009127CF"/>
    <w:rsid w:val="00912808"/>
    <w:rsid w:val="009135D6"/>
    <w:rsid w:val="00913F2C"/>
    <w:rsid w:val="009147CB"/>
    <w:rsid w:val="00914C77"/>
    <w:rsid w:val="00914F52"/>
    <w:rsid w:val="00915100"/>
    <w:rsid w:val="00916857"/>
    <w:rsid w:val="00916B7E"/>
    <w:rsid w:val="00917652"/>
    <w:rsid w:val="00920319"/>
    <w:rsid w:val="00920521"/>
    <w:rsid w:val="00920897"/>
    <w:rsid w:val="00921ACB"/>
    <w:rsid w:val="00921B3F"/>
    <w:rsid w:val="0092311F"/>
    <w:rsid w:val="0092369B"/>
    <w:rsid w:val="0092374A"/>
    <w:rsid w:val="0092442D"/>
    <w:rsid w:val="00925464"/>
    <w:rsid w:val="00925494"/>
    <w:rsid w:val="009258FE"/>
    <w:rsid w:val="00927CE4"/>
    <w:rsid w:val="00932214"/>
    <w:rsid w:val="0093296D"/>
    <w:rsid w:val="009333E9"/>
    <w:rsid w:val="009345EB"/>
    <w:rsid w:val="00934988"/>
    <w:rsid w:val="0093601B"/>
    <w:rsid w:val="00937089"/>
    <w:rsid w:val="00937477"/>
    <w:rsid w:val="00940400"/>
    <w:rsid w:val="00940422"/>
    <w:rsid w:val="0094121F"/>
    <w:rsid w:val="00941556"/>
    <w:rsid w:val="00942040"/>
    <w:rsid w:val="009433B9"/>
    <w:rsid w:val="0094392E"/>
    <w:rsid w:val="00944B81"/>
    <w:rsid w:val="00944F8A"/>
    <w:rsid w:val="009464B7"/>
    <w:rsid w:val="00946512"/>
    <w:rsid w:val="009473DA"/>
    <w:rsid w:val="0094798E"/>
    <w:rsid w:val="00947CC8"/>
    <w:rsid w:val="00950DC3"/>
    <w:rsid w:val="009510A2"/>
    <w:rsid w:val="00951D1F"/>
    <w:rsid w:val="0095289C"/>
    <w:rsid w:val="00952FFF"/>
    <w:rsid w:val="00953257"/>
    <w:rsid w:val="00953490"/>
    <w:rsid w:val="009537B3"/>
    <w:rsid w:val="009542E5"/>
    <w:rsid w:val="0095474C"/>
    <w:rsid w:val="00954C8E"/>
    <w:rsid w:val="00955056"/>
    <w:rsid w:val="00956206"/>
    <w:rsid w:val="00956B37"/>
    <w:rsid w:val="00957D92"/>
    <w:rsid w:val="00960A17"/>
    <w:rsid w:val="00961537"/>
    <w:rsid w:val="00961BD2"/>
    <w:rsid w:val="00962CB9"/>
    <w:rsid w:val="00963D8B"/>
    <w:rsid w:val="00964312"/>
    <w:rsid w:val="00965614"/>
    <w:rsid w:val="009659DF"/>
    <w:rsid w:val="00965B8A"/>
    <w:rsid w:val="00965FFB"/>
    <w:rsid w:val="009667F2"/>
    <w:rsid w:val="00966C4B"/>
    <w:rsid w:val="0096702F"/>
    <w:rsid w:val="009670F6"/>
    <w:rsid w:val="00970627"/>
    <w:rsid w:val="0097071F"/>
    <w:rsid w:val="00970AB5"/>
    <w:rsid w:val="009717AC"/>
    <w:rsid w:val="009721F9"/>
    <w:rsid w:val="00972B58"/>
    <w:rsid w:val="00973915"/>
    <w:rsid w:val="00973DA1"/>
    <w:rsid w:val="00974BF4"/>
    <w:rsid w:val="009751C1"/>
    <w:rsid w:val="00975F57"/>
    <w:rsid w:val="009764E6"/>
    <w:rsid w:val="00976A1F"/>
    <w:rsid w:val="00976E62"/>
    <w:rsid w:val="009811F1"/>
    <w:rsid w:val="00981944"/>
    <w:rsid w:val="00982D2B"/>
    <w:rsid w:val="00983AF7"/>
    <w:rsid w:val="00983E57"/>
    <w:rsid w:val="0098501B"/>
    <w:rsid w:val="009858DC"/>
    <w:rsid w:val="00985C42"/>
    <w:rsid w:val="00985DE2"/>
    <w:rsid w:val="0098675D"/>
    <w:rsid w:val="00987354"/>
    <w:rsid w:val="009878DC"/>
    <w:rsid w:val="00987BA4"/>
    <w:rsid w:val="00987D9A"/>
    <w:rsid w:val="00990274"/>
    <w:rsid w:val="00990B0C"/>
    <w:rsid w:val="00991485"/>
    <w:rsid w:val="009915ED"/>
    <w:rsid w:val="0099176B"/>
    <w:rsid w:val="009926E0"/>
    <w:rsid w:val="0099354F"/>
    <w:rsid w:val="009935D9"/>
    <w:rsid w:val="00994075"/>
    <w:rsid w:val="0099451E"/>
    <w:rsid w:val="00994FF7"/>
    <w:rsid w:val="00995515"/>
    <w:rsid w:val="009960A0"/>
    <w:rsid w:val="00996B1A"/>
    <w:rsid w:val="009A18F6"/>
    <w:rsid w:val="009A19B8"/>
    <w:rsid w:val="009A1EC0"/>
    <w:rsid w:val="009A20A5"/>
    <w:rsid w:val="009A2547"/>
    <w:rsid w:val="009A2DCC"/>
    <w:rsid w:val="009A2FDB"/>
    <w:rsid w:val="009A3473"/>
    <w:rsid w:val="009A388C"/>
    <w:rsid w:val="009A466E"/>
    <w:rsid w:val="009A5ABC"/>
    <w:rsid w:val="009A5B86"/>
    <w:rsid w:val="009A6610"/>
    <w:rsid w:val="009A6734"/>
    <w:rsid w:val="009A698B"/>
    <w:rsid w:val="009A7F10"/>
    <w:rsid w:val="009B0B10"/>
    <w:rsid w:val="009B14BC"/>
    <w:rsid w:val="009B2A95"/>
    <w:rsid w:val="009B36C3"/>
    <w:rsid w:val="009B3E26"/>
    <w:rsid w:val="009B3EF6"/>
    <w:rsid w:val="009B4066"/>
    <w:rsid w:val="009B42E4"/>
    <w:rsid w:val="009B4A9A"/>
    <w:rsid w:val="009B545D"/>
    <w:rsid w:val="009B66CD"/>
    <w:rsid w:val="009B67FA"/>
    <w:rsid w:val="009B7797"/>
    <w:rsid w:val="009B7959"/>
    <w:rsid w:val="009C0AD5"/>
    <w:rsid w:val="009C10AB"/>
    <w:rsid w:val="009C1271"/>
    <w:rsid w:val="009C1BE0"/>
    <w:rsid w:val="009C3706"/>
    <w:rsid w:val="009C3A3A"/>
    <w:rsid w:val="009C4C57"/>
    <w:rsid w:val="009C528B"/>
    <w:rsid w:val="009C5615"/>
    <w:rsid w:val="009C6CEA"/>
    <w:rsid w:val="009C7B85"/>
    <w:rsid w:val="009C7FAE"/>
    <w:rsid w:val="009D0254"/>
    <w:rsid w:val="009D186D"/>
    <w:rsid w:val="009D1A64"/>
    <w:rsid w:val="009D1CB7"/>
    <w:rsid w:val="009D2FEE"/>
    <w:rsid w:val="009D342E"/>
    <w:rsid w:val="009D4558"/>
    <w:rsid w:val="009D5592"/>
    <w:rsid w:val="009D5B91"/>
    <w:rsid w:val="009D5EE5"/>
    <w:rsid w:val="009D62D3"/>
    <w:rsid w:val="009D669F"/>
    <w:rsid w:val="009D6F99"/>
    <w:rsid w:val="009D792E"/>
    <w:rsid w:val="009E0DFE"/>
    <w:rsid w:val="009E2A6B"/>
    <w:rsid w:val="009E2E62"/>
    <w:rsid w:val="009E31F6"/>
    <w:rsid w:val="009E34D1"/>
    <w:rsid w:val="009E38AC"/>
    <w:rsid w:val="009E3E62"/>
    <w:rsid w:val="009E452D"/>
    <w:rsid w:val="009E4B47"/>
    <w:rsid w:val="009E4C07"/>
    <w:rsid w:val="009E4DF1"/>
    <w:rsid w:val="009E51A1"/>
    <w:rsid w:val="009E6532"/>
    <w:rsid w:val="009E7182"/>
    <w:rsid w:val="009E777F"/>
    <w:rsid w:val="009F03E7"/>
    <w:rsid w:val="009F1145"/>
    <w:rsid w:val="009F174D"/>
    <w:rsid w:val="009F1F68"/>
    <w:rsid w:val="009F231B"/>
    <w:rsid w:val="009F2376"/>
    <w:rsid w:val="009F2517"/>
    <w:rsid w:val="009F2A98"/>
    <w:rsid w:val="009F3CD0"/>
    <w:rsid w:val="009F3FA5"/>
    <w:rsid w:val="009F43C2"/>
    <w:rsid w:val="009F6120"/>
    <w:rsid w:val="009F6646"/>
    <w:rsid w:val="00A00C22"/>
    <w:rsid w:val="00A00D76"/>
    <w:rsid w:val="00A01184"/>
    <w:rsid w:val="00A01412"/>
    <w:rsid w:val="00A01449"/>
    <w:rsid w:val="00A0299C"/>
    <w:rsid w:val="00A037C2"/>
    <w:rsid w:val="00A03D43"/>
    <w:rsid w:val="00A04380"/>
    <w:rsid w:val="00A04482"/>
    <w:rsid w:val="00A04786"/>
    <w:rsid w:val="00A05297"/>
    <w:rsid w:val="00A05472"/>
    <w:rsid w:val="00A05C32"/>
    <w:rsid w:val="00A05DD6"/>
    <w:rsid w:val="00A060D3"/>
    <w:rsid w:val="00A0653F"/>
    <w:rsid w:val="00A06A12"/>
    <w:rsid w:val="00A0724A"/>
    <w:rsid w:val="00A0737E"/>
    <w:rsid w:val="00A10573"/>
    <w:rsid w:val="00A113BC"/>
    <w:rsid w:val="00A1166A"/>
    <w:rsid w:val="00A11CD0"/>
    <w:rsid w:val="00A12367"/>
    <w:rsid w:val="00A126A2"/>
    <w:rsid w:val="00A12B5B"/>
    <w:rsid w:val="00A13948"/>
    <w:rsid w:val="00A1411D"/>
    <w:rsid w:val="00A14CF5"/>
    <w:rsid w:val="00A15428"/>
    <w:rsid w:val="00A1555B"/>
    <w:rsid w:val="00A155C5"/>
    <w:rsid w:val="00A15987"/>
    <w:rsid w:val="00A16AD8"/>
    <w:rsid w:val="00A1748B"/>
    <w:rsid w:val="00A17581"/>
    <w:rsid w:val="00A175A8"/>
    <w:rsid w:val="00A2021E"/>
    <w:rsid w:val="00A2069B"/>
    <w:rsid w:val="00A211E1"/>
    <w:rsid w:val="00A2154C"/>
    <w:rsid w:val="00A21C95"/>
    <w:rsid w:val="00A21CF3"/>
    <w:rsid w:val="00A22BA5"/>
    <w:rsid w:val="00A24813"/>
    <w:rsid w:val="00A262EE"/>
    <w:rsid w:val="00A2667F"/>
    <w:rsid w:val="00A270E8"/>
    <w:rsid w:val="00A27AEC"/>
    <w:rsid w:val="00A3183D"/>
    <w:rsid w:val="00A31933"/>
    <w:rsid w:val="00A31B43"/>
    <w:rsid w:val="00A320DB"/>
    <w:rsid w:val="00A32205"/>
    <w:rsid w:val="00A34CC2"/>
    <w:rsid w:val="00A35272"/>
    <w:rsid w:val="00A3547C"/>
    <w:rsid w:val="00A35D16"/>
    <w:rsid w:val="00A3799B"/>
    <w:rsid w:val="00A37AD0"/>
    <w:rsid w:val="00A37BCD"/>
    <w:rsid w:val="00A41672"/>
    <w:rsid w:val="00A41689"/>
    <w:rsid w:val="00A424C5"/>
    <w:rsid w:val="00A42592"/>
    <w:rsid w:val="00A43C59"/>
    <w:rsid w:val="00A43F08"/>
    <w:rsid w:val="00A44B1D"/>
    <w:rsid w:val="00A45ED6"/>
    <w:rsid w:val="00A46704"/>
    <w:rsid w:val="00A50A7A"/>
    <w:rsid w:val="00A50AA4"/>
    <w:rsid w:val="00A50ECD"/>
    <w:rsid w:val="00A518F3"/>
    <w:rsid w:val="00A522E8"/>
    <w:rsid w:val="00A52729"/>
    <w:rsid w:val="00A53675"/>
    <w:rsid w:val="00A53D9D"/>
    <w:rsid w:val="00A55073"/>
    <w:rsid w:val="00A551D3"/>
    <w:rsid w:val="00A564D7"/>
    <w:rsid w:val="00A56B6A"/>
    <w:rsid w:val="00A57316"/>
    <w:rsid w:val="00A578DC"/>
    <w:rsid w:val="00A5799A"/>
    <w:rsid w:val="00A60B0E"/>
    <w:rsid w:val="00A60D3D"/>
    <w:rsid w:val="00A62591"/>
    <w:rsid w:val="00A6282C"/>
    <w:rsid w:val="00A6287D"/>
    <w:rsid w:val="00A635AF"/>
    <w:rsid w:val="00A63A96"/>
    <w:rsid w:val="00A640E2"/>
    <w:rsid w:val="00A64D65"/>
    <w:rsid w:val="00A6572D"/>
    <w:rsid w:val="00A65769"/>
    <w:rsid w:val="00A65EBD"/>
    <w:rsid w:val="00A664EE"/>
    <w:rsid w:val="00A6725B"/>
    <w:rsid w:val="00A678B1"/>
    <w:rsid w:val="00A70605"/>
    <w:rsid w:val="00A706D0"/>
    <w:rsid w:val="00A7079A"/>
    <w:rsid w:val="00A70EC9"/>
    <w:rsid w:val="00A7188A"/>
    <w:rsid w:val="00A72978"/>
    <w:rsid w:val="00A73134"/>
    <w:rsid w:val="00A733BA"/>
    <w:rsid w:val="00A7365A"/>
    <w:rsid w:val="00A73716"/>
    <w:rsid w:val="00A73ABA"/>
    <w:rsid w:val="00A73C77"/>
    <w:rsid w:val="00A741A5"/>
    <w:rsid w:val="00A74C13"/>
    <w:rsid w:val="00A76001"/>
    <w:rsid w:val="00A777B2"/>
    <w:rsid w:val="00A80260"/>
    <w:rsid w:val="00A8050A"/>
    <w:rsid w:val="00A80560"/>
    <w:rsid w:val="00A80B0B"/>
    <w:rsid w:val="00A81181"/>
    <w:rsid w:val="00A823C5"/>
    <w:rsid w:val="00A825D4"/>
    <w:rsid w:val="00A828F6"/>
    <w:rsid w:val="00A82B73"/>
    <w:rsid w:val="00A82CB6"/>
    <w:rsid w:val="00A83454"/>
    <w:rsid w:val="00A83CC8"/>
    <w:rsid w:val="00A84038"/>
    <w:rsid w:val="00A84EB8"/>
    <w:rsid w:val="00A8590C"/>
    <w:rsid w:val="00A86306"/>
    <w:rsid w:val="00A86E8B"/>
    <w:rsid w:val="00A8708C"/>
    <w:rsid w:val="00A87164"/>
    <w:rsid w:val="00A871A9"/>
    <w:rsid w:val="00A902E9"/>
    <w:rsid w:val="00A90335"/>
    <w:rsid w:val="00A90939"/>
    <w:rsid w:val="00A91A13"/>
    <w:rsid w:val="00A92DAF"/>
    <w:rsid w:val="00A93072"/>
    <w:rsid w:val="00A93578"/>
    <w:rsid w:val="00A938BD"/>
    <w:rsid w:val="00A93911"/>
    <w:rsid w:val="00A93953"/>
    <w:rsid w:val="00A946A0"/>
    <w:rsid w:val="00A94874"/>
    <w:rsid w:val="00A950E4"/>
    <w:rsid w:val="00A952F2"/>
    <w:rsid w:val="00A959D8"/>
    <w:rsid w:val="00A95B88"/>
    <w:rsid w:val="00A9738F"/>
    <w:rsid w:val="00A97D76"/>
    <w:rsid w:val="00A97F82"/>
    <w:rsid w:val="00AA0574"/>
    <w:rsid w:val="00AA0B70"/>
    <w:rsid w:val="00AA0F3D"/>
    <w:rsid w:val="00AA0FE3"/>
    <w:rsid w:val="00AA113D"/>
    <w:rsid w:val="00AA1854"/>
    <w:rsid w:val="00AA1A8F"/>
    <w:rsid w:val="00AA2276"/>
    <w:rsid w:val="00AA27FF"/>
    <w:rsid w:val="00AA3C1A"/>
    <w:rsid w:val="00AA4158"/>
    <w:rsid w:val="00AA589C"/>
    <w:rsid w:val="00AA5E33"/>
    <w:rsid w:val="00AA6BD5"/>
    <w:rsid w:val="00AA6BD8"/>
    <w:rsid w:val="00AA6C7D"/>
    <w:rsid w:val="00AA7141"/>
    <w:rsid w:val="00AA716C"/>
    <w:rsid w:val="00AA7232"/>
    <w:rsid w:val="00AA75F6"/>
    <w:rsid w:val="00AA7FD6"/>
    <w:rsid w:val="00AB042A"/>
    <w:rsid w:val="00AB11AD"/>
    <w:rsid w:val="00AB11EB"/>
    <w:rsid w:val="00AB17AC"/>
    <w:rsid w:val="00AB19EF"/>
    <w:rsid w:val="00AB2495"/>
    <w:rsid w:val="00AB289F"/>
    <w:rsid w:val="00AB2D34"/>
    <w:rsid w:val="00AB3430"/>
    <w:rsid w:val="00AB37B9"/>
    <w:rsid w:val="00AB3F4A"/>
    <w:rsid w:val="00AB4AD1"/>
    <w:rsid w:val="00AB5E07"/>
    <w:rsid w:val="00AB6394"/>
    <w:rsid w:val="00AB696A"/>
    <w:rsid w:val="00AB787F"/>
    <w:rsid w:val="00AB7CFA"/>
    <w:rsid w:val="00AC037A"/>
    <w:rsid w:val="00AC04ED"/>
    <w:rsid w:val="00AC174E"/>
    <w:rsid w:val="00AC3ACA"/>
    <w:rsid w:val="00AC3F8E"/>
    <w:rsid w:val="00AC41D0"/>
    <w:rsid w:val="00AC574B"/>
    <w:rsid w:val="00AC5B42"/>
    <w:rsid w:val="00AC5B48"/>
    <w:rsid w:val="00AC5B5C"/>
    <w:rsid w:val="00AC644E"/>
    <w:rsid w:val="00AC69F2"/>
    <w:rsid w:val="00AC6EF0"/>
    <w:rsid w:val="00AC7545"/>
    <w:rsid w:val="00AC7CC6"/>
    <w:rsid w:val="00AD02B7"/>
    <w:rsid w:val="00AD1450"/>
    <w:rsid w:val="00AD1524"/>
    <w:rsid w:val="00AD15E8"/>
    <w:rsid w:val="00AD17F1"/>
    <w:rsid w:val="00AD19BA"/>
    <w:rsid w:val="00AD269E"/>
    <w:rsid w:val="00AD356D"/>
    <w:rsid w:val="00AD45F5"/>
    <w:rsid w:val="00AD4D30"/>
    <w:rsid w:val="00AD528D"/>
    <w:rsid w:val="00AD5EB5"/>
    <w:rsid w:val="00AD6502"/>
    <w:rsid w:val="00AD6E02"/>
    <w:rsid w:val="00AD79C9"/>
    <w:rsid w:val="00AD7E08"/>
    <w:rsid w:val="00AE0695"/>
    <w:rsid w:val="00AE0DFC"/>
    <w:rsid w:val="00AE14DE"/>
    <w:rsid w:val="00AE20FC"/>
    <w:rsid w:val="00AE2987"/>
    <w:rsid w:val="00AE3E02"/>
    <w:rsid w:val="00AE3E7E"/>
    <w:rsid w:val="00AE4772"/>
    <w:rsid w:val="00AE4FFB"/>
    <w:rsid w:val="00AE548E"/>
    <w:rsid w:val="00AE5BF6"/>
    <w:rsid w:val="00AE63AC"/>
    <w:rsid w:val="00AE644E"/>
    <w:rsid w:val="00AE6F6F"/>
    <w:rsid w:val="00AE7C87"/>
    <w:rsid w:val="00AE7E53"/>
    <w:rsid w:val="00AF07FB"/>
    <w:rsid w:val="00AF1315"/>
    <w:rsid w:val="00AF19BF"/>
    <w:rsid w:val="00AF1D98"/>
    <w:rsid w:val="00AF1DC1"/>
    <w:rsid w:val="00AF22F3"/>
    <w:rsid w:val="00AF240F"/>
    <w:rsid w:val="00AF2DC3"/>
    <w:rsid w:val="00AF3032"/>
    <w:rsid w:val="00AF34AB"/>
    <w:rsid w:val="00AF52E9"/>
    <w:rsid w:val="00AF6237"/>
    <w:rsid w:val="00AF62C4"/>
    <w:rsid w:val="00AF6C09"/>
    <w:rsid w:val="00B0158C"/>
    <w:rsid w:val="00B02051"/>
    <w:rsid w:val="00B03131"/>
    <w:rsid w:val="00B033E5"/>
    <w:rsid w:val="00B03A63"/>
    <w:rsid w:val="00B042A1"/>
    <w:rsid w:val="00B04A55"/>
    <w:rsid w:val="00B05346"/>
    <w:rsid w:val="00B0618B"/>
    <w:rsid w:val="00B0679C"/>
    <w:rsid w:val="00B067C6"/>
    <w:rsid w:val="00B069E7"/>
    <w:rsid w:val="00B0795E"/>
    <w:rsid w:val="00B10363"/>
    <w:rsid w:val="00B11247"/>
    <w:rsid w:val="00B1255D"/>
    <w:rsid w:val="00B129A4"/>
    <w:rsid w:val="00B129E2"/>
    <w:rsid w:val="00B13ACE"/>
    <w:rsid w:val="00B13D1E"/>
    <w:rsid w:val="00B13DC4"/>
    <w:rsid w:val="00B14FE6"/>
    <w:rsid w:val="00B15409"/>
    <w:rsid w:val="00B15780"/>
    <w:rsid w:val="00B15B42"/>
    <w:rsid w:val="00B15CFD"/>
    <w:rsid w:val="00B15E3F"/>
    <w:rsid w:val="00B16014"/>
    <w:rsid w:val="00B16FA5"/>
    <w:rsid w:val="00B201A4"/>
    <w:rsid w:val="00B201D1"/>
    <w:rsid w:val="00B20773"/>
    <w:rsid w:val="00B20B2D"/>
    <w:rsid w:val="00B210D6"/>
    <w:rsid w:val="00B213A6"/>
    <w:rsid w:val="00B219E7"/>
    <w:rsid w:val="00B21A0E"/>
    <w:rsid w:val="00B2233D"/>
    <w:rsid w:val="00B22C65"/>
    <w:rsid w:val="00B235B0"/>
    <w:rsid w:val="00B2473E"/>
    <w:rsid w:val="00B24B18"/>
    <w:rsid w:val="00B24DF6"/>
    <w:rsid w:val="00B26217"/>
    <w:rsid w:val="00B27A61"/>
    <w:rsid w:val="00B30409"/>
    <w:rsid w:val="00B30FE2"/>
    <w:rsid w:val="00B313D5"/>
    <w:rsid w:val="00B32203"/>
    <w:rsid w:val="00B3320D"/>
    <w:rsid w:val="00B34BE0"/>
    <w:rsid w:val="00B34FE2"/>
    <w:rsid w:val="00B35166"/>
    <w:rsid w:val="00B356F7"/>
    <w:rsid w:val="00B357D8"/>
    <w:rsid w:val="00B360F4"/>
    <w:rsid w:val="00B36A00"/>
    <w:rsid w:val="00B372B3"/>
    <w:rsid w:val="00B3792B"/>
    <w:rsid w:val="00B37BFC"/>
    <w:rsid w:val="00B40358"/>
    <w:rsid w:val="00B41614"/>
    <w:rsid w:val="00B424FD"/>
    <w:rsid w:val="00B42851"/>
    <w:rsid w:val="00B42BA2"/>
    <w:rsid w:val="00B42F80"/>
    <w:rsid w:val="00B435CB"/>
    <w:rsid w:val="00B44D82"/>
    <w:rsid w:val="00B44E75"/>
    <w:rsid w:val="00B45FB0"/>
    <w:rsid w:val="00B465C7"/>
    <w:rsid w:val="00B465EC"/>
    <w:rsid w:val="00B46A91"/>
    <w:rsid w:val="00B47040"/>
    <w:rsid w:val="00B47BB7"/>
    <w:rsid w:val="00B505C8"/>
    <w:rsid w:val="00B5088B"/>
    <w:rsid w:val="00B50DB8"/>
    <w:rsid w:val="00B50F10"/>
    <w:rsid w:val="00B51FDA"/>
    <w:rsid w:val="00B53654"/>
    <w:rsid w:val="00B536B2"/>
    <w:rsid w:val="00B53905"/>
    <w:rsid w:val="00B5421F"/>
    <w:rsid w:val="00B54236"/>
    <w:rsid w:val="00B542F1"/>
    <w:rsid w:val="00B546DB"/>
    <w:rsid w:val="00B547BE"/>
    <w:rsid w:val="00B54B5B"/>
    <w:rsid w:val="00B5562E"/>
    <w:rsid w:val="00B55862"/>
    <w:rsid w:val="00B55D65"/>
    <w:rsid w:val="00B55DFF"/>
    <w:rsid w:val="00B56305"/>
    <w:rsid w:val="00B57000"/>
    <w:rsid w:val="00B57931"/>
    <w:rsid w:val="00B60939"/>
    <w:rsid w:val="00B60AFD"/>
    <w:rsid w:val="00B61331"/>
    <w:rsid w:val="00B614A5"/>
    <w:rsid w:val="00B62715"/>
    <w:rsid w:val="00B62BAA"/>
    <w:rsid w:val="00B633F1"/>
    <w:rsid w:val="00B640EB"/>
    <w:rsid w:val="00B65611"/>
    <w:rsid w:val="00B659C0"/>
    <w:rsid w:val="00B660B6"/>
    <w:rsid w:val="00B6725D"/>
    <w:rsid w:val="00B70D5A"/>
    <w:rsid w:val="00B70E8E"/>
    <w:rsid w:val="00B725AB"/>
    <w:rsid w:val="00B72CB3"/>
    <w:rsid w:val="00B737BA"/>
    <w:rsid w:val="00B73C40"/>
    <w:rsid w:val="00B742D8"/>
    <w:rsid w:val="00B74434"/>
    <w:rsid w:val="00B74C9D"/>
    <w:rsid w:val="00B753A7"/>
    <w:rsid w:val="00B75613"/>
    <w:rsid w:val="00B75821"/>
    <w:rsid w:val="00B7589F"/>
    <w:rsid w:val="00B75C8F"/>
    <w:rsid w:val="00B76C92"/>
    <w:rsid w:val="00B76CD7"/>
    <w:rsid w:val="00B80EFD"/>
    <w:rsid w:val="00B818A4"/>
    <w:rsid w:val="00B81C75"/>
    <w:rsid w:val="00B83050"/>
    <w:rsid w:val="00B83739"/>
    <w:rsid w:val="00B83B49"/>
    <w:rsid w:val="00B840EF"/>
    <w:rsid w:val="00B84117"/>
    <w:rsid w:val="00B8449F"/>
    <w:rsid w:val="00B845A4"/>
    <w:rsid w:val="00B84810"/>
    <w:rsid w:val="00B84C0A"/>
    <w:rsid w:val="00B858F0"/>
    <w:rsid w:val="00B85AA2"/>
    <w:rsid w:val="00B86358"/>
    <w:rsid w:val="00B8649C"/>
    <w:rsid w:val="00B86569"/>
    <w:rsid w:val="00B86588"/>
    <w:rsid w:val="00B8695D"/>
    <w:rsid w:val="00B87A25"/>
    <w:rsid w:val="00B87D6C"/>
    <w:rsid w:val="00B87F0A"/>
    <w:rsid w:val="00B9017B"/>
    <w:rsid w:val="00B90507"/>
    <w:rsid w:val="00B90545"/>
    <w:rsid w:val="00B91084"/>
    <w:rsid w:val="00B91238"/>
    <w:rsid w:val="00B921D5"/>
    <w:rsid w:val="00B92268"/>
    <w:rsid w:val="00B92D0B"/>
    <w:rsid w:val="00B93183"/>
    <w:rsid w:val="00B931CB"/>
    <w:rsid w:val="00B93CA4"/>
    <w:rsid w:val="00B94945"/>
    <w:rsid w:val="00B94DA9"/>
    <w:rsid w:val="00B94DD6"/>
    <w:rsid w:val="00B965DF"/>
    <w:rsid w:val="00B96696"/>
    <w:rsid w:val="00B96F5D"/>
    <w:rsid w:val="00B97E45"/>
    <w:rsid w:val="00BA222F"/>
    <w:rsid w:val="00BA322D"/>
    <w:rsid w:val="00BA3EBC"/>
    <w:rsid w:val="00BA4579"/>
    <w:rsid w:val="00BA63FA"/>
    <w:rsid w:val="00BA7142"/>
    <w:rsid w:val="00BA7D1D"/>
    <w:rsid w:val="00BA7F2F"/>
    <w:rsid w:val="00BB00B3"/>
    <w:rsid w:val="00BB07D2"/>
    <w:rsid w:val="00BB0BDD"/>
    <w:rsid w:val="00BB176C"/>
    <w:rsid w:val="00BB17F0"/>
    <w:rsid w:val="00BB19C7"/>
    <w:rsid w:val="00BB1C6D"/>
    <w:rsid w:val="00BB2199"/>
    <w:rsid w:val="00BB2A73"/>
    <w:rsid w:val="00BB3079"/>
    <w:rsid w:val="00BB3354"/>
    <w:rsid w:val="00BB3A45"/>
    <w:rsid w:val="00BB4ACC"/>
    <w:rsid w:val="00BB503C"/>
    <w:rsid w:val="00BB6DB3"/>
    <w:rsid w:val="00BB6DE1"/>
    <w:rsid w:val="00BB703E"/>
    <w:rsid w:val="00BB72AC"/>
    <w:rsid w:val="00BB732D"/>
    <w:rsid w:val="00BB7405"/>
    <w:rsid w:val="00BB77E3"/>
    <w:rsid w:val="00BB79A4"/>
    <w:rsid w:val="00BB7BED"/>
    <w:rsid w:val="00BC0150"/>
    <w:rsid w:val="00BC0A08"/>
    <w:rsid w:val="00BC23A6"/>
    <w:rsid w:val="00BC24A8"/>
    <w:rsid w:val="00BC24AD"/>
    <w:rsid w:val="00BC32E2"/>
    <w:rsid w:val="00BC3631"/>
    <w:rsid w:val="00BC3805"/>
    <w:rsid w:val="00BC3925"/>
    <w:rsid w:val="00BC4CF6"/>
    <w:rsid w:val="00BC4FB0"/>
    <w:rsid w:val="00BC591F"/>
    <w:rsid w:val="00BC5E40"/>
    <w:rsid w:val="00BC626B"/>
    <w:rsid w:val="00BC69EE"/>
    <w:rsid w:val="00BC71E4"/>
    <w:rsid w:val="00BC7D6D"/>
    <w:rsid w:val="00BD145B"/>
    <w:rsid w:val="00BD1FA4"/>
    <w:rsid w:val="00BD2108"/>
    <w:rsid w:val="00BD24A5"/>
    <w:rsid w:val="00BD3F61"/>
    <w:rsid w:val="00BD4798"/>
    <w:rsid w:val="00BD5FD8"/>
    <w:rsid w:val="00BD68A3"/>
    <w:rsid w:val="00BD68D9"/>
    <w:rsid w:val="00BD6938"/>
    <w:rsid w:val="00BD6CF3"/>
    <w:rsid w:val="00BD7224"/>
    <w:rsid w:val="00BD7F72"/>
    <w:rsid w:val="00BE0846"/>
    <w:rsid w:val="00BE0ECA"/>
    <w:rsid w:val="00BE1101"/>
    <w:rsid w:val="00BE1975"/>
    <w:rsid w:val="00BE2180"/>
    <w:rsid w:val="00BE21F2"/>
    <w:rsid w:val="00BE4275"/>
    <w:rsid w:val="00BE51E2"/>
    <w:rsid w:val="00BE51FC"/>
    <w:rsid w:val="00BE56DE"/>
    <w:rsid w:val="00BE5B92"/>
    <w:rsid w:val="00BE6F8F"/>
    <w:rsid w:val="00BE72DB"/>
    <w:rsid w:val="00BE7EFB"/>
    <w:rsid w:val="00BF06AE"/>
    <w:rsid w:val="00BF0C49"/>
    <w:rsid w:val="00BF0F95"/>
    <w:rsid w:val="00BF1B9D"/>
    <w:rsid w:val="00BF1EC6"/>
    <w:rsid w:val="00BF2433"/>
    <w:rsid w:val="00BF2700"/>
    <w:rsid w:val="00BF291E"/>
    <w:rsid w:val="00BF2D29"/>
    <w:rsid w:val="00BF2E6E"/>
    <w:rsid w:val="00BF3F84"/>
    <w:rsid w:val="00BF43FE"/>
    <w:rsid w:val="00BF59E6"/>
    <w:rsid w:val="00BF61C9"/>
    <w:rsid w:val="00BF6C94"/>
    <w:rsid w:val="00BF7694"/>
    <w:rsid w:val="00BF7929"/>
    <w:rsid w:val="00BF7E7C"/>
    <w:rsid w:val="00C00424"/>
    <w:rsid w:val="00C00BB0"/>
    <w:rsid w:val="00C0314B"/>
    <w:rsid w:val="00C048B4"/>
    <w:rsid w:val="00C064A2"/>
    <w:rsid w:val="00C109B5"/>
    <w:rsid w:val="00C1179F"/>
    <w:rsid w:val="00C127B9"/>
    <w:rsid w:val="00C128FA"/>
    <w:rsid w:val="00C12C14"/>
    <w:rsid w:val="00C12EEB"/>
    <w:rsid w:val="00C13D23"/>
    <w:rsid w:val="00C1550D"/>
    <w:rsid w:val="00C156F7"/>
    <w:rsid w:val="00C1570A"/>
    <w:rsid w:val="00C15C4C"/>
    <w:rsid w:val="00C15F04"/>
    <w:rsid w:val="00C16217"/>
    <w:rsid w:val="00C163CE"/>
    <w:rsid w:val="00C16A91"/>
    <w:rsid w:val="00C179B3"/>
    <w:rsid w:val="00C17E3F"/>
    <w:rsid w:val="00C200AA"/>
    <w:rsid w:val="00C2038A"/>
    <w:rsid w:val="00C21220"/>
    <w:rsid w:val="00C216CF"/>
    <w:rsid w:val="00C21CF4"/>
    <w:rsid w:val="00C224F4"/>
    <w:rsid w:val="00C22B40"/>
    <w:rsid w:val="00C237ED"/>
    <w:rsid w:val="00C23E75"/>
    <w:rsid w:val="00C24632"/>
    <w:rsid w:val="00C2520A"/>
    <w:rsid w:val="00C25418"/>
    <w:rsid w:val="00C2554B"/>
    <w:rsid w:val="00C25D9C"/>
    <w:rsid w:val="00C26BAB"/>
    <w:rsid w:val="00C2732A"/>
    <w:rsid w:val="00C2778B"/>
    <w:rsid w:val="00C27988"/>
    <w:rsid w:val="00C3013D"/>
    <w:rsid w:val="00C306C2"/>
    <w:rsid w:val="00C31649"/>
    <w:rsid w:val="00C33FF8"/>
    <w:rsid w:val="00C3434C"/>
    <w:rsid w:val="00C34464"/>
    <w:rsid w:val="00C35441"/>
    <w:rsid w:val="00C3638D"/>
    <w:rsid w:val="00C364A3"/>
    <w:rsid w:val="00C3711F"/>
    <w:rsid w:val="00C37CF4"/>
    <w:rsid w:val="00C40385"/>
    <w:rsid w:val="00C4096A"/>
    <w:rsid w:val="00C40F1D"/>
    <w:rsid w:val="00C41768"/>
    <w:rsid w:val="00C418A7"/>
    <w:rsid w:val="00C421C6"/>
    <w:rsid w:val="00C44DE0"/>
    <w:rsid w:val="00C45BAA"/>
    <w:rsid w:val="00C4642B"/>
    <w:rsid w:val="00C475AA"/>
    <w:rsid w:val="00C4763E"/>
    <w:rsid w:val="00C47E0D"/>
    <w:rsid w:val="00C505FF"/>
    <w:rsid w:val="00C50AA3"/>
    <w:rsid w:val="00C521EB"/>
    <w:rsid w:val="00C527C7"/>
    <w:rsid w:val="00C53C98"/>
    <w:rsid w:val="00C54F6F"/>
    <w:rsid w:val="00C5524D"/>
    <w:rsid w:val="00C560EC"/>
    <w:rsid w:val="00C56912"/>
    <w:rsid w:val="00C56F57"/>
    <w:rsid w:val="00C56FCF"/>
    <w:rsid w:val="00C57B6C"/>
    <w:rsid w:val="00C60095"/>
    <w:rsid w:val="00C60321"/>
    <w:rsid w:val="00C604DD"/>
    <w:rsid w:val="00C60775"/>
    <w:rsid w:val="00C618A2"/>
    <w:rsid w:val="00C61A59"/>
    <w:rsid w:val="00C61BAC"/>
    <w:rsid w:val="00C628A6"/>
    <w:rsid w:val="00C62BFA"/>
    <w:rsid w:val="00C62EAB"/>
    <w:rsid w:val="00C63518"/>
    <w:rsid w:val="00C64344"/>
    <w:rsid w:val="00C65108"/>
    <w:rsid w:val="00C65576"/>
    <w:rsid w:val="00C656E3"/>
    <w:rsid w:val="00C66165"/>
    <w:rsid w:val="00C66AA5"/>
    <w:rsid w:val="00C67BB5"/>
    <w:rsid w:val="00C7060A"/>
    <w:rsid w:val="00C7151A"/>
    <w:rsid w:val="00C717E3"/>
    <w:rsid w:val="00C71D10"/>
    <w:rsid w:val="00C71F60"/>
    <w:rsid w:val="00C72241"/>
    <w:rsid w:val="00C750C8"/>
    <w:rsid w:val="00C7550A"/>
    <w:rsid w:val="00C7560F"/>
    <w:rsid w:val="00C7638F"/>
    <w:rsid w:val="00C766BB"/>
    <w:rsid w:val="00C7717E"/>
    <w:rsid w:val="00C7751D"/>
    <w:rsid w:val="00C77E8B"/>
    <w:rsid w:val="00C804DD"/>
    <w:rsid w:val="00C80A0E"/>
    <w:rsid w:val="00C8213F"/>
    <w:rsid w:val="00C821A0"/>
    <w:rsid w:val="00C8303F"/>
    <w:rsid w:val="00C83142"/>
    <w:rsid w:val="00C83DF6"/>
    <w:rsid w:val="00C844F9"/>
    <w:rsid w:val="00C84AD8"/>
    <w:rsid w:val="00C85154"/>
    <w:rsid w:val="00C856ED"/>
    <w:rsid w:val="00C85A70"/>
    <w:rsid w:val="00C85B8B"/>
    <w:rsid w:val="00C860F8"/>
    <w:rsid w:val="00C86158"/>
    <w:rsid w:val="00C8797A"/>
    <w:rsid w:val="00C879C9"/>
    <w:rsid w:val="00C900B8"/>
    <w:rsid w:val="00C90190"/>
    <w:rsid w:val="00C90197"/>
    <w:rsid w:val="00C9060E"/>
    <w:rsid w:val="00C90C71"/>
    <w:rsid w:val="00C9138D"/>
    <w:rsid w:val="00C91FD1"/>
    <w:rsid w:val="00C931CF"/>
    <w:rsid w:val="00C938CF"/>
    <w:rsid w:val="00C93F09"/>
    <w:rsid w:val="00C94053"/>
    <w:rsid w:val="00C943E0"/>
    <w:rsid w:val="00C9624D"/>
    <w:rsid w:val="00C969DA"/>
    <w:rsid w:val="00CA022C"/>
    <w:rsid w:val="00CA2C77"/>
    <w:rsid w:val="00CA3088"/>
    <w:rsid w:val="00CA4154"/>
    <w:rsid w:val="00CA444F"/>
    <w:rsid w:val="00CA49A9"/>
    <w:rsid w:val="00CA4A7F"/>
    <w:rsid w:val="00CA4ADB"/>
    <w:rsid w:val="00CA5245"/>
    <w:rsid w:val="00CA657F"/>
    <w:rsid w:val="00CA6C75"/>
    <w:rsid w:val="00CA71F4"/>
    <w:rsid w:val="00CA7B09"/>
    <w:rsid w:val="00CA7B6E"/>
    <w:rsid w:val="00CB0A18"/>
    <w:rsid w:val="00CB12A5"/>
    <w:rsid w:val="00CB1CAC"/>
    <w:rsid w:val="00CB21D9"/>
    <w:rsid w:val="00CB284A"/>
    <w:rsid w:val="00CB2940"/>
    <w:rsid w:val="00CB2DC7"/>
    <w:rsid w:val="00CB2F2A"/>
    <w:rsid w:val="00CB3985"/>
    <w:rsid w:val="00CB3E38"/>
    <w:rsid w:val="00CB5B1A"/>
    <w:rsid w:val="00CB6926"/>
    <w:rsid w:val="00CB6B22"/>
    <w:rsid w:val="00CB7F2B"/>
    <w:rsid w:val="00CB7F5F"/>
    <w:rsid w:val="00CC0FAF"/>
    <w:rsid w:val="00CC18C6"/>
    <w:rsid w:val="00CC1B39"/>
    <w:rsid w:val="00CC1BFA"/>
    <w:rsid w:val="00CC2E9F"/>
    <w:rsid w:val="00CC3559"/>
    <w:rsid w:val="00CC35EA"/>
    <w:rsid w:val="00CC3848"/>
    <w:rsid w:val="00CC3EB9"/>
    <w:rsid w:val="00CC6A08"/>
    <w:rsid w:val="00CC6D5E"/>
    <w:rsid w:val="00CD0200"/>
    <w:rsid w:val="00CD1078"/>
    <w:rsid w:val="00CD109A"/>
    <w:rsid w:val="00CD151E"/>
    <w:rsid w:val="00CD181D"/>
    <w:rsid w:val="00CD3601"/>
    <w:rsid w:val="00CD3F77"/>
    <w:rsid w:val="00CD4204"/>
    <w:rsid w:val="00CD56A9"/>
    <w:rsid w:val="00CD5B7E"/>
    <w:rsid w:val="00CD6ADC"/>
    <w:rsid w:val="00CD7193"/>
    <w:rsid w:val="00CE0381"/>
    <w:rsid w:val="00CE0E44"/>
    <w:rsid w:val="00CE104A"/>
    <w:rsid w:val="00CE38C8"/>
    <w:rsid w:val="00CE3AFE"/>
    <w:rsid w:val="00CE443A"/>
    <w:rsid w:val="00CE508E"/>
    <w:rsid w:val="00CE5187"/>
    <w:rsid w:val="00CE524F"/>
    <w:rsid w:val="00CE58CC"/>
    <w:rsid w:val="00CE6274"/>
    <w:rsid w:val="00CE6B91"/>
    <w:rsid w:val="00CE74D3"/>
    <w:rsid w:val="00CE77B6"/>
    <w:rsid w:val="00CE79B0"/>
    <w:rsid w:val="00CF06A7"/>
    <w:rsid w:val="00CF0907"/>
    <w:rsid w:val="00CF0C6B"/>
    <w:rsid w:val="00CF0CAB"/>
    <w:rsid w:val="00CF173D"/>
    <w:rsid w:val="00CF2655"/>
    <w:rsid w:val="00CF2B8D"/>
    <w:rsid w:val="00CF3889"/>
    <w:rsid w:val="00CF3A1B"/>
    <w:rsid w:val="00CF446A"/>
    <w:rsid w:val="00CF456B"/>
    <w:rsid w:val="00CF5A22"/>
    <w:rsid w:val="00CF5CF1"/>
    <w:rsid w:val="00CF667D"/>
    <w:rsid w:val="00CF6B9A"/>
    <w:rsid w:val="00CF6B9F"/>
    <w:rsid w:val="00D00029"/>
    <w:rsid w:val="00D01C9A"/>
    <w:rsid w:val="00D0262E"/>
    <w:rsid w:val="00D0269A"/>
    <w:rsid w:val="00D03679"/>
    <w:rsid w:val="00D03F85"/>
    <w:rsid w:val="00D04888"/>
    <w:rsid w:val="00D05100"/>
    <w:rsid w:val="00D05E3D"/>
    <w:rsid w:val="00D060D0"/>
    <w:rsid w:val="00D06139"/>
    <w:rsid w:val="00D06313"/>
    <w:rsid w:val="00D06718"/>
    <w:rsid w:val="00D07849"/>
    <w:rsid w:val="00D109C0"/>
    <w:rsid w:val="00D110BD"/>
    <w:rsid w:val="00D11D6A"/>
    <w:rsid w:val="00D11EF2"/>
    <w:rsid w:val="00D13018"/>
    <w:rsid w:val="00D1316E"/>
    <w:rsid w:val="00D13675"/>
    <w:rsid w:val="00D13CFF"/>
    <w:rsid w:val="00D13D05"/>
    <w:rsid w:val="00D13D0B"/>
    <w:rsid w:val="00D141E1"/>
    <w:rsid w:val="00D1454B"/>
    <w:rsid w:val="00D15314"/>
    <w:rsid w:val="00D15571"/>
    <w:rsid w:val="00D15B48"/>
    <w:rsid w:val="00D17D6C"/>
    <w:rsid w:val="00D20A92"/>
    <w:rsid w:val="00D21375"/>
    <w:rsid w:val="00D2155B"/>
    <w:rsid w:val="00D217C6"/>
    <w:rsid w:val="00D22E78"/>
    <w:rsid w:val="00D23595"/>
    <w:rsid w:val="00D23D11"/>
    <w:rsid w:val="00D244B6"/>
    <w:rsid w:val="00D2581B"/>
    <w:rsid w:val="00D25BFF"/>
    <w:rsid w:val="00D26574"/>
    <w:rsid w:val="00D26962"/>
    <w:rsid w:val="00D2754D"/>
    <w:rsid w:val="00D2788C"/>
    <w:rsid w:val="00D27B27"/>
    <w:rsid w:val="00D30D5B"/>
    <w:rsid w:val="00D316ED"/>
    <w:rsid w:val="00D31981"/>
    <w:rsid w:val="00D32594"/>
    <w:rsid w:val="00D33BE9"/>
    <w:rsid w:val="00D33F93"/>
    <w:rsid w:val="00D357FF"/>
    <w:rsid w:val="00D35D17"/>
    <w:rsid w:val="00D365BA"/>
    <w:rsid w:val="00D36E5A"/>
    <w:rsid w:val="00D37433"/>
    <w:rsid w:val="00D4095B"/>
    <w:rsid w:val="00D40A42"/>
    <w:rsid w:val="00D40DEF"/>
    <w:rsid w:val="00D42171"/>
    <w:rsid w:val="00D424C7"/>
    <w:rsid w:val="00D42AE7"/>
    <w:rsid w:val="00D42D56"/>
    <w:rsid w:val="00D4347F"/>
    <w:rsid w:val="00D43B2A"/>
    <w:rsid w:val="00D43CF1"/>
    <w:rsid w:val="00D43D83"/>
    <w:rsid w:val="00D44E86"/>
    <w:rsid w:val="00D4718A"/>
    <w:rsid w:val="00D47575"/>
    <w:rsid w:val="00D5140B"/>
    <w:rsid w:val="00D5243B"/>
    <w:rsid w:val="00D527F8"/>
    <w:rsid w:val="00D52CE2"/>
    <w:rsid w:val="00D533EC"/>
    <w:rsid w:val="00D549F0"/>
    <w:rsid w:val="00D55A59"/>
    <w:rsid w:val="00D5654B"/>
    <w:rsid w:val="00D56A95"/>
    <w:rsid w:val="00D5738B"/>
    <w:rsid w:val="00D573A7"/>
    <w:rsid w:val="00D579AB"/>
    <w:rsid w:val="00D60080"/>
    <w:rsid w:val="00D60532"/>
    <w:rsid w:val="00D6076E"/>
    <w:rsid w:val="00D60DB1"/>
    <w:rsid w:val="00D61B74"/>
    <w:rsid w:val="00D6211D"/>
    <w:rsid w:val="00D62685"/>
    <w:rsid w:val="00D64A29"/>
    <w:rsid w:val="00D665E7"/>
    <w:rsid w:val="00D672E4"/>
    <w:rsid w:val="00D67DC9"/>
    <w:rsid w:val="00D706FE"/>
    <w:rsid w:val="00D70F16"/>
    <w:rsid w:val="00D71466"/>
    <w:rsid w:val="00D721B2"/>
    <w:rsid w:val="00D725F7"/>
    <w:rsid w:val="00D72617"/>
    <w:rsid w:val="00D72B5D"/>
    <w:rsid w:val="00D72F57"/>
    <w:rsid w:val="00D7306F"/>
    <w:rsid w:val="00D731FE"/>
    <w:rsid w:val="00D74945"/>
    <w:rsid w:val="00D75124"/>
    <w:rsid w:val="00D759C8"/>
    <w:rsid w:val="00D76053"/>
    <w:rsid w:val="00D76A44"/>
    <w:rsid w:val="00D76A68"/>
    <w:rsid w:val="00D76BB7"/>
    <w:rsid w:val="00D76CD8"/>
    <w:rsid w:val="00D80913"/>
    <w:rsid w:val="00D80B26"/>
    <w:rsid w:val="00D80B8E"/>
    <w:rsid w:val="00D80BD2"/>
    <w:rsid w:val="00D80DBA"/>
    <w:rsid w:val="00D815EF"/>
    <w:rsid w:val="00D81949"/>
    <w:rsid w:val="00D81F26"/>
    <w:rsid w:val="00D8203C"/>
    <w:rsid w:val="00D822E2"/>
    <w:rsid w:val="00D83B37"/>
    <w:rsid w:val="00D843F2"/>
    <w:rsid w:val="00D85656"/>
    <w:rsid w:val="00D86231"/>
    <w:rsid w:val="00D86B09"/>
    <w:rsid w:val="00D87194"/>
    <w:rsid w:val="00D878D7"/>
    <w:rsid w:val="00D909E2"/>
    <w:rsid w:val="00D912AB"/>
    <w:rsid w:val="00D916D8"/>
    <w:rsid w:val="00D91923"/>
    <w:rsid w:val="00D91960"/>
    <w:rsid w:val="00D91B0B"/>
    <w:rsid w:val="00D92080"/>
    <w:rsid w:val="00D92944"/>
    <w:rsid w:val="00D936A5"/>
    <w:rsid w:val="00D93753"/>
    <w:rsid w:val="00D9426C"/>
    <w:rsid w:val="00D9560B"/>
    <w:rsid w:val="00D95E10"/>
    <w:rsid w:val="00D96F02"/>
    <w:rsid w:val="00DA0F87"/>
    <w:rsid w:val="00DA3167"/>
    <w:rsid w:val="00DA3C17"/>
    <w:rsid w:val="00DA4231"/>
    <w:rsid w:val="00DA4DC3"/>
    <w:rsid w:val="00DA7548"/>
    <w:rsid w:val="00DA77A5"/>
    <w:rsid w:val="00DB09EC"/>
    <w:rsid w:val="00DB0E36"/>
    <w:rsid w:val="00DB2E06"/>
    <w:rsid w:val="00DB3313"/>
    <w:rsid w:val="00DB3319"/>
    <w:rsid w:val="00DB3744"/>
    <w:rsid w:val="00DB3DBF"/>
    <w:rsid w:val="00DB444B"/>
    <w:rsid w:val="00DB44DF"/>
    <w:rsid w:val="00DB484F"/>
    <w:rsid w:val="00DB4EC7"/>
    <w:rsid w:val="00DB53A0"/>
    <w:rsid w:val="00DB5DBB"/>
    <w:rsid w:val="00DB6252"/>
    <w:rsid w:val="00DB6424"/>
    <w:rsid w:val="00DC02CA"/>
    <w:rsid w:val="00DC04F6"/>
    <w:rsid w:val="00DC0690"/>
    <w:rsid w:val="00DC1D65"/>
    <w:rsid w:val="00DC3C57"/>
    <w:rsid w:val="00DC3CB0"/>
    <w:rsid w:val="00DC45A0"/>
    <w:rsid w:val="00DC537F"/>
    <w:rsid w:val="00DC5501"/>
    <w:rsid w:val="00DC5831"/>
    <w:rsid w:val="00DC5D29"/>
    <w:rsid w:val="00DC5DE4"/>
    <w:rsid w:val="00DC65C9"/>
    <w:rsid w:val="00DC7154"/>
    <w:rsid w:val="00DC7A89"/>
    <w:rsid w:val="00DC7B5A"/>
    <w:rsid w:val="00DC7C00"/>
    <w:rsid w:val="00DC7E8A"/>
    <w:rsid w:val="00DD0F78"/>
    <w:rsid w:val="00DD109D"/>
    <w:rsid w:val="00DD1A23"/>
    <w:rsid w:val="00DD24B1"/>
    <w:rsid w:val="00DD273C"/>
    <w:rsid w:val="00DD3F28"/>
    <w:rsid w:val="00DD4446"/>
    <w:rsid w:val="00DD4467"/>
    <w:rsid w:val="00DD4537"/>
    <w:rsid w:val="00DD4E15"/>
    <w:rsid w:val="00DD51C0"/>
    <w:rsid w:val="00DD5635"/>
    <w:rsid w:val="00DD583B"/>
    <w:rsid w:val="00DD5881"/>
    <w:rsid w:val="00DD75E6"/>
    <w:rsid w:val="00DD7608"/>
    <w:rsid w:val="00DD78C7"/>
    <w:rsid w:val="00DE0275"/>
    <w:rsid w:val="00DE0522"/>
    <w:rsid w:val="00DE0BA1"/>
    <w:rsid w:val="00DE2304"/>
    <w:rsid w:val="00DE2AEE"/>
    <w:rsid w:val="00DE2EB8"/>
    <w:rsid w:val="00DE3138"/>
    <w:rsid w:val="00DE37F8"/>
    <w:rsid w:val="00DE4273"/>
    <w:rsid w:val="00DE4DEF"/>
    <w:rsid w:val="00DE4F86"/>
    <w:rsid w:val="00DE4FCB"/>
    <w:rsid w:val="00DE5D07"/>
    <w:rsid w:val="00DE65C6"/>
    <w:rsid w:val="00DE68C0"/>
    <w:rsid w:val="00DE6BC0"/>
    <w:rsid w:val="00DE72A7"/>
    <w:rsid w:val="00DE7832"/>
    <w:rsid w:val="00DE7BC8"/>
    <w:rsid w:val="00DF0BBD"/>
    <w:rsid w:val="00DF10FE"/>
    <w:rsid w:val="00DF18FC"/>
    <w:rsid w:val="00DF1B4A"/>
    <w:rsid w:val="00DF1B77"/>
    <w:rsid w:val="00DF1D0B"/>
    <w:rsid w:val="00DF1ED7"/>
    <w:rsid w:val="00DF2FFE"/>
    <w:rsid w:val="00DF308D"/>
    <w:rsid w:val="00DF30EF"/>
    <w:rsid w:val="00DF3433"/>
    <w:rsid w:val="00DF3B4A"/>
    <w:rsid w:val="00DF3E65"/>
    <w:rsid w:val="00DF3EEB"/>
    <w:rsid w:val="00DF4796"/>
    <w:rsid w:val="00DF59AC"/>
    <w:rsid w:val="00DF5D2B"/>
    <w:rsid w:val="00DF6341"/>
    <w:rsid w:val="00DF6C3C"/>
    <w:rsid w:val="00DF6F51"/>
    <w:rsid w:val="00DF7669"/>
    <w:rsid w:val="00E00573"/>
    <w:rsid w:val="00E00E8E"/>
    <w:rsid w:val="00E011F4"/>
    <w:rsid w:val="00E01344"/>
    <w:rsid w:val="00E046DE"/>
    <w:rsid w:val="00E04FB9"/>
    <w:rsid w:val="00E05630"/>
    <w:rsid w:val="00E06DBB"/>
    <w:rsid w:val="00E07762"/>
    <w:rsid w:val="00E07B8A"/>
    <w:rsid w:val="00E07ED9"/>
    <w:rsid w:val="00E10041"/>
    <w:rsid w:val="00E10149"/>
    <w:rsid w:val="00E10786"/>
    <w:rsid w:val="00E10D4A"/>
    <w:rsid w:val="00E11340"/>
    <w:rsid w:val="00E113EF"/>
    <w:rsid w:val="00E117AF"/>
    <w:rsid w:val="00E11E0C"/>
    <w:rsid w:val="00E122A1"/>
    <w:rsid w:val="00E123E6"/>
    <w:rsid w:val="00E13275"/>
    <w:rsid w:val="00E13F36"/>
    <w:rsid w:val="00E16372"/>
    <w:rsid w:val="00E16AD8"/>
    <w:rsid w:val="00E16E34"/>
    <w:rsid w:val="00E178D2"/>
    <w:rsid w:val="00E17FFA"/>
    <w:rsid w:val="00E2067A"/>
    <w:rsid w:val="00E20E4D"/>
    <w:rsid w:val="00E20ED6"/>
    <w:rsid w:val="00E21358"/>
    <w:rsid w:val="00E2249B"/>
    <w:rsid w:val="00E22A0D"/>
    <w:rsid w:val="00E22F5F"/>
    <w:rsid w:val="00E235CC"/>
    <w:rsid w:val="00E24144"/>
    <w:rsid w:val="00E244F6"/>
    <w:rsid w:val="00E258DB"/>
    <w:rsid w:val="00E26141"/>
    <w:rsid w:val="00E270C2"/>
    <w:rsid w:val="00E2771E"/>
    <w:rsid w:val="00E278D0"/>
    <w:rsid w:val="00E27DA3"/>
    <w:rsid w:val="00E3028C"/>
    <w:rsid w:val="00E302F8"/>
    <w:rsid w:val="00E311EF"/>
    <w:rsid w:val="00E31251"/>
    <w:rsid w:val="00E31F61"/>
    <w:rsid w:val="00E32180"/>
    <w:rsid w:val="00E324A6"/>
    <w:rsid w:val="00E32C5C"/>
    <w:rsid w:val="00E33198"/>
    <w:rsid w:val="00E34235"/>
    <w:rsid w:val="00E34948"/>
    <w:rsid w:val="00E34A62"/>
    <w:rsid w:val="00E34B71"/>
    <w:rsid w:val="00E35246"/>
    <w:rsid w:val="00E3577B"/>
    <w:rsid w:val="00E361DC"/>
    <w:rsid w:val="00E36EDD"/>
    <w:rsid w:val="00E37474"/>
    <w:rsid w:val="00E37569"/>
    <w:rsid w:val="00E37BDE"/>
    <w:rsid w:val="00E401B2"/>
    <w:rsid w:val="00E40D26"/>
    <w:rsid w:val="00E41C70"/>
    <w:rsid w:val="00E41E30"/>
    <w:rsid w:val="00E42F73"/>
    <w:rsid w:val="00E43D70"/>
    <w:rsid w:val="00E45373"/>
    <w:rsid w:val="00E45814"/>
    <w:rsid w:val="00E466F3"/>
    <w:rsid w:val="00E47850"/>
    <w:rsid w:val="00E47B2C"/>
    <w:rsid w:val="00E50028"/>
    <w:rsid w:val="00E50E01"/>
    <w:rsid w:val="00E51560"/>
    <w:rsid w:val="00E51821"/>
    <w:rsid w:val="00E51DE1"/>
    <w:rsid w:val="00E51DF0"/>
    <w:rsid w:val="00E5229A"/>
    <w:rsid w:val="00E52A18"/>
    <w:rsid w:val="00E537D1"/>
    <w:rsid w:val="00E53BFC"/>
    <w:rsid w:val="00E53DDA"/>
    <w:rsid w:val="00E53FC8"/>
    <w:rsid w:val="00E541D5"/>
    <w:rsid w:val="00E54347"/>
    <w:rsid w:val="00E543B0"/>
    <w:rsid w:val="00E55424"/>
    <w:rsid w:val="00E55915"/>
    <w:rsid w:val="00E55BB5"/>
    <w:rsid w:val="00E56F6A"/>
    <w:rsid w:val="00E57BBF"/>
    <w:rsid w:val="00E60965"/>
    <w:rsid w:val="00E611DF"/>
    <w:rsid w:val="00E613FC"/>
    <w:rsid w:val="00E62280"/>
    <w:rsid w:val="00E625E8"/>
    <w:rsid w:val="00E6269B"/>
    <w:rsid w:val="00E63165"/>
    <w:rsid w:val="00E65115"/>
    <w:rsid w:val="00E657A7"/>
    <w:rsid w:val="00E6593B"/>
    <w:rsid w:val="00E65E79"/>
    <w:rsid w:val="00E665D2"/>
    <w:rsid w:val="00E66BA2"/>
    <w:rsid w:val="00E67416"/>
    <w:rsid w:val="00E718B6"/>
    <w:rsid w:val="00E723BA"/>
    <w:rsid w:val="00E73581"/>
    <w:rsid w:val="00E74783"/>
    <w:rsid w:val="00E74B02"/>
    <w:rsid w:val="00E74C35"/>
    <w:rsid w:val="00E75432"/>
    <w:rsid w:val="00E77348"/>
    <w:rsid w:val="00E8165A"/>
    <w:rsid w:val="00E82590"/>
    <w:rsid w:val="00E829EC"/>
    <w:rsid w:val="00E82D9F"/>
    <w:rsid w:val="00E833F7"/>
    <w:rsid w:val="00E83BDF"/>
    <w:rsid w:val="00E83C28"/>
    <w:rsid w:val="00E83FFD"/>
    <w:rsid w:val="00E84E8C"/>
    <w:rsid w:val="00E85FC1"/>
    <w:rsid w:val="00E86FCC"/>
    <w:rsid w:val="00E87A1D"/>
    <w:rsid w:val="00E87CA0"/>
    <w:rsid w:val="00E9094A"/>
    <w:rsid w:val="00E90F33"/>
    <w:rsid w:val="00E9166C"/>
    <w:rsid w:val="00E91B02"/>
    <w:rsid w:val="00E91CED"/>
    <w:rsid w:val="00E91D35"/>
    <w:rsid w:val="00E926A5"/>
    <w:rsid w:val="00E93210"/>
    <w:rsid w:val="00E94847"/>
    <w:rsid w:val="00E948F9"/>
    <w:rsid w:val="00E962CC"/>
    <w:rsid w:val="00E9683D"/>
    <w:rsid w:val="00E96A2D"/>
    <w:rsid w:val="00E978F9"/>
    <w:rsid w:val="00EA0138"/>
    <w:rsid w:val="00EA17C3"/>
    <w:rsid w:val="00EA1BA6"/>
    <w:rsid w:val="00EA1F10"/>
    <w:rsid w:val="00EA2235"/>
    <w:rsid w:val="00EA2A55"/>
    <w:rsid w:val="00EA2CAA"/>
    <w:rsid w:val="00EA2F24"/>
    <w:rsid w:val="00EA3864"/>
    <w:rsid w:val="00EA3A5A"/>
    <w:rsid w:val="00EA3F8E"/>
    <w:rsid w:val="00EA494C"/>
    <w:rsid w:val="00EA6CBC"/>
    <w:rsid w:val="00EA6E4E"/>
    <w:rsid w:val="00EA7F1C"/>
    <w:rsid w:val="00EB0B99"/>
    <w:rsid w:val="00EB0E37"/>
    <w:rsid w:val="00EB15B6"/>
    <w:rsid w:val="00EB1FBB"/>
    <w:rsid w:val="00EB2103"/>
    <w:rsid w:val="00EB3D06"/>
    <w:rsid w:val="00EB4916"/>
    <w:rsid w:val="00EB7C29"/>
    <w:rsid w:val="00EB7DAB"/>
    <w:rsid w:val="00EC00C9"/>
    <w:rsid w:val="00EC00D4"/>
    <w:rsid w:val="00EC00DD"/>
    <w:rsid w:val="00EC0DD9"/>
    <w:rsid w:val="00EC1AFA"/>
    <w:rsid w:val="00EC2649"/>
    <w:rsid w:val="00EC29F1"/>
    <w:rsid w:val="00EC31ED"/>
    <w:rsid w:val="00EC3408"/>
    <w:rsid w:val="00EC35EC"/>
    <w:rsid w:val="00EC5836"/>
    <w:rsid w:val="00EC5990"/>
    <w:rsid w:val="00EC5D5F"/>
    <w:rsid w:val="00EC688C"/>
    <w:rsid w:val="00EC6C4F"/>
    <w:rsid w:val="00EC73D2"/>
    <w:rsid w:val="00EC7C46"/>
    <w:rsid w:val="00ED0A6F"/>
    <w:rsid w:val="00ED1120"/>
    <w:rsid w:val="00ED12E3"/>
    <w:rsid w:val="00ED32D7"/>
    <w:rsid w:val="00ED4B04"/>
    <w:rsid w:val="00ED52EE"/>
    <w:rsid w:val="00ED57EA"/>
    <w:rsid w:val="00ED5AAE"/>
    <w:rsid w:val="00ED5BD4"/>
    <w:rsid w:val="00ED7F43"/>
    <w:rsid w:val="00EE02EE"/>
    <w:rsid w:val="00EE07D3"/>
    <w:rsid w:val="00EE09A1"/>
    <w:rsid w:val="00EE1575"/>
    <w:rsid w:val="00EE1996"/>
    <w:rsid w:val="00EE1C01"/>
    <w:rsid w:val="00EE22AF"/>
    <w:rsid w:val="00EE2D9A"/>
    <w:rsid w:val="00EE4838"/>
    <w:rsid w:val="00EE6866"/>
    <w:rsid w:val="00EE6A80"/>
    <w:rsid w:val="00EE7C94"/>
    <w:rsid w:val="00EE7D73"/>
    <w:rsid w:val="00EF0171"/>
    <w:rsid w:val="00EF06B0"/>
    <w:rsid w:val="00EF0A8B"/>
    <w:rsid w:val="00EF0F39"/>
    <w:rsid w:val="00EF1B25"/>
    <w:rsid w:val="00EF1DA0"/>
    <w:rsid w:val="00EF3D8E"/>
    <w:rsid w:val="00EF3FCB"/>
    <w:rsid w:val="00EF46E2"/>
    <w:rsid w:val="00EF4747"/>
    <w:rsid w:val="00EF4BF8"/>
    <w:rsid w:val="00EF69B6"/>
    <w:rsid w:val="00EF77BB"/>
    <w:rsid w:val="00F00311"/>
    <w:rsid w:val="00F004AB"/>
    <w:rsid w:val="00F02027"/>
    <w:rsid w:val="00F02253"/>
    <w:rsid w:val="00F0244E"/>
    <w:rsid w:val="00F02E36"/>
    <w:rsid w:val="00F0300D"/>
    <w:rsid w:val="00F0354C"/>
    <w:rsid w:val="00F03C2E"/>
    <w:rsid w:val="00F0481F"/>
    <w:rsid w:val="00F04A66"/>
    <w:rsid w:val="00F04B4B"/>
    <w:rsid w:val="00F0516C"/>
    <w:rsid w:val="00F05AB2"/>
    <w:rsid w:val="00F067A2"/>
    <w:rsid w:val="00F06D26"/>
    <w:rsid w:val="00F0751F"/>
    <w:rsid w:val="00F07600"/>
    <w:rsid w:val="00F07B9E"/>
    <w:rsid w:val="00F105DC"/>
    <w:rsid w:val="00F1078B"/>
    <w:rsid w:val="00F10E7B"/>
    <w:rsid w:val="00F1116F"/>
    <w:rsid w:val="00F117E7"/>
    <w:rsid w:val="00F11B7E"/>
    <w:rsid w:val="00F11DFE"/>
    <w:rsid w:val="00F1263A"/>
    <w:rsid w:val="00F139C5"/>
    <w:rsid w:val="00F15B77"/>
    <w:rsid w:val="00F16244"/>
    <w:rsid w:val="00F1676D"/>
    <w:rsid w:val="00F16BBF"/>
    <w:rsid w:val="00F16D34"/>
    <w:rsid w:val="00F17B41"/>
    <w:rsid w:val="00F203B7"/>
    <w:rsid w:val="00F21236"/>
    <w:rsid w:val="00F21A58"/>
    <w:rsid w:val="00F22183"/>
    <w:rsid w:val="00F23288"/>
    <w:rsid w:val="00F239DF"/>
    <w:rsid w:val="00F2466B"/>
    <w:rsid w:val="00F24837"/>
    <w:rsid w:val="00F24EE8"/>
    <w:rsid w:val="00F2575F"/>
    <w:rsid w:val="00F27565"/>
    <w:rsid w:val="00F27AF1"/>
    <w:rsid w:val="00F30322"/>
    <w:rsid w:val="00F3046A"/>
    <w:rsid w:val="00F310D4"/>
    <w:rsid w:val="00F317FB"/>
    <w:rsid w:val="00F31D5A"/>
    <w:rsid w:val="00F3221E"/>
    <w:rsid w:val="00F33975"/>
    <w:rsid w:val="00F33DE9"/>
    <w:rsid w:val="00F34243"/>
    <w:rsid w:val="00F35E6D"/>
    <w:rsid w:val="00F3619A"/>
    <w:rsid w:val="00F36D14"/>
    <w:rsid w:val="00F37D4A"/>
    <w:rsid w:val="00F4058C"/>
    <w:rsid w:val="00F40AAA"/>
    <w:rsid w:val="00F40BA7"/>
    <w:rsid w:val="00F40F9D"/>
    <w:rsid w:val="00F4101E"/>
    <w:rsid w:val="00F414F3"/>
    <w:rsid w:val="00F41ACD"/>
    <w:rsid w:val="00F42D50"/>
    <w:rsid w:val="00F434B7"/>
    <w:rsid w:val="00F4440D"/>
    <w:rsid w:val="00F447FD"/>
    <w:rsid w:val="00F460B4"/>
    <w:rsid w:val="00F46CB6"/>
    <w:rsid w:val="00F4756D"/>
    <w:rsid w:val="00F47DE8"/>
    <w:rsid w:val="00F47E55"/>
    <w:rsid w:val="00F501BB"/>
    <w:rsid w:val="00F50E01"/>
    <w:rsid w:val="00F5102F"/>
    <w:rsid w:val="00F52666"/>
    <w:rsid w:val="00F53B90"/>
    <w:rsid w:val="00F542C1"/>
    <w:rsid w:val="00F5449F"/>
    <w:rsid w:val="00F54514"/>
    <w:rsid w:val="00F550E3"/>
    <w:rsid w:val="00F5534C"/>
    <w:rsid w:val="00F55E2E"/>
    <w:rsid w:val="00F55E73"/>
    <w:rsid w:val="00F55EDA"/>
    <w:rsid w:val="00F56A0A"/>
    <w:rsid w:val="00F56B35"/>
    <w:rsid w:val="00F56C80"/>
    <w:rsid w:val="00F578C9"/>
    <w:rsid w:val="00F57ECC"/>
    <w:rsid w:val="00F60092"/>
    <w:rsid w:val="00F60A6E"/>
    <w:rsid w:val="00F613FE"/>
    <w:rsid w:val="00F61825"/>
    <w:rsid w:val="00F61AA2"/>
    <w:rsid w:val="00F61C18"/>
    <w:rsid w:val="00F62D4C"/>
    <w:rsid w:val="00F63C81"/>
    <w:rsid w:val="00F6534A"/>
    <w:rsid w:val="00F65486"/>
    <w:rsid w:val="00F65681"/>
    <w:rsid w:val="00F65685"/>
    <w:rsid w:val="00F65F4B"/>
    <w:rsid w:val="00F6684C"/>
    <w:rsid w:val="00F66A37"/>
    <w:rsid w:val="00F67A69"/>
    <w:rsid w:val="00F704BA"/>
    <w:rsid w:val="00F70BFF"/>
    <w:rsid w:val="00F70C88"/>
    <w:rsid w:val="00F70C9D"/>
    <w:rsid w:val="00F70D3E"/>
    <w:rsid w:val="00F73947"/>
    <w:rsid w:val="00F73E08"/>
    <w:rsid w:val="00F74541"/>
    <w:rsid w:val="00F74CD9"/>
    <w:rsid w:val="00F7753D"/>
    <w:rsid w:val="00F777CC"/>
    <w:rsid w:val="00F77BCE"/>
    <w:rsid w:val="00F77CDF"/>
    <w:rsid w:val="00F80A7B"/>
    <w:rsid w:val="00F80E5D"/>
    <w:rsid w:val="00F80FFD"/>
    <w:rsid w:val="00F81E78"/>
    <w:rsid w:val="00F82467"/>
    <w:rsid w:val="00F82835"/>
    <w:rsid w:val="00F82B29"/>
    <w:rsid w:val="00F82B30"/>
    <w:rsid w:val="00F83916"/>
    <w:rsid w:val="00F83AB1"/>
    <w:rsid w:val="00F83CCD"/>
    <w:rsid w:val="00F84C2E"/>
    <w:rsid w:val="00F84D69"/>
    <w:rsid w:val="00F84D7E"/>
    <w:rsid w:val="00F851CE"/>
    <w:rsid w:val="00F85AFA"/>
    <w:rsid w:val="00F85F64"/>
    <w:rsid w:val="00F86921"/>
    <w:rsid w:val="00F86A24"/>
    <w:rsid w:val="00F86CEC"/>
    <w:rsid w:val="00F87304"/>
    <w:rsid w:val="00F902EF"/>
    <w:rsid w:val="00F90994"/>
    <w:rsid w:val="00F90DC2"/>
    <w:rsid w:val="00F91219"/>
    <w:rsid w:val="00F914A1"/>
    <w:rsid w:val="00F92444"/>
    <w:rsid w:val="00F9263D"/>
    <w:rsid w:val="00F93664"/>
    <w:rsid w:val="00F9393E"/>
    <w:rsid w:val="00F9418F"/>
    <w:rsid w:val="00F942CB"/>
    <w:rsid w:val="00F9570D"/>
    <w:rsid w:val="00F96FD0"/>
    <w:rsid w:val="00F977C8"/>
    <w:rsid w:val="00F97A78"/>
    <w:rsid w:val="00FA0575"/>
    <w:rsid w:val="00FA081D"/>
    <w:rsid w:val="00FA0B20"/>
    <w:rsid w:val="00FA22A8"/>
    <w:rsid w:val="00FA24E7"/>
    <w:rsid w:val="00FA2A18"/>
    <w:rsid w:val="00FA3C92"/>
    <w:rsid w:val="00FA3D5E"/>
    <w:rsid w:val="00FA5096"/>
    <w:rsid w:val="00FA5EE6"/>
    <w:rsid w:val="00FA64A3"/>
    <w:rsid w:val="00FA76CD"/>
    <w:rsid w:val="00FA7956"/>
    <w:rsid w:val="00FA7EF0"/>
    <w:rsid w:val="00FB0824"/>
    <w:rsid w:val="00FB09BA"/>
    <w:rsid w:val="00FB0FFA"/>
    <w:rsid w:val="00FB151A"/>
    <w:rsid w:val="00FB19F3"/>
    <w:rsid w:val="00FB21A2"/>
    <w:rsid w:val="00FB2BED"/>
    <w:rsid w:val="00FB2FCB"/>
    <w:rsid w:val="00FB37AE"/>
    <w:rsid w:val="00FB3C46"/>
    <w:rsid w:val="00FB3D5F"/>
    <w:rsid w:val="00FB4C9C"/>
    <w:rsid w:val="00FB6189"/>
    <w:rsid w:val="00FB7561"/>
    <w:rsid w:val="00FB793F"/>
    <w:rsid w:val="00FB7C55"/>
    <w:rsid w:val="00FB7C94"/>
    <w:rsid w:val="00FC1074"/>
    <w:rsid w:val="00FC126A"/>
    <w:rsid w:val="00FC1884"/>
    <w:rsid w:val="00FC1A82"/>
    <w:rsid w:val="00FC1D1D"/>
    <w:rsid w:val="00FC2A35"/>
    <w:rsid w:val="00FC371D"/>
    <w:rsid w:val="00FC38AD"/>
    <w:rsid w:val="00FC40B6"/>
    <w:rsid w:val="00FC5F0B"/>
    <w:rsid w:val="00FD02F9"/>
    <w:rsid w:val="00FD0DB5"/>
    <w:rsid w:val="00FD0F12"/>
    <w:rsid w:val="00FD1AAA"/>
    <w:rsid w:val="00FD1BEF"/>
    <w:rsid w:val="00FD2100"/>
    <w:rsid w:val="00FD2193"/>
    <w:rsid w:val="00FD24F2"/>
    <w:rsid w:val="00FD3996"/>
    <w:rsid w:val="00FD436C"/>
    <w:rsid w:val="00FD446D"/>
    <w:rsid w:val="00FD4F2C"/>
    <w:rsid w:val="00FD6394"/>
    <w:rsid w:val="00FE0E6C"/>
    <w:rsid w:val="00FE1C72"/>
    <w:rsid w:val="00FE1CDC"/>
    <w:rsid w:val="00FE21B1"/>
    <w:rsid w:val="00FE2323"/>
    <w:rsid w:val="00FE3123"/>
    <w:rsid w:val="00FE47D8"/>
    <w:rsid w:val="00FE49E5"/>
    <w:rsid w:val="00FE4F50"/>
    <w:rsid w:val="00FE6A10"/>
    <w:rsid w:val="00FE70C3"/>
    <w:rsid w:val="00FE7417"/>
    <w:rsid w:val="00FE7430"/>
    <w:rsid w:val="00FE7B6E"/>
    <w:rsid w:val="00FE7D50"/>
    <w:rsid w:val="00FF0CB8"/>
    <w:rsid w:val="00FF1A8B"/>
    <w:rsid w:val="00FF1BDC"/>
    <w:rsid w:val="00FF1ED3"/>
    <w:rsid w:val="00FF2AD9"/>
    <w:rsid w:val="00FF2E83"/>
    <w:rsid w:val="00FF359F"/>
    <w:rsid w:val="00FF3833"/>
    <w:rsid w:val="00FF3DCF"/>
    <w:rsid w:val="00FF40AD"/>
    <w:rsid w:val="00FF492C"/>
    <w:rsid w:val="00FF4A21"/>
    <w:rsid w:val="00FF4D17"/>
    <w:rsid w:val="00FF5AA3"/>
    <w:rsid w:val="00FF5AD8"/>
    <w:rsid w:val="00FF5F79"/>
    <w:rsid w:val="00FF5F94"/>
    <w:rsid w:val="00FF6C48"/>
    <w:rsid w:val="00FF6F8B"/>
    <w:rsid w:val="00FF768A"/>
    <w:rsid w:val="00FF7747"/>
    <w:rsid w:val="074E48FB"/>
    <w:rsid w:val="1245DE90"/>
    <w:rsid w:val="394A3670"/>
    <w:rsid w:val="695783A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131"/>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Bullet,- H17,Bayer Caption,IB Caption,Medical Caption,B Caption,Caption Char2 Char,Caption Char Char Char2,Caption Char1 Char Char Char1,Caption Char2 Char Char Char1 Char1,Caption Char Char1 Char Char Char1 Char1,Caption Char Char1,~Caption,! Q"/>
    <w:basedOn w:val="Normal"/>
    <w:next w:val="Normal"/>
    <w:link w:val="CaptionChar"/>
    <w:unhideWhenUsed/>
    <w:rsid w:val="00E16AD8"/>
    <w:pPr>
      <w:keepNext/>
      <w:keepLines/>
    </w:pPr>
    <w:rPr>
      <w:rFonts w:ascii="Arial Narrow" w:hAnsi="Arial Narrow"/>
      <w:b/>
      <w:bCs/>
      <w:sz w:val="20"/>
      <w:szCs w:val="18"/>
    </w:rPr>
  </w:style>
  <w:style w:type="character" w:customStyle="1" w:styleId="CaptionChar">
    <w:name w:val="Caption Char"/>
    <w:aliases w:val="Bullet Char,- H17 Char,Bayer Caption Char,IB Caption Char,Medical Caption Char,B Caption Char,Caption Char2 Char Char,Caption Char Char Char2 Char,Caption Char1 Char Char Char1 Char,Caption Char2 Char Char Char1 Char1 Char,~Caption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Bullet 1,Bullet1,Summary Bullets"/>
    <w:next w:val="ListBullet"/>
    <w:link w:val="ListParagraphChar"/>
    <w:uiPriority w:val="72"/>
    <w:qFormat/>
    <w:rsid w:val="00B03131"/>
    <w:pPr>
      <w:numPr>
        <w:numId w:val="29"/>
      </w:numPr>
      <w:spacing w:after="120"/>
      <w:ind w:left="1134"/>
      <w:jc w:val="both"/>
    </w:pPr>
    <w:rPr>
      <w:rFonts w:asciiTheme="minorHAnsi" w:hAnsiTheme="minorHAnsi" w:cs="Arial"/>
      <w:snapToGrid w:val="0"/>
      <w:sz w:val="24"/>
      <w:szCs w:val="24"/>
      <w:lang w:eastAsia="en-US"/>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72"/>
    <w:qFormat/>
    <w:locked/>
    <w:rsid w:val="00B03131"/>
    <w:rPr>
      <w:rFonts w:asciiTheme="minorHAnsi" w:hAnsiTheme="minorHAnsi" w:cs="Arial"/>
      <w:snapToGrid w:val="0"/>
      <w:sz w:val="24"/>
      <w:szCs w:val="24"/>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B03131"/>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B03131"/>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HTAtableplain,PBAC table,new style,MSD Table Grid,RTI AMCP Table,Lash Style Table,Tabellengitternetz 9pt"/>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KG TblH,-H18,Annotationmark"/>
    <w:uiPriority w:val="99"/>
    <w:rsid w:val="001E30D4"/>
    <w:rPr>
      <w:rFonts w:ascii="Arial Narrow" w:hAnsi="Arial Narrow"/>
      <w:b/>
      <w:sz w:val="20"/>
      <w:szCs w:val="16"/>
    </w:rPr>
  </w:style>
  <w:style w:type="paragraph" w:customStyle="1" w:styleId="Tabletext">
    <w:name w:val="Table text"/>
    <w:basedOn w:val="Normal"/>
    <w:link w:val="TabletextChar"/>
    <w:uiPriority w:val="99"/>
    <w:rsid w:val="00A518F3"/>
    <w:pPr>
      <w:jc w:val="left"/>
    </w:pPr>
    <w:rPr>
      <w:rFonts w:ascii="Arial Narrow" w:hAnsi="Arial Narrow" w:cs="Times New Roman"/>
      <w:snapToGrid w:val="0"/>
      <w:sz w:val="20"/>
    </w:rPr>
  </w:style>
  <w:style w:type="character" w:customStyle="1" w:styleId="TabletextChar">
    <w:name w:val="Table text Char"/>
    <w:link w:val="Tabletext"/>
    <w:uiPriority w:val="99"/>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 H19,Comment Text Char2,Comment Text Char Char1,Comment Text Char2 Char Char,Comment Text Char Char1 Char Char,Comment Text Char2 Char Char Char Char,Comment Text Char1 Char Char Char Char1 Char"/>
    <w:basedOn w:val="Normal"/>
    <w:link w:val="CommentTextChar"/>
    <w:uiPriority w:val="99"/>
    <w:rsid w:val="00FD2100"/>
    <w:rPr>
      <w:rFonts w:ascii="Times New Roman" w:hAnsi="Times New Roman" w:cs="Times New Roman"/>
      <w:sz w:val="20"/>
    </w:rPr>
  </w:style>
  <w:style w:type="character" w:customStyle="1" w:styleId="CommentTextChar">
    <w:name w:val="Comment Text Char"/>
    <w:aliases w:val="- H19 Char,Comment Text Char2 Char,Comment Text Char Char1 Char,Comment Text Char2 Char Char Char,Comment Text Char Char1 Char Char Char,Comment Text Char2 Char Char Char Char Char,Comment Text Char1 Char Char Char Char1 Char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B03131"/>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B03131"/>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B03131"/>
    <w:pPr>
      <w:keepNext/>
    </w:pPr>
    <w:rPr>
      <w:rFonts w:ascii="Arial Narrow" w:eastAsiaTheme="majorEastAsia" w:hAnsi="Arial Narrow"/>
      <w:b/>
      <w:szCs w:val="24"/>
      <w:lang w:val="en-US"/>
    </w:rPr>
  </w:style>
  <w:style w:type="paragraph" w:customStyle="1" w:styleId="2-SectionHeading">
    <w:name w:val="2-Section Heading"/>
    <w:qFormat/>
    <w:rsid w:val="00B03131"/>
    <w:pPr>
      <w:keepNext/>
      <w:numPr>
        <w:numId w:val="3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B03131"/>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B03131"/>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B03131"/>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B03131"/>
    <w:rPr>
      <w:rFonts w:ascii="Arial Narrow" w:eastAsiaTheme="majorEastAsia" w:hAnsi="Arial Narrow" w:cstheme="majorBidi"/>
      <w:b/>
      <w:bCs/>
      <w:szCs w:val="24"/>
    </w:rPr>
  </w:style>
  <w:style w:type="paragraph" w:customStyle="1" w:styleId="3-BodyText">
    <w:name w:val="3-Body Text"/>
    <w:link w:val="3-BodyTextChar"/>
    <w:qFormat/>
    <w:rsid w:val="00B03131"/>
    <w:pPr>
      <w:numPr>
        <w:ilvl w:val="1"/>
        <w:numId w:val="31"/>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B03131"/>
    <w:rPr>
      <w:rFonts w:asciiTheme="minorHAnsi" w:eastAsiaTheme="minorHAnsi" w:hAnsiTheme="minorHAnsi" w:cstheme="minorBidi"/>
      <w:snapToGrid/>
      <w:sz w:val="24"/>
      <w:szCs w:val="22"/>
      <w:lang w:eastAsia="en-US"/>
    </w:rPr>
  </w:style>
  <w:style w:type="paragraph" w:customStyle="1" w:styleId="PageFooter">
    <w:name w:val="Page Footer"/>
    <w:basedOn w:val="Normal"/>
    <w:link w:val="PageFooterChar"/>
    <w:qFormat/>
    <w:rsid w:val="00B03131"/>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B03131"/>
    <w:rPr>
      <w:rFonts w:ascii="Calibri" w:hAnsi="Calibri" w:cs="Arial"/>
      <w:b/>
      <w:sz w:val="24"/>
      <w:szCs w:val="24"/>
    </w:rPr>
  </w:style>
  <w:style w:type="paragraph" w:customStyle="1" w:styleId="FooterTableFigure">
    <w:name w:val="Footer Table/Figure"/>
    <w:basedOn w:val="Normal"/>
    <w:link w:val="FooterTableFigureChar"/>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B03131"/>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B03131"/>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B03131"/>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B03131"/>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B03131"/>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5"/>
      </w:numPr>
    </w:pPr>
    <w:rPr>
      <w:rFonts w:ascii="Calibri" w:hAnsi="Calibri" w:cstheme="minorBidi"/>
      <w:i/>
      <w:snapToGrid/>
      <w:sz w:val="22"/>
      <w:szCs w:val="22"/>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Bullet">
    <w:name w:val="Table Bullet"/>
    <w:basedOn w:val="TableText0"/>
    <w:link w:val="TableBulletChar"/>
    <w:qFormat/>
    <w:rsid w:val="00991485"/>
    <w:pPr>
      <w:widowControl w:val="0"/>
      <w:numPr>
        <w:ilvl w:val="1"/>
        <w:numId w:val="32"/>
      </w:numPr>
      <w:ind w:left="280" w:hanging="280"/>
    </w:pPr>
    <w:rPr>
      <w:rFonts w:eastAsia="Times New Roman" w:cs="Arial"/>
      <w:bCs w:val="0"/>
      <w:snapToGrid w:val="0"/>
      <w:szCs w:val="20"/>
    </w:rPr>
  </w:style>
  <w:style w:type="character" w:customStyle="1" w:styleId="TableBulletChar">
    <w:name w:val="Table Bullet Char"/>
    <w:basedOn w:val="TableTextChar0"/>
    <w:link w:val="TableBullet"/>
    <w:rsid w:val="00991485"/>
    <w:rPr>
      <w:rFonts w:ascii="Arial Narrow" w:eastAsiaTheme="majorEastAsia" w:hAnsi="Arial Narrow" w:cs="Arial"/>
      <w:bCs w:val="0"/>
      <w:snapToGrid w:val="0"/>
      <w:szCs w:val="24"/>
    </w:rPr>
  </w:style>
  <w:style w:type="table" w:styleId="TableGridLight">
    <w:name w:val="Grid Table Light"/>
    <w:basedOn w:val="TableNormal"/>
    <w:uiPriority w:val="40"/>
    <w:rsid w:val="0029647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ZTable">
    <w:name w:val="AZ Table"/>
    <w:basedOn w:val="TableNormal"/>
    <w:uiPriority w:val="99"/>
    <w:rsid w:val="002964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paragraph" w:customStyle="1" w:styleId="Tablenotes">
    <w:name w:val="Tablenotes"/>
    <w:basedOn w:val="Normal"/>
    <w:link w:val="TablenotesChar"/>
    <w:rsid w:val="00296471"/>
    <w:pPr>
      <w:widowControl w:val="0"/>
      <w:spacing w:after="360" w:line="269" w:lineRule="auto"/>
      <w:contextualSpacing/>
    </w:pPr>
    <w:rPr>
      <w:rFonts w:ascii="Arial Narrow" w:hAnsi="Arial Narrow"/>
      <w:snapToGrid w:val="0"/>
      <w:sz w:val="18"/>
      <w:szCs w:val="20"/>
      <w:lang w:eastAsia="en-US"/>
    </w:rPr>
  </w:style>
  <w:style w:type="character" w:customStyle="1" w:styleId="TablenotesChar">
    <w:name w:val="Tablenotes Char"/>
    <w:basedOn w:val="DefaultParagraphFont"/>
    <w:link w:val="Tablenotes"/>
    <w:rsid w:val="00296471"/>
    <w:rPr>
      <w:rFonts w:ascii="Arial Narrow" w:hAnsi="Arial Narrow" w:cs="Arial"/>
      <w:snapToGrid w:val="0"/>
      <w:sz w:val="18"/>
      <w:lang w:eastAsia="en-US"/>
    </w:rPr>
  </w:style>
  <w:style w:type="paragraph" w:styleId="FootnoteText">
    <w:name w:val="footnote text"/>
    <w:basedOn w:val="Normal"/>
    <w:link w:val="FootnoteTextChar"/>
    <w:semiHidden/>
    <w:unhideWhenUsed/>
    <w:rsid w:val="001A2D0C"/>
    <w:rPr>
      <w:sz w:val="20"/>
      <w:szCs w:val="20"/>
    </w:rPr>
  </w:style>
  <w:style w:type="character" w:customStyle="1" w:styleId="FootnoteTextChar">
    <w:name w:val="Footnote Text Char"/>
    <w:basedOn w:val="DefaultParagraphFont"/>
    <w:link w:val="FootnoteText"/>
    <w:semiHidden/>
    <w:rsid w:val="001A2D0C"/>
    <w:rPr>
      <w:rFonts w:ascii="Calibri" w:hAnsi="Calibri" w:cs="Arial"/>
    </w:rPr>
  </w:style>
  <w:style w:type="character" w:styleId="FootnoteReference">
    <w:name w:val="footnote reference"/>
    <w:basedOn w:val="DefaultParagraphFont"/>
    <w:semiHidden/>
    <w:unhideWhenUsed/>
    <w:rsid w:val="001A2D0C"/>
    <w:rPr>
      <w:vertAlign w:val="superscript"/>
    </w:rPr>
  </w:style>
  <w:style w:type="paragraph" w:customStyle="1" w:styleId="COMTablefooter">
    <w:name w:val="COM Table footer"/>
    <w:basedOn w:val="Normal"/>
    <w:link w:val="COMTablefooterChar"/>
    <w:rsid w:val="00333B42"/>
    <w:pPr>
      <w:spacing w:after="120"/>
      <w:contextualSpacing/>
    </w:pPr>
    <w:rPr>
      <w:rFonts w:ascii="Arial Narrow" w:hAnsi="Arial Narrow"/>
      <w:snapToGrid w:val="0"/>
      <w:sz w:val="18"/>
      <w:szCs w:val="22"/>
    </w:rPr>
  </w:style>
  <w:style w:type="character" w:customStyle="1" w:styleId="COMTablefooterChar">
    <w:name w:val="COM Table footer Char"/>
    <w:link w:val="COMTablefooter"/>
    <w:rsid w:val="00333B42"/>
    <w:rPr>
      <w:rFonts w:ascii="Arial Narrow" w:hAnsi="Arial Narrow" w:cs="Arial"/>
      <w:snapToGrid w:val="0"/>
      <w:sz w:val="18"/>
      <w:szCs w:val="22"/>
    </w:rPr>
  </w:style>
  <w:style w:type="paragraph" w:customStyle="1" w:styleId="COMTabletext">
    <w:name w:val="COM Table text"/>
    <w:link w:val="COMTabletextChar"/>
    <w:rsid w:val="004005E0"/>
    <w:pPr>
      <w:keepNext/>
    </w:pPr>
    <w:rPr>
      <w:rFonts w:ascii="Arial Narrow" w:eastAsiaTheme="majorEastAsia" w:hAnsi="Arial Narrow" w:cstheme="majorBidi"/>
      <w:bCs/>
      <w:szCs w:val="24"/>
    </w:rPr>
  </w:style>
  <w:style w:type="character" w:customStyle="1" w:styleId="COMTabletextChar">
    <w:name w:val="COM Table text Char"/>
    <w:basedOn w:val="DefaultParagraphFont"/>
    <w:link w:val="COMTabletext"/>
    <w:rsid w:val="004005E0"/>
    <w:rPr>
      <w:rFonts w:ascii="Arial Narrow" w:eastAsiaTheme="majorEastAsia" w:hAnsi="Arial Narrow" w:cstheme="majorBidi"/>
      <w:bCs/>
      <w:szCs w:val="24"/>
    </w:rPr>
  </w:style>
  <w:style w:type="paragraph" w:customStyle="1" w:styleId="PBACH4">
    <w:name w:val="PBAC H4"/>
    <w:basedOn w:val="Heading4"/>
    <w:next w:val="Normal"/>
    <w:rsid w:val="00F0244E"/>
    <w:pPr>
      <w:keepLines/>
      <w:spacing w:after="120"/>
      <w:jc w:val="left"/>
    </w:pPr>
    <w:rPr>
      <w:rFonts w:ascii="Trebuchet MS" w:eastAsiaTheme="majorEastAsia" w:hAnsi="Trebuchet MS" w:cstheme="majorBidi"/>
      <w:iCs/>
      <w:sz w:val="22"/>
      <w:szCs w:val="24"/>
      <w:lang w:eastAsia="en-GB"/>
    </w:rPr>
  </w:style>
  <w:style w:type="paragraph" w:customStyle="1" w:styleId="TableHeading0">
    <w:name w:val="Table Heading"/>
    <w:basedOn w:val="TableText0"/>
    <w:link w:val="TableHeadingChar"/>
    <w:rsid w:val="00F0244E"/>
    <w:pPr>
      <w:keepLines/>
      <w:spacing w:before="20" w:after="20" w:line="276" w:lineRule="auto"/>
    </w:pPr>
    <w:rPr>
      <w:rFonts w:cs="Arial"/>
      <w:b/>
      <w:bCs w:val="0"/>
      <w:szCs w:val="20"/>
      <w:lang w:bidi="en-US"/>
    </w:rPr>
  </w:style>
  <w:style w:type="character" w:customStyle="1" w:styleId="TableHeadingChar">
    <w:name w:val="Table Heading Char"/>
    <w:basedOn w:val="DefaultParagraphFont"/>
    <w:link w:val="TableHeading0"/>
    <w:locked/>
    <w:rsid w:val="00F0244E"/>
    <w:rPr>
      <w:rFonts w:ascii="Arial Narrow" w:eastAsiaTheme="majorEastAsia" w:hAnsi="Arial Narrow" w:cs="Arial"/>
      <w:b/>
      <w:lang w:bidi="en-US"/>
    </w:rPr>
  </w:style>
  <w:style w:type="character" w:customStyle="1" w:styleId="SourcesChar">
    <w:name w:val="Sources Char"/>
    <w:basedOn w:val="DefaultParagraphFont"/>
    <w:link w:val="Sources"/>
    <w:locked/>
    <w:rsid w:val="00F0244E"/>
    <w:rPr>
      <w:rFonts w:ascii="Arial" w:hAnsi="Arial" w:cs="Arial"/>
      <w:sz w:val="16"/>
    </w:rPr>
  </w:style>
  <w:style w:type="paragraph" w:customStyle="1" w:styleId="Sources">
    <w:name w:val="Sources"/>
    <w:basedOn w:val="Normal"/>
    <w:link w:val="SourcesChar"/>
    <w:rsid w:val="00F0244E"/>
    <w:pPr>
      <w:spacing w:before="120" w:after="120"/>
      <w:jc w:val="left"/>
    </w:pPr>
    <w:rPr>
      <w:rFonts w:ascii="Arial" w:hAnsi="Arial"/>
      <w:sz w:val="16"/>
      <w:szCs w:val="20"/>
    </w:rPr>
  </w:style>
  <w:style w:type="paragraph" w:customStyle="1" w:styleId="COMH1numbered">
    <w:name w:val="COM H1 numbered"/>
    <w:next w:val="Normal"/>
    <w:rsid w:val="00141BB4"/>
    <w:pPr>
      <w:keepNext/>
      <w:spacing w:before="240" w:after="120"/>
      <w:ind w:left="720" w:hanging="720"/>
      <w:outlineLvl w:val="0"/>
    </w:pPr>
    <w:rPr>
      <w:rFonts w:asciiTheme="minorHAnsi" w:hAnsiTheme="minorHAnsi" w:cs="Arial"/>
      <w:b/>
      <w:snapToGrid w:val="0"/>
      <w:sz w:val="32"/>
      <w:szCs w:val="32"/>
    </w:rPr>
  </w:style>
  <w:style w:type="paragraph" w:customStyle="1" w:styleId="COMexecsumnumberedpara">
    <w:name w:val="COM exec sum numbered para"/>
    <w:basedOn w:val="ListParagraph"/>
    <w:link w:val="COMexecsumnumberedparaChar"/>
    <w:rsid w:val="00141BB4"/>
    <w:pPr>
      <w:numPr>
        <w:numId w:val="0"/>
      </w:numPr>
      <w:ind w:left="720" w:hanging="720"/>
    </w:pPr>
  </w:style>
  <w:style w:type="character" w:customStyle="1" w:styleId="COMexecsumnumberedparaChar">
    <w:name w:val="COM exec sum numbered para Char"/>
    <w:basedOn w:val="DefaultParagraphFont"/>
    <w:link w:val="COMexecsumnumberedpara"/>
    <w:rsid w:val="00141BB4"/>
    <w:rPr>
      <w:rFonts w:asciiTheme="minorHAnsi" w:hAnsiTheme="minorHAnsi" w:cs="Arial"/>
      <w:snapToGrid w:val="0"/>
      <w:sz w:val="24"/>
      <w:szCs w:val="24"/>
    </w:rPr>
  </w:style>
  <w:style w:type="character" w:styleId="Emphasis">
    <w:name w:val="Emphasis"/>
    <w:basedOn w:val="DefaultParagraphFont"/>
    <w:uiPriority w:val="20"/>
    <w:rsid w:val="00141BB4"/>
    <w:rPr>
      <w:i/>
      <w:iCs/>
    </w:rPr>
  </w:style>
  <w:style w:type="character" w:customStyle="1" w:styleId="NICETableTextChar">
    <w:name w:val="NICE Table Text Char"/>
    <w:link w:val="NICETableText"/>
    <w:locked/>
    <w:rsid w:val="00141BB4"/>
    <w:rPr>
      <w:rFonts w:ascii="Arial" w:hAnsi="Arial" w:cs="Arial"/>
      <w:szCs w:val="24"/>
    </w:rPr>
  </w:style>
  <w:style w:type="paragraph" w:customStyle="1" w:styleId="NICETableText">
    <w:name w:val="NICE Table Text"/>
    <w:basedOn w:val="Normal"/>
    <w:link w:val="NICETableTextChar"/>
    <w:rsid w:val="00141BB4"/>
    <w:pPr>
      <w:spacing w:after="60"/>
      <w:jc w:val="left"/>
    </w:pPr>
    <w:rPr>
      <w:rFonts w:ascii="Arial" w:hAnsi="Arial"/>
      <w:sz w:val="20"/>
    </w:rPr>
  </w:style>
  <w:style w:type="character" w:customStyle="1" w:styleId="BodyText-italic-H12">
    <w:name w:val="Body Text - italic - H12"/>
    <w:basedOn w:val="DefaultParagraphFont"/>
    <w:uiPriority w:val="1"/>
    <w:rsid w:val="00141BB4"/>
    <w:rPr>
      <w:rFonts w:ascii="Arial" w:hAnsi="Arial"/>
      <w:b w:val="0"/>
      <w:i/>
      <w:color w:val="000000" w:themeColor="text1"/>
      <w:u w:val="none"/>
    </w:rPr>
  </w:style>
  <w:style w:type="paragraph" w:customStyle="1" w:styleId="TableFigNotes18">
    <w:name w:val="TableFigNotes+18"/>
    <w:basedOn w:val="BodyText"/>
    <w:next w:val="BodyText"/>
    <w:link w:val="TableFigNotes18Char"/>
    <w:uiPriority w:val="4"/>
    <w:rsid w:val="00141BB4"/>
    <w:pPr>
      <w:keepLines/>
      <w:spacing w:after="360" w:line="276" w:lineRule="auto"/>
    </w:pPr>
    <w:rPr>
      <w:rFonts w:asciiTheme="minorHAnsi" w:eastAsiaTheme="minorHAnsi" w:hAnsiTheme="minorHAnsi" w:cs="Tahoma"/>
      <w:color w:val="000000"/>
      <w:sz w:val="16"/>
      <w:szCs w:val="18"/>
    </w:rPr>
  </w:style>
  <w:style w:type="character" w:customStyle="1" w:styleId="TableFigNotes18Char">
    <w:name w:val="TableFigNotes+18 Char"/>
    <w:basedOn w:val="DefaultParagraphFont"/>
    <w:link w:val="TableFigNotes18"/>
    <w:uiPriority w:val="4"/>
    <w:rsid w:val="00141BB4"/>
    <w:rPr>
      <w:rFonts w:asciiTheme="minorHAnsi" w:eastAsiaTheme="minorHAnsi" w:hAnsiTheme="minorHAnsi" w:cs="Tahoma"/>
      <w:color w:val="000000"/>
      <w:sz w:val="16"/>
      <w:szCs w:val="18"/>
    </w:rPr>
  </w:style>
  <w:style w:type="paragraph" w:customStyle="1" w:styleId="TableFigNotes0">
    <w:name w:val="TableFigNotes+0"/>
    <w:basedOn w:val="Normal"/>
    <w:uiPriority w:val="4"/>
    <w:rsid w:val="00141BB4"/>
    <w:pPr>
      <w:keepNext/>
      <w:keepLines/>
      <w:jc w:val="left"/>
    </w:pPr>
    <w:rPr>
      <w:rFonts w:cs="Tahoma"/>
      <w:color w:val="000000"/>
      <w:sz w:val="16"/>
      <w:szCs w:val="18"/>
      <w:lang w:val="en-US"/>
    </w:rPr>
  </w:style>
  <w:style w:type="character" w:customStyle="1" w:styleId="A4">
    <w:name w:val="A4"/>
    <w:uiPriority w:val="99"/>
    <w:rsid w:val="00141BB4"/>
    <w:rPr>
      <w:rFonts w:cs="ScalaLancetPro"/>
      <w:color w:val="211D1E"/>
      <w:sz w:val="9"/>
      <w:szCs w:val="9"/>
    </w:rPr>
  </w:style>
  <w:style w:type="paragraph" w:customStyle="1" w:styleId="Tableheadingrow">
    <w:name w:val="Table heading row"/>
    <w:uiPriority w:val="99"/>
    <w:rsid w:val="00141BB4"/>
    <w:pPr>
      <w:keepNext/>
    </w:pPr>
    <w:rPr>
      <w:rFonts w:ascii="Arial Narrow" w:eastAsiaTheme="majorEastAsia" w:hAnsi="Arial Narrow"/>
      <w:b/>
      <w:szCs w:val="24"/>
      <w:lang w:val="en-US"/>
    </w:rPr>
  </w:style>
  <w:style w:type="paragraph" w:customStyle="1" w:styleId="TableFigureFooter">
    <w:name w:val="Table/Figure Footer"/>
    <w:basedOn w:val="Normal"/>
    <w:link w:val="TableFigureFooterChar"/>
    <w:qFormat/>
    <w:rsid w:val="00B03131"/>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B03131"/>
    <w:rPr>
      <w:rFonts w:ascii="Arial Narrow" w:hAnsi="Arial Narrow" w:cs="Arial"/>
      <w:snapToGrid w:val="0"/>
      <w:sz w:val="18"/>
      <w:szCs w:val="22"/>
    </w:rPr>
  </w:style>
  <w:style w:type="character" w:customStyle="1" w:styleId="Heading4Char">
    <w:name w:val="Heading 4 Char"/>
    <w:basedOn w:val="DefaultParagraphFont"/>
    <w:link w:val="Heading4"/>
    <w:rsid w:val="000B46F3"/>
    <w:rPr>
      <w:rFonts w:ascii="Calibri" w:hAnsi="Calibri" w:cs="Arial"/>
      <w:b/>
      <w:bCs/>
      <w:i/>
      <w:sz w:val="26"/>
      <w:szCs w:val="28"/>
    </w:rPr>
  </w:style>
  <w:style w:type="paragraph" w:customStyle="1" w:styleId="COMTableheadingrow">
    <w:name w:val="COM Table heading row"/>
    <w:rsid w:val="00FB6189"/>
    <w:pPr>
      <w:keepNext/>
    </w:pPr>
    <w:rPr>
      <w:rFonts w:ascii="Arial Narrow" w:eastAsiaTheme="majorEastAsia" w:hAnsi="Arial Narrow"/>
      <w:b/>
      <w:szCs w:val="24"/>
      <w:lang w:val="en-US"/>
    </w:rPr>
  </w:style>
  <w:style w:type="paragraph" w:customStyle="1" w:styleId="paragraph">
    <w:name w:val="paragraph"/>
    <w:basedOn w:val="Normal"/>
    <w:rsid w:val="00FB6189"/>
    <w:pPr>
      <w:spacing w:before="100" w:beforeAutospacing="1" w:after="100" w:afterAutospacing="1"/>
      <w:jc w:val="left"/>
    </w:pPr>
    <w:rPr>
      <w:rFonts w:ascii="Times New Roman" w:hAnsi="Times New Roman" w:cs="Times New Roman"/>
    </w:rPr>
  </w:style>
  <w:style w:type="character" w:customStyle="1" w:styleId="normaltextrun">
    <w:name w:val="normaltextrun"/>
    <w:basedOn w:val="DefaultParagraphFont"/>
    <w:rsid w:val="00FB6189"/>
  </w:style>
  <w:style w:type="character" w:customStyle="1" w:styleId="eop">
    <w:name w:val="eop"/>
    <w:basedOn w:val="DefaultParagraphFont"/>
    <w:rsid w:val="00FB6189"/>
  </w:style>
  <w:style w:type="character" w:customStyle="1" w:styleId="COMBodyChar">
    <w:name w:val="COM Body Char"/>
    <w:basedOn w:val="DefaultParagraphFont"/>
    <w:link w:val="COMBody"/>
    <w:locked/>
    <w:rsid w:val="00A8708C"/>
    <w:rPr>
      <w:rFonts w:ascii="Calibri" w:hAnsi="Calibri" w:cs="Arial"/>
      <w:sz w:val="24"/>
      <w:szCs w:val="24"/>
    </w:rPr>
  </w:style>
  <w:style w:type="paragraph" w:customStyle="1" w:styleId="COMBody">
    <w:name w:val="COM Body"/>
    <w:basedOn w:val="Normal"/>
    <w:link w:val="COMBodyChar"/>
    <w:rsid w:val="00A8708C"/>
  </w:style>
  <w:style w:type="paragraph" w:customStyle="1" w:styleId="COMtablefigcaption">
    <w:name w:val="COM table/fig caption"/>
    <w:next w:val="Normal"/>
    <w:link w:val="COMtablefigcaptionChar"/>
    <w:rsid w:val="00115D5E"/>
    <w:pPr>
      <w:keepNext/>
      <w:jc w:val="both"/>
    </w:pPr>
    <w:rPr>
      <w:rFonts w:ascii="Arial Narrow" w:eastAsiaTheme="majorEastAsia" w:hAnsi="Arial Narrow" w:cstheme="majorBidi"/>
      <w:b/>
      <w:bCs/>
      <w:szCs w:val="24"/>
    </w:rPr>
  </w:style>
  <w:style w:type="character" w:customStyle="1" w:styleId="COMtablefigcaptionChar">
    <w:name w:val="COM table/fig caption Char"/>
    <w:basedOn w:val="DefaultParagraphFont"/>
    <w:link w:val="COMtablefigcaption"/>
    <w:rsid w:val="00115D5E"/>
    <w:rPr>
      <w:rFonts w:ascii="Arial Narrow" w:eastAsiaTheme="majorEastAsia" w:hAnsi="Arial Narrow" w:cstheme="majorBidi"/>
      <w:b/>
      <w:bCs/>
      <w:szCs w:val="24"/>
    </w:rPr>
  </w:style>
  <w:style w:type="paragraph" w:customStyle="1" w:styleId="4-SubsectSubhead">
    <w:name w:val="4-Subsect Subhead"/>
    <w:basedOn w:val="Heading3"/>
    <w:next w:val="Normal"/>
    <w:link w:val="4-SubsectSubheadChar"/>
    <w:rsid w:val="00115D5E"/>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115D5E"/>
    <w:rPr>
      <w:rFonts w:asciiTheme="minorHAnsi" w:eastAsiaTheme="majorEastAsia" w:hAnsiTheme="minorHAnsi" w:cstheme="majorBidi"/>
      <w:b/>
      <w:color w:val="000000" w:themeColor="text1"/>
      <w:sz w:val="28"/>
      <w:szCs w:val="28"/>
    </w:rPr>
  </w:style>
  <w:style w:type="paragraph" w:customStyle="1" w:styleId="TableFigureCaption">
    <w:name w:val="Table/Figure Caption"/>
    <w:next w:val="Tableheadingrow"/>
    <w:link w:val="TableFigureCaptionChar"/>
    <w:rsid w:val="00064032"/>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064032"/>
    <w:rPr>
      <w:rFonts w:ascii="Arial Narrow" w:eastAsiaTheme="majorEastAsia" w:hAnsi="Arial Narrow" w:cstheme="majorBidi"/>
      <w:b/>
      <w:bCs/>
      <w:szCs w:val="24"/>
    </w:rPr>
  </w:style>
  <w:style w:type="paragraph" w:customStyle="1" w:styleId="5-SubSubSubHead">
    <w:name w:val="5-Sub Sub Sub Head"/>
    <w:basedOn w:val="Heading4"/>
    <w:rsid w:val="0028137A"/>
  </w:style>
  <w:style w:type="character" w:styleId="UnresolvedMention">
    <w:name w:val="Unresolved Mention"/>
    <w:basedOn w:val="DefaultParagraphFont"/>
    <w:uiPriority w:val="99"/>
    <w:semiHidden/>
    <w:unhideWhenUsed/>
    <w:rsid w:val="00135B85"/>
    <w:rPr>
      <w:color w:val="605E5C"/>
      <w:shd w:val="clear" w:color="auto" w:fill="E1DFDD"/>
    </w:rPr>
  </w:style>
  <w:style w:type="numbering" w:customStyle="1" w:styleId="CurrentList1">
    <w:name w:val="Current List1"/>
    <w:uiPriority w:val="99"/>
    <w:rsid w:val="00623543"/>
    <w:pPr>
      <w:numPr>
        <w:numId w:val="15"/>
      </w:numPr>
    </w:pPr>
  </w:style>
  <w:style w:type="character" w:styleId="IntenseEmphasis">
    <w:name w:val="Intense Emphasis"/>
    <w:basedOn w:val="DefaultParagraphFont"/>
    <w:uiPriority w:val="21"/>
    <w:rsid w:val="009D62D3"/>
    <w:rPr>
      <w:i/>
      <w:iCs/>
      <w:color w:val="4F81BD" w:themeColor="accent1"/>
    </w:rPr>
  </w:style>
  <w:style w:type="paragraph" w:customStyle="1" w:styleId="COMexecsummmainissuesbullets">
    <w:name w:val="COM exec summ main issues bullets"/>
    <w:basedOn w:val="ListParagraph"/>
    <w:link w:val="COMexecsummmainissuesbulletsChar"/>
    <w:rsid w:val="00400BC6"/>
    <w:pPr>
      <w:numPr>
        <w:numId w:val="16"/>
      </w:numPr>
    </w:pPr>
    <w:rPr>
      <w:color w:val="0066FF"/>
    </w:rPr>
  </w:style>
  <w:style w:type="character" w:customStyle="1" w:styleId="COMexecsummmainissuesbulletsChar">
    <w:name w:val="COM exec summ main issues bullets Char"/>
    <w:basedOn w:val="DefaultParagraphFont"/>
    <w:link w:val="COMexecsummmainissuesbullets"/>
    <w:rsid w:val="00400BC6"/>
    <w:rPr>
      <w:rFonts w:asciiTheme="minorHAnsi" w:hAnsiTheme="minorHAnsi" w:cs="Arial"/>
      <w:snapToGrid w:val="0"/>
      <w:color w:val="0066FF"/>
      <w:sz w:val="24"/>
      <w:szCs w:val="24"/>
    </w:rPr>
  </w:style>
  <w:style w:type="paragraph" w:customStyle="1" w:styleId="3-SubsectionHeading">
    <w:name w:val="3-Subsection Heading"/>
    <w:basedOn w:val="Heading2"/>
    <w:next w:val="Normal"/>
    <w:link w:val="3-SubsectionHeadingChar"/>
    <w:rsid w:val="004F2A19"/>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4F2A19"/>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6785">
      <w:bodyDiv w:val="1"/>
      <w:marLeft w:val="0"/>
      <w:marRight w:val="0"/>
      <w:marTop w:val="0"/>
      <w:marBottom w:val="0"/>
      <w:divBdr>
        <w:top w:val="none" w:sz="0" w:space="0" w:color="auto"/>
        <w:left w:val="none" w:sz="0" w:space="0" w:color="auto"/>
        <w:bottom w:val="none" w:sz="0" w:space="0" w:color="auto"/>
        <w:right w:val="none" w:sz="0" w:space="0" w:color="auto"/>
      </w:divBdr>
    </w:div>
    <w:div w:id="85197999">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79928194">
      <w:bodyDiv w:val="1"/>
      <w:marLeft w:val="0"/>
      <w:marRight w:val="0"/>
      <w:marTop w:val="0"/>
      <w:marBottom w:val="0"/>
      <w:divBdr>
        <w:top w:val="none" w:sz="0" w:space="0" w:color="auto"/>
        <w:left w:val="none" w:sz="0" w:space="0" w:color="auto"/>
        <w:bottom w:val="none" w:sz="0" w:space="0" w:color="auto"/>
        <w:right w:val="none" w:sz="0" w:space="0" w:color="auto"/>
      </w:divBdr>
    </w:div>
    <w:div w:id="194314871">
      <w:bodyDiv w:val="1"/>
      <w:marLeft w:val="0"/>
      <w:marRight w:val="0"/>
      <w:marTop w:val="0"/>
      <w:marBottom w:val="0"/>
      <w:divBdr>
        <w:top w:val="none" w:sz="0" w:space="0" w:color="auto"/>
        <w:left w:val="none" w:sz="0" w:space="0" w:color="auto"/>
        <w:bottom w:val="none" w:sz="0" w:space="0" w:color="auto"/>
        <w:right w:val="none" w:sz="0" w:space="0" w:color="auto"/>
      </w:divBdr>
    </w:div>
    <w:div w:id="257645578">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24824951">
      <w:bodyDiv w:val="1"/>
      <w:marLeft w:val="0"/>
      <w:marRight w:val="0"/>
      <w:marTop w:val="0"/>
      <w:marBottom w:val="0"/>
      <w:divBdr>
        <w:top w:val="none" w:sz="0" w:space="0" w:color="auto"/>
        <w:left w:val="none" w:sz="0" w:space="0" w:color="auto"/>
        <w:bottom w:val="none" w:sz="0" w:space="0" w:color="auto"/>
        <w:right w:val="none" w:sz="0" w:space="0" w:color="auto"/>
      </w:divBdr>
    </w:div>
    <w:div w:id="434833115">
      <w:bodyDiv w:val="1"/>
      <w:marLeft w:val="0"/>
      <w:marRight w:val="0"/>
      <w:marTop w:val="0"/>
      <w:marBottom w:val="0"/>
      <w:divBdr>
        <w:top w:val="none" w:sz="0" w:space="0" w:color="auto"/>
        <w:left w:val="none" w:sz="0" w:space="0" w:color="auto"/>
        <w:bottom w:val="none" w:sz="0" w:space="0" w:color="auto"/>
        <w:right w:val="none" w:sz="0" w:space="0" w:color="auto"/>
      </w:divBdr>
    </w:div>
    <w:div w:id="770971249">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925766418">
      <w:bodyDiv w:val="1"/>
      <w:marLeft w:val="0"/>
      <w:marRight w:val="0"/>
      <w:marTop w:val="0"/>
      <w:marBottom w:val="0"/>
      <w:divBdr>
        <w:top w:val="none" w:sz="0" w:space="0" w:color="auto"/>
        <w:left w:val="none" w:sz="0" w:space="0" w:color="auto"/>
        <w:bottom w:val="none" w:sz="0" w:space="0" w:color="auto"/>
        <w:right w:val="none" w:sz="0" w:space="0" w:color="auto"/>
      </w:divBdr>
    </w:div>
    <w:div w:id="976688770">
      <w:bodyDiv w:val="1"/>
      <w:marLeft w:val="0"/>
      <w:marRight w:val="0"/>
      <w:marTop w:val="0"/>
      <w:marBottom w:val="0"/>
      <w:divBdr>
        <w:top w:val="none" w:sz="0" w:space="0" w:color="auto"/>
        <w:left w:val="none" w:sz="0" w:space="0" w:color="auto"/>
        <w:bottom w:val="none" w:sz="0" w:space="0" w:color="auto"/>
        <w:right w:val="none" w:sz="0" w:space="0" w:color="auto"/>
      </w:divBdr>
    </w:div>
    <w:div w:id="1080058963">
      <w:bodyDiv w:val="1"/>
      <w:marLeft w:val="0"/>
      <w:marRight w:val="0"/>
      <w:marTop w:val="0"/>
      <w:marBottom w:val="0"/>
      <w:divBdr>
        <w:top w:val="none" w:sz="0" w:space="0" w:color="auto"/>
        <w:left w:val="none" w:sz="0" w:space="0" w:color="auto"/>
        <w:bottom w:val="none" w:sz="0" w:space="0" w:color="auto"/>
        <w:right w:val="none" w:sz="0" w:space="0" w:color="auto"/>
      </w:divBdr>
    </w:div>
    <w:div w:id="1110666441">
      <w:bodyDiv w:val="1"/>
      <w:marLeft w:val="0"/>
      <w:marRight w:val="0"/>
      <w:marTop w:val="0"/>
      <w:marBottom w:val="0"/>
      <w:divBdr>
        <w:top w:val="none" w:sz="0" w:space="0" w:color="auto"/>
        <w:left w:val="none" w:sz="0" w:space="0" w:color="auto"/>
        <w:bottom w:val="none" w:sz="0" w:space="0" w:color="auto"/>
        <w:right w:val="none" w:sz="0" w:space="0" w:color="auto"/>
      </w:divBdr>
    </w:div>
    <w:div w:id="114708665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4022352">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328286521">
      <w:bodyDiv w:val="1"/>
      <w:marLeft w:val="0"/>
      <w:marRight w:val="0"/>
      <w:marTop w:val="0"/>
      <w:marBottom w:val="0"/>
      <w:divBdr>
        <w:top w:val="none" w:sz="0" w:space="0" w:color="auto"/>
        <w:left w:val="none" w:sz="0" w:space="0" w:color="auto"/>
        <w:bottom w:val="none" w:sz="0" w:space="0" w:color="auto"/>
        <w:right w:val="none" w:sz="0" w:space="0" w:color="auto"/>
      </w:divBdr>
    </w:div>
    <w:div w:id="1356493849">
      <w:bodyDiv w:val="1"/>
      <w:marLeft w:val="0"/>
      <w:marRight w:val="0"/>
      <w:marTop w:val="0"/>
      <w:marBottom w:val="0"/>
      <w:divBdr>
        <w:top w:val="none" w:sz="0" w:space="0" w:color="auto"/>
        <w:left w:val="none" w:sz="0" w:space="0" w:color="auto"/>
        <w:bottom w:val="none" w:sz="0" w:space="0" w:color="auto"/>
        <w:right w:val="none" w:sz="0" w:space="0" w:color="auto"/>
      </w:divBdr>
    </w:div>
    <w:div w:id="1393890535">
      <w:bodyDiv w:val="1"/>
      <w:marLeft w:val="0"/>
      <w:marRight w:val="0"/>
      <w:marTop w:val="0"/>
      <w:marBottom w:val="0"/>
      <w:divBdr>
        <w:top w:val="none" w:sz="0" w:space="0" w:color="auto"/>
        <w:left w:val="none" w:sz="0" w:space="0" w:color="auto"/>
        <w:bottom w:val="none" w:sz="0" w:space="0" w:color="auto"/>
        <w:right w:val="none" w:sz="0" w:space="0" w:color="auto"/>
      </w:divBdr>
    </w:div>
    <w:div w:id="1414356662">
      <w:bodyDiv w:val="1"/>
      <w:marLeft w:val="0"/>
      <w:marRight w:val="0"/>
      <w:marTop w:val="0"/>
      <w:marBottom w:val="0"/>
      <w:divBdr>
        <w:top w:val="none" w:sz="0" w:space="0" w:color="auto"/>
        <w:left w:val="none" w:sz="0" w:space="0" w:color="auto"/>
        <w:bottom w:val="none" w:sz="0" w:space="0" w:color="auto"/>
        <w:right w:val="none" w:sz="0" w:space="0" w:color="auto"/>
      </w:divBdr>
    </w:div>
    <w:div w:id="1526870091">
      <w:bodyDiv w:val="1"/>
      <w:marLeft w:val="0"/>
      <w:marRight w:val="0"/>
      <w:marTop w:val="0"/>
      <w:marBottom w:val="0"/>
      <w:divBdr>
        <w:top w:val="none" w:sz="0" w:space="0" w:color="auto"/>
        <w:left w:val="none" w:sz="0" w:space="0" w:color="auto"/>
        <w:bottom w:val="none" w:sz="0" w:space="0" w:color="auto"/>
        <w:right w:val="none" w:sz="0" w:space="0" w:color="auto"/>
      </w:divBdr>
    </w:div>
    <w:div w:id="1566066457">
      <w:bodyDiv w:val="1"/>
      <w:marLeft w:val="0"/>
      <w:marRight w:val="0"/>
      <w:marTop w:val="0"/>
      <w:marBottom w:val="0"/>
      <w:divBdr>
        <w:top w:val="none" w:sz="0" w:space="0" w:color="auto"/>
        <w:left w:val="none" w:sz="0" w:space="0" w:color="auto"/>
        <w:bottom w:val="none" w:sz="0" w:space="0" w:color="auto"/>
        <w:right w:val="none" w:sz="0" w:space="0" w:color="auto"/>
      </w:divBdr>
    </w:div>
    <w:div w:id="1689411377">
      <w:bodyDiv w:val="1"/>
      <w:marLeft w:val="0"/>
      <w:marRight w:val="0"/>
      <w:marTop w:val="0"/>
      <w:marBottom w:val="0"/>
      <w:divBdr>
        <w:top w:val="none" w:sz="0" w:space="0" w:color="auto"/>
        <w:left w:val="none" w:sz="0" w:space="0" w:color="auto"/>
        <w:bottom w:val="none" w:sz="0" w:space="0" w:color="auto"/>
        <w:right w:val="none" w:sz="0" w:space="0" w:color="auto"/>
      </w:divBdr>
    </w:div>
    <w:div w:id="1708871438">
      <w:bodyDiv w:val="1"/>
      <w:marLeft w:val="0"/>
      <w:marRight w:val="0"/>
      <w:marTop w:val="0"/>
      <w:marBottom w:val="0"/>
      <w:divBdr>
        <w:top w:val="none" w:sz="0" w:space="0" w:color="auto"/>
        <w:left w:val="none" w:sz="0" w:space="0" w:color="auto"/>
        <w:bottom w:val="none" w:sz="0" w:space="0" w:color="auto"/>
        <w:right w:val="none" w:sz="0" w:space="0" w:color="auto"/>
      </w:divBdr>
    </w:div>
    <w:div w:id="1900743399">
      <w:bodyDiv w:val="1"/>
      <w:marLeft w:val="0"/>
      <w:marRight w:val="0"/>
      <w:marTop w:val="0"/>
      <w:marBottom w:val="0"/>
      <w:divBdr>
        <w:top w:val="none" w:sz="0" w:space="0" w:color="auto"/>
        <w:left w:val="none" w:sz="0" w:space="0" w:color="auto"/>
        <w:bottom w:val="none" w:sz="0" w:space="0" w:color="auto"/>
        <w:right w:val="none" w:sz="0" w:space="0" w:color="auto"/>
      </w:divBdr>
    </w:div>
    <w:div w:id="1939288874">
      <w:bodyDiv w:val="1"/>
      <w:marLeft w:val="0"/>
      <w:marRight w:val="0"/>
      <w:marTop w:val="0"/>
      <w:marBottom w:val="0"/>
      <w:divBdr>
        <w:top w:val="none" w:sz="0" w:space="0" w:color="auto"/>
        <w:left w:val="none" w:sz="0" w:space="0" w:color="auto"/>
        <w:bottom w:val="none" w:sz="0" w:space="0" w:color="auto"/>
        <w:right w:val="none" w:sz="0" w:space="0" w:color="auto"/>
      </w:divBdr>
    </w:div>
    <w:div w:id="1946572574">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68507336">
      <w:bodyDiv w:val="1"/>
      <w:marLeft w:val="0"/>
      <w:marRight w:val="0"/>
      <w:marTop w:val="0"/>
      <w:marBottom w:val="0"/>
      <w:divBdr>
        <w:top w:val="none" w:sz="0" w:space="0" w:color="auto"/>
        <w:left w:val="none" w:sz="0" w:space="0" w:color="auto"/>
        <w:bottom w:val="none" w:sz="0" w:space="0" w:color="auto"/>
        <w:right w:val="none" w:sz="0" w:space="0" w:color="auto"/>
      </w:divBdr>
    </w:div>
    <w:div w:id="2135903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39</Pages>
  <Words>15270</Words>
  <Characters>87042</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102108</CharactersWithSpaces>
  <SharedDoc>false</SharedDoc>
  <HLinks>
    <vt:vector size="384" baseType="variant">
      <vt:variant>
        <vt:i4>1900601</vt:i4>
      </vt:variant>
      <vt:variant>
        <vt:i4>380</vt:i4>
      </vt:variant>
      <vt:variant>
        <vt:i4>0</vt:i4>
      </vt:variant>
      <vt:variant>
        <vt:i4>5</vt:i4>
      </vt:variant>
      <vt:variant>
        <vt:lpwstr/>
      </vt:variant>
      <vt:variant>
        <vt:lpwstr>_Toc133832831</vt:lpwstr>
      </vt:variant>
      <vt:variant>
        <vt:i4>1900601</vt:i4>
      </vt:variant>
      <vt:variant>
        <vt:i4>374</vt:i4>
      </vt:variant>
      <vt:variant>
        <vt:i4>0</vt:i4>
      </vt:variant>
      <vt:variant>
        <vt:i4>5</vt:i4>
      </vt:variant>
      <vt:variant>
        <vt:lpwstr/>
      </vt:variant>
      <vt:variant>
        <vt:lpwstr>_Toc133832830</vt:lpwstr>
      </vt:variant>
      <vt:variant>
        <vt:i4>1835065</vt:i4>
      </vt:variant>
      <vt:variant>
        <vt:i4>368</vt:i4>
      </vt:variant>
      <vt:variant>
        <vt:i4>0</vt:i4>
      </vt:variant>
      <vt:variant>
        <vt:i4>5</vt:i4>
      </vt:variant>
      <vt:variant>
        <vt:lpwstr/>
      </vt:variant>
      <vt:variant>
        <vt:lpwstr>_Toc133832829</vt:lpwstr>
      </vt:variant>
      <vt:variant>
        <vt:i4>1835065</vt:i4>
      </vt:variant>
      <vt:variant>
        <vt:i4>362</vt:i4>
      </vt:variant>
      <vt:variant>
        <vt:i4>0</vt:i4>
      </vt:variant>
      <vt:variant>
        <vt:i4>5</vt:i4>
      </vt:variant>
      <vt:variant>
        <vt:lpwstr/>
      </vt:variant>
      <vt:variant>
        <vt:lpwstr>_Toc133832828</vt:lpwstr>
      </vt:variant>
      <vt:variant>
        <vt:i4>1835065</vt:i4>
      </vt:variant>
      <vt:variant>
        <vt:i4>356</vt:i4>
      </vt:variant>
      <vt:variant>
        <vt:i4>0</vt:i4>
      </vt:variant>
      <vt:variant>
        <vt:i4>5</vt:i4>
      </vt:variant>
      <vt:variant>
        <vt:lpwstr/>
      </vt:variant>
      <vt:variant>
        <vt:lpwstr>_Toc133832827</vt:lpwstr>
      </vt:variant>
      <vt:variant>
        <vt:i4>1835065</vt:i4>
      </vt:variant>
      <vt:variant>
        <vt:i4>350</vt:i4>
      </vt:variant>
      <vt:variant>
        <vt:i4>0</vt:i4>
      </vt:variant>
      <vt:variant>
        <vt:i4>5</vt:i4>
      </vt:variant>
      <vt:variant>
        <vt:lpwstr/>
      </vt:variant>
      <vt:variant>
        <vt:lpwstr>_Toc133832826</vt:lpwstr>
      </vt:variant>
      <vt:variant>
        <vt:i4>1835065</vt:i4>
      </vt:variant>
      <vt:variant>
        <vt:i4>344</vt:i4>
      </vt:variant>
      <vt:variant>
        <vt:i4>0</vt:i4>
      </vt:variant>
      <vt:variant>
        <vt:i4>5</vt:i4>
      </vt:variant>
      <vt:variant>
        <vt:lpwstr/>
      </vt:variant>
      <vt:variant>
        <vt:lpwstr>_Toc133832825</vt:lpwstr>
      </vt:variant>
      <vt:variant>
        <vt:i4>1835065</vt:i4>
      </vt:variant>
      <vt:variant>
        <vt:i4>338</vt:i4>
      </vt:variant>
      <vt:variant>
        <vt:i4>0</vt:i4>
      </vt:variant>
      <vt:variant>
        <vt:i4>5</vt:i4>
      </vt:variant>
      <vt:variant>
        <vt:lpwstr/>
      </vt:variant>
      <vt:variant>
        <vt:lpwstr>_Toc133832824</vt:lpwstr>
      </vt:variant>
      <vt:variant>
        <vt:i4>1835065</vt:i4>
      </vt:variant>
      <vt:variant>
        <vt:i4>332</vt:i4>
      </vt:variant>
      <vt:variant>
        <vt:i4>0</vt:i4>
      </vt:variant>
      <vt:variant>
        <vt:i4>5</vt:i4>
      </vt:variant>
      <vt:variant>
        <vt:lpwstr/>
      </vt:variant>
      <vt:variant>
        <vt:lpwstr>_Toc133832823</vt:lpwstr>
      </vt:variant>
      <vt:variant>
        <vt:i4>1835065</vt:i4>
      </vt:variant>
      <vt:variant>
        <vt:i4>326</vt:i4>
      </vt:variant>
      <vt:variant>
        <vt:i4>0</vt:i4>
      </vt:variant>
      <vt:variant>
        <vt:i4>5</vt:i4>
      </vt:variant>
      <vt:variant>
        <vt:lpwstr/>
      </vt:variant>
      <vt:variant>
        <vt:lpwstr>_Toc133832822</vt:lpwstr>
      </vt:variant>
      <vt:variant>
        <vt:i4>1835065</vt:i4>
      </vt:variant>
      <vt:variant>
        <vt:i4>320</vt:i4>
      </vt:variant>
      <vt:variant>
        <vt:i4>0</vt:i4>
      </vt:variant>
      <vt:variant>
        <vt:i4>5</vt:i4>
      </vt:variant>
      <vt:variant>
        <vt:lpwstr/>
      </vt:variant>
      <vt:variant>
        <vt:lpwstr>_Toc133832821</vt:lpwstr>
      </vt:variant>
      <vt:variant>
        <vt:i4>1835065</vt:i4>
      </vt:variant>
      <vt:variant>
        <vt:i4>314</vt:i4>
      </vt:variant>
      <vt:variant>
        <vt:i4>0</vt:i4>
      </vt:variant>
      <vt:variant>
        <vt:i4>5</vt:i4>
      </vt:variant>
      <vt:variant>
        <vt:lpwstr/>
      </vt:variant>
      <vt:variant>
        <vt:lpwstr>_Toc133832820</vt:lpwstr>
      </vt:variant>
      <vt:variant>
        <vt:i4>2031673</vt:i4>
      </vt:variant>
      <vt:variant>
        <vt:i4>308</vt:i4>
      </vt:variant>
      <vt:variant>
        <vt:i4>0</vt:i4>
      </vt:variant>
      <vt:variant>
        <vt:i4>5</vt:i4>
      </vt:variant>
      <vt:variant>
        <vt:lpwstr/>
      </vt:variant>
      <vt:variant>
        <vt:lpwstr>_Toc133832819</vt:lpwstr>
      </vt:variant>
      <vt:variant>
        <vt:i4>2031673</vt:i4>
      </vt:variant>
      <vt:variant>
        <vt:i4>302</vt:i4>
      </vt:variant>
      <vt:variant>
        <vt:i4>0</vt:i4>
      </vt:variant>
      <vt:variant>
        <vt:i4>5</vt:i4>
      </vt:variant>
      <vt:variant>
        <vt:lpwstr/>
      </vt:variant>
      <vt:variant>
        <vt:lpwstr>_Toc133832818</vt:lpwstr>
      </vt:variant>
      <vt:variant>
        <vt:i4>2031673</vt:i4>
      </vt:variant>
      <vt:variant>
        <vt:i4>296</vt:i4>
      </vt:variant>
      <vt:variant>
        <vt:i4>0</vt:i4>
      </vt:variant>
      <vt:variant>
        <vt:i4>5</vt:i4>
      </vt:variant>
      <vt:variant>
        <vt:lpwstr/>
      </vt:variant>
      <vt:variant>
        <vt:lpwstr>_Toc133832817</vt:lpwstr>
      </vt:variant>
      <vt:variant>
        <vt:i4>2031673</vt:i4>
      </vt:variant>
      <vt:variant>
        <vt:i4>290</vt:i4>
      </vt:variant>
      <vt:variant>
        <vt:i4>0</vt:i4>
      </vt:variant>
      <vt:variant>
        <vt:i4>5</vt:i4>
      </vt:variant>
      <vt:variant>
        <vt:lpwstr/>
      </vt:variant>
      <vt:variant>
        <vt:lpwstr>_Toc133832816</vt:lpwstr>
      </vt:variant>
      <vt:variant>
        <vt:i4>2031673</vt:i4>
      </vt:variant>
      <vt:variant>
        <vt:i4>284</vt:i4>
      </vt:variant>
      <vt:variant>
        <vt:i4>0</vt:i4>
      </vt:variant>
      <vt:variant>
        <vt:i4>5</vt:i4>
      </vt:variant>
      <vt:variant>
        <vt:lpwstr/>
      </vt:variant>
      <vt:variant>
        <vt:lpwstr>_Toc133832815</vt:lpwstr>
      </vt:variant>
      <vt:variant>
        <vt:i4>2031673</vt:i4>
      </vt:variant>
      <vt:variant>
        <vt:i4>278</vt:i4>
      </vt:variant>
      <vt:variant>
        <vt:i4>0</vt:i4>
      </vt:variant>
      <vt:variant>
        <vt:i4>5</vt:i4>
      </vt:variant>
      <vt:variant>
        <vt:lpwstr/>
      </vt:variant>
      <vt:variant>
        <vt:lpwstr>_Toc133832814</vt:lpwstr>
      </vt:variant>
      <vt:variant>
        <vt:i4>2031673</vt:i4>
      </vt:variant>
      <vt:variant>
        <vt:i4>272</vt:i4>
      </vt:variant>
      <vt:variant>
        <vt:i4>0</vt:i4>
      </vt:variant>
      <vt:variant>
        <vt:i4>5</vt:i4>
      </vt:variant>
      <vt:variant>
        <vt:lpwstr/>
      </vt:variant>
      <vt:variant>
        <vt:lpwstr>_Toc133832813</vt:lpwstr>
      </vt:variant>
      <vt:variant>
        <vt:i4>2031673</vt:i4>
      </vt:variant>
      <vt:variant>
        <vt:i4>266</vt:i4>
      </vt:variant>
      <vt:variant>
        <vt:i4>0</vt:i4>
      </vt:variant>
      <vt:variant>
        <vt:i4>5</vt:i4>
      </vt:variant>
      <vt:variant>
        <vt:lpwstr/>
      </vt:variant>
      <vt:variant>
        <vt:lpwstr>_Toc133832812</vt:lpwstr>
      </vt:variant>
      <vt:variant>
        <vt:i4>2031673</vt:i4>
      </vt:variant>
      <vt:variant>
        <vt:i4>260</vt:i4>
      </vt:variant>
      <vt:variant>
        <vt:i4>0</vt:i4>
      </vt:variant>
      <vt:variant>
        <vt:i4>5</vt:i4>
      </vt:variant>
      <vt:variant>
        <vt:lpwstr/>
      </vt:variant>
      <vt:variant>
        <vt:lpwstr>_Toc133832811</vt:lpwstr>
      </vt:variant>
      <vt:variant>
        <vt:i4>2031673</vt:i4>
      </vt:variant>
      <vt:variant>
        <vt:i4>254</vt:i4>
      </vt:variant>
      <vt:variant>
        <vt:i4>0</vt:i4>
      </vt:variant>
      <vt:variant>
        <vt:i4>5</vt:i4>
      </vt:variant>
      <vt:variant>
        <vt:lpwstr/>
      </vt:variant>
      <vt:variant>
        <vt:lpwstr>_Toc133832810</vt:lpwstr>
      </vt:variant>
      <vt:variant>
        <vt:i4>1966137</vt:i4>
      </vt:variant>
      <vt:variant>
        <vt:i4>248</vt:i4>
      </vt:variant>
      <vt:variant>
        <vt:i4>0</vt:i4>
      </vt:variant>
      <vt:variant>
        <vt:i4>5</vt:i4>
      </vt:variant>
      <vt:variant>
        <vt:lpwstr/>
      </vt:variant>
      <vt:variant>
        <vt:lpwstr>_Toc133832809</vt:lpwstr>
      </vt:variant>
      <vt:variant>
        <vt:i4>1966137</vt:i4>
      </vt:variant>
      <vt:variant>
        <vt:i4>242</vt:i4>
      </vt:variant>
      <vt:variant>
        <vt:i4>0</vt:i4>
      </vt:variant>
      <vt:variant>
        <vt:i4>5</vt:i4>
      </vt:variant>
      <vt:variant>
        <vt:lpwstr/>
      </vt:variant>
      <vt:variant>
        <vt:lpwstr>_Toc133832808</vt:lpwstr>
      </vt:variant>
      <vt:variant>
        <vt:i4>1966137</vt:i4>
      </vt:variant>
      <vt:variant>
        <vt:i4>236</vt:i4>
      </vt:variant>
      <vt:variant>
        <vt:i4>0</vt:i4>
      </vt:variant>
      <vt:variant>
        <vt:i4>5</vt:i4>
      </vt:variant>
      <vt:variant>
        <vt:lpwstr/>
      </vt:variant>
      <vt:variant>
        <vt:lpwstr>_Toc133832807</vt:lpwstr>
      </vt:variant>
      <vt:variant>
        <vt:i4>1966137</vt:i4>
      </vt:variant>
      <vt:variant>
        <vt:i4>230</vt:i4>
      </vt:variant>
      <vt:variant>
        <vt:i4>0</vt:i4>
      </vt:variant>
      <vt:variant>
        <vt:i4>5</vt:i4>
      </vt:variant>
      <vt:variant>
        <vt:lpwstr/>
      </vt:variant>
      <vt:variant>
        <vt:lpwstr>_Toc133832806</vt:lpwstr>
      </vt:variant>
      <vt:variant>
        <vt:i4>1966137</vt:i4>
      </vt:variant>
      <vt:variant>
        <vt:i4>224</vt:i4>
      </vt:variant>
      <vt:variant>
        <vt:i4>0</vt:i4>
      </vt:variant>
      <vt:variant>
        <vt:i4>5</vt:i4>
      </vt:variant>
      <vt:variant>
        <vt:lpwstr/>
      </vt:variant>
      <vt:variant>
        <vt:lpwstr>_Toc133832805</vt:lpwstr>
      </vt:variant>
      <vt:variant>
        <vt:i4>1966137</vt:i4>
      </vt:variant>
      <vt:variant>
        <vt:i4>218</vt:i4>
      </vt:variant>
      <vt:variant>
        <vt:i4>0</vt:i4>
      </vt:variant>
      <vt:variant>
        <vt:i4>5</vt:i4>
      </vt:variant>
      <vt:variant>
        <vt:lpwstr/>
      </vt:variant>
      <vt:variant>
        <vt:lpwstr>_Toc133832804</vt:lpwstr>
      </vt:variant>
      <vt:variant>
        <vt:i4>1966137</vt:i4>
      </vt:variant>
      <vt:variant>
        <vt:i4>212</vt:i4>
      </vt:variant>
      <vt:variant>
        <vt:i4>0</vt:i4>
      </vt:variant>
      <vt:variant>
        <vt:i4>5</vt:i4>
      </vt:variant>
      <vt:variant>
        <vt:lpwstr/>
      </vt:variant>
      <vt:variant>
        <vt:lpwstr>_Toc133832803</vt:lpwstr>
      </vt:variant>
      <vt:variant>
        <vt:i4>1966137</vt:i4>
      </vt:variant>
      <vt:variant>
        <vt:i4>206</vt:i4>
      </vt:variant>
      <vt:variant>
        <vt:i4>0</vt:i4>
      </vt:variant>
      <vt:variant>
        <vt:i4>5</vt:i4>
      </vt:variant>
      <vt:variant>
        <vt:lpwstr/>
      </vt:variant>
      <vt:variant>
        <vt:lpwstr>_Toc133832802</vt:lpwstr>
      </vt:variant>
      <vt:variant>
        <vt:i4>1966137</vt:i4>
      </vt:variant>
      <vt:variant>
        <vt:i4>200</vt:i4>
      </vt:variant>
      <vt:variant>
        <vt:i4>0</vt:i4>
      </vt:variant>
      <vt:variant>
        <vt:i4>5</vt:i4>
      </vt:variant>
      <vt:variant>
        <vt:lpwstr/>
      </vt:variant>
      <vt:variant>
        <vt:lpwstr>_Toc133832801</vt:lpwstr>
      </vt:variant>
      <vt:variant>
        <vt:i4>1966137</vt:i4>
      </vt:variant>
      <vt:variant>
        <vt:i4>194</vt:i4>
      </vt:variant>
      <vt:variant>
        <vt:i4>0</vt:i4>
      </vt:variant>
      <vt:variant>
        <vt:i4>5</vt:i4>
      </vt:variant>
      <vt:variant>
        <vt:lpwstr/>
      </vt:variant>
      <vt:variant>
        <vt:lpwstr>_Toc133832800</vt:lpwstr>
      </vt:variant>
      <vt:variant>
        <vt:i4>1507382</vt:i4>
      </vt:variant>
      <vt:variant>
        <vt:i4>188</vt:i4>
      </vt:variant>
      <vt:variant>
        <vt:i4>0</vt:i4>
      </vt:variant>
      <vt:variant>
        <vt:i4>5</vt:i4>
      </vt:variant>
      <vt:variant>
        <vt:lpwstr/>
      </vt:variant>
      <vt:variant>
        <vt:lpwstr>_Toc133832799</vt:lpwstr>
      </vt:variant>
      <vt:variant>
        <vt:i4>1507382</vt:i4>
      </vt:variant>
      <vt:variant>
        <vt:i4>182</vt:i4>
      </vt:variant>
      <vt:variant>
        <vt:i4>0</vt:i4>
      </vt:variant>
      <vt:variant>
        <vt:i4>5</vt:i4>
      </vt:variant>
      <vt:variant>
        <vt:lpwstr/>
      </vt:variant>
      <vt:variant>
        <vt:lpwstr>_Toc133832798</vt:lpwstr>
      </vt:variant>
      <vt:variant>
        <vt:i4>1507382</vt:i4>
      </vt:variant>
      <vt:variant>
        <vt:i4>176</vt:i4>
      </vt:variant>
      <vt:variant>
        <vt:i4>0</vt:i4>
      </vt:variant>
      <vt:variant>
        <vt:i4>5</vt:i4>
      </vt:variant>
      <vt:variant>
        <vt:lpwstr/>
      </vt:variant>
      <vt:variant>
        <vt:lpwstr>_Toc133832797</vt:lpwstr>
      </vt:variant>
      <vt:variant>
        <vt:i4>1507382</vt:i4>
      </vt:variant>
      <vt:variant>
        <vt:i4>170</vt:i4>
      </vt:variant>
      <vt:variant>
        <vt:i4>0</vt:i4>
      </vt:variant>
      <vt:variant>
        <vt:i4>5</vt:i4>
      </vt:variant>
      <vt:variant>
        <vt:lpwstr/>
      </vt:variant>
      <vt:variant>
        <vt:lpwstr>_Toc133832796</vt:lpwstr>
      </vt:variant>
      <vt:variant>
        <vt:i4>1507382</vt:i4>
      </vt:variant>
      <vt:variant>
        <vt:i4>164</vt:i4>
      </vt:variant>
      <vt:variant>
        <vt:i4>0</vt:i4>
      </vt:variant>
      <vt:variant>
        <vt:i4>5</vt:i4>
      </vt:variant>
      <vt:variant>
        <vt:lpwstr/>
      </vt:variant>
      <vt:variant>
        <vt:lpwstr>_Toc133832795</vt:lpwstr>
      </vt:variant>
      <vt:variant>
        <vt:i4>1507382</vt:i4>
      </vt:variant>
      <vt:variant>
        <vt:i4>158</vt:i4>
      </vt:variant>
      <vt:variant>
        <vt:i4>0</vt:i4>
      </vt:variant>
      <vt:variant>
        <vt:i4>5</vt:i4>
      </vt:variant>
      <vt:variant>
        <vt:lpwstr/>
      </vt:variant>
      <vt:variant>
        <vt:lpwstr>_Toc133832794</vt:lpwstr>
      </vt:variant>
      <vt:variant>
        <vt:i4>1507382</vt:i4>
      </vt:variant>
      <vt:variant>
        <vt:i4>152</vt:i4>
      </vt:variant>
      <vt:variant>
        <vt:i4>0</vt:i4>
      </vt:variant>
      <vt:variant>
        <vt:i4>5</vt:i4>
      </vt:variant>
      <vt:variant>
        <vt:lpwstr/>
      </vt:variant>
      <vt:variant>
        <vt:lpwstr>_Toc133832793</vt:lpwstr>
      </vt:variant>
      <vt:variant>
        <vt:i4>1507382</vt:i4>
      </vt:variant>
      <vt:variant>
        <vt:i4>146</vt:i4>
      </vt:variant>
      <vt:variant>
        <vt:i4>0</vt:i4>
      </vt:variant>
      <vt:variant>
        <vt:i4>5</vt:i4>
      </vt:variant>
      <vt:variant>
        <vt:lpwstr/>
      </vt:variant>
      <vt:variant>
        <vt:lpwstr>_Toc133832792</vt:lpwstr>
      </vt:variant>
      <vt:variant>
        <vt:i4>1507382</vt:i4>
      </vt:variant>
      <vt:variant>
        <vt:i4>140</vt:i4>
      </vt:variant>
      <vt:variant>
        <vt:i4>0</vt:i4>
      </vt:variant>
      <vt:variant>
        <vt:i4>5</vt:i4>
      </vt:variant>
      <vt:variant>
        <vt:lpwstr/>
      </vt:variant>
      <vt:variant>
        <vt:lpwstr>_Toc133832791</vt:lpwstr>
      </vt:variant>
      <vt:variant>
        <vt:i4>1507382</vt:i4>
      </vt:variant>
      <vt:variant>
        <vt:i4>134</vt:i4>
      </vt:variant>
      <vt:variant>
        <vt:i4>0</vt:i4>
      </vt:variant>
      <vt:variant>
        <vt:i4>5</vt:i4>
      </vt:variant>
      <vt:variant>
        <vt:lpwstr/>
      </vt:variant>
      <vt:variant>
        <vt:lpwstr>_Toc133832790</vt:lpwstr>
      </vt:variant>
      <vt:variant>
        <vt:i4>1441846</vt:i4>
      </vt:variant>
      <vt:variant>
        <vt:i4>128</vt:i4>
      </vt:variant>
      <vt:variant>
        <vt:i4>0</vt:i4>
      </vt:variant>
      <vt:variant>
        <vt:i4>5</vt:i4>
      </vt:variant>
      <vt:variant>
        <vt:lpwstr/>
      </vt:variant>
      <vt:variant>
        <vt:lpwstr>_Toc133832789</vt:lpwstr>
      </vt:variant>
      <vt:variant>
        <vt:i4>1441846</vt:i4>
      </vt:variant>
      <vt:variant>
        <vt:i4>122</vt:i4>
      </vt:variant>
      <vt:variant>
        <vt:i4>0</vt:i4>
      </vt:variant>
      <vt:variant>
        <vt:i4>5</vt:i4>
      </vt:variant>
      <vt:variant>
        <vt:lpwstr/>
      </vt:variant>
      <vt:variant>
        <vt:lpwstr>_Toc133832788</vt:lpwstr>
      </vt:variant>
      <vt:variant>
        <vt:i4>1441846</vt:i4>
      </vt:variant>
      <vt:variant>
        <vt:i4>116</vt:i4>
      </vt:variant>
      <vt:variant>
        <vt:i4>0</vt:i4>
      </vt:variant>
      <vt:variant>
        <vt:i4>5</vt:i4>
      </vt:variant>
      <vt:variant>
        <vt:lpwstr/>
      </vt:variant>
      <vt:variant>
        <vt:lpwstr>_Toc133832787</vt:lpwstr>
      </vt:variant>
      <vt:variant>
        <vt:i4>1441846</vt:i4>
      </vt:variant>
      <vt:variant>
        <vt:i4>110</vt:i4>
      </vt:variant>
      <vt:variant>
        <vt:i4>0</vt:i4>
      </vt:variant>
      <vt:variant>
        <vt:i4>5</vt:i4>
      </vt:variant>
      <vt:variant>
        <vt:lpwstr/>
      </vt:variant>
      <vt:variant>
        <vt:lpwstr>_Toc133832786</vt:lpwstr>
      </vt:variant>
      <vt:variant>
        <vt:i4>1441846</vt:i4>
      </vt:variant>
      <vt:variant>
        <vt:i4>104</vt:i4>
      </vt:variant>
      <vt:variant>
        <vt:i4>0</vt:i4>
      </vt:variant>
      <vt:variant>
        <vt:i4>5</vt:i4>
      </vt:variant>
      <vt:variant>
        <vt:lpwstr/>
      </vt:variant>
      <vt:variant>
        <vt:lpwstr>_Toc133832785</vt:lpwstr>
      </vt:variant>
      <vt:variant>
        <vt:i4>1441846</vt:i4>
      </vt:variant>
      <vt:variant>
        <vt:i4>98</vt:i4>
      </vt:variant>
      <vt:variant>
        <vt:i4>0</vt:i4>
      </vt:variant>
      <vt:variant>
        <vt:i4>5</vt:i4>
      </vt:variant>
      <vt:variant>
        <vt:lpwstr/>
      </vt:variant>
      <vt:variant>
        <vt:lpwstr>_Toc133832784</vt:lpwstr>
      </vt:variant>
      <vt:variant>
        <vt:i4>1441846</vt:i4>
      </vt:variant>
      <vt:variant>
        <vt:i4>92</vt:i4>
      </vt:variant>
      <vt:variant>
        <vt:i4>0</vt:i4>
      </vt:variant>
      <vt:variant>
        <vt:i4>5</vt:i4>
      </vt:variant>
      <vt:variant>
        <vt:lpwstr/>
      </vt:variant>
      <vt:variant>
        <vt:lpwstr>_Toc133832783</vt:lpwstr>
      </vt:variant>
      <vt:variant>
        <vt:i4>1441846</vt:i4>
      </vt:variant>
      <vt:variant>
        <vt:i4>86</vt:i4>
      </vt:variant>
      <vt:variant>
        <vt:i4>0</vt:i4>
      </vt:variant>
      <vt:variant>
        <vt:i4>5</vt:i4>
      </vt:variant>
      <vt:variant>
        <vt:lpwstr/>
      </vt:variant>
      <vt:variant>
        <vt:lpwstr>_Toc133832782</vt:lpwstr>
      </vt:variant>
      <vt:variant>
        <vt:i4>1441846</vt:i4>
      </vt:variant>
      <vt:variant>
        <vt:i4>80</vt:i4>
      </vt:variant>
      <vt:variant>
        <vt:i4>0</vt:i4>
      </vt:variant>
      <vt:variant>
        <vt:i4>5</vt:i4>
      </vt:variant>
      <vt:variant>
        <vt:lpwstr/>
      </vt:variant>
      <vt:variant>
        <vt:lpwstr>_Toc133832781</vt:lpwstr>
      </vt:variant>
      <vt:variant>
        <vt:i4>1441846</vt:i4>
      </vt:variant>
      <vt:variant>
        <vt:i4>74</vt:i4>
      </vt:variant>
      <vt:variant>
        <vt:i4>0</vt:i4>
      </vt:variant>
      <vt:variant>
        <vt:i4>5</vt:i4>
      </vt:variant>
      <vt:variant>
        <vt:lpwstr/>
      </vt:variant>
      <vt:variant>
        <vt:lpwstr>_Toc133832780</vt:lpwstr>
      </vt:variant>
      <vt:variant>
        <vt:i4>1638454</vt:i4>
      </vt:variant>
      <vt:variant>
        <vt:i4>68</vt:i4>
      </vt:variant>
      <vt:variant>
        <vt:i4>0</vt:i4>
      </vt:variant>
      <vt:variant>
        <vt:i4>5</vt:i4>
      </vt:variant>
      <vt:variant>
        <vt:lpwstr/>
      </vt:variant>
      <vt:variant>
        <vt:lpwstr>_Toc133832779</vt:lpwstr>
      </vt:variant>
      <vt:variant>
        <vt:i4>1638454</vt:i4>
      </vt:variant>
      <vt:variant>
        <vt:i4>62</vt:i4>
      </vt:variant>
      <vt:variant>
        <vt:i4>0</vt:i4>
      </vt:variant>
      <vt:variant>
        <vt:i4>5</vt:i4>
      </vt:variant>
      <vt:variant>
        <vt:lpwstr/>
      </vt:variant>
      <vt:variant>
        <vt:lpwstr>_Toc133832778</vt:lpwstr>
      </vt:variant>
      <vt:variant>
        <vt:i4>1638454</vt:i4>
      </vt:variant>
      <vt:variant>
        <vt:i4>56</vt:i4>
      </vt:variant>
      <vt:variant>
        <vt:i4>0</vt:i4>
      </vt:variant>
      <vt:variant>
        <vt:i4>5</vt:i4>
      </vt:variant>
      <vt:variant>
        <vt:lpwstr/>
      </vt:variant>
      <vt:variant>
        <vt:lpwstr>_Toc133832777</vt:lpwstr>
      </vt:variant>
      <vt:variant>
        <vt:i4>1638454</vt:i4>
      </vt:variant>
      <vt:variant>
        <vt:i4>50</vt:i4>
      </vt:variant>
      <vt:variant>
        <vt:i4>0</vt:i4>
      </vt:variant>
      <vt:variant>
        <vt:i4>5</vt:i4>
      </vt:variant>
      <vt:variant>
        <vt:lpwstr/>
      </vt:variant>
      <vt:variant>
        <vt:lpwstr>_Toc133832776</vt:lpwstr>
      </vt:variant>
      <vt:variant>
        <vt:i4>1638454</vt:i4>
      </vt:variant>
      <vt:variant>
        <vt:i4>44</vt:i4>
      </vt:variant>
      <vt:variant>
        <vt:i4>0</vt:i4>
      </vt:variant>
      <vt:variant>
        <vt:i4>5</vt:i4>
      </vt:variant>
      <vt:variant>
        <vt:lpwstr/>
      </vt:variant>
      <vt:variant>
        <vt:lpwstr>_Toc133832775</vt:lpwstr>
      </vt:variant>
      <vt:variant>
        <vt:i4>1638454</vt:i4>
      </vt:variant>
      <vt:variant>
        <vt:i4>38</vt:i4>
      </vt:variant>
      <vt:variant>
        <vt:i4>0</vt:i4>
      </vt:variant>
      <vt:variant>
        <vt:i4>5</vt:i4>
      </vt:variant>
      <vt:variant>
        <vt:lpwstr/>
      </vt:variant>
      <vt:variant>
        <vt:lpwstr>_Toc133832774</vt:lpwstr>
      </vt:variant>
      <vt:variant>
        <vt:i4>1638454</vt:i4>
      </vt:variant>
      <vt:variant>
        <vt:i4>32</vt:i4>
      </vt:variant>
      <vt:variant>
        <vt:i4>0</vt:i4>
      </vt:variant>
      <vt:variant>
        <vt:i4>5</vt:i4>
      </vt:variant>
      <vt:variant>
        <vt:lpwstr/>
      </vt:variant>
      <vt:variant>
        <vt:lpwstr>_Toc133832773</vt:lpwstr>
      </vt:variant>
      <vt:variant>
        <vt:i4>1638454</vt:i4>
      </vt:variant>
      <vt:variant>
        <vt:i4>26</vt:i4>
      </vt:variant>
      <vt:variant>
        <vt:i4>0</vt:i4>
      </vt:variant>
      <vt:variant>
        <vt:i4>5</vt:i4>
      </vt:variant>
      <vt:variant>
        <vt:lpwstr/>
      </vt:variant>
      <vt:variant>
        <vt:lpwstr>_Toc133832772</vt:lpwstr>
      </vt:variant>
      <vt:variant>
        <vt:i4>1638454</vt:i4>
      </vt:variant>
      <vt:variant>
        <vt:i4>20</vt:i4>
      </vt:variant>
      <vt:variant>
        <vt:i4>0</vt:i4>
      </vt:variant>
      <vt:variant>
        <vt:i4>5</vt:i4>
      </vt:variant>
      <vt:variant>
        <vt:lpwstr/>
      </vt:variant>
      <vt:variant>
        <vt:lpwstr>_Toc133832771</vt:lpwstr>
      </vt:variant>
      <vt:variant>
        <vt:i4>1638454</vt:i4>
      </vt:variant>
      <vt:variant>
        <vt:i4>14</vt:i4>
      </vt:variant>
      <vt:variant>
        <vt:i4>0</vt:i4>
      </vt:variant>
      <vt:variant>
        <vt:i4>5</vt:i4>
      </vt:variant>
      <vt:variant>
        <vt:lpwstr/>
      </vt:variant>
      <vt:variant>
        <vt:lpwstr>_Toc133832770</vt:lpwstr>
      </vt:variant>
      <vt:variant>
        <vt:i4>1572918</vt:i4>
      </vt:variant>
      <vt:variant>
        <vt:i4>8</vt:i4>
      </vt:variant>
      <vt:variant>
        <vt:i4>0</vt:i4>
      </vt:variant>
      <vt:variant>
        <vt:i4>5</vt:i4>
      </vt:variant>
      <vt:variant>
        <vt:lpwstr/>
      </vt:variant>
      <vt:variant>
        <vt:lpwstr>_Toc133832769</vt:lpwstr>
      </vt:variant>
      <vt:variant>
        <vt:i4>1572918</vt:i4>
      </vt:variant>
      <vt:variant>
        <vt:i4>2</vt:i4>
      </vt:variant>
      <vt:variant>
        <vt:i4>0</vt:i4>
      </vt:variant>
      <vt:variant>
        <vt:i4>5</vt:i4>
      </vt:variant>
      <vt:variant>
        <vt:lpwstr/>
      </vt:variant>
      <vt:variant>
        <vt:lpwstr>_Toc133832768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2023-10-24T02:36:00Z</dcterms:created>
  <dcterms:modified xsi:type="dcterms:W3CDTF">2023-10-24T02:36:00Z</dcterms:modified>
</cp:coreProperties>
</file>