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5C6EC30A" w:rsidR="00B60939" w:rsidRPr="001677F9" w:rsidRDefault="0062257C" w:rsidP="008A2105">
      <w:pPr>
        <w:pStyle w:val="1-MainHeading"/>
      </w:pPr>
      <w:bookmarkStart w:id="0" w:name="_Toc135217162"/>
      <w:r w:rsidRPr="001677F9">
        <w:t>6.02</w:t>
      </w:r>
      <w:r w:rsidR="00163F66" w:rsidRPr="001677F9">
        <w:tab/>
        <w:t>D</w:t>
      </w:r>
      <w:r w:rsidR="0063144A" w:rsidRPr="001677F9">
        <w:t>APAGLIFLOZIN</w:t>
      </w:r>
      <w:r w:rsidR="00163F66" w:rsidRPr="001677F9">
        <w:t>,</w:t>
      </w:r>
      <w:r w:rsidR="00163F66" w:rsidRPr="001677F9">
        <w:br/>
      </w:r>
      <w:r w:rsidR="00042D78" w:rsidRPr="001677F9">
        <w:t>Tablet</w:t>
      </w:r>
      <w:r w:rsidR="003B1B89" w:rsidRPr="001677F9">
        <w:t xml:space="preserve"> 10 mg</w:t>
      </w:r>
      <w:r w:rsidR="00163F66" w:rsidRPr="001677F9">
        <w:t>,</w:t>
      </w:r>
      <w:r w:rsidR="00163F66" w:rsidRPr="001677F9">
        <w:br/>
      </w:r>
      <w:r w:rsidR="004F1381" w:rsidRPr="001677F9">
        <w:t>F</w:t>
      </w:r>
      <w:r w:rsidR="009402F2" w:rsidRPr="001677F9">
        <w:t>orxiga</w:t>
      </w:r>
      <w:r w:rsidR="00B60939" w:rsidRPr="001677F9">
        <w:rPr>
          <w:vertAlign w:val="superscript"/>
        </w:rPr>
        <w:t>®</w:t>
      </w:r>
      <w:r w:rsidR="004A6040" w:rsidRPr="001677F9">
        <w:t>,</w:t>
      </w:r>
      <w:r w:rsidR="004A6040" w:rsidRPr="001677F9">
        <w:br/>
      </w:r>
      <w:r w:rsidR="00042D78" w:rsidRPr="001677F9">
        <w:t>AstraZeneca Pty Ltd.</w:t>
      </w:r>
      <w:bookmarkEnd w:id="0"/>
      <w:r w:rsidR="00F73E08" w:rsidRPr="001677F9">
        <w:t xml:space="preserve"> </w:t>
      </w:r>
    </w:p>
    <w:p w14:paraId="11C00795" w14:textId="3DFB6D23" w:rsidR="00B50DB8" w:rsidRPr="001677F9" w:rsidRDefault="00B50DB8" w:rsidP="008A2105">
      <w:pPr>
        <w:pStyle w:val="2-SectionHeading"/>
      </w:pPr>
      <w:bookmarkStart w:id="1" w:name="_Toc135217164"/>
      <w:r w:rsidRPr="001677F9">
        <w:t xml:space="preserve">Purpose of </w:t>
      </w:r>
      <w:r w:rsidR="00CD7193" w:rsidRPr="001677F9">
        <w:t>s</w:t>
      </w:r>
      <w:r w:rsidR="00BB3A45" w:rsidRPr="001677F9">
        <w:t>ubmission</w:t>
      </w:r>
      <w:bookmarkEnd w:id="1"/>
    </w:p>
    <w:p w14:paraId="19414AA1" w14:textId="6E407A34" w:rsidR="002C2775" w:rsidRPr="001677F9" w:rsidRDefault="007170DA" w:rsidP="008A2105">
      <w:pPr>
        <w:pStyle w:val="3-BodyText"/>
      </w:pPr>
      <w:r w:rsidRPr="001677F9">
        <w:t xml:space="preserve">The </w:t>
      </w:r>
      <w:r w:rsidR="00F73E08" w:rsidRPr="001677F9">
        <w:t xml:space="preserve">Category </w:t>
      </w:r>
      <w:r w:rsidR="009B59FA" w:rsidRPr="001677F9">
        <w:t xml:space="preserve">2 </w:t>
      </w:r>
      <w:r w:rsidRPr="001677F9">
        <w:t xml:space="preserve">submission requested </w:t>
      </w:r>
      <w:r w:rsidR="009B59FA" w:rsidRPr="001677F9">
        <w:t>a</w:t>
      </w:r>
      <w:r w:rsidR="00963B93" w:rsidRPr="001677F9">
        <w:t>n Authority Required (Streamlined)</w:t>
      </w:r>
      <w:r w:rsidR="009B59FA" w:rsidRPr="001677F9">
        <w:t xml:space="preserve"> </w:t>
      </w:r>
      <w:r w:rsidR="008B1757" w:rsidRPr="001677F9">
        <w:t xml:space="preserve">Section </w:t>
      </w:r>
      <w:r w:rsidR="00CC68A6" w:rsidRPr="001677F9">
        <w:t xml:space="preserve">85 </w:t>
      </w:r>
      <w:r w:rsidR="008B1757" w:rsidRPr="001677F9">
        <w:t xml:space="preserve">listing for </w:t>
      </w:r>
      <w:r w:rsidR="009B59FA" w:rsidRPr="001677F9">
        <w:t>dapagliflozin</w:t>
      </w:r>
      <w:r w:rsidR="008B1757" w:rsidRPr="001677F9">
        <w:t xml:space="preserve"> for </w:t>
      </w:r>
      <w:r w:rsidR="0050174E" w:rsidRPr="001677F9">
        <w:t xml:space="preserve">the </w:t>
      </w:r>
      <w:r w:rsidR="008B1757" w:rsidRPr="001677F9">
        <w:t xml:space="preserve">treatment of </w:t>
      </w:r>
      <w:r w:rsidR="009B59FA" w:rsidRPr="001677F9">
        <w:rPr>
          <w:rFonts w:cstheme="minorHAnsi"/>
        </w:rPr>
        <w:t xml:space="preserve">chronic </w:t>
      </w:r>
      <w:r w:rsidR="009B59FA" w:rsidRPr="001677F9">
        <w:rPr>
          <w:rFonts w:cstheme="minorHAnsi"/>
          <w:iCs/>
        </w:rPr>
        <w:t xml:space="preserve">heart failure </w:t>
      </w:r>
      <w:r w:rsidR="00DD45A0" w:rsidRPr="001677F9">
        <w:rPr>
          <w:rFonts w:cstheme="minorHAnsi"/>
          <w:iCs/>
        </w:rPr>
        <w:t xml:space="preserve">(HF) </w:t>
      </w:r>
      <w:r w:rsidR="007500C1" w:rsidRPr="001677F9">
        <w:rPr>
          <w:rFonts w:cstheme="minorHAnsi"/>
          <w:iCs/>
        </w:rPr>
        <w:t xml:space="preserve">patients </w:t>
      </w:r>
      <w:r w:rsidR="00BC3AE6" w:rsidRPr="001677F9">
        <w:rPr>
          <w:rFonts w:cstheme="minorHAnsi"/>
          <w:iCs/>
        </w:rPr>
        <w:t>with a</w:t>
      </w:r>
      <w:r w:rsidR="007500C1" w:rsidRPr="001677F9">
        <w:t xml:space="preserve"> left ventricular ejection fraction (LVEF) greater than 40% </w:t>
      </w:r>
      <w:r w:rsidR="00CC68A6" w:rsidRPr="001677F9">
        <w:rPr>
          <w:rFonts w:cstheme="minorHAnsi"/>
        </w:rPr>
        <w:t>who are receiving standard of care (SOC) therapy</w:t>
      </w:r>
      <w:r w:rsidR="00CC68A6" w:rsidRPr="001677F9">
        <w:t>.</w:t>
      </w:r>
      <w:r w:rsidR="008B1757" w:rsidRPr="004233D5">
        <w:t xml:space="preserve"> </w:t>
      </w:r>
      <w:r w:rsidR="00F863F5" w:rsidRPr="004233D5">
        <w:t xml:space="preserve"> </w:t>
      </w:r>
    </w:p>
    <w:p w14:paraId="4E9FBCB5" w14:textId="17925697" w:rsidR="00C2778B" w:rsidRPr="001677F9" w:rsidRDefault="005750C5" w:rsidP="008A2105">
      <w:pPr>
        <w:pStyle w:val="3-BodyText"/>
      </w:pPr>
      <w:r w:rsidRPr="001677F9">
        <w:t xml:space="preserve">Listing was requested </w:t>
      </w:r>
      <w:proofErr w:type="gramStart"/>
      <w:r w:rsidRPr="001677F9">
        <w:t>on the basis of</w:t>
      </w:r>
      <w:proofErr w:type="gramEnd"/>
      <w:r w:rsidRPr="001677F9">
        <w:t xml:space="preserve"> a cost-minimisation</w:t>
      </w:r>
      <w:r w:rsidR="001D71F4" w:rsidRPr="001677F9">
        <w:t xml:space="preserve"> approach</w:t>
      </w:r>
      <w:r w:rsidR="009B59FA" w:rsidRPr="001677F9">
        <w:t xml:space="preserve"> </w:t>
      </w:r>
      <w:r w:rsidRPr="001677F9">
        <w:t xml:space="preserve">versus </w:t>
      </w:r>
      <w:r w:rsidR="00CC68A6" w:rsidRPr="001677F9">
        <w:t>empagliflozin</w:t>
      </w:r>
      <w:r w:rsidR="00963B93" w:rsidRPr="001677F9">
        <w:t xml:space="preserve"> added to SOC therapy</w:t>
      </w:r>
      <w:r w:rsidRPr="001677F9">
        <w:t xml:space="preserve">. </w:t>
      </w:r>
    </w:p>
    <w:p w14:paraId="3718DE61" w14:textId="4F1F23E2" w:rsidR="008B1757" w:rsidRPr="001677F9" w:rsidRDefault="00696EF9" w:rsidP="008A2105">
      <w:pPr>
        <w:pStyle w:val="TableFigureHeading"/>
        <w:rPr>
          <w:rStyle w:val="CommentReference"/>
          <w:b/>
          <w:szCs w:val="24"/>
        </w:rPr>
      </w:pPr>
      <w:bookmarkStart w:id="2" w:name="_Ref132377516"/>
      <w:r w:rsidRPr="001677F9">
        <w:t xml:space="preserve">Table </w:t>
      </w:r>
      <w:fldSimple w:instr=" SEQ Table \* ARABIC " w:fldLock="1">
        <w:r w:rsidR="002C43D4" w:rsidRPr="001677F9">
          <w:t>1</w:t>
        </w:r>
      </w:fldSimple>
      <w:bookmarkEnd w:id="2"/>
      <w:r w:rsidRPr="001677F9">
        <w:t>:</w:t>
      </w:r>
      <w:r w:rsidR="00BC591F" w:rsidRPr="001677F9">
        <w:rPr>
          <w:rStyle w:val="CommentReference"/>
          <w:b/>
          <w:szCs w:val="24"/>
        </w:rPr>
        <w:t xml:space="preserve"> </w:t>
      </w:r>
      <w:r w:rsidR="008B1757" w:rsidRPr="001677F9">
        <w:rPr>
          <w:rStyle w:val="CommentReference"/>
          <w:b/>
          <w:szCs w:val="24"/>
        </w:rPr>
        <w:t>Key components of the clinical issue addressed by the submission</w:t>
      </w:r>
      <w:r w:rsidR="007170DA" w:rsidRPr="001677F9">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436"/>
        <w:gridCol w:w="7581"/>
      </w:tblGrid>
      <w:tr w:rsidR="008B1757" w:rsidRPr="001677F9" w14:paraId="569F5103" w14:textId="77777777" w:rsidTr="009402F2">
        <w:trPr>
          <w:cantSplit/>
          <w:tblHeader/>
        </w:trPr>
        <w:tc>
          <w:tcPr>
            <w:tcW w:w="796" w:type="pct"/>
            <w:shd w:val="clear" w:color="auto" w:fill="auto"/>
          </w:tcPr>
          <w:p w14:paraId="501803FB" w14:textId="77777777" w:rsidR="008B1757" w:rsidRPr="001677F9" w:rsidRDefault="008B1757" w:rsidP="008A2105">
            <w:pPr>
              <w:pStyle w:val="In-tableHeading"/>
              <w:rPr>
                <w:szCs w:val="20"/>
                <w:lang w:val="en-AU"/>
              </w:rPr>
            </w:pPr>
            <w:r w:rsidRPr="001677F9">
              <w:rPr>
                <w:lang w:val="en-AU"/>
              </w:rPr>
              <w:t>Component</w:t>
            </w:r>
          </w:p>
        </w:tc>
        <w:tc>
          <w:tcPr>
            <w:tcW w:w="4204" w:type="pct"/>
            <w:shd w:val="clear" w:color="auto" w:fill="auto"/>
          </w:tcPr>
          <w:p w14:paraId="445D9EBB" w14:textId="77777777" w:rsidR="008B1757" w:rsidRPr="001677F9" w:rsidRDefault="008B1757" w:rsidP="008A2105">
            <w:pPr>
              <w:pStyle w:val="In-tableHeading"/>
              <w:rPr>
                <w:lang w:val="en-AU"/>
              </w:rPr>
            </w:pPr>
            <w:r w:rsidRPr="001677F9">
              <w:rPr>
                <w:lang w:val="en-AU"/>
              </w:rPr>
              <w:t>Description</w:t>
            </w:r>
          </w:p>
        </w:tc>
      </w:tr>
      <w:tr w:rsidR="008B1757" w:rsidRPr="001677F9" w14:paraId="2EB546E2" w14:textId="77777777" w:rsidTr="009402F2">
        <w:trPr>
          <w:cantSplit/>
        </w:trPr>
        <w:tc>
          <w:tcPr>
            <w:tcW w:w="796" w:type="pct"/>
            <w:shd w:val="clear" w:color="auto" w:fill="auto"/>
          </w:tcPr>
          <w:p w14:paraId="38F3BB34" w14:textId="77777777" w:rsidR="008B1757" w:rsidRPr="001677F9" w:rsidRDefault="008B1757" w:rsidP="008A2105">
            <w:pPr>
              <w:pStyle w:val="TableText0"/>
            </w:pPr>
            <w:r w:rsidRPr="001677F9">
              <w:t>Population</w:t>
            </w:r>
          </w:p>
        </w:tc>
        <w:tc>
          <w:tcPr>
            <w:tcW w:w="4204" w:type="pct"/>
            <w:shd w:val="clear" w:color="auto" w:fill="auto"/>
          </w:tcPr>
          <w:p w14:paraId="79618EEE" w14:textId="79F03FA8" w:rsidR="00233C01" w:rsidRPr="001677F9" w:rsidRDefault="00CC68A6" w:rsidP="008A2105">
            <w:pPr>
              <w:pStyle w:val="TableText0"/>
              <w:rPr>
                <w:szCs w:val="20"/>
              </w:rPr>
            </w:pPr>
            <w:r w:rsidRPr="001677F9">
              <w:rPr>
                <w:rFonts w:cs="Arial"/>
              </w:rPr>
              <w:t xml:space="preserve">Patients with symptomatic NYHA class II-IV </w:t>
            </w:r>
            <w:r w:rsidR="007500C1" w:rsidRPr="001677F9">
              <w:rPr>
                <w:rFonts w:cs="Arial"/>
              </w:rPr>
              <w:t xml:space="preserve">HF with </w:t>
            </w:r>
            <w:r w:rsidRPr="001677F9">
              <w:rPr>
                <w:rFonts w:cs="Arial"/>
              </w:rPr>
              <w:t>LVEF &gt;40%, with evidence of structural heart disease, who are receiving SOC therapy which includes at least intermittent use of a diuretic and may include other medicines used to manage HF or comorbidities in accordance with clinical guidelines, unless contraindicated according to the TGA-approved Product Information or cannot be tolerated.</w:t>
            </w:r>
          </w:p>
        </w:tc>
      </w:tr>
      <w:tr w:rsidR="008B1757" w:rsidRPr="001677F9" w14:paraId="0CA523AF" w14:textId="77777777" w:rsidTr="009402F2">
        <w:trPr>
          <w:cantSplit/>
        </w:trPr>
        <w:tc>
          <w:tcPr>
            <w:tcW w:w="796" w:type="pct"/>
            <w:shd w:val="clear" w:color="auto" w:fill="auto"/>
          </w:tcPr>
          <w:p w14:paraId="7B6D20D8" w14:textId="77777777" w:rsidR="008B1757" w:rsidRPr="001677F9" w:rsidRDefault="008B1757" w:rsidP="008A2105">
            <w:pPr>
              <w:pStyle w:val="TableText0"/>
            </w:pPr>
            <w:r w:rsidRPr="001677F9">
              <w:t>Intervention</w:t>
            </w:r>
          </w:p>
        </w:tc>
        <w:tc>
          <w:tcPr>
            <w:tcW w:w="4204" w:type="pct"/>
            <w:shd w:val="clear" w:color="auto" w:fill="auto"/>
          </w:tcPr>
          <w:p w14:paraId="2491E905" w14:textId="61D7FB2D" w:rsidR="00233C01" w:rsidRPr="001677F9" w:rsidRDefault="00CC68A6" w:rsidP="008A2105">
            <w:pPr>
              <w:pStyle w:val="TableText0"/>
            </w:pPr>
            <w:r w:rsidRPr="001677F9">
              <w:rPr>
                <w:rFonts w:cs="Arial"/>
              </w:rPr>
              <w:t>Dapagliflozin 10 mg once daily added to SOC.</w:t>
            </w:r>
          </w:p>
        </w:tc>
      </w:tr>
      <w:tr w:rsidR="00CC68A6" w:rsidRPr="001677F9" w14:paraId="0F81EBE4" w14:textId="77777777" w:rsidTr="009402F2">
        <w:trPr>
          <w:cantSplit/>
        </w:trPr>
        <w:tc>
          <w:tcPr>
            <w:tcW w:w="796" w:type="pct"/>
            <w:shd w:val="clear" w:color="auto" w:fill="auto"/>
          </w:tcPr>
          <w:p w14:paraId="3656B343" w14:textId="77777777" w:rsidR="00CC68A6" w:rsidRPr="001677F9" w:rsidRDefault="00CC68A6" w:rsidP="008A2105">
            <w:pPr>
              <w:pStyle w:val="TableText0"/>
            </w:pPr>
            <w:r w:rsidRPr="001677F9">
              <w:t>Comparator</w:t>
            </w:r>
          </w:p>
        </w:tc>
        <w:tc>
          <w:tcPr>
            <w:tcW w:w="4204" w:type="pct"/>
            <w:shd w:val="clear" w:color="auto" w:fill="auto"/>
          </w:tcPr>
          <w:p w14:paraId="3727DE24" w14:textId="380EF7FF" w:rsidR="00CC68A6" w:rsidRPr="001677F9" w:rsidRDefault="00CC68A6" w:rsidP="008A2105">
            <w:pPr>
              <w:pStyle w:val="TableText0"/>
            </w:pPr>
            <w:r w:rsidRPr="001677F9">
              <w:rPr>
                <w:rFonts w:cs="Arial"/>
              </w:rPr>
              <w:t>E</w:t>
            </w:r>
            <w:r w:rsidR="00D64D73" w:rsidRPr="001677F9">
              <w:rPr>
                <w:rFonts w:cs="Arial"/>
              </w:rPr>
              <w:t>mpagliflozin</w:t>
            </w:r>
            <w:r w:rsidRPr="001677F9">
              <w:rPr>
                <w:rFonts w:cs="Arial"/>
              </w:rPr>
              <w:t xml:space="preserve"> 10 mg once daily added to SOC. </w:t>
            </w:r>
          </w:p>
        </w:tc>
      </w:tr>
      <w:tr w:rsidR="00CC68A6" w:rsidRPr="001677F9" w14:paraId="02F86F0D" w14:textId="77777777" w:rsidTr="009402F2">
        <w:trPr>
          <w:cantSplit/>
        </w:trPr>
        <w:tc>
          <w:tcPr>
            <w:tcW w:w="796" w:type="pct"/>
            <w:shd w:val="clear" w:color="auto" w:fill="auto"/>
          </w:tcPr>
          <w:p w14:paraId="06433105" w14:textId="77777777" w:rsidR="00CC68A6" w:rsidRPr="001677F9" w:rsidRDefault="00CC68A6" w:rsidP="008A2105">
            <w:pPr>
              <w:pStyle w:val="TableText0"/>
            </w:pPr>
            <w:r w:rsidRPr="001677F9">
              <w:t>Outcomes</w:t>
            </w:r>
          </w:p>
        </w:tc>
        <w:tc>
          <w:tcPr>
            <w:tcW w:w="4204" w:type="pct"/>
            <w:shd w:val="clear" w:color="auto" w:fill="auto"/>
          </w:tcPr>
          <w:p w14:paraId="5ABC4037" w14:textId="18AFE0FB" w:rsidR="00CC68A6" w:rsidRPr="001677F9" w:rsidRDefault="00CC68A6" w:rsidP="008A2105">
            <w:pPr>
              <w:pStyle w:val="TableText0"/>
              <w:rPr>
                <w:rFonts w:eastAsia="Times New Roman" w:cs="Arial"/>
                <w:bCs w:val="0"/>
                <w:snapToGrid w:val="0"/>
                <w:color w:val="0066FF"/>
                <w:szCs w:val="20"/>
              </w:rPr>
            </w:pPr>
            <w:r w:rsidRPr="001677F9">
              <w:rPr>
                <w:rFonts w:cs="Arial"/>
              </w:rPr>
              <w:t>Composite and components of worsening HF (hospitalisation for HF and urgent HF visit) and CV death; all-cause death; HF-related quality of life; safety.</w:t>
            </w:r>
          </w:p>
        </w:tc>
      </w:tr>
      <w:tr w:rsidR="00CC68A6" w:rsidRPr="001677F9" w14:paraId="22223890" w14:textId="77777777" w:rsidTr="009402F2">
        <w:trPr>
          <w:cantSplit/>
        </w:trPr>
        <w:tc>
          <w:tcPr>
            <w:tcW w:w="796" w:type="pct"/>
            <w:shd w:val="clear" w:color="auto" w:fill="auto"/>
          </w:tcPr>
          <w:p w14:paraId="0FC8FCE0" w14:textId="77777777" w:rsidR="00CC68A6" w:rsidRPr="001677F9" w:rsidRDefault="00CC68A6" w:rsidP="008A2105">
            <w:pPr>
              <w:pStyle w:val="TableText0"/>
            </w:pPr>
            <w:r w:rsidRPr="001677F9">
              <w:t>Clinical claim</w:t>
            </w:r>
          </w:p>
        </w:tc>
        <w:tc>
          <w:tcPr>
            <w:tcW w:w="4204" w:type="pct"/>
            <w:shd w:val="clear" w:color="auto" w:fill="auto"/>
          </w:tcPr>
          <w:p w14:paraId="2C99C4DE" w14:textId="388C71C6" w:rsidR="00CC68A6" w:rsidRPr="001677F9" w:rsidRDefault="00CC68A6" w:rsidP="008A2105">
            <w:pPr>
              <w:pStyle w:val="TableText0"/>
              <w:rPr>
                <w:rFonts w:eastAsia="Times New Roman" w:cs="Arial"/>
                <w:bCs w:val="0"/>
                <w:snapToGrid w:val="0"/>
                <w:color w:val="0066FF"/>
                <w:szCs w:val="20"/>
              </w:rPr>
            </w:pPr>
            <w:r w:rsidRPr="001677F9">
              <w:rPr>
                <w:rFonts w:cs="Arial"/>
              </w:rPr>
              <w:t>When used in the management of patients with HF</w:t>
            </w:r>
            <w:r w:rsidR="007500C1" w:rsidRPr="001677F9">
              <w:rPr>
                <w:rFonts w:cs="Arial"/>
              </w:rPr>
              <w:t xml:space="preserve"> with LVEF &gt;40%</w:t>
            </w:r>
            <w:r w:rsidRPr="001677F9">
              <w:rPr>
                <w:rFonts w:cs="Arial"/>
              </w:rPr>
              <w:t>,</w:t>
            </w:r>
            <w:r w:rsidRPr="001677F9" w:rsidDel="00297EB0">
              <w:rPr>
                <w:rFonts w:cs="Arial"/>
              </w:rPr>
              <w:t xml:space="preserve"> </w:t>
            </w:r>
            <w:r w:rsidR="00F653F0" w:rsidRPr="001677F9">
              <w:rPr>
                <w:rFonts w:cs="Arial"/>
              </w:rPr>
              <w:t>dapagliflozin</w:t>
            </w:r>
            <w:r w:rsidRPr="001677F9">
              <w:rPr>
                <w:rFonts w:cs="Arial"/>
              </w:rPr>
              <w:t xml:space="preserve"> added to SOC has non-inferior effectiveness and safety compared with </w:t>
            </w:r>
            <w:r w:rsidR="002A7165" w:rsidRPr="001677F9">
              <w:rPr>
                <w:rFonts w:cs="Arial"/>
              </w:rPr>
              <w:t xml:space="preserve">empagliflozin </w:t>
            </w:r>
            <w:r w:rsidRPr="001677F9">
              <w:rPr>
                <w:rFonts w:cs="Arial"/>
              </w:rPr>
              <w:t>added to SOC.</w:t>
            </w:r>
          </w:p>
        </w:tc>
      </w:tr>
    </w:tbl>
    <w:p w14:paraId="016DAB00" w14:textId="6745E069" w:rsidR="00497087" w:rsidRPr="001677F9" w:rsidRDefault="008B1757" w:rsidP="008A2105">
      <w:pPr>
        <w:pStyle w:val="FooterTableFigure"/>
        <w:spacing w:after="0"/>
        <w:contextualSpacing w:val="0"/>
      </w:pPr>
      <w:bookmarkStart w:id="3" w:name="_Hlk132629514"/>
      <w:r w:rsidRPr="001677F9">
        <w:t>Source: Table</w:t>
      </w:r>
      <w:r w:rsidR="00CC68A6" w:rsidRPr="001677F9">
        <w:t xml:space="preserve"> 1.1-1</w:t>
      </w:r>
      <w:r w:rsidRPr="001677F9">
        <w:t>, p</w:t>
      </w:r>
      <w:r w:rsidR="00CC68A6" w:rsidRPr="001677F9">
        <w:t xml:space="preserve">4 </w:t>
      </w:r>
      <w:r w:rsidRPr="001677F9">
        <w:t>of the submission</w:t>
      </w:r>
    </w:p>
    <w:p w14:paraId="2FBBE3A1" w14:textId="5B64671E" w:rsidR="00497087" w:rsidRPr="001677F9" w:rsidRDefault="00497087" w:rsidP="008A2105">
      <w:pPr>
        <w:pStyle w:val="FooterTableFigure"/>
        <w:spacing w:after="0"/>
        <w:contextualSpacing w:val="0"/>
      </w:pPr>
      <w:r w:rsidRPr="001677F9">
        <w:t>CV = cardiovascular</w:t>
      </w:r>
      <w:r w:rsidR="00CB63E1" w:rsidRPr="001677F9">
        <w:t>;</w:t>
      </w:r>
      <w:r w:rsidRPr="001677F9">
        <w:t xml:space="preserve"> HF = heart failure</w:t>
      </w:r>
      <w:r w:rsidR="00AD1DC3" w:rsidRPr="001677F9">
        <w:t>; LVEF = left ventricular ejection fraction;</w:t>
      </w:r>
      <w:r w:rsidRPr="001677F9">
        <w:t xml:space="preserve"> </w:t>
      </w:r>
      <w:r w:rsidR="002A7165" w:rsidRPr="001677F9">
        <w:t>NYHA = New York Heart Association</w:t>
      </w:r>
      <w:r w:rsidR="00AD1DC3" w:rsidRPr="001677F9">
        <w:t>;</w:t>
      </w:r>
      <w:r w:rsidR="002A7165" w:rsidRPr="001677F9">
        <w:t xml:space="preserve"> </w:t>
      </w:r>
      <w:r w:rsidRPr="001677F9">
        <w:t>SOC = standard of care</w:t>
      </w:r>
      <w:r w:rsidR="00AD1DC3" w:rsidRPr="001677F9">
        <w:t xml:space="preserve">; TGA = Therapeutic Goods </w:t>
      </w:r>
      <w:r w:rsidR="00CB63E1" w:rsidRPr="001677F9">
        <w:t>Administration.</w:t>
      </w:r>
    </w:p>
    <w:p w14:paraId="6B4AB6C2" w14:textId="7F01D731" w:rsidR="005C25FF" w:rsidRPr="001677F9" w:rsidRDefault="005C25FF" w:rsidP="008A2105">
      <w:pPr>
        <w:pStyle w:val="2-SectionHeading"/>
      </w:pPr>
      <w:bookmarkStart w:id="4" w:name="_Toc135217165"/>
      <w:bookmarkEnd w:id="3"/>
      <w:r w:rsidRPr="001677F9">
        <w:t>Background</w:t>
      </w:r>
      <w:bookmarkEnd w:id="4"/>
    </w:p>
    <w:p w14:paraId="2C521D6D" w14:textId="78CF03EE" w:rsidR="005C25FF" w:rsidRPr="001677F9" w:rsidRDefault="005C25FF" w:rsidP="008A2105">
      <w:pPr>
        <w:pStyle w:val="4-SubsectionHeading"/>
      </w:pPr>
      <w:bookmarkStart w:id="5" w:name="_Toc22897638"/>
      <w:bookmarkStart w:id="6" w:name="_Toc135217166"/>
      <w:r w:rsidRPr="001677F9">
        <w:t>Registration status</w:t>
      </w:r>
      <w:bookmarkEnd w:id="5"/>
      <w:bookmarkEnd w:id="6"/>
    </w:p>
    <w:p w14:paraId="0FC72785" w14:textId="797EADA3" w:rsidR="00F034E8" w:rsidRPr="001677F9" w:rsidRDefault="00F034E8" w:rsidP="00F034E8">
      <w:pPr>
        <w:pStyle w:val="3-BodyText"/>
        <w:rPr>
          <w:rFonts w:ascii="Calibri" w:eastAsia="Calibri" w:hAnsi="Calibri"/>
          <w:b/>
          <w:iCs/>
          <w:szCs w:val="22"/>
        </w:rPr>
      </w:pPr>
      <w:r w:rsidRPr="001677F9">
        <w:rPr>
          <w:rFonts w:ascii="Calibri" w:eastAsia="Calibri" w:hAnsi="Calibri"/>
          <w:b/>
          <w:iCs/>
          <w:szCs w:val="22"/>
        </w:rPr>
        <w:t xml:space="preserve">TGA status at time of </w:t>
      </w:r>
      <w:r w:rsidR="00211526" w:rsidRPr="001677F9">
        <w:rPr>
          <w:rFonts w:ascii="Calibri" w:eastAsia="Calibri" w:hAnsi="Calibri"/>
          <w:b/>
          <w:iCs/>
          <w:szCs w:val="22"/>
        </w:rPr>
        <w:t>PBAC consideration</w:t>
      </w:r>
      <w:r w:rsidRPr="001677F9">
        <w:rPr>
          <w:rFonts w:ascii="Calibri" w:eastAsia="Calibri" w:hAnsi="Calibri"/>
          <w:b/>
          <w:iCs/>
          <w:szCs w:val="22"/>
        </w:rPr>
        <w:t xml:space="preserve">: not registered for this </w:t>
      </w:r>
      <w:proofErr w:type="gramStart"/>
      <w:r w:rsidRPr="001677F9">
        <w:rPr>
          <w:rFonts w:ascii="Calibri" w:eastAsia="Calibri" w:hAnsi="Calibri"/>
          <w:b/>
          <w:iCs/>
          <w:szCs w:val="22"/>
        </w:rPr>
        <w:t>indication</w:t>
      </w:r>
      <w:proofErr w:type="gramEnd"/>
    </w:p>
    <w:p w14:paraId="1F81B04F" w14:textId="7066442B" w:rsidR="00497087" w:rsidRPr="001677F9" w:rsidRDefault="007500C1" w:rsidP="00F034E8">
      <w:pPr>
        <w:pStyle w:val="3-BodyText"/>
        <w:rPr>
          <w:rFonts w:cstheme="minorHAnsi"/>
        </w:rPr>
      </w:pPr>
      <w:r w:rsidRPr="001677F9">
        <w:rPr>
          <w:rFonts w:cstheme="minorHAnsi"/>
        </w:rPr>
        <w:t>The submission was lodged under the</w:t>
      </w:r>
      <w:r w:rsidR="00933F06" w:rsidRPr="001677F9">
        <w:rPr>
          <w:rFonts w:cstheme="minorHAnsi"/>
        </w:rPr>
        <w:t xml:space="preserve"> Therapeutic Goods Association (</w:t>
      </w:r>
      <w:r w:rsidRPr="001677F9">
        <w:rPr>
          <w:rFonts w:cstheme="minorHAnsi"/>
        </w:rPr>
        <w:t>TGA</w:t>
      </w:r>
      <w:r w:rsidR="00933F06" w:rsidRPr="001677F9">
        <w:rPr>
          <w:rFonts w:cstheme="minorHAnsi"/>
        </w:rPr>
        <w:t>)</w:t>
      </w:r>
      <w:r w:rsidRPr="001677F9">
        <w:rPr>
          <w:rFonts w:cstheme="minorHAnsi"/>
        </w:rPr>
        <w:t>/</w:t>
      </w:r>
      <w:r w:rsidR="00933F06" w:rsidRPr="001677F9">
        <w:rPr>
          <w:rFonts w:cstheme="minorHAnsi"/>
        </w:rPr>
        <w:t>Pharmaceutical Benefits Advisory Committee (</w:t>
      </w:r>
      <w:r w:rsidRPr="001677F9">
        <w:rPr>
          <w:rFonts w:cstheme="minorHAnsi"/>
        </w:rPr>
        <w:t>PBAC</w:t>
      </w:r>
      <w:r w:rsidR="00933F06" w:rsidRPr="001677F9">
        <w:rPr>
          <w:rFonts w:cstheme="minorHAnsi"/>
        </w:rPr>
        <w:t>)</w:t>
      </w:r>
      <w:r w:rsidRPr="001677F9">
        <w:rPr>
          <w:rFonts w:cstheme="minorHAnsi"/>
        </w:rPr>
        <w:t xml:space="preserve"> parallel process. At the time of evaluation, the TGA Clinical Evaluator’s Round 1 Report (13 January 2023) was available. </w:t>
      </w:r>
      <w:r w:rsidR="00963B93" w:rsidRPr="001677F9">
        <w:rPr>
          <w:rFonts w:cstheme="minorHAnsi"/>
        </w:rPr>
        <w:t>T</w:t>
      </w:r>
      <w:r w:rsidR="00497087" w:rsidRPr="001677F9">
        <w:rPr>
          <w:rFonts w:cstheme="minorHAnsi"/>
        </w:rPr>
        <w:t xml:space="preserve">he Delegate’s Overview </w:t>
      </w:r>
      <w:r w:rsidR="00701E47" w:rsidRPr="001677F9">
        <w:rPr>
          <w:rFonts w:cstheme="minorHAnsi"/>
        </w:rPr>
        <w:t>was provided during the evaluation</w:t>
      </w:r>
      <w:r w:rsidR="00F034E8" w:rsidRPr="001677F9">
        <w:rPr>
          <w:rFonts w:cstheme="minorHAnsi"/>
        </w:rPr>
        <w:t xml:space="preserve">. The application for </w:t>
      </w:r>
      <w:r w:rsidR="00DD45A0" w:rsidRPr="001677F9">
        <w:t xml:space="preserve">dapagliflozin for HF with LVEF &gt;40% </w:t>
      </w:r>
      <w:r w:rsidR="00F034E8" w:rsidRPr="001677F9">
        <w:t xml:space="preserve">was </w:t>
      </w:r>
      <w:r w:rsidR="00DD45A0" w:rsidRPr="001677F9">
        <w:t>considered at the June 2023 Advisory Committee on Medicines meeting.</w:t>
      </w:r>
    </w:p>
    <w:p w14:paraId="499D998A" w14:textId="55EA74EB" w:rsidR="00DD45A0" w:rsidRPr="001677F9" w:rsidRDefault="00DD45A0" w:rsidP="008A2105">
      <w:pPr>
        <w:pStyle w:val="3-BodyText"/>
        <w:rPr>
          <w:rFonts w:cstheme="minorHAnsi"/>
        </w:rPr>
      </w:pPr>
      <w:r w:rsidRPr="001677F9">
        <w:t xml:space="preserve">The proposed TGA indication is for the treatment of symptomatic HF, extending the current approved indication for the treatment of symptomatic </w:t>
      </w:r>
      <w:r w:rsidR="00AD1DC3" w:rsidRPr="001677F9">
        <w:t>HF</w:t>
      </w:r>
      <w:r w:rsidRPr="001677F9">
        <w:t xml:space="preserve"> with reduced ejection fraction (HFrEF) to include the population with HF with LVEF &gt;40%.</w:t>
      </w:r>
      <w:r w:rsidR="00922F21" w:rsidRPr="001677F9">
        <w:t xml:space="preserve"> </w:t>
      </w:r>
    </w:p>
    <w:p w14:paraId="7FCF61BD" w14:textId="3FE8EB0C" w:rsidR="00701E47" w:rsidRPr="001677F9" w:rsidRDefault="00701E47" w:rsidP="00701E47">
      <w:pPr>
        <w:pStyle w:val="3-BodyText"/>
        <w:rPr>
          <w:rFonts w:cstheme="minorHAnsi"/>
        </w:rPr>
      </w:pPr>
      <w:r w:rsidRPr="001677F9">
        <w:rPr>
          <w:rFonts w:cstheme="minorHAnsi"/>
        </w:rPr>
        <w:lastRenderedPageBreak/>
        <w:t>The TGA Delegate’s Overview</w:t>
      </w:r>
      <w:r w:rsidR="00BC47FF" w:rsidRPr="001677F9">
        <w:rPr>
          <w:rFonts w:cstheme="minorHAnsi"/>
        </w:rPr>
        <w:t xml:space="preserve"> </w:t>
      </w:r>
      <w:r w:rsidRPr="001677F9">
        <w:rPr>
          <w:rFonts w:cstheme="minorHAnsi"/>
        </w:rPr>
        <w:t>conclude</w:t>
      </w:r>
      <w:r w:rsidR="00F034E8" w:rsidRPr="001677F9">
        <w:rPr>
          <w:rFonts w:cstheme="minorHAnsi"/>
        </w:rPr>
        <w:t>d</w:t>
      </w:r>
      <w:r w:rsidRPr="001677F9">
        <w:rPr>
          <w:rFonts w:cstheme="minorHAnsi"/>
        </w:rPr>
        <w:t xml:space="preserve"> that dapagliflozin has a positive benefit-risk balance as additional therapy in a broad population of patients with chronic heart failure and LVEF &gt; 40%. </w:t>
      </w:r>
    </w:p>
    <w:p w14:paraId="0844201A" w14:textId="2425C8BC" w:rsidR="00211526" w:rsidRPr="001677F9" w:rsidRDefault="00211526" w:rsidP="00211526">
      <w:pPr>
        <w:pStyle w:val="3-BodyText"/>
        <w:rPr>
          <w:rFonts w:cstheme="minorHAnsi"/>
        </w:rPr>
      </w:pPr>
      <w:r w:rsidRPr="001677F9">
        <w:rPr>
          <w:rFonts w:cstheme="minorHAnsi"/>
        </w:rPr>
        <w:t>The ACM considered that dapagliflozin has an overall positive benefit-risk profile for the treatment of symptomatic heart failure independent of left ventricular ejection fraction, as an adjunct to standard of care therapy.</w:t>
      </w:r>
    </w:p>
    <w:p w14:paraId="3E2A6EAB" w14:textId="06A2A82D" w:rsidR="005C25FF" w:rsidRPr="001677F9" w:rsidRDefault="005C25FF" w:rsidP="008A2105">
      <w:pPr>
        <w:pStyle w:val="4-SubsectionHeading"/>
      </w:pPr>
      <w:bookmarkStart w:id="7" w:name="_Toc22897639"/>
      <w:bookmarkStart w:id="8" w:name="_Toc135217167"/>
      <w:r w:rsidRPr="001677F9">
        <w:t>Previous PBAC consideration</w:t>
      </w:r>
      <w:bookmarkEnd w:id="7"/>
      <w:bookmarkEnd w:id="8"/>
    </w:p>
    <w:p w14:paraId="1DC3C3E8" w14:textId="7B684372" w:rsidR="00FC575B" w:rsidRPr="001677F9" w:rsidRDefault="00E61F83" w:rsidP="008A2105">
      <w:pPr>
        <w:pStyle w:val="3-BodyText"/>
      </w:pPr>
      <w:r w:rsidRPr="001677F9">
        <w:t xml:space="preserve">Dapagliflozin </w:t>
      </w:r>
      <w:r w:rsidR="009D140B" w:rsidRPr="001677F9">
        <w:t xml:space="preserve">has existing PBS listings for </w:t>
      </w:r>
      <w:r w:rsidR="00FC575B" w:rsidRPr="001677F9">
        <w:t xml:space="preserve">T2DM, CKD and chronic </w:t>
      </w:r>
      <w:r w:rsidR="00922F21" w:rsidRPr="001677F9">
        <w:t>HF</w:t>
      </w:r>
      <w:r w:rsidR="00FC575B" w:rsidRPr="001677F9">
        <w:t xml:space="preserve"> with LVEF </w:t>
      </w:r>
      <w:r w:rsidR="00FC575B" w:rsidRPr="001677F9">
        <w:rPr>
          <w:rFonts w:cstheme="minorHAnsi"/>
        </w:rPr>
        <w:t>≤</w:t>
      </w:r>
      <w:r w:rsidR="00FC575B" w:rsidRPr="001677F9">
        <w:t>40%</w:t>
      </w:r>
      <w:r w:rsidR="007500C1" w:rsidRPr="001677F9">
        <w:t>.</w:t>
      </w:r>
      <w:r w:rsidR="00FC575B" w:rsidRPr="001677F9">
        <w:t xml:space="preserve"> </w:t>
      </w:r>
    </w:p>
    <w:p w14:paraId="5A9539A7" w14:textId="10FF8BAC" w:rsidR="00FC575B" w:rsidRPr="001677F9" w:rsidRDefault="00FC575B" w:rsidP="008A2105">
      <w:pPr>
        <w:pStyle w:val="3-BodyText"/>
      </w:pPr>
      <w:r w:rsidRPr="001677F9">
        <w:t xml:space="preserve">A submission requesting a General Schedule Authority Required (Streamlined) listing for empagliflozin for the treatment of chronic </w:t>
      </w:r>
      <w:r w:rsidR="00DD45A0" w:rsidRPr="001677F9">
        <w:t xml:space="preserve">HF with LVEF &gt;40% </w:t>
      </w:r>
      <w:r w:rsidRPr="001677F9">
        <w:t xml:space="preserve">was initially rejected at the </w:t>
      </w:r>
      <w:r w:rsidRPr="001677F9">
        <w:rPr>
          <w:rFonts w:cstheme="minorHAnsi"/>
        </w:rPr>
        <w:t>Nov 22 PBAC meeting</w:t>
      </w:r>
      <w:r w:rsidR="00DD45A0" w:rsidRPr="001677F9">
        <w:rPr>
          <w:rFonts w:cstheme="minorHAnsi"/>
        </w:rPr>
        <w:t xml:space="preserve"> (empagliflozin</w:t>
      </w:r>
      <w:r w:rsidR="00187328" w:rsidRPr="001677F9">
        <w:rPr>
          <w:iCs/>
        </w:rPr>
        <w:t xml:space="preserve"> Public Summary Document</w:t>
      </w:r>
      <w:r w:rsidR="0091161B">
        <w:rPr>
          <w:iCs/>
        </w:rPr>
        <w:t xml:space="preserve"> (PSD)</w:t>
      </w:r>
      <w:r w:rsidR="00DD45A0" w:rsidRPr="001677F9">
        <w:rPr>
          <w:rFonts w:cstheme="minorHAnsi"/>
        </w:rPr>
        <w:t>, November 2022</w:t>
      </w:r>
      <w:r w:rsidR="00187328" w:rsidRPr="001677F9">
        <w:rPr>
          <w:rFonts w:cstheme="minorHAnsi"/>
        </w:rPr>
        <w:t xml:space="preserve"> meeting</w:t>
      </w:r>
      <w:r w:rsidR="00DD45A0" w:rsidRPr="001677F9">
        <w:rPr>
          <w:rFonts w:cstheme="minorHAnsi"/>
        </w:rPr>
        <w:t>)</w:t>
      </w:r>
      <w:r w:rsidRPr="001677F9">
        <w:rPr>
          <w:rFonts w:cstheme="minorHAnsi"/>
        </w:rPr>
        <w:t>, then subsequently recommended</w:t>
      </w:r>
      <w:r w:rsidR="00922F21" w:rsidRPr="001677F9">
        <w:rPr>
          <w:rFonts w:cstheme="minorHAnsi"/>
        </w:rPr>
        <w:t xml:space="preserve"> for listing</w:t>
      </w:r>
      <w:r w:rsidRPr="001677F9">
        <w:rPr>
          <w:rFonts w:cstheme="minorHAnsi"/>
        </w:rPr>
        <w:t xml:space="preserve"> out of session</w:t>
      </w:r>
      <w:r w:rsidR="00442E93" w:rsidRPr="001677F9">
        <w:rPr>
          <w:rFonts w:cstheme="minorHAnsi"/>
        </w:rPr>
        <w:t xml:space="preserve"> in December 2022</w:t>
      </w:r>
      <w:r w:rsidR="00DD45A0" w:rsidRPr="001677F9">
        <w:rPr>
          <w:rFonts w:cstheme="minorHAnsi"/>
        </w:rPr>
        <w:t xml:space="preserve">. </w:t>
      </w:r>
      <w:r w:rsidRPr="001677F9">
        <w:rPr>
          <w:rFonts w:cstheme="minorHAnsi"/>
        </w:rPr>
        <w:t xml:space="preserve"> </w:t>
      </w:r>
    </w:p>
    <w:p w14:paraId="3C4F13E5" w14:textId="369DFCA2" w:rsidR="00951BAB" w:rsidRPr="001677F9" w:rsidRDefault="00951BAB" w:rsidP="00F86F1A">
      <w:pPr>
        <w:pStyle w:val="3-BodyText"/>
        <w:numPr>
          <w:ilvl w:val="0"/>
          <w:numId w:val="0"/>
        </w:numPr>
        <w:ind w:left="720"/>
      </w:pPr>
      <w:r w:rsidRPr="001677F9">
        <w:rPr>
          <w:i/>
        </w:rPr>
        <w:t>For more detail on PBAC’s view, see section 7 PBAC outcome.</w:t>
      </w:r>
    </w:p>
    <w:p w14:paraId="0BFAE3F1" w14:textId="54CA5A97" w:rsidR="00EB0888" w:rsidRPr="001677F9" w:rsidRDefault="00B50DB8" w:rsidP="00EB0888">
      <w:pPr>
        <w:pStyle w:val="2-SectionHeading"/>
      </w:pPr>
      <w:bookmarkStart w:id="9" w:name="_Toc107902078"/>
      <w:bookmarkStart w:id="10" w:name="_Toc135217168"/>
      <w:bookmarkEnd w:id="9"/>
      <w:r w:rsidRPr="001677F9">
        <w:t xml:space="preserve">Requested </w:t>
      </w:r>
      <w:proofErr w:type="gramStart"/>
      <w:r w:rsidRPr="001677F9">
        <w:t>listing</w:t>
      </w:r>
      <w:bookmarkEnd w:id="10"/>
      <w:proofErr w:type="gramEnd"/>
    </w:p>
    <w:p w14:paraId="58039FA3" w14:textId="77777777" w:rsidR="002C3CD6" w:rsidRPr="001677F9" w:rsidRDefault="002C3CD6" w:rsidP="002C3CD6">
      <w:pPr>
        <w:pStyle w:val="3-BodyText"/>
      </w:pPr>
      <w:r w:rsidRPr="001677F9">
        <w:t>Suggestions and additions proposed by the Secretariat are added in italics and suggested deletions are crossed out with strikethrough.</w:t>
      </w:r>
    </w:p>
    <w:p w14:paraId="55349CF1" w14:textId="77777777" w:rsidR="002C43D4" w:rsidRPr="001677F9" w:rsidRDefault="002C43D4" w:rsidP="002C43D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1"/>
        <w:gridCol w:w="1780"/>
        <w:gridCol w:w="812"/>
        <w:gridCol w:w="810"/>
        <w:gridCol w:w="812"/>
        <w:gridCol w:w="1832"/>
      </w:tblGrid>
      <w:tr w:rsidR="00046D64" w:rsidRPr="001677F9" w14:paraId="73E16E29" w14:textId="77777777" w:rsidTr="002C43D4">
        <w:trPr>
          <w:cantSplit/>
          <w:trHeight w:val="20"/>
          <w:jc w:val="center"/>
        </w:trPr>
        <w:tc>
          <w:tcPr>
            <w:tcW w:w="2972" w:type="dxa"/>
            <w:vAlign w:val="center"/>
          </w:tcPr>
          <w:p w14:paraId="4660296B" w14:textId="77777777" w:rsidR="00046D64" w:rsidRPr="001677F9" w:rsidRDefault="00046D64" w:rsidP="002C43D4">
            <w:pPr>
              <w:keepNext/>
              <w:keepLines/>
              <w:rPr>
                <w:rFonts w:ascii="Arial Narrow" w:hAnsi="Arial Narrow"/>
                <w:b/>
                <w:bCs/>
                <w:sz w:val="20"/>
                <w:szCs w:val="20"/>
              </w:rPr>
            </w:pPr>
            <w:bookmarkStart w:id="11" w:name="_Hlk104809055"/>
            <w:r w:rsidRPr="001677F9">
              <w:rPr>
                <w:rFonts w:ascii="Arial Narrow" w:hAnsi="Arial Narrow"/>
                <w:b/>
                <w:bCs/>
                <w:sz w:val="20"/>
                <w:szCs w:val="20"/>
              </w:rPr>
              <w:t>MEDICINAL PRODUCT</w:t>
            </w:r>
          </w:p>
          <w:p w14:paraId="7221C2FD" w14:textId="77777777" w:rsidR="00046D64" w:rsidRPr="001677F9" w:rsidRDefault="00046D64" w:rsidP="002C43D4">
            <w:pPr>
              <w:keepNext/>
              <w:keepLines/>
              <w:rPr>
                <w:rFonts w:ascii="Arial Narrow" w:hAnsi="Arial Narrow"/>
                <w:b/>
                <w:sz w:val="20"/>
                <w:szCs w:val="20"/>
              </w:rPr>
            </w:pPr>
            <w:r w:rsidRPr="001677F9">
              <w:rPr>
                <w:rFonts w:ascii="Arial Narrow" w:hAnsi="Arial Narrow"/>
                <w:b/>
                <w:bCs/>
                <w:sz w:val="20"/>
                <w:szCs w:val="20"/>
              </w:rPr>
              <w:t>medicinal product pack</w:t>
            </w:r>
          </w:p>
        </w:tc>
        <w:tc>
          <w:tcPr>
            <w:tcW w:w="1779" w:type="dxa"/>
            <w:vAlign w:val="center"/>
          </w:tcPr>
          <w:p w14:paraId="14424AF1" w14:textId="54369E4C" w:rsidR="00046D64" w:rsidRPr="001677F9" w:rsidRDefault="00C61A59" w:rsidP="002C43D4">
            <w:pPr>
              <w:pStyle w:val="TableText0"/>
              <w:keepLines/>
              <w:rPr>
                <w:b/>
                <w:bCs w:val="0"/>
                <w:szCs w:val="20"/>
              </w:rPr>
            </w:pPr>
            <w:r w:rsidRPr="001677F9">
              <w:rPr>
                <w:b/>
                <w:bCs w:val="0"/>
                <w:snapToGrid w:val="0"/>
              </w:rPr>
              <w:t xml:space="preserve">Dispensed Price for Max. Qty </w:t>
            </w:r>
          </w:p>
        </w:tc>
        <w:tc>
          <w:tcPr>
            <w:tcW w:w="812" w:type="dxa"/>
            <w:vAlign w:val="center"/>
          </w:tcPr>
          <w:p w14:paraId="4E41A9BC" w14:textId="0E3A90D0" w:rsidR="00046D64" w:rsidRPr="001677F9" w:rsidRDefault="00046D64" w:rsidP="002C43D4">
            <w:pPr>
              <w:keepNext/>
              <w:keepLines/>
              <w:jc w:val="center"/>
              <w:rPr>
                <w:rFonts w:ascii="Arial Narrow" w:hAnsi="Arial Narrow"/>
                <w:b/>
                <w:sz w:val="20"/>
                <w:szCs w:val="20"/>
              </w:rPr>
            </w:pPr>
            <w:r w:rsidRPr="001677F9">
              <w:rPr>
                <w:rFonts w:ascii="Arial Narrow" w:hAnsi="Arial Narrow"/>
                <w:b/>
                <w:sz w:val="20"/>
                <w:szCs w:val="20"/>
              </w:rPr>
              <w:t>Max. qty packs</w:t>
            </w:r>
          </w:p>
        </w:tc>
        <w:tc>
          <w:tcPr>
            <w:tcW w:w="811" w:type="dxa"/>
            <w:vAlign w:val="center"/>
          </w:tcPr>
          <w:p w14:paraId="48197540" w14:textId="77777777" w:rsidR="00046D64" w:rsidRPr="001677F9" w:rsidRDefault="00046D64" w:rsidP="002C43D4">
            <w:pPr>
              <w:keepNext/>
              <w:keepLines/>
              <w:jc w:val="center"/>
              <w:rPr>
                <w:rFonts w:ascii="Arial Narrow" w:hAnsi="Arial Narrow"/>
                <w:b/>
                <w:sz w:val="20"/>
                <w:szCs w:val="20"/>
              </w:rPr>
            </w:pPr>
            <w:r w:rsidRPr="001677F9">
              <w:rPr>
                <w:rFonts w:ascii="Arial Narrow" w:hAnsi="Arial Narrow"/>
                <w:b/>
                <w:sz w:val="20"/>
                <w:szCs w:val="20"/>
              </w:rPr>
              <w:t>Max. qty units</w:t>
            </w:r>
          </w:p>
        </w:tc>
        <w:tc>
          <w:tcPr>
            <w:tcW w:w="812" w:type="dxa"/>
            <w:vAlign w:val="center"/>
          </w:tcPr>
          <w:p w14:paraId="13B3FDEE" w14:textId="77777777" w:rsidR="00046D64" w:rsidRPr="001677F9" w:rsidRDefault="00046D64" w:rsidP="002C43D4">
            <w:pPr>
              <w:keepNext/>
              <w:keepLines/>
              <w:jc w:val="center"/>
              <w:rPr>
                <w:rFonts w:ascii="Arial Narrow" w:hAnsi="Arial Narrow"/>
                <w:b/>
                <w:sz w:val="20"/>
                <w:szCs w:val="20"/>
              </w:rPr>
            </w:pPr>
            <w:proofErr w:type="gramStart"/>
            <w:r w:rsidRPr="001677F9">
              <w:rPr>
                <w:rFonts w:ascii="Arial Narrow" w:hAnsi="Arial Narrow"/>
                <w:b/>
                <w:sz w:val="20"/>
                <w:szCs w:val="20"/>
              </w:rPr>
              <w:t>№.of</w:t>
            </w:r>
            <w:proofErr w:type="gramEnd"/>
          </w:p>
          <w:p w14:paraId="7B215997" w14:textId="77777777" w:rsidR="00046D64" w:rsidRPr="001677F9" w:rsidRDefault="00046D64" w:rsidP="002C43D4">
            <w:pPr>
              <w:keepNext/>
              <w:keepLines/>
              <w:jc w:val="center"/>
              <w:rPr>
                <w:rFonts w:ascii="Arial Narrow" w:hAnsi="Arial Narrow"/>
                <w:b/>
                <w:sz w:val="20"/>
                <w:szCs w:val="20"/>
              </w:rPr>
            </w:pPr>
            <w:r w:rsidRPr="001677F9">
              <w:rPr>
                <w:rFonts w:ascii="Arial Narrow" w:hAnsi="Arial Narrow"/>
                <w:b/>
                <w:sz w:val="20"/>
                <w:szCs w:val="20"/>
              </w:rPr>
              <w:t>Rpts</w:t>
            </w:r>
          </w:p>
        </w:tc>
        <w:tc>
          <w:tcPr>
            <w:tcW w:w="1831" w:type="dxa"/>
            <w:vAlign w:val="center"/>
          </w:tcPr>
          <w:p w14:paraId="4976F6A8" w14:textId="77777777" w:rsidR="00046D64" w:rsidRPr="001677F9" w:rsidRDefault="00046D64" w:rsidP="002C43D4">
            <w:pPr>
              <w:keepNext/>
              <w:keepLines/>
              <w:rPr>
                <w:rFonts w:ascii="Arial Narrow" w:hAnsi="Arial Narrow"/>
                <w:b/>
                <w:sz w:val="20"/>
                <w:szCs w:val="20"/>
              </w:rPr>
            </w:pPr>
            <w:r w:rsidRPr="001677F9">
              <w:rPr>
                <w:rFonts w:ascii="Arial Narrow" w:hAnsi="Arial Narrow"/>
                <w:b/>
                <w:sz w:val="20"/>
                <w:szCs w:val="20"/>
              </w:rPr>
              <w:t>Available brands</w:t>
            </w:r>
          </w:p>
        </w:tc>
      </w:tr>
      <w:tr w:rsidR="002C36E3" w:rsidRPr="001677F9" w14:paraId="1DC2CC67" w14:textId="77777777" w:rsidTr="002C43D4">
        <w:trPr>
          <w:cantSplit/>
          <w:trHeight w:val="20"/>
          <w:jc w:val="center"/>
        </w:trPr>
        <w:tc>
          <w:tcPr>
            <w:tcW w:w="2972" w:type="dxa"/>
            <w:vAlign w:val="center"/>
          </w:tcPr>
          <w:p w14:paraId="612C04D7" w14:textId="05F41ECA" w:rsidR="002C36E3" w:rsidRPr="001677F9" w:rsidRDefault="00E96F90" w:rsidP="002C43D4">
            <w:pPr>
              <w:pStyle w:val="TableText0"/>
              <w:keepLines/>
            </w:pPr>
            <w:r w:rsidRPr="001677F9">
              <w:t>DAPAGLIFLOZIN</w:t>
            </w:r>
            <w:r w:rsidR="002C36E3" w:rsidRPr="001677F9">
              <w:t xml:space="preserve"> </w:t>
            </w:r>
            <w:r w:rsidRPr="001677F9">
              <w:t>10 mg tablet</w:t>
            </w:r>
          </w:p>
        </w:tc>
        <w:tc>
          <w:tcPr>
            <w:tcW w:w="1779" w:type="dxa"/>
          </w:tcPr>
          <w:p w14:paraId="70C2874A" w14:textId="014DE5C2" w:rsidR="002C36E3" w:rsidRPr="001677F9" w:rsidRDefault="002C36E3" w:rsidP="002C43D4">
            <w:pPr>
              <w:pStyle w:val="TableText0"/>
              <w:keepLines/>
              <w:jc w:val="center"/>
              <w:rPr>
                <w:szCs w:val="20"/>
              </w:rPr>
            </w:pPr>
            <w:r w:rsidRPr="001677F9">
              <w:t>$</w:t>
            </w:r>
            <w:r w:rsidR="00E96F90" w:rsidRPr="001677F9">
              <w:t>56.97</w:t>
            </w:r>
          </w:p>
        </w:tc>
        <w:tc>
          <w:tcPr>
            <w:tcW w:w="812" w:type="dxa"/>
            <w:vAlign w:val="center"/>
          </w:tcPr>
          <w:p w14:paraId="71CD2441" w14:textId="3612D19F" w:rsidR="002C36E3" w:rsidRPr="001677F9" w:rsidRDefault="00E96F90" w:rsidP="002C43D4">
            <w:pPr>
              <w:keepNext/>
              <w:keepLines/>
              <w:jc w:val="center"/>
              <w:rPr>
                <w:rFonts w:ascii="Arial Narrow" w:hAnsi="Arial Narrow"/>
                <w:sz w:val="20"/>
                <w:szCs w:val="20"/>
              </w:rPr>
            </w:pPr>
            <w:r w:rsidRPr="001677F9">
              <w:rPr>
                <w:rFonts w:ascii="Arial Narrow" w:hAnsi="Arial Narrow"/>
                <w:sz w:val="20"/>
              </w:rPr>
              <w:t>1</w:t>
            </w:r>
          </w:p>
        </w:tc>
        <w:tc>
          <w:tcPr>
            <w:tcW w:w="811" w:type="dxa"/>
            <w:vAlign w:val="center"/>
          </w:tcPr>
          <w:p w14:paraId="65F4D3E9" w14:textId="69D5B105" w:rsidR="002C36E3" w:rsidRPr="001677F9" w:rsidRDefault="00E96F90" w:rsidP="002C43D4">
            <w:pPr>
              <w:keepNext/>
              <w:keepLines/>
              <w:jc w:val="center"/>
              <w:rPr>
                <w:rFonts w:ascii="Arial Narrow" w:hAnsi="Arial Narrow"/>
                <w:sz w:val="20"/>
                <w:szCs w:val="20"/>
              </w:rPr>
            </w:pPr>
            <w:r w:rsidRPr="001677F9">
              <w:rPr>
                <w:rFonts w:ascii="Arial Narrow" w:hAnsi="Arial Narrow"/>
                <w:sz w:val="20"/>
              </w:rPr>
              <w:t>28</w:t>
            </w:r>
          </w:p>
        </w:tc>
        <w:tc>
          <w:tcPr>
            <w:tcW w:w="812" w:type="dxa"/>
            <w:vAlign w:val="center"/>
          </w:tcPr>
          <w:p w14:paraId="7C728D0C" w14:textId="3FA82F34" w:rsidR="002C36E3" w:rsidRPr="001677F9" w:rsidRDefault="00E96F90" w:rsidP="002C43D4">
            <w:pPr>
              <w:keepNext/>
              <w:keepLines/>
              <w:jc w:val="center"/>
              <w:rPr>
                <w:rFonts w:ascii="Arial Narrow" w:hAnsi="Arial Narrow"/>
                <w:sz w:val="20"/>
                <w:szCs w:val="20"/>
              </w:rPr>
            </w:pPr>
            <w:r w:rsidRPr="001677F9">
              <w:rPr>
                <w:rFonts w:ascii="Arial Narrow" w:hAnsi="Arial Narrow"/>
                <w:sz w:val="20"/>
              </w:rPr>
              <w:t>5</w:t>
            </w:r>
          </w:p>
        </w:tc>
        <w:tc>
          <w:tcPr>
            <w:tcW w:w="1831" w:type="dxa"/>
            <w:vAlign w:val="center"/>
          </w:tcPr>
          <w:p w14:paraId="519A0BC8" w14:textId="4DD2B42A" w:rsidR="002C36E3" w:rsidRPr="001677F9" w:rsidRDefault="00E96F90" w:rsidP="002C43D4">
            <w:pPr>
              <w:keepNext/>
              <w:keepLines/>
              <w:rPr>
                <w:rFonts w:ascii="Arial Narrow" w:hAnsi="Arial Narrow"/>
                <w:color w:val="0066FF"/>
                <w:sz w:val="20"/>
                <w:szCs w:val="20"/>
              </w:rPr>
            </w:pPr>
            <w:r w:rsidRPr="001677F9">
              <w:rPr>
                <w:rFonts w:ascii="Arial Narrow" w:hAnsi="Arial Narrow"/>
                <w:sz w:val="20"/>
                <w:szCs w:val="20"/>
              </w:rPr>
              <w:t>Forxiga</w:t>
            </w:r>
          </w:p>
        </w:tc>
      </w:tr>
      <w:tr w:rsidR="009402F2" w:rsidRPr="001677F9" w14:paraId="73BF5C82" w14:textId="77777777" w:rsidTr="002C43D4">
        <w:trPr>
          <w:cantSplit/>
          <w:trHeight w:val="20"/>
          <w:jc w:val="center"/>
        </w:trPr>
        <w:tc>
          <w:tcPr>
            <w:tcW w:w="9017" w:type="dxa"/>
            <w:gridSpan w:val="6"/>
            <w:vAlign w:val="center"/>
          </w:tcPr>
          <w:p w14:paraId="79314F62" w14:textId="77777777" w:rsidR="009402F2" w:rsidRPr="001677F9" w:rsidRDefault="009402F2" w:rsidP="002C43D4">
            <w:pPr>
              <w:keepNext/>
              <w:keepLines/>
              <w:rPr>
                <w:rFonts w:ascii="Arial Narrow" w:hAnsi="Arial Narrow"/>
                <w:sz w:val="20"/>
                <w:szCs w:val="20"/>
              </w:rPr>
            </w:pPr>
          </w:p>
        </w:tc>
      </w:tr>
      <w:bookmarkEnd w:id="11"/>
      <w:tr w:rsidR="00E3012B" w:rsidRPr="001677F9" w14:paraId="4FDBAFA3" w14:textId="77777777" w:rsidTr="002B217A">
        <w:tblPrEx>
          <w:jc w:val="left"/>
          <w:tblCellMar>
            <w:top w:w="15" w:type="dxa"/>
            <w:bottom w:w="15" w:type="dxa"/>
          </w:tblCellMar>
          <w:tblLook w:val="04A0" w:firstRow="1" w:lastRow="0" w:firstColumn="1" w:lastColumn="0" w:noHBand="0" w:noVBand="1"/>
        </w:tblPrEx>
        <w:trPr>
          <w:cantSplit/>
          <w:trHeight w:val="20"/>
        </w:trPr>
        <w:tc>
          <w:tcPr>
            <w:tcW w:w="5000" w:type="pct"/>
            <w:gridSpan w:val="6"/>
          </w:tcPr>
          <w:p w14:paraId="2BDCC76F" w14:textId="77777777" w:rsidR="00E3012B" w:rsidRPr="001677F9" w:rsidRDefault="00E3012B" w:rsidP="002C43D4">
            <w:pPr>
              <w:pStyle w:val="TableText0"/>
              <w:keepLines/>
            </w:pPr>
            <w:r w:rsidRPr="001677F9">
              <w:rPr>
                <w:b/>
              </w:rPr>
              <w:t xml:space="preserve">Category / Program: </w:t>
            </w:r>
            <w:r w:rsidRPr="001677F9">
              <w:t>Section 85- General Schedule (Code GE)</w:t>
            </w:r>
          </w:p>
        </w:tc>
      </w:tr>
      <w:tr w:rsidR="00E3012B" w:rsidRPr="001677F9" w14:paraId="73660D2E" w14:textId="77777777" w:rsidTr="002B217A">
        <w:tblPrEx>
          <w:jc w:val="left"/>
          <w:tblCellMar>
            <w:top w:w="15" w:type="dxa"/>
            <w:bottom w:w="15" w:type="dxa"/>
          </w:tblCellMar>
          <w:tblLook w:val="04A0" w:firstRow="1" w:lastRow="0" w:firstColumn="1" w:lastColumn="0" w:noHBand="0" w:noVBand="1"/>
        </w:tblPrEx>
        <w:trPr>
          <w:cantSplit/>
          <w:trHeight w:val="20"/>
        </w:trPr>
        <w:tc>
          <w:tcPr>
            <w:tcW w:w="5000" w:type="pct"/>
            <w:gridSpan w:val="6"/>
          </w:tcPr>
          <w:p w14:paraId="39EDD08A" w14:textId="77777777" w:rsidR="00E3012B" w:rsidRPr="001677F9" w:rsidRDefault="00E3012B" w:rsidP="009402F2">
            <w:pPr>
              <w:pStyle w:val="TableText0"/>
              <w:keepNext w:val="0"/>
              <w:rPr>
                <w:b/>
              </w:rPr>
            </w:pPr>
            <w:r w:rsidRPr="001677F9">
              <w:rPr>
                <w:b/>
              </w:rPr>
              <w:t xml:space="preserve">Prescriber type: </w:t>
            </w:r>
            <w:r w:rsidRPr="001677F9">
              <w:fldChar w:fldCharType="begin" w:fldLock="1">
                <w:ffData>
                  <w:name w:val=""/>
                  <w:enabled/>
                  <w:calcOnExit w:val="0"/>
                  <w:checkBox>
                    <w:sizeAuto/>
                    <w:default w:val="1"/>
                  </w:checkBox>
                </w:ffData>
              </w:fldChar>
            </w:r>
            <w:r w:rsidRPr="001677F9">
              <w:instrText xml:space="preserve"> FORMCHECKBOX </w:instrText>
            </w:r>
            <w:r w:rsidR="00D06FC9">
              <w:fldChar w:fldCharType="separate"/>
            </w:r>
            <w:r w:rsidRPr="001677F9">
              <w:fldChar w:fldCharType="end"/>
            </w:r>
            <w:r w:rsidRPr="001677F9">
              <w:t xml:space="preserve">Medical Practitioners </w:t>
            </w:r>
            <w:r w:rsidRPr="001677F9">
              <w:fldChar w:fldCharType="begin" w:fldLock="1">
                <w:ffData>
                  <w:name w:val=""/>
                  <w:enabled/>
                  <w:calcOnExit w:val="0"/>
                  <w:checkBox>
                    <w:sizeAuto/>
                    <w:default w:val="1"/>
                  </w:checkBox>
                </w:ffData>
              </w:fldChar>
            </w:r>
            <w:r w:rsidRPr="001677F9">
              <w:instrText xml:space="preserve"> FORMCHECKBOX </w:instrText>
            </w:r>
            <w:r w:rsidR="00D06FC9">
              <w:fldChar w:fldCharType="separate"/>
            </w:r>
            <w:r w:rsidRPr="001677F9">
              <w:fldChar w:fldCharType="end"/>
            </w:r>
            <w:r w:rsidRPr="001677F9">
              <w:t xml:space="preserve">Nurse practitioners </w:t>
            </w:r>
          </w:p>
        </w:tc>
      </w:tr>
      <w:tr w:rsidR="00E3012B" w:rsidRPr="001677F9" w14:paraId="08DBA447" w14:textId="77777777" w:rsidTr="002B217A">
        <w:tblPrEx>
          <w:jc w:val="left"/>
          <w:tblCellMar>
            <w:top w:w="15" w:type="dxa"/>
            <w:bottom w:w="15" w:type="dxa"/>
          </w:tblCellMar>
          <w:tblLook w:val="04A0" w:firstRow="1" w:lastRow="0" w:firstColumn="1" w:lastColumn="0" w:noHBand="0" w:noVBand="1"/>
        </w:tblPrEx>
        <w:trPr>
          <w:cantSplit/>
          <w:trHeight w:val="20"/>
        </w:trPr>
        <w:tc>
          <w:tcPr>
            <w:tcW w:w="5000" w:type="pct"/>
            <w:gridSpan w:val="6"/>
          </w:tcPr>
          <w:p w14:paraId="2D148FC1" w14:textId="77777777" w:rsidR="00E3012B" w:rsidRPr="001677F9" w:rsidRDefault="00E3012B" w:rsidP="009402F2">
            <w:pPr>
              <w:pStyle w:val="TableText0"/>
              <w:keepNext w:val="0"/>
              <w:rPr>
                <w:rFonts w:eastAsia="Times New Roman"/>
              </w:rPr>
            </w:pPr>
            <w:r w:rsidRPr="001677F9">
              <w:rPr>
                <w:b/>
              </w:rPr>
              <w:t xml:space="preserve">Restriction type: </w:t>
            </w:r>
            <w:r w:rsidRPr="001677F9">
              <w:rPr>
                <w:rFonts w:eastAsia="Times New Roman"/>
              </w:rPr>
              <w:t xml:space="preserve"> </w:t>
            </w:r>
            <w:r w:rsidRPr="001677F9">
              <w:rPr>
                <w:rFonts w:eastAsia="Times New Roman"/>
              </w:rPr>
              <w:fldChar w:fldCharType="begin" w:fldLock="1">
                <w:ffData>
                  <w:name w:val=""/>
                  <w:enabled/>
                  <w:calcOnExit w:val="0"/>
                  <w:checkBox>
                    <w:sizeAuto/>
                    <w:default w:val="1"/>
                  </w:checkBox>
                </w:ffData>
              </w:fldChar>
            </w:r>
            <w:r w:rsidRPr="001677F9">
              <w:rPr>
                <w:rFonts w:eastAsia="Times New Roman"/>
              </w:rPr>
              <w:instrText xml:space="preserve"> FORMCHECKBOX </w:instrText>
            </w:r>
            <w:r w:rsidR="00D06FC9">
              <w:rPr>
                <w:rFonts w:eastAsia="Times New Roman"/>
              </w:rPr>
            </w:r>
            <w:r w:rsidR="00D06FC9">
              <w:rPr>
                <w:rFonts w:eastAsia="Times New Roman"/>
              </w:rPr>
              <w:fldChar w:fldCharType="separate"/>
            </w:r>
            <w:r w:rsidRPr="001677F9">
              <w:rPr>
                <w:rFonts w:eastAsia="Times New Roman"/>
              </w:rPr>
              <w:fldChar w:fldCharType="end"/>
            </w:r>
            <w:r w:rsidRPr="001677F9">
              <w:rPr>
                <w:rFonts w:eastAsia="Times New Roman"/>
              </w:rPr>
              <w:t xml:space="preserve">Authority Required (STREAMLINED) </w:t>
            </w:r>
          </w:p>
        </w:tc>
      </w:tr>
      <w:tr w:rsidR="00E3012B" w:rsidRPr="001677F9" w14:paraId="163B27EF" w14:textId="77777777" w:rsidTr="002B217A">
        <w:tblPrEx>
          <w:jc w:val="left"/>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7DCC0079" w14:textId="3EDF170C" w:rsidR="00E3012B" w:rsidRPr="001677F9" w:rsidRDefault="00E3012B" w:rsidP="009402F2">
            <w:pPr>
              <w:pStyle w:val="TableText0"/>
              <w:keepNext w:val="0"/>
            </w:pPr>
            <w:r w:rsidRPr="001677F9">
              <w:rPr>
                <w:b/>
              </w:rPr>
              <w:t>Indication:</w:t>
            </w:r>
            <w:r w:rsidRPr="001677F9">
              <w:t xml:space="preserve"> </w:t>
            </w:r>
            <w:r w:rsidRPr="001677F9">
              <w:rPr>
                <w:strike/>
              </w:rPr>
              <w:t>Adults with c</w:t>
            </w:r>
            <w:r w:rsidR="002C3CD6" w:rsidRPr="001677F9">
              <w:rPr>
                <w:i/>
                <w:iCs/>
              </w:rPr>
              <w:t>C</w:t>
            </w:r>
            <w:r w:rsidRPr="001677F9">
              <w:t>hronic heart failure</w:t>
            </w:r>
          </w:p>
        </w:tc>
      </w:tr>
      <w:tr w:rsidR="00E3012B" w:rsidRPr="001677F9" w14:paraId="673F7DA5" w14:textId="77777777" w:rsidTr="002B217A">
        <w:tblPrEx>
          <w:jc w:val="left"/>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7677A69B" w14:textId="77777777" w:rsidR="00E3012B" w:rsidRPr="001677F9" w:rsidRDefault="00E3012B" w:rsidP="009402F2">
            <w:pPr>
              <w:pStyle w:val="TableText0"/>
              <w:keepNext w:val="0"/>
              <w:rPr>
                <w:strike/>
              </w:rPr>
            </w:pPr>
            <w:r w:rsidRPr="001677F9">
              <w:rPr>
                <w:b/>
                <w:strike/>
              </w:rPr>
              <w:t>Treatment Phase:</w:t>
            </w:r>
            <w:r w:rsidRPr="001677F9">
              <w:rPr>
                <w:strike/>
              </w:rPr>
              <w:t xml:space="preserve"> Initial and continuing</w:t>
            </w:r>
          </w:p>
        </w:tc>
      </w:tr>
      <w:tr w:rsidR="00E3012B" w:rsidRPr="001677F9" w14:paraId="41603853" w14:textId="77777777" w:rsidTr="002B217A">
        <w:tblPrEx>
          <w:jc w:val="left"/>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09C40E2B" w14:textId="77777777" w:rsidR="00E3012B" w:rsidRPr="001677F9" w:rsidRDefault="00E3012B" w:rsidP="009402F2">
            <w:pPr>
              <w:pStyle w:val="TableText0"/>
              <w:keepNext w:val="0"/>
            </w:pPr>
            <w:r w:rsidRPr="001677F9">
              <w:rPr>
                <w:b/>
              </w:rPr>
              <w:t>Clinical criteria:</w:t>
            </w:r>
          </w:p>
        </w:tc>
      </w:tr>
      <w:tr w:rsidR="00E3012B" w:rsidRPr="001677F9" w14:paraId="5A7E1A8C" w14:textId="77777777" w:rsidTr="002B217A">
        <w:tblPrEx>
          <w:jc w:val="left"/>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235DA48A" w14:textId="77777777" w:rsidR="00E3012B" w:rsidRPr="001677F9" w:rsidRDefault="00E3012B" w:rsidP="009402F2">
            <w:pPr>
              <w:pStyle w:val="TableText0"/>
              <w:keepNext w:val="0"/>
              <w:rPr>
                <w:rFonts w:cs="Arial"/>
              </w:rPr>
            </w:pPr>
            <w:r w:rsidRPr="001677F9">
              <w:rPr>
                <w:rFonts w:cs="Arial"/>
              </w:rPr>
              <w:t>Patient must be symptomatic with NYHA classes II, III or IV</w:t>
            </w:r>
          </w:p>
        </w:tc>
      </w:tr>
      <w:tr w:rsidR="00E3012B" w:rsidRPr="001677F9" w14:paraId="0A0C7C75" w14:textId="77777777" w:rsidTr="002B217A">
        <w:tblPrEx>
          <w:jc w:val="left"/>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32CD5396" w14:textId="77777777" w:rsidR="00E3012B" w:rsidRPr="001677F9" w:rsidRDefault="00E3012B" w:rsidP="009402F2">
            <w:pPr>
              <w:pStyle w:val="TableText0"/>
              <w:keepNext w:val="0"/>
              <w:rPr>
                <w:rFonts w:cs="Arial"/>
                <w:b/>
              </w:rPr>
            </w:pPr>
            <w:r w:rsidRPr="001677F9">
              <w:rPr>
                <w:rFonts w:cs="Arial"/>
                <w:b/>
              </w:rPr>
              <w:t>AND</w:t>
            </w:r>
          </w:p>
        </w:tc>
      </w:tr>
      <w:tr w:rsidR="00E3012B" w:rsidRPr="001677F9" w14:paraId="143A57FA" w14:textId="77777777" w:rsidTr="002B217A">
        <w:tblPrEx>
          <w:jc w:val="left"/>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1C0F5B9D" w14:textId="77777777" w:rsidR="00E3012B" w:rsidRPr="001677F9" w:rsidRDefault="00E3012B" w:rsidP="009402F2">
            <w:pPr>
              <w:pStyle w:val="TableText0"/>
              <w:keepNext w:val="0"/>
            </w:pPr>
            <w:r w:rsidRPr="001677F9">
              <w:rPr>
                <w:b/>
              </w:rPr>
              <w:t>Clinical criteria:</w:t>
            </w:r>
          </w:p>
        </w:tc>
      </w:tr>
      <w:tr w:rsidR="00E3012B" w:rsidRPr="001677F9" w14:paraId="4AB0D0A1" w14:textId="77777777" w:rsidTr="002B217A">
        <w:tblPrEx>
          <w:jc w:val="left"/>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1D4DBF4E" w14:textId="77777777" w:rsidR="00E3012B" w:rsidRPr="001677F9" w:rsidRDefault="00E3012B" w:rsidP="009402F2">
            <w:pPr>
              <w:pStyle w:val="TableText0"/>
              <w:keepNext w:val="0"/>
              <w:rPr>
                <w:b/>
              </w:rPr>
            </w:pPr>
            <w:r w:rsidRPr="001677F9">
              <w:rPr>
                <w:rFonts w:cs="Arial"/>
              </w:rPr>
              <w:t>Patient must have a documented left ventricular ejection fraction (LVEF) of greater than 40%</w:t>
            </w:r>
          </w:p>
        </w:tc>
      </w:tr>
      <w:tr w:rsidR="00E3012B" w:rsidRPr="001677F9" w14:paraId="50A065DD" w14:textId="77777777" w:rsidTr="002B217A">
        <w:tblPrEx>
          <w:jc w:val="left"/>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7C407A4A" w14:textId="77777777" w:rsidR="00E3012B" w:rsidRPr="001677F9" w:rsidRDefault="00E3012B" w:rsidP="009402F2">
            <w:pPr>
              <w:pStyle w:val="TableText0"/>
              <w:keepNext w:val="0"/>
              <w:rPr>
                <w:rFonts w:cs="Arial"/>
                <w:b/>
              </w:rPr>
            </w:pPr>
            <w:r w:rsidRPr="001677F9">
              <w:rPr>
                <w:rFonts w:cs="Arial"/>
                <w:b/>
              </w:rPr>
              <w:t>AND</w:t>
            </w:r>
          </w:p>
        </w:tc>
      </w:tr>
      <w:tr w:rsidR="00E3012B" w:rsidRPr="001677F9" w14:paraId="60F283D9" w14:textId="77777777" w:rsidTr="002B217A">
        <w:tblPrEx>
          <w:jc w:val="left"/>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3470A83A" w14:textId="77777777" w:rsidR="00E3012B" w:rsidRPr="001677F9" w:rsidRDefault="00E3012B" w:rsidP="009402F2">
            <w:pPr>
              <w:pStyle w:val="TableText0"/>
              <w:keepNext w:val="0"/>
            </w:pPr>
            <w:r w:rsidRPr="001677F9">
              <w:rPr>
                <w:b/>
              </w:rPr>
              <w:t>Clinical criteria:</w:t>
            </w:r>
          </w:p>
        </w:tc>
      </w:tr>
      <w:tr w:rsidR="00E3012B" w:rsidRPr="001677F9" w14:paraId="1E4DC6CB" w14:textId="77777777" w:rsidTr="002B217A">
        <w:tblPrEx>
          <w:jc w:val="left"/>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6D6EFFA0" w14:textId="77777777" w:rsidR="00E3012B" w:rsidRPr="001677F9" w:rsidRDefault="00E3012B" w:rsidP="009402F2">
            <w:pPr>
              <w:pStyle w:val="TableText0"/>
              <w:keepNext w:val="0"/>
              <w:rPr>
                <w:rFonts w:cs="Arial"/>
                <w:strike/>
              </w:rPr>
            </w:pPr>
            <w:r w:rsidRPr="001677F9">
              <w:rPr>
                <w:rFonts w:cs="Arial"/>
                <w:strike/>
              </w:rPr>
              <w:t xml:space="preserve">Patient must have evidence of structural heart </w:t>
            </w:r>
            <w:proofErr w:type="gramStart"/>
            <w:r w:rsidRPr="001677F9">
              <w:rPr>
                <w:rFonts w:cs="Arial"/>
                <w:strike/>
              </w:rPr>
              <w:t>disease:</w:t>
            </w:r>
            <w:proofErr w:type="gramEnd"/>
            <w:r w:rsidRPr="001677F9">
              <w:rPr>
                <w:rFonts w:cs="Arial"/>
                <w:strike/>
              </w:rPr>
              <w:t xml:space="preserve"> left atrial disease (LAE) or left ventricular hypertrophy (LVH)</w:t>
            </w:r>
          </w:p>
          <w:p w14:paraId="52B9004F" w14:textId="56519A67" w:rsidR="002C3CD6" w:rsidRPr="001677F9" w:rsidRDefault="002C3CD6" w:rsidP="009402F2">
            <w:pPr>
              <w:pStyle w:val="TableText0"/>
              <w:keepNext w:val="0"/>
              <w:rPr>
                <w:rFonts w:cs="Arial"/>
              </w:rPr>
            </w:pPr>
            <w:r w:rsidRPr="001677F9">
              <w:rPr>
                <w:rFonts w:cs="Times New Roman"/>
                <w:i/>
                <w:iCs/>
                <w:szCs w:val="20"/>
              </w:rPr>
              <w:t>Patient must have documented evidence of s</w:t>
            </w:r>
            <w:r w:rsidRPr="001677F9">
              <w:rPr>
                <w:rFonts w:cs="Times New Roman"/>
                <w:i/>
                <w:iCs/>
                <w:szCs w:val="22"/>
              </w:rPr>
              <w:t>tructural changes in the heart on echocardiography that would be expected to cause diastolic dysfunction (</w:t>
            </w:r>
            <w:proofErr w:type="gramStart"/>
            <w:r w:rsidRPr="001677F9">
              <w:rPr>
                <w:rFonts w:cs="Times New Roman"/>
                <w:i/>
                <w:iCs/>
                <w:szCs w:val="22"/>
              </w:rPr>
              <w:t>e.g.</w:t>
            </w:r>
            <w:proofErr w:type="gramEnd"/>
            <w:r w:rsidRPr="001677F9">
              <w:rPr>
                <w:rFonts w:cs="Times New Roman"/>
                <w:i/>
                <w:iCs/>
                <w:szCs w:val="22"/>
              </w:rPr>
              <w:t xml:space="preserve"> left ventricular hypertrophy)</w:t>
            </w:r>
          </w:p>
        </w:tc>
      </w:tr>
      <w:tr w:rsidR="00E3012B" w:rsidRPr="001677F9" w14:paraId="54D0E4C0" w14:textId="77777777" w:rsidTr="002B217A">
        <w:tblPrEx>
          <w:jc w:val="left"/>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28D02966" w14:textId="77777777" w:rsidR="00E3012B" w:rsidRPr="001677F9" w:rsidRDefault="00E3012B" w:rsidP="009402F2">
            <w:pPr>
              <w:pStyle w:val="TableText0"/>
              <w:keepNext w:val="0"/>
              <w:rPr>
                <w:rFonts w:cs="Arial"/>
                <w:b/>
              </w:rPr>
            </w:pPr>
            <w:r w:rsidRPr="001677F9">
              <w:rPr>
                <w:rFonts w:cs="Arial"/>
                <w:b/>
              </w:rPr>
              <w:t>AND</w:t>
            </w:r>
          </w:p>
        </w:tc>
      </w:tr>
      <w:tr w:rsidR="00E3012B" w:rsidRPr="001677F9" w14:paraId="16A2D1F5" w14:textId="77777777" w:rsidTr="002B217A">
        <w:tblPrEx>
          <w:jc w:val="left"/>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6CE48A84" w14:textId="77777777" w:rsidR="00E3012B" w:rsidRPr="001677F9" w:rsidRDefault="00E3012B" w:rsidP="009402F2">
            <w:pPr>
              <w:pStyle w:val="TableText0"/>
              <w:keepNext w:val="0"/>
              <w:rPr>
                <w:rFonts w:cs="Arial"/>
                <w:b/>
              </w:rPr>
            </w:pPr>
            <w:r w:rsidRPr="001677F9">
              <w:rPr>
                <w:b/>
              </w:rPr>
              <w:t>Clinical criteria:</w:t>
            </w:r>
          </w:p>
        </w:tc>
      </w:tr>
      <w:tr w:rsidR="00E3012B" w:rsidRPr="001677F9" w14:paraId="3B9E5399" w14:textId="77777777" w:rsidTr="002B217A">
        <w:tblPrEx>
          <w:jc w:val="left"/>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73E34A7C" w14:textId="77777777" w:rsidR="00E3012B" w:rsidRPr="001677F9" w:rsidRDefault="00E3012B" w:rsidP="009402F2">
            <w:pPr>
              <w:pStyle w:val="TableText0"/>
              <w:keepNext w:val="0"/>
              <w:rPr>
                <w:rFonts w:cs="Arial"/>
                <w:strike/>
              </w:rPr>
            </w:pPr>
            <w:r w:rsidRPr="001677F9">
              <w:rPr>
                <w:rFonts w:cs="Arial"/>
                <w:strike/>
              </w:rPr>
              <w:lastRenderedPageBreak/>
              <w:t>The treatment must be an add-on therapy to optimal standard chronic heart failure treatment for patients with LVEF &gt;40%, which must include at least intermittent use of a diuretic and may include other medicines used to manage HF or comorbidities in accordance with clinical guidelines, unless contraindicated according to the TGA-approved Product Information or cannot be tolerated.</w:t>
            </w:r>
          </w:p>
          <w:p w14:paraId="71AD7BD1" w14:textId="77777777" w:rsidR="002C3CD6" w:rsidRPr="001677F9" w:rsidRDefault="002C3CD6" w:rsidP="002C3CD6">
            <w:pPr>
              <w:keepNext/>
              <w:keepLines/>
              <w:numPr>
                <w:ilvl w:val="0"/>
                <w:numId w:val="3"/>
              </w:numPr>
              <w:snapToGrid w:val="0"/>
              <w:ind w:left="0" w:hanging="357"/>
              <w:contextualSpacing/>
              <w:jc w:val="left"/>
              <w:rPr>
                <w:rFonts w:ascii="Arial Narrow" w:hAnsi="Arial Narrow" w:cs="Times New Roman"/>
                <w:i/>
                <w:iCs/>
                <w:sz w:val="20"/>
                <w:szCs w:val="20"/>
              </w:rPr>
            </w:pPr>
            <w:r w:rsidRPr="001677F9">
              <w:rPr>
                <w:rFonts w:ascii="Arial Narrow" w:hAnsi="Arial Narrow" w:cs="Times New Roman"/>
                <w:i/>
                <w:iCs/>
                <w:sz w:val="20"/>
                <w:szCs w:val="20"/>
              </w:rPr>
              <w:t>Patient must have documented evidence of at least one of:</w:t>
            </w:r>
          </w:p>
          <w:p w14:paraId="2773FC09" w14:textId="77777777" w:rsidR="002C3CD6" w:rsidRPr="001677F9" w:rsidRDefault="002C3CD6" w:rsidP="002C3CD6">
            <w:pPr>
              <w:keepNext/>
              <w:keepLines/>
              <w:numPr>
                <w:ilvl w:val="0"/>
                <w:numId w:val="3"/>
              </w:numPr>
              <w:snapToGrid w:val="0"/>
              <w:ind w:left="0" w:hanging="357"/>
              <w:contextualSpacing/>
              <w:jc w:val="left"/>
              <w:rPr>
                <w:rFonts w:ascii="Arial Narrow" w:hAnsi="Arial Narrow" w:cs="Times New Roman"/>
                <w:i/>
                <w:iCs/>
                <w:sz w:val="20"/>
                <w:szCs w:val="20"/>
              </w:rPr>
            </w:pPr>
            <w:r w:rsidRPr="001677F9">
              <w:rPr>
                <w:rFonts w:ascii="Arial Narrow" w:hAnsi="Arial Narrow" w:cs="Times New Roman"/>
                <w:i/>
                <w:iCs/>
                <w:sz w:val="20"/>
                <w:szCs w:val="20"/>
              </w:rPr>
              <w:t xml:space="preserve">(i) diastolic dysfunction with high filling pressure on echocardiography, stress echocardiography or cardiac </w:t>
            </w:r>
            <w:proofErr w:type="gramStart"/>
            <w:r w:rsidRPr="001677F9">
              <w:rPr>
                <w:rFonts w:ascii="Arial Narrow" w:hAnsi="Arial Narrow" w:cs="Times New Roman"/>
                <w:i/>
                <w:iCs/>
                <w:sz w:val="20"/>
                <w:szCs w:val="20"/>
              </w:rPr>
              <w:t>catheterisation;</w:t>
            </w:r>
            <w:proofErr w:type="gramEnd"/>
          </w:p>
          <w:p w14:paraId="2798A988" w14:textId="77777777" w:rsidR="002C3CD6" w:rsidRPr="001677F9" w:rsidRDefault="002C3CD6" w:rsidP="002C3CD6">
            <w:pPr>
              <w:keepNext/>
              <w:keepLines/>
              <w:numPr>
                <w:ilvl w:val="0"/>
                <w:numId w:val="3"/>
              </w:numPr>
              <w:snapToGrid w:val="0"/>
              <w:ind w:left="0" w:hanging="357"/>
              <w:contextualSpacing/>
              <w:jc w:val="left"/>
              <w:rPr>
                <w:rFonts w:ascii="Arial Narrow" w:hAnsi="Arial Narrow" w:cs="Times New Roman"/>
                <w:i/>
                <w:iCs/>
                <w:sz w:val="20"/>
                <w:szCs w:val="20"/>
              </w:rPr>
            </w:pPr>
            <w:r w:rsidRPr="001677F9">
              <w:rPr>
                <w:rFonts w:ascii="Arial Narrow" w:hAnsi="Arial Narrow" w:cs="Times New Roman"/>
                <w:i/>
                <w:iCs/>
                <w:sz w:val="20"/>
                <w:szCs w:val="20"/>
              </w:rPr>
              <w:t>(ii) hospitalisation for heart failure in the 12 months prior to initiating treatment with this drug</w:t>
            </w:r>
          </w:p>
          <w:p w14:paraId="26AC8C17" w14:textId="77777777" w:rsidR="002C3CD6" w:rsidRPr="001677F9" w:rsidRDefault="002C3CD6" w:rsidP="002C3CD6">
            <w:pPr>
              <w:keepNext/>
              <w:keepLines/>
              <w:numPr>
                <w:ilvl w:val="0"/>
                <w:numId w:val="3"/>
              </w:numPr>
              <w:snapToGrid w:val="0"/>
              <w:ind w:left="0" w:hanging="357"/>
              <w:contextualSpacing/>
              <w:jc w:val="left"/>
              <w:rPr>
                <w:rFonts w:ascii="Arial Narrow" w:hAnsi="Arial Narrow" w:cs="Times New Roman"/>
                <w:i/>
                <w:iCs/>
                <w:sz w:val="20"/>
                <w:szCs w:val="20"/>
              </w:rPr>
            </w:pPr>
            <w:r w:rsidRPr="001677F9">
              <w:rPr>
                <w:rFonts w:ascii="Arial Narrow" w:hAnsi="Arial Narrow" w:cs="Times New Roman"/>
                <w:i/>
                <w:iCs/>
                <w:sz w:val="20"/>
                <w:szCs w:val="20"/>
              </w:rPr>
              <w:t>(iii) requirement for intravenous diuretic therapy in the 12 months prior to initiating treatment with this drug</w:t>
            </w:r>
          </w:p>
          <w:p w14:paraId="7F5D5BF9" w14:textId="2347895E" w:rsidR="002C3CD6" w:rsidRPr="001677F9" w:rsidRDefault="002C3CD6" w:rsidP="002C3CD6">
            <w:pPr>
              <w:spacing w:before="20" w:after="20" w:line="276" w:lineRule="auto"/>
              <w:jc w:val="left"/>
              <w:rPr>
                <w:rFonts w:ascii="Arial" w:hAnsi="Arial"/>
                <w:strike/>
                <w:sz w:val="18"/>
                <w:szCs w:val="20"/>
                <w:lang w:bidi="en-US"/>
              </w:rPr>
            </w:pPr>
            <w:r w:rsidRPr="001677F9">
              <w:rPr>
                <w:rFonts w:ascii="Arial Narrow" w:hAnsi="Arial Narrow" w:cs="SimSun"/>
                <w:i/>
                <w:iCs/>
                <w:sz w:val="20"/>
                <w:szCs w:val="20"/>
                <w:lang w:bidi="en-US"/>
              </w:rPr>
              <w:t>(iv) elevated N-terminal pro brain natriuretic peptide (NT-proBNP) levels in the absence of another cause</w:t>
            </w:r>
          </w:p>
        </w:tc>
      </w:tr>
      <w:tr w:rsidR="00E3012B" w:rsidRPr="001677F9" w14:paraId="63A194E8" w14:textId="77777777" w:rsidTr="002B217A">
        <w:tblPrEx>
          <w:jc w:val="left"/>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43F9DD0A" w14:textId="77777777" w:rsidR="00E3012B" w:rsidRPr="001677F9" w:rsidRDefault="00E3012B" w:rsidP="009402F2">
            <w:pPr>
              <w:pStyle w:val="TableText0"/>
              <w:keepNext w:val="0"/>
              <w:rPr>
                <w:rFonts w:cs="Arial"/>
              </w:rPr>
            </w:pPr>
            <w:r w:rsidRPr="001677F9">
              <w:rPr>
                <w:rFonts w:cs="Arial"/>
                <w:b/>
              </w:rPr>
              <w:t>AND</w:t>
            </w:r>
          </w:p>
        </w:tc>
      </w:tr>
      <w:tr w:rsidR="00E3012B" w:rsidRPr="001677F9" w14:paraId="022E94AC" w14:textId="77777777" w:rsidTr="002B217A">
        <w:tblPrEx>
          <w:jc w:val="left"/>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48DA8509" w14:textId="77777777" w:rsidR="00E3012B" w:rsidRPr="001677F9" w:rsidRDefault="00E3012B" w:rsidP="009402F2">
            <w:pPr>
              <w:pStyle w:val="TableText0"/>
              <w:keepNext w:val="0"/>
              <w:rPr>
                <w:rFonts w:cs="Arial"/>
                <w:b/>
              </w:rPr>
            </w:pPr>
            <w:r w:rsidRPr="001677F9">
              <w:rPr>
                <w:b/>
              </w:rPr>
              <w:t>Clinical criteria:</w:t>
            </w:r>
          </w:p>
        </w:tc>
      </w:tr>
      <w:tr w:rsidR="00E3012B" w:rsidRPr="001677F9" w14:paraId="33905CB3" w14:textId="77777777" w:rsidTr="002B217A">
        <w:tblPrEx>
          <w:jc w:val="left"/>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500A3B43" w14:textId="77777777" w:rsidR="00E3012B" w:rsidRPr="001677F9" w:rsidRDefault="00E3012B" w:rsidP="009402F2">
            <w:pPr>
              <w:pStyle w:val="TableText0"/>
              <w:keepNext w:val="0"/>
              <w:rPr>
                <w:b/>
              </w:rPr>
            </w:pPr>
            <w:r w:rsidRPr="001677F9">
              <w:rPr>
                <w:rFonts w:cs="Arial"/>
              </w:rPr>
              <w:t>Patient must not be receiving treatment with another sodium-glucose co-transporter 2 (SGLT2) inhibitor.</w:t>
            </w:r>
          </w:p>
        </w:tc>
      </w:tr>
      <w:tr w:rsidR="00E3012B" w:rsidRPr="001677F9" w14:paraId="2BF035FE" w14:textId="77777777" w:rsidTr="002B217A">
        <w:tblPrEx>
          <w:jc w:val="left"/>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444103F6" w14:textId="77777777" w:rsidR="00E3012B" w:rsidRPr="001677F9" w:rsidRDefault="00E3012B" w:rsidP="009402F2">
            <w:pPr>
              <w:pStyle w:val="TableText0"/>
              <w:keepNext w:val="0"/>
              <w:rPr>
                <w:b/>
              </w:rPr>
            </w:pPr>
            <w:r w:rsidRPr="001677F9">
              <w:rPr>
                <w:b/>
              </w:rPr>
              <w:t xml:space="preserve">Administrative Advice: </w:t>
            </w:r>
          </w:p>
          <w:p w14:paraId="0D41D268" w14:textId="77777777" w:rsidR="00E3012B" w:rsidRPr="001677F9" w:rsidRDefault="00E3012B" w:rsidP="009402F2">
            <w:pPr>
              <w:pStyle w:val="TableText0"/>
              <w:keepNext w:val="0"/>
              <w:rPr>
                <w:rFonts w:eastAsiaTheme="minorHAnsi" w:cs="Arial"/>
              </w:rPr>
            </w:pPr>
            <w:r w:rsidRPr="001677F9">
              <w:rPr>
                <w:rFonts w:eastAsiaTheme="minorHAnsi" w:cs="Arial"/>
              </w:rPr>
              <w:t>Note:</w:t>
            </w:r>
          </w:p>
          <w:p w14:paraId="313191AF" w14:textId="77777777" w:rsidR="00E3012B" w:rsidRPr="001677F9" w:rsidRDefault="00E3012B" w:rsidP="009402F2">
            <w:pPr>
              <w:pStyle w:val="TableText0"/>
              <w:keepNext w:val="0"/>
              <w:rPr>
                <w:rFonts w:eastAsiaTheme="minorHAnsi" w:cs="Arial"/>
              </w:rPr>
            </w:pPr>
            <w:r w:rsidRPr="001677F9">
              <w:rPr>
                <w:rFonts w:eastAsiaTheme="minorHAnsi" w:cs="Arial"/>
              </w:rPr>
              <w:t>Continuing Therapy Only</w:t>
            </w:r>
          </w:p>
          <w:p w14:paraId="7CECB324" w14:textId="77777777" w:rsidR="00E3012B" w:rsidRPr="001677F9" w:rsidRDefault="00E3012B" w:rsidP="009402F2">
            <w:pPr>
              <w:pStyle w:val="TableText0"/>
              <w:keepNext w:val="0"/>
              <w:rPr>
                <w:rFonts w:cs="Arial"/>
              </w:rPr>
            </w:pPr>
            <w:r w:rsidRPr="001677F9">
              <w:rPr>
                <w:rFonts w:cs="Arial"/>
              </w:rPr>
              <w:t>For prescribing by Nurse Practitioners as continuing therapy only, where the treatment of, and prescribing of medicine for, a patient has been initiated by a Medical Practitioner. Further information can be found in the Explanatory Notes for Nurse Practitioners.</w:t>
            </w:r>
          </w:p>
          <w:p w14:paraId="0FD4EBB2" w14:textId="0A30F597" w:rsidR="002C3CD6" w:rsidRPr="001677F9" w:rsidRDefault="002C3CD6" w:rsidP="009402F2">
            <w:pPr>
              <w:pStyle w:val="TableText0"/>
              <w:keepNext w:val="0"/>
              <w:rPr>
                <w:rFonts w:cs="Times New Roman"/>
                <w:i/>
                <w:iCs/>
                <w:szCs w:val="20"/>
              </w:rPr>
            </w:pPr>
            <w:r w:rsidRPr="001677F9">
              <w:rPr>
                <w:rFonts w:cs="Times New Roman"/>
                <w:i/>
                <w:iCs/>
                <w:szCs w:val="20"/>
              </w:rPr>
              <w:t>No increase in the maximum quantity or number of units may be authorised.</w:t>
            </w:r>
          </w:p>
          <w:p w14:paraId="55AEBF5D" w14:textId="06747535" w:rsidR="002C3CD6" w:rsidRPr="001677F9" w:rsidRDefault="002C3CD6" w:rsidP="002C3CD6">
            <w:pPr>
              <w:pStyle w:val="TableText0"/>
              <w:keepNext w:val="0"/>
            </w:pPr>
            <w:r w:rsidRPr="001677F9">
              <w:rPr>
                <w:rFonts w:cs="Times New Roman"/>
                <w:i/>
                <w:iCs/>
                <w:szCs w:val="20"/>
              </w:rPr>
              <w:t>No increase in the maximum number of repeats may be authorised.</w:t>
            </w:r>
          </w:p>
        </w:tc>
      </w:tr>
    </w:tbl>
    <w:p w14:paraId="71CEF029" w14:textId="01AEE8AB" w:rsidR="002C3CD6" w:rsidRPr="001677F9" w:rsidRDefault="00E3012B" w:rsidP="00933F06">
      <w:pPr>
        <w:pStyle w:val="FooterTableFigure"/>
      </w:pPr>
      <w:r w:rsidRPr="001677F9">
        <w:t>NYHA</w:t>
      </w:r>
      <w:r w:rsidR="00C91766" w:rsidRPr="001677F9">
        <w:t xml:space="preserve"> =</w:t>
      </w:r>
      <w:r w:rsidRPr="001677F9">
        <w:t xml:space="preserve"> New York Heart Association</w:t>
      </w:r>
      <w:r w:rsidR="00922F21" w:rsidRPr="001677F9">
        <w:t>.</w:t>
      </w:r>
    </w:p>
    <w:p w14:paraId="00FD42F0" w14:textId="769905C2" w:rsidR="00EF203E" w:rsidRPr="001677F9" w:rsidRDefault="00963B93" w:rsidP="008A2105">
      <w:pPr>
        <w:pStyle w:val="ExecSumBodyText"/>
        <w:numPr>
          <w:ilvl w:val="1"/>
          <w:numId w:val="1"/>
        </w:numPr>
        <w:rPr>
          <w:iCs/>
        </w:rPr>
      </w:pPr>
      <w:bookmarkStart w:id="12" w:name="_Hlk130478796"/>
      <w:r w:rsidRPr="001677F9">
        <w:rPr>
          <w:iCs/>
        </w:rPr>
        <w:t xml:space="preserve">The requested dispensed price for dapagliflozin of $56.97 was the same as the PBS listed price for dapagliflozin 10 mg tablets for </w:t>
      </w:r>
      <w:r w:rsidR="00050175" w:rsidRPr="001677F9">
        <w:rPr>
          <w:iCs/>
        </w:rPr>
        <w:t xml:space="preserve">T2DM, CKD </w:t>
      </w:r>
      <w:r w:rsidRPr="001677F9">
        <w:rPr>
          <w:iCs/>
        </w:rPr>
        <w:t xml:space="preserve">and chronic </w:t>
      </w:r>
      <w:r w:rsidR="00050175" w:rsidRPr="001677F9">
        <w:rPr>
          <w:iCs/>
        </w:rPr>
        <w:t xml:space="preserve">HF with LVEF </w:t>
      </w:r>
      <w:r w:rsidR="00050175" w:rsidRPr="001677F9">
        <w:rPr>
          <w:rFonts w:cstheme="minorHAnsi"/>
          <w:iCs/>
          <w:shd w:val="clear" w:color="auto" w:fill="FFFFFF"/>
        </w:rPr>
        <w:t>≤40%</w:t>
      </w:r>
      <w:r w:rsidR="00050175" w:rsidRPr="001677F9">
        <w:rPr>
          <w:iCs/>
        </w:rPr>
        <w:t>.</w:t>
      </w:r>
    </w:p>
    <w:bookmarkEnd w:id="12"/>
    <w:p w14:paraId="1C88D735" w14:textId="6D2B257D" w:rsidR="00062410" w:rsidRPr="001677F9" w:rsidRDefault="00EF203E" w:rsidP="00062410">
      <w:pPr>
        <w:pStyle w:val="3-BodyText"/>
        <w:rPr>
          <w:rFonts w:cstheme="minorHAnsi"/>
        </w:rPr>
      </w:pPr>
      <w:r w:rsidRPr="001677F9">
        <w:t xml:space="preserve">The requested restriction is narrower than the proposed TGA indication, restricting eligibility to patients with </w:t>
      </w:r>
      <w:r w:rsidR="00C92C47" w:rsidRPr="001677F9">
        <w:t>New York Heart Association (</w:t>
      </w:r>
      <w:r w:rsidRPr="001677F9">
        <w:t>NYHA</w:t>
      </w:r>
      <w:r w:rsidR="00C92C47" w:rsidRPr="001677F9">
        <w:t>)</w:t>
      </w:r>
      <w:r w:rsidRPr="001677F9">
        <w:t xml:space="preserve"> class II, III or IV heart failure</w:t>
      </w:r>
      <w:r w:rsidR="008178B8" w:rsidRPr="001677F9">
        <w:t>,</w:t>
      </w:r>
      <w:r w:rsidRPr="001677F9">
        <w:t xml:space="preserve"> with a </w:t>
      </w:r>
      <w:r w:rsidR="00BC3AE6" w:rsidRPr="001677F9">
        <w:t xml:space="preserve">LVEF </w:t>
      </w:r>
      <w:r w:rsidRPr="001677F9">
        <w:t>&gt;40% and evidence of structural heart disease</w:t>
      </w:r>
      <w:r w:rsidR="008178B8" w:rsidRPr="001677F9">
        <w:t xml:space="preserve"> and</w:t>
      </w:r>
      <w:r w:rsidRPr="001677F9">
        <w:t xml:space="preserve"> receiving concomitant optimal standard chronic </w:t>
      </w:r>
      <w:r w:rsidR="008178B8" w:rsidRPr="001677F9">
        <w:t>HF</w:t>
      </w:r>
      <w:r w:rsidRPr="001677F9">
        <w:t xml:space="preserve"> treatment unless contraindicated or not tolerated. </w:t>
      </w:r>
      <w:r w:rsidR="00062410" w:rsidRPr="001677F9">
        <w:rPr>
          <w:rFonts w:cstheme="minorHAnsi"/>
          <w:iCs/>
        </w:rPr>
        <w:t>The PBAC previously considered it was not appropriate to require concomitant use of standard treatment in the restriction when considering empagliflozin</w:t>
      </w:r>
      <w:r w:rsidR="00C46023" w:rsidRPr="001677F9">
        <w:rPr>
          <w:rFonts w:cstheme="minorHAnsi"/>
          <w:iCs/>
        </w:rPr>
        <w:t>,</w:t>
      </w:r>
      <w:r w:rsidR="00062410" w:rsidRPr="001677F9">
        <w:rPr>
          <w:rFonts w:cstheme="minorHAnsi"/>
          <w:iCs/>
        </w:rPr>
        <w:t xml:space="preserve"> given there is a lack of evidence for specific disease-modifying therapies for heart failure patients with preserved ejection fraction (</w:t>
      </w:r>
      <w:r w:rsidR="00062410" w:rsidRPr="001677F9">
        <w:t xml:space="preserve">para 7.15 empagliflozin </w:t>
      </w:r>
      <w:r w:rsidR="0091161B">
        <w:t>PSD</w:t>
      </w:r>
      <w:r w:rsidR="00062410" w:rsidRPr="001677F9">
        <w:t>, November 2022).</w:t>
      </w:r>
    </w:p>
    <w:p w14:paraId="7330CB09" w14:textId="2DD3A1B3" w:rsidR="004E220D" w:rsidRPr="001677F9" w:rsidRDefault="00EF203E" w:rsidP="00F034E8">
      <w:pPr>
        <w:pStyle w:val="ExecSumBodyText"/>
        <w:numPr>
          <w:ilvl w:val="1"/>
          <w:numId w:val="1"/>
        </w:numPr>
        <w:rPr>
          <w:rFonts w:cstheme="minorHAnsi"/>
          <w:iCs/>
        </w:rPr>
      </w:pPr>
      <w:bookmarkStart w:id="13" w:name="_Hlk140655528"/>
      <w:r w:rsidRPr="001677F9">
        <w:t xml:space="preserve">The requested </w:t>
      </w:r>
      <w:bookmarkEnd w:id="13"/>
      <w:r w:rsidRPr="001677F9">
        <w:t>restriction is broadly consistent with the inclusion criteria of the key clinical trial (DELIVER</w:t>
      </w:r>
      <w:r w:rsidR="00BC3AE6" w:rsidRPr="001677F9">
        <w:t>) but</w:t>
      </w:r>
      <w:r w:rsidR="00FC575B" w:rsidRPr="001677F9">
        <w:t xml:space="preserve"> does not require evidence of elevated </w:t>
      </w:r>
      <w:r w:rsidR="004C1D77" w:rsidRPr="001677F9">
        <w:t>N-terminal pro b-type natriuretic peptide (</w:t>
      </w:r>
      <w:r w:rsidR="00FC575B" w:rsidRPr="001677F9">
        <w:t>NT-pro BNP</w:t>
      </w:r>
      <w:r w:rsidR="004C1D77" w:rsidRPr="001677F9">
        <w:t>)</w:t>
      </w:r>
      <w:r w:rsidR="00FC575B" w:rsidRPr="001677F9">
        <w:t xml:space="preserve"> levels</w:t>
      </w:r>
      <w:r w:rsidR="00EB4E8A" w:rsidRPr="001677F9">
        <w:t>.</w:t>
      </w:r>
      <w:r w:rsidR="00F034E8" w:rsidRPr="001677F9">
        <w:t xml:space="preserve">  </w:t>
      </w:r>
      <w:r w:rsidR="00F034E8" w:rsidRPr="001677F9">
        <w:rPr>
          <w:iCs/>
        </w:rPr>
        <w:t xml:space="preserve">The </w:t>
      </w:r>
      <w:r w:rsidR="0020665D" w:rsidRPr="001677F9">
        <w:rPr>
          <w:iCs/>
        </w:rPr>
        <w:t xml:space="preserve">PBAC </w:t>
      </w:r>
      <w:r w:rsidR="00F034E8" w:rsidRPr="001677F9">
        <w:rPr>
          <w:iCs/>
        </w:rPr>
        <w:t>considered this was appropriate and noted that e</w:t>
      </w:r>
      <w:r w:rsidR="00F034E8" w:rsidRPr="001677F9">
        <w:rPr>
          <w:rFonts w:cstheme="minorHAnsi"/>
          <w:iCs/>
        </w:rPr>
        <w:t xml:space="preserve">levated NT-proBNP is required for eligibility for heart failure clinical trials but not required for PBS listings for dapagliflozin </w:t>
      </w:r>
      <w:r w:rsidR="0039246A" w:rsidRPr="001677F9">
        <w:rPr>
          <w:rFonts w:cstheme="minorHAnsi"/>
          <w:iCs/>
        </w:rPr>
        <w:t xml:space="preserve">and empagliflozin </w:t>
      </w:r>
      <w:r w:rsidR="00F034E8" w:rsidRPr="001677F9">
        <w:rPr>
          <w:rFonts w:cstheme="minorHAnsi"/>
          <w:iCs/>
        </w:rPr>
        <w:t>in HFrEF or in HFpEF for empagliflozin.</w:t>
      </w:r>
    </w:p>
    <w:p w14:paraId="5B4FFCA8" w14:textId="612A6F6A" w:rsidR="004E220D" w:rsidRPr="001677F9" w:rsidRDefault="00C91766" w:rsidP="004E220D">
      <w:pPr>
        <w:pStyle w:val="ExecSumBodyText"/>
        <w:numPr>
          <w:ilvl w:val="1"/>
          <w:numId w:val="1"/>
        </w:numPr>
        <w:rPr>
          <w:iCs/>
        </w:rPr>
      </w:pPr>
      <w:bookmarkStart w:id="14" w:name="_Ref134013355"/>
      <w:r w:rsidRPr="001677F9">
        <w:t>The requested restriction was b</w:t>
      </w:r>
      <w:r w:rsidR="00EB4E8A" w:rsidRPr="001677F9">
        <w:t>roadly consistent</w:t>
      </w:r>
      <w:r w:rsidRPr="001677F9">
        <w:t xml:space="preserve"> </w:t>
      </w:r>
      <w:r w:rsidR="00EB4E8A" w:rsidRPr="001677F9">
        <w:t xml:space="preserve">with the </w:t>
      </w:r>
      <w:r w:rsidRPr="001677F9">
        <w:t xml:space="preserve">restriction </w:t>
      </w:r>
      <w:r w:rsidR="00B307AA" w:rsidRPr="001677F9">
        <w:t xml:space="preserve">recommended </w:t>
      </w:r>
      <w:r w:rsidRPr="001677F9">
        <w:t>for empagliflozin</w:t>
      </w:r>
      <w:r w:rsidR="00EB4E8A" w:rsidRPr="001677F9">
        <w:t xml:space="preserve"> </w:t>
      </w:r>
      <w:r w:rsidR="00050175" w:rsidRPr="001677F9">
        <w:t>for treatment of patients with HF with LVEF &gt;40%</w:t>
      </w:r>
      <w:r w:rsidRPr="001677F9">
        <w:t>, considered by the PBAC at the November 2022 PBAC meeting</w:t>
      </w:r>
      <w:r w:rsidR="00EB4E8A" w:rsidRPr="001677F9">
        <w:t xml:space="preserve">. </w:t>
      </w:r>
      <w:r w:rsidR="0020665D" w:rsidRPr="001677F9">
        <w:rPr>
          <w:rFonts w:cstheme="minorHAnsi"/>
        </w:rPr>
        <w:t>Howeve</w:t>
      </w:r>
      <w:r w:rsidR="001469BC" w:rsidRPr="001677F9">
        <w:rPr>
          <w:rFonts w:cstheme="minorHAnsi"/>
        </w:rPr>
        <w:t xml:space="preserve">r, the restriction </w:t>
      </w:r>
      <w:r w:rsidR="00B307AA" w:rsidRPr="001677F9">
        <w:rPr>
          <w:rFonts w:cstheme="minorHAnsi"/>
        </w:rPr>
        <w:t xml:space="preserve">recommended </w:t>
      </w:r>
      <w:r w:rsidR="001469BC" w:rsidRPr="001677F9">
        <w:rPr>
          <w:rFonts w:cstheme="minorHAnsi"/>
        </w:rPr>
        <w:t>for empagliflozin included, in addition to evidence of structural heart disease, the presence of at least one of four additional diagnostic criteria</w:t>
      </w:r>
      <w:r w:rsidR="004E220D" w:rsidRPr="001677F9">
        <w:rPr>
          <w:rFonts w:cstheme="minorHAnsi"/>
        </w:rPr>
        <w:t>:</w:t>
      </w:r>
      <w:bookmarkEnd w:id="14"/>
      <w:r w:rsidR="001469BC" w:rsidRPr="001677F9">
        <w:rPr>
          <w:rFonts w:cstheme="minorHAnsi"/>
        </w:rPr>
        <w:t xml:space="preserve"> </w:t>
      </w:r>
    </w:p>
    <w:p w14:paraId="0F6D951A" w14:textId="77777777" w:rsidR="004E220D" w:rsidRPr="001677F9" w:rsidRDefault="004E220D" w:rsidP="00AA7422">
      <w:pPr>
        <w:pStyle w:val="ExecSumBodyText"/>
        <w:numPr>
          <w:ilvl w:val="0"/>
          <w:numId w:val="7"/>
        </w:numPr>
        <w:spacing w:after="0"/>
        <w:ind w:left="1080" w:hanging="360"/>
        <w:rPr>
          <w:iCs/>
        </w:rPr>
      </w:pPr>
      <w:r w:rsidRPr="001677F9">
        <w:rPr>
          <w:rFonts w:cstheme="minorHAnsi"/>
          <w:iCs/>
        </w:rPr>
        <w:lastRenderedPageBreak/>
        <w:t xml:space="preserve">diastolic dysfunction with high filling pressure on echocardiography, stress echocardiography or cardiac catheterisation; OR </w:t>
      </w:r>
    </w:p>
    <w:p w14:paraId="2D841EB9" w14:textId="77777777" w:rsidR="004E220D" w:rsidRPr="001677F9" w:rsidRDefault="004E220D" w:rsidP="00AA7422">
      <w:pPr>
        <w:pStyle w:val="ExecSumBodyText"/>
        <w:numPr>
          <w:ilvl w:val="0"/>
          <w:numId w:val="7"/>
        </w:numPr>
        <w:spacing w:after="0"/>
        <w:ind w:left="1080" w:hanging="360"/>
        <w:rPr>
          <w:iCs/>
        </w:rPr>
      </w:pPr>
      <w:r w:rsidRPr="001677F9">
        <w:rPr>
          <w:rFonts w:cstheme="minorHAnsi"/>
          <w:iCs/>
        </w:rPr>
        <w:t>hospitalisation for heart failure in the 12 months prior to initiating treatment with this drug; OR</w:t>
      </w:r>
    </w:p>
    <w:p w14:paraId="55DD8B23" w14:textId="77777777" w:rsidR="004E220D" w:rsidRPr="001677F9" w:rsidRDefault="004E220D" w:rsidP="00AA7422">
      <w:pPr>
        <w:pStyle w:val="ExecSumBodyText"/>
        <w:numPr>
          <w:ilvl w:val="0"/>
          <w:numId w:val="7"/>
        </w:numPr>
        <w:spacing w:after="0"/>
        <w:ind w:left="1080" w:hanging="360"/>
        <w:rPr>
          <w:iCs/>
        </w:rPr>
      </w:pPr>
      <w:r w:rsidRPr="001677F9">
        <w:rPr>
          <w:rFonts w:cstheme="minorHAnsi"/>
          <w:iCs/>
        </w:rPr>
        <w:t xml:space="preserve">requirement for intravenous diuretic therapy in the 12 months prior to initiating treatment with this drug; OR </w:t>
      </w:r>
    </w:p>
    <w:p w14:paraId="5042FF3A" w14:textId="10C1C3AB" w:rsidR="004E220D" w:rsidRPr="001677F9" w:rsidRDefault="004E220D" w:rsidP="00AA7422">
      <w:pPr>
        <w:pStyle w:val="ExecSumBodyText"/>
        <w:numPr>
          <w:ilvl w:val="0"/>
          <w:numId w:val="7"/>
        </w:numPr>
        <w:ind w:left="1080" w:hanging="360"/>
        <w:rPr>
          <w:iCs/>
        </w:rPr>
      </w:pPr>
      <w:r w:rsidRPr="001677F9">
        <w:rPr>
          <w:rFonts w:cstheme="minorHAnsi"/>
          <w:iCs/>
        </w:rPr>
        <w:t xml:space="preserve">elevated N-terminal pro brain natriuretic peptide (NT-pro BNP) levels in the absence of another cause. </w:t>
      </w:r>
    </w:p>
    <w:p w14:paraId="5513E0D1" w14:textId="34011B90" w:rsidR="00C91766" w:rsidRPr="001677F9" w:rsidRDefault="004E220D" w:rsidP="0020665D">
      <w:pPr>
        <w:pStyle w:val="ExecSumBodyText"/>
        <w:ind w:firstLine="0"/>
      </w:pPr>
      <w:r w:rsidRPr="001677F9">
        <w:t>These</w:t>
      </w:r>
      <w:r w:rsidR="00B307AA" w:rsidRPr="001677F9">
        <w:t xml:space="preserve"> criteria were </w:t>
      </w:r>
      <w:r w:rsidR="001469BC" w:rsidRPr="001677F9">
        <w:t xml:space="preserve">not included in the restriction </w:t>
      </w:r>
      <w:r w:rsidR="00B307AA" w:rsidRPr="001677F9">
        <w:t xml:space="preserve">requested </w:t>
      </w:r>
      <w:r w:rsidR="001469BC" w:rsidRPr="001677F9">
        <w:t>for dapagliflozin.</w:t>
      </w:r>
      <w:r w:rsidR="00970176" w:rsidRPr="001677F9">
        <w:t xml:space="preserve"> </w:t>
      </w:r>
      <w:r w:rsidR="00C46023" w:rsidRPr="001677F9">
        <w:t xml:space="preserve"> Including these diagnostic criteria in the restriction for dapagliflozin may result in differen</w:t>
      </w:r>
      <w:r w:rsidR="00F31092" w:rsidRPr="001677F9">
        <w:t>c</w:t>
      </w:r>
      <w:r w:rsidR="00C46023" w:rsidRPr="001677F9">
        <w:t xml:space="preserve">es between the PBS population and the DELIVER clinical trial population.  </w:t>
      </w:r>
      <w:r w:rsidR="00970176" w:rsidRPr="001677F9">
        <w:t>Additionally, evidence of structural heart disease must be confirmed by echocardiogram</w:t>
      </w:r>
      <w:r w:rsidR="000B4D6E" w:rsidRPr="001677F9">
        <w:t xml:space="preserve"> in the restriction </w:t>
      </w:r>
      <w:r w:rsidR="00B307AA" w:rsidRPr="001677F9">
        <w:t xml:space="preserve">recommended </w:t>
      </w:r>
      <w:r w:rsidR="000B4D6E" w:rsidRPr="001677F9">
        <w:t>for empagliflozin</w:t>
      </w:r>
      <w:r w:rsidR="00970176" w:rsidRPr="001677F9">
        <w:t>; for dapagliflozin</w:t>
      </w:r>
      <w:r w:rsidR="000B4D6E" w:rsidRPr="001677F9">
        <w:t>, the restriction</w:t>
      </w:r>
      <w:r w:rsidR="00970176" w:rsidRPr="001677F9">
        <w:t xml:space="preserve"> </w:t>
      </w:r>
      <w:r w:rsidR="00B307AA" w:rsidRPr="001677F9">
        <w:t xml:space="preserve">requested </w:t>
      </w:r>
      <w:r w:rsidR="00970176" w:rsidRPr="001677F9">
        <w:t>does not describe what medical imaging is required to confirm structural heart disease.</w:t>
      </w:r>
      <w:r w:rsidR="00F31092" w:rsidRPr="001677F9">
        <w:t xml:space="preserve">  The </w:t>
      </w:r>
      <w:r w:rsidR="0020665D" w:rsidRPr="001677F9">
        <w:t xml:space="preserve">PBAC </w:t>
      </w:r>
      <w:r w:rsidR="00F31092" w:rsidRPr="001677F9">
        <w:t>considered that the restriction for dapagliflozin should be aligned with the recommended restriction for empagliflozin</w:t>
      </w:r>
      <w:r w:rsidR="0039246A" w:rsidRPr="001677F9">
        <w:t xml:space="preserve"> and that any differences between the DELIVER clinical trial population and the PBS population would be relatively minor</w:t>
      </w:r>
      <w:r w:rsidR="00F31092" w:rsidRPr="001677F9">
        <w:t>.</w:t>
      </w:r>
    </w:p>
    <w:p w14:paraId="6A69FF68" w14:textId="7EEDA1E2" w:rsidR="00851332" w:rsidRPr="001677F9" w:rsidRDefault="00851332" w:rsidP="00851332">
      <w:pPr>
        <w:pStyle w:val="ExecSumBodyText"/>
        <w:numPr>
          <w:ilvl w:val="1"/>
          <w:numId w:val="1"/>
        </w:numPr>
      </w:pPr>
      <w:r w:rsidRPr="001677F9">
        <w:t xml:space="preserve">The pre-PBAC response noted that a patient activation program would be initiated upon TGA approval, and a maximum of 500 patients was estimated.  The pre-PBAC response requested a grandfather restriction to enable continuing access for patients treated with dapagliflozin prior to the implementation of the proposed PBS listing. The PBAC considered that a separate grandfather restriction would not be required as these patients would be able to access dapagliflozin under the proposed restriction, and that it was not appropriate to add these patients to the financial estimates </w:t>
      </w:r>
      <w:r w:rsidR="00455882" w:rsidRPr="001677F9">
        <w:t xml:space="preserve">as </w:t>
      </w:r>
      <w:r w:rsidRPr="001677F9">
        <w:t>they were</w:t>
      </w:r>
      <w:r w:rsidR="00455882" w:rsidRPr="001677F9">
        <w:t xml:space="preserve"> already accounted for in </w:t>
      </w:r>
      <w:r w:rsidR="000E01EF" w:rsidRPr="001677F9">
        <w:t xml:space="preserve">the </w:t>
      </w:r>
      <w:r w:rsidRPr="001677F9">
        <w:t>estimated patient population.</w:t>
      </w:r>
    </w:p>
    <w:p w14:paraId="26116F68" w14:textId="77777777" w:rsidR="00951BAB" w:rsidRPr="004233D5" w:rsidRDefault="00951BAB" w:rsidP="00951BAB">
      <w:pPr>
        <w:pStyle w:val="3-BodyText"/>
        <w:numPr>
          <w:ilvl w:val="0"/>
          <w:numId w:val="0"/>
        </w:numPr>
        <w:ind w:left="720"/>
        <w:rPr>
          <w:iCs/>
        </w:rPr>
      </w:pPr>
      <w:r w:rsidRPr="001677F9">
        <w:rPr>
          <w:i/>
        </w:rPr>
        <w:t>For more detail on PBAC’s view, see section 7 PBAC outcome.</w:t>
      </w:r>
    </w:p>
    <w:p w14:paraId="7075B85C" w14:textId="62A47B7B" w:rsidR="00B50DB8" w:rsidRPr="001677F9" w:rsidDel="00195452" w:rsidRDefault="00203181" w:rsidP="008A2105">
      <w:pPr>
        <w:pStyle w:val="2-SectionHeading"/>
      </w:pPr>
      <w:bookmarkStart w:id="15" w:name="_Toc135217169"/>
      <w:r w:rsidRPr="001677F9" w:rsidDel="00195452">
        <w:t xml:space="preserve">Population and </w:t>
      </w:r>
      <w:r w:rsidR="008E0D3C" w:rsidRPr="001677F9" w:rsidDel="00195452">
        <w:t>d</w:t>
      </w:r>
      <w:r w:rsidRPr="001677F9" w:rsidDel="00195452">
        <w:t>isease</w:t>
      </w:r>
      <w:bookmarkEnd w:id="15"/>
    </w:p>
    <w:p w14:paraId="147EC256" w14:textId="2BAEAA6E" w:rsidR="00C064FB" w:rsidRPr="001677F9" w:rsidRDefault="00C064FB" w:rsidP="008A2105">
      <w:pPr>
        <w:pStyle w:val="3-BodyText"/>
      </w:pPr>
      <w:r w:rsidRPr="001677F9">
        <w:t xml:space="preserve">HF is a complex progressive clinical syndrome caused by underlying structural and/or functional impairment of cardiac ventricular filling or ejection of blood and is characterised by symptoms of dyspnoea and fatigue. Causes of HF include other </w:t>
      </w:r>
      <w:r w:rsidR="008178B8" w:rsidRPr="001677F9">
        <w:t xml:space="preserve">CV </w:t>
      </w:r>
      <w:r w:rsidRPr="001677F9">
        <w:t xml:space="preserve">conditions such as cardiomyopathies, coronary artery disease, </w:t>
      </w:r>
      <w:r w:rsidRPr="001677F9">
        <w:rPr>
          <w:color w:val="222222"/>
        </w:rPr>
        <w:t>left ventricular hypertrophy (LVH) caused by longstanding hypertension, rheumatic heart disease, </w:t>
      </w:r>
      <w:r w:rsidRPr="001677F9">
        <w:t>valvular heart disease and comorbidities like T2DM, CKD, obesity, sleep apnoea and hypertension. The presence of multiple biomedical risk factors and/or comorbidities has a cumulative effect on HF, increasing the risk and severity of the condition and complicating treatment.</w:t>
      </w:r>
    </w:p>
    <w:p w14:paraId="2246846E" w14:textId="0D1B3680" w:rsidR="002A245A" w:rsidRPr="001677F9" w:rsidRDefault="00C92C47" w:rsidP="008A2105">
      <w:pPr>
        <w:pStyle w:val="3-BodyText"/>
        <w:rPr>
          <w:rFonts w:cstheme="minorHAnsi"/>
        </w:rPr>
      </w:pPr>
      <w:r w:rsidRPr="001677F9">
        <w:t>The population requested by the submission is chronic HF patients with LVEF &gt;40%. The submission refer</w:t>
      </w:r>
      <w:r w:rsidR="00D17B42" w:rsidRPr="001677F9">
        <w:t>red</w:t>
      </w:r>
      <w:r w:rsidRPr="001677F9">
        <w:t xml:space="preserve"> to this population as patients with HF with preserved ejection fraction (HFpEF). This definition is inconsistent with American Heart </w:t>
      </w:r>
      <w:r w:rsidRPr="001677F9">
        <w:lastRenderedPageBreak/>
        <w:t>Association/American College of Cardiology (AHA/ACC)</w:t>
      </w:r>
      <w:r w:rsidR="006A0422" w:rsidRPr="001677F9">
        <w:rPr>
          <w:rStyle w:val="FootnoteReference"/>
        </w:rPr>
        <w:footnoteReference w:id="1"/>
      </w:r>
      <w:r w:rsidRPr="001677F9">
        <w:t xml:space="preserve"> and European Society of Cardiology (ESC 2021)</w:t>
      </w:r>
      <w:r w:rsidR="006A0422" w:rsidRPr="001677F9">
        <w:rPr>
          <w:rStyle w:val="FootnoteReference"/>
        </w:rPr>
        <w:footnoteReference w:id="2"/>
      </w:r>
      <w:r w:rsidRPr="001677F9">
        <w:t xml:space="preserve"> guidelines that define HF patients with LVEF ≥50% as HFpEF, those with LVEF between 41%-49% as HF with mildly reduced ejection fraction (HFmrEF) and patients with LVEF ≤40% as HFrEF. </w:t>
      </w:r>
      <w:r w:rsidR="00E22334" w:rsidRPr="001677F9">
        <w:rPr>
          <w:iCs/>
        </w:rPr>
        <w:t xml:space="preserve">Australian guidelines published by the </w:t>
      </w:r>
      <w:r w:rsidR="00E22334" w:rsidRPr="001677F9">
        <w:t xml:space="preserve">National Heart Foundation of Australia and Cardiac Society of Australia and New Zealand (NHFA/CSANZ) guidelines (Atherton 2018) </w:t>
      </w:r>
      <w:r w:rsidR="00E22334" w:rsidRPr="001677F9">
        <w:rPr>
          <w:iCs/>
        </w:rPr>
        <w:t>do not recommend a ‘mildly reduced’ category, but group patients with LVEF between 41-49% with the HFrEF population.</w:t>
      </w:r>
      <w:r w:rsidR="00E22334" w:rsidRPr="001677F9">
        <w:t xml:space="preserve"> </w:t>
      </w:r>
      <w:r w:rsidRPr="001677F9">
        <w:t>For clarity, the nomenclature for ejection fraction categorisation based on the AHA/ACC and ESC guidelines</w:t>
      </w:r>
      <w:r w:rsidR="00DD26F3" w:rsidRPr="001677F9">
        <w:t xml:space="preserve"> will be used</w:t>
      </w:r>
      <w:r w:rsidRPr="001677F9">
        <w:t>.</w:t>
      </w:r>
      <w:r w:rsidRPr="001677F9">
        <w:rPr>
          <w:iCs/>
        </w:rPr>
        <w:t xml:space="preserve"> </w:t>
      </w:r>
      <w:r w:rsidR="0039246A" w:rsidRPr="001677F9">
        <w:rPr>
          <w:iCs/>
        </w:rPr>
        <w:t xml:space="preserve"> </w:t>
      </w:r>
      <w:r w:rsidR="0039246A" w:rsidRPr="001677F9">
        <w:t xml:space="preserve">The ESC noted that the terminology for heart failure </w:t>
      </w:r>
      <w:r w:rsidR="00AC5933" w:rsidRPr="001677F9">
        <w:t xml:space="preserve">has been in a state of evolution and that consensus </w:t>
      </w:r>
      <w:r w:rsidR="00330949" w:rsidRPr="001677F9">
        <w:t>had not yet been reached</w:t>
      </w:r>
      <w:r w:rsidR="00AC5933" w:rsidRPr="001677F9">
        <w:t>.</w:t>
      </w:r>
    </w:p>
    <w:p w14:paraId="3928FA5F" w14:textId="4EB75838" w:rsidR="00C064FB" w:rsidRPr="001677F9" w:rsidRDefault="008178B8" w:rsidP="008A2105">
      <w:pPr>
        <w:pStyle w:val="3-BodyText"/>
        <w:rPr>
          <w:rFonts w:cstheme="minorHAnsi"/>
        </w:rPr>
      </w:pPr>
      <w:r w:rsidRPr="001677F9">
        <w:rPr>
          <w:rFonts w:cstheme="minorHAnsi"/>
        </w:rPr>
        <w:t>A</w:t>
      </w:r>
      <w:r w:rsidR="00C064FB" w:rsidRPr="001677F9">
        <w:rPr>
          <w:rFonts w:cstheme="minorHAnsi"/>
        </w:rPr>
        <w:t>pproximately 496,000 Australians are affected by HFpEF each year</w:t>
      </w:r>
      <w:r w:rsidR="002A245A" w:rsidRPr="001677F9">
        <w:rPr>
          <w:rFonts w:cstheme="minorHAnsi"/>
        </w:rPr>
        <w:t>, with women more substantially affected than men, particularly in older age groups</w:t>
      </w:r>
      <w:r w:rsidR="00C064FB" w:rsidRPr="001677F9">
        <w:rPr>
          <w:rFonts w:cstheme="minorHAnsi"/>
        </w:rPr>
        <w:t xml:space="preserve"> (67% versus 33%</w:t>
      </w:r>
      <w:r w:rsidR="002A245A" w:rsidRPr="001677F9">
        <w:rPr>
          <w:rFonts w:cstheme="minorHAnsi"/>
        </w:rPr>
        <w:t xml:space="preserve"> of total prevalence</w:t>
      </w:r>
      <w:r w:rsidR="00C064FB" w:rsidRPr="001677F9">
        <w:rPr>
          <w:rFonts w:cstheme="minorHAnsi"/>
        </w:rPr>
        <w:t>)</w:t>
      </w:r>
      <w:r w:rsidR="00412957" w:rsidRPr="001677F9">
        <w:rPr>
          <w:rStyle w:val="FootnoteReference"/>
          <w:rFonts w:cstheme="minorHAnsi"/>
        </w:rPr>
        <w:footnoteReference w:id="3"/>
      </w:r>
      <w:r w:rsidR="00412957" w:rsidRPr="001677F9">
        <w:rPr>
          <w:rFonts w:cstheme="minorHAnsi"/>
        </w:rPr>
        <w:t>.</w:t>
      </w:r>
      <w:r w:rsidRPr="001677F9">
        <w:rPr>
          <w:rFonts w:cstheme="minorHAnsi"/>
        </w:rPr>
        <w:t xml:space="preserve"> </w:t>
      </w:r>
    </w:p>
    <w:p w14:paraId="797A73EC" w14:textId="298B25ED" w:rsidR="009766DA" w:rsidRPr="001677F9" w:rsidRDefault="009766DA" w:rsidP="008A2105">
      <w:pPr>
        <w:pStyle w:val="3-BodyText"/>
        <w:rPr>
          <w:rFonts w:cstheme="minorHAnsi"/>
        </w:rPr>
      </w:pPr>
      <w:r w:rsidRPr="001677F9">
        <w:rPr>
          <w:rFonts w:cstheme="minorHAnsi"/>
        </w:rPr>
        <w:t xml:space="preserve">The recommended dosing of dapagliflozin for the treatment of </w:t>
      </w:r>
      <w:r w:rsidR="00C92C47" w:rsidRPr="001677F9">
        <w:rPr>
          <w:rFonts w:cstheme="minorHAnsi"/>
        </w:rPr>
        <w:t xml:space="preserve">HF with LVEF &gt;40% </w:t>
      </w:r>
      <w:r w:rsidRPr="001677F9">
        <w:rPr>
          <w:rFonts w:cstheme="minorHAnsi"/>
        </w:rPr>
        <w:t xml:space="preserve">is 10 mg (tablet) orally, once daily, added to SOC therapy, which in this </w:t>
      </w:r>
      <w:r w:rsidR="00C92C47" w:rsidRPr="001677F9">
        <w:rPr>
          <w:rFonts w:cstheme="minorHAnsi"/>
        </w:rPr>
        <w:t xml:space="preserve">submission </w:t>
      </w:r>
      <w:r w:rsidR="00CA7B7B" w:rsidRPr="001677F9">
        <w:rPr>
          <w:rFonts w:cstheme="minorHAnsi"/>
        </w:rPr>
        <w:t>was</w:t>
      </w:r>
      <w:r w:rsidRPr="001677F9">
        <w:rPr>
          <w:rFonts w:cstheme="minorHAnsi"/>
        </w:rPr>
        <w:t xml:space="preserve"> defined as </w:t>
      </w:r>
      <w:r w:rsidR="00C92C47" w:rsidRPr="001677F9">
        <w:rPr>
          <w:rFonts w:cstheme="minorHAnsi"/>
        </w:rPr>
        <w:t>‘</w:t>
      </w:r>
      <w:r w:rsidRPr="001677F9">
        <w:rPr>
          <w:rFonts w:cstheme="minorHAnsi"/>
          <w:iCs/>
        </w:rPr>
        <w:t xml:space="preserve">at least intermittent use of diuretics and may include other medicines used to manage HF or comorbidities in accordance with clinical </w:t>
      </w:r>
      <w:proofErr w:type="gramStart"/>
      <w:r w:rsidRPr="001677F9">
        <w:rPr>
          <w:rFonts w:cstheme="minorHAnsi"/>
          <w:iCs/>
        </w:rPr>
        <w:t>guidelines</w:t>
      </w:r>
      <w:r w:rsidR="00C92C47" w:rsidRPr="001677F9">
        <w:rPr>
          <w:rFonts w:cstheme="minorHAnsi"/>
          <w:iCs/>
        </w:rPr>
        <w:t>’</w:t>
      </w:r>
      <w:proofErr w:type="gramEnd"/>
      <w:r w:rsidRPr="001677F9">
        <w:rPr>
          <w:rFonts w:cstheme="minorHAnsi"/>
          <w:iCs/>
        </w:rPr>
        <w:t>.</w:t>
      </w:r>
    </w:p>
    <w:p w14:paraId="64A53BF7" w14:textId="79D3C89F" w:rsidR="00C92C47" w:rsidRPr="001677F9" w:rsidRDefault="009766DA" w:rsidP="00762BB6">
      <w:pPr>
        <w:pStyle w:val="3-BodyText"/>
      </w:pPr>
      <w:r w:rsidRPr="001677F9">
        <w:t xml:space="preserve">The proposed clinical management algorithm positioned dapagliflozin in addition to SOC therapy in the treatment of HFpEF. This is broadly consistent with the </w:t>
      </w:r>
      <w:r w:rsidR="00FD7106" w:rsidRPr="001677F9">
        <w:t xml:space="preserve">requested restriction, the </w:t>
      </w:r>
      <w:r w:rsidR="00C92C47" w:rsidRPr="001677F9">
        <w:t xml:space="preserve">proposed </w:t>
      </w:r>
      <w:r w:rsidRPr="001677F9">
        <w:t>TGA indication and the inclusion criteria of the key clinical trial.</w:t>
      </w:r>
      <w:r w:rsidR="00C92C47" w:rsidRPr="001677F9">
        <w:t xml:space="preserve"> </w:t>
      </w:r>
    </w:p>
    <w:p w14:paraId="0634C9A4" w14:textId="77777777" w:rsidR="00951BAB" w:rsidRPr="004233D5" w:rsidRDefault="00951BAB" w:rsidP="00951BAB">
      <w:pPr>
        <w:pStyle w:val="3-BodyText"/>
        <w:numPr>
          <w:ilvl w:val="0"/>
          <w:numId w:val="0"/>
        </w:numPr>
        <w:ind w:left="720"/>
        <w:rPr>
          <w:iCs/>
        </w:rPr>
      </w:pPr>
      <w:r w:rsidRPr="001677F9">
        <w:rPr>
          <w:i/>
        </w:rPr>
        <w:t>For more detail on PBAC’s view, see section 7 PBAC outcome.</w:t>
      </w:r>
    </w:p>
    <w:p w14:paraId="51E5AE96" w14:textId="136A63B1" w:rsidR="00B50DB8" w:rsidRPr="001677F9" w:rsidRDefault="00B50DB8" w:rsidP="008A2105">
      <w:pPr>
        <w:pStyle w:val="2-SectionHeading"/>
      </w:pPr>
      <w:bookmarkStart w:id="16" w:name="_Toc135217170"/>
      <w:r w:rsidRPr="001677F9">
        <w:t>Comparator</w:t>
      </w:r>
      <w:bookmarkEnd w:id="16"/>
    </w:p>
    <w:p w14:paraId="10D55C29" w14:textId="19640ECF" w:rsidR="00363DB3" w:rsidRPr="001677F9" w:rsidRDefault="009A57AB" w:rsidP="008A2105">
      <w:pPr>
        <w:pStyle w:val="3-BodyText"/>
        <w:rPr>
          <w:snapToGrid/>
        </w:rPr>
      </w:pPr>
      <w:r w:rsidRPr="001677F9">
        <w:t>The submission nominated empagliflozin added to SOC as the main comparator. The main arguments provided in support of this nomination were that empagliflozin added to SOC was recently recommended for PBS</w:t>
      </w:r>
      <w:r w:rsidR="004C1D77" w:rsidRPr="001677F9">
        <w:t xml:space="preserve"> </w:t>
      </w:r>
      <w:r w:rsidRPr="001677F9">
        <w:t xml:space="preserve">listing for </w:t>
      </w:r>
      <w:r w:rsidR="00C92C47" w:rsidRPr="001677F9">
        <w:t>treatment of patients with patients with HF with LVEF &gt;40%</w:t>
      </w:r>
      <w:r w:rsidR="00363DB3" w:rsidRPr="001677F9">
        <w:t xml:space="preserve">. </w:t>
      </w:r>
      <w:r w:rsidR="002C20BE" w:rsidRPr="001677F9">
        <w:rPr>
          <w:iCs/>
        </w:rPr>
        <w:t xml:space="preserve">Empagliflozin </w:t>
      </w:r>
      <w:r w:rsidR="00CA7B7B" w:rsidRPr="001677F9">
        <w:rPr>
          <w:iCs/>
        </w:rPr>
        <w:t>was</w:t>
      </w:r>
      <w:r w:rsidR="00C92C47" w:rsidRPr="001677F9">
        <w:rPr>
          <w:iCs/>
        </w:rPr>
        <w:t xml:space="preserve"> not yet PBS listed </w:t>
      </w:r>
      <w:r w:rsidR="00CA7B7B" w:rsidRPr="001677F9">
        <w:rPr>
          <w:iCs/>
        </w:rPr>
        <w:t>at the time of submission</w:t>
      </w:r>
      <w:r w:rsidR="00C92C47" w:rsidRPr="001677F9">
        <w:rPr>
          <w:iCs/>
        </w:rPr>
        <w:t xml:space="preserve">. On this basis, SOC alone </w:t>
      </w:r>
      <w:r w:rsidR="00CA7B7B" w:rsidRPr="001677F9">
        <w:rPr>
          <w:iCs/>
        </w:rPr>
        <w:t>was</w:t>
      </w:r>
      <w:r w:rsidR="0082782D" w:rsidRPr="001677F9">
        <w:rPr>
          <w:iCs/>
        </w:rPr>
        <w:t xml:space="preserve"> </w:t>
      </w:r>
      <w:r w:rsidR="00C92C47" w:rsidRPr="001677F9">
        <w:rPr>
          <w:iCs/>
        </w:rPr>
        <w:t xml:space="preserve">a relevant secondary comparator. </w:t>
      </w:r>
      <w:bookmarkStart w:id="17" w:name="_Toc22897640"/>
    </w:p>
    <w:p w14:paraId="58857DCC" w14:textId="437169B8" w:rsidR="002C20BE" w:rsidRPr="001677F9" w:rsidRDefault="002C20BE" w:rsidP="002C20BE">
      <w:pPr>
        <w:pStyle w:val="3-BodyText"/>
      </w:pPr>
      <w:r w:rsidRPr="001677F9">
        <w:rPr>
          <w:iCs/>
        </w:rPr>
        <w:t xml:space="preserve">The PBAC </w:t>
      </w:r>
      <w:r w:rsidRPr="001677F9">
        <w:rPr>
          <w:rFonts w:cstheme="minorHAnsi"/>
        </w:rPr>
        <w:t xml:space="preserve">considered that empagliflozin was the appropriate main comparator. </w:t>
      </w:r>
    </w:p>
    <w:p w14:paraId="5CC3BA90" w14:textId="77777777" w:rsidR="00951BAB" w:rsidRPr="004233D5" w:rsidRDefault="00951BAB" w:rsidP="00951BAB">
      <w:pPr>
        <w:pStyle w:val="3-BodyText"/>
        <w:numPr>
          <w:ilvl w:val="0"/>
          <w:numId w:val="0"/>
        </w:numPr>
        <w:ind w:left="720"/>
        <w:rPr>
          <w:iCs/>
        </w:rPr>
      </w:pPr>
      <w:r w:rsidRPr="001677F9">
        <w:rPr>
          <w:i/>
        </w:rPr>
        <w:lastRenderedPageBreak/>
        <w:t>For more detail on PBAC’s view, see section 7 PBAC outcome.</w:t>
      </w:r>
    </w:p>
    <w:p w14:paraId="7F9C27C8" w14:textId="5E35E863" w:rsidR="00223D5A" w:rsidRPr="001677F9" w:rsidRDefault="00223D5A" w:rsidP="008A2105">
      <w:pPr>
        <w:pStyle w:val="2-SectionHeading"/>
        <w:numPr>
          <w:ilvl w:val="0"/>
          <w:numId w:val="1"/>
        </w:numPr>
      </w:pPr>
      <w:bookmarkStart w:id="18" w:name="_Toc135217171"/>
      <w:r w:rsidRPr="001677F9">
        <w:t>Consideration of the evidence</w:t>
      </w:r>
      <w:bookmarkEnd w:id="18"/>
    </w:p>
    <w:p w14:paraId="655E3AE7" w14:textId="77777777" w:rsidR="00E411FB" w:rsidRPr="001677F9" w:rsidRDefault="00E411FB" w:rsidP="00E411FB">
      <w:pPr>
        <w:pStyle w:val="4-SubsectionHeading"/>
      </w:pPr>
      <w:bookmarkStart w:id="19" w:name="_Hlk76375935"/>
      <w:bookmarkStart w:id="20" w:name="_Toc135217172"/>
      <w:r w:rsidRPr="001677F9">
        <w:t>Sponsor hearing</w:t>
      </w:r>
    </w:p>
    <w:p w14:paraId="77F90574" w14:textId="10E9AA32" w:rsidR="00E411FB" w:rsidRPr="001677F9" w:rsidRDefault="00E411FB" w:rsidP="00AA7422">
      <w:pPr>
        <w:widowControl w:val="0"/>
        <w:numPr>
          <w:ilvl w:val="1"/>
          <w:numId w:val="18"/>
        </w:numPr>
        <w:spacing w:after="120"/>
        <w:rPr>
          <w:rFonts w:cs="Calibri"/>
          <w:bCs/>
          <w:snapToGrid w:val="0"/>
        </w:rPr>
      </w:pPr>
      <w:r w:rsidRPr="001677F9">
        <w:rPr>
          <w:rFonts w:cs="Calibri"/>
          <w:bCs/>
          <w:snapToGrid w:val="0"/>
        </w:rPr>
        <w:t>There was no hearing for this item.</w:t>
      </w:r>
    </w:p>
    <w:p w14:paraId="3A1FB42B" w14:textId="77777777" w:rsidR="00E411FB" w:rsidRPr="001677F9" w:rsidRDefault="00E411FB" w:rsidP="00E411FB">
      <w:pPr>
        <w:pStyle w:val="4-SubsectionHeading"/>
      </w:pPr>
      <w:r w:rsidRPr="001677F9">
        <w:t>Consumer comments</w:t>
      </w:r>
    </w:p>
    <w:p w14:paraId="23A32E87" w14:textId="2B4A2280" w:rsidR="00E411FB" w:rsidRPr="001677F9" w:rsidRDefault="00D069D1" w:rsidP="00E411FB">
      <w:pPr>
        <w:pStyle w:val="3-BodyText"/>
        <w:numPr>
          <w:ilvl w:val="1"/>
          <w:numId w:val="18"/>
        </w:numPr>
      </w:pPr>
      <w:bookmarkStart w:id="21" w:name="_Hlk76382618"/>
      <w:r w:rsidRPr="001677F9">
        <w:t>The PBAC noted and welcomed the input from Diabetes Australia and Hearts4</w:t>
      </w:r>
      <w:r w:rsidR="005A483B" w:rsidRPr="001677F9">
        <w:t>H</w:t>
      </w:r>
      <w:r w:rsidRPr="001677F9">
        <w:t>eart via the Consumer Comments facility on the PBS website.  Both organisations supported the proposed listing of dapagliflozin</w:t>
      </w:r>
      <w:r w:rsidR="005A483B" w:rsidRPr="001677F9">
        <w:t xml:space="preserve"> to provide affordable access for people with chronic heart failure with preserved ejection fraction.  The comments described the </w:t>
      </w:r>
      <w:r w:rsidRPr="001677F9">
        <w:t xml:space="preserve">benefits of treatment with </w:t>
      </w:r>
      <w:r w:rsidR="005A483B" w:rsidRPr="001677F9">
        <w:t>dapagliflozin</w:t>
      </w:r>
      <w:r w:rsidRPr="001677F9">
        <w:t xml:space="preserve"> including </w:t>
      </w:r>
      <w:r w:rsidR="005A483B" w:rsidRPr="001677F9">
        <w:t>reduction in</w:t>
      </w:r>
      <w:r w:rsidRPr="001677F9">
        <w:t xml:space="preserve"> hospitalisation</w:t>
      </w:r>
      <w:r w:rsidR="005A483B" w:rsidRPr="001677F9">
        <w:t>s</w:t>
      </w:r>
      <w:r w:rsidRPr="001677F9">
        <w:t xml:space="preserve"> due to heart failure, and improved quality of life.  </w:t>
      </w:r>
      <w:bookmarkEnd w:id="19"/>
      <w:bookmarkEnd w:id="21"/>
    </w:p>
    <w:p w14:paraId="609C0765" w14:textId="7F1D5718" w:rsidR="00B60939" w:rsidRPr="001677F9" w:rsidRDefault="00B60939" w:rsidP="008A2105">
      <w:pPr>
        <w:pStyle w:val="4-SubsectionHeading"/>
      </w:pPr>
      <w:r w:rsidRPr="001677F9">
        <w:t>Clinical trials</w:t>
      </w:r>
      <w:bookmarkEnd w:id="17"/>
      <w:bookmarkEnd w:id="20"/>
    </w:p>
    <w:p w14:paraId="4ABD03DA" w14:textId="2BBD7DC0" w:rsidR="00507044" w:rsidRPr="004233D5" w:rsidRDefault="00507044" w:rsidP="008A2105">
      <w:pPr>
        <w:pStyle w:val="3-BodyText"/>
      </w:pPr>
      <w:bookmarkStart w:id="22" w:name="_Hlk140659421"/>
      <w:bookmarkStart w:id="23" w:name="_Toc22897641"/>
      <w:r w:rsidRPr="001677F9">
        <w:rPr>
          <w:snapToGrid/>
        </w:rPr>
        <w:t xml:space="preserve">The submission was based on an indirect treatment comparison (ITC) of dapagliflozin (DELIVER trial, N=6263) and empagliflozin (EMPEROR-Preserved trial, N=5988), using placebo as a common comparator. </w:t>
      </w:r>
      <w:r w:rsidR="0022204F" w:rsidRPr="001677F9">
        <w:rPr>
          <w:iCs/>
        </w:rPr>
        <w:t>The EMPEROR-Preserved trial was previously considered by PBAC at the November 2022 PBAC meeting</w:t>
      </w:r>
      <w:r w:rsidR="007C079D" w:rsidRPr="001677F9">
        <w:rPr>
          <w:iCs/>
        </w:rPr>
        <w:t xml:space="preserve"> in its consideration of empagliflozin for patients with HF</w:t>
      </w:r>
      <w:r w:rsidR="00C56B33" w:rsidRPr="001677F9">
        <w:rPr>
          <w:iCs/>
        </w:rPr>
        <w:t xml:space="preserve"> with LVEF &gt;40%.</w:t>
      </w:r>
    </w:p>
    <w:bookmarkEnd w:id="22"/>
    <w:p w14:paraId="4D5020BD" w14:textId="0E228911" w:rsidR="00330538" w:rsidRPr="001677F9" w:rsidRDefault="00507044" w:rsidP="00330538">
      <w:pPr>
        <w:pStyle w:val="3-BodyText"/>
      </w:pPr>
      <w:r w:rsidRPr="001677F9">
        <w:rPr>
          <w:snapToGrid/>
        </w:rPr>
        <w:t>Details of the trials (and associated studies/reports) presented in the submission are provided in</w:t>
      </w:r>
      <w:r w:rsidR="0016580D" w:rsidRPr="001677F9">
        <w:rPr>
          <w:snapToGrid/>
        </w:rPr>
        <w:t xml:space="preserve"> </w:t>
      </w:r>
      <w:r w:rsidR="0016580D" w:rsidRPr="001677F9">
        <w:rPr>
          <w:snapToGrid/>
        </w:rPr>
        <w:fldChar w:fldCharType="begin" w:fldLock="1"/>
      </w:r>
      <w:r w:rsidR="0016580D" w:rsidRPr="001677F9">
        <w:rPr>
          <w:snapToGrid/>
        </w:rPr>
        <w:instrText xml:space="preserve"> REF _Ref104803956 \h </w:instrText>
      </w:r>
      <w:r w:rsidR="0016580D" w:rsidRPr="001677F9">
        <w:rPr>
          <w:snapToGrid/>
        </w:rPr>
      </w:r>
      <w:r w:rsidR="0016580D" w:rsidRPr="001677F9">
        <w:rPr>
          <w:snapToGrid/>
        </w:rPr>
        <w:fldChar w:fldCharType="separate"/>
      </w:r>
      <w:r w:rsidR="002C43D4" w:rsidRPr="001677F9">
        <w:t>Table 2</w:t>
      </w:r>
      <w:r w:rsidR="0016580D" w:rsidRPr="001677F9">
        <w:rPr>
          <w:snapToGrid/>
        </w:rPr>
        <w:fldChar w:fldCharType="end"/>
      </w:r>
      <w:r w:rsidRPr="001677F9">
        <w:rPr>
          <w:snapToGrid/>
        </w:rPr>
        <w:t>.</w:t>
      </w:r>
    </w:p>
    <w:p w14:paraId="34C2A21F" w14:textId="596E4954" w:rsidR="00507044" w:rsidRPr="001677F9" w:rsidRDefault="0016580D" w:rsidP="002B217A">
      <w:pPr>
        <w:pStyle w:val="Caption"/>
        <w:keepLines w:val="0"/>
        <w:jc w:val="left"/>
        <w:rPr>
          <w:rStyle w:val="CommentReference"/>
          <w:b/>
          <w:szCs w:val="18"/>
        </w:rPr>
      </w:pPr>
      <w:bookmarkStart w:id="24" w:name="_Ref104803956"/>
      <w:bookmarkStart w:id="25" w:name="_Ref132364788"/>
      <w:r w:rsidRPr="001677F9">
        <w:t xml:space="preserve">Table </w:t>
      </w:r>
      <w:fldSimple w:instr=" SEQ Table \* ARABIC " w:fldLock="1">
        <w:r w:rsidR="002C43D4" w:rsidRPr="001677F9">
          <w:t>2</w:t>
        </w:r>
      </w:fldSimple>
      <w:bookmarkEnd w:id="24"/>
      <w:r w:rsidR="00507044" w:rsidRPr="001677F9">
        <w:t>:</w:t>
      </w:r>
      <w:r w:rsidR="00507044" w:rsidRPr="001677F9">
        <w:rPr>
          <w:rStyle w:val="CommentReference"/>
          <w:b/>
          <w:szCs w:val="24"/>
        </w:rPr>
        <w:t xml:space="preserve"> Trials and associated reports/studies presented in the </w:t>
      </w:r>
      <w:proofErr w:type="gramStart"/>
      <w:r w:rsidR="00507044" w:rsidRPr="001677F9">
        <w:rPr>
          <w:rStyle w:val="CommentReference"/>
          <w:b/>
          <w:szCs w:val="24"/>
        </w:rPr>
        <w:t>submission</w:t>
      </w:r>
      <w:bookmarkEnd w:id="25"/>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507044" w:rsidRPr="001677F9" w14:paraId="1F861947" w14:textId="77777777" w:rsidTr="00C170FF">
        <w:trPr>
          <w:tblHeader/>
        </w:trPr>
        <w:tc>
          <w:tcPr>
            <w:tcW w:w="796" w:type="pct"/>
            <w:vAlign w:val="center"/>
          </w:tcPr>
          <w:p w14:paraId="29D24D57" w14:textId="77777777" w:rsidR="00507044" w:rsidRPr="001677F9" w:rsidRDefault="00507044" w:rsidP="00621362">
            <w:pPr>
              <w:pStyle w:val="In-tableHeading"/>
              <w:rPr>
                <w:lang w:val="en-AU"/>
              </w:rPr>
            </w:pPr>
            <w:r w:rsidRPr="001677F9">
              <w:rPr>
                <w:lang w:val="en-AU"/>
              </w:rPr>
              <w:t>Trial ID</w:t>
            </w:r>
          </w:p>
        </w:tc>
        <w:tc>
          <w:tcPr>
            <w:tcW w:w="3027" w:type="pct"/>
            <w:vAlign w:val="center"/>
          </w:tcPr>
          <w:p w14:paraId="03EDC06D" w14:textId="77777777" w:rsidR="00507044" w:rsidRPr="001677F9" w:rsidRDefault="00507044" w:rsidP="00621362">
            <w:pPr>
              <w:pStyle w:val="In-tableHeading"/>
              <w:rPr>
                <w:lang w:val="en-AU"/>
              </w:rPr>
            </w:pPr>
            <w:r w:rsidRPr="001677F9">
              <w:rPr>
                <w:lang w:val="en-AU"/>
              </w:rPr>
              <w:t>Protocol title/ Publication title</w:t>
            </w:r>
          </w:p>
        </w:tc>
        <w:tc>
          <w:tcPr>
            <w:tcW w:w="1177" w:type="pct"/>
            <w:vAlign w:val="center"/>
          </w:tcPr>
          <w:p w14:paraId="52FBC374" w14:textId="77777777" w:rsidR="00507044" w:rsidRPr="001677F9" w:rsidRDefault="00507044" w:rsidP="00621362">
            <w:pPr>
              <w:pStyle w:val="In-tableHeading"/>
              <w:rPr>
                <w:lang w:val="en-AU"/>
              </w:rPr>
            </w:pPr>
            <w:r w:rsidRPr="001677F9">
              <w:rPr>
                <w:lang w:val="en-AU"/>
              </w:rPr>
              <w:t>Publication citation</w:t>
            </w:r>
          </w:p>
        </w:tc>
      </w:tr>
      <w:tr w:rsidR="00507044" w:rsidRPr="001677F9" w14:paraId="517C81C3" w14:textId="77777777" w:rsidTr="00C170FF">
        <w:tc>
          <w:tcPr>
            <w:tcW w:w="5000" w:type="pct"/>
            <w:gridSpan w:val="3"/>
            <w:tcBorders>
              <w:bottom w:val="nil"/>
            </w:tcBorders>
            <w:vAlign w:val="center"/>
          </w:tcPr>
          <w:p w14:paraId="76846DFD" w14:textId="77777777" w:rsidR="00507044" w:rsidRPr="001677F9" w:rsidRDefault="00507044" w:rsidP="00621362">
            <w:pPr>
              <w:pStyle w:val="TableText0"/>
              <w:rPr>
                <w:b/>
                <w:bCs w:val="0"/>
              </w:rPr>
            </w:pPr>
            <w:r w:rsidRPr="001677F9">
              <w:rPr>
                <w:b/>
                <w:bCs w:val="0"/>
              </w:rPr>
              <w:t>Dapagliflozin</w:t>
            </w:r>
          </w:p>
        </w:tc>
      </w:tr>
      <w:tr w:rsidR="005C371A" w:rsidRPr="001677F9" w14:paraId="2810C5E8" w14:textId="77777777" w:rsidTr="00C170FF">
        <w:tc>
          <w:tcPr>
            <w:tcW w:w="796" w:type="pct"/>
            <w:vMerge w:val="restart"/>
            <w:vAlign w:val="center"/>
          </w:tcPr>
          <w:p w14:paraId="1FB67D4F" w14:textId="77777777" w:rsidR="005C371A" w:rsidRPr="001677F9" w:rsidRDefault="005C371A" w:rsidP="00621362">
            <w:pPr>
              <w:pStyle w:val="TableText0"/>
              <w:jc w:val="center"/>
            </w:pPr>
            <w:r w:rsidRPr="001677F9">
              <w:t>DELIVER</w:t>
            </w:r>
          </w:p>
          <w:p w14:paraId="36F1F3DA" w14:textId="77777777" w:rsidR="005C371A" w:rsidRPr="001677F9" w:rsidRDefault="005C371A" w:rsidP="00621362">
            <w:pPr>
              <w:pStyle w:val="TableText0"/>
              <w:jc w:val="center"/>
              <w:rPr>
                <w:rFonts w:cs="Arial"/>
              </w:rPr>
            </w:pPr>
            <w:r w:rsidRPr="001677F9">
              <w:rPr>
                <w:rFonts w:cs="Arial"/>
              </w:rPr>
              <w:t>NCT03619213</w:t>
            </w:r>
          </w:p>
          <w:p w14:paraId="7B24B5DA" w14:textId="77777777" w:rsidR="005C371A" w:rsidRPr="001677F9" w:rsidRDefault="005C371A" w:rsidP="00621362">
            <w:pPr>
              <w:pStyle w:val="TableText0"/>
              <w:jc w:val="center"/>
              <w:rPr>
                <w:rFonts w:cs="Arial"/>
              </w:rPr>
            </w:pPr>
            <w:r w:rsidRPr="001677F9">
              <w:rPr>
                <w:rFonts w:cs="Arial"/>
              </w:rPr>
              <w:t>EUCTR2018-000802-46-PL</w:t>
            </w:r>
          </w:p>
          <w:p w14:paraId="4A616D39" w14:textId="77777777" w:rsidR="005C371A" w:rsidRPr="001677F9" w:rsidRDefault="005C371A" w:rsidP="00621362">
            <w:pPr>
              <w:pStyle w:val="TableText0"/>
              <w:jc w:val="center"/>
              <w:rPr>
                <w:rFonts w:cs="Arial"/>
              </w:rPr>
            </w:pPr>
            <w:r w:rsidRPr="001677F9">
              <w:rPr>
                <w:rFonts w:cs="Arial"/>
              </w:rPr>
              <w:t>PER-026-18</w:t>
            </w:r>
          </w:p>
          <w:p w14:paraId="308B039C" w14:textId="16A7F575" w:rsidR="005C371A" w:rsidRPr="001677F9" w:rsidRDefault="005C371A" w:rsidP="00621362">
            <w:pPr>
              <w:pStyle w:val="TableText0"/>
              <w:jc w:val="center"/>
            </w:pPr>
            <w:r w:rsidRPr="001677F9">
              <w:rPr>
                <w:rFonts w:cs="Arial"/>
              </w:rPr>
              <w:t>JPRN-JapicCTI-184157</w:t>
            </w:r>
          </w:p>
        </w:tc>
        <w:tc>
          <w:tcPr>
            <w:tcW w:w="3027" w:type="pct"/>
            <w:tcBorders>
              <w:bottom w:val="nil"/>
            </w:tcBorders>
            <w:vAlign w:val="center"/>
          </w:tcPr>
          <w:p w14:paraId="53DA3968" w14:textId="025FE28A" w:rsidR="005C371A" w:rsidRPr="001677F9" w:rsidRDefault="005C371A" w:rsidP="00621362">
            <w:pPr>
              <w:pStyle w:val="TableText0"/>
              <w:rPr>
                <w:rFonts w:cs="Arial"/>
              </w:rPr>
            </w:pPr>
            <w:r w:rsidRPr="001677F9">
              <w:rPr>
                <w:rFonts w:cs="Arial"/>
              </w:rPr>
              <w:t>An International, Double-blind, Randomised, Placebo-Controlled Phase III Study to Evaluate the Effect of Dapagliflozin on Reducing Cardiovascular Death or Worsening Heart Failure in Patients with Heart Failure with Preserved Ejection Fraction (HFpEF). DELIVER - Dapagliflozin Evaluation to Improve the LIVEs of Patients with PReserved Ejection Fraction Heart Failure.</w:t>
            </w:r>
          </w:p>
        </w:tc>
        <w:tc>
          <w:tcPr>
            <w:tcW w:w="1177" w:type="pct"/>
            <w:tcBorders>
              <w:bottom w:val="nil"/>
            </w:tcBorders>
            <w:vAlign w:val="center"/>
          </w:tcPr>
          <w:p w14:paraId="75D92FEE" w14:textId="77777777" w:rsidR="005C371A" w:rsidRPr="001677F9" w:rsidRDefault="005C371A" w:rsidP="00621362">
            <w:pPr>
              <w:pStyle w:val="TableText0"/>
            </w:pPr>
            <w:r w:rsidRPr="001677F9">
              <w:t>Clinical Study Protocol, April 2018</w:t>
            </w:r>
          </w:p>
        </w:tc>
      </w:tr>
      <w:tr w:rsidR="005C371A" w:rsidRPr="001677F9" w14:paraId="18A8400D" w14:textId="77777777" w:rsidTr="00C170FF">
        <w:tc>
          <w:tcPr>
            <w:tcW w:w="796" w:type="pct"/>
            <w:vMerge/>
            <w:vAlign w:val="center"/>
          </w:tcPr>
          <w:p w14:paraId="68F76747" w14:textId="33174B74" w:rsidR="005C371A" w:rsidRPr="001677F9" w:rsidRDefault="005C371A" w:rsidP="00621362">
            <w:pPr>
              <w:pStyle w:val="TableText0"/>
              <w:keepNext w:val="0"/>
              <w:jc w:val="center"/>
            </w:pPr>
          </w:p>
        </w:tc>
        <w:tc>
          <w:tcPr>
            <w:tcW w:w="3027" w:type="pct"/>
            <w:tcBorders>
              <w:top w:val="nil"/>
              <w:bottom w:val="nil"/>
            </w:tcBorders>
            <w:vAlign w:val="center"/>
          </w:tcPr>
          <w:p w14:paraId="7641FA76" w14:textId="4C9A90CA" w:rsidR="005C371A" w:rsidRPr="001677F9" w:rsidRDefault="005C371A" w:rsidP="00621362">
            <w:pPr>
              <w:pStyle w:val="TableText0"/>
              <w:keepNext w:val="0"/>
              <w:rPr>
                <w:szCs w:val="18"/>
              </w:rPr>
            </w:pPr>
            <w:r w:rsidRPr="001677F9">
              <w:rPr>
                <w:rFonts w:cs="Arial"/>
              </w:rPr>
              <w:t>An International, Double-blind, Randomised, Placebo-Controlled Phase III Study to Evaluate the Effect of Dapagliflozin on Reducing Cardiovascular Death or Worsening Heart Failure in Patients with Heart Failure with Preserved Ejection Fraction (HFpEF). DELIVER - Dapagliflozin Evaluation to Improve the LIVEs of Patients with PReserved Ejection Fraction Heart Failure.</w:t>
            </w:r>
          </w:p>
        </w:tc>
        <w:tc>
          <w:tcPr>
            <w:tcW w:w="1177" w:type="pct"/>
            <w:tcBorders>
              <w:top w:val="nil"/>
              <w:bottom w:val="nil"/>
            </w:tcBorders>
            <w:vAlign w:val="center"/>
          </w:tcPr>
          <w:p w14:paraId="5C3281BE" w14:textId="77777777" w:rsidR="005C371A" w:rsidRPr="001677F9" w:rsidRDefault="005C371A" w:rsidP="00621362">
            <w:pPr>
              <w:pStyle w:val="TableText0"/>
              <w:keepNext w:val="0"/>
              <w:rPr>
                <w:szCs w:val="18"/>
              </w:rPr>
            </w:pPr>
            <w:r w:rsidRPr="001677F9">
              <w:rPr>
                <w:szCs w:val="18"/>
              </w:rPr>
              <w:t>Clinical Study Report, June 2022</w:t>
            </w:r>
          </w:p>
        </w:tc>
      </w:tr>
      <w:tr w:rsidR="005C371A" w:rsidRPr="001677F9" w14:paraId="6FB50464" w14:textId="77777777" w:rsidTr="00C170FF">
        <w:tc>
          <w:tcPr>
            <w:tcW w:w="796" w:type="pct"/>
            <w:vMerge/>
            <w:vAlign w:val="center"/>
          </w:tcPr>
          <w:p w14:paraId="09ADE707" w14:textId="77777777" w:rsidR="005C371A" w:rsidRPr="001677F9" w:rsidRDefault="005C371A" w:rsidP="00621362">
            <w:pPr>
              <w:pStyle w:val="TableText0"/>
              <w:keepNext w:val="0"/>
            </w:pPr>
          </w:p>
        </w:tc>
        <w:tc>
          <w:tcPr>
            <w:tcW w:w="3027" w:type="pct"/>
            <w:tcBorders>
              <w:top w:val="nil"/>
              <w:bottom w:val="nil"/>
            </w:tcBorders>
            <w:vAlign w:val="center"/>
          </w:tcPr>
          <w:p w14:paraId="6F84A2C6" w14:textId="77777777" w:rsidR="005C371A" w:rsidRPr="001677F9" w:rsidRDefault="005C371A" w:rsidP="00621362">
            <w:pPr>
              <w:pStyle w:val="TableText0"/>
              <w:keepNext w:val="0"/>
              <w:rPr>
                <w:szCs w:val="18"/>
              </w:rPr>
            </w:pPr>
            <w:r w:rsidRPr="001677F9">
              <w:rPr>
                <w:rFonts w:cs="Arial"/>
              </w:rPr>
              <w:t>Solomon et al. Dapagliflozin in heart failure with preserved and mildly reduced ejection fraction: rationale and design of the DELIVER trial.</w:t>
            </w:r>
          </w:p>
        </w:tc>
        <w:tc>
          <w:tcPr>
            <w:tcW w:w="1177" w:type="pct"/>
            <w:tcBorders>
              <w:top w:val="nil"/>
              <w:bottom w:val="nil"/>
            </w:tcBorders>
            <w:vAlign w:val="center"/>
          </w:tcPr>
          <w:p w14:paraId="26BB04D4" w14:textId="66B9A55C" w:rsidR="005C371A" w:rsidRPr="001677F9" w:rsidRDefault="005C371A" w:rsidP="00621362">
            <w:pPr>
              <w:pStyle w:val="TableText0"/>
              <w:keepNext w:val="0"/>
              <w:rPr>
                <w:i/>
                <w:szCs w:val="18"/>
              </w:rPr>
            </w:pPr>
            <w:r w:rsidRPr="001677F9">
              <w:rPr>
                <w:rFonts w:cs="Arial"/>
                <w:iCs/>
              </w:rPr>
              <w:t>European Journal of Heart Failure</w:t>
            </w:r>
            <w:r w:rsidRPr="001677F9">
              <w:rPr>
                <w:rFonts w:cs="Arial"/>
              </w:rPr>
              <w:t xml:space="preserve"> 2021; 23(7): 1217</w:t>
            </w:r>
            <w:r w:rsidRPr="001677F9">
              <w:rPr>
                <w:rFonts w:ascii="Cambria Math" w:hAnsi="Cambria Math" w:cs="Cambria Math"/>
              </w:rPr>
              <w:t>‐</w:t>
            </w:r>
            <w:r w:rsidRPr="001677F9">
              <w:rPr>
                <w:rFonts w:cs="Arial"/>
              </w:rPr>
              <w:t>1225</w:t>
            </w:r>
          </w:p>
        </w:tc>
      </w:tr>
      <w:tr w:rsidR="005C371A" w:rsidRPr="001677F9" w14:paraId="1BE51D03" w14:textId="77777777" w:rsidTr="00C170FF">
        <w:tc>
          <w:tcPr>
            <w:tcW w:w="796" w:type="pct"/>
            <w:vMerge/>
            <w:vAlign w:val="center"/>
          </w:tcPr>
          <w:p w14:paraId="0E766632" w14:textId="77777777" w:rsidR="005C371A" w:rsidRPr="001677F9" w:rsidRDefault="005C371A" w:rsidP="00621362">
            <w:pPr>
              <w:pStyle w:val="TableText0"/>
              <w:keepNext w:val="0"/>
            </w:pPr>
          </w:p>
        </w:tc>
        <w:tc>
          <w:tcPr>
            <w:tcW w:w="3027" w:type="pct"/>
            <w:tcBorders>
              <w:top w:val="nil"/>
              <w:bottom w:val="nil"/>
            </w:tcBorders>
            <w:vAlign w:val="center"/>
          </w:tcPr>
          <w:p w14:paraId="6F3B34FF" w14:textId="77777777" w:rsidR="005C371A" w:rsidRPr="001677F9" w:rsidRDefault="005C371A" w:rsidP="00621362">
            <w:pPr>
              <w:pStyle w:val="TableText0"/>
              <w:keepNext w:val="0"/>
              <w:rPr>
                <w:rFonts w:cs="Arial"/>
              </w:rPr>
            </w:pPr>
            <w:r w:rsidRPr="001677F9">
              <w:rPr>
                <w:rFonts w:cs="Arial"/>
              </w:rPr>
              <w:t>Solomon et al. Dapagliflozin in Heart Failure with Mildly Reduced or Preserved Ejection Fraction.</w:t>
            </w:r>
          </w:p>
        </w:tc>
        <w:tc>
          <w:tcPr>
            <w:tcW w:w="1177" w:type="pct"/>
            <w:tcBorders>
              <w:top w:val="nil"/>
              <w:bottom w:val="nil"/>
            </w:tcBorders>
            <w:vAlign w:val="center"/>
          </w:tcPr>
          <w:p w14:paraId="6DA2DC2A" w14:textId="7B09B0BB" w:rsidR="005C371A" w:rsidRPr="001677F9" w:rsidRDefault="005C371A" w:rsidP="00621362">
            <w:pPr>
              <w:pStyle w:val="TableText0"/>
              <w:keepNext w:val="0"/>
              <w:rPr>
                <w:rFonts w:cs="Arial"/>
                <w:i/>
                <w:iCs/>
              </w:rPr>
            </w:pPr>
            <w:r w:rsidRPr="001677F9">
              <w:rPr>
                <w:rFonts w:cs="Arial"/>
                <w:iCs/>
              </w:rPr>
              <w:t>New England Journal of Medicine</w:t>
            </w:r>
            <w:r w:rsidRPr="001677F9">
              <w:rPr>
                <w:rFonts w:cs="Arial"/>
              </w:rPr>
              <w:t xml:space="preserve"> 2022; 387(12): 1089-1098</w:t>
            </w:r>
          </w:p>
        </w:tc>
      </w:tr>
      <w:tr w:rsidR="005C371A" w:rsidRPr="001677F9" w14:paraId="65BE6202" w14:textId="77777777" w:rsidTr="00C170FF">
        <w:tc>
          <w:tcPr>
            <w:tcW w:w="796" w:type="pct"/>
            <w:vMerge/>
            <w:vAlign w:val="center"/>
          </w:tcPr>
          <w:p w14:paraId="3F96C957" w14:textId="77777777" w:rsidR="005C371A" w:rsidRPr="001677F9" w:rsidRDefault="005C371A" w:rsidP="00621362">
            <w:pPr>
              <w:pStyle w:val="TableText0"/>
              <w:keepNext w:val="0"/>
            </w:pPr>
          </w:p>
        </w:tc>
        <w:tc>
          <w:tcPr>
            <w:tcW w:w="3027" w:type="pct"/>
            <w:tcBorders>
              <w:top w:val="nil"/>
              <w:bottom w:val="nil"/>
            </w:tcBorders>
            <w:vAlign w:val="center"/>
          </w:tcPr>
          <w:p w14:paraId="16B6F2DD" w14:textId="77777777" w:rsidR="005C371A" w:rsidRPr="001677F9" w:rsidRDefault="005C371A" w:rsidP="00621362">
            <w:pPr>
              <w:pStyle w:val="TableText0"/>
              <w:keepNext w:val="0"/>
              <w:rPr>
                <w:rFonts w:cs="Arial"/>
              </w:rPr>
            </w:pPr>
            <w:r w:rsidRPr="001677F9">
              <w:rPr>
                <w:rFonts w:cs="Arial"/>
              </w:rPr>
              <w:t xml:space="preserve">Butt et al. Efficacy and Safety of Dapagliflozin According to Frailty in Patients </w:t>
            </w:r>
            <w:proofErr w:type="gramStart"/>
            <w:r w:rsidRPr="001677F9">
              <w:rPr>
                <w:rFonts w:cs="Arial"/>
              </w:rPr>
              <w:t>With</w:t>
            </w:r>
            <w:proofErr w:type="gramEnd"/>
            <w:r w:rsidRPr="001677F9">
              <w:rPr>
                <w:rFonts w:cs="Arial"/>
              </w:rPr>
              <w:t xml:space="preserve"> Heart Failure: A Prespecified Analysis of the DELIVER Trial.</w:t>
            </w:r>
          </w:p>
        </w:tc>
        <w:tc>
          <w:tcPr>
            <w:tcW w:w="1177" w:type="pct"/>
            <w:tcBorders>
              <w:top w:val="nil"/>
              <w:bottom w:val="nil"/>
            </w:tcBorders>
            <w:vAlign w:val="center"/>
          </w:tcPr>
          <w:p w14:paraId="3C56B72F" w14:textId="3DCDEEDE" w:rsidR="005C371A" w:rsidRPr="001677F9" w:rsidRDefault="005C371A" w:rsidP="00621362">
            <w:pPr>
              <w:pStyle w:val="TableText0"/>
              <w:keepNext w:val="0"/>
              <w:rPr>
                <w:rFonts w:cs="Arial"/>
                <w:i/>
                <w:iCs/>
              </w:rPr>
            </w:pPr>
            <w:r w:rsidRPr="001677F9">
              <w:rPr>
                <w:rFonts w:cs="Arial"/>
                <w:iCs/>
              </w:rPr>
              <w:t xml:space="preserve">Circulation </w:t>
            </w:r>
            <w:r w:rsidRPr="001677F9">
              <w:rPr>
                <w:rFonts w:cs="Arial"/>
              </w:rPr>
              <w:t>2022; 146(16): 1210-1224</w:t>
            </w:r>
          </w:p>
        </w:tc>
      </w:tr>
      <w:tr w:rsidR="005C371A" w:rsidRPr="001677F9" w14:paraId="652F5111" w14:textId="77777777" w:rsidTr="00C170FF">
        <w:tc>
          <w:tcPr>
            <w:tcW w:w="796" w:type="pct"/>
            <w:vMerge/>
            <w:vAlign w:val="center"/>
          </w:tcPr>
          <w:p w14:paraId="53C2E20F" w14:textId="77777777" w:rsidR="005C371A" w:rsidRPr="001677F9" w:rsidRDefault="005C371A" w:rsidP="00621362">
            <w:pPr>
              <w:pStyle w:val="TableText0"/>
              <w:keepNext w:val="0"/>
            </w:pPr>
          </w:p>
        </w:tc>
        <w:tc>
          <w:tcPr>
            <w:tcW w:w="3027" w:type="pct"/>
            <w:tcBorders>
              <w:top w:val="nil"/>
              <w:bottom w:val="nil"/>
            </w:tcBorders>
            <w:vAlign w:val="center"/>
          </w:tcPr>
          <w:p w14:paraId="76673289" w14:textId="77777777" w:rsidR="005C371A" w:rsidRPr="001677F9" w:rsidRDefault="005C371A" w:rsidP="00621362">
            <w:pPr>
              <w:pStyle w:val="TableText0"/>
              <w:keepNext w:val="0"/>
              <w:rPr>
                <w:rFonts w:cs="Arial"/>
              </w:rPr>
            </w:pPr>
            <w:r w:rsidRPr="001677F9">
              <w:rPr>
                <w:rFonts w:cs="Arial"/>
              </w:rPr>
              <w:t xml:space="preserve">Butt et al. Atrial Fibrillation and Dapagliflozin Efficacy in Patients </w:t>
            </w:r>
            <w:proofErr w:type="gramStart"/>
            <w:r w:rsidRPr="001677F9">
              <w:rPr>
                <w:rFonts w:cs="Arial"/>
              </w:rPr>
              <w:t>With</w:t>
            </w:r>
            <w:proofErr w:type="gramEnd"/>
            <w:r w:rsidRPr="001677F9">
              <w:rPr>
                <w:rFonts w:cs="Arial"/>
              </w:rPr>
              <w:t xml:space="preserve"> Preserved or Mildly Reduced Ejection Fraction.</w:t>
            </w:r>
          </w:p>
        </w:tc>
        <w:tc>
          <w:tcPr>
            <w:tcW w:w="1177" w:type="pct"/>
            <w:tcBorders>
              <w:top w:val="nil"/>
              <w:bottom w:val="nil"/>
            </w:tcBorders>
            <w:vAlign w:val="center"/>
          </w:tcPr>
          <w:p w14:paraId="700AB0D8" w14:textId="77777777" w:rsidR="005C371A" w:rsidRPr="001677F9" w:rsidRDefault="005C371A" w:rsidP="00621362">
            <w:pPr>
              <w:pStyle w:val="TableText0"/>
              <w:keepNext w:val="0"/>
              <w:rPr>
                <w:rFonts w:cs="Arial"/>
                <w:i/>
                <w:iCs/>
              </w:rPr>
            </w:pPr>
            <w:r w:rsidRPr="001677F9">
              <w:rPr>
                <w:rFonts w:cs="Arial"/>
                <w:iCs/>
              </w:rPr>
              <w:t>Journal of the American College of Cardiology</w:t>
            </w:r>
            <w:r w:rsidRPr="001677F9">
              <w:rPr>
                <w:rFonts w:cs="Arial"/>
              </w:rPr>
              <w:t xml:space="preserve"> 2022; 80(18): 1705-1717</w:t>
            </w:r>
          </w:p>
        </w:tc>
      </w:tr>
      <w:tr w:rsidR="005C371A" w:rsidRPr="001677F9" w14:paraId="003F4E9E" w14:textId="77777777" w:rsidTr="00C170FF">
        <w:tc>
          <w:tcPr>
            <w:tcW w:w="796" w:type="pct"/>
            <w:vMerge/>
            <w:vAlign w:val="center"/>
          </w:tcPr>
          <w:p w14:paraId="6345EA17" w14:textId="77777777" w:rsidR="005C371A" w:rsidRPr="001677F9" w:rsidRDefault="005C371A" w:rsidP="00621362">
            <w:pPr>
              <w:pStyle w:val="TableText0"/>
              <w:keepNext w:val="0"/>
            </w:pPr>
          </w:p>
        </w:tc>
        <w:tc>
          <w:tcPr>
            <w:tcW w:w="3027" w:type="pct"/>
            <w:tcBorders>
              <w:top w:val="nil"/>
              <w:bottom w:val="nil"/>
            </w:tcBorders>
            <w:vAlign w:val="center"/>
          </w:tcPr>
          <w:p w14:paraId="05249558" w14:textId="55D407B7" w:rsidR="005C371A" w:rsidRPr="001677F9" w:rsidRDefault="005C371A" w:rsidP="00621362">
            <w:pPr>
              <w:pStyle w:val="TableText0"/>
              <w:keepNext w:val="0"/>
              <w:rPr>
                <w:rFonts w:cs="Arial"/>
              </w:rPr>
            </w:pPr>
            <w:r w:rsidRPr="001677F9">
              <w:rPr>
                <w:rFonts w:cs="Arial"/>
              </w:rPr>
              <w:t xml:space="preserve">Cunningham et al. Dapagliflozin in Patients Recently Hospitalized </w:t>
            </w:r>
            <w:proofErr w:type="gramStart"/>
            <w:r w:rsidRPr="001677F9">
              <w:rPr>
                <w:rFonts w:cs="Arial"/>
              </w:rPr>
              <w:t>With</w:t>
            </w:r>
            <w:proofErr w:type="gramEnd"/>
            <w:r w:rsidRPr="001677F9">
              <w:rPr>
                <w:rFonts w:cs="Arial"/>
              </w:rPr>
              <w:t xml:space="preserve"> Heart Failure and Mildly Reduced or Preserved Ejection Fraction.</w:t>
            </w:r>
          </w:p>
        </w:tc>
        <w:tc>
          <w:tcPr>
            <w:tcW w:w="1177" w:type="pct"/>
            <w:tcBorders>
              <w:top w:val="nil"/>
              <w:bottom w:val="nil"/>
            </w:tcBorders>
            <w:vAlign w:val="center"/>
          </w:tcPr>
          <w:p w14:paraId="6781F921" w14:textId="77777777" w:rsidR="005C371A" w:rsidRPr="001677F9" w:rsidRDefault="005C371A" w:rsidP="00621362">
            <w:pPr>
              <w:pStyle w:val="TableText0"/>
              <w:keepNext w:val="0"/>
              <w:rPr>
                <w:rFonts w:cs="Arial"/>
              </w:rPr>
            </w:pPr>
            <w:r w:rsidRPr="001677F9">
              <w:rPr>
                <w:rFonts w:cs="Arial"/>
                <w:iCs/>
              </w:rPr>
              <w:t>Journal of the American College of Cardiology</w:t>
            </w:r>
            <w:r w:rsidRPr="001677F9">
              <w:rPr>
                <w:rFonts w:cs="Arial"/>
              </w:rPr>
              <w:t xml:space="preserve"> 2022; 80(14): 1302-1310.</w:t>
            </w:r>
          </w:p>
        </w:tc>
      </w:tr>
      <w:tr w:rsidR="005C371A" w:rsidRPr="001677F9" w14:paraId="12602882" w14:textId="77777777" w:rsidTr="00C170FF">
        <w:tc>
          <w:tcPr>
            <w:tcW w:w="796" w:type="pct"/>
            <w:vMerge/>
            <w:vAlign w:val="center"/>
          </w:tcPr>
          <w:p w14:paraId="17B7BEE5" w14:textId="77777777" w:rsidR="005C371A" w:rsidRPr="001677F9" w:rsidRDefault="005C371A" w:rsidP="00621362">
            <w:pPr>
              <w:pStyle w:val="TableText0"/>
              <w:keepNext w:val="0"/>
            </w:pPr>
          </w:p>
        </w:tc>
        <w:tc>
          <w:tcPr>
            <w:tcW w:w="3027" w:type="pct"/>
            <w:tcBorders>
              <w:top w:val="nil"/>
              <w:bottom w:val="nil"/>
            </w:tcBorders>
            <w:vAlign w:val="center"/>
          </w:tcPr>
          <w:p w14:paraId="7FA4D36A" w14:textId="4238D956" w:rsidR="005C371A" w:rsidRPr="001677F9" w:rsidRDefault="005C371A" w:rsidP="00621362">
            <w:pPr>
              <w:pStyle w:val="TableText0"/>
              <w:keepNext w:val="0"/>
              <w:rPr>
                <w:rFonts w:cs="Arial"/>
              </w:rPr>
            </w:pPr>
            <w:r w:rsidRPr="001677F9">
              <w:rPr>
                <w:rFonts w:cs="Arial"/>
              </w:rPr>
              <w:t>Inzucchi et al. Efficacy and safety of dapagliflozin in patients with heart failure with mildly reduced or preserved ejection fraction by baseline glycaemic status (DELIVER): a subgroup analysis from an international, multicentre, double-blind, randomised, placebo-controlled trial.</w:t>
            </w:r>
          </w:p>
        </w:tc>
        <w:tc>
          <w:tcPr>
            <w:tcW w:w="1177" w:type="pct"/>
            <w:tcBorders>
              <w:top w:val="nil"/>
              <w:bottom w:val="nil"/>
            </w:tcBorders>
            <w:vAlign w:val="center"/>
          </w:tcPr>
          <w:p w14:paraId="714F82F7" w14:textId="77777777" w:rsidR="005C371A" w:rsidRPr="001677F9" w:rsidRDefault="005C371A" w:rsidP="00621362">
            <w:pPr>
              <w:pStyle w:val="TableText0"/>
              <w:keepNext w:val="0"/>
              <w:rPr>
                <w:rFonts w:cs="Arial"/>
              </w:rPr>
            </w:pPr>
            <w:r w:rsidRPr="001677F9">
              <w:rPr>
                <w:rFonts w:cs="Arial"/>
                <w:iCs/>
              </w:rPr>
              <w:t>The Lancet Diabetes and Endocrinology</w:t>
            </w:r>
            <w:r w:rsidRPr="001677F9">
              <w:rPr>
                <w:rFonts w:cs="Arial"/>
              </w:rPr>
              <w:t xml:space="preserve"> 2022; 10(12): 869-881</w:t>
            </w:r>
          </w:p>
        </w:tc>
      </w:tr>
      <w:tr w:rsidR="005C371A" w:rsidRPr="001677F9" w14:paraId="79C7C743" w14:textId="77777777" w:rsidTr="00C170FF">
        <w:tc>
          <w:tcPr>
            <w:tcW w:w="796" w:type="pct"/>
            <w:vMerge/>
            <w:vAlign w:val="center"/>
          </w:tcPr>
          <w:p w14:paraId="0DFEB090" w14:textId="77777777" w:rsidR="005C371A" w:rsidRPr="001677F9" w:rsidRDefault="005C371A" w:rsidP="00621362">
            <w:pPr>
              <w:pStyle w:val="TableText0"/>
              <w:keepNext w:val="0"/>
            </w:pPr>
          </w:p>
        </w:tc>
        <w:tc>
          <w:tcPr>
            <w:tcW w:w="3027" w:type="pct"/>
            <w:tcBorders>
              <w:top w:val="nil"/>
              <w:bottom w:val="nil"/>
            </w:tcBorders>
            <w:vAlign w:val="center"/>
          </w:tcPr>
          <w:p w14:paraId="7EC833AA" w14:textId="77777777" w:rsidR="005C371A" w:rsidRPr="001677F9" w:rsidRDefault="005C371A" w:rsidP="00621362">
            <w:pPr>
              <w:pStyle w:val="TableText0"/>
              <w:keepNext w:val="0"/>
              <w:rPr>
                <w:rFonts w:cs="Arial"/>
              </w:rPr>
            </w:pPr>
            <w:r w:rsidRPr="001677F9">
              <w:rPr>
                <w:rFonts w:cs="Arial"/>
              </w:rPr>
              <w:t xml:space="preserve">McCausland et al. Dapagliflozin and Kidney Outcomes in Patients </w:t>
            </w:r>
            <w:proofErr w:type="gramStart"/>
            <w:r w:rsidRPr="001677F9">
              <w:rPr>
                <w:rFonts w:cs="Arial"/>
              </w:rPr>
              <w:t>With</w:t>
            </w:r>
            <w:proofErr w:type="gramEnd"/>
            <w:r w:rsidRPr="001677F9">
              <w:rPr>
                <w:rFonts w:cs="Arial"/>
              </w:rPr>
              <w:t xml:space="preserve"> Heart Failure With Mildly Reduced or Preserved Ejection Fraction: A Prespecified Analysis of the DELIVER Randomized Clinical Trial.</w:t>
            </w:r>
          </w:p>
        </w:tc>
        <w:tc>
          <w:tcPr>
            <w:tcW w:w="1177" w:type="pct"/>
            <w:tcBorders>
              <w:top w:val="nil"/>
              <w:bottom w:val="nil"/>
            </w:tcBorders>
            <w:vAlign w:val="center"/>
          </w:tcPr>
          <w:p w14:paraId="6172F92A" w14:textId="77777777" w:rsidR="005C371A" w:rsidRPr="001677F9" w:rsidRDefault="005C371A" w:rsidP="00621362">
            <w:pPr>
              <w:pStyle w:val="TableText0"/>
              <w:keepNext w:val="0"/>
              <w:rPr>
                <w:rFonts w:cs="Arial"/>
              </w:rPr>
            </w:pPr>
            <w:r w:rsidRPr="001677F9">
              <w:rPr>
                <w:rFonts w:cs="Arial"/>
                <w:iCs/>
              </w:rPr>
              <w:t>JAMA Cardiology</w:t>
            </w:r>
            <w:r w:rsidRPr="001677F9">
              <w:rPr>
                <w:rFonts w:cs="Arial"/>
              </w:rPr>
              <w:t xml:space="preserve"> 2023; 8(1):56-65</w:t>
            </w:r>
          </w:p>
          <w:p w14:paraId="12CDBC91" w14:textId="77777777" w:rsidR="005C371A" w:rsidRPr="001677F9" w:rsidRDefault="005C371A" w:rsidP="00621362">
            <w:pPr>
              <w:pStyle w:val="TableText0"/>
              <w:keepNext w:val="0"/>
              <w:rPr>
                <w:rFonts w:cs="Arial"/>
              </w:rPr>
            </w:pPr>
          </w:p>
        </w:tc>
      </w:tr>
      <w:tr w:rsidR="005C371A" w:rsidRPr="001677F9" w14:paraId="38D5E31C" w14:textId="77777777" w:rsidTr="00C170FF">
        <w:tc>
          <w:tcPr>
            <w:tcW w:w="796" w:type="pct"/>
            <w:vMerge/>
            <w:vAlign w:val="center"/>
          </w:tcPr>
          <w:p w14:paraId="00344536" w14:textId="77777777" w:rsidR="005C371A" w:rsidRPr="001677F9" w:rsidRDefault="005C371A" w:rsidP="00621362">
            <w:pPr>
              <w:pStyle w:val="TableText0"/>
              <w:keepNext w:val="0"/>
            </w:pPr>
          </w:p>
        </w:tc>
        <w:tc>
          <w:tcPr>
            <w:tcW w:w="3027" w:type="pct"/>
            <w:tcBorders>
              <w:top w:val="nil"/>
              <w:bottom w:val="nil"/>
            </w:tcBorders>
            <w:vAlign w:val="center"/>
          </w:tcPr>
          <w:p w14:paraId="704FE36F" w14:textId="77777777" w:rsidR="005C371A" w:rsidRPr="001677F9" w:rsidRDefault="005C371A" w:rsidP="00621362">
            <w:pPr>
              <w:pStyle w:val="TableText0"/>
              <w:keepNext w:val="0"/>
              <w:rPr>
                <w:rFonts w:cs="Arial"/>
              </w:rPr>
            </w:pPr>
            <w:r w:rsidRPr="001677F9">
              <w:rPr>
                <w:rFonts w:cs="Arial"/>
              </w:rPr>
              <w:t xml:space="preserve">Myhre et al. Influence of NT-proBNP on Efficacy of Dapagliflozin in Heart Failure </w:t>
            </w:r>
            <w:proofErr w:type="gramStart"/>
            <w:r w:rsidRPr="001677F9">
              <w:rPr>
                <w:rFonts w:cs="Arial"/>
              </w:rPr>
              <w:t>With</w:t>
            </w:r>
            <w:proofErr w:type="gramEnd"/>
            <w:r w:rsidRPr="001677F9">
              <w:rPr>
                <w:rFonts w:cs="Arial"/>
              </w:rPr>
              <w:t xml:space="preserve"> Mildly Reduced or Preserved Ejection Fraction.</w:t>
            </w:r>
          </w:p>
        </w:tc>
        <w:tc>
          <w:tcPr>
            <w:tcW w:w="1177" w:type="pct"/>
            <w:tcBorders>
              <w:top w:val="nil"/>
              <w:bottom w:val="nil"/>
            </w:tcBorders>
            <w:vAlign w:val="center"/>
          </w:tcPr>
          <w:p w14:paraId="5EE2AB63" w14:textId="19F69AA0" w:rsidR="005C371A" w:rsidRPr="001677F9" w:rsidRDefault="005C371A" w:rsidP="00621362">
            <w:pPr>
              <w:pStyle w:val="TableText0"/>
              <w:keepNext w:val="0"/>
              <w:rPr>
                <w:rFonts w:cs="Arial"/>
                <w:i/>
                <w:iCs/>
              </w:rPr>
            </w:pPr>
            <w:r w:rsidRPr="001677F9">
              <w:rPr>
                <w:rFonts w:cs="Arial"/>
                <w:iCs/>
              </w:rPr>
              <w:t>JACC: Heart Failure</w:t>
            </w:r>
            <w:r w:rsidRPr="001677F9">
              <w:rPr>
                <w:rFonts w:cs="Arial"/>
              </w:rPr>
              <w:t xml:space="preserve"> 2022; 10(12): 902-913</w:t>
            </w:r>
          </w:p>
        </w:tc>
      </w:tr>
      <w:tr w:rsidR="005C371A" w:rsidRPr="001677F9" w14:paraId="03285194" w14:textId="77777777" w:rsidTr="00C170FF">
        <w:tc>
          <w:tcPr>
            <w:tcW w:w="796" w:type="pct"/>
            <w:vMerge/>
            <w:vAlign w:val="center"/>
          </w:tcPr>
          <w:p w14:paraId="00768377" w14:textId="77777777" w:rsidR="005C371A" w:rsidRPr="001677F9" w:rsidRDefault="005C371A" w:rsidP="00621362">
            <w:pPr>
              <w:pStyle w:val="TableText0"/>
              <w:keepNext w:val="0"/>
            </w:pPr>
          </w:p>
        </w:tc>
        <w:tc>
          <w:tcPr>
            <w:tcW w:w="3027" w:type="pct"/>
            <w:tcBorders>
              <w:top w:val="nil"/>
              <w:bottom w:val="nil"/>
            </w:tcBorders>
            <w:vAlign w:val="center"/>
          </w:tcPr>
          <w:p w14:paraId="5D9E1AFC" w14:textId="77777777" w:rsidR="005C371A" w:rsidRPr="001677F9" w:rsidRDefault="005C371A" w:rsidP="00621362">
            <w:pPr>
              <w:pStyle w:val="TableText0"/>
              <w:keepNext w:val="0"/>
              <w:rPr>
                <w:rFonts w:cs="Arial"/>
              </w:rPr>
            </w:pPr>
            <w:r w:rsidRPr="001677F9">
              <w:rPr>
                <w:rFonts w:cs="Arial"/>
              </w:rPr>
              <w:t>Peikert et al. Efficacy and Safety of Dapagliflozin in Heart Failure with Mildly Reduced or Preserved Ejection Fraction According to Age: The DELIVER Trial.</w:t>
            </w:r>
          </w:p>
        </w:tc>
        <w:tc>
          <w:tcPr>
            <w:tcW w:w="1177" w:type="pct"/>
            <w:tcBorders>
              <w:top w:val="nil"/>
              <w:bottom w:val="nil"/>
            </w:tcBorders>
            <w:vAlign w:val="center"/>
          </w:tcPr>
          <w:p w14:paraId="157E1C94" w14:textId="77777777" w:rsidR="005C371A" w:rsidRPr="001677F9" w:rsidRDefault="005C371A" w:rsidP="00621362">
            <w:pPr>
              <w:pStyle w:val="TableText0"/>
              <w:keepNext w:val="0"/>
              <w:rPr>
                <w:rFonts w:cs="Arial"/>
              </w:rPr>
            </w:pPr>
            <w:r w:rsidRPr="001677F9">
              <w:rPr>
                <w:rFonts w:cs="Arial"/>
                <w:iCs/>
              </w:rPr>
              <w:t>Circulation: Heart Failure</w:t>
            </w:r>
            <w:r w:rsidRPr="001677F9">
              <w:rPr>
                <w:rFonts w:cs="Arial"/>
              </w:rPr>
              <w:t xml:space="preserve"> 2022; 15(10): E010080</w:t>
            </w:r>
          </w:p>
          <w:p w14:paraId="221B0F57" w14:textId="77777777" w:rsidR="005C371A" w:rsidRPr="001677F9" w:rsidRDefault="005C371A" w:rsidP="00621362">
            <w:pPr>
              <w:pStyle w:val="TableText0"/>
              <w:keepNext w:val="0"/>
              <w:rPr>
                <w:rFonts w:cs="Arial"/>
              </w:rPr>
            </w:pPr>
          </w:p>
        </w:tc>
      </w:tr>
      <w:tr w:rsidR="005C371A" w:rsidRPr="001677F9" w14:paraId="7925B40E" w14:textId="77777777" w:rsidTr="00C170FF">
        <w:tc>
          <w:tcPr>
            <w:tcW w:w="796" w:type="pct"/>
            <w:vMerge/>
            <w:vAlign w:val="center"/>
          </w:tcPr>
          <w:p w14:paraId="3CCE4D7E" w14:textId="77777777" w:rsidR="005C371A" w:rsidRPr="001677F9" w:rsidRDefault="005C371A" w:rsidP="00621362">
            <w:pPr>
              <w:pStyle w:val="TableText0"/>
              <w:keepNext w:val="0"/>
            </w:pPr>
          </w:p>
        </w:tc>
        <w:tc>
          <w:tcPr>
            <w:tcW w:w="3027" w:type="pct"/>
            <w:tcBorders>
              <w:top w:val="nil"/>
              <w:bottom w:val="nil"/>
            </w:tcBorders>
            <w:vAlign w:val="center"/>
          </w:tcPr>
          <w:p w14:paraId="517FB37D" w14:textId="77777777" w:rsidR="005C371A" w:rsidRPr="001677F9" w:rsidRDefault="005C371A" w:rsidP="00621362">
            <w:pPr>
              <w:pStyle w:val="TableText0"/>
              <w:keepNext w:val="0"/>
              <w:rPr>
                <w:rFonts w:cs="Arial"/>
              </w:rPr>
            </w:pPr>
            <w:r w:rsidRPr="001677F9">
              <w:rPr>
                <w:rFonts w:cs="Arial"/>
              </w:rPr>
              <w:t xml:space="preserve">Solomon et al. Baseline Characteristics of Patients </w:t>
            </w:r>
            <w:proofErr w:type="gramStart"/>
            <w:r w:rsidRPr="001677F9">
              <w:rPr>
                <w:rFonts w:cs="Arial"/>
              </w:rPr>
              <w:t>With</w:t>
            </w:r>
            <w:proofErr w:type="gramEnd"/>
            <w:r w:rsidRPr="001677F9">
              <w:rPr>
                <w:rFonts w:cs="Arial"/>
              </w:rPr>
              <w:t xml:space="preserve"> HF With Mildly Reduced and Preserved Ejection Fraction: DELIVER Trial.</w:t>
            </w:r>
          </w:p>
        </w:tc>
        <w:tc>
          <w:tcPr>
            <w:tcW w:w="1177" w:type="pct"/>
            <w:tcBorders>
              <w:top w:val="nil"/>
              <w:bottom w:val="nil"/>
            </w:tcBorders>
            <w:vAlign w:val="center"/>
          </w:tcPr>
          <w:p w14:paraId="7AE68914" w14:textId="3474506E" w:rsidR="005C371A" w:rsidRPr="001677F9" w:rsidRDefault="005C371A" w:rsidP="00621362">
            <w:pPr>
              <w:pStyle w:val="TableText0"/>
              <w:keepNext w:val="0"/>
              <w:rPr>
                <w:rFonts w:cs="Arial"/>
              </w:rPr>
            </w:pPr>
            <w:r w:rsidRPr="001677F9">
              <w:rPr>
                <w:rFonts w:cs="Arial"/>
                <w:iCs/>
              </w:rPr>
              <w:t>JACC: Heart Failure</w:t>
            </w:r>
            <w:r w:rsidRPr="001677F9">
              <w:rPr>
                <w:rFonts w:cs="Arial"/>
              </w:rPr>
              <w:t xml:space="preserve"> 2022; 10(3): 184-197</w:t>
            </w:r>
          </w:p>
        </w:tc>
      </w:tr>
      <w:tr w:rsidR="005C371A" w:rsidRPr="001677F9" w14:paraId="07E428E7" w14:textId="77777777" w:rsidTr="00C170FF">
        <w:tc>
          <w:tcPr>
            <w:tcW w:w="796" w:type="pct"/>
            <w:vMerge/>
            <w:tcBorders>
              <w:bottom w:val="nil"/>
            </w:tcBorders>
            <w:vAlign w:val="center"/>
          </w:tcPr>
          <w:p w14:paraId="36797D97" w14:textId="77777777" w:rsidR="005C371A" w:rsidRPr="001677F9" w:rsidRDefault="005C371A" w:rsidP="00621362">
            <w:pPr>
              <w:pStyle w:val="TableText0"/>
              <w:keepNext w:val="0"/>
            </w:pPr>
          </w:p>
        </w:tc>
        <w:tc>
          <w:tcPr>
            <w:tcW w:w="3027" w:type="pct"/>
            <w:tcBorders>
              <w:top w:val="nil"/>
              <w:bottom w:val="nil"/>
            </w:tcBorders>
            <w:vAlign w:val="center"/>
          </w:tcPr>
          <w:p w14:paraId="6DD3D11C" w14:textId="77777777" w:rsidR="005C371A" w:rsidRPr="001677F9" w:rsidRDefault="005C371A" w:rsidP="00621362">
            <w:pPr>
              <w:pStyle w:val="TableText0"/>
              <w:keepNext w:val="0"/>
              <w:rPr>
                <w:rFonts w:cs="Arial"/>
              </w:rPr>
            </w:pPr>
            <w:r w:rsidRPr="001677F9">
              <w:rPr>
                <w:rFonts w:cs="Arial"/>
              </w:rPr>
              <w:t>Vaduganathan et al. Time to Clinical Benefit of Dapagliflozin in Patients with Heart Failure with Mildly Reduced or Preserved Ejection Fraction: A Prespecified Secondary Analysis of the DELIVER Randomized Clinical Trial.</w:t>
            </w:r>
          </w:p>
        </w:tc>
        <w:tc>
          <w:tcPr>
            <w:tcW w:w="1177" w:type="pct"/>
            <w:tcBorders>
              <w:top w:val="nil"/>
              <w:bottom w:val="nil"/>
            </w:tcBorders>
            <w:vAlign w:val="center"/>
          </w:tcPr>
          <w:p w14:paraId="720A1568" w14:textId="77777777" w:rsidR="005C371A" w:rsidRPr="001677F9" w:rsidRDefault="005C371A" w:rsidP="00621362">
            <w:pPr>
              <w:pStyle w:val="TableText0"/>
              <w:keepNext w:val="0"/>
              <w:rPr>
                <w:rFonts w:cs="Arial"/>
                <w:i/>
                <w:iCs/>
              </w:rPr>
            </w:pPr>
            <w:r w:rsidRPr="001677F9">
              <w:rPr>
                <w:rFonts w:cs="Arial"/>
                <w:iCs/>
              </w:rPr>
              <w:t>JAMA Cardiology</w:t>
            </w:r>
            <w:r w:rsidRPr="001677F9">
              <w:rPr>
                <w:rFonts w:cs="Arial"/>
              </w:rPr>
              <w:t xml:space="preserve"> 2022; 7(12):1259-1263</w:t>
            </w:r>
          </w:p>
        </w:tc>
      </w:tr>
      <w:tr w:rsidR="00507044" w:rsidRPr="001677F9" w14:paraId="0672BD58" w14:textId="77777777" w:rsidTr="00C170FF">
        <w:tc>
          <w:tcPr>
            <w:tcW w:w="796" w:type="pct"/>
            <w:tcBorders>
              <w:top w:val="nil"/>
              <w:bottom w:val="single" w:sz="4" w:space="0" w:color="auto"/>
            </w:tcBorders>
            <w:vAlign w:val="center"/>
          </w:tcPr>
          <w:p w14:paraId="5701CB9B" w14:textId="77777777" w:rsidR="00507044" w:rsidRPr="001677F9" w:rsidRDefault="00507044" w:rsidP="00621362">
            <w:pPr>
              <w:pStyle w:val="TableText0"/>
              <w:keepNext w:val="0"/>
            </w:pPr>
          </w:p>
        </w:tc>
        <w:tc>
          <w:tcPr>
            <w:tcW w:w="3027" w:type="pct"/>
            <w:tcBorders>
              <w:top w:val="nil"/>
              <w:bottom w:val="single" w:sz="4" w:space="0" w:color="auto"/>
            </w:tcBorders>
            <w:vAlign w:val="center"/>
          </w:tcPr>
          <w:p w14:paraId="7AECE128" w14:textId="77777777" w:rsidR="00507044" w:rsidRPr="001677F9" w:rsidRDefault="00507044" w:rsidP="00621362">
            <w:pPr>
              <w:pStyle w:val="TableText0"/>
              <w:keepNext w:val="0"/>
              <w:rPr>
                <w:rFonts w:cs="Arial"/>
              </w:rPr>
            </w:pPr>
            <w:r w:rsidRPr="001677F9">
              <w:rPr>
                <w:rFonts w:cs="Arial"/>
              </w:rPr>
              <w:t xml:space="preserve">Vaduganathan et al. Estimated Long-Term Benefit of Dapagliflozin in Patients </w:t>
            </w:r>
            <w:proofErr w:type="gramStart"/>
            <w:r w:rsidRPr="001677F9">
              <w:rPr>
                <w:rFonts w:cs="Arial"/>
              </w:rPr>
              <w:t>With</w:t>
            </w:r>
            <w:proofErr w:type="gramEnd"/>
            <w:r w:rsidRPr="001677F9">
              <w:rPr>
                <w:rFonts w:cs="Arial"/>
              </w:rPr>
              <w:t xml:space="preserve"> Heart Failure.</w:t>
            </w:r>
          </w:p>
        </w:tc>
        <w:tc>
          <w:tcPr>
            <w:tcW w:w="1177" w:type="pct"/>
            <w:tcBorders>
              <w:top w:val="nil"/>
              <w:bottom w:val="nil"/>
            </w:tcBorders>
            <w:vAlign w:val="center"/>
          </w:tcPr>
          <w:p w14:paraId="6C86B24A" w14:textId="77777777" w:rsidR="00507044" w:rsidRPr="001677F9" w:rsidRDefault="00507044" w:rsidP="00621362">
            <w:pPr>
              <w:pStyle w:val="TableText0"/>
              <w:keepNext w:val="0"/>
              <w:rPr>
                <w:rFonts w:cs="Arial"/>
                <w:i/>
                <w:iCs/>
              </w:rPr>
            </w:pPr>
            <w:r w:rsidRPr="001677F9">
              <w:rPr>
                <w:rFonts w:cs="Arial"/>
                <w:iCs/>
              </w:rPr>
              <w:t>Journal of the American College of Cardiology</w:t>
            </w:r>
            <w:r w:rsidRPr="001677F9">
              <w:rPr>
                <w:rFonts w:cs="Arial"/>
              </w:rPr>
              <w:t xml:space="preserve"> 2022; 80(19): 1775-1784</w:t>
            </w:r>
          </w:p>
        </w:tc>
      </w:tr>
      <w:tr w:rsidR="00507044" w:rsidRPr="001677F9" w14:paraId="05560B6A" w14:textId="77777777" w:rsidTr="00C170FF">
        <w:tc>
          <w:tcPr>
            <w:tcW w:w="796" w:type="pct"/>
            <w:tcBorders>
              <w:top w:val="single" w:sz="4" w:space="0" w:color="auto"/>
              <w:bottom w:val="nil"/>
            </w:tcBorders>
            <w:vAlign w:val="center"/>
          </w:tcPr>
          <w:p w14:paraId="7AD68134" w14:textId="77777777" w:rsidR="00507044" w:rsidRPr="001677F9" w:rsidRDefault="00507044" w:rsidP="00621362">
            <w:pPr>
              <w:pStyle w:val="TableText0"/>
            </w:pPr>
            <w:r w:rsidRPr="001677F9">
              <w:t>Vaduganathan 2022</w:t>
            </w:r>
          </w:p>
        </w:tc>
        <w:tc>
          <w:tcPr>
            <w:tcW w:w="3027" w:type="pct"/>
            <w:tcBorders>
              <w:top w:val="single" w:sz="4" w:space="0" w:color="auto"/>
              <w:bottom w:val="nil"/>
            </w:tcBorders>
            <w:vAlign w:val="center"/>
          </w:tcPr>
          <w:p w14:paraId="1227967D" w14:textId="2496B28F" w:rsidR="00507044" w:rsidRPr="001677F9" w:rsidRDefault="00507044" w:rsidP="00621362">
            <w:pPr>
              <w:pStyle w:val="TableText0"/>
              <w:keepNext w:val="0"/>
            </w:pPr>
            <w:r w:rsidRPr="001677F9">
              <w:rPr>
                <w:szCs w:val="18"/>
              </w:rPr>
              <w:t>Vaduganathan et al. SGLT2 inhibitors in patients with heart failure: a comprehensive meta-analysis of five randomised controlled trials</w:t>
            </w:r>
          </w:p>
        </w:tc>
        <w:tc>
          <w:tcPr>
            <w:tcW w:w="1177" w:type="pct"/>
            <w:tcBorders>
              <w:bottom w:val="nil"/>
            </w:tcBorders>
            <w:vAlign w:val="center"/>
          </w:tcPr>
          <w:p w14:paraId="13C4F0C9" w14:textId="77777777" w:rsidR="00507044" w:rsidRPr="001677F9" w:rsidRDefault="00507044" w:rsidP="00621362">
            <w:pPr>
              <w:pStyle w:val="TableText0"/>
              <w:keepNext w:val="0"/>
            </w:pPr>
            <w:r w:rsidRPr="001677F9">
              <w:rPr>
                <w:iCs/>
              </w:rPr>
              <w:t xml:space="preserve">The Lancet 2022; </w:t>
            </w:r>
            <w:r w:rsidRPr="001677F9">
              <w:t>400(10354): 757-767.</w:t>
            </w:r>
          </w:p>
        </w:tc>
      </w:tr>
      <w:tr w:rsidR="00507044" w:rsidRPr="001677F9" w14:paraId="10ACA273" w14:textId="77777777" w:rsidTr="00C170FF">
        <w:tc>
          <w:tcPr>
            <w:tcW w:w="796" w:type="pct"/>
            <w:tcBorders>
              <w:bottom w:val="nil"/>
            </w:tcBorders>
            <w:vAlign w:val="center"/>
          </w:tcPr>
          <w:p w14:paraId="5100A46B" w14:textId="77777777" w:rsidR="00507044" w:rsidRPr="001677F9" w:rsidRDefault="00507044" w:rsidP="00621362">
            <w:pPr>
              <w:pStyle w:val="TableText0"/>
              <w:keepNext w:val="0"/>
            </w:pPr>
          </w:p>
        </w:tc>
        <w:tc>
          <w:tcPr>
            <w:tcW w:w="3027" w:type="pct"/>
            <w:tcBorders>
              <w:bottom w:val="nil"/>
            </w:tcBorders>
            <w:vAlign w:val="center"/>
          </w:tcPr>
          <w:p w14:paraId="2DF4C836" w14:textId="444CE7E6" w:rsidR="00507044" w:rsidRPr="001677F9" w:rsidRDefault="00507044" w:rsidP="00621362">
            <w:pPr>
              <w:pStyle w:val="TableText0"/>
              <w:keepNext w:val="0"/>
            </w:pPr>
            <w:r w:rsidRPr="001677F9">
              <w:t>Desai et al. Effect of Dapagliflozin on Cause-Specific Mortality in Patients with Heart Failure Across the Spectrum of Ejection Fraction: A Participant-Level Pooled Analysis of DAPA-HF and DELIVER.</w:t>
            </w:r>
          </w:p>
        </w:tc>
        <w:tc>
          <w:tcPr>
            <w:tcW w:w="1177" w:type="pct"/>
            <w:tcBorders>
              <w:bottom w:val="nil"/>
            </w:tcBorders>
            <w:vAlign w:val="center"/>
          </w:tcPr>
          <w:p w14:paraId="22B18E4B" w14:textId="77777777" w:rsidR="00507044" w:rsidRPr="001677F9" w:rsidRDefault="00507044" w:rsidP="00621362">
            <w:pPr>
              <w:pStyle w:val="TableText0"/>
              <w:keepNext w:val="0"/>
            </w:pPr>
            <w:r w:rsidRPr="001677F9">
              <w:rPr>
                <w:iCs/>
              </w:rPr>
              <w:t xml:space="preserve">JAMA Cardiology </w:t>
            </w:r>
            <w:r w:rsidRPr="001677F9">
              <w:t>2022</w:t>
            </w:r>
          </w:p>
        </w:tc>
      </w:tr>
      <w:tr w:rsidR="00507044" w:rsidRPr="001677F9" w14:paraId="2E8F3DBC" w14:textId="77777777" w:rsidTr="00C170FF">
        <w:tc>
          <w:tcPr>
            <w:tcW w:w="796" w:type="pct"/>
            <w:tcBorders>
              <w:top w:val="nil"/>
              <w:bottom w:val="nil"/>
            </w:tcBorders>
            <w:vAlign w:val="center"/>
          </w:tcPr>
          <w:p w14:paraId="49E0C907" w14:textId="77777777" w:rsidR="00507044" w:rsidRPr="001677F9" w:rsidRDefault="00507044" w:rsidP="00621362">
            <w:pPr>
              <w:pStyle w:val="TableText0"/>
              <w:keepNext w:val="0"/>
            </w:pPr>
            <w:r w:rsidRPr="001677F9">
              <w:t>Pooled analysis</w:t>
            </w:r>
          </w:p>
        </w:tc>
        <w:tc>
          <w:tcPr>
            <w:tcW w:w="3027" w:type="pct"/>
            <w:tcBorders>
              <w:top w:val="nil"/>
              <w:bottom w:val="nil"/>
            </w:tcBorders>
            <w:vAlign w:val="center"/>
          </w:tcPr>
          <w:p w14:paraId="6D93503C" w14:textId="666A565C" w:rsidR="00507044" w:rsidRPr="001677F9" w:rsidRDefault="00507044" w:rsidP="00621362">
            <w:pPr>
              <w:pStyle w:val="TableText0"/>
              <w:keepNext w:val="0"/>
              <w:rPr>
                <w:szCs w:val="18"/>
              </w:rPr>
            </w:pPr>
            <w:r w:rsidRPr="001677F9">
              <w:rPr>
                <w:szCs w:val="18"/>
              </w:rPr>
              <w:t>Jhund et al. Dapagliflozin across the range of ejection fraction in patients with heart failure: a patient-level, pooled meta-analysis of DAPA-HF and DELIVER.</w:t>
            </w:r>
          </w:p>
        </w:tc>
        <w:tc>
          <w:tcPr>
            <w:tcW w:w="1177" w:type="pct"/>
            <w:tcBorders>
              <w:top w:val="nil"/>
              <w:bottom w:val="nil"/>
            </w:tcBorders>
            <w:vAlign w:val="center"/>
          </w:tcPr>
          <w:p w14:paraId="477A0143" w14:textId="77777777" w:rsidR="00507044" w:rsidRPr="001677F9" w:rsidRDefault="00507044" w:rsidP="00621362">
            <w:pPr>
              <w:pStyle w:val="TableText0"/>
              <w:keepNext w:val="0"/>
            </w:pPr>
            <w:r w:rsidRPr="001677F9">
              <w:rPr>
                <w:iCs/>
                <w:szCs w:val="18"/>
              </w:rPr>
              <w:t xml:space="preserve">Nat Med </w:t>
            </w:r>
            <w:r w:rsidRPr="001677F9">
              <w:rPr>
                <w:szCs w:val="18"/>
              </w:rPr>
              <w:t xml:space="preserve">2022; 28(9): 1956-1964. </w:t>
            </w:r>
          </w:p>
        </w:tc>
      </w:tr>
      <w:tr w:rsidR="00507044" w:rsidRPr="001677F9" w14:paraId="03F41E82" w14:textId="77777777" w:rsidTr="00C170FF">
        <w:tc>
          <w:tcPr>
            <w:tcW w:w="5000" w:type="pct"/>
            <w:gridSpan w:val="3"/>
            <w:tcBorders>
              <w:top w:val="single" w:sz="4" w:space="0" w:color="auto"/>
              <w:bottom w:val="single" w:sz="4" w:space="0" w:color="auto"/>
            </w:tcBorders>
            <w:vAlign w:val="center"/>
          </w:tcPr>
          <w:p w14:paraId="24BD0EF9" w14:textId="77777777" w:rsidR="00507044" w:rsidRPr="001677F9" w:rsidRDefault="00507044" w:rsidP="00621362">
            <w:pPr>
              <w:pStyle w:val="TableText0"/>
              <w:keepNext w:val="0"/>
              <w:rPr>
                <w:rFonts w:cs="Arial"/>
                <w:b/>
                <w:bCs w:val="0"/>
                <w:i/>
                <w:iCs/>
              </w:rPr>
            </w:pPr>
            <w:r w:rsidRPr="001677F9">
              <w:rPr>
                <w:b/>
                <w:bCs w:val="0"/>
              </w:rPr>
              <w:t>Empagliflozin</w:t>
            </w:r>
          </w:p>
        </w:tc>
      </w:tr>
      <w:tr w:rsidR="00507044" w:rsidRPr="001677F9" w14:paraId="13C5FD6B" w14:textId="77777777" w:rsidTr="00C170FF">
        <w:tc>
          <w:tcPr>
            <w:tcW w:w="796" w:type="pct"/>
            <w:vMerge w:val="restart"/>
            <w:tcBorders>
              <w:top w:val="single" w:sz="4" w:space="0" w:color="auto"/>
            </w:tcBorders>
            <w:vAlign w:val="center"/>
          </w:tcPr>
          <w:p w14:paraId="47430F9B" w14:textId="77777777" w:rsidR="00507044" w:rsidRPr="001677F9" w:rsidRDefault="00507044" w:rsidP="00621362">
            <w:pPr>
              <w:pStyle w:val="TableText0"/>
              <w:keepNext w:val="0"/>
            </w:pPr>
            <w:r w:rsidRPr="001677F9">
              <w:t>EMPEROR-Preserved</w:t>
            </w:r>
          </w:p>
          <w:p w14:paraId="72BA97DB" w14:textId="77777777" w:rsidR="00507044" w:rsidRPr="001677F9" w:rsidRDefault="00507044" w:rsidP="00621362">
            <w:pPr>
              <w:pStyle w:val="TableText0"/>
              <w:keepNext w:val="0"/>
            </w:pPr>
          </w:p>
          <w:p w14:paraId="7B6091A2" w14:textId="77777777" w:rsidR="00507044" w:rsidRPr="001677F9" w:rsidRDefault="00507044" w:rsidP="00621362">
            <w:pPr>
              <w:pStyle w:val="TableText0"/>
              <w:keepNext w:val="0"/>
              <w:rPr>
                <w:rFonts w:cs="Arial"/>
              </w:rPr>
            </w:pPr>
            <w:r w:rsidRPr="001677F9">
              <w:rPr>
                <w:rFonts w:cs="Arial"/>
              </w:rPr>
              <w:t>EUCTR2016-002278-11-</w:t>
            </w:r>
            <w:proofErr w:type="gramStart"/>
            <w:r w:rsidRPr="001677F9">
              <w:rPr>
                <w:rFonts w:cs="Arial"/>
              </w:rPr>
              <w:t>BE</w:t>
            </w:r>
            <w:proofErr w:type="gramEnd"/>
          </w:p>
          <w:p w14:paraId="42BFF567" w14:textId="77777777" w:rsidR="00507044" w:rsidRPr="001677F9" w:rsidRDefault="00507044" w:rsidP="00621362">
            <w:pPr>
              <w:pStyle w:val="TableText0"/>
              <w:keepNext w:val="0"/>
            </w:pPr>
            <w:r w:rsidRPr="001677F9">
              <w:rPr>
                <w:rFonts w:cs="Arial"/>
              </w:rPr>
              <w:t>NCT03057951</w:t>
            </w:r>
          </w:p>
        </w:tc>
        <w:tc>
          <w:tcPr>
            <w:tcW w:w="3027" w:type="pct"/>
            <w:tcBorders>
              <w:top w:val="single" w:sz="4" w:space="0" w:color="auto"/>
              <w:bottom w:val="nil"/>
            </w:tcBorders>
            <w:vAlign w:val="center"/>
          </w:tcPr>
          <w:p w14:paraId="59364C81" w14:textId="77777777" w:rsidR="00507044" w:rsidRPr="001677F9" w:rsidRDefault="00507044" w:rsidP="00621362">
            <w:pPr>
              <w:pStyle w:val="TableText0"/>
              <w:keepNext w:val="0"/>
              <w:rPr>
                <w:rFonts w:cs="Arial"/>
              </w:rPr>
            </w:pPr>
            <w:r w:rsidRPr="001677F9">
              <w:rPr>
                <w:szCs w:val="18"/>
              </w:rPr>
              <w:t>Anker et al. Evaluation of the effects of sodium-glucose co-transporter 2 inhibition with empagliflozin on morbidity and mortality in patients with chronic heart failure and a preserved ejection fraction: rationale for and design of the EMPEROR-Preserved Trial.</w:t>
            </w:r>
          </w:p>
        </w:tc>
        <w:tc>
          <w:tcPr>
            <w:tcW w:w="1177" w:type="pct"/>
            <w:tcBorders>
              <w:top w:val="single" w:sz="4" w:space="0" w:color="auto"/>
              <w:bottom w:val="nil"/>
            </w:tcBorders>
            <w:vAlign w:val="center"/>
          </w:tcPr>
          <w:p w14:paraId="1321D3C6" w14:textId="77777777" w:rsidR="00507044" w:rsidRPr="001677F9" w:rsidRDefault="00507044" w:rsidP="00621362">
            <w:pPr>
              <w:pStyle w:val="TableText0"/>
              <w:keepNext w:val="0"/>
              <w:rPr>
                <w:rFonts w:cs="Arial"/>
                <w:i/>
                <w:iCs/>
              </w:rPr>
            </w:pPr>
            <w:r w:rsidRPr="001677F9">
              <w:rPr>
                <w:iCs/>
              </w:rPr>
              <w:t xml:space="preserve">European Journal of Heart Failure </w:t>
            </w:r>
            <w:r w:rsidRPr="001677F9">
              <w:t>2019; 21(10):1279-1287</w:t>
            </w:r>
          </w:p>
        </w:tc>
      </w:tr>
      <w:tr w:rsidR="00507044" w:rsidRPr="001677F9" w14:paraId="6B24E683" w14:textId="77777777" w:rsidTr="00C170FF">
        <w:tc>
          <w:tcPr>
            <w:tcW w:w="796" w:type="pct"/>
            <w:vMerge/>
            <w:vAlign w:val="center"/>
          </w:tcPr>
          <w:p w14:paraId="2D97A4F9" w14:textId="77777777" w:rsidR="00507044" w:rsidRPr="001677F9" w:rsidRDefault="00507044" w:rsidP="00621362">
            <w:pPr>
              <w:pStyle w:val="TableText0"/>
              <w:keepNext w:val="0"/>
            </w:pPr>
          </w:p>
        </w:tc>
        <w:tc>
          <w:tcPr>
            <w:tcW w:w="3027" w:type="pct"/>
            <w:tcBorders>
              <w:top w:val="nil"/>
              <w:bottom w:val="nil"/>
            </w:tcBorders>
            <w:vAlign w:val="center"/>
          </w:tcPr>
          <w:p w14:paraId="2DA0B9A7" w14:textId="77777777" w:rsidR="00507044" w:rsidRPr="001677F9" w:rsidRDefault="00507044" w:rsidP="00621362">
            <w:pPr>
              <w:pStyle w:val="TableText0"/>
              <w:keepNext w:val="0"/>
              <w:rPr>
                <w:rFonts w:cs="Arial"/>
              </w:rPr>
            </w:pPr>
            <w:r w:rsidRPr="001677F9">
              <w:rPr>
                <w:szCs w:val="18"/>
              </w:rPr>
              <w:t>Anker et al. Empagliflozin in Heart Failure with a Preserved Ejection Fraction.</w:t>
            </w:r>
          </w:p>
        </w:tc>
        <w:tc>
          <w:tcPr>
            <w:tcW w:w="1177" w:type="pct"/>
            <w:tcBorders>
              <w:top w:val="nil"/>
              <w:bottom w:val="nil"/>
            </w:tcBorders>
            <w:vAlign w:val="center"/>
          </w:tcPr>
          <w:p w14:paraId="172E6D54" w14:textId="7A8B96D9" w:rsidR="00507044" w:rsidRPr="001677F9" w:rsidRDefault="00507044" w:rsidP="00621362">
            <w:pPr>
              <w:pStyle w:val="TableText0"/>
              <w:keepNext w:val="0"/>
              <w:rPr>
                <w:rFonts w:cs="Arial"/>
                <w:i/>
                <w:iCs/>
              </w:rPr>
            </w:pPr>
            <w:r w:rsidRPr="001677F9">
              <w:rPr>
                <w:szCs w:val="18"/>
              </w:rPr>
              <w:t>New England Journal of Medicine 2021; 385(16): 1451-1461</w:t>
            </w:r>
          </w:p>
        </w:tc>
      </w:tr>
      <w:tr w:rsidR="00507044" w:rsidRPr="001677F9" w14:paraId="3D5DB342" w14:textId="77777777" w:rsidTr="00C170FF">
        <w:tc>
          <w:tcPr>
            <w:tcW w:w="796" w:type="pct"/>
            <w:vMerge/>
            <w:vAlign w:val="center"/>
          </w:tcPr>
          <w:p w14:paraId="01AC15DF" w14:textId="77777777" w:rsidR="00507044" w:rsidRPr="001677F9" w:rsidRDefault="00507044" w:rsidP="00621362">
            <w:pPr>
              <w:pStyle w:val="TableText0"/>
              <w:keepNext w:val="0"/>
            </w:pPr>
          </w:p>
        </w:tc>
        <w:tc>
          <w:tcPr>
            <w:tcW w:w="3027" w:type="pct"/>
            <w:tcBorders>
              <w:top w:val="nil"/>
              <w:bottom w:val="nil"/>
            </w:tcBorders>
            <w:vAlign w:val="center"/>
          </w:tcPr>
          <w:p w14:paraId="41CFBD3D" w14:textId="77777777" w:rsidR="00507044" w:rsidRPr="001677F9" w:rsidRDefault="00507044" w:rsidP="00621362">
            <w:pPr>
              <w:pStyle w:val="TableText0"/>
              <w:keepNext w:val="0"/>
              <w:rPr>
                <w:rFonts w:cs="Arial"/>
              </w:rPr>
            </w:pPr>
            <w:r w:rsidRPr="001677F9">
              <w:rPr>
                <w:rFonts w:cs="Arial"/>
              </w:rPr>
              <w:t>Anker et al. Baseline characteristics of patients with heart failure with preserved ejection fraction in the EMPEROR-Preserved trial.</w:t>
            </w:r>
          </w:p>
        </w:tc>
        <w:tc>
          <w:tcPr>
            <w:tcW w:w="1177" w:type="pct"/>
            <w:tcBorders>
              <w:top w:val="nil"/>
              <w:bottom w:val="nil"/>
            </w:tcBorders>
            <w:vAlign w:val="center"/>
          </w:tcPr>
          <w:p w14:paraId="4553DD4D" w14:textId="5827056E" w:rsidR="00507044" w:rsidRPr="001677F9" w:rsidRDefault="00507044" w:rsidP="00621362">
            <w:pPr>
              <w:pStyle w:val="TableText0"/>
              <w:keepNext w:val="0"/>
              <w:spacing w:before="20" w:after="20" w:line="276" w:lineRule="auto"/>
              <w:rPr>
                <w:rFonts w:cs="Arial"/>
                <w:i/>
                <w:iCs/>
              </w:rPr>
            </w:pPr>
            <w:r w:rsidRPr="001677F9">
              <w:rPr>
                <w:rFonts w:cs="Arial"/>
                <w:iCs/>
              </w:rPr>
              <w:t>European Journal of Heart Failure</w:t>
            </w:r>
            <w:r w:rsidRPr="001677F9">
              <w:rPr>
                <w:rFonts w:cs="Arial"/>
              </w:rPr>
              <w:t xml:space="preserve"> 2020; 22(12): 2383</w:t>
            </w:r>
            <w:r w:rsidRPr="001677F9">
              <w:rPr>
                <w:rFonts w:ascii="Cambria Math" w:hAnsi="Cambria Math" w:cs="Cambria Math"/>
              </w:rPr>
              <w:t>‐</w:t>
            </w:r>
            <w:r w:rsidRPr="001677F9">
              <w:rPr>
                <w:rFonts w:cs="Arial"/>
              </w:rPr>
              <w:t>2392</w:t>
            </w:r>
          </w:p>
        </w:tc>
      </w:tr>
      <w:tr w:rsidR="00507044" w:rsidRPr="001677F9" w14:paraId="0FB82B87" w14:textId="77777777" w:rsidTr="00C170FF">
        <w:tc>
          <w:tcPr>
            <w:tcW w:w="796" w:type="pct"/>
            <w:vMerge/>
            <w:vAlign w:val="center"/>
          </w:tcPr>
          <w:p w14:paraId="4EB2AE1D" w14:textId="77777777" w:rsidR="00507044" w:rsidRPr="001677F9" w:rsidRDefault="00507044" w:rsidP="00621362">
            <w:pPr>
              <w:pStyle w:val="TableText0"/>
              <w:keepNext w:val="0"/>
            </w:pPr>
          </w:p>
        </w:tc>
        <w:tc>
          <w:tcPr>
            <w:tcW w:w="3027" w:type="pct"/>
            <w:tcBorders>
              <w:top w:val="nil"/>
              <w:bottom w:val="nil"/>
            </w:tcBorders>
            <w:vAlign w:val="center"/>
          </w:tcPr>
          <w:p w14:paraId="03170D1B" w14:textId="6C083DE0" w:rsidR="00507044" w:rsidRPr="001677F9" w:rsidRDefault="00507044" w:rsidP="00621362">
            <w:pPr>
              <w:pStyle w:val="TableText0"/>
              <w:keepNext w:val="0"/>
              <w:spacing w:before="20" w:after="20" w:line="276" w:lineRule="auto"/>
              <w:rPr>
                <w:rFonts w:cs="Arial"/>
              </w:rPr>
            </w:pPr>
            <w:r w:rsidRPr="001677F9">
              <w:rPr>
                <w:rFonts w:cs="Arial"/>
              </w:rPr>
              <w:t>Bohm et al. Empagliflozin, irrespective of blood pressure, improves outcomes in heart failure with preserved ejection fraction: the EMPEROR-Preserved trial.</w:t>
            </w:r>
          </w:p>
        </w:tc>
        <w:tc>
          <w:tcPr>
            <w:tcW w:w="1177" w:type="pct"/>
            <w:tcBorders>
              <w:top w:val="nil"/>
              <w:bottom w:val="nil"/>
            </w:tcBorders>
            <w:vAlign w:val="center"/>
          </w:tcPr>
          <w:p w14:paraId="265E6E3F" w14:textId="77777777" w:rsidR="00507044" w:rsidRPr="001677F9" w:rsidRDefault="00507044" w:rsidP="00621362">
            <w:pPr>
              <w:pStyle w:val="TableText0"/>
              <w:keepNext w:val="0"/>
              <w:rPr>
                <w:rFonts w:cs="Arial"/>
                <w:i/>
                <w:iCs/>
              </w:rPr>
            </w:pPr>
            <w:r w:rsidRPr="001677F9">
              <w:rPr>
                <w:rFonts w:cs="Arial"/>
                <w:iCs/>
              </w:rPr>
              <w:t>European Heart Journal</w:t>
            </w:r>
            <w:r w:rsidRPr="001677F9">
              <w:rPr>
                <w:rFonts w:cs="Arial"/>
              </w:rPr>
              <w:t xml:space="preserve"> 2023; 44(5):396-407</w:t>
            </w:r>
          </w:p>
        </w:tc>
      </w:tr>
      <w:tr w:rsidR="00507044" w:rsidRPr="001677F9" w14:paraId="1CC21560" w14:textId="77777777" w:rsidTr="00C170FF">
        <w:tc>
          <w:tcPr>
            <w:tcW w:w="796" w:type="pct"/>
            <w:vMerge/>
            <w:vAlign w:val="center"/>
          </w:tcPr>
          <w:p w14:paraId="276A8CD9" w14:textId="77777777" w:rsidR="00507044" w:rsidRPr="001677F9" w:rsidRDefault="00507044" w:rsidP="00621362">
            <w:pPr>
              <w:pStyle w:val="TableText0"/>
              <w:keepNext w:val="0"/>
            </w:pPr>
          </w:p>
        </w:tc>
        <w:tc>
          <w:tcPr>
            <w:tcW w:w="3027" w:type="pct"/>
            <w:tcBorders>
              <w:top w:val="nil"/>
              <w:bottom w:val="nil"/>
            </w:tcBorders>
            <w:vAlign w:val="center"/>
          </w:tcPr>
          <w:p w14:paraId="3DAA1A27" w14:textId="77777777" w:rsidR="00507044" w:rsidRPr="001677F9" w:rsidRDefault="00507044" w:rsidP="00621362">
            <w:pPr>
              <w:pStyle w:val="TableText0"/>
              <w:keepNext w:val="0"/>
              <w:spacing w:before="20" w:after="20" w:line="276" w:lineRule="auto"/>
              <w:rPr>
                <w:rFonts w:cs="Arial"/>
              </w:rPr>
            </w:pPr>
            <w:r w:rsidRPr="001677F9">
              <w:rPr>
                <w:rFonts w:cs="Arial"/>
              </w:rPr>
              <w:t>Butler et al. Effects of Empagliflozin in Women and Men with Heart Failure and Preserved Ejection Fraction.</w:t>
            </w:r>
          </w:p>
        </w:tc>
        <w:tc>
          <w:tcPr>
            <w:tcW w:w="1177" w:type="pct"/>
            <w:tcBorders>
              <w:top w:val="nil"/>
              <w:bottom w:val="nil"/>
            </w:tcBorders>
            <w:vAlign w:val="center"/>
          </w:tcPr>
          <w:p w14:paraId="41BA2249" w14:textId="77777777" w:rsidR="00507044" w:rsidRPr="001677F9" w:rsidRDefault="00507044" w:rsidP="00621362">
            <w:pPr>
              <w:pStyle w:val="TableText0"/>
              <w:keepNext w:val="0"/>
              <w:rPr>
                <w:rFonts w:cs="Arial"/>
                <w:i/>
                <w:iCs/>
              </w:rPr>
            </w:pPr>
            <w:r w:rsidRPr="001677F9">
              <w:rPr>
                <w:rFonts w:cs="Arial"/>
              </w:rPr>
              <w:t>Circulation 2022; 146(14): 1046-1055</w:t>
            </w:r>
          </w:p>
        </w:tc>
      </w:tr>
      <w:tr w:rsidR="00507044" w:rsidRPr="001677F9" w14:paraId="634CC002" w14:textId="77777777" w:rsidTr="00C170FF">
        <w:tc>
          <w:tcPr>
            <w:tcW w:w="796" w:type="pct"/>
            <w:vMerge/>
            <w:vAlign w:val="center"/>
          </w:tcPr>
          <w:p w14:paraId="5CBAC8F5" w14:textId="77777777" w:rsidR="00507044" w:rsidRPr="001677F9" w:rsidRDefault="00507044" w:rsidP="00621362">
            <w:pPr>
              <w:pStyle w:val="TableText0"/>
              <w:keepNext w:val="0"/>
            </w:pPr>
          </w:p>
        </w:tc>
        <w:tc>
          <w:tcPr>
            <w:tcW w:w="3027" w:type="pct"/>
            <w:tcBorders>
              <w:top w:val="nil"/>
              <w:bottom w:val="nil"/>
            </w:tcBorders>
            <w:vAlign w:val="center"/>
          </w:tcPr>
          <w:p w14:paraId="04BC4AFB" w14:textId="77777777" w:rsidR="00507044" w:rsidRPr="001677F9" w:rsidRDefault="00507044" w:rsidP="00621362">
            <w:pPr>
              <w:pStyle w:val="TableText0"/>
              <w:keepNext w:val="0"/>
              <w:spacing w:before="20" w:after="20" w:line="276" w:lineRule="auto"/>
              <w:rPr>
                <w:rFonts w:cs="Arial"/>
              </w:rPr>
            </w:pPr>
            <w:r w:rsidRPr="001677F9">
              <w:rPr>
                <w:rFonts w:cs="Arial"/>
              </w:rPr>
              <w:t xml:space="preserve">Filippatos et al. Empagliflozin for Heart Failure </w:t>
            </w:r>
            <w:proofErr w:type="gramStart"/>
            <w:r w:rsidRPr="001677F9">
              <w:rPr>
                <w:rFonts w:cs="Arial"/>
              </w:rPr>
              <w:t>With</w:t>
            </w:r>
            <w:proofErr w:type="gramEnd"/>
            <w:r w:rsidRPr="001677F9">
              <w:rPr>
                <w:rFonts w:cs="Arial"/>
              </w:rPr>
              <w:t xml:space="preserve"> Preserved Left Ventricular Ejection Fraction With and Without Diabetes.</w:t>
            </w:r>
          </w:p>
        </w:tc>
        <w:tc>
          <w:tcPr>
            <w:tcW w:w="1177" w:type="pct"/>
            <w:tcBorders>
              <w:top w:val="nil"/>
              <w:bottom w:val="nil"/>
            </w:tcBorders>
            <w:vAlign w:val="center"/>
          </w:tcPr>
          <w:p w14:paraId="469528D8" w14:textId="77777777" w:rsidR="00507044" w:rsidRPr="001677F9" w:rsidRDefault="00507044" w:rsidP="00621362">
            <w:pPr>
              <w:pStyle w:val="TableText0"/>
              <w:keepNext w:val="0"/>
              <w:rPr>
                <w:rFonts w:cs="Arial"/>
                <w:i/>
                <w:iCs/>
              </w:rPr>
            </w:pPr>
            <w:r w:rsidRPr="001677F9">
              <w:rPr>
                <w:rFonts w:cs="Arial"/>
              </w:rPr>
              <w:t>Circulation 2022; 146(9): 676-686</w:t>
            </w:r>
          </w:p>
        </w:tc>
      </w:tr>
      <w:tr w:rsidR="00507044" w:rsidRPr="001677F9" w14:paraId="1239BAB9" w14:textId="77777777" w:rsidTr="00C170FF">
        <w:tc>
          <w:tcPr>
            <w:tcW w:w="796" w:type="pct"/>
            <w:vMerge/>
            <w:tcBorders>
              <w:bottom w:val="single" w:sz="4" w:space="0" w:color="auto"/>
            </w:tcBorders>
            <w:vAlign w:val="center"/>
          </w:tcPr>
          <w:p w14:paraId="126EE8E4" w14:textId="77777777" w:rsidR="00507044" w:rsidRPr="001677F9" w:rsidRDefault="00507044" w:rsidP="00621362">
            <w:pPr>
              <w:pStyle w:val="TableText0"/>
              <w:keepNext w:val="0"/>
            </w:pPr>
          </w:p>
        </w:tc>
        <w:tc>
          <w:tcPr>
            <w:tcW w:w="3027" w:type="pct"/>
            <w:tcBorders>
              <w:top w:val="nil"/>
              <w:bottom w:val="single" w:sz="4" w:space="0" w:color="auto"/>
            </w:tcBorders>
            <w:vAlign w:val="center"/>
          </w:tcPr>
          <w:p w14:paraId="43E93657" w14:textId="58088DAB" w:rsidR="00507044" w:rsidRPr="001677F9" w:rsidRDefault="00507044" w:rsidP="00621362">
            <w:pPr>
              <w:pStyle w:val="TableText0"/>
              <w:keepNext w:val="0"/>
              <w:rPr>
                <w:rFonts w:cs="Arial"/>
              </w:rPr>
            </w:pPr>
            <w:r w:rsidRPr="001677F9">
              <w:rPr>
                <w:rFonts w:cs="Arial"/>
              </w:rPr>
              <w:t xml:space="preserve">Packer et al. Effect of Empagliflozin on Worsening Heart Failure Events in Patients </w:t>
            </w:r>
            <w:proofErr w:type="gramStart"/>
            <w:r w:rsidRPr="001677F9">
              <w:rPr>
                <w:rFonts w:cs="Arial"/>
              </w:rPr>
              <w:t>With</w:t>
            </w:r>
            <w:proofErr w:type="gramEnd"/>
            <w:r w:rsidRPr="001677F9">
              <w:rPr>
                <w:rFonts w:cs="Arial"/>
              </w:rPr>
              <w:t xml:space="preserve"> Heart Failure and Preserved Ejection Fraction: </w:t>
            </w:r>
            <w:r w:rsidR="004E220D" w:rsidRPr="001677F9">
              <w:rPr>
                <w:rFonts w:cs="Arial"/>
              </w:rPr>
              <w:t>E</w:t>
            </w:r>
            <w:r w:rsidRPr="001677F9">
              <w:rPr>
                <w:rFonts w:cs="Arial"/>
              </w:rPr>
              <w:t>MPEROR-Preserved Trial.</w:t>
            </w:r>
          </w:p>
        </w:tc>
        <w:tc>
          <w:tcPr>
            <w:tcW w:w="1177" w:type="pct"/>
            <w:tcBorders>
              <w:top w:val="nil"/>
              <w:bottom w:val="single" w:sz="4" w:space="0" w:color="auto"/>
            </w:tcBorders>
            <w:vAlign w:val="center"/>
          </w:tcPr>
          <w:p w14:paraId="64D67455" w14:textId="77777777" w:rsidR="00507044" w:rsidRPr="001677F9" w:rsidRDefault="00507044" w:rsidP="00621362">
            <w:pPr>
              <w:pStyle w:val="TableText0"/>
              <w:keepNext w:val="0"/>
              <w:rPr>
                <w:rFonts w:cs="Arial"/>
                <w:i/>
                <w:iCs/>
              </w:rPr>
            </w:pPr>
            <w:r w:rsidRPr="001677F9">
              <w:rPr>
                <w:rFonts w:cs="Arial"/>
              </w:rPr>
              <w:t>Circulation 2021; 144(16): 1284</w:t>
            </w:r>
            <w:r w:rsidRPr="001677F9">
              <w:rPr>
                <w:rFonts w:ascii="Cambria Math" w:hAnsi="Cambria Math" w:cs="Cambria Math"/>
              </w:rPr>
              <w:t>‐</w:t>
            </w:r>
            <w:r w:rsidRPr="001677F9">
              <w:rPr>
                <w:rFonts w:cs="Arial"/>
              </w:rPr>
              <w:t>1294</w:t>
            </w:r>
          </w:p>
        </w:tc>
      </w:tr>
    </w:tbl>
    <w:p w14:paraId="4BBCF684" w14:textId="0C351CAF" w:rsidR="00507044" w:rsidRPr="001677F9" w:rsidRDefault="00507044" w:rsidP="008A2105">
      <w:pPr>
        <w:pStyle w:val="FooterTableFigure"/>
      </w:pPr>
      <w:r w:rsidRPr="001677F9">
        <w:t>Source: Table 2.2-1 and Table 2.2-2, pp34-36 of the submission</w:t>
      </w:r>
    </w:p>
    <w:p w14:paraId="50D5A131" w14:textId="0DE8207E" w:rsidR="00507044" w:rsidRPr="001677F9" w:rsidRDefault="004C1D77" w:rsidP="0016580D">
      <w:pPr>
        <w:pStyle w:val="FooterTableFigure"/>
      </w:pPr>
      <w:r w:rsidRPr="001677F9">
        <w:rPr>
          <w:rFonts w:cstheme="minorHAnsi"/>
        </w:rPr>
        <w:t>N-terminal pro b-type natriuretic peptide = NT-pro BNP</w:t>
      </w:r>
      <w:r w:rsidR="00CB63E1" w:rsidRPr="001677F9">
        <w:rPr>
          <w:rFonts w:cstheme="minorHAnsi"/>
        </w:rPr>
        <w:t>;</w:t>
      </w:r>
      <w:r w:rsidRPr="001677F9">
        <w:rPr>
          <w:rFonts w:cstheme="minorHAnsi"/>
        </w:rPr>
        <w:t xml:space="preserve"> SGLT2 = sodium-glucose cotransporter 2</w:t>
      </w:r>
      <w:r w:rsidR="00CB63E1" w:rsidRPr="001677F9">
        <w:rPr>
          <w:rFonts w:cstheme="minorHAnsi"/>
        </w:rPr>
        <w:t>.</w:t>
      </w:r>
    </w:p>
    <w:p w14:paraId="738EEA18" w14:textId="0BF09ECE" w:rsidR="001C1B17" w:rsidRPr="001677F9" w:rsidRDefault="00507044" w:rsidP="001C1B17">
      <w:pPr>
        <w:pStyle w:val="3-BodyText"/>
      </w:pPr>
      <w:r w:rsidRPr="001677F9">
        <w:rPr>
          <w:snapToGrid/>
        </w:rPr>
        <w:t>The key features of the randomised trials included in the ITC are summarised in</w:t>
      </w:r>
      <w:r w:rsidR="001C1B17" w:rsidRPr="001677F9">
        <w:rPr>
          <w:snapToGrid/>
        </w:rPr>
        <w:t xml:space="preserve"> </w:t>
      </w:r>
      <w:r w:rsidR="001C1B17" w:rsidRPr="001677F9">
        <w:fldChar w:fldCharType="begin" w:fldLock="1"/>
      </w:r>
      <w:r w:rsidR="001C1B17" w:rsidRPr="001677F9">
        <w:rPr>
          <w:snapToGrid/>
        </w:rPr>
        <w:instrText xml:space="preserve"> REF _Ref134013993 \h  \* MERGEFORMAT </w:instrText>
      </w:r>
      <w:r w:rsidR="001C1B17" w:rsidRPr="001677F9">
        <w:fldChar w:fldCharType="separate"/>
      </w:r>
      <w:r w:rsidR="002C43D4" w:rsidRPr="001677F9">
        <w:rPr>
          <w:snapToGrid/>
        </w:rPr>
        <w:t>Table</w:t>
      </w:r>
      <w:r w:rsidR="00A62ADE">
        <w:rPr>
          <w:snapToGrid/>
        </w:rPr>
        <w:t> </w:t>
      </w:r>
      <w:r w:rsidR="002C43D4" w:rsidRPr="001677F9">
        <w:rPr>
          <w:snapToGrid/>
        </w:rPr>
        <w:t>3</w:t>
      </w:r>
      <w:r w:rsidR="001C1B17" w:rsidRPr="001677F9">
        <w:fldChar w:fldCharType="end"/>
      </w:r>
      <w:r w:rsidR="001C1B17" w:rsidRPr="001677F9">
        <w:rPr>
          <w:snapToGrid/>
        </w:rPr>
        <w:t>.</w:t>
      </w:r>
      <w:r w:rsidR="0016580D" w:rsidRPr="001677F9">
        <w:rPr>
          <w:snapToGrid/>
        </w:rPr>
        <w:t xml:space="preserve"> </w:t>
      </w:r>
      <w:bookmarkStart w:id="26" w:name="_Ref132364920"/>
    </w:p>
    <w:p w14:paraId="42FCF159" w14:textId="46DCE593" w:rsidR="00507044" w:rsidRPr="001677F9" w:rsidRDefault="0016580D" w:rsidP="001C1B17">
      <w:pPr>
        <w:pStyle w:val="Caption"/>
        <w:keepLines w:val="0"/>
        <w:jc w:val="left"/>
      </w:pPr>
      <w:bookmarkStart w:id="27" w:name="_Ref134013993"/>
      <w:r w:rsidRPr="001677F9">
        <w:t xml:space="preserve">Table </w:t>
      </w:r>
      <w:fldSimple w:instr=" SEQ Table \* ARABIC " w:fldLock="1">
        <w:r w:rsidR="002C43D4" w:rsidRPr="001677F9">
          <w:t>3</w:t>
        </w:r>
      </w:fldSimple>
      <w:bookmarkEnd w:id="26"/>
      <w:bookmarkEnd w:id="27"/>
      <w:r w:rsidRPr="001677F9">
        <w:t xml:space="preserve">: </w:t>
      </w:r>
      <w:r w:rsidR="00507044" w:rsidRPr="001677F9">
        <w:t>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7"/>
        <w:gridCol w:w="709"/>
        <w:gridCol w:w="1060"/>
        <w:gridCol w:w="840"/>
        <w:gridCol w:w="1320"/>
        <w:gridCol w:w="2510"/>
        <w:gridCol w:w="1591"/>
      </w:tblGrid>
      <w:tr w:rsidR="00507044" w:rsidRPr="001677F9" w14:paraId="35C19C28" w14:textId="77777777" w:rsidTr="009402F2">
        <w:trPr>
          <w:tblHeader/>
        </w:trPr>
        <w:tc>
          <w:tcPr>
            <w:tcW w:w="547" w:type="pct"/>
            <w:shd w:val="clear" w:color="auto" w:fill="auto"/>
            <w:vAlign w:val="center"/>
          </w:tcPr>
          <w:p w14:paraId="7CC3C436" w14:textId="77777777" w:rsidR="00507044" w:rsidRPr="001677F9" w:rsidRDefault="00507044" w:rsidP="008A2105">
            <w:pPr>
              <w:pStyle w:val="In-tableHeading"/>
              <w:rPr>
                <w:lang w:val="en-AU"/>
              </w:rPr>
            </w:pPr>
            <w:r w:rsidRPr="001677F9">
              <w:rPr>
                <w:lang w:val="en-AU"/>
              </w:rPr>
              <w:t>Trial</w:t>
            </w:r>
          </w:p>
        </w:tc>
        <w:tc>
          <w:tcPr>
            <w:tcW w:w="393" w:type="pct"/>
            <w:shd w:val="clear" w:color="auto" w:fill="auto"/>
            <w:vAlign w:val="center"/>
          </w:tcPr>
          <w:p w14:paraId="7D4B467F" w14:textId="77777777" w:rsidR="00507044" w:rsidRPr="001677F9" w:rsidRDefault="00507044" w:rsidP="008A2105">
            <w:pPr>
              <w:pStyle w:val="In-tableHeading"/>
              <w:jc w:val="center"/>
              <w:rPr>
                <w:lang w:val="en-AU"/>
              </w:rPr>
            </w:pPr>
            <w:r w:rsidRPr="001677F9">
              <w:rPr>
                <w:lang w:val="en-AU"/>
              </w:rPr>
              <w:t>N</w:t>
            </w:r>
          </w:p>
        </w:tc>
        <w:tc>
          <w:tcPr>
            <w:tcW w:w="588" w:type="pct"/>
            <w:shd w:val="clear" w:color="auto" w:fill="auto"/>
            <w:vAlign w:val="center"/>
          </w:tcPr>
          <w:p w14:paraId="4BDC7225" w14:textId="7A1BCD50" w:rsidR="00507044" w:rsidRPr="001677F9" w:rsidRDefault="00507044" w:rsidP="008A2105">
            <w:pPr>
              <w:pStyle w:val="In-tableHeading"/>
              <w:jc w:val="center"/>
              <w:rPr>
                <w:lang w:val="en-AU"/>
              </w:rPr>
            </w:pPr>
            <w:r w:rsidRPr="001677F9">
              <w:rPr>
                <w:lang w:val="en-AU"/>
              </w:rPr>
              <w:t>Design/</w:t>
            </w:r>
            <w:r w:rsidR="009402F2" w:rsidRPr="001677F9">
              <w:rPr>
                <w:lang w:val="en-AU"/>
              </w:rPr>
              <w:t xml:space="preserve"> </w:t>
            </w:r>
            <w:r w:rsidRPr="001677F9">
              <w:rPr>
                <w:lang w:val="en-AU"/>
              </w:rPr>
              <w:t>duration</w:t>
            </w:r>
          </w:p>
        </w:tc>
        <w:tc>
          <w:tcPr>
            <w:tcW w:w="466" w:type="pct"/>
            <w:shd w:val="clear" w:color="auto" w:fill="auto"/>
            <w:vAlign w:val="center"/>
          </w:tcPr>
          <w:p w14:paraId="6313C098" w14:textId="77777777" w:rsidR="00507044" w:rsidRPr="001677F9" w:rsidRDefault="00507044" w:rsidP="008A2105">
            <w:pPr>
              <w:pStyle w:val="In-tableHeading"/>
              <w:jc w:val="center"/>
              <w:rPr>
                <w:lang w:val="en-AU"/>
              </w:rPr>
            </w:pPr>
            <w:r w:rsidRPr="001677F9">
              <w:rPr>
                <w:lang w:val="en-AU"/>
              </w:rPr>
              <w:t>Risk of bias</w:t>
            </w:r>
          </w:p>
        </w:tc>
        <w:tc>
          <w:tcPr>
            <w:tcW w:w="732" w:type="pct"/>
            <w:shd w:val="clear" w:color="auto" w:fill="auto"/>
            <w:vAlign w:val="center"/>
          </w:tcPr>
          <w:p w14:paraId="07D0682E" w14:textId="77777777" w:rsidR="00507044" w:rsidRPr="001677F9" w:rsidRDefault="00507044" w:rsidP="008A2105">
            <w:pPr>
              <w:pStyle w:val="In-tableHeading"/>
              <w:jc w:val="center"/>
              <w:rPr>
                <w:lang w:val="en-AU"/>
              </w:rPr>
            </w:pPr>
            <w:r w:rsidRPr="001677F9">
              <w:rPr>
                <w:lang w:val="en-AU"/>
              </w:rPr>
              <w:t>Patient population</w:t>
            </w:r>
          </w:p>
        </w:tc>
        <w:tc>
          <w:tcPr>
            <w:tcW w:w="1392" w:type="pct"/>
            <w:shd w:val="clear" w:color="auto" w:fill="auto"/>
            <w:vAlign w:val="center"/>
          </w:tcPr>
          <w:p w14:paraId="613961D5" w14:textId="20F3ED7D" w:rsidR="00507044" w:rsidRPr="001677F9" w:rsidRDefault="00507044" w:rsidP="008A2105">
            <w:pPr>
              <w:pStyle w:val="In-tableHeading"/>
              <w:jc w:val="center"/>
              <w:rPr>
                <w:lang w:val="en-AU"/>
              </w:rPr>
            </w:pPr>
            <w:r w:rsidRPr="001677F9">
              <w:rPr>
                <w:lang w:val="en-AU"/>
              </w:rPr>
              <w:t>Outcomes</w:t>
            </w:r>
          </w:p>
        </w:tc>
        <w:tc>
          <w:tcPr>
            <w:tcW w:w="882" w:type="pct"/>
            <w:shd w:val="clear" w:color="auto" w:fill="auto"/>
            <w:vAlign w:val="center"/>
          </w:tcPr>
          <w:p w14:paraId="716B2043" w14:textId="77777777" w:rsidR="00507044" w:rsidRPr="001677F9" w:rsidRDefault="00507044" w:rsidP="008A2105">
            <w:pPr>
              <w:pStyle w:val="In-tableHeading"/>
              <w:jc w:val="center"/>
              <w:rPr>
                <w:lang w:val="en-AU"/>
              </w:rPr>
            </w:pPr>
            <w:r w:rsidRPr="001677F9">
              <w:rPr>
                <w:lang w:val="en-AU"/>
              </w:rPr>
              <w:t>Use in modelled evaluation</w:t>
            </w:r>
          </w:p>
        </w:tc>
      </w:tr>
      <w:tr w:rsidR="00507044" w:rsidRPr="001677F9" w14:paraId="45B487E0" w14:textId="77777777" w:rsidTr="002A7165">
        <w:tc>
          <w:tcPr>
            <w:tcW w:w="5000" w:type="pct"/>
            <w:gridSpan w:val="7"/>
            <w:shd w:val="clear" w:color="auto" w:fill="auto"/>
            <w:vAlign w:val="center"/>
          </w:tcPr>
          <w:p w14:paraId="5F908112" w14:textId="77777777" w:rsidR="00507044" w:rsidRPr="001677F9" w:rsidRDefault="00507044" w:rsidP="008A2105">
            <w:pPr>
              <w:pStyle w:val="In-tableHeading"/>
              <w:rPr>
                <w:lang w:val="en-AU"/>
              </w:rPr>
            </w:pPr>
            <w:r w:rsidRPr="001677F9">
              <w:rPr>
                <w:lang w:val="en-AU"/>
              </w:rPr>
              <w:t>Dapagliflozin vs placebo</w:t>
            </w:r>
          </w:p>
        </w:tc>
      </w:tr>
      <w:tr w:rsidR="00507044" w:rsidRPr="001677F9" w14:paraId="721A3C29" w14:textId="77777777" w:rsidTr="009402F2">
        <w:tc>
          <w:tcPr>
            <w:tcW w:w="547" w:type="pct"/>
            <w:shd w:val="clear" w:color="auto" w:fill="auto"/>
            <w:vAlign w:val="center"/>
          </w:tcPr>
          <w:p w14:paraId="39CD6B46" w14:textId="77777777" w:rsidR="00507044" w:rsidRPr="001677F9" w:rsidRDefault="00507044" w:rsidP="008A2105">
            <w:pPr>
              <w:pStyle w:val="TableText0"/>
            </w:pPr>
            <w:r w:rsidRPr="001677F9">
              <w:t>DELIVER</w:t>
            </w:r>
          </w:p>
        </w:tc>
        <w:tc>
          <w:tcPr>
            <w:tcW w:w="393" w:type="pct"/>
            <w:shd w:val="clear" w:color="auto" w:fill="auto"/>
            <w:vAlign w:val="center"/>
          </w:tcPr>
          <w:p w14:paraId="18994089" w14:textId="77777777" w:rsidR="00507044" w:rsidRPr="001677F9" w:rsidRDefault="00507044" w:rsidP="008A2105">
            <w:pPr>
              <w:pStyle w:val="TableText0"/>
              <w:jc w:val="center"/>
            </w:pPr>
            <w:r w:rsidRPr="001677F9">
              <w:t>6263</w:t>
            </w:r>
          </w:p>
        </w:tc>
        <w:tc>
          <w:tcPr>
            <w:tcW w:w="588" w:type="pct"/>
            <w:shd w:val="clear" w:color="auto" w:fill="auto"/>
            <w:vAlign w:val="center"/>
          </w:tcPr>
          <w:p w14:paraId="4A4D9505" w14:textId="77777777" w:rsidR="00507044" w:rsidRPr="001677F9" w:rsidRDefault="00507044" w:rsidP="008A2105">
            <w:pPr>
              <w:pStyle w:val="TableText0"/>
              <w:jc w:val="center"/>
            </w:pPr>
            <w:r w:rsidRPr="001677F9">
              <w:t>R, MC, DB</w:t>
            </w:r>
          </w:p>
          <w:p w14:paraId="1D5AC513" w14:textId="7798F5B9" w:rsidR="00507044" w:rsidRPr="001677F9" w:rsidRDefault="00507044" w:rsidP="008A2105">
            <w:pPr>
              <w:pStyle w:val="TableText0"/>
              <w:jc w:val="center"/>
            </w:pPr>
            <w:r w:rsidRPr="001677F9">
              <w:t>28.5 m</w:t>
            </w:r>
            <w:r w:rsidR="004C1D77" w:rsidRPr="001677F9">
              <w:t>on</w:t>
            </w:r>
            <w:r w:rsidRPr="001677F9">
              <w:t>ths</w:t>
            </w:r>
          </w:p>
        </w:tc>
        <w:tc>
          <w:tcPr>
            <w:tcW w:w="466" w:type="pct"/>
            <w:shd w:val="clear" w:color="auto" w:fill="auto"/>
            <w:vAlign w:val="center"/>
          </w:tcPr>
          <w:p w14:paraId="3E471EBA" w14:textId="77777777" w:rsidR="00507044" w:rsidRPr="001677F9" w:rsidRDefault="00507044" w:rsidP="008A2105">
            <w:pPr>
              <w:pStyle w:val="TableText0"/>
              <w:jc w:val="center"/>
            </w:pPr>
            <w:r w:rsidRPr="001677F9">
              <w:t>Low</w:t>
            </w:r>
          </w:p>
        </w:tc>
        <w:tc>
          <w:tcPr>
            <w:tcW w:w="732" w:type="pct"/>
            <w:shd w:val="clear" w:color="auto" w:fill="auto"/>
            <w:vAlign w:val="center"/>
          </w:tcPr>
          <w:p w14:paraId="4972A195" w14:textId="77777777" w:rsidR="00507044" w:rsidRPr="001677F9" w:rsidRDefault="00507044" w:rsidP="008A2105">
            <w:pPr>
              <w:pStyle w:val="TableText0"/>
            </w:pPr>
            <w:r w:rsidRPr="001677F9">
              <w:t>HF with LVEF &gt;40% with NYHA Class II-IV</w:t>
            </w:r>
          </w:p>
          <w:p w14:paraId="4DADAD11" w14:textId="77777777" w:rsidR="00507044" w:rsidRPr="001677F9" w:rsidRDefault="00507044" w:rsidP="008A2105">
            <w:pPr>
              <w:pStyle w:val="TableText0"/>
              <w:jc w:val="center"/>
            </w:pPr>
          </w:p>
        </w:tc>
        <w:tc>
          <w:tcPr>
            <w:tcW w:w="1392" w:type="pct"/>
            <w:shd w:val="clear" w:color="auto" w:fill="auto"/>
            <w:vAlign w:val="center"/>
          </w:tcPr>
          <w:p w14:paraId="1AD53A26" w14:textId="448CC12D" w:rsidR="00507044" w:rsidRPr="001677F9" w:rsidRDefault="00507044" w:rsidP="008A2105">
            <w:pPr>
              <w:pStyle w:val="TableText0"/>
            </w:pPr>
            <w:r w:rsidRPr="001677F9">
              <w:t xml:space="preserve">Primary: </w:t>
            </w:r>
            <w:r w:rsidR="004C1D77" w:rsidRPr="001677F9">
              <w:t>c</w:t>
            </w:r>
            <w:r w:rsidRPr="001677F9">
              <w:t xml:space="preserve">omposite outcome (CV death, HHF or urgent HF visit) </w:t>
            </w:r>
          </w:p>
          <w:p w14:paraId="3F7E3980" w14:textId="1607C102" w:rsidR="00507044" w:rsidRPr="001677F9" w:rsidRDefault="00507044" w:rsidP="008A2105">
            <w:pPr>
              <w:pStyle w:val="TableText0"/>
            </w:pPr>
            <w:r w:rsidRPr="001677F9">
              <w:t>Secondary:</w:t>
            </w:r>
            <w:r w:rsidR="009402F2" w:rsidRPr="001677F9">
              <w:t xml:space="preserve"> </w:t>
            </w:r>
            <w:r w:rsidR="004C1D77" w:rsidRPr="001677F9">
              <w:t>c</w:t>
            </w:r>
            <w:r w:rsidRPr="001677F9">
              <w:t xml:space="preserve">omposite outcome (CV death or recurrent HF event), </w:t>
            </w:r>
          </w:p>
          <w:p w14:paraId="203752B9" w14:textId="10083833" w:rsidR="00507044" w:rsidRPr="001677F9" w:rsidRDefault="00507044" w:rsidP="008A2105">
            <w:pPr>
              <w:pStyle w:val="TableText0"/>
            </w:pPr>
            <w:r w:rsidRPr="001677F9">
              <w:t>Kansas City Cardiomyopathy Questionnaire,</w:t>
            </w:r>
            <w:r w:rsidR="009402F2" w:rsidRPr="001677F9">
              <w:t xml:space="preserve"> </w:t>
            </w:r>
            <w:r w:rsidR="004C1D77" w:rsidRPr="001677F9">
              <w:t>a</w:t>
            </w:r>
            <w:r w:rsidRPr="001677F9">
              <w:t xml:space="preserve">ll-cause mortality, </w:t>
            </w:r>
            <w:r w:rsidR="004C1D77" w:rsidRPr="001677F9">
              <w:t>a</w:t>
            </w:r>
            <w:r w:rsidRPr="001677F9">
              <w:t>dverse events</w:t>
            </w:r>
          </w:p>
          <w:p w14:paraId="478CCABE" w14:textId="0B4680C5" w:rsidR="002D6E1E" w:rsidRPr="001677F9" w:rsidRDefault="002D6E1E" w:rsidP="009402F2">
            <w:pPr>
              <w:pStyle w:val="TableText0"/>
            </w:pPr>
            <w:r w:rsidRPr="001677F9">
              <w:t>Exploratory:</w:t>
            </w:r>
            <w:r w:rsidR="009402F2" w:rsidRPr="001677F9">
              <w:t xml:space="preserve"> </w:t>
            </w:r>
            <w:r w:rsidRPr="001677F9">
              <w:t>EQ-5D-5L</w:t>
            </w:r>
            <w:r w:rsidR="009524EA">
              <w:rPr>
                <w:vertAlign w:val="superscript"/>
              </w:rPr>
              <w:t>a</w:t>
            </w:r>
          </w:p>
        </w:tc>
        <w:tc>
          <w:tcPr>
            <w:tcW w:w="882" w:type="pct"/>
            <w:shd w:val="clear" w:color="auto" w:fill="auto"/>
            <w:vAlign w:val="center"/>
          </w:tcPr>
          <w:p w14:paraId="7F4AC2A5" w14:textId="7E6BBF6A" w:rsidR="00507044" w:rsidRPr="001677F9" w:rsidRDefault="002F44D7" w:rsidP="008A2105">
            <w:pPr>
              <w:pStyle w:val="TableText0"/>
              <w:jc w:val="center"/>
              <w:rPr>
                <w:vertAlign w:val="superscript"/>
              </w:rPr>
            </w:pPr>
            <w:r w:rsidRPr="001677F9">
              <w:t>KCCQ-TSS, all-cause mortality, CV mortality, HF hospitalisation, UHFVs, treatment discontinuation, EQ-5D-5L, adverse events</w:t>
            </w:r>
          </w:p>
        </w:tc>
      </w:tr>
      <w:tr w:rsidR="00507044" w:rsidRPr="001677F9" w14:paraId="7CF5D10A" w14:textId="77777777" w:rsidTr="002A7165">
        <w:tc>
          <w:tcPr>
            <w:tcW w:w="5000" w:type="pct"/>
            <w:gridSpan w:val="7"/>
            <w:shd w:val="clear" w:color="auto" w:fill="auto"/>
            <w:vAlign w:val="center"/>
          </w:tcPr>
          <w:p w14:paraId="7382D36C" w14:textId="77777777" w:rsidR="00507044" w:rsidRPr="001677F9" w:rsidRDefault="00507044" w:rsidP="008A2105">
            <w:pPr>
              <w:pStyle w:val="In-tableHeading"/>
              <w:rPr>
                <w:lang w:val="en-AU"/>
              </w:rPr>
            </w:pPr>
            <w:r w:rsidRPr="001677F9">
              <w:rPr>
                <w:lang w:val="en-AU"/>
              </w:rPr>
              <w:t>Empagliflozin vs placebo</w:t>
            </w:r>
          </w:p>
        </w:tc>
      </w:tr>
      <w:tr w:rsidR="002F44D7" w:rsidRPr="001677F9" w14:paraId="553CEA0B" w14:textId="77777777" w:rsidTr="009402F2">
        <w:tc>
          <w:tcPr>
            <w:tcW w:w="547" w:type="pct"/>
            <w:shd w:val="clear" w:color="auto" w:fill="auto"/>
            <w:vAlign w:val="center"/>
          </w:tcPr>
          <w:p w14:paraId="7D6161BE" w14:textId="77777777" w:rsidR="002F44D7" w:rsidRPr="001677F9" w:rsidRDefault="002F44D7" w:rsidP="002F44D7">
            <w:pPr>
              <w:pStyle w:val="TableText0"/>
            </w:pPr>
            <w:r w:rsidRPr="001677F9">
              <w:t>EMPEROR-Preserved</w:t>
            </w:r>
          </w:p>
        </w:tc>
        <w:tc>
          <w:tcPr>
            <w:tcW w:w="393" w:type="pct"/>
            <w:shd w:val="clear" w:color="auto" w:fill="auto"/>
            <w:vAlign w:val="center"/>
          </w:tcPr>
          <w:p w14:paraId="1BEFB2A2" w14:textId="77777777" w:rsidR="002F44D7" w:rsidRPr="001677F9" w:rsidRDefault="002F44D7" w:rsidP="002F44D7">
            <w:pPr>
              <w:pStyle w:val="TableText0"/>
              <w:jc w:val="center"/>
            </w:pPr>
            <w:r w:rsidRPr="001677F9">
              <w:t>5988</w:t>
            </w:r>
          </w:p>
        </w:tc>
        <w:tc>
          <w:tcPr>
            <w:tcW w:w="588" w:type="pct"/>
            <w:shd w:val="clear" w:color="auto" w:fill="auto"/>
            <w:vAlign w:val="center"/>
          </w:tcPr>
          <w:p w14:paraId="55A4A706" w14:textId="77777777" w:rsidR="002F44D7" w:rsidRPr="001677F9" w:rsidRDefault="002F44D7" w:rsidP="002F44D7">
            <w:pPr>
              <w:pStyle w:val="TableText0"/>
              <w:jc w:val="center"/>
            </w:pPr>
            <w:r w:rsidRPr="001677F9">
              <w:t>R, MC, DB</w:t>
            </w:r>
          </w:p>
          <w:p w14:paraId="28A87789" w14:textId="6319DD02" w:rsidR="002F44D7" w:rsidRPr="001677F9" w:rsidRDefault="00980C31" w:rsidP="002F44D7">
            <w:pPr>
              <w:pStyle w:val="TableText0"/>
              <w:jc w:val="center"/>
            </w:pPr>
            <w:r>
              <w:t>26.2</w:t>
            </w:r>
            <w:r w:rsidR="002F44D7" w:rsidRPr="001677F9">
              <w:t xml:space="preserve"> months</w:t>
            </w:r>
          </w:p>
        </w:tc>
        <w:tc>
          <w:tcPr>
            <w:tcW w:w="466" w:type="pct"/>
            <w:shd w:val="clear" w:color="auto" w:fill="auto"/>
            <w:vAlign w:val="center"/>
          </w:tcPr>
          <w:p w14:paraId="61FE7AE4" w14:textId="77777777" w:rsidR="002F44D7" w:rsidRPr="001677F9" w:rsidRDefault="002F44D7" w:rsidP="002F44D7">
            <w:pPr>
              <w:pStyle w:val="TableText0"/>
              <w:jc w:val="center"/>
            </w:pPr>
            <w:r w:rsidRPr="001677F9">
              <w:t>Low</w:t>
            </w:r>
          </w:p>
        </w:tc>
        <w:tc>
          <w:tcPr>
            <w:tcW w:w="732" w:type="pct"/>
            <w:shd w:val="clear" w:color="auto" w:fill="auto"/>
            <w:vAlign w:val="center"/>
          </w:tcPr>
          <w:p w14:paraId="7ABD5889" w14:textId="77777777" w:rsidR="002F44D7" w:rsidRPr="001677F9" w:rsidRDefault="002F44D7" w:rsidP="002F44D7">
            <w:pPr>
              <w:pStyle w:val="TableText0"/>
            </w:pPr>
            <w:r w:rsidRPr="001677F9">
              <w:t>HF with LVEF &gt;40% with NYHA Class II-IV</w:t>
            </w:r>
          </w:p>
        </w:tc>
        <w:tc>
          <w:tcPr>
            <w:tcW w:w="1392" w:type="pct"/>
            <w:shd w:val="clear" w:color="auto" w:fill="auto"/>
            <w:vAlign w:val="center"/>
          </w:tcPr>
          <w:p w14:paraId="4CFA8C8F" w14:textId="2660BDA4" w:rsidR="002F44D7" w:rsidRPr="001677F9" w:rsidRDefault="002F44D7" w:rsidP="002F44D7">
            <w:pPr>
              <w:pStyle w:val="TableText0"/>
            </w:pPr>
            <w:r w:rsidRPr="001677F9">
              <w:t>Primary: composite outcome (CV death or HHF)</w:t>
            </w:r>
          </w:p>
          <w:p w14:paraId="49A24F6B" w14:textId="157DC2C3" w:rsidR="002F44D7" w:rsidRPr="001677F9" w:rsidRDefault="002F44D7" w:rsidP="009402F2">
            <w:pPr>
              <w:pStyle w:val="TableText0"/>
            </w:pPr>
            <w:r w:rsidRPr="001677F9">
              <w:t>Secondary:</w:t>
            </w:r>
            <w:r w:rsidR="009402F2" w:rsidRPr="001677F9">
              <w:t xml:space="preserve"> </w:t>
            </w:r>
            <w:r w:rsidRPr="001677F9">
              <w:t>all-cause mortality, adverse events</w:t>
            </w:r>
          </w:p>
        </w:tc>
        <w:tc>
          <w:tcPr>
            <w:tcW w:w="882" w:type="pct"/>
            <w:shd w:val="clear" w:color="auto" w:fill="auto"/>
            <w:vAlign w:val="center"/>
          </w:tcPr>
          <w:p w14:paraId="72CD9E40" w14:textId="52B5DF20" w:rsidR="002F44D7" w:rsidRPr="001677F9" w:rsidRDefault="002F44D7" w:rsidP="002F44D7">
            <w:pPr>
              <w:pStyle w:val="TableText0"/>
              <w:jc w:val="center"/>
            </w:pPr>
            <w:r w:rsidRPr="001677F9">
              <w:t>NA</w:t>
            </w:r>
          </w:p>
        </w:tc>
      </w:tr>
    </w:tbl>
    <w:p w14:paraId="1CEB9E4F" w14:textId="487632EC" w:rsidR="00507044" w:rsidRPr="001677F9" w:rsidRDefault="00507044" w:rsidP="008A2105">
      <w:pPr>
        <w:pStyle w:val="FooterTableFigure"/>
      </w:pPr>
      <w:r w:rsidRPr="001677F9">
        <w:t>Source: pp</w:t>
      </w:r>
      <w:r w:rsidR="008A2105" w:rsidRPr="001677F9">
        <w:t>40-47</w:t>
      </w:r>
      <w:r w:rsidRPr="001677F9">
        <w:t xml:space="preserve"> of the submission.</w:t>
      </w:r>
    </w:p>
    <w:p w14:paraId="16250F46" w14:textId="79CABBF3" w:rsidR="00507044" w:rsidRPr="001677F9" w:rsidRDefault="00507044" w:rsidP="008A2105">
      <w:pPr>
        <w:pStyle w:val="FooterTableFigure"/>
      </w:pPr>
      <w:r w:rsidRPr="001677F9">
        <w:t>CV = cardiovascular</w:t>
      </w:r>
      <w:r w:rsidR="00CB63E1" w:rsidRPr="001677F9">
        <w:t>;</w:t>
      </w:r>
      <w:r w:rsidRPr="001677F9">
        <w:t xml:space="preserve"> DB = double blind</w:t>
      </w:r>
      <w:r w:rsidR="00CB63E1" w:rsidRPr="001677F9">
        <w:t>;</w:t>
      </w:r>
      <w:r w:rsidRPr="001677F9">
        <w:t xml:space="preserve"> </w:t>
      </w:r>
      <w:r w:rsidR="002D6E1E" w:rsidRPr="001677F9">
        <w:t>EQ-5D-5l = Euro</w:t>
      </w:r>
      <w:r w:rsidR="00E0674C" w:rsidRPr="001677F9">
        <w:t>Q</w:t>
      </w:r>
      <w:r w:rsidR="002D6E1E" w:rsidRPr="001677F9">
        <w:t xml:space="preserve">ol 5 </w:t>
      </w:r>
      <w:r w:rsidR="00E0674C" w:rsidRPr="001677F9">
        <w:t>D</w:t>
      </w:r>
      <w:r w:rsidR="002D6E1E" w:rsidRPr="001677F9">
        <w:t xml:space="preserve">imension 5 </w:t>
      </w:r>
      <w:r w:rsidR="00E0674C" w:rsidRPr="001677F9">
        <w:t>L</w:t>
      </w:r>
      <w:r w:rsidR="002D6E1E" w:rsidRPr="001677F9">
        <w:t xml:space="preserve">evel; </w:t>
      </w:r>
      <w:r w:rsidRPr="001677F9">
        <w:t>HF = heart failure</w:t>
      </w:r>
      <w:r w:rsidR="00CB63E1" w:rsidRPr="001677F9">
        <w:t>;</w:t>
      </w:r>
      <w:r w:rsidRPr="001677F9">
        <w:t xml:space="preserve"> HHF = hospitalisation due to heart failure</w:t>
      </w:r>
      <w:r w:rsidR="00CB63E1" w:rsidRPr="001677F9">
        <w:t>;</w:t>
      </w:r>
      <w:r w:rsidRPr="001677F9">
        <w:t xml:space="preserve"> LVEF = left ventricular ejection fraction</w:t>
      </w:r>
      <w:r w:rsidR="00CB63E1" w:rsidRPr="001677F9">
        <w:t>;</w:t>
      </w:r>
      <w:r w:rsidRPr="001677F9">
        <w:t xml:space="preserve"> MC = multi-centre</w:t>
      </w:r>
      <w:r w:rsidR="00CB63E1" w:rsidRPr="001677F9">
        <w:t>;</w:t>
      </w:r>
      <w:r w:rsidRPr="001677F9">
        <w:t xml:space="preserve"> </w:t>
      </w:r>
      <w:r w:rsidR="002F44D7" w:rsidRPr="001677F9">
        <w:t xml:space="preserve">NA = not applicable; </w:t>
      </w:r>
      <w:r w:rsidRPr="001677F9">
        <w:t>NYHA = New York Heart Association</w:t>
      </w:r>
      <w:r w:rsidR="00CB63E1" w:rsidRPr="001677F9">
        <w:t>;</w:t>
      </w:r>
      <w:r w:rsidRPr="001677F9">
        <w:t xml:space="preserve"> R = randomised</w:t>
      </w:r>
      <w:r w:rsidR="002F44D7" w:rsidRPr="001677F9">
        <w:t>; UHFV = urgent heart failure visit</w:t>
      </w:r>
      <w:r w:rsidR="00CB63E1" w:rsidRPr="001677F9">
        <w:t>.</w:t>
      </w:r>
    </w:p>
    <w:p w14:paraId="2F5ADEC4" w14:textId="48BB3D05" w:rsidR="002D6E1E" w:rsidRPr="001677F9" w:rsidRDefault="009524EA" w:rsidP="008A2105">
      <w:pPr>
        <w:pStyle w:val="FooterTableFigure"/>
      </w:pPr>
      <w:r>
        <w:rPr>
          <w:vertAlign w:val="superscript"/>
        </w:rPr>
        <w:t>a</w:t>
      </w:r>
      <w:r w:rsidR="002D6E1E" w:rsidRPr="001677F9">
        <w:t xml:space="preserve"> </w:t>
      </w:r>
      <w:r w:rsidR="00953ECC" w:rsidRPr="001677F9">
        <w:t>Summary</w:t>
      </w:r>
      <w:r w:rsidR="002D6E1E" w:rsidRPr="001677F9">
        <w:t xml:space="preserve"> scores not reported</w:t>
      </w:r>
      <w:r w:rsidR="00953ECC" w:rsidRPr="001677F9">
        <w:t xml:space="preserve"> by the submission or Clinical Study Report</w:t>
      </w:r>
    </w:p>
    <w:p w14:paraId="2E3EDFA3" w14:textId="4E51CE5B" w:rsidR="00BC05A8" w:rsidRPr="001677F9" w:rsidRDefault="00BC05A8" w:rsidP="00BC05A8">
      <w:pPr>
        <w:pStyle w:val="3-BodyText"/>
      </w:pPr>
      <w:r w:rsidRPr="001677F9">
        <w:rPr>
          <w:rFonts w:eastAsia="Calibri" w:cstheme="minorHAnsi"/>
          <w:iCs/>
        </w:rPr>
        <w:t>Overall, the risk of bias in both DELIVER and EMPEROR-Preserved was low</w:t>
      </w:r>
      <w:r w:rsidR="008236BF" w:rsidRPr="001677F9">
        <w:rPr>
          <w:rFonts w:eastAsia="Calibri" w:cstheme="minorHAnsi"/>
          <w:iCs/>
        </w:rPr>
        <w:t>.</w:t>
      </w:r>
    </w:p>
    <w:p w14:paraId="3412B3D4" w14:textId="530AB6C0" w:rsidR="00B377C7" w:rsidRPr="001677F9" w:rsidRDefault="00BC05A8" w:rsidP="00B377C7">
      <w:pPr>
        <w:pStyle w:val="3-BodyText"/>
        <w:rPr>
          <w:iCs/>
        </w:rPr>
      </w:pPr>
      <w:r w:rsidRPr="001677F9">
        <w:rPr>
          <w:iCs/>
        </w:rPr>
        <w:t xml:space="preserve">Baseline characteristics were </w:t>
      </w:r>
      <w:r w:rsidR="00F12DBD" w:rsidRPr="001677F9">
        <w:rPr>
          <w:iCs/>
        </w:rPr>
        <w:t>balanced</w:t>
      </w:r>
      <w:r w:rsidRPr="001677F9">
        <w:rPr>
          <w:iCs/>
        </w:rPr>
        <w:t xml:space="preserve"> between the intervention and placebo treatment arms within both the DELIVER and EMPEROR-Preserved trials</w:t>
      </w:r>
      <w:r w:rsidR="00F12DBD" w:rsidRPr="001677F9">
        <w:rPr>
          <w:iCs/>
        </w:rPr>
        <w:t xml:space="preserve">, however the following differences between </w:t>
      </w:r>
      <w:r w:rsidR="008B3537" w:rsidRPr="001677F9">
        <w:rPr>
          <w:iCs/>
        </w:rPr>
        <w:t xml:space="preserve">the trial populations </w:t>
      </w:r>
      <w:r w:rsidR="00F12DBD" w:rsidRPr="001677F9">
        <w:rPr>
          <w:iCs/>
        </w:rPr>
        <w:t>were noted</w:t>
      </w:r>
      <w:r w:rsidR="00B377C7" w:rsidRPr="001677F9">
        <w:rPr>
          <w:iCs/>
        </w:rPr>
        <w:t>:</w:t>
      </w:r>
    </w:p>
    <w:p w14:paraId="66262B77" w14:textId="7D5DEA9A" w:rsidR="00B377C7" w:rsidRPr="001677F9" w:rsidRDefault="00B377C7" w:rsidP="00AA7422">
      <w:pPr>
        <w:pStyle w:val="3-BodyText"/>
        <w:numPr>
          <w:ilvl w:val="0"/>
          <w:numId w:val="8"/>
        </w:numPr>
        <w:spacing w:after="0"/>
        <w:ind w:left="1066" w:hanging="357"/>
        <w:rPr>
          <w:iCs/>
        </w:rPr>
      </w:pPr>
      <w:r w:rsidRPr="001677F9">
        <w:rPr>
          <w:iCs/>
        </w:rPr>
        <w:t>NYHA class:</w:t>
      </w:r>
      <w:r w:rsidR="00671D13" w:rsidRPr="001677F9">
        <w:rPr>
          <w:iCs/>
        </w:rPr>
        <w:t xml:space="preserve"> EMPEROR-Preserved had a greater proportion of patients classified as NYHA Class II (81.5%) compared to</w:t>
      </w:r>
      <w:r w:rsidRPr="001677F9">
        <w:rPr>
          <w:iCs/>
        </w:rPr>
        <w:t xml:space="preserve"> </w:t>
      </w:r>
      <w:r w:rsidR="00F12DBD" w:rsidRPr="001677F9">
        <w:rPr>
          <w:iCs/>
        </w:rPr>
        <w:t>DELIVER</w:t>
      </w:r>
      <w:r w:rsidR="00671D13" w:rsidRPr="001677F9">
        <w:rPr>
          <w:iCs/>
        </w:rPr>
        <w:t xml:space="preserve"> (75.3%).</w:t>
      </w:r>
      <w:r w:rsidRPr="001677F9">
        <w:rPr>
          <w:iCs/>
        </w:rPr>
        <w:t xml:space="preserve"> </w:t>
      </w:r>
      <w:r w:rsidR="00DD26F3" w:rsidRPr="001677F9">
        <w:t>ESC considered i</w:t>
      </w:r>
      <w:r w:rsidR="0082782D" w:rsidRPr="001677F9">
        <w:t>t is unclear if this difference would favour the comparative efficacy of dapagliflozin or empagliflozin</w:t>
      </w:r>
      <w:r w:rsidR="008B3537" w:rsidRPr="001677F9">
        <w:rPr>
          <w:iCs/>
        </w:rPr>
        <w:t>.</w:t>
      </w:r>
    </w:p>
    <w:p w14:paraId="18A989BB" w14:textId="552CB196" w:rsidR="00B377C7" w:rsidRPr="001677F9" w:rsidRDefault="0042181E" w:rsidP="00AA7422">
      <w:pPr>
        <w:pStyle w:val="3-BodyText"/>
        <w:numPr>
          <w:ilvl w:val="0"/>
          <w:numId w:val="8"/>
        </w:numPr>
        <w:spacing w:after="0"/>
        <w:ind w:left="1066" w:hanging="357"/>
        <w:rPr>
          <w:iCs/>
        </w:rPr>
      </w:pPr>
      <w:r w:rsidRPr="001677F9">
        <w:rPr>
          <w:iCs/>
        </w:rPr>
        <w:t>Background HF medical therapy</w:t>
      </w:r>
      <w:r w:rsidR="00B377C7" w:rsidRPr="001677F9">
        <w:rPr>
          <w:iCs/>
        </w:rPr>
        <w:t>:</w:t>
      </w:r>
      <w:r w:rsidR="00962845" w:rsidRPr="001677F9">
        <w:rPr>
          <w:iCs/>
        </w:rPr>
        <w:t xml:space="preserve"> there was</w:t>
      </w:r>
      <w:r w:rsidR="00BC05A8" w:rsidRPr="001677F9">
        <w:rPr>
          <w:iCs/>
        </w:rPr>
        <w:t xml:space="preserve"> lower use of mineralocorticoids (MRAs) in EMPEROR-Preserved compared with DELIVER (37% versus 43%, respectively) and higher digitalis glycoside use (8.3% versus 4.7%, respectively). </w:t>
      </w:r>
      <w:r w:rsidR="008B3537" w:rsidRPr="001677F9">
        <w:rPr>
          <w:iCs/>
        </w:rPr>
        <w:t xml:space="preserve">It is unclear if these differences would favour </w:t>
      </w:r>
      <w:r w:rsidR="007C079D" w:rsidRPr="001677F9">
        <w:rPr>
          <w:iCs/>
        </w:rPr>
        <w:t xml:space="preserve">the </w:t>
      </w:r>
      <w:r w:rsidR="008B3537" w:rsidRPr="001677F9">
        <w:rPr>
          <w:iCs/>
        </w:rPr>
        <w:t xml:space="preserve">comparative efficacy of dapagliflozin or empagliflozin. </w:t>
      </w:r>
    </w:p>
    <w:p w14:paraId="437F89BB" w14:textId="3D9F5559" w:rsidR="00B377C7" w:rsidRPr="001677F9" w:rsidRDefault="00671D13" w:rsidP="00AA7422">
      <w:pPr>
        <w:pStyle w:val="3-BodyText"/>
        <w:numPr>
          <w:ilvl w:val="0"/>
          <w:numId w:val="8"/>
        </w:numPr>
        <w:spacing w:after="0"/>
        <w:ind w:left="1066" w:hanging="357"/>
        <w:rPr>
          <w:iCs/>
        </w:rPr>
      </w:pPr>
      <w:r w:rsidRPr="001677F9">
        <w:rPr>
          <w:iCs/>
        </w:rPr>
        <w:t xml:space="preserve">Hospitalisations due to HF (HHF): </w:t>
      </w:r>
      <w:r w:rsidR="00BC05A8" w:rsidRPr="001677F9">
        <w:rPr>
          <w:iCs/>
        </w:rPr>
        <w:t xml:space="preserve">The proportion of patients with a prior HHF was substantially higher in the DELIVER trial compared with the EMPEROR-Preserved </w:t>
      </w:r>
      <w:r w:rsidR="00BC05A8" w:rsidRPr="001677F9">
        <w:rPr>
          <w:iCs/>
        </w:rPr>
        <w:lastRenderedPageBreak/>
        <w:t>trial (4</w:t>
      </w:r>
      <w:r w:rsidRPr="001677F9">
        <w:rPr>
          <w:iCs/>
        </w:rPr>
        <w:t>0.5</w:t>
      </w:r>
      <w:r w:rsidR="00BC05A8" w:rsidRPr="001677F9">
        <w:rPr>
          <w:iCs/>
        </w:rPr>
        <w:t>% versus 2</w:t>
      </w:r>
      <w:r w:rsidRPr="001677F9">
        <w:rPr>
          <w:iCs/>
        </w:rPr>
        <w:t>2.9</w:t>
      </w:r>
      <w:r w:rsidR="00BC05A8" w:rsidRPr="001677F9">
        <w:rPr>
          <w:iCs/>
        </w:rPr>
        <w:t xml:space="preserve">%), while DELIVER also allowed patients to be enrolled in the trial during hospitalisation or within 30 days of hospitalisation (~10%); EMPEROR-Preserved did not. </w:t>
      </w:r>
      <w:r w:rsidR="008B3537" w:rsidRPr="001677F9">
        <w:rPr>
          <w:iCs/>
        </w:rPr>
        <w:t xml:space="preserve">These differences </w:t>
      </w:r>
      <w:r w:rsidR="00A22110" w:rsidRPr="001677F9">
        <w:rPr>
          <w:iCs/>
        </w:rPr>
        <w:t>may favour</w:t>
      </w:r>
      <w:r w:rsidR="008B3537" w:rsidRPr="001677F9">
        <w:rPr>
          <w:iCs/>
        </w:rPr>
        <w:t xml:space="preserve"> the comparative efficacy of empagliflozin.</w:t>
      </w:r>
    </w:p>
    <w:p w14:paraId="3A5A384E" w14:textId="7A422950" w:rsidR="00BC05A8" w:rsidRPr="001677F9" w:rsidRDefault="00671D13" w:rsidP="00AA7422">
      <w:pPr>
        <w:pStyle w:val="3-BodyText"/>
        <w:numPr>
          <w:ilvl w:val="0"/>
          <w:numId w:val="8"/>
        </w:numPr>
        <w:spacing w:after="0"/>
        <w:ind w:left="1066" w:hanging="357"/>
        <w:rPr>
          <w:iCs/>
        </w:rPr>
      </w:pPr>
      <w:r w:rsidRPr="001677F9">
        <w:rPr>
          <w:iCs/>
        </w:rPr>
        <w:t>Atrial fibrillation: T</w:t>
      </w:r>
      <w:r w:rsidR="00BC05A8" w:rsidRPr="001677F9">
        <w:rPr>
          <w:iCs/>
        </w:rPr>
        <w:t>he proportion of patients with atrial fibrillation was lower in the DELIVER trial (42</w:t>
      </w:r>
      <w:r w:rsidRPr="001677F9">
        <w:rPr>
          <w:iCs/>
        </w:rPr>
        <w:t>.2</w:t>
      </w:r>
      <w:r w:rsidR="00BC05A8" w:rsidRPr="001677F9">
        <w:rPr>
          <w:iCs/>
        </w:rPr>
        <w:t>%) compared with the EMPEROR-Preserved trial (51</w:t>
      </w:r>
      <w:r w:rsidRPr="001677F9">
        <w:rPr>
          <w:iCs/>
        </w:rPr>
        <w:t>.1</w:t>
      </w:r>
      <w:r w:rsidR="00BC05A8" w:rsidRPr="001677F9">
        <w:rPr>
          <w:iCs/>
        </w:rPr>
        <w:t xml:space="preserve">%). </w:t>
      </w:r>
      <w:r w:rsidR="008B3537" w:rsidRPr="001677F9">
        <w:rPr>
          <w:iCs/>
        </w:rPr>
        <w:t>This difference may favour the comparative efficacy of dapagliflozin.</w:t>
      </w:r>
    </w:p>
    <w:p w14:paraId="76960ED9" w14:textId="6F63B97E" w:rsidR="00BC05A8" w:rsidRPr="001677F9" w:rsidRDefault="00B377C7" w:rsidP="00AA7422">
      <w:pPr>
        <w:pStyle w:val="3-BodyText"/>
        <w:numPr>
          <w:ilvl w:val="0"/>
          <w:numId w:val="8"/>
        </w:numPr>
        <w:ind w:left="1066" w:hanging="357"/>
        <w:rPr>
          <w:iCs/>
        </w:rPr>
      </w:pPr>
      <w:r w:rsidRPr="001677F9">
        <w:rPr>
          <w:iCs/>
        </w:rPr>
        <w:t xml:space="preserve">Type 2 </w:t>
      </w:r>
      <w:r w:rsidR="004C1D77" w:rsidRPr="001677F9">
        <w:rPr>
          <w:iCs/>
        </w:rPr>
        <w:t>diabetes mellitus</w:t>
      </w:r>
      <w:r w:rsidR="00F12DBD" w:rsidRPr="001677F9">
        <w:rPr>
          <w:iCs/>
        </w:rPr>
        <w:t>: DELIVER had a smaller proportion of patients with comorbid T2DM (4</w:t>
      </w:r>
      <w:r w:rsidR="00671D13" w:rsidRPr="001677F9">
        <w:rPr>
          <w:iCs/>
        </w:rPr>
        <w:t>4</w:t>
      </w:r>
      <w:r w:rsidR="00F12DBD" w:rsidRPr="001677F9">
        <w:rPr>
          <w:iCs/>
        </w:rPr>
        <w:t>.</w:t>
      </w:r>
      <w:r w:rsidR="00671D13" w:rsidRPr="001677F9">
        <w:rPr>
          <w:iCs/>
        </w:rPr>
        <w:t>8</w:t>
      </w:r>
      <w:r w:rsidR="00F12DBD" w:rsidRPr="001677F9">
        <w:rPr>
          <w:iCs/>
        </w:rPr>
        <w:t>%) compared to EMPEROR-Preserved</w:t>
      </w:r>
      <w:r w:rsidR="00671D13" w:rsidRPr="001677F9">
        <w:rPr>
          <w:iCs/>
        </w:rPr>
        <w:t xml:space="preserve"> (49.1%)</w:t>
      </w:r>
      <w:r w:rsidR="008B3537" w:rsidRPr="001677F9">
        <w:rPr>
          <w:iCs/>
        </w:rPr>
        <w:t>. This difference may favour the comparative efficacy of dapagliflozin.</w:t>
      </w:r>
    </w:p>
    <w:p w14:paraId="37FEA5B6" w14:textId="68EB99B5" w:rsidR="00F31092" w:rsidRPr="001677F9" w:rsidRDefault="00F31092" w:rsidP="00906122">
      <w:pPr>
        <w:pStyle w:val="3-BodyText"/>
      </w:pPr>
      <w:r w:rsidRPr="001677F9">
        <w:t xml:space="preserve">The </w:t>
      </w:r>
      <w:r w:rsidR="00C85964" w:rsidRPr="001677F9">
        <w:t xml:space="preserve">PBAC </w:t>
      </w:r>
      <w:r w:rsidR="00AC5933" w:rsidRPr="001677F9">
        <w:t xml:space="preserve">noted these baseline differences, but </w:t>
      </w:r>
      <w:r w:rsidRPr="001677F9">
        <w:t xml:space="preserve">considered </w:t>
      </w:r>
      <w:r w:rsidR="00AC5933" w:rsidRPr="001677F9">
        <w:t xml:space="preserve">them relatively minor and that, overall, </w:t>
      </w:r>
      <w:r w:rsidRPr="001677F9">
        <w:t>there were no significant concerns regarding applicability of the trial evidence to the Australian setting.</w:t>
      </w:r>
    </w:p>
    <w:p w14:paraId="41C87A4E" w14:textId="67939271" w:rsidR="00906122" w:rsidRPr="001677F9" w:rsidRDefault="00172653" w:rsidP="00906122">
      <w:pPr>
        <w:pStyle w:val="3-BodyText"/>
        <w:rPr>
          <w:iCs/>
        </w:rPr>
      </w:pPr>
      <w:r w:rsidRPr="001677F9">
        <w:rPr>
          <w:iCs/>
        </w:rPr>
        <w:t>Given the</w:t>
      </w:r>
      <w:r w:rsidR="00A36CF2" w:rsidRPr="001677F9">
        <w:rPr>
          <w:iCs/>
        </w:rPr>
        <w:t xml:space="preserve"> relatively minor, bidirectional </w:t>
      </w:r>
      <w:r w:rsidRPr="001677F9">
        <w:rPr>
          <w:iCs/>
        </w:rPr>
        <w:t xml:space="preserve">nature of the differences between the two trial populations, </w:t>
      </w:r>
      <w:r w:rsidR="008F7EF3" w:rsidRPr="001677F9">
        <w:rPr>
          <w:iCs/>
        </w:rPr>
        <w:t xml:space="preserve">it is unlikely that </w:t>
      </w:r>
      <w:r w:rsidR="00230961" w:rsidRPr="001677F9">
        <w:rPr>
          <w:iCs/>
        </w:rPr>
        <w:t>transitivity issues had</w:t>
      </w:r>
      <w:r w:rsidR="008F7EF3" w:rsidRPr="001677F9">
        <w:rPr>
          <w:iCs/>
        </w:rPr>
        <w:t xml:space="preserve"> a substantial impact on </w:t>
      </w:r>
      <w:r w:rsidR="00A9444E" w:rsidRPr="001677F9">
        <w:rPr>
          <w:iCs/>
        </w:rPr>
        <w:t xml:space="preserve">the </w:t>
      </w:r>
      <w:r w:rsidR="008F7EF3" w:rsidRPr="001677F9">
        <w:rPr>
          <w:iCs/>
        </w:rPr>
        <w:t>ITC.</w:t>
      </w:r>
      <w:r w:rsidR="00C5763C" w:rsidRPr="001677F9">
        <w:rPr>
          <w:iCs/>
        </w:rPr>
        <w:t xml:space="preserve">  </w:t>
      </w:r>
      <w:r w:rsidR="00C5763C" w:rsidRPr="001677F9">
        <w:t xml:space="preserve">The </w:t>
      </w:r>
      <w:r w:rsidR="00C85964" w:rsidRPr="001677F9">
        <w:t xml:space="preserve">PBAC </w:t>
      </w:r>
      <w:r w:rsidR="00C5763C" w:rsidRPr="001677F9">
        <w:t xml:space="preserve">agreed with the </w:t>
      </w:r>
      <w:r w:rsidR="00C85964" w:rsidRPr="001677F9">
        <w:t xml:space="preserve">ESC and the </w:t>
      </w:r>
      <w:r w:rsidR="00C5763C" w:rsidRPr="001677F9">
        <w:t>commentary that the transitivity assumption appeared valid.</w:t>
      </w:r>
    </w:p>
    <w:p w14:paraId="6FC7ABAD" w14:textId="77777777" w:rsidR="00C85964" w:rsidRPr="001677F9" w:rsidRDefault="00390A60" w:rsidP="00906122">
      <w:pPr>
        <w:pStyle w:val="3-BodyText"/>
        <w:rPr>
          <w:rFonts w:cstheme="minorHAnsi"/>
          <w:iCs/>
        </w:rPr>
      </w:pPr>
      <w:r w:rsidRPr="001677F9">
        <w:t xml:space="preserve">A non-inferiority margin (NIM) was not proposed by the submission for the ITC. </w:t>
      </w:r>
      <w:r w:rsidR="00C5763C" w:rsidRPr="001677F9">
        <w:rPr>
          <w:iCs/>
        </w:rPr>
        <w:t>The ESC noted this was consistent with the PBAC’s November 2021 consideration of empagliflozin for HFrEF, and that empagliflozin and dapagliflozin were considered equivalent in that indication.</w:t>
      </w:r>
      <w:r w:rsidR="00AC5933" w:rsidRPr="001677F9">
        <w:rPr>
          <w:iCs/>
        </w:rPr>
        <w:t xml:space="preserve"> </w:t>
      </w:r>
    </w:p>
    <w:p w14:paraId="4A4FE085" w14:textId="1C5613CC" w:rsidR="00B60939" w:rsidRPr="001677F9" w:rsidRDefault="00B60939" w:rsidP="008A2105">
      <w:pPr>
        <w:pStyle w:val="4-SubsectionHeading"/>
      </w:pPr>
      <w:bookmarkStart w:id="28" w:name="_Toc135217173"/>
      <w:r w:rsidRPr="001677F9">
        <w:t>Comparative effectiveness</w:t>
      </w:r>
      <w:bookmarkEnd w:id="23"/>
      <w:bookmarkEnd w:id="28"/>
    </w:p>
    <w:p w14:paraId="36E37C44" w14:textId="6AF5EF2B" w:rsidR="00507044" w:rsidRPr="001677F9" w:rsidRDefault="00507044" w:rsidP="008A2105">
      <w:pPr>
        <w:pStyle w:val="3-BodyText"/>
      </w:pPr>
      <w:bookmarkStart w:id="29" w:name="_Toc22897642"/>
      <w:r w:rsidRPr="001677F9">
        <w:rPr>
          <w:snapToGrid/>
        </w:rPr>
        <w:t xml:space="preserve">The primary composite outcome results (and individual components of this outcome) for each trial are presented in </w:t>
      </w:r>
      <w:r w:rsidR="0016580D" w:rsidRPr="001677F9">
        <w:rPr>
          <w:snapToGrid/>
        </w:rPr>
        <w:fldChar w:fldCharType="begin" w:fldLock="1"/>
      </w:r>
      <w:r w:rsidR="0016580D" w:rsidRPr="001677F9">
        <w:rPr>
          <w:snapToGrid/>
        </w:rPr>
        <w:instrText xml:space="preserve"> REF _Ref132365048 \h </w:instrText>
      </w:r>
      <w:r w:rsidR="0016580D" w:rsidRPr="001677F9">
        <w:rPr>
          <w:snapToGrid/>
        </w:rPr>
      </w:r>
      <w:r w:rsidR="0016580D" w:rsidRPr="001677F9">
        <w:rPr>
          <w:snapToGrid/>
        </w:rPr>
        <w:fldChar w:fldCharType="separate"/>
      </w:r>
      <w:r w:rsidR="002C43D4" w:rsidRPr="001677F9">
        <w:t>Table 4</w:t>
      </w:r>
      <w:r w:rsidR="0016580D" w:rsidRPr="001677F9">
        <w:rPr>
          <w:snapToGrid/>
        </w:rPr>
        <w:fldChar w:fldCharType="end"/>
      </w:r>
      <w:r w:rsidR="0016580D" w:rsidRPr="001677F9">
        <w:rPr>
          <w:snapToGrid/>
        </w:rPr>
        <w:t>.</w:t>
      </w:r>
      <w:r w:rsidRPr="001677F9">
        <w:rPr>
          <w:snapToGrid/>
        </w:rPr>
        <w:t xml:space="preserve"> </w:t>
      </w:r>
    </w:p>
    <w:p w14:paraId="50230562" w14:textId="31318C3F" w:rsidR="00507044" w:rsidRPr="001677F9" w:rsidRDefault="0016580D" w:rsidP="0016580D">
      <w:pPr>
        <w:pStyle w:val="Caption"/>
        <w:jc w:val="left"/>
        <w:rPr>
          <w:rStyle w:val="CommentReference"/>
          <w:b/>
          <w:szCs w:val="18"/>
        </w:rPr>
      </w:pPr>
      <w:bookmarkStart w:id="30" w:name="_Ref132365048"/>
      <w:r w:rsidRPr="001677F9">
        <w:lastRenderedPageBreak/>
        <w:t xml:space="preserve">Table </w:t>
      </w:r>
      <w:fldSimple w:instr=" SEQ Table \* ARABIC " w:fldLock="1">
        <w:r w:rsidR="002C43D4" w:rsidRPr="001677F9">
          <w:t>4</w:t>
        </w:r>
      </w:fldSimple>
      <w:bookmarkEnd w:id="30"/>
      <w:r w:rsidRPr="001677F9">
        <w:rPr>
          <w:rStyle w:val="CommentReference"/>
          <w:b/>
          <w:szCs w:val="24"/>
        </w:rPr>
        <w:t>:</w:t>
      </w:r>
      <w:r w:rsidR="001C44E6" w:rsidRPr="001677F9">
        <w:rPr>
          <w:rStyle w:val="CommentReference"/>
          <w:b/>
          <w:szCs w:val="24"/>
        </w:rPr>
        <w:t xml:space="preserve"> </w:t>
      </w:r>
      <w:r w:rsidR="00507044" w:rsidRPr="001677F9">
        <w:rPr>
          <w:rStyle w:val="CommentReference"/>
          <w:b/>
          <w:szCs w:val="24"/>
        </w:rPr>
        <w:t>Results of primary composite outcome</w:t>
      </w:r>
      <w:r w:rsidR="00392F00" w:rsidRPr="001677F9">
        <w:rPr>
          <w:rStyle w:val="CommentReference"/>
          <w:b/>
          <w:szCs w:val="24"/>
        </w:rPr>
        <w:t xml:space="preserve"> and secondary outcomes in DELIVER</w:t>
      </w:r>
      <w:r w:rsidR="00507044" w:rsidRPr="001677F9">
        <w:rPr>
          <w:rStyle w:val="CommentReference"/>
          <w:b/>
          <w:szCs w:val="24"/>
        </w:rPr>
        <w:t xml:space="preserve"> </w:t>
      </w:r>
      <w:r w:rsidR="00AE4875" w:rsidRPr="001677F9">
        <w:rPr>
          <w:rStyle w:val="CommentReference"/>
          <w:b/>
          <w:szCs w:val="24"/>
        </w:rPr>
        <w:t>(FAS)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2135"/>
        <w:gridCol w:w="986"/>
        <w:gridCol w:w="1136"/>
        <w:gridCol w:w="992"/>
        <w:gridCol w:w="1136"/>
        <w:gridCol w:w="1506"/>
      </w:tblGrid>
      <w:tr w:rsidR="00A62C19" w:rsidRPr="001677F9" w14:paraId="4C8F6FB9" w14:textId="77777777" w:rsidTr="002B217A">
        <w:trPr>
          <w:tblHeader/>
        </w:trPr>
        <w:tc>
          <w:tcPr>
            <w:tcW w:w="624" w:type="pct"/>
            <w:vMerge w:val="restart"/>
            <w:vAlign w:val="center"/>
          </w:tcPr>
          <w:p w14:paraId="4E6C0F64" w14:textId="77777777" w:rsidR="00A62C19" w:rsidRPr="001677F9" w:rsidRDefault="00A62C19" w:rsidP="00AD1DC3">
            <w:pPr>
              <w:pStyle w:val="TableFigureHeading"/>
              <w:jc w:val="center"/>
            </w:pPr>
          </w:p>
          <w:p w14:paraId="22975229" w14:textId="77777777" w:rsidR="00A62C19" w:rsidRPr="001677F9" w:rsidRDefault="00A62C19" w:rsidP="00AD1DC3">
            <w:pPr>
              <w:pStyle w:val="TableFigureHeading"/>
              <w:jc w:val="center"/>
            </w:pPr>
            <w:r w:rsidRPr="001677F9">
              <w:t>Trial ID</w:t>
            </w:r>
          </w:p>
          <w:p w14:paraId="2237B8C7" w14:textId="77777777" w:rsidR="00A62C19" w:rsidRPr="001677F9" w:rsidRDefault="00A62C19" w:rsidP="00AD1DC3">
            <w:pPr>
              <w:pStyle w:val="TableText0"/>
            </w:pPr>
          </w:p>
        </w:tc>
        <w:tc>
          <w:tcPr>
            <w:tcW w:w="1184" w:type="pct"/>
            <w:vMerge w:val="restart"/>
            <w:vAlign w:val="center"/>
          </w:tcPr>
          <w:p w14:paraId="4EB86184" w14:textId="77777777" w:rsidR="00A62C19" w:rsidRPr="001677F9" w:rsidRDefault="00A62C19" w:rsidP="00AD1DC3">
            <w:pPr>
              <w:pStyle w:val="TableFigureHeading"/>
              <w:jc w:val="center"/>
            </w:pPr>
            <w:r w:rsidRPr="001677F9">
              <w:t>Endpoint</w:t>
            </w:r>
          </w:p>
        </w:tc>
        <w:tc>
          <w:tcPr>
            <w:tcW w:w="1177" w:type="pct"/>
            <w:gridSpan w:val="2"/>
            <w:vAlign w:val="center"/>
          </w:tcPr>
          <w:p w14:paraId="1281D9C6" w14:textId="77777777" w:rsidR="00A62C19" w:rsidRPr="001677F9" w:rsidRDefault="00A62C19" w:rsidP="00AD1DC3">
            <w:pPr>
              <w:pStyle w:val="In-tableHeading"/>
              <w:jc w:val="center"/>
              <w:rPr>
                <w:lang w:val="en-AU"/>
              </w:rPr>
            </w:pPr>
            <w:r w:rsidRPr="001677F9">
              <w:rPr>
                <w:lang w:val="en-AU"/>
              </w:rPr>
              <w:t>Dapagliflozin</w:t>
            </w:r>
          </w:p>
          <w:p w14:paraId="1A8C4C16" w14:textId="77777777" w:rsidR="00A62C19" w:rsidRPr="001677F9" w:rsidRDefault="00A62C19" w:rsidP="00AD1DC3">
            <w:pPr>
              <w:pStyle w:val="In-tableHeading"/>
              <w:jc w:val="center"/>
              <w:rPr>
                <w:lang w:val="en-AU"/>
              </w:rPr>
            </w:pPr>
            <w:r w:rsidRPr="001677F9">
              <w:rPr>
                <w:lang w:val="en-AU"/>
              </w:rPr>
              <w:t>(N=3131)</w:t>
            </w:r>
          </w:p>
        </w:tc>
        <w:tc>
          <w:tcPr>
            <w:tcW w:w="1180" w:type="pct"/>
            <w:gridSpan w:val="2"/>
            <w:vAlign w:val="center"/>
          </w:tcPr>
          <w:p w14:paraId="134FA297" w14:textId="77777777" w:rsidR="00A62C19" w:rsidRPr="001677F9" w:rsidRDefault="00A62C19" w:rsidP="00AD1DC3">
            <w:pPr>
              <w:pStyle w:val="TableFigureHeading"/>
              <w:jc w:val="center"/>
            </w:pPr>
            <w:r w:rsidRPr="001677F9">
              <w:t xml:space="preserve">Placebo </w:t>
            </w:r>
          </w:p>
          <w:p w14:paraId="711D2FFA" w14:textId="77777777" w:rsidR="00A62C19" w:rsidRPr="001677F9" w:rsidRDefault="00A62C19" w:rsidP="00AD1DC3">
            <w:pPr>
              <w:pStyle w:val="In-tableHeading"/>
              <w:rPr>
                <w:lang w:val="en-AU"/>
              </w:rPr>
            </w:pPr>
            <w:r w:rsidRPr="001677F9">
              <w:rPr>
                <w:lang w:val="en-AU"/>
              </w:rPr>
              <w:t xml:space="preserve">              (N=3132)</w:t>
            </w:r>
          </w:p>
        </w:tc>
        <w:tc>
          <w:tcPr>
            <w:tcW w:w="835" w:type="pct"/>
            <w:vMerge w:val="restart"/>
            <w:vAlign w:val="center"/>
          </w:tcPr>
          <w:p w14:paraId="07C681B6" w14:textId="77777777" w:rsidR="00A62C19" w:rsidRPr="001677F9" w:rsidRDefault="00A62C19" w:rsidP="00AD1DC3">
            <w:pPr>
              <w:pStyle w:val="TableFigureHeading"/>
              <w:jc w:val="center"/>
            </w:pPr>
            <w:r w:rsidRPr="001677F9">
              <w:t xml:space="preserve">Hazard ratio </w:t>
            </w:r>
          </w:p>
          <w:p w14:paraId="656AC834" w14:textId="77777777" w:rsidR="00A62C19" w:rsidRPr="001677F9" w:rsidRDefault="00A62C19" w:rsidP="00AD1DC3">
            <w:pPr>
              <w:pStyle w:val="TableFigureHeading"/>
              <w:jc w:val="center"/>
            </w:pPr>
            <w:r w:rsidRPr="001677F9">
              <w:t>(95% CI)</w:t>
            </w:r>
          </w:p>
        </w:tc>
      </w:tr>
      <w:tr w:rsidR="00A62C19" w:rsidRPr="001677F9" w14:paraId="406201B1" w14:textId="77777777" w:rsidTr="002B217A">
        <w:trPr>
          <w:tblHeader/>
        </w:trPr>
        <w:tc>
          <w:tcPr>
            <w:tcW w:w="624" w:type="pct"/>
            <w:vMerge/>
            <w:vAlign w:val="center"/>
          </w:tcPr>
          <w:p w14:paraId="35BDD736" w14:textId="77777777" w:rsidR="00A62C19" w:rsidRPr="001677F9" w:rsidRDefault="00A62C19" w:rsidP="00AD1DC3">
            <w:pPr>
              <w:pStyle w:val="TableText0"/>
            </w:pPr>
          </w:p>
        </w:tc>
        <w:tc>
          <w:tcPr>
            <w:tcW w:w="1184" w:type="pct"/>
            <w:vMerge/>
          </w:tcPr>
          <w:p w14:paraId="4EF605A3" w14:textId="77777777" w:rsidR="00A62C19" w:rsidRPr="001677F9" w:rsidRDefault="00A62C19" w:rsidP="00AD1DC3">
            <w:pPr>
              <w:pStyle w:val="TableText0"/>
              <w:jc w:val="center"/>
            </w:pPr>
          </w:p>
        </w:tc>
        <w:tc>
          <w:tcPr>
            <w:tcW w:w="547" w:type="pct"/>
            <w:vAlign w:val="center"/>
          </w:tcPr>
          <w:p w14:paraId="4F4321F2" w14:textId="77777777" w:rsidR="00A62C19" w:rsidRPr="001677F9" w:rsidRDefault="00A62C19" w:rsidP="00AD1DC3">
            <w:pPr>
              <w:pStyle w:val="TableText0"/>
              <w:jc w:val="center"/>
              <w:rPr>
                <w:b/>
                <w:bCs w:val="0"/>
              </w:rPr>
            </w:pPr>
            <w:r w:rsidRPr="001677F9">
              <w:rPr>
                <w:b/>
                <w:bCs w:val="0"/>
              </w:rPr>
              <w:t>n (%)</w:t>
            </w:r>
          </w:p>
        </w:tc>
        <w:tc>
          <w:tcPr>
            <w:tcW w:w="630" w:type="pct"/>
            <w:vAlign w:val="center"/>
          </w:tcPr>
          <w:p w14:paraId="5D7A11AF" w14:textId="77777777" w:rsidR="00A62C19" w:rsidRPr="001677F9" w:rsidRDefault="00A62C19" w:rsidP="00AD1DC3">
            <w:pPr>
              <w:pStyle w:val="TableText0"/>
              <w:jc w:val="center"/>
              <w:rPr>
                <w:b/>
                <w:bCs w:val="0"/>
              </w:rPr>
            </w:pPr>
            <w:r w:rsidRPr="001677F9">
              <w:rPr>
                <w:b/>
                <w:bCs w:val="0"/>
              </w:rPr>
              <w:t>Event rate</w:t>
            </w:r>
          </w:p>
        </w:tc>
        <w:tc>
          <w:tcPr>
            <w:tcW w:w="550" w:type="pct"/>
            <w:vAlign w:val="center"/>
          </w:tcPr>
          <w:p w14:paraId="2F055F6F" w14:textId="77777777" w:rsidR="00A62C19" w:rsidRPr="001677F9" w:rsidRDefault="00A62C19" w:rsidP="00AD1DC3">
            <w:pPr>
              <w:pStyle w:val="TableText0"/>
              <w:jc w:val="center"/>
              <w:rPr>
                <w:b/>
                <w:bCs w:val="0"/>
              </w:rPr>
            </w:pPr>
            <w:r w:rsidRPr="001677F9">
              <w:rPr>
                <w:b/>
                <w:bCs w:val="0"/>
              </w:rPr>
              <w:t>n (%)</w:t>
            </w:r>
          </w:p>
        </w:tc>
        <w:tc>
          <w:tcPr>
            <w:tcW w:w="630" w:type="pct"/>
            <w:vAlign w:val="center"/>
          </w:tcPr>
          <w:p w14:paraId="7C2AFEA3" w14:textId="77777777" w:rsidR="00A62C19" w:rsidRPr="001677F9" w:rsidRDefault="00A62C19" w:rsidP="00AD1DC3">
            <w:pPr>
              <w:pStyle w:val="TableText0"/>
              <w:jc w:val="center"/>
              <w:rPr>
                <w:b/>
                <w:bCs w:val="0"/>
              </w:rPr>
            </w:pPr>
            <w:r w:rsidRPr="001677F9">
              <w:rPr>
                <w:b/>
                <w:bCs w:val="0"/>
              </w:rPr>
              <w:t>Event rate</w:t>
            </w:r>
          </w:p>
        </w:tc>
        <w:tc>
          <w:tcPr>
            <w:tcW w:w="835" w:type="pct"/>
            <w:vMerge/>
            <w:vAlign w:val="center"/>
          </w:tcPr>
          <w:p w14:paraId="1877A0D6" w14:textId="77777777" w:rsidR="00A62C19" w:rsidRPr="001677F9" w:rsidRDefault="00A62C19" w:rsidP="00AD1DC3">
            <w:pPr>
              <w:pStyle w:val="TableText0"/>
              <w:jc w:val="center"/>
            </w:pPr>
          </w:p>
        </w:tc>
      </w:tr>
      <w:tr w:rsidR="00A62C19" w:rsidRPr="001677F9" w14:paraId="6D39A9A2" w14:textId="77777777" w:rsidTr="002B217A">
        <w:trPr>
          <w:tblHeader/>
        </w:trPr>
        <w:tc>
          <w:tcPr>
            <w:tcW w:w="624" w:type="pct"/>
            <w:vMerge w:val="restart"/>
            <w:vAlign w:val="center"/>
          </w:tcPr>
          <w:p w14:paraId="0AE7B5E0" w14:textId="77777777" w:rsidR="00A62C19" w:rsidRPr="001677F9" w:rsidRDefault="00A62C19" w:rsidP="00AD1DC3">
            <w:pPr>
              <w:pStyle w:val="TableText0"/>
            </w:pPr>
            <w:r w:rsidRPr="001677F9">
              <w:t>DELIVER</w:t>
            </w:r>
          </w:p>
          <w:p w14:paraId="76390C4B" w14:textId="0EAF309E" w:rsidR="00A62C19" w:rsidRPr="001677F9" w:rsidRDefault="00681B78" w:rsidP="00AD1DC3">
            <w:pPr>
              <w:pStyle w:val="TableText0"/>
            </w:pPr>
            <w:r w:rsidRPr="001677F9">
              <w:t>(</w:t>
            </w:r>
            <w:proofErr w:type="gramStart"/>
            <w:r w:rsidRPr="001677F9">
              <w:t>median</w:t>
            </w:r>
            <w:proofErr w:type="gramEnd"/>
            <w:r w:rsidRPr="001677F9">
              <w:t xml:space="preserve"> follow-up 28.5 months)</w:t>
            </w:r>
          </w:p>
        </w:tc>
        <w:tc>
          <w:tcPr>
            <w:tcW w:w="4376" w:type="pct"/>
            <w:gridSpan w:val="6"/>
            <w:shd w:val="clear" w:color="auto" w:fill="FFFFFF" w:themeFill="background1"/>
          </w:tcPr>
          <w:p w14:paraId="059982C0" w14:textId="77777777" w:rsidR="00A62C19" w:rsidRPr="001677F9" w:rsidRDefault="00A62C19" w:rsidP="00AD1DC3">
            <w:pPr>
              <w:pStyle w:val="TableText0"/>
              <w:rPr>
                <w:b/>
              </w:rPr>
            </w:pPr>
            <w:r w:rsidRPr="001677F9">
              <w:rPr>
                <w:rFonts w:cs="Arial"/>
                <w:b/>
                <w:bCs w:val="0"/>
              </w:rPr>
              <w:t>Primary outcome</w:t>
            </w:r>
          </w:p>
        </w:tc>
      </w:tr>
      <w:tr w:rsidR="00A62C19" w:rsidRPr="001677F9" w14:paraId="6B6E0616" w14:textId="77777777" w:rsidTr="002B217A">
        <w:trPr>
          <w:tblHeader/>
        </w:trPr>
        <w:tc>
          <w:tcPr>
            <w:tcW w:w="624" w:type="pct"/>
            <w:vMerge/>
            <w:vAlign w:val="center"/>
          </w:tcPr>
          <w:p w14:paraId="582D9A4B" w14:textId="77777777" w:rsidR="00A62C19" w:rsidRPr="001677F9" w:rsidRDefault="00A62C19" w:rsidP="00AD1DC3">
            <w:pPr>
              <w:pStyle w:val="TableText0"/>
            </w:pPr>
          </w:p>
        </w:tc>
        <w:tc>
          <w:tcPr>
            <w:tcW w:w="1184" w:type="pct"/>
          </w:tcPr>
          <w:p w14:paraId="6885258E" w14:textId="77777777" w:rsidR="00A62C19" w:rsidRPr="001677F9" w:rsidRDefault="00A62C19" w:rsidP="00AD1DC3">
            <w:pPr>
              <w:pStyle w:val="TableText0"/>
            </w:pPr>
            <w:r w:rsidRPr="001677F9">
              <w:rPr>
                <w:rFonts w:cs="Arial"/>
              </w:rPr>
              <w:t>Composite of CV death, hospitalisation for HF or urgent HF visit</w:t>
            </w:r>
          </w:p>
        </w:tc>
        <w:tc>
          <w:tcPr>
            <w:tcW w:w="547" w:type="pct"/>
            <w:vAlign w:val="center"/>
          </w:tcPr>
          <w:p w14:paraId="56FEB185" w14:textId="77777777" w:rsidR="00A62C19" w:rsidRPr="001677F9" w:rsidRDefault="00A62C19" w:rsidP="00AD1DC3">
            <w:pPr>
              <w:pStyle w:val="TableText0"/>
              <w:jc w:val="center"/>
            </w:pPr>
            <w:r w:rsidRPr="001677F9">
              <w:rPr>
                <w:rFonts w:cs="Arial"/>
              </w:rPr>
              <w:t>512 (16.4)</w:t>
            </w:r>
          </w:p>
        </w:tc>
        <w:tc>
          <w:tcPr>
            <w:tcW w:w="630" w:type="pct"/>
            <w:vAlign w:val="center"/>
          </w:tcPr>
          <w:p w14:paraId="03ED1B9A" w14:textId="77777777" w:rsidR="00A62C19" w:rsidRPr="001677F9" w:rsidRDefault="00A62C19" w:rsidP="00AD1DC3">
            <w:pPr>
              <w:pStyle w:val="TableText0"/>
              <w:jc w:val="center"/>
            </w:pPr>
            <w:r w:rsidRPr="001677F9">
              <w:rPr>
                <w:rFonts w:cs="Arial"/>
              </w:rPr>
              <w:t>7.8</w:t>
            </w:r>
          </w:p>
        </w:tc>
        <w:tc>
          <w:tcPr>
            <w:tcW w:w="550" w:type="pct"/>
            <w:vAlign w:val="center"/>
          </w:tcPr>
          <w:p w14:paraId="3A48A615" w14:textId="77777777" w:rsidR="00A62C19" w:rsidRPr="001677F9" w:rsidRDefault="00A62C19" w:rsidP="00AD1DC3">
            <w:pPr>
              <w:pStyle w:val="TableText0"/>
              <w:jc w:val="center"/>
            </w:pPr>
            <w:r w:rsidRPr="001677F9">
              <w:rPr>
                <w:rFonts w:cs="Arial"/>
              </w:rPr>
              <w:t>610 (19.5)</w:t>
            </w:r>
          </w:p>
        </w:tc>
        <w:tc>
          <w:tcPr>
            <w:tcW w:w="630" w:type="pct"/>
            <w:vAlign w:val="center"/>
          </w:tcPr>
          <w:p w14:paraId="101843E1" w14:textId="77777777" w:rsidR="00A62C19" w:rsidRPr="001677F9" w:rsidRDefault="00A62C19" w:rsidP="00AD1DC3">
            <w:pPr>
              <w:pStyle w:val="TableText0"/>
              <w:jc w:val="center"/>
            </w:pPr>
            <w:r w:rsidRPr="001677F9">
              <w:rPr>
                <w:rFonts w:cs="Arial"/>
              </w:rPr>
              <w:t>9.6</w:t>
            </w:r>
          </w:p>
        </w:tc>
        <w:tc>
          <w:tcPr>
            <w:tcW w:w="835" w:type="pct"/>
            <w:vAlign w:val="center"/>
          </w:tcPr>
          <w:p w14:paraId="0DF0D6D3" w14:textId="77777777" w:rsidR="00A62C19" w:rsidRPr="001677F9" w:rsidRDefault="00A62C19" w:rsidP="00AD1DC3">
            <w:pPr>
              <w:pStyle w:val="TableText0"/>
              <w:rPr>
                <w:rFonts w:cs="Arial"/>
                <w:b/>
              </w:rPr>
            </w:pPr>
            <w:r w:rsidRPr="001677F9">
              <w:rPr>
                <w:rFonts w:cs="Arial"/>
                <w:b/>
              </w:rPr>
              <w:t xml:space="preserve">0.82 (0.73, </w:t>
            </w:r>
            <w:r w:rsidRPr="001677F9">
              <w:rPr>
                <w:rFonts w:cs="Arial"/>
                <w:b/>
                <w:iCs/>
              </w:rPr>
              <w:t>0.92</w:t>
            </w:r>
            <w:r w:rsidRPr="001677F9">
              <w:rPr>
                <w:rFonts w:cs="Arial"/>
                <w:b/>
                <w:iCs/>
                <w:vertAlign w:val="superscript"/>
              </w:rPr>
              <w:t>a</w:t>
            </w:r>
            <w:r w:rsidRPr="001677F9">
              <w:rPr>
                <w:rFonts w:cs="Arial"/>
                <w:b/>
              </w:rPr>
              <w:t>)</w:t>
            </w:r>
          </w:p>
        </w:tc>
      </w:tr>
      <w:tr w:rsidR="00A62C19" w:rsidRPr="001677F9" w14:paraId="7E1DBB2C" w14:textId="77777777" w:rsidTr="002B217A">
        <w:trPr>
          <w:tblHeader/>
        </w:trPr>
        <w:tc>
          <w:tcPr>
            <w:tcW w:w="624" w:type="pct"/>
            <w:vMerge/>
            <w:vAlign w:val="center"/>
          </w:tcPr>
          <w:p w14:paraId="76EC64FD" w14:textId="77777777" w:rsidR="00A62C19" w:rsidRPr="001677F9" w:rsidRDefault="00A62C19" w:rsidP="00AD1DC3">
            <w:pPr>
              <w:pStyle w:val="TableText0"/>
            </w:pPr>
          </w:p>
        </w:tc>
        <w:tc>
          <w:tcPr>
            <w:tcW w:w="1184" w:type="pct"/>
            <w:tcBorders>
              <w:bottom w:val="nil"/>
            </w:tcBorders>
          </w:tcPr>
          <w:p w14:paraId="65EB266F" w14:textId="77777777" w:rsidR="00A62C19" w:rsidRPr="001677F9" w:rsidRDefault="00A62C19" w:rsidP="00AD1DC3">
            <w:pPr>
              <w:pStyle w:val="TableText0"/>
              <w:rPr>
                <w:rFonts w:cs="Arial"/>
                <w:vertAlign w:val="superscript"/>
              </w:rPr>
            </w:pPr>
            <w:r w:rsidRPr="001677F9">
              <w:rPr>
                <w:rFonts w:cs="Arial"/>
              </w:rPr>
              <w:t>Components of the composite</w:t>
            </w:r>
            <w:r w:rsidRPr="001677F9">
              <w:rPr>
                <w:rFonts w:cs="Arial"/>
                <w:vertAlign w:val="superscript"/>
              </w:rPr>
              <w:t>b</w:t>
            </w:r>
          </w:p>
        </w:tc>
        <w:tc>
          <w:tcPr>
            <w:tcW w:w="547" w:type="pct"/>
            <w:tcBorders>
              <w:bottom w:val="nil"/>
            </w:tcBorders>
          </w:tcPr>
          <w:p w14:paraId="092E5927" w14:textId="77777777" w:rsidR="00A62C19" w:rsidRPr="001677F9" w:rsidRDefault="00A62C19" w:rsidP="00AD1DC3">
            <w:pPr>
              <w:pStyle w:val="TableText0"/>
              <w:jc w:val="center"/>
              <w:rPr>
                <w:rFonts w:cs="Arial"/>
              </w:rPr>
            </w:pPr>
          </w:p>
        </w:tc>
        <w:tc>
          <w:tcPr>
            <w:tcW w:w="630" w:type="pct"/>
            <w:tcBorders>
              <w:bottom w:val="nil"/>
            </w:tcBorders>
          </w:tcPr>
          <w:p w14:paraId="521EE510" w14:textId="77777777" w:rsidR="00A62C19" w:rsidRPr="001677F9" w:rsidRDefault="00A62C19" w:rsidP="00AD1DC3">
            <w:pPr>
              <w:pStyle w:val="TableText0"/>
              <w:jc w:val="center"/>
              <w:rPr>
                <w:rFonts w:cs="Arial"/>
              </w:rPr>
            </w:pPr>
          </w:p>
        </w:tc>
        <w:tc>
          <w:tcPr>
            <w:tcW w:w="550" w:type="pct"/>
            <w:tcBorders>
              <w:bottom w:val="nil"/>
            </w:tcBorders>
          </w:tcPr>
          <w:p w14:paraId="064683FD" w14:textId="77777777" w:rsidR="00A62C19" w:rsidRPr="001677F9" w:rsidRDefault="00A62C19" w:rsidP="00AD1DC3">
            <w:pPr>
              <w:pStyle w:val="TableText0"/>
              <w:jc w:val="center"/>
              <w:rPr>
                <w:rFonts w:cs="Arial"/>
              </w:rPr>
            </w:pPr>
          </w:p>
        </w:tc>
        <w:tc>
          <w:tcPr>
            <w:tcW w:w="630" w:type="pct"/>
            <w:tcBorders>
              <w:bottom w:val="nil"/>
            </w:tcBorders>
          </w:tcPr>
          <w:p w14:paraId="5A4226F9" w14:textId="77777777" w:rsidR="00A62C19" w:rsidRPr="001677F9" w:rsidRDefault="00A62C19" w:rsidP="00AD1DC3">
            <w:pPr>
              <w:pStyle w:val="TableText0"/>
              <w:jc w:val="center"/>
              <w:rPr>
                <w:rFonts w:cs="Arial"/>
              </w:rPr>
            </w:pPr>
          </w:p>
        </w:tc>
        <w:tc>
          <w:tcPr>
            <w:tcW w:w="835" w:type="pct"/>
            <w:tcBorders>
              <w:bottom w:val="nil"/>
            </w:tcBorders>
          </w:tcPr>
          <w:p w14:paraId="36DE02C9" w14:textId="77777777" w:rsidR="00A62C19" w:rsidRPr="001677F9" w:rsidRDefault="00A62C19" w:rsidP="00AD1DC3">
            <w:pPr>
              <w:pStyle w:val="TableText0"/>
              <w:jc w:val="center"/>
              <w:rPr>
                <w:rFonts w:cs="Arial"/>
              </w:rPr>
            </w:pPr>
          </w:p>
        </w:tc>
      </w:tr>
      <w:tr w:rsidR="00A62C19" w:rsidRPr="001677F9" w14:paraId="2B7A4480" w14:textId="77777777" w:rsidTr="002B217A">
        <w:trPr>
          <w:tblHeader/>
        </w:trPr>
        <w:tc>
          <w:tcPr>
            <w:tcW w:w="624" w:type="pct"/>
            <w:vMerge/>
            <w:vAlign w:val="center"/>
          </w:tcPr>
          <w:p w14:paraId="55A2853D" w14:textId="77777777" w:rsidR="00A62C19" w:rsidRPr="001677F9" w:rsidRDefault="00A62C19" w:rsidP="00AD1DC3">
            <w:pPr>
              <w:pStyle w:val="TableText0"/>
            </w:pPr>
          </w:p>
        </w:tc>
        <w:tc>
          <w:tcPr>
            <w:tcW w:w="1184" w:type="pct"/>
            <w:tcBorders>
              <w:top w:val="nil"/>
              <w:bottom w:val="nil"/>
            </w:tcBorders>
          </w:tcPr>
          <w:p w14:paraId="56DE518C" w14:textId="77777777" w:rsidR="00A62C19" w:rsidRPr="001677F9" w:rsidRDefault="00A62C19" w:rsidP="00AD1DC3">
            <w:pPr>
              <w:pStyle w:val="TableText0"/>
              <w:rPr>
                <w:vertAlign w:val="superscript"/>
              </w:rPr>
            </w:pPr>
            <w:r w:rsidRPr="001677F9">
              <w:rPr>
                <w:rFonts w:cs="Arial"/>
              </w:rPr>
              <w:t>CV death</w:t>
            </w:r>
          </w:p>
        </w:tc>
        <w:tc>
          <w:tcPr>
            <w:tcW w:w="547" w:type="pct"/>
            <w:tcBorders>
              <w:top w:val="nil"/>
              <w:bottom w:val="nil"/>
            </w:tcBorders>
          </w:tcPr>
          <w:p w14:paraId="29EB4047" w14:textId="77777777" w:rsidR="00A62C19" w:rsidRPr="001677F9" w:rsidRDefault="00A62C19" w:rsidP="00AD1DC3">
            <w:pPr>
              <w:pStyle w:val="TableText0"/>
              <w:jc w:val="center"/>
            </w:pPr>
            <w:r w:rsidRPr="001677F9">
              <w:rPr>
                <w:rFonts w:cs="Arial"/>
              </w:rPr>
              <w:t>231 (7.4)</w:t>
            </w:r>
          </w:p>
        </w:tc>
        <w:tc>
          <w:tcPr>
            <w:tcW w:w="630" w:type="pct"/>
            <w:tcBorders>
              <w:top w:val="nil"/>
              <w:bottom w:val="nil"/>
            </w:tcBorders>
          </w:tcPr>
          <w:p w14:paraId="410DA428" w14:textId="77777777" w:rsidR="00A62C19" w:rsidRPr="001677F9" w:rsidRDefault="00A62C19" w:rsidP="00AD1DC3">
            <w:pPr>
              <w:pStyle w:val="TableText0"/>
              <w:jc w:val="center"/>
            </w:pPr>
            <w:r w:rsidRPr="001677F9">
              <w:rPr>
                <w:rFonts w:cs="Arial"/>
              </w:rPr>
              <w:t>3.3</w:t>
            </w:r>
          </w:p>
        </w:tc>
        <w:tc>
          <w:tcPr>
            <w:tcW w:w="550" w:type="pct"/>
            <w:tcBorders>
              <w:top w:val="nil"/>
              <w:bottom w:val="nil"/>
            </w:tcBorders>
          </w:tcPr>
          <w:p w14:paraId="435F6D7F" w14:textId="77777777" w:rsidR="00A62C19" w:rsidRPr="001677F9" w:rsidRDefault="00A62C19" w:rsidP="00AD1DC3">
            <w:pPr>
              <w:pStyle w:val="TableText0"/>
              <w:jc w:val="center"/>
            </w:pPr>
            <w:r w:rsidRPr="001677F9">
              <w:rPr>
                <w:rFonts w:cs="Arial"/>
              </w:rPr>
              <w:t>261 (8.3)</w:t>
            </w:r>
          </w:p>
        </w:tc>
        <w:tc>
          <w:tcPr>
            <w:tcW w:w="630" w:type="pct"/>
            <w:tcBorders>
              <w:top w:val="nil"/>
              <w:bottom w:val="nil"/>
            </w:tcBorders>
          </w:tcPr>
          <w:p w14:paraId="3EF8683E" w14:textId="77777777" w:rsidR="00A62C19" w:rsidRPr="001677F9" w:rsidRDefault="00A62C19" w:rsidP="00AD1DC3">
            <w:pPr>
              <w:pStyle w:val="TableText0"/>
              <w:jc w:val="center"/>
            </w:pPr>
            <w:r w:rsidRPr="001677F9">
              <w:rPr>
                <w:rFonts w:cs="Arial"/>
              </w:rPr>
              <w:t>3.8</w:t>
            </w:r>
          </w:p>
        </w:tc>
        <w:tc>
          <w:tcPr>
            <w:tcW w:w="835" w:type="pct"/>
            <w:tcBorders>
              <w:top w:val="nil"/>
              <w:bottom w:val="nil"/>
            </w:tcBorders>
          </w:tcPr>
          <w:p w14:paraId="5AC3FAD3" w14:textId="77777777" w:rsidR="00A62C19" w:rsidRPr="001677F9" w:rsidRDefault="00A62C19" w:rsidP="00AD1DC3">
            <w:pPr>
              <w:pStyle w:val="TableText0"/>
              <w:rPr>
                <w:rFonts w:cs="Arial"/>
              </w:rPr>
            </w:pPr>
            <w:r w:rsidRPr="001677F9">
              <w:rPr>
                <w:rFonts w:cs="Arial"/>
              </w:rPr>
              <w:t>0.88 (0.74, 1.05)</w:t>
            </w:r>
          </w:p>
        </w:tc>
      </w:tr>
      <w:tr w:rsidR="00A62C19" w:rsidRPr="001677F9" w14:paraId="02E62DDD" w14:textId="77777777" w:rsidTr="002B217A">
        <w:trPr>
          <w:tblHeader/>
        </w:trPr>
        <w:tc>
          <w:tcPr>
            <w:tcW w:w="624" w:type="pct"/>
            <w:vMerge/>
            <w:vAlign w:val="center"/>
          </w:tcPr>
          <w:p w14:paraId="0CA29FCB" w14:textId="77777777" w:rsidR="00A62C19" w:rsidRPr="001677F9" w:rsidRDefault="00A62C19" w:rsidP="00AD1DC3">
            <w:pPr>
              <w:pStyle w:val="TableText0"/>
            </w:pPr>
          </w:p>
        </w:tc>
        <w:tc>
          <w:tcPr>
            <w:tcW w:w="1184" w:type="pct"/>
            <w:tcBorders>
              <w:top w:val="nil"/>
              <w:bottom w:val="nil"/>
            </w:tcBorders>
          </w:tcPr>
          <w:p w14:paraId="55D8F88D" w14:textId="77777777" w:rsidR="00A62C19" w:rsidRPr="001677F9" w:rsidRDefault="00A62C19" w:rsidP="00AD1DC3">
            <w:pPr>
              <w:pStyle w:val="TableText0"/>
              <w:rPr>
                <w:rFonts w:cs="Arial"/>
                <w:vertAlign w:val="superscript"/>
              </w:rPr>
            </w:pPr>
            <w:r w:rsidRPr="001677F9">
              <w:rPr>
                <w:rFonts w:cs="Arial"/>
              </w:rPr>
              <w:t>HF events</w:t>
            </w:r>
            <w:r w:rsidRPr="001677F9">
              <w:rPr>
                <w:rFonts w:cs="Arial"/>
                <w:vertAlign w:val="superscript"/>
              </w:rPr>
              <w:t>c</w:t>
            </w:r>
          </w:p>
        </w:tc>
        <w:tc>
          <w:tcPr>
            <w:tcW w:w="547" w:type="pct"/>
            <w:tcBorders>
              <w:top w:val="nil"/>
              <w:bottom w:val="nil"/>
            </w:tcBorders>
          </w:tcPr>
          <w:p w14:paraId="7FC40FD6" w14:textId="77777777" w:rsidR="00A62C19" w:rsidRPr="001677F9" w:rsidRDefault="00A62C19" w:rsidP="00AD1DC3">
            <w:pPr>
              <w:pStyle w:val="TableText0"/>
              <w:jc w:val="center"/>
            </w:pPr>
            <w:r w:rsidRPr="001677F9">
              <w:rPr>
                <w:rFonts w:cs="Arial"/>
              </w:rPr>
              <w:t>368 (11.8)</w:t>
            </w:r>
          </w:p>
        </w:tc>
        <w:tc>
          <w:tcPr>
            <w:tcW w:w="630" w:type="pct"/>
            <w:tcBorders>
              <w:top w:val="nil"/>
              <w:bottom w:val="nil"/>
            </w:tcBorders>
          </w:tcPr>
          <w:p w14:paraId="1FA0840C" w14:textId="77777777" w:rsidR="00A62C19" w:rsidRPr="001677F9" w:rsidRDefault="00A62C19" w:rsidP="00AD1DC3">
            <w:pPr>
              <w:pStyle w:val="TableText0"/>
              <w:jc w:val="center"/>
            </w:pPr>
            <w:r w:rsidRPr="001677F9">
              <w:rPr>
                <w:rFonts w:cs="Arial"/>
              </w:rPr>
              <w:t>5.6</w:t>
            </w:r>
          </w:p>
        </w:tc>
        <w:tc>
          <w:tcPr>
            <w:tcW w:w="550" w:type="pct"/>
            <w:tcBorders>
              <w:top w:val="nil"/>
              <w:bottom w:val="nil"/>
            </w:tcBorders>
          </w:tcPr>
          <w:p w14:paraId="6BF68B36" w14:textId="77777777" w:rsidR="00A62C19" w:rsidRPr="001677F9" w:rsidRDefault="00A62C19" w:rsidP="00AD1DC3">
            <w:pPr>
              <w:pStyle w:val="TableText0"/>
              <w:jc w:val="center"/>
            </w:pPr>
            <w:r w:rsidRPr="001677F9">
              <w:rPr>
                <w:rFonts w:cs="Arial"/>
              </w:rPr>
              <w:t>455 (14.5)</w:t>
            </w:r>
          </w:p>
        </w:tc>
        <w:tc>
          <w:tcPr>
            <w:tcW w:w="630" w:type="pct"/>
            <w:tcBorders>
              <w:top w:val="nil"/>
              <w:bottom w:val="nil"/>
            </w:tcBorders>
          </w:tcPr>
          <w:p w14:paraId="6C478210" w14:textId="77777777" w:rsidR="00A62C19" w:rsidRPr="001677F9" w:rsidRDefault="00A62C19" w:rsidP="00AD1DC3">
            <w:pPr>
              <w:pStyle w:val="TableText0"/>
              <w:jc w:val="center"/>
            </w:pPr>
            <w:r w:rsidRPr="001677F9">
              <w:rPr>
                <w:rFonts w:cs="Arial"/>
              </w:rPr>
              <w:t>7.2</w:t>
            </w:r>
          </w:p>
        </w:tc>
        <w:tc>
          <w:tcPr>
            <w:tcW w:w="835" w:type="pct"/>
            <w:tcBorders>
              <w:top w:val="nil"/>
              <w:bottom w:val="nil"/>
            </w:tcBorders>
          </w:tcPr>
          <w:p w14:paraId="0E558BF0" w14:textId="77777777" w:rsidR="00A62C19" w:rsidRPr="001677F9" w:rsidRDefault="00A62C19" w:rsidP="00AD1DC3">
            <w:pPr>
              <w:pStyle w:val="TableText0"/>
              <w:rPr>
                <w:rFonts w:cs="Arial"/>
                <w:b/>
              </w:rPr>
            </w:pPr>
            <w:r w:rsidRPr="001677F9">
              <w:rPr>
                <w:rFonts w:cs="Arial"/>
                <w:b/>
              </w:rPr>
              <w:t>0.79 (0.69, 0.91)</w:t>
            </w:r>
          </w:p>
        </w:tc>
      </w:tr>
      <w:tr w:rsidR="00A62C19" w:rsidRPr="001677F9" w14:paraId="2D00E95F" w14:textId="77777777" w:rsidTr="002B217A">
        <w:trPr>
          <w:tblHeader/>
        </w:trPr>
        <w:tc>
          <w:tcPr>
            <w:tcW w:w="624" w:type="pct"/>
            <w:vMerge/>
            <w:vAlign w:val="center"/>
          </w:tcPr>
          <w:p w14:paraId="537A2930" w14:textId="77777777" w:rsidR="00A62C19" w:rsidRPr="001677F9" w:rsidRDefault="00A62C19" w:rsidP="00AD1DC3">
            <w:pPr>
              <w:pStyle w:val="TableText0"/>
            </w:pPr>
          </w:p>
        </w:tc>
        <w:tc>
          <w:tcPr>
            <w:tcW w:w="1184" w:type="pct"/>
            <w:tcBorders>
              <w:top w:val="nil"/>
              <w:bottom w:val="nil"/>
            </w:tcBorders>
          </w:tcPr>
          <w:p w14:paraId="108AEF3C" w14:textId="77777777" w:rsidR="00A62C19" w:rsidRPr="001677F9" w:rsidRDefault="00A62C19" w:rsidP="00AD1DC3">
            <w:pPr>
              <w:pStyle w:val="TableText0"/>
              <w:rPr>
                <w:rFonts w:cs="Arial"/>
                <w:vertAlign w:val="superscript"/>
              </w:rPr>
            </w:pPr>
            <w:r w:rsidRPr="001677F9">
              <w:rPr>
                <w:rFonts w:cs="Arial"/>
              </w:rPr>
              <w:t>Hospitalisation for HF</w:t>
            </w:r>
          </w:p>
        </w:tc>
        <w:tc>
          <w:tcPr>
            <w:tcW w:w="547" w:type="pct"/>
            <w:tcBorders>
              <w:top w:val="nil"/>
              <w:bottom w:val="nil"/>
            </w:tcBorders>
          </w:tcPr>
          <w:p w14:paraId="3D087E47" w14:textId="77777777" w:rsidR="00A62C19" w:rsidRPr="001677F9" w:rsidRDefault="00A62C19" w:rsidP="00AD1DC3">
            <w:pPr>
              <w:pStyle w:val="TableText0"/>
              <w:jc w:val="center"/>
            </w:pPr>
            <w:r w:rsidRPr="001677F9">
              <w:rPr>
                <w:rFonts w:cs="Arial"/>
              </w:rPr>
              <w:t>329 (10.5)</w:t>
            </w:r>
          </w:p>
        </w:tc>
        <w:tc>
          <w:tcPr>
            <w:tcW w:w="630" w:type="pct"/>
            <w:tcBorders>
              <w:top w:val="nil"/>
              <w:bottom w:val="nil"/>
            </w:tcBorders>
          </w:tcPr>
          <w:p w14:paraId="09E14D74" w14:textId="77777777" w:rsidR="00A62C19" w:rsidRPr="001677F9" w:rsidRDefault="00A62C19" w:rsidP="00AD1DC3">
            <w:pPr>
              <w:pStyle w:val="TableText0"/>
              <w:jc w:val="center"/>
            </w:pPr>
            <w:r w:rsidRPr="001677F9">
              <w:rPr>
                <w:rFonts w:cs="Arial"/>
              </w:rPr>
              <w:t>5.0</w:t>
            </w:r>
          </w:p>
        </w:tc>
        <w:tc>
          <w:tcPr>
            <w:tcW w:w="550" w:type="pct"/>
            <w:tcBorders>
              <w:top w:val="nil"/>
              <w:bottom w:val="nil"/>
            </w:tcBorders>
          </w:tcPr>
          <w:p w14:paraId="2364FE95" w14:textId="77777777" w:rsidR="00A62C19" w:rsidRPr="001677F9" w:rsidRDefault="00A62C19" w:rsidP="00AD1DC3">
            <w:pPr>
              <w:pStyle w:val="TableText0"/>
              <w:jc w:val="center"/>
            </w:pPr>
            <w:r w:rsidRPr="001677F9">
              <w:rPr>
                <w:rFonts w:cs="Arial"/>
              </w:rPr>
              <w:t>418 (13.3)</w:t>
            </w:r>
          </w:p>
        </w:tc>
        <w:tc>
          <w:tcPr>
            <w:tcW w:w="630" w:type="pct"/>
            <w:tcBorders>
              <w:top w:val="nil"/>
              <w:bottom w:val="nil"/>
            </w:tcBorders>
          </w:tcPr>
          <w:p w14:paraId="748770BE" w14:textId="77777777" w:rsidR="00A62C19" w:rsidRPr="001677F9" w:rsidRDefault="00A62C19" w:rsidP="00AD1DC3">
            <w:pPr>
              <w:pStyle w:val="TableText0"/>
              <w:jc w:val="center"/>
            </w:pPr>
            <w:r w:rsidRPr="001677F9">
              <w:rPr>
                <w:rFonts w:cs="Arial"/>
              </w:rPr>
              <w:t>6.5</w:t>
            </w:r>
          </w:p>
        </w:tc>
        <w:tc>
          <w:tcPr>
            <w:tcW w:w="835" w:type="pct"/>
            <w:tcBorders>
              <w:top w:val="nil"/>
              <w:bottom w:val="nil"/>
            </w:tcBorders>
          </w:tcPr>
          <w:p w14:paraId="0AFD2855" w14:textId="77777777" w:rsidR="00A62C19" w:rsidRPr="001677F9" w:rsidRDefault="00A62C19" w:rsidP="00AD1DC3">
            <w:pPr>
              <w:pStyle w:val="TableText0"/>
              <w:rPr>
                <w:rFonts w:cs="Arial"/>
                <w:b/>
              </w:rPr>
            </w:pPr>
            <w:r w:rsidRPr="001677F9">
              <w:rPr>
                <w:rFonts w:cs="Arial"/>
                <w:b/>
              </w:rPr>
              <w:t>0.77 (0.67, 0.89)</w:t>
            </w:r>
          </w:p>
        </w:tc>
      </w:tr>
      <w:tr w:rsidR="00A62C19" w:rsidRPr="001677F9" w14:paraId="61433616" w14:textId="77777777" w:rsidTr="002B217A">
        <w:trPr>
          <w:tblHeader/>
        </w:trPr>
        <w:tc>
          <w:tcPr>
            <w:tcW w:w="624" w:type="pct"/>
            <w:vMerge/>
            <w:vAlign w:val="center"/>
          </w:tcPr>
          <w:p w14:paraId="1705A699" w14:textId="77777777" w:rsidR="00A62C19" w:rsidRPr="001677F9" w:rsidRDefault="00A62C19" w:rsidP="00AD1DC3">
            <w:pPr>
              <w:pStyle w:val="TableText0"/>
            </w:pPr>
          </w:p>
        </w:tc>
        <w:tc>
          <w:tcPr>
            <w:tcW w:w="1184" w:type="pct"/>
            <w:tcBorders>
              <w:top w:val="nil"/>
            </w:tcBorders>
          </w:tcPr>
          <w:p w14:paraId="4ED50131" w14:textId="77777777" w:rsidR="00A62C19" w:rsidRPr="001677F9" w:rsidRDefault="00A62C19" w:rsidP="00AD1DC3">
            <w:pPr>
              <w:pStyle w:val="TableText0"/>
              <w:rPr>
                <w:rFonts w:cs="Arial"/>
                <w:vertAlign w:val="superscript"/>
              </w:rPr>
            </w:pPr>
            <w:r w:rsidRPr="001677F9">
              <w:rPr>
                <w:rFonts w:cs="Arial"/>
              </w:rPr>
              <w:t>Urgent HF visit</w:t>
            </w:r>
          </w:p>
        </w:tc>
        <w:tc>
          <w:tcPr>
            <w:tcW w:w="547" w:type="pct"/>
            <w:tcBorders>
              <w:top w:val="nil"/>
            </w:tcBorders>
          </w:tcPr>
          <w:p w14:paraId="5C9B84D3" w14:textId="77777777" w:rsidR="00A62C19" w:rsidRPr="001677F9" w:rsidRDefault="00A62C19" w:rsidP="00AD1DC3">
            <w:pPr>
              <w:pStyle w:val="TableText0"/>
              <w:jc w:val="center"/>
            </w:pPr>
            <w:r w:rsidRPr="001677F9">
              <w:rPr>
                <w:rFonts w:cs="Arial"/>
              </w:rPr>
              <w:t>60 (1.9)</w:t>
            </w:r>
          </w:p>
        </w:tc>
        <w:tc>
          <w:tcPr>
            <w:tcW w:w="630" w:type="pct"/>
            <w:tcBorders>
              <w:top w:val="nil"/>
            </w:tcBorders>
          </w:tcPr>
          <w:p w14:paraId="55436C31" w14:textId="77777777" w:rsidR="00A62C19" w:rsidRPr="001677F9" w:rsidRDefault="00A62C19" w:rsidP="00AD1DC3">
            <w:pPr>
              <w:pStyle w:val="TableText0"/>
              <w:jc w:val="center"/>
            </w:pPr>
            <w:r w:rsidRPr="001677F9">
              <w:rPr>
                <w:rFonts w:cs="Arial"/>
              </w:rPr>
              <w:t>0.9</w:t>
            </w:r>
          </w:p>
        </w:tc>
        <w:tc>
          <w:tcPr>
            <w:tcW w:w="550" w:type="pct"/>
            <w:tcBorders>
              <w:top w:val="nil"/>
            </w:tcBorders>
          </w:tcPr>
          <w:p w14:paraId="169A6FF7" w14:textId="77777777" w:rsidR="00A62C19" w:rsidRPr="001677F9" w:rsidRDefault="00A62C19" w:rsidP="00AD1DC3">
            <w:pPr>
              <w:pStyle w:val="TableText0"/>
              <w:jc w:val="center"/>
            </w:pPr>
            <w:r w:rsidRPr="001677F9">
              <w:rPr>
                <w:rFonts w:cs="Arial"/>
              </w:rPr>
              <w:t>78 (2.5)</w:t>
            </w:r>
          </w:p>
        </w:tc>
        <w:tc>
          <w:tcPr>
            <w:tcW w:w="630" w:type="pct"/>
            <w:tcBorders>
              <w:top w:val="nil"/>
            </w:tcBorders>
          </w:tcPr>
          <w:p w14:paraId="3DC61A3E" w14:textId="77777777" w:rsidR="00A62C19" w:rsidRPr="001677F9" w:rsidRDefault="00A62C19" w:rsidP="00AD1DC3">
            <w:pPr>
              <w:pStyle w:val="TableText0"/>
              <w:jc w:val="center"/>
            </w:pPr>
            <w:r w:rsidRPr="001677F9">
              <w:rPr>
                <w:rFonts w:cs="Arial"/>
              </w:rPr>
              <w:t>1.1</w:t>
            </w:r>
          </w:p>
        </w:tc>
        <w:tc>
          <w:tcPr>
            <w:tcW w:w="835" w:type="pct"/>
            <w:tcBorders>
              <w:top w:val="nil"/>
            </w:tcBorders>
          </w:tcPr>
          <w:p w14:paraId="73E9893F" w14:textId="77777777" w:rsidR="00A62C19" w:rsidRPr="001677F9" w:rsidRDefault="00A62C19" w:rsidP="00AD1DC3">
            <w:pPr>
              <w:pStyle w:val="TableText0"/>
              <w:rPr>
                <w:rFonts w:cs="Arial"/>
              </w:rPr>
            </w:pPr>
            <w:r w:rsidRPr="001677F9">
              <w:rPr>
                <w:rFonts w:cs="Arial"/>
              </w:rPr>
              <w:t>0.76 (0.55, 1.07)</w:t>
            </w:r>
          </w:p>
        </w:tc>
      </w:tr>
      <w:tr w:rsidR="00A62C19" w:rsidRPr="001677F9" w14:paraId="55FAABF0" w14:textId="77777777" w:rsidTr="002B217A">
        <w:trPr>
          <w:trHeight w:val="70"/>
          <w:tblHeader/>
        </w:trPr>
        <w:tc>
          <w:tcPr>
            <w:tcW w:w="624" w:type="pct"/>
            <w:vMerge/>
            <w:vAlign w:val="center"/>
          </w:tcPr>
          <w:p w14:paraId="6A7EE21A" w14:textId="77777777" w:rsidR="00A62C19" w:rsidRPr="001677F9" w:rsidRDefault="00A62C19" w:rsidP="00AD1DC3">
            <w:pPr>
              <w:pStyle w:val="TableText0"/>
            </w:pPr>
          </w:p>
        </w:tc>
        <w:tc>
          <w:tcPr>
            <w:tcW w:w="4376" w:type="pct"/>
            <w:gridSpan w:val="6"/>
            <w:shd w:val="clear" w:color="auto" w:fill="FFFFFF" w:themeFill="background1"/>
          </w:tcPr>
          <w:p w14:paraId="20B4DFCE" w14:textId="77777777" w:rsidR="00A62C19" w:rsidRPr="001677F9" w:rsidRDefault="00A62C19" w:rsidP="00AD1DC3">
            <w:pPr>
              <w:pStyle w:val="TableText0"/>
              <w:rPr>
                <w:rFonts w:cs="Arial"/>
                <w:b/>
                <w:bCs w:val="0"/>
              </w:rPr>
            </w:pPr>
            <w:r w:rsidRPr="001677F9">
              <w:rPr>
                <w:rFonts w:cs="Arial"/>
                <w:b/>
                <w:bCs w:val="0"/>
              </w:rPr>
              <w:t>Secondary outcomes</w:t>
            </w:r>
          </w:p>
        </w:tc>
      </w:tr>
      <w:tr w:rsidR="00A62C19" w:rsidRPr="001677F9" w14:paraId="485192E2" w14:textId="77777777" w:rsidTr="002B217A">
        <w:trPr>
          <w:trHeight w:val="70"/>
          <w:tblHeader/>
        </w:trPr>
        <w:tc>
          <w:tcPr>
            <w:tcW w:w="624" w:type="pct"/>
            <w:vMerge/>
            <w:vAlign w:val="center"/>
          </w:tcPr>
          <w:p w14:paraId="0CA308AE" w14:textId="77777777" w:rsidR="00A62C19" w:rsidRPr="001677F9" w:rsidRDefault="00A62C19" w:rsidP="00AD1DC3">
            <w:pPr>
              <w:pStyle w:val="TableText0"/>
            </w:pPr>
          </w:p>
        </w:tc>
        <w:tc>
          <w:tcPr>
            <w:tcW w:w="1184" w:type="pct"/>
          </w:tcPr>
          <w:p w14:paraId="6590C3AA" w14:textId="77777777" w:rsidR="00A62C19" w:rsidRPr="001677F9" w:rsidRDefault="00A62C19" w:rsidP="00AD1DC3">
            <w:pPr>
              <w:pStyle w:val="TableText0"/>
              <w:rPr>
                <w:rFonts w:cs="Arial"/>
              </w:rPr>
            </w:pPr>
            <w:r w:rsidRPr="001677F9">
              <w:rPr>
                <w:rFonts w:cs="Arial"/>
              </w:rPr>
              <w:t>All-cause mortality</w:t>
            </w:r>
          </w:p>
        </w:tc>
        <w:tc>
          <w:tcPr>
            <w:tcW w:w="547" w:type="pct"/>
            <w:vAlign w:val="center"/>
          </w:tcPr>
          <w:p w14:paraId="7DAF4365" w14:textId="77777777" w:rsidR="00A62C19" w:rsidRPr="001677F9" w:rsidRDefault="00A62C19" w:rsidP="00AD1DC3">
            <w:pPr>
              <w:pStyle w:val="TableText0"/>
              <w:jc w:val="center"/>
              <w:rPr>
                <w:rFonts w:cs="Arial"/>
              </w:rPr>
            </w:pPr>
            <w:r w:rsidRPr="001677F9">
              <w:rPr>
                <w:rFonts w:cs="Arial"/>
              </w:rPr>
              <w:t>497 (15.9)</w:t>
            </w:r>
          </w:p>
        </w:tc>
        <w:tc>
          <w:tcPr>
            <w:tcW w:w="630" w:type="pct"/>
            <w:vAlign w:val="center"/>
          </w:tcPr>
          <w:p w14:paraId="47B97672" w14:textId="77777777" w:rsidR="00A62C19" w:rsidRPr="001677F9" w:rsidRDefault="00A62C19" w:rsidP="00AD1DC3">
            <w:pPr>
              <w:pStyle w:val="TableText0"/>
              <w:jc w:val="center"/>
              <w:rPr>
                <w:rFonts w:cs="Arial"/>
              </w:rPr>
            </w:pPr>
            <w:r w:rsidRPr="001677F9">
              <w:rPr>
                <w:rFonts w:cs="Arial"/>
              </w:rPr>
              <w:t>7.2</w:t>
            </w:r>
          </w:p>
        </w:tc>
        <w:tc>
          <w:tcPr>
            <w:tcW w:w="550" w:type="pct"/>
            <w:vAlign w:val="center"/>
          </w:tcPr>
          <w:p w14:paraId="3101DDE3" w14:textId="77777777" w:rsidR="00A62C19" w:rsidRPr="001677F9" w:rsidRDefault="00A62C19" w:rsidP="00AD1DC3">
            <w:pPr>
              <w:pStyle w:val="TableText0"/>
              <w:jc w:val="center"/>
              <w:rPr>
                <w:rFonts w:cs="Arial"/>
              </w:rPr>
            </w:pPr>
            <w:r w:rsidRPr="001677F9">
              <w:rPr>
                <w:rFonts w:cs="Arial"/>
              </w:rPr>
              <w:t>526 (16.8)</w:t>
            </w:r>
          </w:p>
        </w:tc>
        <w:tc>
          <w:tcPr>
            <w:tcW w:w="630" w:type="pct"/>
            <w:vAlign w:val="center"/>
          </w:tcPr>
          <w:p w14:paraId="2FAA2B93" w14:textId="77777777" w:rsidR="00A62C19" w:rsidRPr="001677F9" w:rsidRDefault="00A62C19" w:rsidP="00AD1DC3">
            <w:pPr>
              <w:pStyle w:val="TableText0"/>
              <w:jc w:val="center"/>
              <w:rPr>
                <w:rFonts w:cs="Arial"/>
              </w:rPr>
            </w:pPr>
            <w:r w:rsidRPr="001677F9">
              <w:rPr>
                <w:rFonts w:cs="Arial"/>
              </w:rPr>
              <w:t>7.6</w:t>
            </w:r>
          </w:p>
        </w:tc>
        <w:tc>
          <w:tcPr>
            <w:tcW w:w="835" w:type="pct"/>
            <w:vAlign w:val="center"/>
          </w:tcPr>
          <w:p w14:paraId="2E5685A3" w14:textId="77777777" w:rsidR="00A62C19" w:rsidRPr="001677F9" w:rsidRDefault="00A62C19" w:rsidP="00AD1DC3">
            <w:pPr>
              <w:pStyle w:val="TableText0"/>
              <w:jc w:val="center"/>
              <w:rPr>
                <w:rFonts w:cs="Arial"/>
              </w:rPr>
            </w:pPr>
            <w:r w:rsidRPr="001677F9">
              <w:rPr>
                <w:rFonts w:cs="Arial"/>
              </w:rPr>
              <w:t>0.94 (0.83, 1.07)</w:t>
            </w:r>
          </w:p>
        </w:tc>
      </w:tr>
      <w:tr w:rsidR="00A62C19" w:rsidRPr="001677F9" w14:paraId="7719DDB4" w14:textId="77777777" w:rsidTr="002B217A">
        <w:trPr>
          <w:tblHeader/>
        </w:trPr>
        <w:tc>
          <w:tcPr>
            <w:tcW w:w="624" w:type="pct"/>
            <w:vMerge/>
            <w:vAlign w:val="center"/>
          </w:tcPr>
          <w:p w14:paraId="7C7CCBAE" w14:textId="77777777" w:rsidR="00A62C19" w:rsidRPr="001677F9" w:rsidRDefault="00A62C19" w:rsidP="00AD1DC3">
            <w:pPr>
              <w:pStyle w:val="TableText0"/>
            </w:pPr>
          </w:p>
        </w:tc>
        <w:tc>
          <w:tcPr>
            <w:tcW w:w="1184" w:type="pct"/>
          </w:tcPr>
          <w:p w14:paraId="5A9EBB69" w14:textId="60DACC62" w:rsidR="00A62C19" w:rsidRPr="001677F9" w:rsidRDefault="00F322A4" w:rsidP="00AD1DC3">
            <w:pPr>
              <w:pStyle w:val="TableText0"/>
              <w:rPr>
                <w:b/>
                <w:bCs w:val="0"/>
              </w:rPr>
            </w:pPr>
            <w:r w:rsidRPr="001677F9">
              <w:rPr>
                <w:b/>
                <w:bCs w:val="0"/>
              </w:rPr>
              <w:t xml:space="preserve">Change from baseline at 8 months in the </w:t>
            </w:r>
            <w:r w:rsidR="00A62C19" w:rsidRPr="001677F9">
              <w:rPr>
                <w:b/>
                <w:bCs w:val="0"/>
              </w:rPr>
              <w:t>KCCQ Total Symptom Score</w:t>
            </w:r>
            <w:r w:rsidRPr="001677F9">
              <w:rPr>
                <w:b/>
                <w:bCs w:val="0"/>
              </w:rPr>
              <w:t xml:space="preserve"> </w:t>
            </w:r>
            <w:r w:rsidR="00AC4456" w:rsidRPr="001677F9">
              <w:rPr>
                <w:b/>
                <w:bCs w:val="0"/>
              </w:rPr>
              <w:t xml:space="preserve"> </w:t>
            </w:r>
          </w:p>
        </w:tc>
        <w:tc>
          <w:tcPr>
            <w:tcW w:w="1177" w:type="pct"/>
            <w:gridSpan w:val="2"/>
            <w:vAlign w:val="center"/>
          </w:tcPr>
          <w:p w14:paraId="168885E3" w14:textId="77777777" w:rsidR="00A62C19" w:rsidRPr="001677F9" w:rsidRDefault="00A62C19" w:rsidP="00AD1DC3">
            <w:pPr>
              <w:pStyle w:val="In-tableHeading"/>
              <w:jc w:val="center"/>
              <w:rPr>
                <w:lang w:val="en-AU"/>
              </w:rPr>
            </w:pPr>
            <w:r w:rsidRPr="001677F9">
              <w:rPr>
                <w:lang w:val="en-AU"/>
              </w:rPr>
              <w:t>Dapagliflozin</w:t>
            </w:r>
          </w:p>
          <w:p w14:paraId="0E8507AC" w14:textId="77777777" w:rsidR="00A62C19" w:rsidRPr="001677F9" w:rsidRDefault="00A62C19" w:rsidP="00AD1DC3">
            <w:pPr>
              <w:pStyle w:val="TableText0"/>
              <w:jc w:val="center"/>
            </w:pPr>
            <w:r w:rsidRPr="001677F9">
              <w:rPr>
                <w:b/>
                <w:bCs w:val="0"/>
              </w:rPr>
              <w:t>(N=1316)</w:t>
            </w:r>
          </w:p>
        </w:tc>
        <w:tc>
          <w:tcPr>
            <w:tcW w:w="1180" w:type="pct"/>
            <w:gridSpan w:val="2"/>
            <w:vAlign w:val="center"/>
          </w:tcPr>
          <w:p w14:paraId="2083F96C" w14:textId="77777777" w:rsidR="00A62C19" w:rsidRPr="001677F9" w:rsidRDefault="00A62C19" w:rsidP="00AD1DC3">
            <w:pPr>
              <w:pStyle w:val="TableText0"/>
              <w:jc w:val="center"/>
              <w:rPr>
                <w:b/>
                <w:bCs w:val="0"/>
              </w:rPr>
            </w:pPr>
            <w:r w:rsidRPr="001677F9">
              <w:rPr>
                <w:b/>
                <w:bCs w:val="0"/>
              </w:rPr>
              <w:t xml:space="preserve">Placebo </w:t>
            </w:r>
          </w:p>
          <w:p w14:paraId="020476F6" w14:textId="77777777" w:rsidR="00A62C19" w:rsidRPr="001677F9" w:rsidRDefault="00A62C19" w:rsidP="00AD1DC3">
            <w:pPr>
              <w:pStyle w:val="TableText0"/>
              <w:jc w:val="center"/>
            </w:pPr>
            <w:r w:rsidRPr="001677F9">
              <w:rPr>
                <w:b/>
                <w:bCs w:val="0"/>
              </w:rPr>
              <w:t>(N=1311)</w:t>
            </w:r>
          </w:p>
        </w:tc>
        <w:tc>
          <w:tcPr>
            <w:tcW w:w="835" w:type="pct"/>
            <w:vAlign w:val="center"/>
          </w:tcPr>
          <w:p w14:paraId="00545CDD" w14:textId="77777777" w:rsidR="00A62C19" w:rsidRPr="001677F9" w:rsidRDefault="00A62C19" w:rsidP="00AD1DC3">
            <w:pPr>
              <w:pStyle w:val="TableText0"/>
              <w:jc w:val="center"/>
              <w:rPr>
                <w:b/>
                <w:bCs w:val="0"/>
              </w:rPr>
            </w:pPr>
            <w:r w:rsidRPr="001677F9">
              <w:rPr>
                <w:b/>
                <w:bCs w:val="0"/>
              </w:rPr>
              <w:t xml:space="preserve">OR </w:t>
            </w:r>
          </w:p>
          <w:p w14:paraId="3F7B452E" w14:textId="77777777" w:rsidR="00A62C19" w:rsidRPr="001677F9" w:rsidRDefault="00A62C19" w:rsidP="00AD1DC3">
            <w:pPr>
              <w:pStyle w:val="TableText0"/>
              <w:jc w:val="center"/>
              <w:rPr>
                <w:b/>
                <w:bCs w:val="0"/>
              </w:rPr>
            </w:pPr>
            <w:r w:rsidRPr="001677F9">
              <w:rPr>
                <w:b/>
                <w:bCs w:val="0"/>
              </w:rPr>
              <w:t>(95% CI)</w:t>
            </w:r>
          </w:p>
        </w:tc>
      </w:tr>
      <w:tr w:rsidR="00A62C19" w:rsidRPr="001677F9" w14:paraId="369AE227" w14:textId="77777777" w:rsidTr="002B217A">
        <w:trPr>
          <w:tblHeader/>
        </w:trPr>
        <w:tc>
          <w:tcPr>
            <w:tcW w:w="624" w:type="pct"/>
            <w:vMerge/>
            <w:vAlign w:val="center"/>
          </w:tcPr>
          <w:p w14:paraId="365B36D5" w14:textId="77777777" w:rsidR="00A62C19" w:rsidRPr="001677F9" w:rsidRDefault="00A62C19" w:rsidP="00AD1DC3">
            <w:pPr>
              <w:pStyle w:val="TableText0"/>
            </w:pPr>
          </w:p>
        </w:tc>
        <w:tc>
          <w:tcPr>
            <w:tcW w:w="1184" w:type="pct"/>
            <w:shd w:val="clear" w:color="auto" w:fill="FFFFFF" w:themeFill="background1"/>
          </w:tcPr>
          <w:p w14:paraId="64534758" w14:textId="77777777" w:rsidR="00A62C19" w:rsidRPr="001677F9" w:rsidRDefault="00A62C19" w:rsidP="00AD1DC3">
            <w:pPr>
              <w:pStyle w:val="TableText0"/>
              <w:rPr>
                <w:b/>
                <w:bCs w:val="0"/>
              </w:rPr>
            </w:pPr>
            <w:r w:rsidRPr="001677F9">
              <w:rPr>
                <w:b/>
                <w:bCs w:val="0"/>
              </w:rPr>
              <w:t>Deterioration</w:t>
            </w:r>
          </w:p>
        </w:tc>
        <w:tc>
          <w:tcPr>
            <w:tcW w:w="1177" w:type="pct"/>
            <w:gridSpan w:val="2"/>
            <w:shd w:val="clear" w:color="auto" w:fill="FFFFFF" w:themeFill="background1"/>
          </w:tcPr>
          <w:p w14:paraId="69E4DD1F" w14:textId="77777777" w:rsidR="00A62C19" w:rsidRPr="001677F9" w:rsidRDefault="00A62C19" w:rsidP="00AD1DC3">
            <w:pPr>
              <w:pStyle w:val="TableText0"/>
              <w:jc w:val="center"/>
              <w:rPr>
                <w:b/>
                <w:bCs w:val="0"/>
              </w:rPr>
            </w:pPr>
            <w:r w:rsidRPr="001677F9">
              <w:rPr>
                <w:b/>
                <w:bCs w:val="0"/>
              </w:rPr>
              <w:t>n</w:t>
            </w:r>
            <w:r w:rsidRPr="001677F9">
              <w:rPr>
                <w:b/>
                <w:bCs w:val="0"/>
                <w:vertAlign w:val="superscript"/>
              </w:rPr>
              <w:t>d</w:t>
            </w:r>
            <w:r w:rsidRPr="001677F9">
              <w:rPr>
                <w:b/>
                <w:bCs w:val="0"/>
              </w:rPr>
              <w:t xml:space="preserve"> (%) deteriorated</w:t>
            </w:r>
          </w:p>
        </w:tc>
        <w:tc>
          <w:tcPr>
            <w:tcW w:w="1180" w:type="pct"/>
            <w:gridSpan w:val="2"/>
            <w:shd w:val="clear" w:color="auto" w:fill="FFFFFF" w:themeFill="background1"/>
          </w:tcPr>
          <w:p w14:paraId="0C03EC85" w14:textId="77777777" w:rsidR="00A62C19" w:rsidRPr="001677F9" w:rsidRDefault="00A62C19" w:rsidP="00AD1DC3">
            <w:pPr>
              <w:pStyle w:val="TableText0"/>
              <w:jc w:val="center"/>
              <w:rPr>
                <w:b/>
                <w:bCs w:val="0"/>
              </w:rPr>
            </w:pPr>
            <w:r w:rsidRPr="001677F9">
              <w:rPr>
                <w:b/>
                <w:bCs w:val="0"/>
              </w:rPr>
              <w:t>n</w:t>
            </w:r>
            <w:r w:rsidRPr="001677F9">
              <w:rPr>
                <w:b/>
                <w:bCs w:val="0"/>
                <w:vertAlign w:val="superscript"/>
              </w:rPr>
              <w:t>d</w:t>
            </w:r>
            <w:r w:rsidRPr="001677F9">
              <w:rPr>
                <w:b/>
                <w:bCs w:val="0"/>
              </w:rPr>
              <w:t xml:space="preserve"> (%) deteriorated</w:t>
            </w:r>
          </w:p>
        </w:tc>
        <w:tc>
          <w:tcPr>
            <w:tcW w:w="835" w:type="pct"/>
            <w:shd w:val="clear" w:color="auto" w:fill="FFFFFF" w:themeFill="background1"/>
          </w:tcPr>
          <w:p w14:paraId="0D956045" w14:textId="77777777" w:rsidR="00A62C19" w:rsidRPr="001677F9" w:rsidRDefault="00A62C19" w:rsidP="00AD1DC3">
            <w:pPr>
              <w:pStyle w:val="TableText0"/>
              <w:jc w:val="center"/>
              <w:rPr>
                <w:b/>
                <w:bCs w:val="0"/>
                <w:vertAlign w:val="superscript"/>
              </w:rPr>
            </w:pPr>
            <w:r w:rsidRPr="001677F9">
              <w:rPr>
                <w:b/>
                <w:bCs w:val="0"/>
                <w:vertAlign w:val="superscript"/>
              </w:rPr>
              <w:t>e</w:t>
            </w:r>
          </w:p>
        </w:tc>
      </w:tr>
      <w:tr w:rsidR="00A62C19" w:rsidRPr="001677F9" w14:paraId="27F41EBA" w14:textId="77777777" w:rsidTr="002B217A">
        <w:trPr>
          <w:tblHeader/>
        </w:trPr>
        <w:tc>
          <w:tcPr>
            <w:tcW w:w="624" w:type="pct"/>
            <w:vMerge/>
            <w:vAlign w:val="center"/>
          </w:tcPr>
          <w:p w14:paraId="6EE2B6A6" w14:textId="77777777" w:rsidR="00A62C19" w:rsidRPr="001677F9" w:rsidRDefault="00A62C19" w:rsidP="00AD1DC3">
            <w:pPr>
              <w:pStyle w:val="TableText0"/>
            </w:pPr>
          </w:p>
        </w:tc>
        <w:tc>
          <w:tcPr>
            <w:tcW w:w="1184" w:type="pct"/>
          </w:tcPr>
          <w:p w14:paraId="0A85FF43" w14:textId="77777777" w:rsidR="00A62C19" w:rsidRPr="001677F9" w:rsidRDefault="00A62C19" w:rsidP="00AD1DC3">
            <w:pPr>
              <w:pStyle w:val="TableText0"/>
              <w:rPr>
                <w:rFonts w:cs="Arial"/>
              </w:rPr>
            </w:pPr>
            <w:r w:rsidRPr="001677F9">
              <w:rPr>
                <w:rFonts w:cs="Arial"/>
              </w:rPr>
              <w:t>≥5 points (moderate)</w:t>
            </w:r>
          </w:p>
        </w:tc>
        <w:tc>
          <w:tcPr>
            <w:tcW w:w="1177" w:type="pct"/>
            <w:gridSpan w:val="2"/>
            <w:vAlign w:val="center"/>
          </w:tcPr>
          <w:p w14:paraId="519E51AE" w14:textId="77777777" w:rsidR="00A62C19" w:rsidRPr="001677F9" w:rsidRDefault="00A62C19" w:rsidP="00AD1DC3">
            <w:pPr>
              <w:pStyle w:val="TableText0"/>
              <w:jc w:val="center"/>
              <w:rPr>
                <w:rFonts w:cs="Arial"/>
              </w:rPr>
            </w:pPr>
            <w:r w:rsidRPr="001677F9">
              <w:rPr>
                <w:rFonts w:cs="Arial"/>
              </w:rPr>
              <w:t>264 (24.1)</w:t>
            </w:r>
          </w:p>
        </w:tc>
        <w:tc>
          <w:tcPr>
            <w:tcW w:w="1180" w:type="pct"/>
            <w:gridSpan w:val="2"/>
            <w:vAlign w:val="center"/>
          </w:tcPr>
          <w:p w14:paraId="41B05DB9" w14:textId="77777777" w:rsidR="00A62C19" w:rsidRPr="001677F9" w:rsidRDefault="00A62C19" w:rsidP="00AD1DC3">
            <w:pPr>
              <w:pStyle w:val="TableText0"/>
              <w:jc w:val="center"/>
              <w:rPr>
                <w:rFonts w:cs="Arial"/>
              </w:rPr>
            </w:pPr>
            <w:r w:rsidRPr="001677F9">
              <w:rPr>
                <w:rFonts w:cs="Arial"/>
              </w:rPr>
              <w:t>317 (29.1)</w:t>
            </w:r>
          </w:p>
        </w:tc>
        <w:tc>
          <w:tcPr>
            <w:tcW w:w="835" w:type="pct"/>
          </w:tcPr>
          <w:p w14:paraId="2608500F" w14:textId="77777777" w:rsidR="00A62C19" w:rsidRPr="001677F9" w:rsidRDefault="00A62C19" w:rsidP="00AD1DC3">
            <w:pPr>
              <w:pStyle w:val="TableText0"/>
              <w:jc w:val="center"/>
              <w:rPr>
                <w:rFonts w:cs="Arial"/>
                <w:b/>
                <w:bCs w:val="0"/>
              </w:rPr>
            </w:pPr>
            <w:r w:rsidRPr="001677F9">
              <w:rPr>
                <w:rFonts w:cs="Arial"/>
                <w:b/>
                <w:bCs w:val="0"/>
              </w:rPr>
              <w:t>0.78 (0.64, 0.95)</w:t>
            </w:r>
          </w:p>
        </w:tc>
      </w:tr>
      <w:tr w:rsidR="00A62C19" w:rsidRPr="001677F9" w14:paraId="0381C497" w14:textId="77777777" w:rsidTr="002B217A">
        <w:trPr>
          <w:tblHeader/>
        </w:trPr>
        <w:tc>
          <w:tcPr>
            <w:tcW w:w="624" w:type="pct"/>
            <w:vMerge/>
            <w:vAlign w:val="center"/>
          </w:tcPr>
          <w:p w14:paraId="5B4B7FCA" w14:textId="77777777" w:rsidR="00A62C19" w:rsidRPr="001677F9" w:rsidRDefault="00A62C19" w:rsidP="00AD1DC3">
            <w:pPr>
              <w:pStyle w:val="TableText0"/>
            </w:pPr>
          </w:p>
        </w:tc>
        <w:tc>
          <w:tcPr>
            <w:tcW w:w="1184" w:type="pct"/>
          </w:tcPr>
          <w:p w14:paraId="7A724763" w14:textId="77777777" w:rsidR="00A62C19" w:rsidRPr="001677F9" w:rsidRDefault="00A62C19" w:rsidP="00AD1DC3">
            <w:pPr>
              <w:pStyle w:val="TableText0"/>
              <w:rPr>
                <w:rFonts w:cs="Arial"/>
              </w:rPr>
            </w:pPr>
            <w:r w:rsidRPr="001677F9">
              <w:rPr>
                <w:rFonts w:cs="Arial"/>
              </w:rPr>
              <w:t>≥14 points (large)</w:t>
            </w:r>
          </w:p>
        </w:tc>
        <w:tc>
          <w:tcPr>
            <w:tcW w:w="1177" w:type="pct"/>
            <w:gridSpan w:val="2"/>
            <w:vAlign w:val="center"/>
          </w:tcPr>
          <w:p w14:paraId="0D29AD75" w14:textId="77777777" w:rsidR="00A62C19" w:rsidRPr="001677F9" w:rsidRDefault="00A62C19" w:rsidP="00AD1DC3">
            <w:pPr>
              <w:pStyle w:val="TableText0"/>
              <w:jc w:val="center"/>
              <w:rPr>
                <w:rFonts w:cs="Arial"/>
              </w:rPr>
            </w:pPr>
            <w:r w:rsidRPr="001677F9">
              <w:rPr>
                <w:rFonts w:cs="Arial"/>
              </w:rPr>
              <w:t>148 (13.5)</w:t>
            </w:r>
          </w:p>
        </w:tc>
        <w:tc>
          <w:tcPr>
            <w:tcW w:w="1180" w:type="pct"/>
            <w:gridSpan w:val="2"/>
            <w:vAlign w:val="center"/>
          </w:tcPr>
          <w:p w14:paraId="12F02B29" w14:textId="77777777" w:rsidR="00A62C19" w:rsidRPr="001677F9" w:rsidRDefault="00A62C19" w:rsidP="00AD1DC3">
            <w:pPr>
              <w:pStyle w:val="TableText0"/>
              <w:jc w:val="center"/>
              <w:rPr>
                <w:rFonts w:cs="Arial"/>
              </w:rPr>
            </w:pPr>
            <w:r w:rsidRPr="001677F9">
              <w:rPr>
                <w:rFonts w:cs="Arial"/>
              </w:rPr>
              <w:t>201 (18.4)</w:t>
            </w:r>
          </w:p>
        </w:tc>
        <w:tc>
          <w:tcPr>
            <w:tcW w:w="835" w:type="pct"/>
          </w:tcPr>
          <w:p w14:paraId="22B48C94" w14:textId="77777777" w:rsidR="00A62C19" w:rsidRPr="001677F9" w:rsidRDefault="00A62C19" w:rsidP="00AD1DC3">
            <w:pPr>
              <w:pStyle w:val="TableText0"/>
              <w:jc w:val="center"/>
              <w:rPr>
                <w:rFonts w:cs="Arial"/>
                <w:b/>
                <w:bCs w:val="0"/>
              </w:rPr>
            </w:pPr>
            <w:r w:rsidRPr="001677F9">
              <w:rPr>
                <w:rFonts w:cs="Arial"/>
                <w:b/>
                <w:bCs w:val="0"/>
              </w:rPr>
              <w:t>0.70 (0.55, 0.88)</w:t>
            </w:r>
          </w:p>
        </w:tc>
      </w:tr>
      <w:tr w:rsidR="00A62C19" w:rsidRPr="001677F9" w14:paraId="20F54638" w14:textId="77777777" w:rsidTr="002B217A">
        <w:trPr>
          <w:tblHeader/>
        </w:trPr>
        <w:tc>
          <w:tcPr>
            <w:tcW w:w="624" w:type="pct"/>
            <w:vMerge/>
            <w:vAlign w:val="center"/>
          </w:tcPr>
          <w:p w14:paraId="245F7886" w14:textId="77777777" w:rsidR="00A62C19" w:rsidRPr="001677F9" w:rsidRDefault="00A62C19" w:rsidP="00AD1DC3">
            <w:pPr>
              <w:pStyle w:val="TableText0"/>
            </w:pPr>
          </w:p>
        </w:tc>
        <w:tc>
          <w:tcPr>
            <w:tcW w:w="1184" w:type="pct"/>
            <w:shd w:val="clear" w:color="auto" w:fill="FFFFFF" w:themeFill="background1"/>
          </w:tcPr>
          <w:p w14:paraId="7D9F71D6" w14:textId="77777777" w:rsidR="00A62C19" w:rsidRPr="001677F9" w:rsidRDefault="00A62C19" w:rsidP="00AD1DC3">
            <w:pPr>
              <w:pStyle w:val="TableText0"/>
              <w:rPr>
                <w:rFonts w:cs="Arial"/>
                <w:b/>
                <w:bCs w:val="0"/>
              </w:rPr>
            </w:pPr>
            <w:r w:rsidRPr="001677F9">
              <w:rPr>
                <w:rFonts w:cs="Arial"/>
                <w:b/>
                <w:bCs w:val="0"/>
              </w:rPr>
              <w:t>Improvement</w:t>
            </w:r>
          </w:p>
        </w:tc>
        <w:tc>
          <w:tcPr>
            <w:tcW w:w="1177" w:type="pct"/>
            <w:gridSpan w:val="2"/>
            <w:shd w:val="clear" w:color="auto" w:fill="FFFFFF" w:themeFill="background1"/>
          </w:tcPr>
          <w:p w14:paraId="68DF11AE" w14:textId="77777777" w:rsidR="00A62C19" w:rsidRPr="001677F9" w:rsidRDefault="00A62C19" w:rsidP="00AD1DC3">
            <w:pPr>
              <w:pStyle w:val="TableText0"/>
              <w:jc w:val="center"/>
              <w:rPr>
                <w:rFonts w:cs="Arial"/>
                <w:b/>
                <w:bCs w:val="0"/>
              </w:rPr>
            </w:pPr>
            <w:r w:rsidRPr="001677F9">
              <w:rPr>
                <w:rFonts w:cs="Arial"/>
                <w:b/>
                <w:bCs w:val="0"/>
              </w:rPr>
              <w:t>n</w:t>
            </w:r>
            <w:r w:rsidRPr="001677F9">
              <w:rPr>
                <w:rFonts w:cs="Arial"/>
                <w:b/>
                <w:bCs w:val="0"/>
                <w:vertAlign w:val="superscript"/>
              </w:rPr>
              <w:t>f</w:t>
            </w:r>
            <w:r w:rsidRPr="001677F9">
              <w:rPr>
                <w:rFonts w:cs="Arial"/>
                <w:b/>
                <w:bCs w:val="0"/>
              </w:rPr>
              <w:t xml:space="preserve"> (%) improved</w:t>
            </w:r>
          </w:p>
        </w:tc>
        <w:tc>
          <w:tcPr>
            <w:tcW w:w="1180" w:type="pct"/>
            <w:gridSpan w:val="2"/>
            <w:shd w:val="clear" w:color="auto" w:fill="FFFFFF" w:themeFill="background1"/>
          </w:tcPr>
          <w:p w14:paraId="50B632A0" w14:textId="3701572D" w:rsidR="00A62C19" w:rsidRPr="001677F9" w:rsidRDefault="00A62C19" w:rsidP="00AD1DC3">
            <w:pPr>
              <w:pStyle w:val="TableText0"/>
              <w:jc w:val="center"/>
              <w:rPr>
                <w:rFonts w:cs="Arial"/>
                <w:b/>
                <w:bCs w:val="0"/>
              </w:rPr>
            </w:pPr>
            <w:r w:rsidRPr="001677F9">
              <w:rPr>
                <w:rFonts w:cs="Arial"/>
                <w:b/>
                <w:bCs w:val="0"/>
              </w:rPr>
              <w:t>n</w:t>
            </w:r>
            <w:r w:rsidRPr="001677F9">
              <w:rPr>
                <w:rFonts w:cs="Arial"/>
                <w:b/>
                <w:bCs w:val="0"/>
                <w:vertAlign w:val="superscript"/>
              </w:rPr>
              <w:t>f</w:t>
            </w:r>
            <w:r w:rsidRPr="001677F9">
              <w:rPr>
                <w:rFonts w:cs="Arial"/>
                <w:b/>
                <w:bCs w:val="0"/>
              </w:rPr>
              <w:t xml:space="preserve"> (%) improved</w:t>
            </w:r>
          </w:p>
        </w:tc>
        <w:tc>
          <w:tcPr>
            <w:tcW w:w="835" w:type="pct"/>
            <w:shd w:val="clear" w:color="auto" w:fill="FFFFFF" w:themeFill="background1"/>
          </w:tcPr>
          <w:p w14:paraId="78C10BF9" w14:textId="77777777" w:rsidR="00A62C19" w:rsidRPr="001677F9" w:rsidRDefault="00A62C19" w:rsidP="00AD1DC3">
            <w:pPr>
              <w:pStyle w:val="TableText0"/>
              <w:jc w:val="center"/>
              <w:rPr>
                <w:rFonts w:cs="Arial"/>
                <w:b/>
                <w:bCs w:val="0"/>
                <w:vertAlign w:val="superscript"/>
              </w:rPr>
            </w:pPr>
            <w:r w:rsidRPr="001677F9">
              <w:rPr>
                <w:rFonts w:cs="Arial"/>
                <w:b/>
                <w:bCs w:val="0"/>
                <w:vertAlign w:val="superscript"/>
              </w:rPr>
              <w:t>g</w:t>
            </w:r>
          </w:p>
        </w:tc>
      </w:tr>
      <w:tr w:rsidR="00A62C19" w:rsidRPr="001677F9" w14:paraId="777DCF31" w14:textId="77777777" w:rsidTr="002B217A">
        <w:trPr>
          <w:tblHeader/>
        </w:trPr>
        <w:tc>
          <w:tcPr>
            <w:tcW w:w="624" w:type="pct"/>
            <w:vMerge/>
            <w:vAlign w:val="center"/>
          </w:tcPr>
          <w:p w14:paraId="7C93A86F" w14:textId="77777777" w:rsidR="00A62C19" w:rsidRPr="001677F9" w:rsidRDefault="00A62C19" w:rsidP="00AD1DC3">
            <w:pPr>
              <w:pStyle w:val="TableText0"/>
            </w:pPr>
          </w:p>
        </w:tc>
        <w:tc>
          <w:tcPr>
            <w:tcW w:w="1184" w:type="pct"/>
          </w:tcPr>
          <w:p w14:paraId="47B19F36" w14:textId="77777777" w:rsidR="00A62C19" w:rsidRPr="001677F9" w:rsidRDefault="00A62C19" w:rsidP="00AD1DC3">
            <w:pPr>
              <w:pStyle w:val="TableText0"/>
              <w:rPr>
                <w:rFonts w:cs="Arial"/>
              </w:rPr>
            </w:pPr>
            <w:r w:rsidRPr="001677F9">
              <w:rPr>
                <w:rFonts w:cs="Arial"/>
              </w:rPr>
              <w:t>≥13 points (small to moderate)</w:t>
            </w:r>
          </w:p>
        </w:tc>
        <w:tc>
          <w:tcPr>
            <w:tcW w:w="1177" w:type="pct"/>
            <w:gridSpan w:val="2"/>
            <w:vAlign w:val="center"/>
          </w:tcPr>
          <w:p w14:paraId="0435C23F" w14:textId="77777777" w:rsidR="00A62C19" w:rsidRPr="001677F9" w:rsidRDefault="00A62C19" w:rsidP="00AD1DC3">
            <w:pPr>
              <w:pStyle w:val="TableText0"/>
              <w:jc w:val="center"/>
              <w:rPr>
                <w:rFonts w:cs="Arial"/>
              </w:rPr>
            </w:pPr>
            <w:r w:rsidRPr="001677F9">
              <w:rPr>
                <w:rFonts w:cs="Arial"/>
              </w:rPr>
              <w:t>531 (48.4)</w:t>
            </w:r>
          </w:p>
        </w:tc>
        <w:tc>
          <w:tcPr>
            <w:tcW w:w="1180" w:type="pct"/>
            <w:gridSpan w:val="2"/>
            <w:vAlign w:val="center"/>
          </w:tcPr>
          <w:p w14:paraId="1D69A662" w14:textId="77777777" w:rsidR="00A62C19" w:rsidRPr="001677F9" w:rsidRDefault="00A62C19" w:rsidP="00AD1DC3">
            <w:pPr>
              <w:pStyle w:val="TableText0"/>
              <w:jc w:val="center"/>
              <w:rPr>
                <w:rFonts w:cs="Arial"/>
              </w:rPr>
            </w:pPr>
            <w:r w:rsidRPr="001677F9">
              <w:rPr>
                <w:rFonts w:cs="Arial"/>
              </w:rPr>
              <w:t>498 (45.6)</w:t>
            </w:r>
          </w:p>
        </w:tc>
        <w:tc>
          <w:tcPr>
            <w:tcW w:w="835" w:type="pct"/>
            <w:vAlign w:val="center"/>
          </w:tcPr>
          <w:p w14:paraId="7920B99E" w14:textId="77777777" w:rsidR="00A62C19" w:rsidRPr="001677F9" w:rsidRDefault="00A62C19" w:rsidP="00AD1DC3">
            <w:pPr>
              <w:pStyle w:val="TableText0"/>
              <w:jc w:val="center"/>
              <w:rPr>
                <w:rFonts w:cs="Arial"/>
              </w:rPr>
            </w:pPr>
            <w:r w:rsidRPr="001677F9">
              <w:rPr>
                <w:rFonts w:cs="Arial"/>
              </w:rPr>
              <w:t>1.13 (0.95, 1.33)</w:t>
            </w:r>
          </w:p>
        </w:tc>
      </w:tr>
      <w:tr w:rsidR="00A62C19" w:rsidRPr="001677F9" w14:paraId="11DFB8A7" w14:textId="77777777" w:rsidTr="002B217A">
        <w:trPr>
          <w:tblHeader/>
        </w:trPr>
        <w:tc>
          <w:tcPr>
            <w:tcW w:w="624" w:type="pct"/>
            <w:vMerge/>
            <w:vAlign w:val="center"/>
          </w:tcPr>
          <w:p w14:paraId="3082811D" w14:textId="77777777" w:rsidR="00A62C19" w:rsidRPr="001677F9" w:rsidRDefault="00A62C19" w:rsidP="00AD1DC3">
            <w:pPr>
              <w:pStyle w:val="TableText0"/>
            </w:pPr>
          </w:p>
        </w:tc>
        <w:tc>
          <w:tcPr>
            <w:tcW w:w="1184" w:type="pct"/>
          </w:tcPr>
          <w:p w14:paraId="19A0082F" w14:textId="77777777" w:rsidR="00A62C19" w:rsidRPr="001677F9" w:rsidRDefault="00A62C19" w:rsidP="00AD1DC3">
            <w:pPr>
              <w:pStyle w:val="TableText0"/>
              <w:rPr>
                <w:rFonts w:cs="Arial"/>
              </w:rPr>
            </w:pPr>
            <w:r w:rsidRPr="001677F9">
              <w:rPr>
                <w:rFonts w:cs="Arial"/>
              </w:rPr>
              <w:t>≥17 points (large)</w:t>
            </w:r>
          </w:p>
        </w:tc>
        <w:tc>
          <w:tcPr>
            <w:tcW w:w="1177" w:type="pct"/>
            <w:gridSpan w:val="2"/>
            <w:vAlign w:val="center"/>
          </w:tcPr>
          <w:p w14:paraId="2B66B3F7" w14:textId="77777777" w:rsidR="00A62C19" w:rsidRPr="001677F9" w:rsidRDefault="00A62C19" w:rsidP="00AD1DC3">
            <w:pPr>
              <w:pStyle w:val="TableText0"/>
              <w:jc w:val="center"/>
              <w:rPr>
                <w:rFonts w:cs="Arial"/>
              </w:rPr>
            </w:pPr>
            <w:r w:rsidRPr="001677F9">
              <w:rPr>
                <w:rFonts w:cs="Arial"/>
              </w:rPr>
              <w:t>486 (44.3)</w:t>
            </w:r>
          </w:p>
        </w:tc>
        <w:tc>
          <w:tcPr>
            <w:tcW w:w="1180" w:type="pct"/>
            <w:gridSpan w:val="2"/>
            <w:vAlign w:val="center"/>
          </w:tcPr>
          <w:p w14:paraId="1E12C9BF" w14:textId="77777777" w:rsidR="00A62C19" w:rsidRPr="001677F9" w:rsidRDefault="00A62C19" w:rsidP="00AD1DC3">
            <w:pPr>
              <w:pStyle w:val="TableText0"/>
              <w:jc w:val="center"/>
              <w:rPr>
                <w:rFonts w:cs="Arial"/>
              </w:rPr>
            </w:pPr>
            <w:r w:rsidRPr="001677F9">
              <w:rPr>
                <w:rFonts w:cs="Arial"/>
              </w:rPr>
              <w:t>478 (43.8)</w:t>
            </w:r>
          </w:p>
        </w:tc>
        <w:tc>
          <w:tcPr>
            <w:tcW w:w="835" w:type="pct"/>
            <w:vAlign w:val="center"/>
          </w:tcPr>
          <w:p w14:paraId="51D27502" w14:textId="77777777" w:rsidR="00A62C19" w:rsidRPr="001677F9" w:rsidRDefault="00A62C19" w:rsidP="00AD1DC3">
            <w:pPr>
              <w:pStyle w:val="TableText0"/>
              <w:jc w:val="center"/>
              <w:rPr>
                <w:rFonts w:cs="Arial"/>
              </w:rPr>
            </w:pPr>
            <w:r w:rsidRPr="001677F9">
              <w:rPr>
                <w:rFonts w:cs="Arial"/>
              </w:rPr>
              <w:t>1.06 (0.89, 1.26)</w:t>
            </w:r>
          </w:p>
        </w:tc>
      </w:tr>
    </w:tbl>
    <w:p w14:paraId="41BFCE25" w14:textId="5EDCB3B7" w:rsidR="00392F00" w:rsidRPr="001677F9" w:rsidRDefault="00392F00" w:rsidP="007C6C80">
      <w:pPr>
        <w:pStyle w:val="TableFooter"/>
        <w:rPr>
          <w:szCs w:val="18"/>
        </w:rPr>
      </w:pPr>
      <w:r w:rsidRPr="001677F9">
        <w:rPr>
          <w:szCs w:val="18"/>
        </w:rPr>
        <w:t>Source: Table 2.5-2, pp65-66 of the submission, Table 14.2.2.1 in dapagliflozin CSR, Table 2.5-4, p73 of the submission, Table 2.5-6,</w:t>
      </w:r>
      <w:r w:rsidR="00A62C19" w:rsidRPr="001677F9">
        <w:rPr>
          <w:szCs w:val="18"/>
        </w:rPr>
        <w:t xml:space="preserve"> </w:t>
      </w:r>
      <w:r w:rsidRPr="001677F9">
        <w:rPr>
          <w:szCs w:val="18"/>
        </w:rPr>
        <w:t>p75 of the submission, Table 2.5-10, pp78-79 of the submission.</w:t>
      </w:r>
    </w:p>
    <w:p w14:paraId="76543F2C" w14:textId="72F9BF12" w:rsidR="00392F00" w:rsidRPr="001677F9" w:rsidRDefault="002A0F05" w:rsidP="007C6C80">
      <w:pPr>
        <w:pStyle w:val="TableFooter"/>
        <w:rPr>
          <w:rFonts w:eastAsia="Calibri"/>
          <w:szCs w:val="18"/>
        </w:rPr>
      </w:pPr>
      <w:r w:rsidRPr="001677F9">
        <w:rPr>
          <w:szCs w:val="18"/>
        </w:rPr>
        <w:t>CI = confidence interval</w:t>
      </w:r>
      <w:r w:rsidR="00CB63E1" w:rsidRPr="001677F9">
        <w:rPr>
          <w:szCs w:val="18"/>
        </w:rPr>
        <w:t xml:space="preserve">; </w:t>
      </w:r>
      <w:r w:rsidR="00392F00" w:rsidRPr="001677F9">
        <w:rPr>
          <w:szCs w:val="18"/>
        </w:rPr>
        <w:t>CV = cardiovascular</w:t>
      </w:r>
      <w:r w:rsidR="00CB63E1" w:rsidRPr="001677F9">
        <w:rPr>
          <w:szCs w:val="18"/>
        </w:rPr>
        <w:t>;</w:t>
      </w:r>
      <w:r w:rsidR="00392F00" w:rsidRPr="001677F9">
        <w:rPr>
          <w:szCs w:val="18"/>
        </w:rPr>
        <w:t xml:space="preserve"> HF = heart failur</w:t>
      </w:r>
      <w:r w:rsidR="00CB63E1" w:rsidRPr="001677F9">
        <w:rPr>
          <w:szCs w:val="18"/>
        </w:rPr>
        <w:t>e;</w:t>
      </w:r>
      <w:r w:rsidR="00392F00" w:rsidRPr="001677F9">
        <w:rPr>
          <w:rFonts w:eastAsia="Calibri"/>
          <w:szCs w:val="18"/>
        </w:rPr>
        <w:t xml:space="preserve"> FAS = full analysis set</w:t>
      </w:r>
      <w:r w:rsidR="00CB63E1" w:rsidRPr="001677F9">
        <w:rPr>
          <w:rFonts w:eastAsia="Calibri"/>
          <w:szCs w:val="18"/>
        </w:rPr>
        <w:t>;</w:t>
      </w:r>
      <w:r w:rsidR="00392F00" w:rsidRPr="001677F9">
        <w:rPr>
          <w:rFonts w:eastAsia="Calibri"/>
          <w:szCs w:val="18"/>
        </w:rPr>
        <w:t xml:space="preserve"> </w:t>
      </w:r>
      <w:r w:rsidR="00392F00" w:rsidRPr="001677F9">
        <w:t>KCCQ = Kansas City Cardiomyopathy Questionnaire</w:t>
      </w:r>
      <w:r w:rsidR="00CB63E1" w:rsidRPr="001677F9">
        <w:t>;</w:t>
      </w:r>
      <w:r w:rsidR="00392F00" w:rsidRPr="001677F9">
        <w:rPr>
          <w:rFonts w:eastAsia="Calibri"/>
          <w:szCs w:val="18"/>
        </w:rPr>
        <w:t xml:space="preserve"> n = number of participants reporting data</w:t>
      </w:r>
      <w:r w:rsidR="00CB63E1" w:rsidRPr="001677F9">
        <w:rPr>
          <w:rFonts w:eastAsia="Calibri"/>
          <w:szCs w:val="18"/>
        </w:rPr>
        <w:t>’ OR = odds ratio.</w:t>
      </w:r>
    </w:p>
    <w:p w14:paraId="1908841B" w14:textId="77777777" w:rsidR="00392F00" w:rsidRPr="001677F9" w:rsidRDefault="00392F00" w:rsidP="007C6C80">
      <w:pPr>
        <w:contextualSpacing/>
        <w:jc w:val="left"/>
        <w:rPr>
          <w:rFonts w:ascii="Arial Narrow" w:hAnsi="Arial Narrow"/>
          <w:sz w:val="18"/>
          <w:szCs w:val="18"/>
        </w:rPr>
      </w:pPr>
      <w:proofErr w:type="gramStart"/>
      <w:r w:rsidRPr="001677F9">
        <w:rPr>
          <w:rFonts w:ascii="Arial Narrow" w:hAnsi="Arial Narrow"/>
          <w:sz w:val="18"/>
          <w:szCs w:val="18"/>
          <w:vertAlign w:val="superscript"/>
        </w:rPr>
        <w:t>a</w:t>
      </w:r>
      <w:proofErr w:type="gramEnd"/>
      <w:r w:rsidRPr="001677F9">
        <w:rPr>
          <w:rFonts w:ascii="Arial Narrow" w:hAnsi="Arial Narrow"/>
          <w:sz w:val="18"/>
          <w:szCs w:val="18"/>
        </w:rPr>
        <w:t xml:space="preserve"> Incorrectly reported as 0.91 in the submission</w:t>
      </w:r>
    </w:p>
    <w:p w14:paraId="76C0C2DE" w14:textId="00ADF1C0" w:rsidR="00392F00" w:rsidRPr="001677F9" w:rsidRDefault="00392F00" w:rsidP="007C6C80">
      <w:pPr>
        <w:contextualSpacing/>
        <w:jc w:val="left"/>
        <w:rPr>
          <w:rFonts w:ascii="Arial Narrow" w:hAnsi="Arial Narrow"/>
          <w:iCs/>
          <w:sz w:val="18"/>
          <w:szCs w:val="18"/>
        </w:rPr>
      </w:pPr>
      <w:r w:rsidRPr="001677F9">
        <w:rPr>
          <w:rFonts w:ascii="Arial Narrow" w:hAnsi="Arial Narrow"/>
          <w:iCs/>
          <w:sz w:val="18"/>
          <w:szCs w:val="18"/>
          <w:vertAlign w:val="superscript"/>
        </w:rPr>
        <w:t xml:space="preserve">b </w:t>
      </w:r>
      <w:proofErr w:type="gramStart"/>
      <w:r w:rsidRPr="001677F9">
        <w:rPr>
          <w:rFonts w:ascii="Arial Narrow" w:hAnsi="Arial Narrow" w:cs="TimesNewRomanPSMT"/>
          <w:iCs/>
          <w:sz w:val="18"/>
          <w:szCs w:val="18"/>
        </w:rPr>
        <w:t>The</w:t>
      </w:r>
      <w:proofErr w:type="gramEnd"/>
      <w:r w:rsidRPr="001677F9">
        <w:rPr>
          <w:rFonts w:ascii="Arial Narrow" w:hAnsi="Arial Narrow" w:cs="TimesNewRomanPSMT"/>
          <w:iCs/>
          <w:sz w:val="18"/>
          <w:szCs w:val="18"/>
        </w:rPr>
        <w:t xml:space="preserve"> number of events for the individual components are </w:t>
      </w:r>
      <w:r w:rsidR="002A0F05" w:rsidRPr="001677F9">
        <w:rPr>
          <w:rFonts w:ascii="Arial Narrow" w:hAnsi="Arial Narrow" w:cs="TimesNewRomanPSMT"/>
          <w:iCs/>
          <w:sz w:val="18"/>
          <w:szCs w:val="18"/>
        </w:rPr>
        <w:t xml:space="preserve">reported to be </w:t>
      </w:r>
      <w:r w:rsidRPr="001677F9">
        <w:rPr>
          <w:rFonts w:ascii="Arial Narrow" w:hAnsi="Arial Narrow" w:cs="TimesNewRomanPSMT"/>
          <w:iCs/>
          <w:sz w:val="18"/>
          <w:szCs w:val="18"/>
        </w:rPr>
        <w:t>the actual number of first events for each component and their sum exceeds the number of events for the composite endpoint</w:t>
      </w:r>
    </w:p>
    <w:p w14:paraId="5C00AE4A" w14:textId="77777777" w:rsidR="00392F00" w:rsidRPr="001677F9" w:rsidRDefault="00392F00" w:rsidP="007C6C80">
      <w:pPr>
        <w:contextualSpacing/>
        <w:jc w:val="left"/>
        <w:rPr>
          <w:rFonts w:ascii="Arial Narrow" w:hAnsi="Arial Narrow"/>
          <w:sz w:val="18"/>
          <w:szCs w:val="18"/>
        </w:rPr>
      </w:pPr>
      <w:r w:rsidRPr="001677F9">
        <w:rPr>
          <w:rFonts w:ascii="Arial Narrow" w:hAnsi="Arial Narrow"/>
          <w:sz w:val="18"/>
          <w:szCs w:val="18"/>
          <w:vertAlign w:val="superscript"/>
        </w:rPr>
        <w:t xml:space="preserve">c </w:t>
      </w:r>
      <w:r w:rsidRPr="001677F9">
        <w:rPr>
          <w:rFonts w:ascii="Arial Narrow" w:hAnsi="Arial Narrow"/>
          <w:sz w:val="18"/>
          <w:szCs w:val="18"/>
        </w:rPr>
        <w:t>An HF event includes hospitalisations for HF and urgent HF visits.</w:t>
      </w:r>
    </w:p>
    <w:p w14:paraId="212B3F9A" w14:textId="77777777" w:rsidR="00392F00" w:rsidRPr="001677F9" w:rsidRDefault="00392F00" w:rsidP="007C6C80">
      <w:pPr>
        <w:contextualSpacing/>
        <w:jc w:val="left"/>
        <w:rPr>
          <w:rFonts w:ascii="Arial Narrow" w:hAnsi="Arial Narrow"/>
          <w:sz w:val="18"/>
          <w:szCs w:val="18"/>
        </w:rPr>
      </w:pPr>
      <w:r w:rsidRPr="001677F9">
        <w:rPr>
          <w:rFonts w:ascii="Arial Narrow" w:hAnsi="Arial Narrow"/>
          <w:sz w:val="18"/>
          <w:szCs w:val="18"/>
          <w:vertAlign w:val="superscript"/>
        </w:rPr>
        <w:t>d</w:t>
      </w:r>
      <w:r w:rsidRPr="001677F9">
        <w:rPr>
          <w:rFonts w:ascii="Arial Narrow" w:hAnsi="Arial Narrow"/>
        </w:rPr>
        <w:t xml:space="preserve"> </w:t>
      </w:r>
      <w:r w:rsidRPr="001677F9">
        <w:rPr>
          <w:rFonts w:ascii="Arial Narrow" w:hAnsi="Arial Narrow"/>
          <w:sz w:val="18"/>
          <w:szCs w:val="18"/>
        </w:rPr>
        <w:t>Number of subjects who died prior to the given time point or had an observed deterioration from baseline equal to or exceeding the given threshold. Subjects with a KCCQ-TSS at baseline that was too low to possibly experience a deterioration were defined as deteriorated if their score at 8 months was not higher than baseline.</w:t>
      </w:r>
    </w:p>
    <w:p w14:paraId="1333ADF2" w14:textId="77777777" w:rsidR="00392F00" w:rsidRPr="001677F9" w:rsidRDefault="00392F00" w:rsidP="007C6C80">
      <w:pPr>
        <w:contextualSpacing/>
        <w:jc w:val="left"/>
        <w:rPr>
          <w:rFonts w:ascii="Arial Narrow" w:hAnsi="Arial Narrow"/>
          <w:sz w:val="18"/>
          <w:szCs w:val="18"/>
        </w:rPr>
      </w:pPr>
      <w:r w:rsidRPr="001677F9">
        <w:rPr>
          <w:rFonts w:ascii="Arial Narrow" w:hAnsi="Arial Narrow"/>
          <w:sz w:val="18"/>
          <w:szCs w:val="18"/>
          <w:vertAlign w:val="superscript"/>
        </w:rPr>
        <w:t xml:space="preserve">e </w:t>
      </w:r>
      <w:r w:rsidRPr="001677F9">
        <w:rPr>
          <w:rFonts w:ascii="Arial Narrow" w:hAnsi="Arial Narrow"/>
          <w:sz w:val="18"/>
          <w:szCs w:val="18"/>
        </w:rPr>
        <w:t>Odds ratio &lt; 1 favours dapagliflozin</w:t>
      </w:r>
    </w:p>
    <w:p w14:paraId="40A4DCD4" w14:textId="77777777" w:rsidR="00392F00" w:rsidRPr="001677F9" w:rsidRDefault="00392F00" w:rsidP="007C6C80">
      <w:pPr>
        <w:pStyle w:val="Tablenotes"/>
        <w:spacing w:line="240" w:lineRule="auto"/>
        <w:rPr>
          <w:rFonts w:ascii="Arial Narrow" w:hAnsi="Arial Narrow" w:cs="Arial"/>
        </w:rPr>
      </w:pPr>
      <w:r w:rsidRPr="001677F9">
        <w:rPr>
          <w:rFonts w:ascii="Arial Narrow" w:hAnsi="Arial Narrow"/>
          <w:szCs w:val="18"/>
          <w:vertAlign w:val="superscript"/>
        </w:rPr>
        <w:t>f</w:t>
      </w:r>
      <w:r w:rsidRPr="001677F9">
        <w:rPr>
          <w:rFonts w:ascii="Arial Narrow" w:hAnsi="Arial Narrow"/>
          <w:szCs w:val="18"/>
        </w:rPr>
        <w:t xml:space="preserve"> </w:t>
      </w:r>
      <w:r w:rsidRPr="001677F9">
        <w:rPr>
          <w:rFonts w:ascii="Arial Narrow" w:hAnsi="Arial Narrow" w:cs="Arial"/>
        </w:rPr>
        <w:t>Number of subjects who had an observed improvement from baseline equal to or exceeding the given threshold. Subjects who died prior to the given timepoint are counted as not improved. Subjects with a KCCQ-TSS at baseline that was too high to possibly experience an improvement were defined as improved if their score at 8 months was not lower than baseline.</w:t>
      </w:r>
    </w:p>
    <w:p w14:paraId="53B8E890" w14:textId="6EF94C1E" w:rsidR="00507044" w:rsidRPr="001677F9" w:rsidRDefault="00392F00" w:rsidP="007C6C80">
      <w:pPr>
        <w:pStyle w:val="Tablenotes"/>
        <w:spacing w:line="240" w:lineRule="auto"/>
        <w:rPr>
          <w:rFonts w:ascii="Arial Narrow" w:hAnsi="Arial Narrow" w:cs="Arial"/>
        </w:rPr>
      </w:pPr>
      <w:r w:rsidRPr="001677F9">
        <w:rPr>
          <w:rFonts w:ascii="Arial Narrow" w:hAnsi="Arial Narrow" w:cs="Arial"/>
          <w:vertAlign w:val="superscript"/>
        </w:rPr>
        <w:t xml:space="preserve">g </w:t>
      </w:r>
      <w:r w:rsidRPr="001677F9">
        <w:rPr>
          <w:rFonts w:ascii="Arial Narrow" w:hAnsi="Arial Narrow" w:cs="Arial"/>
        </w:rPr>
        <w:t>Odds ratio &gt;1 favours dapagliflozin</w:t>
      </w:r>
    </w:p>
    <w:p w14:paraId="77BEAD62" w14:textId="086123F1" w:rsidR="00507044" w:rsidRPr="001677F9" w:rsidRDefault="00AE4875" w:rsidP="008A2105">
      <w:pPr>
        <w:pStyle w:val="3-BodyText"/>
      </w:pPr>
      <w:r w:rsidRPr="001677F9">
        <w:rPr>
          <w:rFonts w:cstheme="minorHAnsi"/>
        </w:rPr>
        <w:t xml:space="preserve">Dapagliflozin was superior to placebo in reducing the incidence of the primary composite outcome of CV death or an HF event (including both HHF and urgent HF visit) (HR 0.82 [95% CI 0.73, 0.92], p = 0.0008) over a median </w:t>
      </w:r>
      <w:r w:rsidR="003B21B4" w:rsidRPr="001677F9">
        <w:rPr>
          <w:rFonts w:cstheme="minorHAnsi"/>
        </w:rPr>
        <w:t>follow-up</w:t>
      </w:r>
      <w:r w:rsidRPr="001677F9">
        <w:rPr>
          <w:rFonts w:cstheme="minorHAnsi"/>
        </w:rPr>
        <w:t xml:space="preserve"> </w:t>
      </w:r>
      <w:r w:rsidR="0013432F" w:rsidRPr="001677F9">
        <w:rPr>
          <w:rFonts w:cstheme="minorHAnsi"/>
        </w:rPr>
        <w:t xml:space="preserve">duration </w:t>
      </w:r>
      <w:r w:rsidRPr="001677F9">
        <w:rPr>
          <w:rFonts w:cstheme="minorHAnsi"/>
        </w:rPr>
        <w:t>of 28.5 months.</w:t>
      </w:r>
      <w:r w:rsidR="008F3DBF" w:rsidRPr="001677F9">
        <w:rPr>
          <w:rFonts w:cstheme="minorHAnsi"/>
        </w:rPr>
        <w:t xml:space="preserve"> </w:t>
      </w:r>
      <w:r w:rsidR="008F3DBF" w:rsidRPr="001677F9">
        <w:rPr>
          <w:rFonts w:cstheme="minorHAnsi"/>
          <w:iCs/>
        </w:rPr>
        <w:t>This result was primarily driven by the statistically significant difference in HHF.</w:t>
      </w:r>
      <w:r w:rsidRPr="001677F9">
        <w:rPr>
          <w:rFonts w:cstheme="minorHAnsi"/>
        </w:rPr>
        <w:t xml:space="preserve"> </w:t>
      </w:r>
      <w:r w:rsidR="00507044" w:rsidRPr="001677F9">
        <w:rPr>
          <w:snapToGrid/>
        </w:rPr>
        <w:t>Kaplan-Meier</w:t>
      </w:r>
      <w:r w:rsidRPr="001677F9">
        <w:rPr>
          <w:snapToGrid/>
        </w:rPr>
        <w:t xml:space="preserve"> analysis</w:t>
      </w:r>
      <w:r w:rsidR="00507044" w:rsidRPr="001677F9">
        <w:rPr>
          <w:snapToGrid/>
        </w:rPr>
        <w:t xml:space="preserve"> </w:t>
      </w:r>
      <w:r w:rsidRPr="001677F9">
        <w:rPr>
          <w:snapToGrid/>
        </w:rPr>
        <w:t xml:space="preserve">of the </w:t>
      </w:r>
      <w:r w:rsidR="00507044" w:rsidRPr="001677F9">
        <w:rPr>
          <w:snapToGrid/>
        </w:rPr>
        <w:t xml:space="preserve">primary composite outcome is presented in </w:t>
      </w:r>
      <w:r w:rsidR="0016580D" w:rsidRPr="001677F9">
        <w:rPr>
          <w:snapToGrid/>
        </w:rPr>
        <w:fldChar w:fldCharType="begin" w:fldLock="1"/>
      </w:r>
      <w:r w:rsidR="0016580D" w:rsidRPr="001677F9">
        <w:rPr>
          <w:snapToGrid/>
        </w:rPr>
        <w:instrText xml:space="preserve"> REF _Ref132365124 \h </w:instrText>
      </w:r>
      <w:r w:rsidR="0016580D" w:rsidRPr="001677F9">
        <w:rPr>
          <w:snapToGrid/>
        </w:rPr>
      </w:r>
      <w:r w:rsidR="0016580D" w:rsidRPr="001677F9">
        <w:rPr>
          <w:snapToGrid/>
        </w:rPr>
        <w:fldChar w:fldCharType="separate"/>
      </w:r>
      <w:r w:rsidR="002C43D4" w:rsidRPr="001677F9">
        <w:t>Figure 1</w:t>
      </w:r>
      <w:r w:rsidR="0016580D" w:rsidRPr="001677F9">
        <w:rPr>
          <w:snapToGrid/>
        </w:rPr>
        <w:fldChar w:fldCharType="end"/>
      </w:r>
      <w:r w:rsidR="002A0F05" w:rsidRPr="001677F9">
        <w:rPr>
          <w:snapToGrid/>
        </w:rPr>
        <w:t>.</w:t>
      </w:r>
      <w:r w:rsidR="00507044" w:rsidRPr="001677F9">
        <w:rPr>
          <w:snapToGrid/>
        </w:rPr>
        <w:t xml:space="preserve"> </w:t>
      </w:r>
    </w:p>
    <w:p w14:paraId="690E76F8" w14:textId="456BB569" w:rsidR="00507044" w:rsidRPr="001677F9" w:rsidRDefault="0016580D" w:rsidP="0016580D">
      <w:pPr>
        <w:pStyle w:val="Caption"/>
      </w:pPr>
      <w:bookmarkStart w:id="31" w:name="_Ref132365124"/>
      <w:bookmarkStart w:id="32" w:name="_Ref132365118"/>
      <w:r w:rsidRPr="001677F9">
        <w:lastRenderedPageBreak/>
        <w:t xml:space="preserve">Figure </w:t>
      </w:r>
      <w:fldSimple w:instr=" SEQ Figure \* ARABIC " w:fldLock="1">
        <w:r w:rsidR="002C43D4" w:rsidRPr="001677F9">
          <w:t>1</w:t>
        </w:r>
      </w:fldSimple>
      <w:bookmarkEnd w:id="31"/>
      <w:r w:rsidRPr="001677F9">
        <w:t xml:space="preserve">: </w:t>
      </w:r>
      <w:r w:rsidR="00507044" w:rsidRPr="001677F9">
        <w:rPr>
          <w:szCs w:val="20"/>
        </w:rPr>
        <w:t xml:space="preserve">Kaplan-Meier plot of the composite of </w:t>
      </w:r>
      <w:r w:rsidR="002A0F05" w:rsidRPr="001677F9">
        <w:rPr>
          <w:szCs w:val="20"/>
        </w:rPr>
        <w:t>t</w:t>
      </w:r>
      <w:r w:rsidR="00507044" w:rsidRPr="001677F9">
        <w:rPr>
          <w:szCs w:val="20"/>
        </w:rPr>
        <w:t xml:space="preserve">ime to the </w:t>
      </w:r>
      <w:r w:rsidR="002A0F05" w:rsidRPr="001677F9">
        <w:rPr>
          <w:szCs w:val="20"/>
        </w:rPr>
        <w:t>f</w:t>
      </w:r>
      <w:r w:rsidR="00507044" w:rsidRPr="001677F9">
        <w:rPr>
          <w:szCs w:val="20"/>
        </w:rPr>
        <w:t xml:space="preserve">irst </w:t>
      </w:r>
      <w:r w:rsidR="002A0F05" w:rsidRPr="001677F9">
        <w:rPr>
          <w:szCs w:val="20"/>
        </w:rPr>
        <w:t>o</w:t>
      </w:r>
      <w:r w:rsidR="00507044" w:rsidRPr="001677F9">
        <w:rPr>
          <w:szCs w:val="20"/>
        </w:rPr>
        <w:t xml:space="preserve">ccurrence of </w:t>
      </w:r>
      <w:r w:rsidR="002A0F05" w:rsidRPr="001677F9">
        <w:rPr>
          <w:szCs w:val="20"/>
        </w:rPr>
        <w:t>a</w:t>
      </w:r>
      <w:r w:rsidR="00507044" w:rsidRPr="001677F9">
        <w:rPr>
          <w:szCs w:val="20"/>
        </w:rPr>
        <w:t xml:space="preserve">ny </w:t>
      </w:r>
      <w:r w:rsidR="002A0F05" w:rsidRPr="001677F9">
        <w:rPr>
          <w:szCs w:val="20"/>
        </w:rPr>
        <w:t>c</w:t>
      </w:r>
      <w:r w:rsidR="00507044" w:rsidRPr="001677F9">
        <w:rPr>
          <w:szCs w:val="20"/>
        </w:rPr>
        <w:t xml:space="preserve">omponent of the </w:t>
      </w:r>
      <w:r w:rsidR="002A0F05" w:rsidRPr="001677F9">
        <w:rPr>
          <w:szCs w:val="20"/>
        </w:rPr>
        <w:t>c</w:t>
      </w:r>
      <w:r w:rsidR="00507044" w:rsidRPr="001677F9">
        <w:rPr>
          <w:szCs w:val="20"/>
        </w:rPr>
        <w:t xml:space="preserve">omposite of CV </w:t>
      </w:r>
      <w:r w:rsidR="002A0F05" w:rsidRPr="001677F9">
        <w:rPr>
          <w:szCs w:val="20"/>
        </w:rPr>
        <w:t>d</w:t>
      </w:r>
      <w:r w:rsidR="00507044" w:rsidRPr="001677F9">
        <w:rPr>
          <w:szCs w:val="20"/>
        </w:rPr>
        <w:t xml:space="preserve">eath, HHF, or </w:t>
      </w:r>
      <w:r w:rsidR="002A0F05" w:rsidRPr="001677F9">
        <w:rPr>
          <w:szCs w:val="20"/>
        </w:rPr>
        <w:t>u</w:t>
      </w:r>
      <w:r w:rsidR="00507044" w:rsidRPr="001677F9">
        <w:rPr>
          <w:szCs w:val="20"/>
        </w:rPr>
        <w:t xml:space="preserve">rgent HF Visit </w:t>
      </w:r>
      <w:r w:rsidR="002A0F05" w:rsidRPr="001677F9">
        <w:rPr>
          <w:szCs w:val="20"/>
        </w:rPr>
        <w:t>in</w:t>
      </w:r>
      <w:r w:rsidR="00507044" w:rsidRPr="001677F9">
        <w:rPr>
          <w:szCs w:val="20"/>
        </w:rPr>
        <w:t xml:space="preserve"> DELIVER (FAS)</w:t>
      </w:r>
      <w:bookmarkEnd w:id="32"/>
    </w:p>
    <w:p w14:paraId="4C173C59" w14:textId="71638502" w:rsidR="00A62C19" w:rsidRPr="001677F9" w:rsidRDefault="00507044" w:rsidP="0016580D">
      <w:pPr>
        <w:pStyle w:val="3-BodyText"/>
        <w:numPr>
          <w:ilvl w:val="0"/>
          <w:numId w:val="0"/>
        </w:numPr>
        <w:spacing w:after="0"/>
        <w:jc w:val="left"/>
        <w:rPr>
          <w:rFonts w:ascii="Arial Narrow" w:hAnsi="Arial Narrow"/>
          <w:sz w:val="16"/>
        </w:rPr>
      </w:pPr>
      <w:r w:rsidRPr="001677F9">
        <w:rPr>
          <w:rFonts w:ascii="Arial" w:hAnsi="Arial"/>
          <w:noProof/>
          <w:color w:val="C4BC96" w:themeColor="background2" w:themeShade="BF"/>
        </w:rPr>
        <w:drawing>
          <wp:inline distT="0" distB="0" distL="0" distR="0" wp14:anchorId="3FF66016" wp14:editId="69D0F7D1">
            <wp:extent cx="5731510" cy="3206750"/>
            <wp:effectExtent l="0" t="0" r="254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Chart, line chart&#10;&#10;Description automatically generated"/>
                    <pic:cNvPicPr/>
                  </pic:nvPicPr>
                  <pic:blipFill>
                    <a:blip r:embed="rId8"/>
                    <a:stretch>
                      <a:fillRect/>
                    </a:stretch>
                  </pic:blipFill>
                  <pic:spPr>
                    <a:xfrm>
                      <a:off x="0" y="0"/>
                      <a:ext cx="5731510" cy="3206750"/>
                    </a:xfrm>
                    <a:prstGeom prst="rect">
                      <a:avLst/>
                    </a:prstGeom>
                  </pic:spPr>
                </pic:pic>
              </a:graphicData>
            </a:graphic>
          </wp:inline>
        </w:drawing>
      </w:r>
      <w:r w:rsidRPr="001677F9">
        <w:rPr>
          <w:rFonts w:ascii="Arial Narrow" w:hAnsi="Arial Narrow"/>
          <w:sz w:val="18"/>
          <w:szCs w:val="18"/>
        </w:rPr>
        <w:t xml:space="preserve">Source: </w:t>
      </w:r>
      <w:bookmarkStart w:id="33" w:name="_Hlk132358832"/>
      <w:r w:rsidRPr="001677F9">
        <w:rPr>
          <w:rFonts w:ascii="Arial Narrow" w:hAnsi="Arial Narrow"/>
          <w:sz w:val="18"/>
          <w:szCs w:val="18"/>
        </w:rPr>
        <w:t>Figure 2.5-2, p68 of the submission</w:t>
      </w:r>
      <w:bookmarkEnd w:id="33"/>
      <w:r w:rsidRPr="001677F9">
        <w:rPr>
          <w:rFonts w:ascii="Arial Narrow" w:hAnsi="Arial Narrow"/>
          <w:sz w:val="18"/>
          <w:szCs w:val="18"/>
        </w:rPr>
        <w:br/>
        <w:t>Abbreviations: CI = confidence interval</w:t>
      </w:r>
      <w:r w:rsidR="00CB63E1" w:rsidRPr="001677F9">
        <w:rPr>
          <w:rFonts w:ascii="Arial Narrow" w:hAnsi="Arial Narrow"/>
          <w:sz w:val="18"/>
          <w:szCs w:val="18"/>
        </w:rPr>
        <w:t>;</w:t>
      </w:r>
      <w:r w:rsidRPr="001677F9">
        <w:rPr>
          <w:rFonts w:ascii="Arial Narrow" w:hAnsi="Arial Narrow"/>
          <w:sz w:val="18"/>
          <w:szCs w:val="18"/>
        </w:rPr>
        <w:t xml:space="preserve"> CV = cardiovascular</w:t>
      </w:r>
      <w:r w:rsidR="00CB63E1" w:rsidRPr="001677F9">
        <w:rPr>
          <w:rFonts w:ascii="Arial Narrow" w:hAnsi="Arial Narrow"/>
          <w:sz w:val="18"/>
          <w:szCs w:val="18"/>
        </w:rPr>
        <w:t>;</w:t>
      </w:r>
      <w:r w:rsidRPr="001677F9">
        <w:rPr>
          <w:rFonts w:ascii="Arial Narrow" w:hAnsi="Arial Narrow"/>
          <w:sz w:val="18"/>
          <w:szCs w:val="18"/>
        </w:rPr>
        <w:t xml:space="preserve"> Dapa = dapagliflozin</w:t>
      </w:r>
      <w:r w:rsidR="00CB63E1" w:rsidRPr="001677F9">
        <w:rPr>
          <w:rFonts w:ascii="Arial Narrow" w:hAnsi="Arial Narrow"/>
          <w:sz w:val="18"/>
          <w:szCs w:val="18"/>
        </w:rPr>
        <w:t>;</w:t>
      </w:r>
      <w:r w:rsidRPr="001677F9">
        <w:rPr>
          <w:rFonts w:ascii="Arial Narrow" w:hAnsi="Arial Narrow"/>
          <w:sz w:val="18"/>
          <w:szCs w:val="18"/>
        </w:rPr>
        <w:t xml:space="preserve"> FAS = full analysis set</w:t>
      </w:r>
      <w:r w:rsidR="00CB63E1" w:rsidRPr="001677F9">
        <w:rPr>
          <w:rFonts w:ascii="Arial Narrow" w:hAnsi="Arial Narrow"/>
          <w:sz w:val="18"/>
          <w:szCs w:val="18"/>
        </w:rPr>
        <w:t>;</w:t>
      </w:r>
      <w:r w:rsidRPr="001677F9">
        <w:rPr>
          <w:rFonts w:ascii="Arial Narrow" w:hAnsi="Arial Narrow"/>
          <w:sz w:val="18"/>
          <w:szCs w:val="18"/>
        </w:rPr>
        <w:t xml:space="preserve"> HF = heart failure</w:t>
      </w:r>
      <w:r w:rsidR="00CB63E1" w:rsidRPr="001677F9">
        <w:rPr>
          <w:rFonts w:ascii="Arial Narrow" w:hAnsi="Arial Narrow"/>
          <w:sz w:val="18"/>
          <w:szCs w:val="18"/>
        </w:rPr>
        <w:t>;</w:t>
      </w:r>
      <w:r w:rsidRPr="001677F9">
        <w:rPr>
          <w:rFonts w:ascii="Arial Narrow" w:hAnsi="Arial Narrow"/>
          <w:sz w:val="18"/>
          <w:szCs w:val="18"/>
        </w:rPr>
        <w:t xml:space="preserve"> </w:t>
      </w:r>
      <w:r w:rsidR="002A0F05" w:rsidRPr="001677F9">
        <w:rPr>
          <w:rFonts w:ascii="Arial Narrow" w:hAnsi="Arial Narrow"/>
          <w:sz w:val="18"/>
          <w:szCs w:val="18"/>
        </w:rPr>
        <w:t>HHF = hospitalisation for heart failure</w:t>
      </w:r>
      <w:r w:rsidR="00CB63E1" w:rsidRPr="001677F9">
        <w:rPr>
          <w:rFonts w:ascii="Arial Narrow" w:hAnsi="Arial Narrow"/>
          <w:sz w:val="18"/>
          <w:szCs w:val="18"/>
        </w:rPr>
        <w:t>;</w:t>
      </w:r>
      <w:r w:rsidR="002A0F05" w:rsidRPr="001677F9">
        <w:rPr>
          <w:rFonts w:ascii="Arial Narrow" w:hAnsi="Arial Narrow"/>
          <w:sz w:val="18"/>
          <w:szCs w:val="18"/>
        </w:rPr>
        <w:t xml:space="preserve"> </w:t>
      </w:r>
      <w:r w:rsidRPr="001677F9">
        <w:rPr>
          <w:rFonts w:ascii="Arial Narrow" w:hAnsi="Arial Narrow"/>
          <w:sz w:val="18"/>
          <w:szCs w:val="18"/>
        </w:rPr>
        <w:t>HR = hazard ratio</w:t>
      </w:r>
      <w:r w:rsidR="00CB63E1" w:rsidRPr="001677F9">
        <w:rPr>
          <w:rFonts w:ascii="Arial Narrow" w:hAnsi="Arial Narrow"/>
          <w:sz w:val="18"/>
          <w:szCs w:val="18"/>
        </w:rPr>
        <w:t>;</w:t>
      </w:r>
      <w:r w:rsidRPr="001677F9">
        <w:rPr>
          <w:rFonts w:ascii="Arial Narrow" w:hAnsi="Arial Narrow"/>
          <w:sz w:val="18"/>
          <w:szCs w:val="18"/>
        </w:rPr>
        <w:t xml:space="preserve"> N = number of subjects</w:t>
      </w:r>
      <w:r w:rsidR="00CB63E1" w:rsidRPr="001677F9">
        <w:rPr>
          <w:rFonts w:ascii="Arial Narrow" w:hAnsi="Arial Narrow"/>
          <w:sz w:val="18"/>
          <w:szCs w:val="18"/>
        </w:rPr>
        <w:t>;</w:t>
      </w:r>
      <w:r w:rsidRPr="001677F9">
        <w:rPr>
          <w:rFonts w:ascii="Arial Narrow" w:hAnsi="Arial Narrow"/>
          <w:sz w:val="18"/>
          <w:szCs w:val="18"/>
        </w:rPr>
        <w:t xml:space="preserve"> P = placebo.</w:t>
      </w:r>
    </w:p>
    <w:p w14:paraId="0574B142" w14:textId="26950810" w:rsidR="00507044" w:rsidRPr="001677F9" w:rsidRDefault="00507044" w:rsidP="0016580D">
      <w:pPr>
        <w:pStyle w:val="3-BodyText"/>
        <w:numPr>
          <w:ilvl w:val="0"/>
          <w:numId w:val="0"/>
        </w:numPr>
        <w:spacing w:after="0"/>
        <w:jc w:val="left"/>
        <w:rPr>
          <w:rFonts w:ascii="Arial Narrow" w:hAnsi="Arial Narrow"/>
          <w:sz w:val="16"/>
        </w:rPr>
      </w:pPr>
      <w:r w:rsidRPr="001677F9">
        <w:rPr>
          <w:rFonts w:ascii="Arial Narrow" w:hAnsi="Arial Narrow"/>
          <w:sz w:val="18"/>
          <w:szCs w:val="18"/>
        </w:rPr>
        <w:t>N at risk is the number of subjects at risk at the beginning of the period. One month corresponds to 30 days.</w:t>
      </w:r>
    </w:p>
    <w:p w14:paraId="1F24B0F0" w14:textId="0F60D6D6" w:rsidR="0034038E" w:rsidRPr="001677F9" w:rsidRDefault="00507044" w:rsidP="00CB63E1">
      <w:pPr>
        <w:contextualSpacing/>
        <w:rPr>
          <w:rFonts w:ascii="Arial Narrow" w:hAnsi="Arial Narrow"/>
          <w:sz w:val="18"/>
          <w:szCs w:val="18"/>
        </w:rPr>
      </w:pPr>
      <w:r w:rsidRPr="001677F9">
        <w:rPr>
          <w:rFonts w:ascii="Arial Narrow" w:hAnsi="Arial Narrow"/>
          <w:sz w:val="18"/>
          <w:szCs w:val="18"/>
        </w:rPr>
        <w:t>Two-sided p-value is displayed. HR, CI, and p-value are from the Cox proportional hazards model.</w:t>
      </w:r>
    </w:p>
    <w:p w14:paraId="111E96C7" w14:textId="77777777" w:rsidR="0034038E" w:rsidRPr="001677F9" w:rsidRDefault="0034038E" w:rsidP="0034038E">
      <w:pPr>
        <w:pStyle w:val="ListBullet"/>
        <w:numPr>
          <w:ilvl w:val="0"/>
          <w:numId w:val="0"/>
        </w:numPr>
        <w:ind w:left="360"/>
      </w:pPr>
    </w:p>
    <w:p w14:paraId="71BA7FCF" w14:textId="590ED138" w:rsidR="00836C86" w:rsidRPr="001677F9" w:rsidRDefault="00AE4875" w:rsidP="00DB6B4D">
      <w:pPr>
        <w:pStyle w:val="3-BodyText"/>
        <w:rPr>
          <w:rFonts w:cstheme="minorHAnsi"/>
          <w:iCs/>
        </w:rPr>
      </w:pPr>
      <w:r w:rsidRPr="001677F9">
        <w:t xml:space="preserve">Of the individual components that made up the primary outcome in the DELIVER trial, treatment with dapagliflozin was associated with a statistically significant reduction in incidence of first HF event and HHF compared to placebo, however there was no statistically significant difference in CV deaths or urgent HF visits. </w:t>
      </w:r>
      <w:r w:rsidRPr="001677F9">
        <w:rPr>
          <w:iCs/>
        </w:rPr>
        <w:t xml:space="preserve">The submission presented additional analyses (Jhund 2022) of pooled CV mortality data from the DELIVER and DAPA-HF trials (dapagliflozin in patients with HF with LVEF ≤40%) to support the argument that there is no evidence of an attenuated treatment effect by LVEF. </w:t>
      </w:r>
    </w:p>
    <w:p w14:paraId="565FB802" w14:textId="49513489" w:rsidR="00DB6B4D" w:rsidRPr="001677F9" w:rsidRDefault="00AE4875" w:rsidP="00DB6B4D">
      <w:pPr>
        <w:pStyle w:val="3-BodyText"/>
        <w:rPr>
          <w:rFonts w:cstheme="minorHAnsi"/>
          <w:iCs/>
        </w:rPr>
      </w:pPr>
      <w:r w:rsidRPr="001677F9">
        <w:rPr>
          <w:iCs/>
        </w:rPr>
        <w:t xml:space="preserve"> </w:t>
      </w:r>
      <w:r w:rsidR="00DB6B4D" w:rsidRPr="001677F9">
        <w:rPr>
          <w:rFonts w:cstheme="minorHAnsi"/>
          <w:iCs/>
        </w:rPr>
        <w:t>The PBAC previously noted the results of a published meta-analysis by Vaduganathan et al. (2022) that pooled data from EMPEROR-Preserved and DELIVER</w:t>
      </w:r>
      <w:r w:rsidR="00DB6B4D" w:rsidRPr="001677F9">
        <w:rPr>
          <w:vertAlign w:val="superscript"/>
        </w:rPr>
        <w:footnoteReference w:id="4"/>
      </w:r>
      <w:r w:rsidR="00E9451A" w:rsidRPr="001677F9">
        <w:rPr>
          <w:rFonts w:cstheme="minorHAnsi"/>
          <w:iCs/>
        </w:rPr>
        <w:t xml:space="preserve"> </w:t>
      </w:r>
      <w:r w:rsidR="00E9451A" w:rsidRPr="001677F9">
        <w:t xml:space="preserve">(paragraphs 6.18 and 7.6, empagliflozin </w:t>
      </w:r>
      <w:r w:rsidR="0091161B">
        <w:t>PSD</w:t>
      </w:r>
      <w:r w:rsidR="00E9451A" w:rsidRPr="001677F9">
        <w:t>, November 2022)</w:t>
      </w:r>
      <w:r w:rsidR="00DB6B4D" w:rsidRPr="001677F9">
        <w:rPr>
          <w:rFonts w:cstheme="minorHAnsi"/>
          <w:iCs/>
        </w:rPr>
        <w:t>. The authors found that SGLT2 inhibitors reduced CV mortality by 12% with nominal significance and no statistically significant heterogeneity (HR 0.88; 95% CI: 0.77,1.00).</w:t>
      </w:r>
    </w:p>
    <w:p w14:paraId="1ECEF692" w14:textId="341D712B" w:rsidR="0016580D" w:rsidRPr="001677F9" w:rsidRDefault="00F2624F" w:rsidP="0016580D">
      <w:pPr>
        <w:pStyle w:val="3-BodyText"/>
      </w:pPr>
      <w:r w:rsidRPr="001677F9">
        <w:rPr>
          <w:rFonts w:cstheme="minorHAnsi"/>
        </w:rPr>
        <w:t xml:space="preserve">Due to differences in the primary endpoints used in the DELIVER (composite of CV death, HHF and urgent HF visit) and EMPEROR-Preserved (composite of CV death and HHF) trials, reanalysed dapagliflozin versus placebo data from DELIVER included in a </w:t>
      </w:r>
      <w:r w:rsidRPr="001677F9">
        <w:rPr>
          <w:rFonts w:cstheme="minorHAnsi"/>
        </w:rPr>
        <w:lastRenderedPageBreak/>
        <w:t>published meta-analysis</w:t>
      </w:r>
      <w:r w:rsidRPr="001677F9">
        <w:rPr>
          <w:rStyle w:val="FootnoteReference"/>
          <w:rFonts w:cstheme="minorHAnsi"/>
        </w:rPr>
        <w:footnoteReference w:id="5"/>
      </w:r>
      <w:r w:rsidRPr="001677F9">
        <w:rPr>
          <w:rFonts w:cstheme="minorHAnsi"/>
        </w:rPr>
        <w:t xml:space="preserve"> was used for the ITC for the primary outcome</w:t>
      </w:r>
      <w:r w:rsidR="00CB63E1" w:rsidRPr="001677F9">
        <w:rPr>
          <w:rFonts w:cstheme="minorHAnsi"/>
        </w:rPr>
        <w:t xml:space="preserve"> (CV death or HHF)</w:t>
      </w:r>
      <w:r w:rsidRPr="001677F9">
        <w:rPr>
          <w:rFonts w:cstheme="minorHAnsi"/>
        </w:rPr>
        <w:t xml:space="preserve">. Additionally, for the ITC for the secondary outcome of CV deaths alone, re-analysed empagliflozin versus placebo data from EMPEROR-Preserved included in the </w:t>
      </w:r>
      <w:r w:rsidR="00F12FFF" w:rsidRPr="001677F9">
        <w:rPr>
          <w:rFonts w:cstheme="minorHAnsi"/>
        </w:rPr>
        <w:t>same meta-analysis</w:t>
      </w:r>
      <w:r w:rsidRPr="001677F9">
        <w:rPr>
          <w:rFonts w:cstheme="minorHAnsi"/>
        </w:rPr>
        <w:t xml:space="preserve"> was used to align with the definition for CV death used in DELIVER.</w:t>
      </w:r>
      <w:r w:rsidR="00507044" w:rsidRPr="001677F9">
        <w:t xml:space="preserve"> The ITC results for the primary composite outcome</w:t>
      </w:r>
      <w:r w:rsidR="00CB63E1" w:rsidRPr="001677F9">
        <w:t>,</w:t>
      </w:r>
      <w:r w:rsidR="00AE4875" w:rsidRPr="001677F9">
        <w:t xml:space="preserve"> components of the composite outcome and all-cause mortality</w:t>
      </w:r>
      <w:r w:rsidR="00507044" w:rsidRPr="001677F9">
        <w:t xml:space="preserve"> are presented in </w:t>
      </w:r>
      <w:r w:rsidR="0016580D" w:rsidRPr="001677F9">
        <w:fldChar w:fldCharType="begin" w:fldLock="1"/>
      </w:r>
      <w:r w:rsidR="0016580D" w:rsidRPr="001677F9">
        <w:instrText xml:space="preserve"> REF _Ref132365339 \h </w:instrText>
      </w:r>
      <w:r w:rsidR="0016580D" w:rsidRPr="001677F9">
        <w:fldChar w:fldCharType="separate"/>
      </w:r>
      <w:r w:rsidR="002C43D4" w:rsidRPr="001677F9">
        <w:t>Table 5</w:t>
      </w:r>
      <w:r w:rsidR="0016580D" w:rsidRPr="001677F9">
        <w:fldChar w:fldCharType="end"/>
      </w:r>
      <w:r w:rsidR="00507044" w:rsidRPr="001677F9">
        <w:t>.</w:t>
      </w:r>
    </w:p>
    <w:p w14:paraId="079D571D" w14:textId="6D6DACB1" w:rsidR="00EB1C0D" w:rsidRPr="001677F9" w:rsidRDefault="0016580D" w:rsidP="0016580D">
      <w:pPr>
        <w:pStyle w:val="Caption"/>
      </w:pPr>
      <w:bookmarkStart w:id="34" w:name="_Ref132365339"/>
      <w:bookmarkStart w:id="35" w:name="_Ref132365334"/>
      <w:r w:rsidRPr="001677F9">
        <w:t xml:space="preserve">Table </w:t>
      </w:r>
      <w:fldSimple w:instr=" SEQ Table \* ARABIC " w:fldLock="1">
        <w:r w:rsidR="002C43D4" w:rsidRPr="001677F9">
          <w:t>5</w:t>
        </w:r>
      </w:fldSimple>
      <w:bookmarkEnd w:id="34"/>
      <w:r w:rsidRPr="001677F9">
        <w:t xml:space="preserve">: </w:t>
      </w:r>
      <w:r w:rsidR="00A62C19" w:rsidRPr="001677F9">
        <w:rPr>
          <w:szCs w:val="20"/>
        </w:rPr>
        <w:t>Summary of</w:t>
      </w:r>
      <w:r w:rsidR="00EB1C0D" w:rsidRPr="001677F9">
        <w:rPr>
          <w:szCs w:val="20"/>
        </w:rPr>
        <w:t xml:space="preserve"> </w:t>
      </w:r>
      <w:r w:rsidRPr="001677F9">
        <w:rPr>
          <w:szCs w:val="20"/>
        </w:rPr>
        <w:t>ITC results for</w:t>
      </w:r>
      <w:r w:rsidR="00EB1C0D" w:rsidRPr="001677F9">
        <w:rPr>
          <w:szCs w:val="20"/>
        </w:rPr>
        <w:t xml:space="preserve"> efficacy </w:t>
      </w:r>
      <w:bookmarkEnd w:id="35"/>
      <w:r w:rsidRPr="001677F9">
        <w:rPr>
          <w:szCs w:val="20"/>
        </w:rPr>
        <w:t>outcomes</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100"/>
        <w:gridCol w:w="1758"/>
        <w:gridCol w:w="1797"/>
        <w:gridCol w:w="2055"/>
      </w:tblGrid>
      <w:tr w:rsidR="00EB1C0D" w:rsidRPr="001677F9" w14:paraId="05DC74D7" w14:textId="77777777" w:rsidTr="007C6C80">
        <w:trPr>
          <w:tblHeader/>
        </w:trPr>
        <w:tc>
          <w:tcPr>
            <w:tcW w:w="2122" w:type="dxa"/>
            <w:tcBorders>
              <w:top w:val="single" w:sz="4" w:space="0" w:color="auto"/>
              <w:left w:val="single" w:sz="4" w:space="0" w:color="auto"/>
              <w:bottom w:val="single" w:sz="4" w:space="0" w:color="auto"/>
              <w:right w:val="single" w:sz="4" w:space="0" w:color="auto"/>
            </w:tcBorders>
            <w:vAlign w:val="center"/>
          </w:tcPr>
          <w:p w14:paraId="3A23A13E" w14:textId="77777777" w:rsidR="00EB1C0D" w:rsidRPr="001677F9" w:rsidRDefault="00EB1C0D" w:rsidP="007E0D58">
            <w:pPr>
              <w:pStyle w:val="In-tableHeading"/>
              <w:rPr>
                <w:lang w:val="en-AU"/>
              </w:rPr>
            </w:pPr>
            <w:r w:rsidRPr="001677F9">
              <w:rPr>
                <w:lang w:val="en-AU"/>
              </w:rPr>
              <w:t>Trial type or estimate</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03EDA81A" w14:textId="77777777" w:rsidR="00EB1C0D" w:rsidRPr="001677F9" w:rsidRDefault="00EB1C0D" w:rsidP="007E0D58">
            <w:pPr>
              <w:pStyle w:val="In-tableHeading"/>
              <w:rPr>
                <w:lang w:val="en-AU"/>
              </w:rPr>
            </w:pPr>
            <w:r w:rsidRPr="001677F9">
              <w:rPr>
                <w:lang w:val="en-AU"/>
              </w:rPr>
              <w:t>Trial ID</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4F5696CE" w14:textId="77777777" w:rsidR="00EB1C0D" w:rsidRPr="001677F9" w:rsidRDefault="00EB1C0D" w:rsidP="007E0D58">
            <w:pPr>
              <w:pStyle w:val="In-tableHeading"/>
              <w:jc w:val="center"/>
              <w:rPr>
                <w:lang w:val="en-AU"/>
              </w:rPr>
            </w:pPr>
            <w:r w:rsidRPr="001677F9">
              <w:rPr>
                <w:lang w:val="en-AU"/>
              </w:rPr>
              <w:t>n with event/N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E440DD" w14:textId="77777777" w:rsidR="00EB1C0D" w:rsidRPr="001677F9" w:rsidRDefault="00EB1C0D" w:rsidP="007E0D58">
            <w:pPr>
              <w:pStyle w:val="In-tableHeading"/>
              <w:jc w:val="center"/>
              <w:rPr>
                <w:lang w:val="en-AU"/>
              </w:rPr>
            </w:pPr>
            <w:r w:rsidRPr="001677F9">
              <w:rPr>
                <w:lang w:val="en-AU"/>
              </w:rPr>
              <w:t>Common reference n with event/N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994AEF" w14:textId="77777777" w:rsidR="00EB1C0D" w:rsidRPr="001677F9" w:rsidRDefault="00EB1C0D" w:rsidP="007E0D58">
            <w:pPr>
              <w:pStyle w:val="In-tableHeading"/>
              <w:jc w:val="center"/>
              <w:rPr>
                <w:lang w:val="en-AU"/>
              </w:rPr>
            </w:pPr>
            <w:r w:rsidRPr="001677F9">
              <w:rPr>
                <w:lang w:val="en-AU"/>
              </w:rPr>
              <w:t>Hazard ratio (95% CI)</w:t>
            </w:r>
          </w:p>
        </w:tc>
      </w:tr>
      <w:tr w:rsidR="00EB1C0D" w:rsidRPr="001677F9" w14:paraId="0D36F71F" w14:textId="77777777" w:rsidTr="002A7165">
        <w:tc>
          <w:tcPr>
            <w:tcW w:w="8784" w:type="dxa"/>
            <w:gridSpan w:val="5"/>
            <w:vAlign w:val="center"/>
          </w:tcPr>
          <w:p w14:paraId="757B108D" w14:textId="77777777" w:rsidR="00EB1C0D" w:rsidRPr="001677F9" w:rsidRDefault="00EB1C0D" w:rsidP="007E0D58">
            <w:pPr>
              <w:pStyle w:val="TableText0"/>
              <w:rPr>
                <w:rFonts w:cs="Arial"/>
              </w:rPr>
            </w:pPr>
            <w:r w:rsidRPr="001677F9">
              <w:rPr>
                <w:b/>
                <w:bCs w:val="0"/>
              </w:rPr>
              <w:t xml:space="preserve">Primary composite outcome </w:t>
            </w:r>
            <w:r w:rsidRPr="001677F9">
              <w:rPr>
                <w:b/>
                <w:bCs w:val="0"/>
                <w:szCs w:val="20"/>
              </w:rPr>
              <w:t>(CV death or HHF)</w:t>
            </w:r>
          </w:p>
        </w:tc>
      </w:tr>
      <w:tr w:rsidR="00EB1C0D" w:rsidRPr="001677F9" w14:paraId="36897A89" w14:textId="77777777" w:rsidTr="007C6C80">
        <w:tc>
          <w:tcPr>
            <w:tcW w:w="2122" w:type="dxa"/>
            <w:vAlign w:val="center"/>
          </w:tcPr>
          <w:p w14:paraId="10B32A85" w14:textId="0786C838" w:rsidR="00EB1C0D" w:rsidRPr="001677F9" w:rsidRDefault="00EB1C0D" w:rsidP="007E0D58">
            <w:pPr>
              <w:pStyle w:val="TableText0"/>
              <w:rPr>
                <w:vertAlign w:val="superscript"/>
              </w:rPr>
            </w:pPr>
            <w:r w:rsidRPr="001677F9">
              <w:t>Dapagliflozin vs. placebo</w:t>
            </w:r>
            <w:r w:rsidR="00CD1DF2" w:rsidRPr="001677F9">
              <w:rPr>
                <w:vertAlign w:val="superscript"/>
              </w:rPr>
              <w:t>a</w:t>
            </w:r>
          </w:p>
        </w:tc>
        <w:tc>
          <w:tcPr>
            <w:tcW w:w="888" w:type="dxa"/>
            <w:shd w:val="clear" w:color="auto" w:fill="auto"/>
            <w:vAlign w:val="center"/>
          </w:tcPr>
          <w:p w14:paraId="4472E404" w14:textId="77777777" w:rsidR="00EB1C0D" w:rsidRPr="001677F9" w:rsidRDefault="00EB1C0D" w:rsidP="007E0D58">
            <w:pPr>
              <w:pStyle w:val="TableText0"/>
            </w:pPr>
            <w:r w:rsidRPr="001677F9">
              <w:t>DELIVER</w:t>
            </w:r>
          </w:p>
        </w:tc>
        <w:tc>
          <w:tcPr>
            <w:tcW w:w="1805" w:type="dxa"/>
            <w:shd w:val="clear" w:color="auto" w:fill="auto"/>
            <w:vAlign w:val="center"/>
          </w:tcPr>
          <w:p w14:paraId="06A25409" w14:textId="77777777" w:rsidR="00EB1C0D" w:rsidRPr="001677F9" w:rsidRDefault="00EB1C0D" w:rsidP="007E0D58">
            <w:pPr>
              <w:pStyle w:val="TableText0"/>
              <w:jc w:val="center"/>
            </w:pPr>
            <w:r w:rsidRPr="001677F9">
              <w:rPr>
                <w:rFonts w:cs="Arial"/>
              </w:rPr>
              <w:t>475/3131 (15.4)</w:t>
            </w:r>
          </w:p>
        </w:tc>
        <w:tc>
          <w:tcPr>
            <w:tcW w:w="1843" w:type="dxa"/>
            <w:shd w:val="clear" w:color="auto" w:fill="auto"/>
            <w:vAlign w:val="center"/>
          </w:tcPr>
          <w:p w14:paraId="1C7E83EF" w14:textId="77777777" w:rsidR="00EB1C0D" w:rsidRPr="001677F9" w:rsidRDefault="00EB1C0D" w:rsidP="007E0D58">
            <w:pPr>
              <w:pStyle w:val="TableText0"/>
              <w:jc w:val="center"/>
            </w:pPr>
            <w:r w:rsidRPr="001677F9">
              <w:rPr>
                <w:rFonts w:cs="Arial"/>
              </w:rPr>
              <w:t>577/3132 (18.4)</w:t>
            </w:r>
            <w:r w:rsidRPr="001677F9">
              <w:t xml:space="preserve"> </w:t>
            </w:r>
          </w:p>
        </w:tc>
        <w:tc>
          <w:tcPr>
            <w:tcW w:w="2126" w:type="dxa"/>
            <w:shd w:val="clear" w:color="auto" w:fill="auto"/>
            <w:vAlign w:val="center"/>
          </w:tcPr>
          <w:p w14:paraId="3C98372C" w14:textId="77777777" w:rsidR="00EB1C0D" w:rsidRPr="001677F9" w:rsidRDefault="00EB1C0D" w:rsidP="007E0D58">
            <w:pPr>
              <w:pStyle w:val="TableText0"/>
              <w:jc w:val="center"/>
            </w:pPr>
            <w:r w:rsidRPr="001677F9">
              <w:rPr>
                <w:rFonts w:cs="Arial"/>
              </w:rPr>
              <w:t>0.80 (0.71, 0.91)</w:t>
            </w:r>
          </w:p>
        </w:tc>
      </w:tr>
      <w:tr w:rsidR="00EB1C0D" w:rsidRPr="001677F9" w14:paraId="511E7531" w14:textId="77777777" w:rsidTr="007C6C80">
        <w:tc>
          <w:tcPr>
            <w:tcW w:w="2122" w:type="dxa"/>
            <w:vAlign w:val="center"/>
          </w:tcPr>
          <w:p w14:paraId="532EB4A8" w14:textId="59A8F480" w:rsidR="00EB1C0D" w:rsidRPr="001677F9" w:rsidRDefault="00EB1C0D" w:rsidP="007E0D58">
            <w:pPr>
              <w:pStyle w:val="TableText0"/>
              <w:rPr>
                <w:vertAlign w:val="superscript"/>
              </w:rPr>
            </w:pPr>
            <w:r w:rsidRPr="001677F9">
              <w:t>Empagliflozin vs. placebo</w:t>
            </w:r>
          </w:p>
        </w:tc>
        <w:tc>
          <w:tcPr>
            <w:tcW w:w="888" w:type="dxa"/>
            <w:shd w:val="clear" w:color="auto" w:fill="auto"/>
            <w:vAlign w:val="center"/>
          </w:tcPr>
          <w:p w14:paraId="41D57789" w14:textId="77777777" w:rsidR="00EB1C0D" w:rsidRPr="001677F9" w:rsidRDefault="00EB1C0D" w:rsidP="007E0D58">
            <w:pPr>
              <w:pStyle w:val="TableText0"/>
            </w:pPr>
            <w:r w:rsidRPr="001677F9">
              <w:t>EMPEROR-Preserved</w:t>
            </w:r>
          </w:p>
        </w:tc>
        <w:tc>
          <w:tcPr>
            <w:tcW w:w="1805" w:type="dxa"/>
            <w:shd w:val="clear" w:color="auto" w:fill="auto"/>
            <w:vAlign w:val="center"/>
          </w:tcPr>
          <w:p w14:paraId="355788D4" w14:textId="415DC822" w:rsidR="00EB1C0D" w:rsidRPr="001677F9" w:rsidRDefault="00EB1C0D" w:rsidP="007E0D58">
            <w:pPr>
              <w:pStyle w:val="TableText0"/>
              <w:jc w:val="center"/>
            </w:pPr>
            <w:r w:rsidRPr="001677F9">
              <w:t>415/2997 (13.8)</w:t>
            </w:r>
          </w:p>
        </w:tc>
        <w:tc>
          <w:tcPr>
            <w:tcW w:w="1843" w:type="dxa"/>
            <w:shd w:val="clear" w:color="auto" w:fill="auto"/>
            <w:vAlign w:val="center"/>
          </w:tcPr>
          <w:p w14:paraId="7A29007C" w14:textId="45D387E8" w:rsidR="00EB1C0D" w:rsidRPr="001677F9" w:rsidRDefault="00EB1C0D" w:rsidP="007E0D58">
            <w:pPr>
              <w:pStyle w:val="TableText0"/>
              <w:jc w:val="center"/>
            </w:pPr>
            <w:r w:rsidRPr="001677F9">
              <w:t>511/2991 (17.1)</w:t>
            </w:r>
          </w:p>
        </w:tc>
        <w:tc>
          <w:tcPr>
            <w:tcW w:w="2126" w:type="dxa"/>
            <w:shd w:val="clear" w:color="auto" w:fill="auto"/>
            <w:vAlign w:val="center"/>
          </w:tcPr>
          <w:p w14:paraId="12047C3A" w14:textId="77777777" w:rsidR="00EB1C0D" w:rsidRPr="001677F9" w:rsidRDefault="00EB1C0D" w:rsidP="007E0D58">
            <w:pPr>
              <w:pStyle w:val="TableText0"/>
              <w:jc w:val="center"/>
            </w:pPr>
            <w:r w:rsidRPr="001677F9">
              <w:rPr>
                <w:rFonts w:cs="Arial"/>
              </w:rPr>
              <w:t xml:space="preserve"> 0.79 (0.69, 0.90)</w:t>
            </w:r>
          </w:p>
        </w:tc>
      </w:tr>
      <w:tr w:rsidR="00EB1C0D" w:rsidRPr="001677F9" w14:paraId="2B004F7F" w14:textId="77777777" w:rsidTr="007C6C80">
        <w:tc>
          <w:tcPr>
            <w:tcW w:w="2122" w:type="dxa"/>
            <w:vAlign w:val="center"/>
          </w:tcPr>
          <w:p w14:paraId="1882B484" w14:textId="41B8BAF3" w:rsidR="00EB1C0D" w:rsidRPr="001677F9" w:rsidRDefault="00EB1C0D" w:rsidP="007E0D58">
            <w:pPr>
              <w:pStyle w:val="TableText0"/>
              <w:rPr>
                <w:vertAlign w:val="superscript"/>
              </w:rPr>
            </w:pPr>
            <w:r w:rsidRPr="001677F9">
              <w:t>Indirect estimate of effect adjusted for the common reference</w:t>
            </w:r>
          </w:p>
        </w:tc>
        <w:tc>
          <w:tcPr>
            <w:tcW w:w="888" w:type="dxa"/>
            <w:shd w:val="clear" w:color="auto" w:fill="auto"/>
            <w:vAlign w:val="center"/>
          </w:tcPr>
          <w:p w14:paraId="6953EC04" w14:textId="77777777" w:rsidR="00EB1C0D" w:rsidRPr="001677F9" w:rsidRDefault="00EB1C0D" w:rsidP="007E0D58">
            <w:pPr>
              <w:pStyle w:val="TableText0"/>
              <w:jc w:val="center"/>
            </w:pPr>
            <w:r w:rsidRPr="001677F9">
              <w:t>–</w:t>
            </w:r>
          </w:p>
        </w:tc>
        <w:tc>
          <w:tcPr>
            <w:tcW w:w="1805" w:type="dxa"/>
            <w:shd w:val="clear" w:color="auto" w:fill="auto"/>
            <w:vAlign w:val="center"/>
          </w:tcPr>
          <w:p w14:paraId="53923AE8" w14:textId="77777777" w:rsidR="00EB1C0D" w:rsidRPr="001677F9" w:rsidRDefault="00EB1C0D" w:rsidP="007E0D58">
            <w:pPr>
              <w:pStyle w:val="TableText0"/>
              <w:jc w:val="center"/>
            </w:pPr>
            <w:r w:rsidRPr="001677F9">
              <w:t>–</w:t>
            </w:r>
          </w:p>
        </w:tc>
        <w:tc>
          <w:tcPr>
            <w:tcW w:w="1843" w:type="dxa"/>
            <w:shd w:val="clear" w:color="auto" w:fill="auto"/>
            <w:vAlign w:val="center"/>
          </w:tcPr>
          <w:p w14:paraId="2BEAADE0" w14:textId="77777777" w:rsidR="00EB1C0D" w:rsidRPr="001677F9" w:rsidRDefault="00EB1C0D" w:rsidP="007E0D58">
            <w:pPr>
              <w:pStyle w:val="TableText0"/>
              <w:jc w:val="center"/>
            </w:pPr>
            <w:r w:rsidRPr="001677F9">
              <w:t>–</w:t>
            </w:r>
          </w:p>
        </w:tc>
        <w:tc>
          <w:tcPr>
            <w:tcW w:w="2126" w:type="dxa"/>
            <w:shd w:val="clear" w:color="auto" w:fill="auto"/>
            <w:vAlign w:val="center"/>
          </w:tcPr>
          <w:p w14:paraId="651D2AD0" w14:textId="77777777" w:rsidR="00EB1C0D" w:rsidRPr="001677F9" w:rsidRDefault="00EB1C0D" w:rsidP="007E0D58">
            <w:pPr>
              <w:pStyle w:val="TableText0"/>
              <w:jc w:val="center"/>
            </w:pPr>
            <w:r w:rsidRPr="001677F9">
              <w:rPr>
                <w:rFonts w:cs="Arial"/>
              </w:rPr>
              <w:t>1.01 (0.84, 1.22)</w:t>
            </w:r>
          </w:p>
        </w:tc>
      </w:tr>
      <w:tr w:rsidR="00EB1C0D" w:rsidRPr="001677F9" w14:paraId="1C5153F0" w14:textId="77777777" w:rsidTr="002A7165">
        <w:tc>
          <w:tcPr>
            <w:tcW w:w="8784" w:type="dxa"/>
            <w:gridSpan w:val="5"/>
            <w:vAlign w:val="center"/>
          </w:tcPr>
          <w:p w14:paraId="45F67E1F" w14:textId="77777777" w:rsidR="00EB1C0D" w:rsidRPr="001677F9" w:rsidRDefault="00EB1C0D" w:rsidP="007E0D58">
            <w:pPr>
              <w:pStyle w:val="TableText0"/>
              <w:rPr>
                <w:rFonts w:cs="Arial"/>
              </w:rPr>
            </w:pPr>
            <w:r w:rsidRPr="001677F9">
              <w:rPr>
                <w:b/>
                <w:bCs w:val="0"/>
              </w:rPr>
              <w:t xml:space="preserve">CV death </w:t>
            </w:r>
          </w:p>
        </w:tc>
      </w:tr>
      <w:tr w:rsidR="00EB1C0D" w:rsidRPr="001677F9" w14:paraId="3A094076" w14:textId="77777777" w:rsidTr="007C6C80">
        <w:tc>
          <w:tcPr>
            <w:tcW w:w="2122" w:type="dxa"/>
            <w:vAlign w:val="center"/>
          </w:tcPr>
          <w:p w14:paraId="770DEE82" w14:textId="66E8DE0F" w:rsidR="00EB1C0D" w:rsidRPr="001677F9" w:rsidRDefault="00EB1C0D" w:rsidP="007E0D58">
            <w:pPr>
              <w:pStyle w:val="TableText0"/>
              <w:rPr>
                <w:vertAlign w:val="superscript"/>
              </w:rPr>
            </w:pPr>
            <w:r w:rsidRPr="001677F9">
              <w:t>Dapagliflozin vs. placebo</w:t>
            </w:r>
          </w:p>
        </w:tc>
        <w:tc>
          <w:tcPr>
            <w:tcW w:w="888" w:type="dxa"/>
            <w:shd w:val="clear" w:color="auto" w:fill="auto"/>
            <w:vAlign w:val="center"/>
          </w:tcPr>
          <w:p w14:paraId="6C83E6A3" w14:textId="77777777" w:rsidR="00EB1C0D" w:rsidRPr="001677F9" w:rsidRDefault="00EB1C0D" w:rsidP="007E0D58">
            <w:pPr>
              <w:pStyle w:val="TableText0"/>
              <w:jc w:val="center"/>
            </w:pPr>
            <w:r w:rsidRPr="001677F9">
              <w:t>DELIVER</w:t>
            </w:r>
          </w:p>
        </w:tc>
        <w:tc>
          <w:tcPr>
            <w:tcW w:w="1805" w:type="dxa"/>
            <w:shd w:val="clear" w:color="auto" w:fill="auto"/>
            <w:vAlign w:val="center"/>
          </w:tcPr>
          <w:p w14:paraId="1B33ED55" w14:textId="77777777" w:rsidR="00EB1C0D" w:rsidRPr="001677F9" w:rsidRDefault="00EB1C0D" w:rsidP="007E0D58">
            <w:pPr>
              <w:pStyle w:val="TableText0"/>
              <w:jc w:val="center"/>
            </w:pPr>
            <w:r w:rsidRPr="001677F9">
              <w:t>231/3131 (7.4)</w:t>
            </w:r>
          </w:p>
        </w:tc>
        <w:tc>
          <w:tcPr>
            <w:tcW w:w="1843" w:type="dxa"/>
            <w:shd w:val="clear" w:color="auto" w:fill="auto"/>
            <w:vAlign w:val="center"/>
          </w:tcPr>
          <w:p w14:paraId="3224A1EF" w14:textId="77777777" w:rsidR="00EB1C0D" w:rsidRPr="001677F9" w:rsidRDefault="00EB1C0D" w:rsidP="007E0D58">
            <w:pPr>
              <w:pStyle w:val="TableText0"/>
              <w:jc w:val="center"/>
            </w:pPr>
            <w:r w:rsidRPr="001677F9">
              <w:t>261/3132 (8.3)</w:t>
            </w:r>
          </w:p>
        </w:tc>
        <w:tc>
          <w:tcPr>
            <w:tcW w:w="2126" w:type="dxa"/>
            <w:shd w:val="clear" w:color="auto" w:fill="auto"/>
            <w:vAlign w:val="center"/>
          </w:tcPr>
          <w:p w14:paraId="42650F50" w14:textId="77777777" w:rsidR="00EB1C0D" w:rsidRPr="001677F9" w:rsidRDefault="00EB1C0D" w:rsidP="007E0D58">
            <w:pPr>
              <w:pStyle w:val="TableText0"/>
              <w:jc w:val="center"/>
              <w:rPr>
                <w:rFonts w:cs="Arial"/>
              </w:rPr>
            </w:pPr>
            <w:r w:rsidRPr="001677F9">
              <w:rPr>
                <w:rFonts w:cs="Arial"/>
              </w:rPr>
              <w:t>0.88 (0.74-1.05)</w:t>
            </w:r>
          </w:p>
        </w:tc>
      </w:tr>
      <w:tr w:rsidR="00EB1C0D" w:rsidRPr="001677F9" w14:paraId="47935C58" w14:textId="77777777" w:rsidTr="007C6C80">
        <w:tc>
          <w:tcPr>
            <w:tcW w:w="2122" w:type="dxa"/>
            <w:vAlign w:val="center"/>
          </w:tcPr>
          <w:p w14:paraId="0FFAC4E3" w14:textId="33EA5C4E" w:rsidR="00EB1C0D" w:rsidRPr="001677F9" w:rsidRDefault="00EB1C0D" w:rsidP="007E0D58">
            <w:pPr>
              <w:pStyle w:val="TableText0"/>
              <w:rPr>
                <w:vertAlign w:val="superscript"/>
              </w:rPr>
            </w:pPr>
            <w:r w:rsidRPr="001677F9">
              <w:t>Empagliflozin vs. placebo</w:t>
            </w:r>
            <w:r w:rsidR="00CB63E1" w:rsidRPr="001677F9">
              <w:rPr>
                <w:vertAlign w:val="superscript"/>
              </w:rPr>
              <w:t>b</w:t>
            </w:r>
          </w:p>
        </w:tc>
        <w:tc>
          <w:tcPr>
            <w:tcW w:w="888" w:type="dxa"/>
            <w:shd w:val="clear" w:color="auto" w:fill="auto"/>
            <w:vAlign w:val="center"/>
          </w:tcPr>
          <w:p w14:paraId="22600006" w14:textId="77777777" w:rsidR="00EB1C0D" w:rsidRPr="001677F9" w:rsidRDefault="00EB1C0D" w:rsidP="007E0D58">
            <w:pPr>
              <w:pStyle w:val="TableText0"/>
              <w:jc w:val="center"/>
            </w:pPr>
            <w:r w:rsidRPr="001677F9">
              <w:t>EMPEROR-Preserved</w:t>
            </w:r>
          </w:p>
        </w:tc>
        <w:tc>
          <w:tcPr>
            <w:tcW w:w="1805" w:type="dxa"/>
            <w:shd w:val="clear" w:color="auto" w:fill="auto"/>
            <w:vAlign w:val="center"/>
          </w:tcPr>
          <w:p w14:paraId="57EDAB90" w14:textId="4640DD06" w:rsidR="00EB1C0D" w:rsidRPr="001677F9" w:rsidRDefault="00EB1C0D" w:rsidP="007E0D58">
            <w:pPr>
              <w:pStyle w:val="TableText0"/>
              <w:jc w:val="center"/>
            </w:pPr>
            <w:r w:rsidRPr="001677F9">
              <w:t>186/2997 (6.2)</w:t>
            </w:r>
          </w:p>
        </w:tc>
        <w:tc>
          <w:tcPr>
            <w:tcW w:w="1843" w:type="dxa"/>
            <w:shd w:val="clear" w:color="auto" w:fill="auto"/>
            <w:vAlign w:val="center"/>
          </w:tcPr>
          <w:p w14:paraId="53DB94CB" w14:textId="5F11BB07" w:rsidR="00EB1C0D" w:rsidRPr="001677F9" w:rsidRDefault="00EB1C0D" w:rsidP="007E0D58">
            <w:pPr>
              <w:pStyle w:val="TableText0"/>
              <w:jc w:val="center"/>
            </w:pPr>
            <w:r w:rsidRPr="001677F9">
              <w:t>213/2991 (7.1)</w:t>
            </w:r>
          </w:p>
        </w:tc>
        <w:tc>
          <w:tcPr>
            <w:tcW w:w="2126" w:type="dxa"/>
            <w:shd w:val="clear" w:color="auto" w:fill="auto"/>
            <w:vAlign w:val="center"/>
          </w:tcPr>
          <w:p w14:paraId="29E815A6" w14:textId="77777777" w:rsidR="00EB1C0D" w:rsidRPr="001677F9" w:rsidRDefault="00EB1C0D" w:rsidP="007E0D58">
            <w:pPr>
              <w:pStyle w:val="TableText0"/>
              <w:jc w:val="center"/>
              <w:rPr>
                <w:rFonts w:cs="Arial"/>
              </w:rPr>
            </w:pPr>
            <w:r w:rsidRPr="001677F9">
              <w:rPr>
                <w:rFonts w:cs="Arial"/>
              </w:rPr>
              <w:t>0.88 (0.73-1.07)</w:t>
            </w:r>
          </w:p>
        </w:tc>
      </w:tr>
      <w:tr w:rsidR="00EB1C0D" w:rsidRPr="001677F9" w14:paraId="5C5F9B4B" w14:textId="77777777" w:rsidTr="007C6C80">
        <w:tc>
          <w:tcPr>
            <w:tcW w:w="2122" w:type="dxa"/>
            <w:vAlign w:val="center"/>
          </w:tcPr>
          <w:p w14:paraId="7B4A6A0A" w14:textId="0E9BC0DD" w:rsidR="00EB1C0D" w:rsidRPr="001677F9" w:rsidRDefault="00EB1C0D" w:rsidP="007E0D58">
            <w:pPr>
              <w:pStyle w:val="TableText0"/>
              <w:rPr>
                <w:vertAlign w:val="superscript"/>
              </w:rPr>
            </w:pPr>
            <w:r w:rsidRPr="001677F9">
              <w:t>Indirect estimate of effect adjusted for the common reference</w:t>
            </w:r>
          </w:p>
        </w:tc>
        <w:tc>
          <w:tcPr>
            <w:tcW w:w="888" w:type="dxa"/>
            <w:shd w:val="clear" w:color="auto" w:fill="auto"/>
            <w:vAlign w:val="center"/>
          </w:tcPr>
          <w:p w14:paraId="70D30C2C" w14:textId="77777777" w:rsidR="00EB1C0D" w:rsidRPr="001677F9" w:rsidRDefault="00EB1C0D" w:rsidP="007E0D58">
            <w:pPr>
              <w:pStyle w:val="TableText0"/>
              <w:jc w:val="center"/>
            </w:pPr>
            <w:r w:rsidRPr="001677F9">
              <w:t>–</w:t>
            </w:r>
          </w:p>
        </w:tc>
        <w:tc>
          <w:tcPr>
            <w:tcW w:w="1805" w:type="dxa"/>
            <w:shd w:val="clear" w:color="auto" w:fill="auto"/>
            <w:vAlign w:val="center"/>
          </w:tcPr>
          <w:p w14:paraId="6B86EEA4" w14:textId="77777777" w:rsidR="00EB1C0D" w:rsidRPr="001677F9" w:rsidRDefault="00EB1C0D" w:rsidP="007E0D58">
            <w:pPr>
              <w:pStyle w:val="TableText0"/>
              <w:jc w:val="center"/>
            </w:pPr>
            <w:r w:rsidRPr="001677F9">
              <w:t>–</w:t>
            </w:r>
          </w:p>
        </w:tc>
        <w:tc>
          <w:tcPr>
            <w:tcW w:w="1843" w:type="dxa"/>
            <w:shd w:val="clear" w:color="auto" w:fill="auto"/>
            <w:vAlign w:val="center"/>
          </w:tcPr>
          <w:p w14:paraId="327DF0C1" w14:textId="77777777" w:rsidR="00EB1C0D" w:rsidRPr="001677F9" w:rsidRDefault="00EB1C0D" w:rsidP="007E0D58">
            <w:pPr>
              <w:pStyle w:val="TableText0"/>
              <w:jc w:val="center"/>
            </w:pPr>
            <w:r w:rsidRPr="001677F9">
              <w:t>–</w:t>
            </w:r>
          </w:p>
        </w:tc>
        <w:tc>
          <w:tcPr>
            <w:tcW w:w="2126" w:type="dxa"/>
            <w:shd w:val="clear" w:color="auto" w:fill="auto"/>
            <w:vAlign w:val="center"/>
          </w:tcPr>
          <w:p w14:paraId="2489FA9A" w14:textId="77777777" w:rsidR="00EB1C0D" w:rsidRPr="001677F9" w:rsidRDefault="00EB1C0D" w:rsidP="007E0D58">
            <w:pPr>
              <w:pStyle w:val="TableText0"/>
              <w:jc w:val="center"/>
              <w:rPr>
                <w:rFonts w:cs="Arial"/>
              </w:rPr>
            </w:pPr>
            <w:r w:rsidRPr="001677F9">
              <w:rPr>
                <w:rFonts w:cs="Arial"/>
              </w:rPr>
              <w:t>1.00 (0.77, 1.30)</w:t>
            </w:r>
          </w:p>
        </w:tc>
      </w:tr>
      <w:tr w:rsidR="00EB1C0D" w:rsidRPr="001677F9" w14:paraId="499D15F0" w14:textId="77777777" w:rsidTr="002A7165">
        <w:tc>
          <w:tcPr>
            <w:tcW w:w="8784" w:type="dxa"/>
            <w:gridSpan w:val="5"/>
            <w:vAlign w:val="center"/>
          </w:tcPr>
          <w:p w14:paraId="5AD572AC" w14:textId="77777777" w:rsidR="00EB1C0D" w:rsidRPr="001677F9" w:rsidRDefault="00EB1C0D" w:rsidP="007E0D58">
            <w:pPr>
              <w:pStyle w:val="TableText0"/>
              <w:rPr>
                <w:rFonts w:cs="Arial"/>
              </w:rPr>
            </w:pPr>
            <w:r w:rsidRPr="001677F9">
              <w:rPr>
                <w:b/>
                <w:bCs w:val="0"/>
              </w:rPr>
              <w:t xml:space="preserve">HHF </w:t>
            </w:r>
          </w:p>
        </w:tc>
      </w:tr>
      <w:tr w:rsidR="00EB1C0D" w:rsidRPr="001677F9" w14:paraId="7B3BD24A" w14:textId="77777777" w:rsidTr="007C6C80">
        <w:tc>
          <w:tcPr>
            <w:tcW w:w="2122" w:type="dxa"/>
            <w:vAlign w:val="center"/>
          </w:tcPr>
          <w:p w14:paraId="2A5F6FC8" w14:textId="40E3EADD" w:rsidR="00EB1C0D" w:rsidRPr="001677F9" w:rsidRDefault="00EB1C0D" w:rsidP="007E0D58">
            <w:pPr>
              <w:pStyle w:val="TableText0"/>
              <w:rPr>
                <w:vertAlign w:val="superscript"/>
              </w:rPr>
            </w:pPr>
            <w:r w:rsidRPr="001677F9">
              <w:t>Dapagliflozin vs. placebo</w:t>
            </w:r>
          </w:p>
        </w:tc>
        <w:tc>
          <w:tcPr>
            <w:tcW w:w="888" w:type="dxa"/>
            <w:shd w:val="clear" w:color="auto" w:fill="auto"/>
            <w:vAlign w:val="center"/>
          </w:tcPr>
          <w:p w14:paraId="2A500C19" w14:textId="77777777" w:rsidR="00EB1C0D" w:rsidRPr="001677F9" w:rsidRDefault="00EB1C0D" w:rsidP="007E0D58">
            <w:pPr>
              <w:pStyle w:val="TableText0"/>
              <w:jc w:val="center"/>
            </w:pPr>
            <w:r w:rsidRPr="001677F9">
              <w:t>DELIVER</w:t>
            </w:r>
          </w:p>
        </w:tc>
        <w:tc>
          <w:tcPr>
            <w:tcW w:w="1805" w:type="dxa"/>
            <w:shd w:val="clear" w:color="auto" w:fill="auto"/>
            <w:vAlign w:val="center"/>
          </w:tcPr>
          <w:p w14:paraId="5BECD6A6" w14:textId="77777777" w:rsidR="00EB1C0D" w:rsidRPr="001677F9" w:rsidRDefault="00EB1C0D" w:rsidP="007E0D58">
            <w:pPr>
              <w:pStyle w:val="TableText0"/>
              <w:jc w:val="center"/>
            </w:pPr>
            <w:r w:rsidRPr="001677F9">
              <w:t>329/3131 (10.5)</w:t>
            </w:r>
          </w:p>
        </w:tc>
        <w:tc>
          <w:tcPr>
            <w:tcW w:w="1843" w:type="dxa"/>
            <w:shd w:val="clear" w:color="auto" w:fill="auto"/>
            <w:vAlign w:val="center"/>
          </w:tcPr>
          <w:p w14:paraId="27F387A8" w14:textId="77777777" w:rsidR="00EB1C0D" w:rsidRPr="001677F9" w:rsidRDefault="00EB1C0D" w:rsidP="007E0D58">
            <w:pPr>
              <w:pStyle w:val="TableText0"/>
              <w:jc w:val="center"/>
            </w:pPr>
            <w:r w:rsidRPr="001677F9">
              <w:t>418/3132 (13.3)</w:t>
            </w:r>
          </w:p>
        </w:tc>
        <w:tc>
          <w:tcPr>
            <w:tcW w:w="2126" w:type="dxa"/>
            <w:shd w:val="clear" w:color="auto" w:fill="auto"/>
            <w:vAlign w:val="center"/>
          </w:tcPr>
          <w:p w14:paraId="44A7FA58" w14:textId="77777777" w:rsidR="00EB1C0D" w:rsidRPr="001677F9" w:rsidRDefault="00EB1C0D" w:rsidP="007E0D58">
            <w:pPr>
              <w:pStyle w:val="TableText0"/>
              <w:jc w:val="center"/>
              <w:rPr>
                <w:rFonts w:cs="Arial"/>
              </w:rPr>
            </w:pPr>
            <w:r w:rsidRPr="001677F9">
              <w:rPr>
                <w:rFonts w:cs="Arial"/>
              </w:rPr>
              <w:t>0.77 (0.67-0.89)</w:t>
            </w:r>
          </w:p>
        </w:tc>
      </w:tr>
      <w:tr w:rsidR="00EB1C0D" w:rsidRPr="001677F9" w14:paraId="75243336" w14:textId="77777777" w:rsidTr="007C6C80">
        <w:tc>
          <w:tcPr>
            <w:tcW w:w="2122" w:type="dxa"/>
            <w:vAlign w:val="center"/>
          </w:tcPr>
          <w:p w14:paraId="40FF564C" w14:textId="02B5EFF0" w:rsidR="00EB1C0D" w:rsidRPr="001677F9" w:rsidRDefault="00EB1C0D" w:rsidP="007E0D58">
            <w:pPr>
              <w:pStyle w:val="TableText0"/>
              <w:rPr>
                <w:vertAlign w:val="superscript"/>
              </w:rPr>
            </w:pPr>
            <w:r w:rsidRPr="001677F9">
              <w:t>Empagliflozin vs. placebo</w:t>
            </w:r>
          </w:p>
        </w:tc>
        <w:tc>
          <w:tcPr>
            <w:tcW w:w="888" w:type="dxa"/>
            <w:shd w:val="clear" w:color="auto" w:fill="auto"/>
            <w:vAlign w:val="center"/>
          </w:tcPr>
          <w:p w14:paraId="1E9E6D5D" w14:textId="77777777" w:rsidR="00EB1C0D" w:rsidRPr="001677F9" w:rsidRDefault="00EB1C0D" w:rsidP="007E0D58">
            <w:pPr>
              <w:pStyle w:val="TableText0"/>
              <w:jc w:val="center"/>
            </w:pPr>
            <w:r w:rsidRPr="001677F9">
              <w:t>EMPEROR-Preserved</w:t>
            </w:r>
          </w:p>
        </w:tc>
        <w:tc>
          <w:tcPr>
            <w:tcW w:w="1805" w:type="dxa"/>
            <w:shd w:val="clear" w:color="auto" w:fill="auto"/>
            <w:vAlign w:val="center"/>
          </w:tcPr>
          <w:p w14:paraId="3ED654C3" w14:textId="416C1515" w:rsidR="00EB1C0D" w:rsidRPr="001677F9" w:rsidRDefault="00EB1C0D" w:rsidP="007E0D58">
            <w:pPr>
              <w:pStyle w:val="TableText0"/>
              <w:jc w:val="center"/>
            </w:pPr>
            <w:r w:rsidRPr="001677F9">
              <w:t>259/2997 (8.6)</w:t>
            </w:r>
          </w:p>
        </w:tc>
        <w:tc>
          <w:tcPr>
            <w:tcW w:w="1843" w:type="dxa"/>
            <w:shd w:val="clear" w:color="auto" w:fill="auto"/>
            <w:vAlign w:val="center"/>
          </w:tcPr>
          <w:p w14:paraId="3F7E9DB9" w14:textId="6A71A1AA" w:rsidR="00EB1C0D" w:rsidRPr="001677F9" w:rsidRDefault="00EB1C0D" w:rsidP="007E0D58">
            <w:pPr>
              <w:pStyle w:val="TableText0"/>
              <w:jc w:val="center"/>
            </w:pPr>
            <w:r w:rsidRPr="001677F9">
              <w:t>352/2991 (11.8)</w:t>
            </w:r>
          </w:p>
        </w:tc>
        <w:tc>
          <w:tcPr>
            <w:tcW w:w="2126" w:type="dxa"/>
            <w:shd w:val="clear" w:color="auto" w:fill="auto"/>
            <w:vAlign w:val="center"/>
          </w:tcPr>
          <w:p w14:paraId="777596B9" w14:textId="77777777" w:rsidR="00EB1C0D" w:rsidRPr="001677F9" w:rsidRDefault="00EB1C0D" w:rsidP="007E0D58">
            <w:pPr>
              <w:pStyle w:val="TableText0"/>
              <w:jc w:val="center"/>
              <w:rPr>
                <w:rFonts w:cs="Arial"/>
              </w:rPr>
            </w:pPr>
            <w:r w:rsidRPr="001677F9">
              <w:rPr>
                <w:rFonts w:cs="Arial"/>
              </w:rPr>
              <w:t>0.71 (0.60-0.83)</w:t>
            </w:r>
          </w:p>
        </w:tc>
      </w:tr>
      <w:tr w:rsidR="00EB1C0D" w:rsidRPr="001677F9" w14:paraId="616BD320" w14:textId="77777777" w:rsidTr="007C6C80">
        <w:tc>
          <w:tcPr>
            <w:tcW w:w="2122" w:type="dxa"/>
            <w:vAlign w:val="center"/>
          </w:tcPr>
          <w:p w14:paraId="08CD9023" w14:textId="18C280E3" w:rsidR="00EB1C0D" w:rsidRPr="001677F9" w:rsidRDefault="00EB1C0D" w:rsidP="007E0D58">
            <w:pPr>
              <w:pStyle w:val="TableText0"/>
              <w:rPr>
                <w:vertAlign w:val="superscript"/>
              </w:rPr>
            </w:pPr>
            <w:r w:rsidRPr="001677F9">
              <w:t>Indirect estimate of effect adjusted for the common reference</w:t>
            </w:r>
          </w:p>
        </w:tc>
        <w:tc>
          <w:tcPr>
            <w:tcW w:w="888" w:type="dxa"/>
            <w:shd w:val="clear" w:color="auto" w:fill="auto"/>
            <w:vAlign w:val="center"/>
          </w:tcPr>
          <w:p w14:paraId="511F4962" w14:textId="77777777" w:rsidR="00EB1C0D" w:rsidRPr="001677F9" w:rsidRDefault="00EB1C0D" w:rsidP="007E0D58">
            <w:pPr>
              <w:pStyle w:val="TableText0"/>
              <w:jc w:val="center"/>
            </w:pPr>
            <w:r w:rsidRPr="001677F9">
              <w:t>–</w:t>
            </w:r>
          </w:p>
        </w:tc>
        <w:tc>
          <w:tcPr>
            <w:tcW w:w="1805" w:type="dxa"/>
            <w:shd w:val="clear" w:color="auto" w:fill="auto"/>
            <w:vAlign w:val="center"/>
          </w:tcPr>
          <w:p w14:paraId="384F170F" w14:textId="77777777" w:rsidR="00EB1C0D" w:rsidRPr="001677F9" w:rsidRDefault="00EB1C0D" w:rsidP="007E0D58">
            <w:pPr>
              <w:pStyle w:val="TableText0"/>
              <w:jc w:val="center"/>
            </w:pPr>
            <w:r w:rsidRPr="001677F9">
              <w:t>–</w:t>
            </w:r>
          </w:p>
        </w:tc>
        <w:tc>
          <w:tcPr>
            <w:tcW w:w="1843" w:type="dxa"/>
            <w:shd w:val="clear" w:color="auto" w:fill="auto"/>
            <w:vAlign w:val="center"/>
          </w:tcPr>
          <w:p w14:paraId="4D3467DA" w14:textId="77777777" w:rsidR="00EB1C0D" w:rsidRPr="001677F9" w:rsidRDefault="00EB1C0D" w:rsidP="007E0D58">
            <w:pPr>
              <w:pStyle w:val="TableText0"/>
              <w:jc w:val="center"/>
            </w:pPr>
            <w:r w:rsidRPr="001677F9">
              <w:t>–</w:t>
            </w:r>
          </w:p>
        </w:tc>
        <w:tc>
          <w:tcPr>
            <w:tcW w:w="2126" w:type="dxa"/>
            <w:shd w:val="clear" w:color="auto" w:fill="auto"/>
            <w:vAlign w:val="center"/>
          </w:tcPr>
          <w:p w14:paraId="6E80E205" w14:textId="77777777" w:rsidR="00EB1C0D" w:rsidRPr="001677F9" w:rsidRDefault="00EB1C0D" w:rsidP="007E0D58">
            <w:pPr>
              <w:pStyle w:val="TableText0"/>
              <w:jc w:val="center"/>
              <w:rPr>
                <w:rFonts w:cs="Arial"/>
              </w:rPr>
            </w:pPr>
            <w:r w:rsidRPr="001677F9">
              <w:rPr>
                <w:rFonts w:cs="Arial"/>
              </w:rPr>
              <w:t>1.09 (0.87, 1.35)</w:t>
            </w:r>
          </w:p>
        </w:tc>
      </w:tr>
      <w:tr w:rsidR="00EB1C0D" w:rsidRPr="001677F9" w14:paraId="14E83DBB" w14:textId="77777777" w:rsidTr="002A7165">
        <w:tc>
          <w:tcPr>
            <w:tcW w:w="8784" w:type="dxa"/>
            <w:gridSpan w:val="5"/>
            <w:vAlign w:val="center"/>
          </w:tcPr>
          <w:p w14:paraId="008F4F77" w14:textId="77777777" w:rsidR="00EB1C0D" w:rsidRPr="001677F9" w:rsidRDefault="00EB1C0D" w:rsidP="007E0D58">
            <w:pPr>
              <w:pStyle w:val="TableText0"/>
              <w:rPr>
                <w:rFonts w:cs="Arial"/>
              </w:rPr>
            </w:pPr>
            <w:r w:rsidRPr="001677F9">
              <w:rPr>
                <w:b/>
                <w:bCs w:val="0"/>
              </w:rPr>
              <w:t>All-cause death</w:t>
            </w:r>
          </w:p>
        </w:tc>
      </w:tr>
      <w:tr w:rsidR="00EB1C0D" w:rsidRPr="001677F9" w14:paraId="53D1892D" w14:textId="77777777" w:rsidTr="007C6C80">
        <w:tc>
          <w:tcPr>
            <w:tcW w:w="2122" w:type="dxa"/>
            <w:vAlign w:val="center"/>
          </w:tcPr>
          <w:p w14:paraId="2C94FCF0" w14:textId="78D74EDE" w:rsidR="00EB1C0D" w:rsidRPr="001677F9" w:rsidRDefault="00EB1C0D" w:rsidP="007E0D58">
            <w:pPr>
              <w:pStyle w:val="TableText0"/>
              <w:rPr>
                <w:vertAlign w:val="superscript"/>
              </w:rPr>
            </w:pPr>
            <w:r w:rsidRPr="001677F9">
              <w:t>Dapagliflozin vs. placebo</w:t>
            </w:r>
          </w:p>
        </w:tc>
        <w:tc>
          <w:tcPr>
            <w:tcW w:w="888" w:type="dxa"/>
            <w:shd w:val="clear" w:color="auto" w:fill="auto"/>
            <w:vAlign w:val="center"/>
          </w:tcPr>
          <w:p w14:paraId="6AB84589" w14:textId="77777777" w:rsidR="00EB1C0D" w:rsidRPr="001677F9" w:rsidRDefault="00EB1C0D" w:rsidP="007E0D58">
            <w:pPr>
              <w:pStyle w:val="TableText0"/>
              <w:jc w:val="center"/>
            </w:pPr>
            <w:r w:rsidRPr="001677F9">
              <w:t>DELIVER</w:t>
            </w:r>
          </w:p>
        </w:tc>
        <w:tc>
          <w:tcPr>
            <w:tcW w:w="1805" w:type="dxa"/>
            <w:shd w:val="clear" w:color="auto" w:fill="auto"/>
            <w:vAlign w:val="center"/>
          </w:tcPr>
          <w:p w14:paraId="3A507FC2" w14:textId="77777777" w:rsidR="00EB1C0D" w:rsidRPr="001677F9" w:rsidRDefault="00EB1C0D" w:rsidP="007E0D58">
            <w:pPr>
              <w:pStyle w:val="TableText0"/>
              <w:jc w:val="center"/>
            </w:pPr>
            <w:r w:rsidRPr="001677F9">
              <w:t>497/3131 (15.9)</w:t>
            </w:r>
          </w:p>
        </w:tc>
        <w:tc>
          <w:tcPr>
            <w:tcW w:w="1843" w:type="dxa"/>
            <w:shd w:val="clear" w:color="auto" w:fill="auto"/>
            <w:vAlign w:val="center"/>
          </w:tcPr>
          <w:p w14:paraId="3D4215AF" w14:textId="77777777" w:rsidR="00EB1C0D" w:rsidRPr="001677F9" w:rsidRDefault="00EB1C0D" w:rsidP="007E0D58">
            <w:pPr>
              <w:pStyle w:val="TableText0"/>
              <w:jc w:val="center"/>
            </w:pPr>
            <w:r w:rsidRPr="001677F9">
              <w:t>526/3132 (16.8)</w:t>
            </w:r>
          </w:p>
        </w:tc>
        <w:tc>
          <w:tcPr>
            <w:tcW w:w="2126" w:type="dxa"/>
            <w:shd w:val="clear" w:color="auto" w:fill="auto"/>
            <w:vAlign w:val="center"/>
          </w:tcPr>
          <w:p w14:paraId="2B46BD1B" w14:textId="77777777" w:rsidR="00EB1C0D" w:rsidRPr="001677F9" w:rsidRDefault="00EB1C0D" w:rsidP="007E0D58">
            <w:pPr>
              <w:pStyle w:val="TableText0"/>
              <w:jc w:val="center"/>
              <w:rPr>
                <w:rFonts w:cs="Arial"/>
              </w:rPr>
            </w:pPr>
            <w:r w:rsidRPr="001677F9">
              <w:rPr>
                <w:rFonts w:cs="Arial"/>
              </w:rPr>
              <w:t>0.94 (0.83-1.07)</w:t>
            </w:r>
          </w:p>
        </w:tc>
      </w:tr>
      <w:tr w:rsidR="00EB1C0D" w:rsidRPr="001677F9" w14:paraId="6A840B2E" w14:textId="77777777" w:rsidTr="007C6C80">
        <w:tc>
          <w:tcPr>
            <w:tcW w:w="2122" w:type="dxa"/>
            <w:vAlign w:val="center"/>
          </w:tcPr>
          <w:p w14:paraId="2888716B" w14:textId="76F999A6" w:rsidR="00EB1C0D" w:rsidRPr="001677F9" w:rsidRDefault="00EB1C0D" w:rsidP="007E0D58">
            <w:pPr>
              <w:pStyle w:val="TableText0"/>
              <w:rPr>
                <w:vertAlign w:val="superscript"/>
              </w:rPr>
            </w:pPr>
            <w:r w:rsidRPr="001677F9">
              <w:t>Empagliflozin vs. placebo</w:t>
            </w:r>
          </w:p>
        </w:tc>
        <w:tc>
          <w:tcPr>
            <w:tcW w:w="888" w:type="dxa"/>
            <w:shd w:val="clear" w:color="auto" w:fill="auto"/>
            <w:vAlign w:val="center"/>
          </w:tcPr>
          <w:p w14:paraId="1573E932" w14:textId="77777777" w:rsidR="00EB1C0D" w:rsidRPr="001677F9" w:rsidRDefault="00EB1C0D" w:rsidP="007E0D58">
            <w:pPr>
              <w:pStyle w:val="TableText0"/>
              <w:jc w:val="center"/>
            </w:pPr>
            <w:r w:rsidRPr="001677F9">
              <w:t>EMPEROR-Preserved</w:t>
            </w:r>
          </w:p>
        </w:tc>
        <w:tc>
          <w:tcPr>
            <w:tcW w:w="1805" w:type="dxa"/>
            <w:shd w:val="clear" w:color="auto" w:fill="auto"/>
            <w:vAlign w:val="center"/>
          </w:tcPr>
          <w:p w14:paraId="1AC5D60B" w14:textId="4272C158" w:rsidR="00EB1C0D" w:rsidRPr="001677F9" w:rsidRDefault="00EB1C0D" w:rsidP="007E0D58">
            <w:pPr>
              <w:pStyle w:val="TableText0"/>
              <w:jc w:val="center"/>
            </w:pPr>
            <w:r w:rsidRPr="001677F9">
              <w:t>422/2997 (14.1)</w:t>
            </w:r>
          </w:p>
        </w:tc>
        <w:tc>
          <w:tcPr>
            <w:tcW w:w="1843" w:type="dxa"/>
            <w:shd w:val="clear" w:color="auto" w:fill="auto"/>
            <w:vAlign w:val="center"/>
          </w:tcPr>
          <w:p w14:paraId="32B12449" w14:textId="2453EB33" w:rsidR="00EB1C0D" w:rsidRPr="001677F9" w:rsidRDefault="00EB1C0D" w:rsidP="007E0D58">
            <w:pPr>
              <w:pStyle w:val="TableText0"/>
              <w:jc w:val="center"/>
            </w:pPr>
            <w:r w:rsidRPr="001677F9">
              <w:t>427/2991 (14.3)</w:t>
            </w:r>
          </w:p>
        </w:tc>
        <w:tc>
          <w:tcPr>
            <w:tcW w:w="2126" w:type="dxa"/>
            <w:shd w:val="clear" w:color="auto" w:fill="auto"/>
            <w:vAlign w:val="center"/>
          </w:tcPr>
          <w:p w14:paraId="50C9D883" w14:textId="77777777" w:rsidR="00EB1C0D" w:rsidRPr="001677F9" w:rsidRDefault="00EB1C0D" w:rsidP="007E0D58">
            <w:pPr>
              <w:pStyle w:val="TableText0"/>
              <w:jc w:val="center"/>
              <w:rPr>
                <w:rFonts w:cs="Arial"/>
              </w:rPr>
            </w:pPr>
            <w:r w:rsidRPr="001677F9">
              <w:rPr>
                <w:rFonts w:cs="Arial"/>
              </w:rPr>
              <w:t>1.00 (0.87-1.15)</w:t>
            </w:r>
          </w:p>
        </w:tc>
      </w:tr>
      <w:tr w:rsidR="00EB1C0D" w:rsidRPr="001677F9" w14:paraId="51571EF3" w14:textId="77777777" w:rsidTr="007C6C80">
        <w:tc>
          <w:tcPr>
            <w:tcW w:w="2122" w:type="dxa"/>
            <w:vAlign w:val="center"/>
          </w:tcPr>
          <w:p w14:paraId="66ADCBA2" w14:textId="60887102" w:rsidR="00EB1C0D" w:rsidRPr="001677F9" w:rsidRDefault="00EB1C0D" w:rsidP="007E0D58">
            <w:pPr>
              <w:pStyle w:val="TableText0"/>
              <w:rPr>
                <w:vertAlign w:val="superscript"/>
              </w:rPr>
            </w:pPr>
            <w:r w:rsidRPr="001677F9">
              <w:t>Indirect estimate of effect adjusted for the common reference</w:t>
            </w:r>
          </w:p>
        </w:tc>
        <w:tc>
          <w:tcPr>
            <w:tcW w:w="888" w:type="dxa"/>
            <w:shd w:val="clear" w:color="auto" w:fill="auto"/>
            <w:vAlign w:val="center"/>
          </w:tcPr>
          <w:p w14:paraId="346A0395" w14:textId="77777777" w:rsidR="00EB1C0D" w:rsidRPr="001677F9" w:rsidRDefault="00EB1C0D" w:rsidP="007E0D58">
            <w:pPr>
              <w:pStyle w:val="TableText0"/>
              <w:jc w:val="center"/>
            </w:pPr>
            <w:r w:rsidRPr="001677F9">
              <w:t>–</w:t>
            </w:r>
          </w:p>
        </w:tc>
        <w:tc>
          <w:tcPr>
            <w:tcW w:w="1805" w:type="dxa"/>
            <w:shd w:val="clear" w:color="auto" w:fill="auto"/>
            <w:vAlign w:val="center"/>
          </w:tcPr>
          <w:p w14:paraId="62183D06" w14:textId="77777777" w:rsidR="00EB1C0D" w:rsidRPr="001677F9" w:rsidRDefault="00EB1C0D" w:rsidP="007E0D58">
            <w:pPr>
              <w:pStyle w:val="TableText0"/>
              <w:jc w:val="center"/>
            </w:pPr>
            <w:r w:rsidRPr="001677F9">
              <w:t>–</w:t>
            </w:r>
          </w:p>
        </w:tc>
        <w:tc>
          <w:tcPr>
            <w:tcW w:w="1843" w:type="dxa"/>
            <w:shd w:val="clear" w:color="auto" w:fill="auto"/>
            <w:vAlign w:val="center"/>
          </w:tcPr>
          <w:p w14:paraId="56E9FD79" w14:textId="77777777" w:rsidR="00EB1C0D" w:rsidRPr="001677F9" w:rsidRDefault="00EB1C0D" w:rsidP="007E0D58">
            <w:pPr>
              <w:pStyle w:val="TableText0"/>
              <w:jc w:val="center"/>
            </w:pPr>
            <w:r w:rsidRPr="001677F9">
              <w:t>–</w:t>
            </w:r>
          </w:p>
        </w:tc>
        <w:tc>
          <w:tcPr>
            <w:tcW w:w="2126" w:type="dxa"/>
            <w:shd w:val="clear" w:color="auto" w:fill="auto"/>
            <w:vAlign w:val="center"/>
          </w:tcPr>
          <w:p w14:paraId="69ADF32E" w14:textId="77777777" w:rsidR="00EB1C0D" w:rsidRPr="001677F9" w:rsidRDefault="00EB1C0D" w:rsidP="007E0D58">
            <w:pPr>
              <w:pStyle w:val="TableText0"/>
              <w:jc w:val="center"/>
              <w:rPr>
                <w:rFonts w:cs="Arial"/>
              </w:rPr>
            </w:pPr>
            <w:r w:rsidRPr="001677F9">
              <w:rPr>
                <w:rFonts w:cs="Arial"/>
              </w:rPr>
              <w:t>0.94 (0.78, 1.14)</w:t>
            </w:r>
          </w:p>
        </w:tc>
      </w:tr>
    </w:tbl>
    <w:p w14:paraId="0D7806C9" w14:textId="2E598124" w:rsidR="002D6E1E" w:rsidRPr="001677F9" w:rsidRDefault="00EB1C0D" w:rsidP="002D6E1E">
      <w:pPr>
        <w:pStyle w:val="FooterTableFigure"/>
        <w:keepNext/>
        <w:spacing w:after="0"/>
      </w:pPr>
      <w:r w:rsidRPr="001677F9">
        <w:t>Source:</w:t>
      </w:r>
      <w:r w:rsidR="00CD1DF2" w:rsidRPr="001677F9">
        <w:t xml:space="preserve"> Table 2.6-3, pp94-95 of the submission</w:t>
      </w:r>
      <w:r w:rsidR="002D6E1E" w:rsidRPr="001677F9">
        <w:t xml:space="preserve">, </w:t>
      </w:r>
      <w:r w:rsidR="00E0674C" w:rsidRPr="001677F9">
        <w:t xml:space="preserve">Table 2.5.2, pp65-66 of the submission and </w:t>
      </w:r>
      <w:r w:rsidR="002D6E1E" w:rsidRPr="001677F9">
        <w:t>Figure 1, p761</w:t>
      </w:r>
      <w:r w:rsidR="007C6C80" w:rsidRPr="001677F9">
        <w:t xml:space="preserve"> and</w:t>
      </w:r>
      <w:r w:rsidR="002D6E1E" w:rsidRPr="001677F9">
        <w:t xml:space="preserve"> Vaduganathan et al 2022.</w:t>
      </w:r>
    </w:p>
    <w:p w14:paraId="5EB23A84" w14:textId="3AD6D335" w:rsidR="00EB1C0D" w:rsidRPr="001677F9" w:rsidRDefault="00EB1C0D" w:rsidP="007C6C80">
      <w:pPr>
        <w:pStyle w:val="Tablenotes"/>
        <w:keepNext/>
        <w:widowControl/>
        <w:spacing w:before="0" w:after="0" w:line="240" w:lineRule="auto"/>
        <w:rPr>
          <w:rFonts w:ascii="Arial Narrow" w:hAnsi="Arial Narrow" w:cs="Arial"/>
        </w:rPr>
      </w:pPr>
      <w:r w:rsidRPr="001677F9">
        <w:rPr>
          <w:rFonts w:ascii="Arial Narrow" w:hAnsi="Arial Narrow" w:cs="Arial"/>
        </w:rPr>
        <w:t>CI = confidence interval</w:t>
      </w:r>
      <w:r w:rsidR="00E31810" w:rsidRPr="001677F9">
        <w:rPr>
          <w:rFonts w:ascii="Arial Narrow" w:hAnsi="Arial Narrow" w:cs="Arial"/>
        </w:rPr>
        <w:t>;</w:t>
      </w:r>
      <w:r w:rsidRPr="001677F9">
        <w:rPr>
          <w:rFonts w:ascii="Arial Narrow" w:hAnsi="Arial Narrow" w:cs="Arial"/>
        </w:rPr>
        <w:t xml:space="preserve"> </w:t>
      </w:r>
      <w:r w:rsidR="002A0F05" w:rsidRPr="001677F9">
        <w:rPr>
          <w:rFonts w:ascii="Arial Narrow" w:hAnsi="Arial Narrow" w:cs="Arial"/>
        </w:rPr>
        <w:t>CV = cardiovascular</w:t>
      </w:r>
      <w:r w:rsidR="00E31810" w:rsidRPr="001677F9">
        <w:rPr>
          <w:rFonts w:ascii="Arial Narrow" w:hAnsi="Arial Narrow" w:cs="Arial"/>
        </w:rPr>
        <w:t>;</w:t>
      </w:r>
      <w:r w:rsidR="002A0F05" w:rsidRPr="001677F9">
        <w:rPr>
          <w:rFonts w:ascii="Arial Narrow" w:hAnsi="Arial Narrow" w:cs="Arial"/>
        </w:rPr>
        <w:t xml:space="preserve"> </w:t>
      </w:r>
      <w:r w:rsidRPr="001677F9">
        <w:rPr>
          <w:rFonts w:ascii="Arial Narrow" w:hAnsi="Arial Narrow" w:cs="Arial"/>
        </w:rPr>
        <w:t>HHF = hospitalisation due to heart failure</w:t>
      </w:r>
      <w:r w:rsidR="00E31810" w:rsidRPr="001677F9">
        <w:rPr>
          <w:rFonts w:ascii="Arial Narrow" w:hAnsi="Arial Narrow" w:cs="Arial"/>
        </w:rPr>
        <w:t>.</w:t>
      </w:r>
    </w:p>
    <w:p w14:paraId="29C08487" w14:textId="77777777" w:rsidR="00CB63E1" w:rsidRPr="001677F9" w:rsidRDefault="00CB63E1" w:rsidP="00CB63E1">
      <w:pPr>
        <w:pStyle w:val="FooterTableFigure"/>
        <w:spacing w:after="0"/>
      </w:pPr>
      <w:r w:rsidRPr="001677F9">
        <w:rPr>
          <w:vertAlign w:val="superscript"/>
        </w:rPr>
        <w:t>a</w:t>
      </w:r>
      <w:r w:rsidRPr="001677F9">
        <w:t xml:space="preserve"> Reanalysed data from meta-analysis by Vaduganathan 2022 to align with primary composite outcome in EMPEROR-Preserved</w:t>
      </w:r>
    </w:p>
    <w:p w14:paraId="25B278AF" w14:textId="56E249B5" w:rsidR="00CD1DF2" w:rsidRPr="001677F9" w:rsidRDefault="00CD1DF2" w:rsidP="007E0D58">
      <w:pPr>
        <w:pStyle w:val="Tablenotes"/>
        <w:keepNext/>
        <w:widowControl/>
        <w:spacing w:before="0" w:after="0"/>
        <w:rPr>
          <w:rFonts w:ascii="Arial Narrow" w:hAnsi="Arial Narrow" w:cstheme="minorHAnsi"/>
        </w:rPr>
      </w:pPr>
      <w:r w:rsidRPr="001677F9">
        <w:rPr>
          <w:rFonts w:ascii="Arial Narrow" w:hAnsi="Arial Narrow" w:cs="Arial"/>
          <w:vertAlign w:val="superscript"/>
        </w:rPr>
        <w:t xml:space="preserve">b </w:t>
      </w:r>
      <w:r w:rsidR="00CB63E1" w:rsidRPr="001677F9">
        <w:rPr>
          <w:rFonts w:ascii="Arial Narrow" w:hAnsi="Arial Narrow" w:cstheme="minorHAnsi"/>
        </w:rPr>
        <w:t>Reanalysed data from meta-analysis by Vaduganathan 2022 to align definition of CV death with that of DELIVER</w:t>
      </w:r>
    </w:p>
    <w:p w14:paraId="61E0CADF" w14:textId="07D3AD86" w:rsidR="00337911" w:rsidRPr="001677F9" w:rsidRDefault="00337911" w:rsidP="00337911">
      <w:pPr>
        <w:pStyle w:val="Tablenotes"/>
        <w:spacing w:before="0" w:after="0"/>
        <w:rPr>
          <w:rFonts w:ascii="Arial Narrow" w:hAnsi="Arial Narrow" w:cs="Arial"/>
        </w:rPr>
      </w:pPr>
    </w:p>
    <w:p w14:paraId="4BB40202" w14:textId="48D5B6BB" w:rsidR="00EB1C0D" w:rsidRPr="001677F9" w:rsidRDefault="00A36CF2" w:rsidP="000E3B7A">
      <w:pPr>
        <w:pStyle w:val="3-BodyText"/>
      </w:pPr>
      <w:bookmarkStart w:id="36" w:name="_Hlk132301426"/>
      <w:bookmarkStart w:id="37" w:name="_Hlk140659554"/>
      <w:r w:rsidRPr="001677F9">
        <w:t>For the primary composite outcome of CV death or HHF, there was no significant difference between dapagliflozin and empagliflozin</w:t>
      </w:r>
      <w:r w:rsidR="000E1816" w:rsidRPr="001677F9">
        <w:t>, with</w:t>
      </w:r>
      <w:r w:rsidR="00812F0C" w:rsidRPr="001677F9">
        <w:t xml:space="preserve"> the estimated hazard ratio and 95% confidence interval suggesting</w:t>
      </w:r>
      <w:r w:rsidR="000E1816" w:rsidRPr="001677F9">
        <w:t xml:space="preserve"> </w:t>
      </w:r>
      <w:r w:rsidR="00531E59" w:rsidRPr="001677F9">
        <w:t>non-inferior</w:t>
      </w:r>
      <w:r w:rsidR="000E1816" w:rsidRPr="001677F9">
        <w:t xml:space="preserve"> efficacy</w:t>
      </w:r>
      <w:r w:rsidRPr="001677F9">
        <w:t xml:space="preserve"> (HR 1.01, 95% CI 0.84, 1.22), </w:t>
      </w:r>
      <w:r w:rsidR="000E1816" w:rsidRPr="001677F9">
        <w:t xml:space="preserve">and </w:t>
      </w:r>
      <w:r w:rsidRPr="001677F9">
        <w:t xml:space="preserve">similar </w:t>
      </w:r>
      <w:r w:rsidR="000E1816" w:rsidRPr="001677F9">
        <w:t xml:space="preserve">composite outcome rates </w:t>
      </w:r>
      <w:r w:rsidRPr="001677F9">
        <w:t xml:space="preserve">in the placebo groups </w:t>
      </w:r>
      <w:r w:rsidR="000E1816" w:rsidRPr="001677F9">
        <w:t xml:space="preserve">of </w:t>
      </w:r>
      <w:r w:rsidRPr="001677F9">
        <w:t xml:space="preserve">both the DELIVER </w:t>
      </w:r>
      <w:r w:rsidRPr="001677F9">
        <w:lastRenderedPageBreak/>
        <w:t>and EMPEROR-Preserved trials (18.4% and 17.1% respectively). Similarly, for the individual components of the composite outcome and all-cause death, there was no significant difference between dapagliflozin and empagliflozin</w:t>
      </w:r>
      <w:r w:rsidR="000E1816" w:rsidRPr="001677F9">
        <w:t xml:space="preserve">, and similar </w:t>
      </w:r>
      <w:r w:rsidRPr="001677F9">
        <w:t>proportions in placebo groups between trials.</w:t>
      </w:r>
      <w:bookmarkEnd w:id="36"/>
    </w:p>
    <w:p w14:paraId="5E48082F" w14:textId="72C29CBA" w:rsidR="00E24923" w:rsidRPr="001677F9" w:rsidRDefault="00B478E5" w:rsidP="008407C6">
      <w:pPr>
        <w:pStyle w:val="3-BodyText"/>
        <w:rPr>
          <w:iCs/>
        </w:rPr>
      </w:pPr>
      <w:r w:rsidRPr="001677F9">
        <w:rPr>
          <w:iCs/>
        </w:rPr>
        <w:t xml:space="preserve">The ESC noted that the </w:t>
      </w:r>
      <w:r w:rsidR="00E24923" w:rsidRPr="001677F9">
        <w:rPr>
          <w:iCs/>
        </w:rPr>
        <w:t xml:space="preserve">relative risk reduction (RRR) and </w:t>
      </w:r>
      <w:r w:rsidRPr="001677F9">
        <w:rPr>
          <w:iCs/>
        </w:rPr>
        <w:t xml:space="preserve">absolute risk reduction (ARR) in the primary composite endpoint for dapagliflozin </w:t>
      </w:r>
      <w:r w:rsidR="00E24923" w:rsidRPr="001677F9">
        <w:rPr>
          <w:iCs/>
        </w:rPr>
        <w:t xml:space="preserve">compared with placebo </w:t>
      </w:r>
      <w:r w:rsidRPr="001677F9">
        <w:rPr>
          <w:iCs/>
        </w:rPr>
        <w:t>(</w:t>
      </w:r>
      <w:r w:rsidR="00E24923" w:rsidRPr="001677F9">
        <w:rPr>
          <w:iCs/>
        </w:rPr>
        <w:t>RRR=20%; ARR=</w:t>
      </w:r>
      <w:r w:rsidRPr="001677F9">
        <w:rPr>
          <w:iCs/>
        </w:rPr>
        <w:t>3.0% over a median follow-up of 28</w:t>
      </w:r>
      <w:r w:rsidR="00E24923" w:rsidRPr="001677F9">
        <w:rPr>
          <w:iCs/>
        </w:rPr>
        <w:t>.5</w:t>
      </w:r>
      <w:r w:rsidRPr="001677F9">
        <w:rPr>
          <w:iCs/>
        </w:rPr>
        <w:t xml:space="preserve"> months;</w:t>
      </w:r>
      <w:r w:rsidR="00E24923" w:rsidRPr="001677F9">
        <w:rPr>
          <w:iCs/>
        </w:rPr>
        <w:t xml:space="preserve"> </w:t>
      </w:r>
      <w:r w:rsidR="00E24923" w:rsidRPr="001677F9">
        <w:rPr>
          <w:iCs/>
        </w:rPr>
        <w:fldChar w:fldCharType="begin" w:fldLock="1"/>
      </w:r>
      <w:r w:rsidR="00E24923" w:rsidRPr="001677F9">
        <w:rPr>
          <w:iCs/>
        </w:rPr>
        <w:instrText xml:space="preserve"> REF _Ref132365124 \h  \* MERGEFORMAT </w:instrText>
      </w:r>
      <w:r w:rsidR="00E24923" w:rsidRPr="001677F9">
        <w:rPr>
          <w:iCs/>
        </w:rPr>
      </w:r>
      <w:r w:rsidR="00E24923" w:rsidRPr="001677F9">
        <w:rPr>
          <w:iCs/>
        </w:rPr>
        <w:fldChar w:fldCharType="separate"/>
      </w:r>
      <w:r w:rsidR="002C43D4" w:rsidRPr="001677F9">
        <w:rPr>
          <w:iCs/>
        </w:rPr>
        <w:t>Figure 1</w:t>
      </w:r>
      <w:r w:rsidR="00E24923" w:rsidRPr="001677F9">
        <w:rPr>
          <w:iCs/>
        </w:rPr>
        <w:fldChar w:fldCharType="end"/>
      </w:r>
      <w:r w:rsidRPr="001677F9">
        <w:rPr>
          <w:iCs/>
        </w:rPr>
        <w:t>) was similar to th</w:t>
      </w:r>
      <w:r w:rsidR="00E24923" w:rsidRPr="001677F9">
        <w:rPr>
          <w:iCs/>
        </w:rPr>
        <w:t>ose</w:t>
      </w:r>
      <w:r w:rsidRPr="001677F9">
        <w:rPr>
          <w:iCs/>
        </w:rPr>
        <w:t xml:space="preserve"> for empagliflozin in EMPEROR-Preserved (</w:t>
      </w:r>
      <w:r w:rsidR="00E24923" w:rsidRPr="001677F9">
        <w:rPr>
          <w:iCs/>
        </w:rPr>
        <w:t>RRR=21%; ARR=3.2% over a median follow-up of 26 months</w:t>
      </w:r>
      <w:r w:rsidR="00214FE2" w:rsidRPr="001677F9">
        <w:rPr>
          <w:iCs/>
        </w:rPr>
        <w:t>;</w:t>
      </w:r>
      <w:r w:rsidR="00E24923" w:rsidRPr="001677F9">
        <w:rPr>
          <w:iCs/>
        </w:rPr>
        <w:t xml:space="preserve"> Table 4, empagliflozin, PSD, November 2022 PBAC meeting).  </w:t>
      </w:r>
    </w:p>
    <w:p w14:paraId="1452C351" w14:textId="0D19F1B0" w:rsidR="00B60939" w:rsidRPr="001677F9" w:rsidRDefault="00B60939" w:rsidP="008A2105">
      <w:pPr>
        <w:pStyle w:val="4-SubsectionHeading"/>
      </w:pPr>
      <w:bookmarkStart w:id="38" w:name="_Toc135217174"/>
      <w:bookmarkEnd w:id="37"/>
      <w:r w:rsidRPr="001677F9">
        <w:t>Comparative harms</w:t>
      </w:r>
      <w:bookmarkEnd w:id="29"/>
      <w:bookmarkEnd w:id="38"/>
    </w:p>
    <w:p w14:paraId="41AE5D08" w14:textId="6FD052C4" w:rsidR="00EB1C0D" w:rsidRPr="001677F9" w:rsidRDefault="00507044" w:rsidP="00EB1C0D">
      <w:pPr>
        <w:pStyle w:val="3-BodyText"/>
      </w:pPr>
      <w:bookmarkStart w:id="39" w:name="_Toc22897643"/>
      <w:r w:rsidRPr="001677F9">
        <w:t>A summary of key adverse events</w:t>
      </w:r>
      <w:r w:rsidR="001710C9" w:rsidRPr="001677F9">
        <w:t xml:space="preserve"> (AEs) for patients on treatment</w:t>
      </w:r>
      <w:r w:rsidRPr="001677F9">
        <w:t xml:space="preserve"> in the </w:t>
      </w:r>
      <w:r w:rsidR="006D3F67" w:rsidRPr="001677F9">
        <w:t>DELIVER</w:t>
      </w:r>
      <w:r w:rsidRPr="001677F9">
        <w:t xml:space="preserve"> trial</w:t>
      </w:r>
      <w:r w:rsidR="001710C9" w:rsidRPr="001677F9">
        <w:t xml:space="preserve"> (</w:t>
      </w:r>
      <w:r w:rsidR="001710C9" w:rsidRPr="001677F9">
        <w:rPr>
          <w:rFonts w:cstheme="minorHAnsi"/>
        </w:rPr>
        <w:t>defined as adverse events (AEs) with an onset date after the first dose and up to and including 30 days following last dose of the study medicine)</w:t>
      </w:r>
      <w:r w:rsidRPr="001677F9">
        <w:t xml:space="preserve"> are presented in</w:t>
      </w:r>
      <w:r w:rsidR="0016580D" w:rsidRPr="001677F9">
        <w:t xml:space="preserve"> </w:t>
      </w:r>
      <w:r w:rsidR="0016580D" w:rsidRPr="001677F9">
        <w:fldChar w:fldCharType="begin" w:fldLock="1"/>
      </w:r>
      <w:r w:rsidR="0016580D" w:rsidRPr="001677F9">
        <w:instrText xml:space="preserve"> REF _Ref132365426 \h </w:instrText>
      </w:r>
      <w:r w:rsidR="0016580D" w:rsidRPr="001677F9">
        <w:fldChar w:fldCharType="separate"/>
      </w:r>
      <w:r w:rsidR="002C43D4" w:rsidRPr="001677F9">
        <w:t>Table 6</w:t>
      </w:r>
      <w:r w:rsidR="0016580D" w:rsidRPr="001677F9">
        <w:fldChar w:fldCharType="end"/>
      </w:r>
      <w:r w:rsidR="00531E59" w:rsidRPr="001677F9">
        <w:t>.</w:t>
      </w:r>
    </w:p>
    <w:p w14:paraId="336FDF50" w14:textId="338056AA" w:rsidR="00507044" w:rsidRPr="001677F9" w:rsidRDefault="0016580D" w:rsidP="0016580D">
      <w:pPr>
        <w:pStyle w:val="Caption"/>
      </w:pPr>
      <w:bookmarkStart w:id="40" w:name="_Ref132365426"/>
      <w:r w:rsidRPr="001677F9">
        <w:t xml:space="preserve">Table </w:t>
      </w:r>
      <w:fldSimple w:instr=" SEQ Table \* ARABIC " w:fldLock="1">
        <w:r w:rsidR="002C43D4" w:rsidRPr="001677F9">
          <w:t>6</w:t>
        </w:r>
      </w:fldSimple>
      <w:bookmarkEnd w:id="40"/>
      <w:r w:rsidR="00507044" w:rsidRPr="001677F9">
        <w:rPr>
          <w:szCs w:val="20"/>
        </w:rPr>
        <w:t>:</w:t>
      </w:r>
      <w:r w:rsidR="00507044" w:rsidRPr="001677F9">
        <w:rPr>
          <w:b w:val="0"/>
          <w:bCs w:val="0"/>
        </w:rPr>
        <w:t xml:space="preserve"> </w:t>
      </w:r>
      <w:r w:rsidR="00507044" w:rsidRPr="001677F9">
        <w:rPr>
          <w:rStyle w:val="CommentReference"/>
          <w:b/>
          <w:bCs w:val="0"/>
          <w:szCs w:val="24"/>
        </w:rPr>
        <w:t xml:space="preserve">Summary of key adverse events in the </w:t>
      </w:r>
      <w:r w:rsidRPr="001677F9">
        <w:rPr>
          <w:rStyle w:val="CommentReference"/>
          <w:b/>
          <w:bCs w:val="0"/>
          <w:szCs w:val="24"/>
        </w:rPr>
        <w:t xml:space="preserve">DELIVER </w:t>
      </w:r>
      <w:r w:rsidR="00507044" w:rsidRPr="001677F9">
        <w:rPr>
          <w:rStyle w:val="CommentReference"/>
          <w:b/>
          <w:bCs w:val="0"/>
          <w:szCs w:val="24"/>
        </w:rPr>
        <w:t>trial</w:t>
      </w: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2977"/>
      </w:tblGrid>
      <w:tr w:rsidR="00EB1C0D" w:rsidRPr="001677F9" w14:paraId="0A44766E" w14:textId="77777777" w:rsidTr="002A7165">
        <w:trPr>
          <w:tblHeader/>
        </w:trPr>
        <w:tc>
          <w:tcPr>
            <w:tcW w:w="3114" w:type="dxa"/>
            <w:vAlign w:val="center"/>
          </w:tcPr>
          <w:p w14:paraId="448E4D08" w14:textId="77777777" w:rsidR="00EB1C0D" w:rsidRPr="001677F9" w:rsidRDefault="00EB1C0D" w:rsidP="002A7165">
            <w:pPr>
              <w:pStyle w:val="In-tableHeading"/>
              <w:rPr>
                <w:lang w:val="en-AU"/>
              </w:rPr>
            </w:pPr>
            <w:r w:rsidRPr="001677F9">
              <w:rPr>
                <w:lang w:val="en-AU"/>
              </w:rPr>
              <w:t>DELIVER</w:t>
            </w:r>
          </w:p>
        </w:tc>
        <w:tc>
          <w:tcPr>
            <w:tcW w:w="3118" w:type="dxa"/>
            <w:vAlign w:val="center"/>
          </w:tcPr>
          <w:p w14:paraId="222DF8B6" w14:textId="77777777" w:rsidR="00EB1C0D" w:rsidRPr="001677F9" w:rsidRDefault="00EB1C0D" w:rsidP="002A7165">
            <w:pPr>
              <w:pStyle w:val="In-tableHeading"/>
              <w:jc w:val="center"/>
              <w:rPr>
                <w:lang w:val="en-AU"/>
              </w:rPr>
            </w:pPr>
            <w:r w:rsidRPr="001677F9">
              <w:rPr>
                <w:lang w:val="en-AU"/>
              </w:rPr>
              <w:t>Dapagliflozin (N=3126)</w:t>
            </w:r>
          </w:p>
          <w:p w14:paraId="58AB188F" w14:textId="2CAAC824" w:rsidR="00EB1C0D" w:rsidRPr="001677F9" w:rsidRDefault="00EB1C0D" w:rsidP="002A7165">
            <w:pPr>
              <w:pStyle w:val="In-tableHeading"/>
              <w:jc w:val="center"/>
              <w:rPr>
                <w:vertAlign w:val="superscript"/>
                <w:lang w:val="en-AU"/>
              </w:rPr>
            </w:pPr>
            <w:r w:rsidRPr="001677F9">
              <w:rPr>
                <w:lang w:val="en-AU"/>
              </w:rPr>
              <w:t>n with event (</w:t>
            </w:r>
            <w:proofErr w:type="gramStart"/>
            <w:r w:rsidRPr="001677F9">
              <w:rPr>
                <w:lang w:val="en-AU"/>
              </w:rPr>
              <w:t>%)</w:t>
            </w:r>
            <w:r w:rsidR="007467B2" w:rsidRPr="001677F9">
              <w:rPr>
                <w:vertAlign w:val="superscript"/>
                <w:lang w:val="en-AU"/>
              </w:rPr>
              <w:t>a</w:t>
            </w:r>
            <w:proofErr w:type="gramEnd"/>
          </w:p>
        </w:tc>
        <w:tc>
          <w:tcPr>
            <w:tcW w:w="2977" w:type="dxa"/>
            <w:vAlign w:val="center"/>
          </w:tcPr>
          <w:p w14:paraId="36DA19DD" w14:textId="77777777" w:rsidR="00EB1C0D" w:rsidRPr="001677F9" w:rsidRDefault="00EB1C0D" w:rsidP="002A7165">
            <w:pPr>
              <w:pStyle w:val="In-tableHeading"/>
              <w:jc w:val="center"/>
              <w:rPr>
                <w:lang w:val="en-AU"/>
              </w:rPr>
            </w:pPr>
            <w:r w:rsidRPr="001677F9">
              <w:rPr>
                <w:lang w:val="en-AU"/>
              </w:rPr>
              <w:t>Placebo (N=3127)</w:t>
            </w:r>
          </w:p>
          <w:p w14:paraId="681F0D0C" w14:textId="2ECCE1C0" w:rsidR="00EB1C0D" w:rsidRPr="001677F9" w:rsidRDefault="00EB1C0D" w:rsidP="002A7165">
            <w:pPr>
              <w:pStyle w:val="In-tableHeading"/>
              <w:jc w:val="center"/>
              <w:rPr>
                <w:vertAlign w:val="superscript"/>
                <w:lang w:val="en-AU"/>
              </w:rPr>
            </w:pPr>
            <w:r w:rsidRPr="001677F9">
              <w:rPr>
                <w:lang w:val="en-AU"/>
              </w:rPr>
              <w:t>n with event (</w:t>
            </w:r>
            <w:proofErr w:type="gramStart"/>
            <w:r w:rsidRPr="001677F9">
              <w:rPr>
                <w:lang w:val="en-AU"/>
              </w:rPr>
              <w:t>%)</w:t>
            </w:r>
            <w:r w:rsidR="007467B2" w:rsidRPr="001677F9">
              <w:rPr>
                <w:vertAlign w:val="superscript"/>
                <w:lang w:val="en-AU"/>
              </w:rPr>
              <w:t>a</w:t>
            </w:r>
            <w:proofErr w:type="gramEnd"/>
          </w:p>
        </w:tc>
      </w:tr>
      <w:tr w:rsidR="00EB1C0D" w:rsidRPr="001677F9" w14:paraId="531B38AB" w14:textId="77777777" w:rsidTr="002A7165">
        <w:tc>
          <w:tcPr>
            <w:tcW w:w="3114" w:type="dxa"/>
            <w:vAlign w:val="center"/>
          </w:tcPr>
          <w:p w14:paraId="7F80111B" w14:textId="4E66CF79" w:rsidR="00EB1C0D" w:rsidRPr="001677F9" w:rsidRDefault="00EB1C0D" w:rsidP="002A7165">
            <w:pPr>
              <w:pStyle w:val="TableText0"/>
            </w:pPr>
            <w:r w:rsidRPr="001677F9">
              <w:t xml:space="preserve">Any AE </w:t>
            </w:r>
            <w:r w:rsidR="0022204F" w:rsidRPr="001677F9">
              <w:t>leading to</w:t>
            </w:r>
            <w:r w:rsidRPr="001677F9">
              <w:t xml:space="preserve"> death</w:t>
            </w:r>
          </w:p>
        </w:tc>
        <w:tc>
          <w:tcPr>
            <w:tcW w:w="3118" w:type="dxa"/>
          </w:tcPr>
          <w:p w14:paraId="6F1D2D05" w14:textId="77777777" w:rsidR="00EB1C0D" w:rsidRPr="001677F9" w:rsidRDefault="00EB1C0D" w:rsidP="002A7165">
            <w:pPr>
              <w:pStyle w:val="TableText0"/>
              <w:jc w:val="center"/>
            </w:pPr>
            <w:r w:rsidRPr="001677F9">
              <w:rPr>
                <w:rFonts w:cs="Arial"/>
              </w:rPr>
              <w:t>401 (12.8)</w:t>
            </w:r>
          </w:p>
        </w:tc>
        <w:tc>
          <w:tcPr>
            <w:tcW w:w="2977" w:type="dxa"/>
          </w:tcPr>
          <w:p w14:paraId="4D550E87" w14:textId="77777777" w:rsidR="00EB1C0D" w:rsidRPr="001677F9" w:rsidRDefault="00EB1C0D" w:rsidP="002A7165">
            <w:pPr>
              <w:pStyle w:val="TableText0"/>
              <w:jc w:val="center"/>
            </w:pPr>
            <w:r w:rsidRPr="001677F9">
              <w:rPr>
                <w:rFonts w:cs="Arial"/>
              </w:rPr>
              <w:t>421 (13.5)</w:t>
            </w:r>
          </w:p>
        </w:tc>
      </w:tr>
      <w:tr w:rsidR="00EB1C0D" w:rsidRPr="001677F9" w14:paraId="289E0B1A" w14:textId="77777777" w:rsidTr="002A7165">
        <w:tc>
          <w:tcPr>
            <w:tcW w:w="3114" w:type="dxa"/>
            <w:vAlign w:val="center"/>
          </w:tcPr>
          <w:p w14:paraId="5659D9FA" w14:textId="54367D97" w:rsidR="00EB1C0D" w:rsidRPr="001677F9" w:rsidRDefault="00EB1C0D" w:rsidP="002A7165">
            <w:pPr>
              <w:pStyle w:val="TableText0"/>
            </w:pPr>
            <w:r w:rsidRPr="001677F9">
              <w:t xml:space="preserve">Any SAE (including events </w:t>
            </w:r>
            <w:r w:rsidR="0022204F" w:rsidRPr="001677F9">
              <w:t>leading</w:t>
            </w:r>
            <w:r w:rsidR="00CD1DF2" w:rsidRPr="001677F9">
              <w:t xml:space="preserve"> to</w:t>
            </w:r>
            <w:r w:rsidR="0022204F" w:rsidRPr="001677F9">
              <w:t xml:space="preserve"> </w:t>
            </w:r>
            <w:r w:rsidRPr="001677F9">
              <w:t>death)</w:t>
            </w:r>
          </w:p>
        </w:tc>
        <w:tc>
          <w:tcPr>
            <w:tcW w:w="3118" w:type="dxa"/>
          </w:tcPr>
          <w:p w14:paraId="500C2E33" w14:textId="77777777" w:rsidR="00EB1C0D" w:rsidRPr="001677F9" w:rsidRDefault="00EB1C0D" w:rsidP="002A7165">
            <w:pPr>
              <w:pStyle w:val="TableText0"/>
              <w:jc w:val="center"/>
            </w:pPr>
            <w:r w:rsidRPr="001677F9">
              <w:rPr>
                <w:rFonts w:cs="Arial"/>
              </w:rPr>
              <w:t>1361 (43.5)</w:t>
            </w:r>
          </w:p>
        </w:tc>
        <w:tc>
          <w:tcPr>
            <w:tcW w:w="2977" w:type="dxa"/>
          </w:tcPr>
          <w:p w14:paraId="7E554752" w14:textId="77777777" w:rsidR="00EB1C0D" w:rsidRPr="001677F9" w:rsidRDefault="00EB1C0D" w:rsidP="002A7165">
            <w:pPr>
              <w:pStyle w:val="TableText0"/>
              <w:jc w:val="center"/>
            </w:pPr>
            <w:r w:rsidRPr="001677F9">
              <w:rPr>
                <w:rFonts w:cs="Arial"/>
              </w:rPr>
              <w:t>1423 (45.5)</w:t>
            </w:r>
          </w:p>
        </w:tc>
      </w:tr>
      <w:tr w:rsidR="00EB1C0D" w:rsidRPr="001677F9" w14:paraId="6AF2E78F" w14:textId="77777777" w:rsidTr="002A7165">
        <w:tc>
          <w:tcPr>
            <w:tcW w:w="3114" w:type="dxa"/>
          </w:tcPr>
          <w:p w14:paraId="521CB717" w14:textId="4C6632D5" w:rsidR="00EB1C0D" w:rsidRPr="001677F9" w:rsidRDefault="00EB1C0D" w:rsidP="002A7165">
            <w:pPr>
              <w:pStyle w:val="TableText0"/>
            </w:pPr>
            <w:r w:rsidRPr="001677F9">
              <w:rPr>
                <w:rFonts w:cs="Arial"/>
              </w:rPr>
              <w:t>Any AE leading to discontinuation</w:t>
            </w:r>
            <w:r w:rsidR="007467B2" w:rsidRPr="001677F9">
              <w:rPr>
                <w:rFonts w:cs="Arial"/>
              </w:rPr>
              <w:t xml:space="preserve"> (DAE)</w:t>
            </w:r>
            <w:r w:rsidRPr="001677F9">
              <w:rPr>
                <w:rFonts w:cs="Arial"/>
              </w:rPr>
              <w:t xml:space="preserve"> </w:t>
            </w:r>
          </w:p>
        </w:tc>
        <w:tc>
          <w:tcPr>
            <w:tcW w:w="3118" w:type="dxa"/>
          </w:tcPr>
          <w:p w14:paraId="32A8D49C" w14:textId="77777777" w:rsidR="00EB1C0D" w:rsidRPr="001677F9" w:rsidRDefault="00EB1C0D" w:rsidP="002A7165">
            <w:pPr>
              <w:pStyle w:val="TableText0"/>
              <w:jc w:val="center"/>
            </w:pPr>
            <w:r w:rsidRPr="001677F9">
              <w:rPr>
                <w:rFonts w:cs="Arial"/>
              </w:rPr>
              <w:t>182 (5.8)</w:t>
            </w:r>
          </w:p>
        </w:tc>
        <w:tc>
          <w:tcPr>
            <w:tcW w:w="2977" w:type="dxa"/>
          </w:tcPr>
          <w:p w14:paraId="11F123B1" w14:textId="77777777" w:rsidR="00EB1C0D" w:rsidRPr="001677F9" w:rsidRDefault="00EB1C0D" w:rsidP="002A7165">
            <w:pPr>
              <w:pStyle w:val="TableText0"/>
              <w:jc w:val="center"/>
            </w:pPr>
            <w:r w:rsidRPr="001677F9">
              <w:rPr>
                <w:rFonts w:cs="Arial"/>
              </w:rPr>
              <w:t>181 (5.8)</w:t>
            </w:r>
          </w:p>
        </w:tc>
      </w:tr>
      <w:tr w:rsidR="00EB1C0D" w:rsidRPr="001677F9" w14:paraId="12E9E1AC" w14:textId="77777777" w:rsidTr="002A7165">
        <w:tc>
          <w:tcPr>
            <w:tcW w:w="3114" w:type="dxa"/>
          </w:tcPr>
          <w:p w14:paraId="03AA43E0" w14:textId="58126B82" w:rsidR="00EB1C0D" w:rsidRPr="001677F9" w:rsidRDefault="00EB1C0D" w:rsidP="002A7165">
            <w:pPr>
              <w:pStyle w:val="TableText0"/>
              <w:rPr>
                <w:rFonts w:cs="Arial"/>
                <w:vertAlign w:val="superscript"/>
              </w:rPr>
            </w:pPr>
            <w:r w:rsidRPr="001677F9">
              <w:rPr>
                <w:rFonts w:cs="Arial"/>
              </w:rPr>
              <w:t xml:space="preserve">Any AE leading to interruption </w:t>
            </w:r>
          </w:p>
        </w:tc>
        <w:tc>
          <w:tcPr>
            <w:tcW w:w="3118" w:type="dxa"/>
          </w:tcPr>
          <w:p w14:paraId="35FAA3A5" w14:textId="77777777" w:rsidR="00EB1C0D" w:rsidRPr="001677F9" w:rsidRDefault="00EB1C0D" w:rsidP="002A7165">
            <w:pPr>
              <w:pStyle w:val="TableText0"/>
              <w:jc w:val="center"/>
            </w:pPr>
            <w:r w:rsidRPr="001677F9">
              <w:rPr>
                <w:rFonts w:cs="Arial"/>
              </w:rPr>
              <w:t>436 (13.9)</w:t>
            </w:r>
          </w:p>
        </w:tc>
        <w:tc>
          <w:tcPr>
            <w:tcW w:w="2977" w:type="dxa"/>
          </w:tcPr>
          <w:p w14:paraId="6B64BE6A" w14:textId="77777777" w:rsidR="00EB1C0D" w:rsidRPr="001677F9" w:rsidRDefault="00EB1C0D" w:rsidP="002A7165">
            <w:pPr>
              <w:pStyle w:val="TableText0"/>
              <w:jc w:val="center"/>
            </w:pPr>
            <w:r w:rsidRPr="001677F9">
              <w:rPr>
                <w:rFonts w:cs="Arial"/>
              </w:rPr>
              <w:t>494 (15.8)</w:t>
            </w:r>
          </w:p>
        </w:tc>
      </w:tr>
      <w:tr w:rsidR="00EB1C0D" w:rsidRPr="001677F9" w14:paraId="43E9C0CD" w14:textId="77777777" w:rsidTr="002A7165">
        <w:tc>
          <w:tcPr>
            <w:tcW w:w="3114" w:type="dxa"/>
          </w:tcPr>
          <w:p w14:paraId="31832C06" w14:textId="782A6000" w:rsidR="00EB1C0D" w:rsidRPr="001677F9" w:rsidRDefault="00EB1C0D" w:rsidP="002A7165">
            <w:pPr>
              <w:pStyle w:val="TableText0"/>
              <w:rPr>
                <w:rFonts w:cs="Arial"/>
                <w:vertAlign w:val="superscript"/>
              </w:rPr>
            </w:pPr>
            <w:r w:rsidRPr="001677F9">
              <w:rPr>
                <w:rFonts w:cs="Arial"/>
              </w:rPr>
              <w:t xml:space="preserve">Any AE possibly related to </w:t>
            </w:r>
            <w:r w:rsidR="0022204F" w:rsidRPr="001677F9">
              <w:rPr>
                <w:rFonts w:cs="Arial"/>
              </w:rPr>
              <w:t>treatment</w:t>
            </w:r>
            <w:r w:rsidRPr="001677F9">
              <w:rPr>
                <w:rFonts w:cs="Arial"/>
                <w:vertAlign w:val="superscript"/>
              </w:rPr>
              <w:t>b</w:t>
            </w:r>
          </w:p>
        </w:tc>
        <w:tc>
          <w:tcPr>
            <w:tcW w:w="3118" w:type="dxa"/>
          </w:tcPr>
          <w:p w14:paraId="103C9FED" w14:textId="77777777" w:rsidR="00EB1C0D" w:rsidRPr="001677F9" w:rsidRDefault="00EB1C0D" w:rsidP="002A7165">
            <w:pPr>
              <w:pStyle w:val="TableText0"/>
              <w:jc w:val="center"/>
              <w:rPr>
                <w:rFonts w:cs="Arial"/>
              </w:rPr>
            </w:pPr>
            <w:r w:rsidRPr="001677F9">
              <w:rPr>
                <w:rFonts w:cs="Arial"/>
              </w:rPr>
              <w:t>273 (8.7)</w:t>
            </w:r>
          </w:p>
        </w:tc>
        <w:tc>
          <w:tcPr>
            <w:tcW w:w="2977" w:type="dxa"/>
          </w:tcPr>
          <w:p w14:paraId="00CFEDFD" w14:textId="77777777" w:rsidR="00EB1C0D" w:rsidRPr="001677F9" w:rsidRDefault="00EB1C0D" w:rsidP="002A7165">
            <w:pPr>
              <w:pStyle w:val="TableText0"/>
              <w:jc w:val="center"/>
              <w:rPr>
                <w:rFonts w:cs="Arial"/>
              </w:rPr>
            </w:pPr>
            <w:r w:rsidRPr="001677F9">
              <w:rPr>
                <w:rFonts w:cs="Arial"/>
              </w:rPr>
              <w:t>235 (7.5)</w:t>
            </w:r>
          </w:p>
        </w:tc>
      </w:tr>
      <w:tr w:rsidR="00EB1C0D" w:rsidRPr="001677F9" w14:paraId="61D123F4" w14:textId="77777777" w:rsidTr="002A7165">
        <w:tc>
          <w:tcPr>
            <w:tcW w:w="3114" w:type="dxa"/>
          </w:tcPr>
          <w:p w14:paraId="799653A9" w14:textId="6A2D5F1C" w:rsidR="00EB1C0D" w:rsidRPr="001677F9" w:rsidRDefault="00EB1C0D" w:rsidP="002A7165">
            <w:pPr>
              <w:pStyle w:val="TableText0"/>
              <w:rPr>
                <w:b/>
                <w:bCs w:val="0"/>
              </w:rPr>
            </w:pPr>
            <w:r w:rsidRPr="001677F9">
              <w:rPr>
                <w:rFonts w:cs="Arial"/>
              </w:rPr>
              <w:t>Any SAE or DAE suggestive of volume depletion</w:t>
            </w:r>
            <w:r w:rsidRPr="001677F9">
              <w:rPr>
                <w:rFonts w:cs="Arial"/>
                <w:vertAlign w:val="superscript"/>
              </w:rPr>
              <w:t>c</w:t>
            </w:r>
          </w:p>
        </w:tc>
        <w:tc>
          <w:tcPr>
            <w:tcW w:w="3118" w:type="dxa"/>
          </w:tcPr>
          <w:p w14:paraId="171461E0" w14:textId="77777777" w:rsidR="00EB1C0D" w:rsidRPr="001677F9" w:rsidRDefault="00EB1C0D" w:rsidP="002A7165">
            <w:pPr>
              <w:pStyle w:val="TableText0"/>
              <w:jc w:val="center"/>
              <w:rPr>
                <w:b/>
                <w:bCs w:val="0"/>
              </w:rPr>
            </w:pPr>
            <w:r w:rsidRPr="001677F9">
              <w:rPr>
                <w:rFonts w:cs="Arial"/>
              </w:rPr>
              <w:t>42 (1.3)</w:t>
            </w:r>
          </w:p>
        </w:tc>
        <w:tc>
          <w:tcPr>
            <w:tcW w:w="2977" w:type="dxa"/>
          </w:tcPr>
          <w:p w14:paraId="03FB7C03" w14:textId="77777777" w:rsidR="00EB1C0D" w:rsidRPr="001677F9" w:rsidRDefault="00EB1C0D" w:rsidP="002A7165">
            <w:pPr>
              <w:pStyle w:val="TableText0"/>
              <w:jc w:val="center"/>
              <w:rPr>
                <w:b/>
                <w:bCs w:val="0"/>
              </w:rPr>
            </w:pPr>
            <w:r w:rsidRPr="001677F9">
              <w:rPr>
                <w:rFonts w:cs="Arial"/>
              </w:rPr>
              <w:t>32 (1.0)</w:t>
            </w:r>
          </w:p>
        </w:tc>
      </w:tr>
      <w:tr w:rsidR="00EB1C0D" w:rsidRPr="001677F9" w14:paraId="4D92E11F" w14:textId="77777777" w:rsidTr="002A7165">
        <w:tc>
          <w:tcPr>
            <w:tcW w:w="3114" w:type="dxa"/>
          </w:tcPr>
          <w:p w14:paraId="2F5D2F91" w14:textId="69A6AFAD" w:rsidR="00EB1C0D" w:rsidRPr="001677F9" w:rsidRDefault="00EB1C0D" w:rsidP="002A7165">
            <w:pPr>
              <w:pStyle w:val="TableText0"/>
            </w:pPr>
            <w:r w:rsidRPr="001677F9">
              <w:rPr>
                <w:rFonts w:cs="Arial"/>
              </w:rPr>
              <w:t>Any renal SAE or DAE</w:t>
            </w:r>
            <w:r w:rsidRPr="001677F9">
              <w:rPr>
                <w:rFonts w:cs="Arial"/>
                <w:vertAlign w:val="superscript"/>
              </w:rPr>
              <w:t>c</w:t>
            </w:r>
          </w:p>
        </w:tc>
        <w:tc>
          <w:tcPr>
            <w:tcW w:w="3118" w:type="dxa"/>
          </w:tcPr>
          <w:p w14:paraId="24F6A50B" w14:textId="77777777" w:rsidR="00EB1C0D" w:rsidRPr="001677F9" w:rsidRDefault="00EB1C0D" w:rsidP="002A7165">
            <w:pPr>
              <w:pStyle w:val="TableText0"/>
              <w:jc w:val="center"/>
            </w:pPr>
            <w:r w:rsidRPr="001677F9">
              <w:rPr>
                <w:rFonts w:cs="Arial"/>
              </w:rPr>
              <w:t>72 (2.3)</w:t>
            </w:r>
          </w:p>
        </w:tc>
        <w:tc>
          <w:tcPr>
            <w:tcW w:w="2977" w:type="dxa"/>
          </w:tcPr>
          <w:p w14:paraId="252668E5" w14:textId="0CB1E6B9" w:rsidR="00EB1C0D" w:rsidRPr="001677F9" w:rsidRDefault="00EB1C0D" w:rsidP="002A7165">
            <w:pPr>
              <w:pStyle w:val="TableText0"/>
              <w:jc w:val="center"/>
            </w:pPr>
            <w:r w:rsidRPr="001677F9">
              <w:rPr>
                <w:rFonts w:cs="Arial"/>
              </w:rPr>
              <w:t>79 (2.5)</w:t>
            </w:r>
          </w:p>
        </w:tc>
      </w:tr>
      <w:tr w:rsidR="00EB1C0D" w:rsidRPr="001677F9" w14:paraId="09EBDF0B" w14:textId="77777777" w:rsidTr="002A7165">
        <w:tc>
          <w:tcPr>
            <w:tcW w:w="3114" w:type="dxa"/>
          </w:tcPr>
          <w:p w14:paraId="16D34A7D" w14:textId="77777777" w:rsidR="00EB1C0D" w:rsidRPr="001677F9" w:rsidRDefault="00EB1C0D" w:rsidP="002A7165">
            <w:pPr>
              <w:pStyle w:val="TableText0"/>
            </w:pPr>
            <w:r w:rsidRPr="001677F9">
              <w:rPr>
                <w:rFonts w:cs="Arial"/>
              </w:rPr>
              <w:t>Any definite or probable DKA</w:t>
            </w:r>
            <w:r w:rsidRPr="001677F9">
              <w:rPr>
                <w:rFonts w:cs="Arial"/>
                <w:vertAlign w:val="superscript"/>
              </w:rPr>
              <w:t>d</w:t>
            </w:r>
          </w:p>
        </w:tc>
        <w:tc>
          <w:tcPr>
            <w:tcW w:w="3118" w:type="dxa"/>
          </w:tcPr>
          <w:p w14:paraId="42DD6A49" w14:textId="77777777" w:rsidR="00EB1C0D" w:rsidRPr="001677F9" w:rsidRDefault="00EB1C0D" w:rsidP="002A7165">
            <w:pPr>
              <w:pStyle w:val="TableText0"/>
              <w:jc w:val="center"/>
            </w:pPr>
            <w:r w:rsidRPr="001677F9">
              <w:rPr>
                <w:rFonts w:cs="Arial"/>
              </w:rPr>
              <w:t>2 (0.1)</w:t>
            </w:r>
          </w:p>
        </w:tc>
        <w:tc>
          <w:tcPr>
            <w:tcW w:w="2977" w:type="dxa"/>
          </w:tcPr>
          <w:p w14:paraId="43435A4C" w14:textId="77777777" w:rsidR="00EB1C0D" w:rsidRPr="001677F9" w:rsidRDefault="00EB1C0D" w:rsidP="002A7165">
            <w:pPr>
              <w:pStyle w:val="TableText0"/>
              <w:jc w:val="center"/>
            </w:pPr>
            <w:r w:rsidRPr="001677F9">
              <w:rPr>
                <w:rFonts w:cs="Arial"/>
              </w:rPr>
              <w:t>0</w:t>
            </w:r>
          </w:p>
        </w:tc>
      </w:tr>
      <w:tr w:rsidR="00EB1C0D" w:rsidRPr="001677F9" w14:paraId="6B91D2C6" w14:textId="77777777" w:rsidTr="002A7165">
        <w:tc>
          <w:tcPr>
            <w:tcW w:w="3114" w:type="dxa"/>
          </w:tcPr>
          <w:p w14:paraId="38D85CC6" w14:textId="77777777" w:rsidR="00EB1C0D" w:rsidRPr="001677F9" w:rsidRDefault="00EB1C0D" w:rsidP="002A7165">
            <w:pPr>
              <w:pStyle w:val="TableText0"/>
            </w:pPr>
            <w:r w:rsidRPr="001677F9">
              <w:rPr>
                <w:rFonts w:cs="Arial"/>
              </w:rPr>
              <w:t>Any major hypoglycaemic event</w:t>
            </w:r>
            <w:r w:rsidRPr="001677F9">
              <w:rPr>
                <w:rFonts w:cs="Arial"/>
                <w:vertAlign w:val="superscript"/>
              </w:rPr>
              <w:t>e</w:t>
            </w:r>
          </w:p>
        </w:tc>
        <w:tc>
          <w:tcPr>
            <w:tcW w:w="3118" w:type="dxa"/>
          </w:tcPr>
          <w:p w14:paraId="5F6BDF1C" w14:textId="77777777" w:rsidR="00EB1C0D" w:rsidRPr="001677F9" w:rsidRDefault="00EB1C0D" w:rsidP="002A7165">
            <w:pPr>
              <w:pStyle w:val="TableText0"/>
              <w:jc w:val="center"/>
            </w:pPr>
            <w:r w:rsidRPr="001677F9">
              <w:rPr>
                <w:rFonts w:cs="Arial"/>
              </w:rPr>
              <w:t>6 (0.2)</w:t>
            </w:r>
          </w:p>
        </w:tc>
        <w:tc>
          <w:tcPr>
            <w:tcW w:w="2977" w:type="dxa"/>
          </w:tcPr>
          <w:p w14:paraId="485B2471" w14:textId="77777777" w:rsidR="00EB1C0D" w:rsidRPr="001677F9" w:rsidRDefault="00EB1C0D" w:rsidP="002A7165">
            <w:pPr>
              <w:pStyle w:val="TableText0"/>
              <w:jc w:val="center"/>
            </w:pPr>
            <w:r w:rsidRPr="001677F9">
              <w:rPr>
                <w:rFonts w:cs="Arial"/>
              </w:rPr>
              <w:t>7 (0.2)</w:t>
            </w:r>
          </w:p>
        </w:tc>
      </w:tr>
      <w:tr w:rsidR="00EB1C0D" w:rsidRPr="001677F9" w14:paraId="003E37EB" w14:textId="77777777" w:rsidTr="002A7165">
        <w:tc>
          <w:tcPr>
            <w:tcW w:w="3114" w:type="dxa"/>
          </w:tcPr>
          <w:p w14:paraId="544FD9F5" w14:textId="77777777" w:rsidR="00EB1C0D" w:rsidRPr="001677F9" w:rsidRDefault="00EB1C0D" w:rsidP="002A7165">
            <w:pPr>
              <w:pStyle w:val="TableText0"/>
              <w:rPr>
                <w:vertAlign w:val="superscript"/>
              </w:rPr>
            </w:pPr>
            <w:r w:rsidRPr="001677F9">
              <w:rPr>
                <w:rFonts w:cs="Arial"/>
              </w:rPr>
              <w:t>Any amputation</w:t>
            </w:r>
            <w:r w:rsidRPr="001677F9">
              <w:rPr>
                <w:rFonts w:cs="Arial"/>
                <w:vertAlign w:val="superscript"/>
              </w:rPr>
              <w:t>f</w:t>
            </w:r>
          </w:p>
        </w:tc>
        <w:tc>
          <w:tcPr>
            <w:tcW w:w="3118" w:type="dxa"/>
          </w:tcPr>
          <w:p w14:paraId="166978BA" w14:textId="77777777" w:rsidR="00EB1C0D" w:rsidRPr="001677F9" w:rsidRDefault="00EB1C0D" w:rsidP="002A7165">
            <w:pPr>
              <w:pStyle w:val="TableText0"/>
              <w:jc w:val="center"/>
              <w:rPr>
                <w:rFonts w:cstheme="minorHAnsi"/>
              </w:rPr>
            </w:pPr>
            <w:r w:rsidRPr="001677F9">
              <w:rPr>
                <w:rFonts w:cs="Arial"/>
              </w:rPr>
              <w:t>19 (0.6)</w:t>
            </w:r>
          </w:p>
        </w:tc>
        <w:tc>
          <w:tcPr>
            <w:tcW w:w="2977" w:type="dxa"/>
          </w:tcPr>
          <w:p w14:paraId="6749408C" w14:textId="1ADFD721" w:rsidR="00EB1C0D" w:rsidRPr="001677F9" w:rsidRDefault="00C85E96" w:rsidP="002A7165">
            <w:pPr>
              <w:pStyle w:val="TableText0"/>
              <w:jc w:val="center"/>
              <w:rPr>
                <w:rFonts w:cstheme="minorHAnsi"/>
              </w:rPr>
            </w:pPr>
            <w:r w:rsidRPr="001677F9">
              <w:rPr>
                <w:rFonts w:cs="Arial"/>
              </w:rPr>
              <w:t>25</w:t>
            </w:r>
            <w:r w:rsidRPr="001677F9">
              <w:rPr>
                <w:rFonts w:cs="Arial"/>
                <w:vertAlign w:val="superscript"/>
              </w:rPr>
              <w:t xml:space="preserve"> </w:t>
            </w:r>
            <w:r w:rsidR="00EB1C0D" w:rsidRPr="001677F9">
              <w:rPr>
                <w:rFonts w:cs="Arial"/>
              </w:rPr>
              <w:t>(0.8)</w:t>
            </w:r>
          </w:p>
        </w:tc>
      </w:tr>
      <w:tr w:rsidR="001D00C5" w:rsidRPr="001677F9" w14:paraId="00420A57" w14:textId="77777777" w:rsidTr="002A7165">
        <w:tc>
          <w:tcPr>
            <w:tcW w:w="3114" w:type="dxa"/>
          </w:tcPr>
          <w:p w14:paraId="63D61337" w14:textId="7F7DEC84" w:rsidR="001D00C5" w:rsidRPr="001677F9" w:rsidRDefault="001D00C5" w:rsidP="002A7165">
            <w:pPr>
              <w:pStyle w:val="TableText0"/>
              <w:rPr>
                <w:rFonts w:cs="Arial"/>
              </w:rPr>
            </w:pPr>
            <w:r w:rsidRPr="001677F9">
              <w:rPr>
                <w:rFonts w:cs="Arial"/>
                <w:b/>
              </w:rPr>
              <w:t>SAEs</w:t>
            </w:r>
          </w:p>
        </w:tc>
        <w:tc>
          <w:tcPr>
            <w:tcW w:w="3118" w:type="dxa"/>
          </w:tcPr>
          <w:p w14:paraId="26ABFFCC" w14:textId="1CE78E93" w:rsidR="001D00C5" w:rsidRPr="001677F9" w:rsidRDefault="001D00C5" w:rsidP="002A7165">
            <w:pPr>
              <w:pStyle w:val="TableText0"/>
              <w:jc w:val="center"/>
              <w:rPr>
                <w:rFonts w:cs="Arial"/>
              </w:rPr>
            </w:pPr>
          </w:p>
        </w:tc>
        <w:tc>
          <w:tcPr>
            <w:tcW w:w="2977" w:type="dxa"/>
          </w:tcPr>
          <w:p w14:paraId="2F80EE48" w14:textId="7A555260" w:rsidR="001D00C5" w:rsidRPr="001677F9" w:rsidRDefault="001D00C5" w:rsidP="002A7165">
            <w:pPr>
              <w:pStyle w:val="TableText0"/>
              <w:jc w:val="center"/>
              <w:rPr>
                <w:rFonts w:cs="Arial"/>
              </w:rPr>
            </w:pPr>
          </w:p>
        </w:tc>
      </w:tr>
      <w:tr w:rsidR="00980C31" w:rsidRPr="001677F9" w14:paraId="342414CD" w14:textId="77777777" w:rsidTr="002A7165">
        <w:tc>
          <w:tcPr>
            <w:tcW w:w="3114" w:type="dxa"/>
          </w:tcPr>
          <w:p w14:paraId="31CA201A" w14:textId="070EB14D" w:rsidR="00980C31" w:rsidRPr="001677F9" w:rsidRDefault="00980C31" w:rsidP="00980C31">
            <w:pPr>
              <w:pStyle w:val="TableText0"/>
              <w:rPr>
                <w:rFonts w:cs="Arial"/>
              </w:rPr>
            </w:pPr>
            <w:r w:rsidRPr="001677F9">
              <w:rPr>
                <w:rFonts w:cs="Arial"/>
              </w:rPr>
              <w:t>Fracture</w:t>
            </w:r>
          </w:p>
        </w:tc>
        <w:tc>
          <w:tcPr>
            <w:tcW w:w="3118" w:type="dxa"/>
          </w:tcPr>
          <w:p w14:paraId="323E619C" w14:textId="59B47FCF" w:rsidR="00980C31" w:rsidRPr="001677F9" w:rsidRDefault="00980C31" w:rsidP="00980C31">
            <w:pPr>
              <w:pStyle w:val="TableText0"/>
              <w:jc w:val="center"/>
              <w:rPr>
                <w:rFonts w:cs="Arial"/>
              </w:rPr>
            </w:pPr>
            <w:r w:rsidRPr="001677F9">
              <w:rPr>
                <w:rFonts w:cs="Arial"/>
              </w:rPr>
              <w:t>49 (1.6)</w:t>
            </w:r>
          </w:p>
        </w:tc>
        <w:tc>
          <w:tcPr>
            <w:tcW w:w="2977" w:type="dxa"/>
          </w:tcPr>
          <w:p w14:paraId="1E33612F" w14:textId="6E8A6BB1" w:rsidR="00980C31" w:rsidRPr="001677F9" w:rsidRDefault="00980C31" w:rsidP="00980C31">
            <w:pPr>
              <w:pStyle w:val="TableText0"/>
              <w:jc w:val="center"/>
              <w:rPr>
                <w:rFonts w:cs="Arial"/>
              </w:rPr>
            </w:pPr>
            <w:r w:rsidRPr="001677F9">
              <w:rPr>
                <w:rFonts w:cs="Arial"/>
              </w:rPr>
              <w:t>50 (1.6)</w:t>
            </w:r>
          </w:p>
        </w:tc>
      </w:tr>
      <w:tr w:rsidR="00980C31" w:rsidRPr="001677F9" w14:paraId="10A4FC52" w14:textId="77777777" w:rsidTr="002A7165">
        <w:tc>
          <w:tcPr>
            <w:tcW w:w="3114" w:type="dxa"/>
          </w:tcPr>
          <w:p w14:paraId="220950F2" w14:textId="39E6707F" w:rsidR="00980C31" w:rsidRPr="001677F9" w:rsidRDefault="00980C31" w:rsidP="00980C31">
            <w:pPr>
              <w:pStyle w:val="TableText0"/>
              <w:rPr>
                <w:rFonts w:cs="Arial"/>
                <w:b/>
              </w:rPr>
            </w:pPr>
            <w:r w:rsidRPr="001677F9">
              <w:rPr>
                <w:rFonts w:cs="Arial"/>
              </w:rPr>
              <w:t>UTI</w:t>
            </w:r>
          </w:p>
        </w:tc>
        <w:tc>
          <w:tcPr>
            <w:tcW w:w="3118" w:type="dxa"/>
          </w:tcPr>
          <w:p w14:paraId="5A731267" w14:textId="58769BCA" w:rsidR="00980C31" w:rsidRPr="001677F9" w:rsidRDefault="00980C31" w:rsidP="00980C31">
            <w:pPr>
              <w:pStyle w:val="TableText0"/>
              <w:jc w:val="center"/>
              <w:rPr>
                <w:rFonts w:cs="Arial"/>
              </w:rPr>
            </w:pPr>
            <w:r w:rsidRPr="001677F9">
              <w:rPr>
                <w:rFonts w:cs="Arial"/>
              </w:rPr>
              <w:t>30 (1.0)</w:t>
            </w:r>
          </w:p>
        </w:tc>
        <w:tc>
          <w:tcPr>
            <w:tcW w:w="2977" w:type="dxa"/>
          </w:tcPr>
          <w:p w14:paraId="0B95E5FE" w14:textId="5943848D" w:rsidR="00980C31" w:rsidRPr="001677F9" w:rsidRDefault="00980C31" w:rsidP="00980C31">
            <w:pPr>
              <w:pStyle w:val="TableText0"/>
              <w:jc w:val="center"/>
              <w:rPr>
                <w:rFonts w:cs="Arial"/>
              </w:rPr>
            </w:pPr>
            <w:r w:rsidRPr="001677F9">
              <w:rPr>
                <w:rFonts w:cs="Arial"/>
              </w:rPr>
              <w:t>32 (1.0)</w:t>
            </w:r>
          </w:p>
        </w:tc>
      </w:tr>
      <w:tr w:rsidR="00980C31" w:rsidRPr="001677F9" w14:paraId="7E080273" w14:textId="77777777" w:rsidTr="002A7165">
        <w:tc>
          <w:tcPr>
            <w:tcW w:w="3114" w:type="dxa"/>
          </w:tcPr>
          <w:p w14:paraId="47158587" w14:textId="1E6B4724" w:rsidR="00980C31" w:rsidRPr="001677F9" w:rsidRDefault="00980C31" w:rsidP="00980C31">
            <w:pPr>
              <w:pStyle w:val="TableText0"/>
              <w:rPr>
                <w:rFonts w:cs="Arial"/>
              </w:rPr>
            </w:pPr>
            <w:r w:rsidRPr="001677F9">
              <w:rPr>
                <w:rFonts w:cs="Arial"/>
              </w:rPr>
              <w:t>Acute kidney injury</w:t>
            </w:r>
          </w:p>
        </w:tc>
        <w:tc>
          <w:tcPr>
            <w:tcW w:w="3118" w:type="dxa"/>
          </w:tcPr>
          <w:p w14:paraId="1FB058C6" w14:textId="7F489D9E" w:rsidR="00980C31" w:rsidRPr="001677F9" w:rsidRDefault="00980C31" w:rsidP="00980C31">
            <w:pPr>
              <w:pStyle w:val="TableText0"/>
              <w:jc w:val="center"/>
              <w:rPr>
                <w:rFonts w:cs="Arial"/>
              </w:rPr>
            </w:pPr>
            <w:r w:rsidRPr="001677F9">
              <w:rPr>
                <w:rFonts w:cs="Arial"/>
              </w:rPr>
              <w:t>46 (1.5)</w:t>
            </w:r>
          </w:p>
        </w:tc>
        <w:tc>
          <w:tcPr>
            <w:tcW w:w="2977" w:type="dxa"/>
          </w:tcPr>
          <w:p w14:paraId="4B4A5768" w14:textId="18A95CC4" w:rsidR="00980C31" w:rsidRPr="001677F9" w:rsidRDefault="00980C31" w:rsidP="00980C31">
            <w:pPr>
              <w:pStyle w:val="TableText0"/>
              <w:jc w:val="center"/>
              <w:rPr>
                <w:rFonts w:cs="Arial"/>
              </w:rPr>
            </w:pPr>
            <w:r w:rsidRPr="001677F9">
              <w:rPr>
                <w:rFonts w:cs="Arial"/>
              </w:rPr>
              <w:t>50 (1.6)</w:t>
            </w:r>
          </w:p>
        </w:tc>
      </w:tr>
    </w:tbl>
    <w:p w14:paraId="67E94DF4" w14:textId="3872BF90" w:rsidR="00EB1C0D" w:rsidRPr="001677F9" w:rsidRDefault="00EB1C0D" w:rsidP="00EB1C0D">
      <w:pPr>
        <w:pStyle w:val="FooterTableFigure"/>
        <w:spacing w:after="0"/>
        <w:rPr>
          <w:szCs w:val="18"/>
        </w:rPr>
      </w:pPr>
      <w:r w:rsidRPr="001677F9">
        <w:rPr>
          <w:szCs w:val="18"/>
        </w:rPr>
        <w:t xml:space="preserve">Source: </w:t>
      </w:r>
      <w:r w:rsidR="001710C9" w:rsidRPr="001677F9">
        <w:rPr>
          <w:szCs w:val="18"/>
        </w:rPr>
        <w:t xml:space="preserve">Table 2.5-14, p84 of the submission, </w:t>
      </w:r>
      <w:r w:rsidR="001710C9" w:rsidRPr="001677F9">
        <w:rPr>
          <w:rFonts w:cs="TimesNewRomanPS-BoldMT"/>
          <w:szCs w:val="18"/>
        </w:rPr>
        <w:t>Table 14.3.4.1 in the DELIVER CSR Summary Tables and Figures.</w:t>
      </w:r>
    </w:p>
    <w:p w14:paraId="7C608B43" w14:textId="521A4BFC" w:rsidR="00EB1C0D" w:rsidRPr="001677F9" w:rsidRDefault="00EB1C0D" w:rsidP="00EB1C0D">
      <w:pPr>
        <w:pStyle w:val="FooterTableFigure"/>
        <w:spacing w:after="0"/>
      </w:pPr>
      <w:r w:rsidRPr="001677F9">
        <w:t>AE = adverse event</w:t>
      </w:r>
      <w:r w:rsidR="00E31810" w:rsidRPr="001677F9">
        <w:t>;</w:t>
      </w:r>
      <w:r w:rsidRPr="001677F9">
        <w:t xml:space="preserve"> DAE = AE leading to discontinuation</w:t>
      </w:r>
      <w:r w:rsidR="00E31810" w:rsidRPr="001677F9">
        <w:t>;</w:t>
      </w:r>
      <w:r w:rsidRPr="001677F9">
        <w:t xml:space="preserve"> DKA = diabetic ketoacidosis</w:t>
      </w:r>
      <w:r w:rsidR="00E31810" w:rsidRPr="001677F9">
        <w:t>;</w:t>
      </w:r>
      <w:r w:rsidRPr="001677F9">
        <w:t xml:space="preserve"> </w:t>
      </w:r>
      <w:r w:rsidRPr="001677F9">
        <w:rPr>
          <w:rFonts w:eastAsia="Calibri"/>
        </w:rPr>
        <w:t>n = number of participants reporting data</w:t>
      </w:r>
      <w:r w:rsidR="00E31810" w:rsidRPr="001677F9">
        <w:rPr>
          <w:rFonts w:eastAsia="Calibri"/>
        </w:rPr>
        <w:t>;</w:t>
      </w:r>
      <w:r w:rsidRPr="001677F9">
        <w:rPr>
          <w:rFonts w:eastAsia="Calibri"/>
        </w:rPr>
        <w:t xml:space="preserve"> N = total participants in group</w:t>
      </w:r>
      <w:r w:rsidR="00E31810" w:rsidRPr="001677F9">
        <w:rPr>
          <w:rFonts w:eastAsia="Calibri"/>
        </w:rPr>
        <w:t>;</w:t>
      </w:r>
      <w:r w:rsidRPr="001677F9">
        <w:t xml:space="preserve"> SAE = serious adverse event</w:t>
      </w:r>
      <w:r w:rsidR="0022204F" w:rsidRPr="001677F9">
        <w:t>.</w:t>
      </w:r>
    </w:p>
    <w:p w14:paraId="1ECB92B0" w14:textId="67D9D8D7" w:rsidR="00EB1C0D" w:rsidRPr="001677F9" w:rsidRDefault="00EB1C0D" w:rsidP="00EB1C0D">
      <w:pPr>
        <w:pStyle w:val="Tablenotes"/>
        <w:rPr>
          <w:rFonts w:ascii="Arial Narrow" w:hAnsi="Arial Narrow" w:cs="Arial"/>
        </w:rPr>
      </w:pPr>
      <w:bookmarkStart w:id="41" w:name="_Hlk147154394"/>
      <w:r w:rsidRPr="001677F9">
        <w:rPr>
          <w:rFonts w:ascii="Arial Narrow" w:hAnsi="Arial Narrow" w:cs="Arial"/>
          <w:vertAlign w:val="superscript"/>
        </w:rPr>
        <w:t>a</w:t>
      </w:r>
      <w:r w:rsidRPr="001677F9">
        <w:rPr>
          <w:rFonts w:ascii="Arial Narrow" w:hAnsi="Arial Narrow" w:cs="Arial"/>
        </w:rPr>
        <w:t xml:space="preserve"> Subjects with multiple events in the same category are counted only once in that category. Subjects with events in more than one category are counted once in each of those categories.</w:t>
      </w:r>
      <w:r w:rsidR="00980C31">
        <w:rPr>
          <w:rFonts w:ascii="Arial Narrow" w:hAnsi="Arial Narrow" w:cs="Arial"/>
        </w:rPr>
        <w:t xml:space="preserve"> </w:t>
      </w:r>
      <w:r w:rsidR="00A5690A">
        <w:rPr>
          <w:rFonts w:ascii="Arial Narrow" w:hAnsi="Arial Narrow" w:cs="Arial"/>
        </w:rPr>
        <w:t>There could be some double counting in the row for Fracture as numerous categories of fracture types were reported in the source data.</w:t>
      </w:r>
    </w:p>
    <w:bookmarkEnd w:id="41"/>
    <w:p w14:paraId="02C71B78" w14:textId="4E79E571" w:rsidR="00EB1C0D" w:rsidRPr="001677F9" w:rsidRDefault="00EB1C0D" w:rsidP="00EB1C0D">
      <w:pPr>
        <w:pStyle w:val="Tablenotes"/>
        <w:rPr>
          <w:rFonts w:ascii="Arial Narrow" w:hAnsi="Arial Narrow" w:cs="Arial"/>
        </w:rPr>
      </w:pPr>
      <w:r w:rsidRPr="001677F9">
        <w:rPr>
          <w:rFonts w:ascii="Arial Narrow" w:hAnsi="Arial Narrow" w:cs="Arial"/>
          <w:vertAlign w:val="superscript"/>
        </w:rPr>
        <w:t>b</w:t>
      </w:r>
      <w:r w:rsidRPr="001677F9">
        <w:rPr>
          <w:rFonts w:ascii="Arial Narrow" w:hAnsi="Arial Narrow" w:cs="Arial"/>
        </w:rPr>
        <w:t xml:space="preserve"> Possibly related to </w:t>
      </w:r>
      <w:r w:rsidR="0022204F" w:rsidRPr="001677F9">
        <w:rPr>
          <w:rFonts w:ascii="Arial Narrow" w:hAnsi="Arial Narrow" w:cs="Arial"/>
        </w:rPr>
        <w:t>treatment</w:t>
      </w:r>
      <w:r w:rsidRPr="001677F9">
        <w:rPr>
          <w:rFonts w:ascii="Arial Narrow" w:hAnsi="Arial Narrow" w:cs="Arial"/>
        </w:rPr>
        <w:t>, as assessed by the Investigator.</w:t>
      </w:r>
    </w:p>
    <w:p w14:paraId="2B75808B" w14:textId="77777777" w:rsidR="00EB1C0D" w:rsidRPr="001677F9" w:rsidRDefault="00EB1C0D" w:rsidP="00EB1C0D">
      <w:pPr>
        <w:pStyle w:val="Tablenotes"/>
        <w:rPr>
          <w:rFonts w:ascii="Arial Narrow" w:hAnsi="Arial Narrow" w:cs="Arial"/>
        </w:rPr>
      </w:pPr>
      <w:r w:rsidRPr="001677F9">
        <w:rPr>
          <w:rFonts w:ascii="Arial Narrow" w:hAnsi="Arial Narrow" w:cs="Arial"/>
          <w:vertAlign w:val="superscript"/>
        </w:rPr>
        <w:t>c</w:t>
      </w:r>
      <w:r w:rsidRPr="001677F9">
        <w:rPr>
          <w:rFonts w:ascii="Arial Narrow" w:hAnsi="Arial Narrow" w:cs="Arial"/>
        </w:rPr>
        <w:t xml:space="preserve"> Based on predefined list of preferred terms.</w:t>
      </w:r>
    </w:p>
    <w:p w14:paraId="55D125F2" w14:textId="77777777" w:rsidR="00EB1C0D" w:rsidRPr="001677F9" w:rsidRDefault="00EB1C0D" w:rsidP="00EB1C0D">
      <w:pPr>
        <w:pStyle w:val="Tablenotes"/>
        <w:rPr>
          <w:rFonts w:ascii="Arial Narrow" w:hAnsi="Arial Narrow" w:cs="Arial"/>
        </w:rPr>
      </w:pPr>
      <w:r w:rsidRPr="001677F9">
        <w:rPr>
          <w:rFonts w:ascii="Arial Narrow" w:hAnsi="Arial Narrow" w:cs="Arial"/>
          <w:vertAlign w:val="superscript"/>
        </w:rPr>
        <w:t>d</w:t>
      </w:r>
      <w:r w:rsidRPr="001677F9">
        <w:rPr>
          <w:rFonts w:ascii="Arial Narrow" w:hAnsi="Arial Narrow" w:cs="Arial"/>
        </w:rPr>
        <w:t xml:space="preserve"> Events adjudicated as definite or probable DKA.</w:t>
      </w:r>
    </w:p>
    <w:p w14:paraId="53A99067" w14:textId="77777777" w:rsidR="00EB1C0D" w:rsidRPr="001677F9" w:rsidRDefault="00EB1C0D" w:rsidP="00EB1C0D">
      <w:pPr>
        <w:pStyle w:val="Tablenotes"/>
        <w:spacing w:before="0" w:after="0"/>
        <w:rPr>
          <w:rFonts w:ascii="Arial Narrow" w:hAnsi="Arial Narrow" w:cs="Arial"/>
        </w:rPr>
      </w:pPr>
      <w:r w:rsidRPr="001677F9">
        <w:rPr>
          <w:rFonts w:ascii="Arial Narrow" w:hAnsi="Arial Narrow" w:cs="Arial"/>
          <w:vertAlign w:val="superscript"/>
        </w:rPr>
        <w:t>e</w:t>
      </w:r>
      <w:r w:rsidRPr="001677F9">
        <w:rPr>
          <w:rFonts w:ascii="Arial Narrow" w:hAnsi="Arial Narrow" w:cs="Arial"/>
        </w:rPr>
        <w:t xml:space="preserve"> AE with the following criteria confirmed by the Investigator: i) symptoms of severe impairment in consciousness or behaviour ii) need of external assistance iii) intervention to treat hypoglycaemia iv) prompt recovery of acute symptoms following the intervention.</w:t>
      </w:r>
    </w:p>
    <w:p w14:paraId="2CBF5E38" w14:textId="7C7D08AF" w:rsidR="00EB1C0D" w:rsidRPr="001677F9" w:rsidRDefault="00EB1C0D" w:rsidP="00EB1C0D">
      <w:pPr>
        <w:pStyle w:val="3-BodyText"/>
        <w:numPr>
          <w:ilvl w:val="0"/>
          <w:numId w:val="0"/>
        </w:numPr>
        <w:spacing w:after="0"/>
        <w:ind w:left="720" w:hanging="720"/>
        <w:rPr>
          <w:rFonts w:ascii="Arial Narrow" w:hAnsi="Arial Narrow"/>
          <w:sz w:val="18"/>
          <w:szCs w:val="18"/>
        </w:rPr>
      </w:pPr>
      <w:r w:rsidRPr="001677F9">
        <w:rPr>
          <w:rFonts w:ascii="Arial Narrow" w:hAnsi="Arial Narrow"/>
          <w:sz w:val="18"/>
          <w:szCs w:val="18"/>
          <w:vertAlign w:val="superscript"/>
        </w:rPr>
        <w:t>f</w:t>
      </w:r>
      <w:r w:rsidRPr="001677F9">
        <w:rPr>
          <w:rFonts w:ascii="Arial Narrow" w:hAnsi="Arial Narrow"/>
          <w:sz w:val="18"/>
          <w:szCs w:val="18"/>
        </w:rPr>
        <w:t xml:space="preserve"> Surgical or spontaneous/non-surgical amputation, excluding amputation due to trauma</w:t>
      </w:r>
    </w:p>
    <w:p w14:paraId="04EA0FC5" w14:textId="77777777" w:rsidR="00EB1C0D" w:rsidRPr="001677F9" w:rsidRDefault="00EB1C0D" w:rsidP="00EB1C0D">
      <w:pPr>
        <w:pStyle w:val="3-BodyText"/>
        <w:numPr>
          <w:ilvl w:val="0"/>
          <w:numId w:val="0"/>
        </w:numPr>
        <w:spacing w:after="0"/>
        <w:ind w:left="720" w:hanging="720"/>
        <w:rPr>
          <w:sz w:val="18"/>
          <w:szCs w:val="18"/>
        </w:rPr>
      </w:pPr>
    </w:p>
    <w:p w14:paraId="5146F49E" w14:textId="7B355439" w:rsidR="00EB1C0D" w:rsidRPr="001677F9" w:rsidRDefault="00EB1C0D" w:rsidP="00EB1C0D">
      <w:pPr>
        <w:pStyle w:val="3-BodyText"/>
      </w:pPr>
      <w:bookmarkStart w:id="42" w:name="_Hlk140660218"/>
      <w:r w:rsidRPr="001677F9">
        <w:rPr>
          <w:rFonts w:cstheme="minorHAnsi"/>
        </w:rPr>
        <w:lastRenderedPageBreak/>
        <w:t>T</w:t>
      </w:r>
      <w:r w:rsidR="007A74A1" w:rsidRPr="001677F9">
        <w:rPr>
          <w:rFonts w:cstheme="minorHAnsi"/>
        </w:rPr>
        <w:t>he proportion of serious adverse events</w:t>
      </w:r>
      <w:r w:rsidR="0022204F" w:rsidRPr="001677F9">
        <w:rPr>
          <w:rFonts w:cstheme="minorHAnsi"/>
        </w:rPr>
        <w:t xml:space="preserve"> (SAEs)</w:t>
      </w:r>
      <w:r w:rsidR="007A74A1" w:rsidRPr="001677F9">
        <w:rPr>
          <w:rFonts w:cstheme="minorHAnsi"/>
        </w:rPr>
        <w:t xml:space="preserve"> </w:t>
      </w:r>
      <w:r w:rsidR="00531E59" w:rsidRPr="001677F9">
        <w:rPr>
          <w:rFonts w:cstheme="minorHAnsi"/>
        </w:rPr>
        <w:t xml:space="preserve">was </w:t>
      </w:r>
      <w:r w:rsidR="007A74A1" w:rsidRPr="001677F9">
        <w:rPr>
          <w:rFonts w:cstheme="minorHAnsi"/>
        </w:rPr>
        <w:t>balanced between the treatment and placebo groups. The proportions of patients with adverse events leading to discontinuation of treatment</w:t>
      </w:r>
      <w:r w:rsidR="00ED486E" w:rsidRPr="001677F9">
        <w:rPr>
          <w:rFonts w:cstheme="minorHAnsi"/>
        </w:rPr>
        <w:t xml:space="preserve"> (DAEs)</w:t>
      </w:r>
      <w:r w:rsidR="007A74A1" w:rsidRPr="001677F9">
        <w:rPr>
          <w:rFonts w:cstheme="minorHAnsi"/>
        </w:rPr>
        <w:t xml:space="preserve"> were low and balanced between groups.</w:t>
      </w:r>
    </w:p>
    <w:bookmarkEnd w:id="42"/>
    <w:p w14:paraId="08F7B3B1" w14:textId="21C7BA1F" w:rsidR="00EB1C0D" w:rsidRPr="001677F9" w:rsidRDefault="0016580D" w:rsidP="00EB1C0D">
      <w:pPr>
        <w:pStyle w:val="3-BodyText"/>
      </w:pPr>
      <w:r w:rsidRPr="001677F9">
        <w:t xml:space="preserve">The ITC results for safety outcomes are presented in </w:t>
      </w:r>
      <w:r w:rsidRPr="001677F9">
        <w:fldChar w:fldCharType="begin" w:fldLock="1"/>
      </w:r>
      <w:r w:rsidRPr="001677F9">
        <w:instrText xml:space="preserve"> REF _Ref132365562 \h </w:instrText>
      </w:r>
      <w:r w:rsidRPr="001677F9">
        <w:fldChar w:fldCharType="separate"/>
      </w:r>
      <w:r w:rsidR="002C43D4" w:rsidRPr="001677F9">
        <w:t>Table 7</w:t>
      </w:r>
      <w:r w:rsidRPr="001677F9">
        <w:fldChar w:fldCharType="end"/>
      </w:r>
      <w:r w:rsidRPr="001677F9">
        <w:t>.</w:t>
      </w:r>
    </w:p>
    <w:p w14:paraId="52D69340" w14:textId="74CD0BB3" w:rsidR="00EB1C0D" w:rsidRPr="001677F9" w:rsidRDefault="0016580D" w:rsidP="0016580D">
      <w:pPr>
        <w:pStyle w:val="Caption"/>
      </w:pPr>
      <w:bookmarkStart w:id="43" w:name="_Ref132365562"/>
      <w:r w:rsidRPr="001677F9">
        <w:t xml:space="preserve">Table </w:t>
      </w:r>
      <w:fldSimple w:instr=" SEQ Table \* ARABIC " w:fldLock="1">
        <w:r w:rsidR="002C43D4" w:rsidRPr="001677F9">
          <w:t>7</w:t>
        </w:r>
      </w:fldSimple>
      <w:bookmarkEnd w:id="43"/>
      <w:r w:rsidRPr="001677F9">
        <w:t xml:space="preserve">: </w:t>
      </w:r>
      <w:r w:rsidR="00507044" w:rsidRPr="001677F9">
        <w:rPr>
          <w:szCs w:val="20"/>
        </w:rPr>
        <w:t xml:space="preserve">Summary of </w:t>
      </w:r>
      <w:r w:rsidRPr="001677F9">
        <w:rPr>
          <w:szCs w:val="20"/>
        </w:rPr>
        <w:t>ITC results for</w:t>
      </w:r>
      <w:r w:rsidR="00507044" w:rsidRPr="001677F9">
        <w:rPr>
          <w:szCs w:val="20"/>
        </w:rPr>
        <w:t xml:space="preserve"> safety </w:t>
      </w:r>
      <w:r w:rsidRPr="001677F9">
        <w:rPr>
          <w:szCs w:val="20"/>
        </w:rPr>
        <w:t>outcomes</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72"/>
        <w:gridCol w:w="1805"/>
        <w:gridCol w:w="1843"/>
        <w:gridCol w:w="2126"/>
      </w:tblGrid>
      <w:tr w:rsidR="00EB1C0D" w:rsidRPr="001677F9" w14:paraId="2C0773F5" w14:textId="77777777" w:rsidTr="007C6C80">
        <w:trPr>
          <w:tblHeader/>
        </w:trPr>
        <w:tc>
          <w:tcPr>
            <w:tcW w:w="1838" w:type="dxa"/>
            <w:vAlign w:val="center"/>
          </w:tcPr>
          <w:p w14:paraId="0CDBF132" w14:textId="77777777" w:rsidR="00EB1C0D" w:rsidRPr="001677F9" w:rsidRDefault="00EB1C0D" w:rsidP="002A7165">
            <w:pPr>
              <w:pStyle w:val="In-tableHeading"/>
              <w:rPr>
                <w:lang w:val="en-AU"/>
              </w:rPr>
            </w:pPr>
            <w:r w:rsidRPr="001677F9">
              <w:rPr>
                <w:lang w:val="en-AU"/>
              </w:rPr>
              <w:t>Trial type or estimate</w:t>
            </w:r>
          </w:p>
        </w:tc>
        <w:tc>
          <w:tcPr>
            <w:tcW w:w="1172" w:type="dxa"/>
            <w:shd w:val="clear" w:color="auto" w:fill="auto"/>
            <w:vAlign w:val="center"/>
          </w:tcPr>
          <w:p w14:paraId="6CC0B0B3" w14:textId="77777777" w:rsidR="00EB1C0D" w:rsidRPr="001677F9" w:rsidRDefault="00EB1C0D" w:rsidP="002A7165">
            <w:pPr>
              <w:pStyle w:val="In-tableHeading"/>
              <w:rPr>
                <w:lang w:val="en-AU"/>
              </w:rPr>
            </w:pPr>
            <w:r w:rsidRPr="001677F9">
              <w:rPr>
                <w:lang w:val="en-AU"/>
              </w:rPr>
              <w:t>Trial ID</w:t>
            </w:r>
          </w:p>
        </w:tc>
        <w:tc>
          <w:tcPr>
            <w:tcW w:w="1805" w:type="dxa"/>
            <w:shd w:val="clear" w:color="auto" w:fill="auto"/>
            <w:vAlign w:val="center"/>
          </w:tcPr>
          <w:p w14:paraId="3747C34E" w14:textId="77777777" w:rsidR="00EB1C0D" w:rsidRPr="001677F9" w:rsidRDefault="00EB1C0D" w:rsidP="002A7165">
            <w:pPr>
              <w:pStyle w:val="In-tableHeading"/>
              <w:jc w:val="center"/>
              <w:rPr>
                <w:lang w:val="en-AU"/>
              </w:rPr>
            </w:pPr>
            <w:r w:rsidRPr="001677F9">
              <w:rPr>
                <w:lang w:val="en-AU"/>
              </w:rPr>
              <w:t>n with event/N (%)</w:t>
            </w:r>
          </w:p>
        </w:tc>
        <w:tc>
          <w:tcPr>
            <w:tcW w:w="1843" w:type="dxa"/>
            <w:shd w:val="clear" w:color="auto" w:fill="auto"/>
            <w:vAlign w:val="center"/>
          </w:tcPr>
          <w:p w14:paraId="571C5FFA" w14:textId="77777777" w:rsidR="00EB1C0D" w:rsidRPr="001677F9" w:rsidRDefault="00EB1C0D" w:rsidP="002A7165">
            <w:pPr>
              <w:pStyle w:val="In-tableHeading"/>
              <w:jc w:val="center"/>
              <w:rPr>
                <w:lang w:val="en-AU"/>
              </w:rPr>
            </w:pPr>
            <w:r w:rsidRPr="001677F9">
              <w:rPr>
                <w:lang w:val="en-AU"/>
              </w:rPr>
              <w:t>Common reference n with event/N (%)</w:t>
            </w:r>
          </w:p>
        </w:tc>
        <w:tc>
          <w:tcPr>
            <w:tcW w:w="2126" w:type="dxa"/>
            <w:shd w:val="clear" w:color="auto" w:fill="auto"/>
            <w:vAlign w:val="center"/>
          </w:tcPr>
          <w:p w14:paraId="769ACF16" w14:textId="77777777" w:rsidR="00EB1C0D" w:rsidRPr="001677F9" w:rsidRDefault="00EB1C0D" w:rsidP="002A7165">
            <w:pPr>
              <w:pStyle w:val="In-tableHeading"/>
              <w:jc w:val="center"/>
              <w:rPr>
                <w:lang w:val="en-AU"/>
              </w:rPr>
            </w:pPr>
            <w:r w:rsidRPr="001677F9">
              <w:rPr>
                <w:lang w:val="en-AU"/>
              </w:rPr>
              <w:t>Risk ratio (95% CI)</w:t>
            </w:r>
          </w:p>
        </w:tc>
      </w:tr>
      <w:tr w:rsidR="00EB1C0D" w:rsidRPr="001677F9" w14:paraId="33AE2967" w14:textId="77777777" w:rsidTr="002A7165">
        <w:tc>
          <w:tcPr>
            <w:tcW w:w="8784" w:type="dxa"/>
            <w:gridSpan w:val="5"/>
            <w:vAlign w:val="center"/>
          </w:tcPr>
          <w:p w14:paraId="34F84650" w14:textId="77777777" w:rsidR="00EB1C0D" w:rsidRPr="001677F9" w:rsidRDefault="00EB1C0D" w:rsidP="002A7165">
            <w:pPr>
              <w:pStyle w:val="TableText0"/>
              <w:rPr>
                <w:rFonts w:cs="Arial"/>
              </w:rPr>
            </w:pPr>
            <w:r w:rsidRPr="001677F9">
              <w:rPr>
                <w:b/>
                <w:bCs w:val="0"/>
              </w:rPr>
              <w:t>S</w:t>
            </w:r>
            <w:r w:rsidRPr="001677F9">
              <w:rPr>
                <w:b/>
              </w:rPr>
              <w:t>AEs</w:t>
            </w:r>
          </w:p>
        </w:tc>
      </w:tr>
      <w:tr w:rsidR="00EB1C0D" w:rsidRPr="001677F9" w14:paraId="3D16FA1E" w14:textId="77777777" w:rsidTr="007C6C80">
        <w:tc>
          <w:tcPr>
            <w:tcW w:w="1838" w:type="dxa"/>
            <w:vAlign w:val="center"/>
          </w:tcPr>
          <w:p w14:paraId="3B77330E" w14:textId="12621D78" w:rsidR="00EB1C0D" w:rsidRPr="001677F9" w:rsidRDefault="00EB1C0D" w:rsidP="002A7165">
            <w:pPr>
              <w:pStyle w:val="TableText0"/>
              <w:rPr>
                <w:vertAlign w:val="superscript"/>
              </w:rPr>
            </w:pPr>
            <w:r w:rsidRPr="001677F9">
              <w:t>Dapagliflozin vs. placebo</w:t>
            </w:r>
          </w:p>
        </w:tc>
        <w:tc>
          <w:tcPr>
            <w:tcW w:w="1172" w:type="dxa"/>
            <w:shd w:val="clear" w:color="auto" w:fill="auto"/>
            <w:vAlign w:val="center"/>
          </w:tcPr>
          <w:p w14:paraId="66EE635F" w14:textId="77777777" w:rsidR="00EB1C0D" w:rsidRPr="001677F9" w:rsidRDefault="00EB1C0D" w:rsidP="002A7165">
            <w:pPr>
              <w:pStyle w:val="TableText0"/>
            </w:pPr>
            <w:r w:rsidRPr="001677F9">
              <w:t>DELIVER</w:t>
            </w:r>
          </w:p>
        </w:tc>
        <w:tc>
          <w:tcPr>
            <w:tcW w:w="1805" w:type="dxa"/>
            <w:shd w:val="clear" w:color="auto" w:fill="auto"/>
            <w:vAlign w:val="center"/>
          </w:tcPr>
          <w:p w14:paraId="626711B2" w14:textId="77777777" w:rsidR="00EB1C0D" w:rsidRPr="001677F9" w:rsidRDefault="00EB1C0D" w:rsidP="002A7165">
            <w:pPr>
              <w:pStyle w:val="TableText0"/>
              <w:jc w:val="center"/>
            </w:pPr>
            <w:r w:rsidRPr="001677F9">
              <w:rPr>
                <w:rFonts w:cs="Arial"/>
              </w:rPr>
              <w:t>1361/3126 (43.5)</w:t>
            </w:r>
          </w:p>
        </w:tc>
        <w:tc>
          <w:tcPr>
            <w:tcW w:w="1843" w:type="dxa"/>
            <w:shd w:val="clear" w:color="auto" w:fill="auto"/>
            <w:vAlign w:val="center"/>
          </w:tcPr>
          <w:p w14:paraId="271EBFDE" w14:textId="77777777" w:rsidR="00EB1C0D" w:rsidRPr="001677F9" w:rsidRDefault="00EB1C0D" w:rsidP="002A7165">
            <w:pPr>
              <w:pStyle w:val="TableText0"/>
              <w:jc w:val="center"/>
            </w:pPr>
            <w:r w:rsidRPr="001677F9">
              <w:rPr>
                <w:rFonts w:cs="Arial"/>
              </w:rPr>
              <w:t>1423/3127 (45.5)</w:t>
            </w:r>
            <w:r w:rsidRPr="001677F9">
              <w:t xml:space="preserve"> </w:t>
            </w:r>
          </w:p>
        </w:tc>
        <w:tc>
          <w:tcPr>
            <w:tcW w:w="2126" w:type="dxa"/>
            <w:shd w:val="clear" w:color="auto" w:fill="auto"/>
            <w:vAlign w:val="center"/>
          </w:tcPr>
          <w:p w14:paraId="61B37832" w14:textId="77777777" w:rsidR="00EB1C0D" w:rsidRPr="001677F9" w:rsidRDefault="00EB1C0D" w:rsidP="002A7165">
            <w:pPr>
              <w:pStyle w:val="TableText0"/>
              <w:jc w:val="center"/>
            </w:pPr>
            <w:r w:rsidRPr="001677F9">
              <w:rPr>
                <w:rFonts w:cs="Arial"/>
              </w:rPr>
              <w:t>0.96 (0.91,1.01)</w:t>
            </w:r>
          </w:p>
        </w:tc>
      </w:tr>
      <w:tr w:rsidR="00EB1C0D" w:rsidRPr="001677F9" w14:paraId="18CE0717" w14:textId="77777777" w:rsidTr="007C6C80">
        <w:tc>
          <w:tcPr>
            <w:tcW w:w="1838" w:type="dxa"/>
            <w:vAlign w:val="center"/>
          </w:tcPr>
          <w:p w14:paraId="35863694" w14:textId="4D61CF03" w:rsidR="00EB1C0D" w:rsidRPr="001677F9" w:rsidRDefault="00EB1C0D" w:rsidP="002A7165">
            <w:pPr>
              <w:pStyle w:val="TableText0"/>
              <w:rPr>
                <w:vertAlign w:val="superscript"/>
              </w:rPr>
            </w:pPr>
            <w:r w:rsidRPr="001677F9">
              <w:t>Empagliflozin vs. placeb</w:t>
            </w:r>
            <w:r w:rsidR="00E0674C" w:rsidRPr="001677F9">
              <w:t>o</w:t>
            </w:r>
          </w:p>
        </w:tc>
        <w:tc>
          <w:tcPr>
            <w:tcW w:w="1172" w:type="dxa"/>
            <w:shd w:val="clear" w:color="auto" w:fill="auto"/>
            <w:vAlign w:val="center"/>
          </w:tcPr>
          <w:p w14:paraId="78E891E5" w14:textId="77777777" w:rsidR="00EB1C0D" w:rsidRPr="001677F9" w:rsidRDefault="00EB1C0D" w:rsidP="002A7165">
            <w:pPr>
              <w:pStyle w:val="TableText0"/>
            </w:pPr>
            <w:r w:rsidRPr="001677F9">
              <w:t>EMPEROR-Preserved</w:t>
            </w:r>
          </w:p>
        </w:tc>
        <w:tc>
          <w:tcPr>
            <w:tcW w:w="1805" w:type="dxa"/>
            <w:shd w:val="clear" w:color="auto" w:fill="auto"/>
            <w:vAlign w:val="center"/>
          </w:tcPr>
          <w:p w14:paraId="0D31FEFF" w14:textId="77777777" w:rsidR="00EB1C0D" w:rsidRPr="001677F9" w:rsidRDefault="00EB1C0D" w:rsidP="002A7165">
            <w:pPr>
              <w:pStyle w:val="TableText0"/>
              <w:jc w:val="center"/>
            </w:pPr>
            <w:r w:rsidRPr="001677F9">
              <w:t>1436/2996 (47.9)</w:t>
            </w:r>
          </w:p>
        </w:tc>
        <w:tc>
          <w:tcPr>
            <w:tcW w:w="1843" w:type="dxa"/>
            <w:shd w:val="clear" w:color="auto" w:fill="auto"/>
            <w:vAlign w:val="center"/>
          </w:tcPr>
          <w:p w14:paraId="52103967" w14:textId="77777777" w:rsidR="00EB1C0D" w:rsidRPr="001677F9" w:rsidRDefault="00EB1C0D" w:rsidP="002A7165">
            <w:pPr>
              <w:pStyle w:val="TableText0"/>
              <w:jc w:val="center"/>
            </w:pPr>
            <w:r w:rsidRPr="001677F9">
              <w:t>1543/2989 (51.6)</w:t>
            </w:r>
          </w:p>
        </w:tc>
        <w:tc>
          <w:tcPr>
            <w:tcW w:w="2126" w:type="dxa"/>
            <w:shd w:val="clear" w:color="auto" w:fill="auto"/>
            <w:vAlign w:val="center"/>
          </w:tcPr>
          <w:p w14:paraId="53770A2B" w14:textId="77777777" w:rsidR="00EB1C0D" w:rsidRPr="001677F9" w:rsidRDefault="00EB1C0D" w:rsidP="002A7165">
            <w:pPr>
              <w:pStyle w:val="TableText0"/>
              <w:jc w:val="center"/>
            </w:pPr>
            <w:r w:rsidRPr="001677F9">
              <w:rPr>
                <w:rFonts w:cs="Arial"/>
              </w:rPr>
              <w:t xml:space="preserve"> 0.93 (0.88,0.98)</w:t>
            </w:r>
          </w:p>
        </w:tc>
      </w:tr>
      <w:tr w:rsidR="00EB1C0D" w:rsidRPr="001677F9" w14:paraId="3CE5CD98" w14:textId="77777777" w:rsidTr="007C6C80">
        <w:tc>
          <w:tcPr>
            <w:tcW w:w="1838" w:type="dxa"/>
            <w:vAlign w:val="center"/>
          </w:tcPr>
          <w:p w14:paraId="32F2AD50" w14:textId="3C4F7DE8" w:rsidR="00EB1C0D" w:rsidRPr="001677F9" w:rsidRDefault="00EB1C0D" w:rsidP="002A7165">
            <w:pPr>
              <w:pStyle w:val="TableText0"/>
              <w:rPr>
                <w:vertAlign w:val="superscript"/>
              </w:rPr>
            </w:pPr>
            <w:r w:rsidRPr="001677F9">
              <w:t>Indirect estimate of effect adjusted for the common reference</w:t>
            </w:r>
          </w:p>
        </w:tc>
        <w:tc>
          <w:tcPr>
            <w:tcW w:w="1172" w:type="dxa"/>
            <w:shd w:val="clear" w:color="auto" w:fill="auto"/>
            <w:vAlign w:val="center"/>
          </w:tcPr>
          <w:p w14:paraId="22EF9322" w14:textId="77777777" w:rsidR="00EB1C0D" w:rsidRPr="001677F9" w:rsidRDefault="00EB1C0D" w:rsidP="002A7165">
            <w:pPr>
              <w:pStyle w:val="TableText0"/>
              <w:jc w:val="center"/>
            </w:pPr>
            <w:r w:rsidRPr="001677F9">
              <w:t>–</w:t>
            </w:r>
          </w:p>
        </w:tc>
        <w:tc>
          <w:tcPr>
            <w:tcW w:w="1805" w:type="dxa"/>
            <w:shd w:val="clear" w:color="auto" w:fill="auto"/>
            <w:vAlign w:val="center"/>
          </w:tcPr>
          <w:p w14:paraId="5BEC3440" w14:textId="77777777" w:rsidR="00EB1C0D" w:rsidRPr="001677F9" w:rsidRDefault="00EB1C0D" w:rsidP="002A7165">
            <w:pPr>
              <w:pStyle w:val="TableText0"/>
              <w:jc w:val="center"/>
            </w:pPr>
            <w:r w:rsidRPr="001677F9">
              <w:t>–</w:t>
            </w:r>
          </w:p>
        </w:tc>
        <w:tc>
          <w:tcPr>
            <w:tcW w:w="1843" w:type="dxa"/>
            <w:shd w:val="clear" w:color="auto" w:fill="auto"/>
            <w:vAlign w:val="center"/>
          </w:tcPr>
          <w:p w14:paraId="0F9D5E3C" w14:textId="77777777" w:rsidR="00EB1C0D" w:rsidRPr="001677F9" w:rsidRDefault="00EB1C0D" w:rsidP="002A7165">
            <w:pPr>
              <w:pStyle w:val="TableText0"/>
              <w:jc w:val="center"/>
            </w:pPr>
            <w:r w:rsidRPr="001677F9">
              <w:t>–</w:t>
            </w:r>
          </w:p>
        </w:tc>
        <w:tc>
          <w:tcPr>
            <w:tcW w:w="2126" w:type="dxa"/>
            <w:shd w:val="clear" w:color="auto" w:fill="auto"/>
            <w:vAlign w:val="center"/>
          </w:tcPr>
          <w:p w14:paraId="2334D540" w14:textId="77777777" w:rsidR="00EB1C0D" w:rsidRPr="001677F9" w:rsidRDefault="00EB1C0D" w:rsidP="002A7165">
            <w:pPr>
              <w:pStyle w:val="TableText0"/>
              <w:jc w:val="center"/>
            </w:pPr>
            <w:r w:rsidRPr="001677F9">
              <w:rPr>
                <w:rFonts w:cs="Arial"/>
              </w:rPr>
              <w:t>1.03 (0.96,1.10)</w:t>
            </w:r>
          </w:p>
        </w:tc>
      </w:tr>
      <w:tr w:rsidR="00EB1C0D" w:rsidRPr="001677F9" w14:paraId="2C09AA7F" w14:textId="77777777" w:rsidTr="002A7165">
        <w:tc>
          <w:tcPr>
            <w:tcW w:w="8784" w:type="dxa"/>
            <w:gridSpan w:val="5"/>
            <w:vAlign w:val="center"/>
          </w:tcPr>
          <w:p w14:paraId="570D15C9" w14:textId="77777777" w:rsidR="00EB1C0D" w:rsidRPr="001677F9" w:rsidRDefault="00EB1C0D" w:rsidP="002A7165">
            <w:pPr>
              <w:pStyle w:val="TableText0"/>
              <w:rPr>
                <w:rFonts w:cs="Arial"/>
              </w:rPr>
            </w:pPr>
            <w:r w:rsidRPr="001677F9">
              <w:rPr>
                <w:b/>
                <w:bCs w:val="0"/>
              </w:rPr>
              <w:t>D</w:t>
            </w:r>
            <w:r w:rsidRPr="001677F9">
              <w:rPr>
                <w:b/>
              </w:rPr>
              <w:t>AEs</w:t>
            </w:r>
            <w:r w:rsidRPr="001677F9">
              <w:rPr>
                <w:b/>
                <w:bCs w:val="0"/>
              </w:rPr>
              <w:t xml:space="preserve"> </w:t>
            </w:r>
          </w:p>
        </w:tc>
      </w:tr>
      <w:tr w:rsidR="00EB1C0D" w:rsidRPr="001677F9" w14:paraId="41107105" w14:textId="77777777" w:rsidTr="007C6C80">
        <w:tc>
          <w:tcPr>
            <w:tcW w:w="1838" w:type="dxa"/>
            <w:vAlign w:val="center"/>
          </w:tcPr>
          <w:p w14:paraId="09DE81E3" w14:textId="509E02A0" w:rsidR="00EB1C0D" w:rsidRPr="001677F9" w:rsidRDefault="00EB1C0D" w:rsidP="002A7165">
            <w:pPr>
              <w:pStyle w:val="TableText0"/>
              <w:rPr>
                <w:vertAlign w:val="superscript"/>
              </w:rPr>
            </w:pPr>
            <w:r w:rsidRPr="001677F9">
              <w:t>Dapagliflozin vs. placebo</w:t>
            </w:r>
          </w:p>
        </w:tc>
        <w:tc>
          <w:tcPr>
            <w:tcW w:w="1172" w:type="dxa"/>
            <w:shd w:val="clear" w:color="auto" w:fill="auto"/>
            <w:vAlign w:val="center"/>
          </w:tcPr>
          <w:p w14:paraId="38299A56" w14:textId="77777777" w:rsidR="00EB1C0D" w:rsidRPr="001677F9" w:rsidRDefault="00EB1C0D" w:rsidP="002A7165">
            <w:pPr>
              <w:pStyle w:val="TableText0"/>
              <w:jc w:val="center"/>
            </w:pPr>
            <w:r w:rsidRPr="001677F9">
              <w:t>DELIVER</w:t>
            </w:r>
          </w:p>
        </w:tc>
        <w:tc>
          <w:tcPr>
            <w:tcW w:w="1805" w:type="dxa"/>
            <w:shd w:val="clear" w:color="auto" w:fill="auto"/>
            <w:vAlign w:val="center"/>
          </w:tcPr>
          <w:p w14:paraId="2F12A9EA" w14:textId="77777777" w:rsidR="00EB1C0D" w:rsidRPr="001677F9" w:rsidRDefault="00EB1C0D" w:rsidP="002A7165">
            <w:pPr>
              <w:pStyle w:val="TableText0"/>
              <w:jc w:val="center"/>
            </w:pPr>
            <w:r w:rsidRPr="001677F9">
              <w:t>182/3126 (5.8)</w:t>
            </w:r>
          </w:p>
        </w:tc>
        <w:tc>
          <w:tcPr>
            <w:tcW w:w="1843" w:type="dxa"/>
            <w:shd w:val="clear" w:color="auto" w:fill="auto"/>
            <w:vAlign w:val="center"/>
          </w:tcPr>
          <w:p w14:paraId="7A0D3339" w14:textId="77777777" w:rsidR="00EB1C0D" w:rsidRPr="001677F9" w:rsidRDefault="00EB1C0D" w:rsidP="002A7165">
            <w:pPr>
              <w:pStyle w:val="TableText0"/>
              <w:jc w:val="center"/>
            </w:pPr>
            <w:r w:rsidRPr="001677F9">
              <w:t>181/3127 (5.8)</w:t>
            </w:r>
          </w:p>
        </w:tc>
        <w:tc>
          <w:tcPr>
            <w:tcW w:w="2126" w:type="dxa"/>
            <w:shd w:val="clear" w:color="auto" w:fill="auto"/>
            <w:vAlign w:val="center"/>
          </w:tcPr>
          <w:p w14:paraId="6772FAE7" w14:textId="77777777" w:rsidR="00EB1C0D" w:rsidRPr="001677F9" w:rsidRDefault="00EB1C0D" w:rsidP="002A7165">
            <w:pPr>
              <w:pStyle w:val="TableText0"/>
              <w:jc w:val="center"/>
              <w:rPr>
                <w:rFonts w:cs="Arial"/>
              </w:rPr>
            </w:pPr>
            <w:r w:rsidRPr="001677F9">
              <w:rPr>
                <w:rFonts w:cs="Arial"/>
              </w:rPr>
              <w:t>1.01 (0.82,1.23)</w:t>
            </w:r>
          </w:p>
        </w:tc>
      </w:tr>
      <w:tr w:rsidR="00EB1C0D" w:rsidRPr="001677F9" w14:paraId="1A9E0D00" w14:textId="77777777" w:rsidTr="007C6C80">
        <w:tc>
          <w:tcPr>
            <w:tcW w:w="1838" w:type="dxa"/>
            <w:vAlign w:val="center"/>
          </w:tcPr>
          <w:p w14:paraId="2ECCA562" w14:textId="58D789B1" w:rsidR="00EB1C0D" w:rsidRPr="001677F9" w:rsidRDefault="00EB1C0D" w:rsidP="002A7165">
            <w:pPr>
              <w:pStyle w:val="TableText0"/>
              <w:rPr>
                <w:vertAlign w:val="superscript"/>
              </w:rPr>
            </w:pPr>
            <w:r w:rsidRPr="001677F9">
              <w:t>Empagliflozin vs. placebo</w:t>
            </w:r>
          </w:p>
        </w:tc>
        <w:tc>
          <w:tcPr>
            <w:tcW w:w="1172" w:type="dxa"/>
            <w:shd w:val="clear" w:color="auto" w:fill="auto"/>
            <w:vAlign w:val="center"/>
          </w:tcPr>
          <w:p w14:paraId="7BF16EE6" w14:textId="77777777" w:rsidR="00EB1C0D" w:rsidRPr="001677F9" w:rsidRDefault="00EB1C0D" w:rsidP="002A7165">
            <w:pPr>
              <w:pStyle w:val="TableText0"/>
              <w:jc w:val="center"/>
            </w:pPr>
            <w:r w:rsidRPr="001677F9">
              <w:t>EMPEROR-Preserved</w:t>
            </w:r>
          </w:p>
        </w:tc>
        <w:tc>
          <w:tcPr>
            <w:tcW w:w="1805" w:type="dxa"/>
            <w:shd w:val="clear" w:color="auto" w:fill="auto"/>
            <w:vAlign w:val="center"/>
          </w:tcPr>
          <w:p w14:paraId="783866A3" w14:textId="77777777" w:rsidR="00EB1C0D" w:rsidRPr="001677F9" w:rsidRDefault="00EB1C0D" w:rsidP="002A7165">
            <w:pPr>
              <w:pStyle w:val="TableText0"/>
              <w:jc w:val="center"/>
            </w:pPr>
            <w:r w:rsidRPr="001677F9">
              <w:t>571/2996 (19.1)</w:t>
            </w:r>
          </w:p>
        </w:tc>
        <w:tc>
          <w:tcPr>
            <w:tcW w:w="1843" w:type="dxa"/>
            <w:shd w:val="clear" w:color="auto" w:fill="auto"/>
            <w:vAlign w:val="center"/>
          </w:tcPr>
          <w:p w14:paraId="26C66970" w14:textId="77777777" w:rsidR="00EB1C0D" w:rsidRPr="001677F9" w:rsidRDefault="00EB1C0D" w:rsidP="002A7165">
            <w:pPr>
              <w:pStyle w:val="TableText0"/>
              <w:jc w:val="center"/>
            </w:pPr>
            <w:r w:rsidRPr="001677F9">
              <w:t>551/2989 (18.4)</w:t>
            </w:r>
          </w:p>
        </w:tc>
        <w:tc>
          <w:tcPr>
            <w:tcW w:w="2126" w:type="dxa"/>
            <w:shd w:val="clear" w:color="auto" w:fill="auto"/>
            <w:vAlign w:val="center"/>
          </w:tcPr>
          <w:p w14:paraId="24C7A8A8" w14:textId="77777777" w:rsidR="00EB1C0D" w:rsidRPr="001677F9" w:rsidRDefault="00EB1C0D" w:rsidP="002A7165">
            <w:pPr>
              <w:pStyle w:val="TableText0"/>
              <w:jc w:val="center"/>
              <w:rPr>
                <w:rFonts w:cs="Arial"/>
              </w:rPr>
            </w:pPr>
            <w:r w:rsidRPr="001677F9">
              <w:rPr>
                <w:rFonts w:cs="Arial"/>
              </w:rPr>
              <w:t>1.03 (0.93,1.15)</w:t>
            </w:r>
          </w:p>
        </w:tc>
      </w:tr>
      <w:tr w:rsidR="00EB1C0D" w:rsidRPr="001677F9" w14:paraId="1A2BE82A" w14:textId="77777777" w:rsidTr="007C6C80">
        <w:tc>
          <w:tcPr>
            <w:tcW w:w="1838" w:type="dxa"/>
            <w:vAlign w:val="center"/>
          </w:tcPr>
          <w:p w14:paraId="3C6575EB" w14:textId="5FCA35C6" w:rsidR="00EB1C0D" w:rsidRPr="001677F9" w:rsidRDefault="00EB1C0D" w:rsidP="002A7165">
            <w:pPr>
              <w:pStyle w:val="TableText0"/>
              <w:rPr>
                <w:vertAlign w:val="superscript"/>
              </w:rPr>
            </w:pPr>
            <w:r w:rsidRPr="001677F9">
              <w:t>Indirect estimate of effect adjusted for the common reference</w:t>
            </w:r>
          </w:p>
        </w:tc>
        <w:tc>
          <w:tcPr>
            <w:tcW w:w="1172" w:type="dxa"/>
            <w:shd w:val="clear" w:color="auto" w:fill="auto"/>
            <w:vAlign w:val="center"/>
          </w:tcPr>
          <w:p w14:paraId="1B6985B3" w14:textId="77777777" w:rsidR="00EB1C0D" w:rsidRPr="001677F9" w:rsidRDefault="00EB1C0D" w:rsidP="002A7165">
            <w:pPr>
              <w:pStyle w:val="TableText0"/>
              <w:jc w:val="center"/>
            </w:pPr>
            <w:r w:rsidRPr="001677F9">
              <w:t>–</w:t>
            </w:r>
          </w:p>
        </w:tc>
        <w:tc>
          <w:tcPr>
            <w:tcW w:w="1805" w:type="dxa"/>
            <w:shd w:val="clear" w:color="auto" w:fill="auto"/>
            <w:vAlign w:val="center"/>
          </w:tcPr>
          <w:p w14:paraId="3A3AE8E3" w14:textId="77777777" w:rsidR="00EB1C0D" w:rsidRPr="001677F9" w:rsidRDefault="00EB1C0D" w:rsidP="002A7165">
            <w:pPr>
              <w:pStyle w:val="TableText0"/>
              <w:jc w:val="center"/>
            </w:pPr>
            <w:r w:rsidRPr="001677F9">
              <w:t>–</w:t>
            </w:r>
          </w:p>
        </w:tc>
        <w:tc>
          <w:tcPr>
            <w:tcW w:w="1843" w:type="dxa"/>
            <w:shd w:val="clear" w:color="auto" w:fill="auto"/>
            <w:vAlign w:val="center"/>
          </w:tcPr>
          <w:p w14:paraId="01052389" w14:textId="77777777" w:rsidR="00EB1C0D" w:rsidRPr="001677F9" w:rsidRDefault="00EB1C0D" w:rsidP="002A7165">
            <w:pPr>
              <w:pStyle w:val="TableText0"/>
              <w:jc w:val="center"/>
            </w:pPr>
            <w:r w:rsidRPr="001677F9">
              <w:t>–</w:t>
            </w:r>
          </w:p>
        </w:tc>
        <w:tc>
          <w:tcPr>
            <w:tcW w:w="2126" w:type="dxa"/>
            <w:shd w:val="clear" w:color="auto" w:fill="auto"/>
            <w:vAlign w:val="center"/>
          </w:tcPr>
          <w:p w14:paraId="3D30F4CB" w14:textId="77777777" w:rsidR="00EB1C0D" w:rsidRPr="001677F9" w:rsidRDefault="00EB1C0D" w:rsidP="002A7165">
            <w:pPr>
              <w:pStyle w:val="TableText0"/>
              <w:jc w:val="center"/>
              <w:rPr>
                <w:rFonts w:cs="Arial"/>
              </w:rPr>
            </w:pPr>
            <w:r w:rsidRPr="001677F9">
              <w:rPr>
                <w:rFonts w:cs="Arial"/>
              </w:rPr>
              <w:t>0.98 (0.78,1.23)</w:t>
            </w:r>
          </w:p>
        </w:tc>
      </w:tr>
      <w:tr w:rsidR="00EB1C0D" w:rsidRPr="001677F9" w14:paraId="552AA1F0" w14:textId="77777777" w:rsidTr="002A7165">
        <w:tc>
          <w:tcPr>
            <w:tcW w:w="8784" w:type="dxa"/>
            <w:gridSpan w:val="5"/>
            <w:vAlign w:val="center"/>
          </w:tcPr>
          <w:p w14:paraId="21765F16" w14:textId="33B60E92" w:rsidR="00EB1C0D" w:rsidRPr="001677F9" w:rsidRDefault="00EB1C0D" w:rsidP="002A7165">
            <w:pPr>
              <w:pStyle w:val="TableText0"/>
              <w:rPr>
                <w:rFonts w:cs="Arial"/>
              </w:rPr>
            </w:pPr>
            <w:r w:rsidRPr="001677F9">
              <w:rPr>
                <w:b/>
                <w:bCs w:val="0"/>
              </w:rPr>
              <w:t>L</w:t>
            </w:r>
            <w:r w:rsidRPr="001677F9">
              <w:rPr>
                <w:b/>
              </w:rPr>
              <w:t>ower limb amputations</w:t>
            </w:r>
            <w:r w:rsidR="00E0674C" w:rsidRPr="001677F9">
              <w:rPr>
                <w:b/>
                <w:vertAlign w:val="superscript"/>
              </w:rPr>
              <w:t>a</w:t>
            </w:r>
          </w:p>
        </w:tc>
      </w:tr>
      <w:tr w:rsidR="00EB1C0D" w:rsidRPr="001677F9" w14:paraId="5D5E86FC" w14:textId="77777777" w:rsidTr="007C6C80">
        <w:tc>
          <w:tcPr>
            <w:tcW w:w="1838" w:type="dxa"/>
            <w:vAlign w:val="center"/>
          </w:tcPr>
          <w:p w14:paraId="5F9350F2" w14:textId="6B7DCB0A" w:rsidR="00EB1C0D" w:rsidRPr="001677F9" w:rsidRDefault="00EB1C0D" w:rsidP="002A7165">
            <w:pPr>
              <w:pStyle w:val="TableText0"/>
              <w:rPr>
                <w:vertAlign w:val="superscript"/>
              </w:rPr>
            </w:pPr>
            <w:r w:rsidRPr="001677F9">
              <w:t>Dapagliflozin vs. placebo</w:t>
            </w:r>
          </w:p>
        </w:tc>
        <w:tc>
          <w:tcPr>
            <w:tcW w:w="1172" w:type="dxa"/>
            <w:shd w:val="clear" w:color="auto" w:fill="auto"/>
            <w:vAlign w:val="center"/>
          </w:tcPr>
          <w:p w14:paraId="31954F2C" w14:textId="77777777" w:rsidR="00EB1C0D" w:rsidRPr="001677F9" w:rsidRDefault="00EB1C0D" w:rsidP="002A7165">
            <w:pPr>
              <w:pStyle w:val="TableText0"/>
              <w:jc w:val="center"/>
            </w:pPr>
            <w:r w:rsidRPr="001677F9">
              <w:t>DELIVER</w:t>
            </w:r>
          </w:p>
        </w:tc>
        <w:tc>
          <w:tcPr>
            <w:tcW w:w="1805" w:type="dxa"/>
            <w:shd w:val="clear" w:color="auto" w:fill="auto"/>
            <w:vAlign w:val="center"/>
          </w:tcPr>
          <w:p w14:paraId="480B1D1B" w14:textId="77777777" w:rsidR="00EB1C0D" w:rsidRPr="001677F9" w:rsidRDefault="00EB1C0D" w:rsidP="002A7165">
            <w:pPr>
              <w:pStyle w:val="TableText0"/>
              <w:jc w:val="center"/>
            </w:pPr>
            <w:r w:rsidRPr="001677F9">
              <w:rPr>
                <w:rFonts w:cs="Arial"/>
              </w:rPr>
              <w:t>19/3126 (0.6)</w:t>
            </w:r>
          </w:p>
        </w:tc>
        <w:tc>
          <w:tcPr>
            <w:tcW w:w="1843" w:type="dxa"/>
            <w:shd w:val="clear" w:color="auto" w:fill="auto"/>
            <w:vAlign w:val="center"/>
          </w:tcPr>
          <w:p w14:paraId="6D6871A4" w14:textId="77777777" w:rsidR="00EB1C0D" w:rsidRPr="001677F9" w:rsidRDefault="00EB1C0D" w:rsidP="002A7165">
            <w:pPr>
              <w:pStyle w:val="TableText0"/>
              <w:jc w:val="center"/>
            </w:pPr>
            <w:r w:rsidRPr="001677F9">
              <w:rPr>
                <w:rFonts w:cs="Arial"/>
              </w:rPr>
              <w:t>25/3127 (0.8)</w:t>
            </w:r>
            <w:r w:rsidRPr="001677F9">
              <w:t xml:space="preserve"> </w:t>
            </w:r>
          </w:p>
        </w:tc>
        <w:tc>
          <w:tcPr>
            <w:tcW w:w="2126" w:type="dxa"/>
            <w:shd w:val="clear" w:color="auto" w:fill="auto"/>
            <w:vAlign w:val="center"/>
          </w:tcPr>
          <w:p w14:paraId="5ADCA2CD" w14:textId="77777777" w:rsidR="00EB1C0D" w:rsidRPr="001677F9" w:rsidRDefault="00EB1C0D" w:rsidP="002A7165">
            <w:pPr>
              <w:pStyle w:val="TableText0"/>
              <w:jc w:val="center"/>
              <w:rPr>
                <w:rFonts w:cs="Arial"/>
              </w:rPr>
            </w:pPr>
            <w:r w:rsidRPr="001677F9">
              <w:rPr>
                <w:rFonts w:cs="Arial"/>
              </w:rPr>
              <w:t>0.76 (0.42,1.38)</w:t>
            </w:r>
          </w:p>
        </w:tc>
      </w:tr>
      <w:tr w:rsidR="00EB1C0D" w:rsidRPr="001677F9" w14:paraId="3077D30C" w14:textId="77777777" w:rsidTr="007C6C80">
        <w:tc>
          <w:tcPr>
            <w:tcW w:w="1838" w:type="dxa"/>
            <w:vAlign w:val="center"/>
          </w:tcPr>
          <w:p w14:paraId="0E6D5CB3" w14:textId="53E31DDE" w:rsidR="00EB1C0D" w:rsidRPr="001677F9" w:rsidRDefault="00EB1C0D" w:rsidP="002A7165">
            <w:pPr>
              <w:pStyle w:val="TableText0"/>
              <w:rPr>
                <w:vertAlign w:val="superscript"/>
              </w:rPr>
            </w:pPr>
            <w:r w:rsidRPr="001677F9">
              <w:t>Empagliflozin vs. placebo</w:t>
            </w:r>
          </w:p>
        </w:tc>
        <w:tc>
          <w:tcPr>
            <w:tcW w:w="1172" w:type="dxa"/>
            <w:shd w:val="clear" w:color="auto" w:fill="auto"/>
            <w:vAlign w:val="center"/>
          </w:tcPr>
          <w:p w14:paraId="1489E8C4" w14:textId="77777777" w:rsidR="00EB1C0D" w:rsidRPr="001677F9" w:rsidRDefault="00EB1C0D" w:rsidP="002A7165">
            <w:pPr>
              <w:pStyle w:val="TableText0"/>
              <w:jc w:val="center"/>
            </w:pPr>
            <w:r w:rsidRPr="001677F9">
              <w:t>EMPEROR-Preserved</w:t>
            </w:r>
          </w:p>
        </w:tc>
        <w:tc>
          <w:tcPr>
            <w:tcW w:w="1805" w:type="dxa"/>
            <w:shd w:val="clear" w:color="auto" w:fill="auto"/>
            <w:vAlign w:val="center"/>
          </w:tcPr>
          <w:p w14:paraId="09B3615A" w14:textId="77777777" w:rsidR="00EB1C0D" w:rsidRPr="001677F9" w:rsidRDefault="00EB1C0D" w:rsidP="002A7165">
            <w:pPr>
              <w:pStyle w:val="TableText0"/>
              <w:jc w:val="center"/>
            </w:pPr>
            <w:r w:rsidRPr="001677F9">
              <w:t>16/2996 (0.5)</w:t>
            </w:r>
          </w:p>
        </w:tc>
        <w:tc>
          <w:tcPr>
            <w:tcW w:w="1843" w:type="dxa"/>
            <w:shd w:val="clear" w:color="auto" w:fill="auto"/>
            <w:vAlign w:val="center"/>
          </w:tcPr>
          <w:p w14:paraId="41AA6B5F" w14:textId="77777777" w:rsidR="00EB1C0D" w:rsidRPr="001677F9" w:rsidRDefault="00EB1C0D" w:rsidP="002A7165">
            <w:pPr>
              <w:pStyle w:val="TableText0"/>
              <w:jc w:val="center"/>
            </w:pPr>
            <w:r w:rsidRPr="001677F9">
              <w:t>23/2989 (0.8)</w:t>
            </w:r>
          </w:p>
        </w:tc>
        <w:tc>
          <w:tcPr>
            <w:tcW w:w="2126" w:type="dxa"/>
            <w:shd w:val="clear" w:color="auto" w:fill="auto"/>
            <w:vAlign w:val="center"/>
          </w:tcPr>
          <w:p w14:paraId="41E605C3" w14:textId="77777777" w:rsidR="00EB1C0D" w:rsidRPr="001677F9" w:rsidRDefault="00EB1C0D" w:rsidP="002A7165">
            <w:pPr>
              <w:pStyle w:val="TableText0"/>
              <w:jc w:val="center"/>
              <w:rPr>
                <w:rFonts w:cs="Arial"/>
              </w:rPr>
            </w:pPr>
            <w:r w:rsidRPr="001677F9">
              <w:rPr>
                <w:rFonts w:cs="Arial"/>
              </w:rPr>
              <w:t xml:space="preserve"> 0.69 (0.37,1.31)</w:t>
            </w:r>
          </w:p>
        </w:tc>
      </w:tr>
      <w:tr w:rsidR="00EB1C0D" w:rsidRPr="001677F9" w14:paraId="09395228" w14:textId="77777777" w:rsidTr="007C6C80">
        <w:tc>
          <w:tcPr>
            <w:tcW w:w="1838" w:type="dxa"/>
            <w:vAlign w:val="center"/>
          </w:tcPr>
          <w:p w14:paraId="7FE83897" w14:textId="4AFDA264" w:rsidR="00EB1C0D" w:rsidRPr="001677F9" w:rsidRDefault="00EB1C0D" w:rsidP="002A7165">
            <w:pPr>
              <w:pStyle w:val="TableText0"/>
              <w:rPr>
                <w:vertAlign w:val="superscript"/>
              </w:rPr>
            </w:pPr>
            <w:r w:rsidRPr="001677F9">
              <w:t>Indirect estimate of effect adjusted for the common reference</w:t>
            </w:r>
          </w:p>
        </w:tc>
        <w:tc>
          <w:tcPr>
            <w:tcW w:w="1172" w:type="dxa"/>
            <w:shd w:val="clear" w:color="auto" w:fill="auto"/>
            <w:vAlign w:val="center"/>
          </w:tcPr>
          <w:p w14:paraId="0ACFF2C4" w14:textId="77777777" w:rsidR="00EB1C0D" w:rsidRPr="001677F9" w:rsidRDefault="00EB1C0D" w:rsidP="002A7165">
            <w:pPr>
              <w:pStyle w:val="TableText0"/>
              <w:jc w:val="center"/>
            </w:pPr>
            <w:r w:rsidRPr="001677F9">
              <w:t>–</w:t>
            </w:r>
          </w:p>
        </w:tc>
        <w:tc>
          <w:tcPr>
            <w:tcW w:w="1805" w:type="dxa"/>
            <w:shd w:val="clear" w:color="auto" w:fill="auto"/>
            <w:vAlign w:val="center"/>
          </w:tcPr>
          <w:p w14:paraId="66A1110F" w14:textId="77777777" w:rsidR="00EB1C0D" w:rsidRPr="001677F9" w:rsidRDefault="00EB1C0D" w:rsidP="002A7165">
            <w:pPr>
              <w:pStyle w:val="TableText0"/>
              <w:jc w:val="center"/>
            </w:pPr>
            <w:r w:rsidRPr="001677F9">
              <w:t>–</w:t>
            </w:r>
          </w:p>
        </w:tc>
        <w:tc>
          <w:tcPr>
            <w:tcW w:w="1843" w:type="dxa"/>
            <w:shd w:val="clear" w:color="auto" w:fill="auto"/>
            <w:vAlign w:val="center"/>
          </w:tcPr>
          <w:p w14:paraId="4C184DB5" w14:textId="77777777" w:rsidR="00EB1C0D" w:rsidRPr="001677F9" w:rsidRDefault="00EB1C0D" w:rsidP="002A7165">
            <w:pPr>
              <w:pStyle w:val="TableText0"/>
              <w:jc w:val="center"/>
            </w:pPr>
            <w:r w:rsidRPr="001677F9">
              <w:t>–</w:t>
            </w:r>
          </w:p>
        </w:tc>
        <w:tc>
          <w:tcPr>
            <w:tcW w:w="2126" w:type="dxa"/>
            <w:shd w:val="clear" w:color="auto" w:fill="auto"/>
            <w:vAlign w:val="center"/>
          </w:tcPr>
          <w:p w14:paraId="5B69E9C0" w14:textId="77777777" w:rsidR="00EB1C0D" w:rsidRPr="001677F9" w:rsidRDefault="00EB1C0D" w:rsidP="002A7165">
            <w:pPr>
              <w:pStyle w:val="TableText0"/>
              <w:jc w:val="center"/>
              <w:rPr>
                <w:rFonts w:cs="Arial"/>
              </w:rPr>
            </w:pPr>
            <w:r w:rsidRPr="001677F9">
              <w:rPr>
                <w:rFonts w:cs="Arial"/>
              </w:rPr>
              <w:t>1.10 (0.46, 2.62)</w:t>
            </w:r>
          </w:p>
        </w:tc>
      </w:tr>
    </w:tbl>
    <w:p w14:paraId="13726346" w14:textId="17CCE1E5" w:rsidR="00EB1C0D" w:rsidRPr="001677F9" w:rsidRDefault="00EB1C0D" w:rsidP="009402F2">
      <w:pPr>
        <w:pStyle w:val="FooterTableFigure"/>
        <w:keepNext/>
        <w:spacing w:after="0"/>
      </w:pPr>
      <w:bookmarkStart w:id="44" w:name="_Hlk132630491"/>
      <w:r w:rsidRPr="001677F9">
        <w:t xml:space="preserve">Source: </w:t>
      </w:r>
      <w:r w:rsidR="00E0674C" w:rsidRPr="001677F9">
        <w:t xml:space="preserve">Table 2.5-14, p84, Table 2.5-20, pp89-90 and </w:t>
      </w:r>
      <w:r w:rsidR="00ED486E" w:rsidRPr="001677F9">
        <w:t>Table 2.6-3, pp94-9</w:t>
      </w:r>
      <w:r w:rsidR="00E0674C" w:rsidRPr="001677F9">
        <w:t>5</w:t>
      </w:r>
      <w:r w:rsidR="00ED486E" w:rsidRPr="001677F9">
        <w:t xml:space="preserve"> of the submission</w:t>
      </w:r>
    </w:p>
    <w:p w14:paraId="7291CE80" w14:textId="382C67EE" w:rsidR="00507044" w:rsidRPr="001677F9" w:rsidRDefault="00EB1C0D" w:rsidP="009402F2">
      <w:pPr>
        <w:pStyle w:val="Tablenotes"/>
        <w:spacing w:before="0" w:after="0"/>
        <w:rPr>
          <w:rFonts w:ascii="Arial Narrow" w:hAnsi="Arial Narrow" w:cs="Arial"/>
        </w:rPr>
      </w:pPr>
      <w:r w:rsidRPr="001677F9">
        <w:rPr>
          <w:rFonts w:ascii="Arial Narrow" w:hAnsi="Arial Narrow" w:cs="Arial"/>
        </w:rPr>
        <w:t>CI = confidence interval,</w:t>
      </w:r>
      <w:r w:rsidR="008F3DBF" w:rsidRPr="001677F9">
        <w:rPr>
          <w:rFonts w:ascii="Arial Narrow" w:hAnsi="Arial Narrow" w:cs="Arial"/>
        </w:rPr>
        <w:t xml:space="preserve"> DAE = AE leading to discontinuation</w:t>
      </w:r>
      <w:r w:rsidR="00E31810" w:rsidRPr="001677F9">
        <w:rPr>
          <w:rFonts w:ascii="Arial Narrow" w:hAnsi="Arial Narrow" w:cs="Arial"/>
        </w:rPr>
        <w:t>;</w:t>
      </w:r>
      <w:r w:rsidRPr="001677F9">
        <w:rPr>
          <w:rFonts w:ascii="Arial Narrow" w:hAnsi="Arial Narrow" w:cs="Arial"/>
        </w:rPr>
        <w:t xml:space="preserve"> </w:t>
      </w:r>
      <w:r w:rsidR="001D00C5" w:rsidRPr="001677F9">
        <w:rPr>
          <w:rFonts w:ascii="Arial Narrow" w:hAnsi="Arial Narrow" w:cs="Arial"/>
        </w:rPr>
        <w:t>SAE = serious adverse event.</w:t>
      </w:r>
    </w:p>
    <w:p w14:paraId="0EE73A16" w14:textId="12F13670" w:rsidR="008D1B3B" w:rsidRPr="001677F9" w:rsidRDefault="00E0674C" w:rsidP="009402F2">
      <w:pPr>
        <w:pStyle w:val="Tablenotes"/>
        <w:spacing w:before="0" w:after="120" w:line="240" w:lineRule="auto"/>
        <w:rPr>
          <w:rFonts w:ascii="Arial Narrow" w:hAnsi="Arial Narrow"/>
        </w:rPr>
      </w:pPr>
      <w:proofErr w:type="gramStart"/>
      <w:r w:rsidRPr="001677F9">
        <w:rPr>
          <w:rFonts w:ascii="Arial Narrow" w:hAnsi="Arial Narrow"/>
          <w:vertAlign w:val="superscript"/>
        </w:rPr>
        <w:t>a</w:t>
      </w:r>
      <w:proofErr w:type="gramEnd"/>
      <w:r w:rsidR="008D1B3B" w:rsidRPr="001677F9">
        <w:rPr>
          <w:rFonts w:ascii="Arial Narrow" w:hAnsi="Arial Narrow"/>
        </w:rPr>
        <w:t xml:space="preserve"> EMPEROR-Preserved reported lower limb amputations only. DELIVER reported all amputations, however all amputation events were lower limb </w:t>
      </w:r>
      <w:proofErr w:type="gramStart"/>
      <w:r w:rsidR="008D1B3B" w:rsidRPr="001677F9">
        <w:rPr>
          <w:rFonts w:ascii="Arial Narrow" w:hAnsi="Arial Narrow"/>
        </w:rPr>
        <w:t>amputations</w:t>
      </w:r>
      <w:proofErr w:type="gramEnd"/>
    </w:p>
    <w:p w14:paraId="01FE70FC" w14:textId="4BFFCAE8" w:rsidR="007A74A1" w:rsidRPr="001677F9" w:rsidRDefault="0042181E" w:rsidP="00EB1C0D">
      <w:pPr>
        <w:pStyle w:val="3-BodyText"/>
      </w:pPr>
      <w:bookmarkStart w:id="45" w:name="_Hlk132301536"/>
      <w:bookmarkEnd w:id="44"/>
      <w:r w:rsidRPr="001677F9">
        <w:rPr>
          <w:rFonts w:cstheme="minorHAnsi"/>
        </w:rPr>
        <w:t xml:space="preserve">There were no significant differences between dapagliflozin and empagliflozin </w:t>
      </w:r>
      <w:proofErr w:type="gramStart"/>
      <w:r w:rsidR="00531E59" w:rsidRPr="001677F9">
        <w:rPr>
          <w:rFonts w:cstheme="minorHAnsi"/>
        </w:rPr>
        <w:t xml:space="preserve">with </w:t>
      </w:r>
      <w:r w:rsidRPr="001677F9">
        <w:rPr>
          <w:rFonts w:cstheme="minorHAnsi"/>
        </w:rPr>
        <w:t>regard to</w:t>
      </w:r>
      <w:proofErr w:type="gramEnd"/>
      <w:r w:rsidRPr="001677F9">
        <w:rPr>
          <w:rFonts w:cstheme="minorHAnsi"/>
        </w:rPr>
        <w:t xml:space="preserve"> </w:t>
      </w:r>
      <w:r w:rsidR="00531E59" w:rsidRPr="001677F9">
        <w:rPr>
          <w:rFonts w:cstheme="minorHAnsi"/>
        </w:rPr>
        <w:t>SAEs</w:t>
      </w:r>
      <w:r w:rsidRPr="001677F9">
        <w:rPr>
          <w:rFonts w:cstheme="minorHAnsi"/>
        </w:rPr>
        <w:t xml:space="preserve">, </w:t>
      </w:r>
      <w:r w:rsidR="00531E59" w:rsidRPr="001677F9">
        <w:rPr>
          <w:rFonts w:cstheme="minorHAnsi"/>
        </w:rPr>
        <w:t>DAEs</w:t>
      </w:r>
      <w:r w:rsidRPr="001677F9">
        <w:rPr>
          <w:rFonts w:cstheme="minorHAnsi"/>
        </w:rPr>
        <w:t xml:space="preserve"> </w:t>
      </w:r>
      <w:r w:rsidR="00531E59" w:rsidRPr="001677F9">
        <w:rPr>
          <w:rFonts w:cstheme="minorHAnsi"/>
        </w:rPr>
        <w:t xml:space="preserve">or </w:t>
      </w:r>
      <w:r w:rsidRPr="001677F9">
        <w:rPr>
          <w:rFonts w:cstheme="minorHAnsi"/>
        </w:rPr>
        <w:t>lower limb amputations</w:t>
      </w:r>
      <w:r w:rsidR="000E1816" w:rsidRPr="001677F9">
        <w:rPr>
          <w:rFonts w:cstheme="minorHAnsi"/>
        </w:rPr>
        <w:t>, with point estimates which suggest similar safety profiles</w:t>
      </w:r>
      <w:r w:rsidRPr="001677F9">
        <w:rPr>
          <w:rFonts w:cstheme="minorHAnsi"/>
        </w:rPr>
        <w:t xml:space="preserve">. </w:t>
      </w:r>
      <w:r w:rsidR="008F3DBF" w:rsidRPr="001677F9">
        <w:rPr>
          <w:rFonts w:cstheme="minorHAnsi"/>
          <w:iCs/>
        </w:rPr>
        <w:t>AE rates were generally similar between the intervention and placebo arms of the two trials, however t</w:t>
      </w:r>
      <w:r w:rsidRPr="001677F9">
        <w:rPr>
          <w:rFonts w:cstheme="minorHAnsi"/>
          <w:iCs/>
        </w:rPr>
        <w:t>he proportion of patients in the placebo group with SAEs was slightly greater in EMPEROR-Preserved compared to DELIVER (51.6% and 45.5% respectively).</w:t>
      </w:r>
      <w:r w:rsidRPr="001677F9">
        <w:rPr>
          <w:rFonts w:cstheme="minorHAnsi"/>
        </w:rPr>
        <w:t xml:space="preserve"> </w:t>
      </w:r>
      <w:r w:rsidRPr="001677F9">
        <w:rPr>
          <w:rFonts w:cstheme="minorHAnsi"/>
          <w:iCs/>
          <w:lang w:eastAsia="zh-CN"/>
        </w:rPr>
        <w:t>DAEs were substantially higher for the placebo arm in the EMPEROR-Preserved trial compared with the DELIVER trial (18.4% versus 5.8%, respectively)</w:t>
      </w:r>
      <w:r w:rsidR="008F3DBF" w:rsidRPr="001677F9">
        <w:rPr>
          <w:rFonts w:cstheme="minorHAnsi"/>
          <w:iCs/>
          <w:lang w:eastAsia="zh-CN"/>
        </w:rPr>
        <w:t xml:space="preserve">, however discontinuation rates between the intervention and placebo arms were similar across trials. </w:t>
      </w:r>
    </w:p>
    <w:p w14:paraId="01C1B107" w14:textId="7E86E81D" w:rsidR="00E24923" w:rsidRPr="001677F9" w:rsidRDefault="00E24923" w:rsidP="00EE5C1D">
      <w:pPr>
        <w:pStyle w:val="3-BodyText"/>
        <w:rPr>
          <w:rFonts w:cstheme="minorHAnsi"/>
          <w:lang w:eastAsia="zh-CN"/>
        </w:rPr>
      </w:pPr>
      <w:r w:rsidRPr="001677F9">
        <w:rPr>
          <w:rFonts w:cstheme="minorHAnsi"/>
          <w:lang w:eastAsia="zh-CN"/>
        </w:rPr>
        <w:t xml:space="preserve">The </w:t>
      </w:r>
      <w:r w:rsidR="00EC06DD" w:rsidRPr="001677F9">
        <w:rPr>
          <w:rFonts w:cstheme="minorHAnsi"/>
          <w:lang w:eastAsia="zh-CN"/>
        </w:rPr>
        <w:t xml:space="preserve">PBAC </w:t>
      </w:r>
      <w:r w:rsidRPr="001677F9">
        <w:rPr>
          <w:rFonts w:cstheme="minorHAnsi"/>
          <w:lang w:eastAsia="zh-CN"/>
        </w:rPr>
        <w:t xml:space="preserve">considered that no new safety concerns had been identified, and that the evidence presented was consistent with </w:t>
      </w:r>
      <w:r w:rsidR="00D03884" w:rsidRPr="001677F9">
        <w:rPr>
          <w:rFonts w:cstheme="minorHAnsi"/>
          <w:lang w:eastAsia="zh-CN"/>
        </w:rPr>
        <w:t xml:space="preserve">the </w:t>
      </w:r>
      <w:r w:rsidR="001677F9" w:rsidRPr="001677F9">
        <w:rPr>
          <w:rFonts w:cstheme="minorHAnsi"/>
          <w:lang w:eastAsia="zh-CN"/>
        </w:rPr>
        <w:t>well-known</w:t>
      </w:r>
      <w:r w:rsidRPr="001677F9">
        <w:rPr>
          <w:rFonts w:cstheme="minorHAnsi"/>
          <w:lang w:eastAsia="zh-CN"/>
        </w:rPr>
        <w:t xml:space="preserve"> safety profile of SGLT2 inhibitors.</w:t>
      </w:r>
    </w:p>
    <w:p w14:paraId="04908C7F" w14:textId="56A0178E" w:rsidR="007F1017" w:rsidRPr="001677F9" w:rsidRDefault="007F1017" w:rsidP="008A2105">
      <w:pPr>
        <w:pStyle w:val="4-SubsectionHeading"/>
      </w:pPr>
      <w:bookmarkStart w:id="46" w:name="_Toc135217175"/>
      <w:bookmarkEnd w:id="45"/>
      <w:r w:rsidRPr="001677F9">
        <w:lastRenderedPageBreak/>
        <w:t>Benefits/harms</w:t>
      </w:r>
      <w:bookmarkEnd w:id="39"/>
      <w:bookmarkEnd w:id="46"/>
    </w:p>
    <w:p w14:paraId="7ABF5BE8" w14:textId="05A8A60C" w:rsidR="00507044" w:rsidRPr="001677F9" w:rsidRDefault="00507044" w:rsidP="008A2105">
      <w:pPr>
        <w:pStyle w:val="3-BodyText"/>
      </w:pPr>
      <w:bookmarkStart w:id="47" w:name="_Toc22897644"/>
      <w:r w:rsidRPr="001677F9">
        <w:rPr>
          <w:snapToGrid/>
        </w:rPr>
        <w:t xml:space="preserve">A benefits and harms table </w:t>
      </w:r>
      <w:proofErr w:type="gramStart"/>
      <w:r w:rsidRPr="001677F9">
        <w:rPr>
          <w:snapToGrid/>
        </w:rPr>
        <w:t>was</w:t>
      </w:r>
      <w:proofErr w:type="gramEnd"/>
      <w:r w:rsidRPr="001677F9">
        <w:rPr>
          <w:snapToGrid/>
        </w:rPr>
        <w:t xml:space="preserve"> not presented as the submission made a claim of non-inferiority. </w:t>
      </w:r>
    </w:p>
    <w:p w14:paraId="289EAA5E" w14:textId="510957E6" w:rsidR="007C70FF" w:rsidRPr="001677F9" w:rsidRDefault="00B60939" w:rsidP="008A2105">
      <w:pPr>
        <w:pStyle w:val="4-SubsectionHeading"/>
      </w:pPr>
      <w:bookmarkStart w:id="48" w:name="_Toc135217176"/>
      <w:r w:rsidRPr="001677F9">
        <w:t>Clinical claim</w:t>
      </w:r>
      <w:bookmarkEnd w:id="47"/>
      <w:bookmarkEnd w:id="48"/>
    </w:p>
    <w:p w14:paraId="0ECC2811" w14:textId="77777777" w:rsidR="00CA4A96" w:rsidRPr="001677F9" w:rsidRDefault="00AF5F1E" w:rsidP="00CA4A96">
      <w:pPr>
        <w:pStyle w:val="3-BodyText"/>
      </w:pPr>
      <w:proofErr w:type="gramStart"/>
      <w:r w:rsidRPr="001677F9">
        <w:rPr>
          <w:rFonts w:eastAsia="Calibri"/>
        </w:rPr>
        <w:t>On the basis of</w:t>
      </w:r>
      <w:proofErr w:type="gramEnd"/>
      <w:r w:rsidRPr="001677F9">
        <w:rPr>
          <w:rFonts w:eastAsia="Calibri"/>
        </w:rPr>
        <w:t xml:space="preserve"> the ITC of DELIVER and EMPEROR-Preserved the submission described dapagliflozin as non-inferior in terms of effectiveness and safety compared to empagliflozin in patients with chronic HF with LVEF &gt;40%. </w:t>
      </w:r>
      <w:bookmarkStart w:id="49" w:name="_Hlk132301930"/>
      <w:r w:rsidRPr="001677F9">
        <w:rPr>
          <w:rFonts w:eastAsia="Calibri"/>
          <w:iCs/>
        </w:rPr>
        <w:t>This claim was</w:t>
      </w:r>
      <w:r w:rsidRPr="001677F9">
        <w:rPr>
          <w:rFonts w:eastAsia="Calibri"/>
        </w:rPr>
        <w:t xml:space="preserve"> adequately supported</w:t>
      </w:r>
      <w:r w:rsidR="007D3DDC" w:rsidRPr="001677F9">
        <w:rPr>
          <w:rFonts w:eastAsia="Calibri"/>
        </w:rPr>
        <w:t xml:space="preserve"> for</w:t>
      </w:r>
      <w:r w:rsidR="00450409" w:rsidRPr="001677F9">
        <w:rPr>
          <w:b/>
        </w:rPr>
        <w:t xml:space="preserve"> </w:t>
      </w:r>
      <w:r w:rsidR="003205B9" w:rsidRPr="001677F9">
        <w:rPr>
          <w:bCs/>
          <w:iCs/>
        </w:rPr>
        <w:t xml:space="preserve">the </w:t>
      </w:r>
      <w:r w:rsidR="00450409" w:rsidRPr="001677F9">
        <w:rPr>
          <w:rFonts w:eastAsia="Calibri"/>
        </w:rPr>
        <w:t>primary composite outcome (CV death or HHF)</w:t>
      </w:r>
      <w:r w:rsidR="00783949" w:rsidRPr="001677F9">
        <w:rPr>
          <w:rFonts w:eastAsia="Calibri"/>
        </w:rPr>
        <w:t xml:space="preserve">, </w:t>
      </w:r>
      <w:r w:rsidR="001906EF" w:rsidRPr="001677F9">
        <w:rPr>
          <w:rFonts w:eastAsia="Calibri"/>
        </w:rPr>
        <w:t>CV death, HFF, all cause death</w:t>
      </w:r>
      <w:r w:rsidR="003A1D46" w:rsidRPr="001677F9">
        <w:rPr>
          <w:rFonts w:eastAsia="Calibri"/>
        </w:rPr>
        <w:t xml:space="preserve"> and s</w:t>
      </w:r>
      <w:r w:rsidR="00AC385D" w:rsidRPr="001677F9">
        <w:rPr>
          <w:rFonts w:eastAsia="Calibri"/>
        </w:rPr>
        <w:t xml:space="preserve">afety outcomes </w:t>
      </w:r>
      <w:r w:rsidR="008D0FA8" w:rsidRPr="001677F9">
        <w:rPr>
          <w:rFonts w:eastAsia="Calibri"/>
        </w:rPr>
        <w:t>(SAEs, DAEs, lower limb amputations)</w:t>
      </w:r>
      <w:r w:rsidRPr="001677F9">
        <w:rPr>
          <w:rFonts w:eastAsia="Calibri"/>
        </w:rPr>
        <w:t>, although t</w:t>
      </w:r>
      <w:r w:rsidRPr="001677F9">
        <w:t>he lack of a statistically significant difference may not be sufficient to establish non-inferiority as the 95% confidence intervals may include clinically important differences.</w:t>
      </w:r>
      <w:bookmarkEnd w:id="49"/>
      <w:r w:rsidR="00CA4A96" w:rsidRPr="001677F9">
        <w:rPr>
          <w:iCs/>
        </w:rPr>
        <w:t xml:space="preserve"> </w:t>
      </w:r>
    </w:p>
    <w:p w14:paraId="00CE69C2" w14:textId="003C5298" w:rsidR="00CA4A96" w:rsidRPr="001677F9" w:rsidRDefault="00CA4A96" w:rsidP="00CA4A96">
      <w:pPr>
        <w:pStyle w:val="3-BodyText"/>
      </w:pPr>
      <w:r w:rsidRPr="001677F9">
        <w:rPr>
          <w:iCs/>
        </w:rPr>
        <w:t>The</w:t>
      </w:r>
      <w:r w:rsidRPr="001677F9">
        <w:t xml:space="preserve"> PBAC considered that the claim of non-inferior comparative effectiveness and safety was adequately supported for dapagliflozin compared to empagliflozin.</w:t>
      </w:r>
    </w:p>
    <w:p w14:paraId="54D3A82D" w14:textId="0CD533DE" w:rsidR="005F7588" w:rsidRPr="001677F9" w:rsidRDefault="0022204F" w:rsidP="008A2105">
      <w:pPr>
        <w:pStyle w:val="3-BodyText"/>
        <w:rPr>
          <w:rFonts w:eastAsia="Calibri"/>
        </w:rPr>
      </w:pPr>
      <w:bookmarkStart w:id="50" w:name="_Hlk140659722"/>
      <w:proofErr w:type="gramStart"/>
      <w:r w:rsidRPr="001677F9">
        <w:rPr>
          <w:rFonts w:eastAsia="Calibri"/>
        </w:rPr>
        <w:t>On the basis of</w:t>
      </w:r>
      <w:proofErr w:type="gramEnd"/>
      <w:r w:rsidRPr="001677F9">
        <w:rPr>
          <w:rFonts w:eastAsia="Calibri"/>
        </w:rPr>
        <w:t xml:space="preserve"> the DELIVER trial t</w:t>
      </w:r>
      <w:r w:rsidR="005F7588" w:rsidRPr="001677F9">
        <w:rPr>
          <w:rFonts w:eastAsia="Calibri"/>
        </w:rPr>
        <w:t xml:space="preserve">he submission described </w:t>
      </w:r>
      <w:r w:rsidR="00507044" w:rsidRPr="001677F9">
        <w:rPr>
          <w:rFonts w:eastAsia="Calibri"/>
        </w:rPr>
        <w:t>dapagliflozin</w:t>
      </w:r>
      <w:r w:rsidR="00AE4875" w:rsidRPr="001677F9">
        <w:rPr>
          <w:rFonts w:eastAsia="Calibri"/>
        </w:rPr>
        <w:t xml:space="preserve"> </w:t>
      </w:r>
      <w:r w:rsidRPr="001677F9">
        <w:rPr>
          <w:rFonts w:eastAsia="Calibri"/>
        </w:rPr>
        <w:t xml:space="preserve">plus </w:t>
      </w:r>
      <w:r w:rsidR="00AE4875" w:rsidRPr="001677F9">
        <w:rPr>
          <w:rFonts w:eastAsia="Calibri"/>
        </w:rPr>
        <w:t xml:space="preserve">SOC </w:t>
      </w:r>
      <w:r w:rsidR="005F7588" w:rsidRPr="001677F9">
        <w:rPr>
          <w:rFonts w:eastAsia="Calibri"/>
        </w:rPr>
        <w:t xml:space="preserve">as superior in terms of effectiveness </w:t>
      </w:r>
      <w:r w:rsidR="00507044" w:rsidRPr="001677F9">
        <w:rPr>
          <w:rFonts w:eastAsia="Calibri"/>
        </w:rPr>
        <w:t xml:space="preserve">and non-inferior in terms of safety </w:t>
      </w:r>
      <w:r w:rsidR="005F7588" w:rsidRPr="001677F9">
        <w:rPr>
          <w:rFonts w:eastAsia="Calibri"/>
        </w:rPr>
        <w:t xml:space="preserve">compared to </w:t>
      </w:r>
      <w:r w:rsidR="00AE4875" w:rsidRPr="001677F9">
        <w:rPr>
          <w:rFonts w:eastAsia="Calibri"/>
        </w:rPr>
        <w:t>SOC alone</w:t>
      </w:r>
      <w:r w:rsidR="005F7588" w:rsidRPr="001677F9">
        <w:rPr>
          <w:rFonts w:eastAsia="Calibri"/>
        </w:rPr>
        <w:t xml:space="preserve">. </w:t>
      </w:r>
      <w:bookmarkStart w:id="51" w:name="_Hlk132301813"/>
      <w:r w:rsidR="0033380E" w:rsidRPr="001677F9">
        <w:rPr>
          <w:rFonts w:eastAsia="Calibri"/>
        </w:rPr>
        <w:t xml:space="preserve">The </w:t>
      </w:r>
      <w:r w:rsidR="00DD26F3" w:rsidRPr="001677F9">
        <w:rPr>
          <w:rFonts w:eastAsia="Calibri"/>
        </w:rPr>
        <w:t xml:space="preserve">ESC considered that the </w:t>
      </w:r>
      <w:r w:rsidR="0033380E" w:rsidRPr="001677F9">
        <w:rPr>
          <w:rFonts w:eastAsia="Calibri"/>
        </w:rPr>
        <w:t xml:space="preserve">efficacy </w:t>
      </w:r>
      <w:r w:rsidR="005F7588" w:rsidRPr="001677F9">
        <w:rPr>
          <w:rFonts w:eastAsia="Calibri"/>
        </w:rPr>
        <w:t>claim</w:t>
      </w:r>
      <w:r w:rsidR="005F7588" w:rsidRPr="001677F9">
        <w:rPr>
          <w:rFonts w:eastAsia="Calibri"/>
          <w:iCs/>
        </w:rPr>
        <w:t xml:space="preserve"> wa</w:t>
      </w:r>
      <w:r w:rsidR="00507044" w:rsidRPr="001677F9">
        <w:rPr>
          <w:rFonts w:eastAsia="Calibri"/>
          <w:iCs/>
        </w:rPr>
        <w:t xml:space="preserve">s </w:t>
      </w:r>
      <w:r w:rsidR="007C70FF" w:rsidRPr="001677F9">
        <w:rPr>
          <w:rFonts w:eastAsia="Calibri"/>
          <w:iCs/>
        </w:rPr>
        <w:t>adequately supported</w:t>
      </w:r>
      <w:r w:rsidRPr="001677F9">
        <w:rPr>
          <w:rFonts w:eastAsia="Calibri"/>
          <w:iCs/>
        </w:rPr>
        <w:t xml:space="preserve"> </w:t>
      </w:r>
      <w:proofErr w:type="gramStart"/>
      <w:r w:rsidRPr="001677F9">
        <w:rPr>
          <w:rFonts w:eastAsia="Calibri"/>
          <w:iCs/>
        </w:rPr>
        <w:t>on the basis of</w:t>
      </w:r>
      <w:proofErr w:type="gramEnd"/>
      <w:r w:rsidRPr="001677F9">
        <w:rPr>
          <w:rFonts w:eastAsia="Calibri"/>
          <w:iCs/>
        </w:rPr>
        <w:t xml:space="preserve"> superiority of the primary composite outcome (time to first occurrence of CV death, HHF or urgent HF visit)</w:t>
      </w:r>
      <w:r w:rsidR="008F3DBF" w:rsidRPr="001677F9">
        <w:rPr>
          <w:rFonts w:eastAsia="Calibri"/>
          <w:iCs/>
        </w:rPr>
        <w:t>, noting that this result was largely driven by the statistically significant difference in HHF</w:t>
      </w:r>
      <w:r w:rsidRPr="001677F9">
        <w:rPr>
          <w:rFonts w:eastAsia="Calibri"/>
          <w:iCs/>
        </w:rPr>
        <w:t xml:space="preserve">. </w:t>
      </w:r>
      <w:bookmarkEnd w:id="51"/>
      <w:r w:rsidR="0033380E" w:rsidRPr="001677F9">
        <w:rPr>
          <w:rFonts w:eastAsia="Calibri"/>
          <w:iCs/>
        </w:rPr>
        <w:t xml:space="preserve"> </w:t>
      </w:r>
      <w:r w:rsidR="0033380E" w:rsidRPr="001677F9">
        <w:rPr>
          <w:rFonts w:eastAsia="Calibri"/>
        </w:rPr>
        <w:t xml:space="preserve">The </w:t>
      </w:r>
      <w:r w:rsidR="00DD26F3" w:rsidRPr="001677F9">
        <w:rPr>
          <w:rFonts w:eastAsia="Calibri"/>
        </w:rPr>
        <w:t xml:space="preserve">ESC considered that the </w:t>
      </w:r>
      <w:r w:rsidR="0033380E" w:rsidRPr="001677F9">
        <w:rPr>
          <w:rFonts w:eastAsia="Calibri"/>
        </w:rPr>
        <w:t xml:space="preserve">claim of non-inferior comparative safety was also </w:t>
      </w:r>
      <w:r w:rsidR="00DD26F3" w:rsidRPr="001677F9">
        <w:rPr>
          <w:rFonts w:eastAsia="Calibri"/>
        </w:rPr>
        <w:t>supported</w:t>
      </w:r>
      <w:r w:rsidR="0033380E" w:rsidRPr="001677F9">
        <w:rPr>
          <w:rFonts w:eastAsia="Calibri"/>
        </w:rPr>
        <w:t>.</w:t>
      </w:r>
    </w:p>
    <w:p w14:paraId="53A9F9DC" w14:textId="77777777" w:rsidR="00980351" w:rsidRPr="001677F9" w:rsidRDefault="00980351" w:rsidP="00980351">
      <w:pPr>
        <w:pStyle w:val="4-SubsectionHeading"/>
      </w:pPr>
      <w:bookmarkStart w:id="52" w:name="_Toc135217177"/>
      <w:bookmarkEnd w:id="50"/>
      <w:r w:rsidRPr="001677F9">
        <w:t>Economic analysis</w:t>
      </w:r>
      <w:bookmarkEnd w:id="52"/>
      <w:r w:rsidRPr="001677F9">
        <w:t xml:space="preserve"> </w:t>
      </w:r>
    </w:p>
    <w:p w14:paraId="3AE34124" w14:textId="661064F9" w:rsidR="00980351" w:rsidRPr="001677F9" w:rsidRDefault="00980351" w:rsidP="00980351">
      <w:pPr>
        <w:pStyle w:val="3-BodyText"/>
      </w:pPr>
      <w:r w:rsidRPr="001677F9">
        <w:t xml:space="preserve">The submission presented a cost-minimisation approach comparing dapagliflozin with the nominated comparator, empagliflozin. This was appropriate given the recent recommendation by the PBAC for listing of empagliflozin for the treatment of HF patients with LVEF &gt;40%. </w:t>
      </w:r>
      <w:r w:rsidR="00CA4A96" w:rsidRPr="001677F9">
        <w:t>T</w:t>
      </w:r>
      <w:r w:rsidRPr="001677F9">
        <w:t xml:space="preserve">he submission presented a supplementary modelled cost-utility analysis of dapagliflozin plus SOC versus SOC alone, in HF patients with LVEF &gt;40%. The cost-utility analysis was based on the results of the DELIVER trial. </w:t>
      </w:r>
    </w:p>
    <w:p w14:paraId="3B46E236" w14:textId="77777777" w:rsidR="00980351" w:rsidRPr="001677F9" w:rsidRDefault="00980351" w:rsidP="00980351">
      <w:pPr>
        <w:pStyle w:val="3-BodyText"/>
        <w:numPr>
          <w:ilvl w:val="0"/>
          <w:numId w:val="0"/>
        </w:numPr>
        <w:rPr>
          <w:b/>
          <w:bCs/>
          <w:i/>
          <w:iCs/>
        </w:rPr>
      </w:pPr>
      <w:r w:rsidRPr="001677F9">
        <w:rPr>
          <w:b/>
          <w:bCs/>
          <w:i/>
          <w:iCs/>
        </w:rPr>
        <w:t>Cost-minimisation analysis</w:t>
      </w:r>
    </w:p>
    <w:p w14:paraId="29610D2E" w14:textId="2E1D52FC" w:rsidR="00980351" w:rsidRPr="001677F9" w:rsidRDefault="00980351" w:rsidP="00980351">
      <w:pPr>
        <w:pStyle w:val="3-BodyText"/>
        <w:ind w:left="709" w:hanging="709"/>
        <w:rPr>
          <w:bCs/>
        </w:rPr>
      </w:pPr>
      <w:r w:rsidRPr="001677F9">
        <w:rPr>
          <w:bCs/>
        </w:rPr>
        <w:t xml:space="preserve">The cost-minimisation approach assumed equivalence of dapagliflozin 10 mg once daily and empagliflozin 10 mg once daily. These doses </w:t>
      </w:r>
      <w:r w:rsidR="00E31810" w:rsidRPr="001677F9">
        <w:rPr>
          <w:bCs/>
        </w:rPr>
        <w:t>were</w:t>
      </w:r>
      <w:r w:rsidRPr="001677F9">
        <w:rPr>
          <w:bCs/>
        </w:rPr>
        <w:t xml:space="preserve"> consistent with the respective PIs, and the dosing schedules used in the key clinical trials. This was appropriate. The PBAC previously considered that the equi-effective doses for HF patients with LVEF </w:t>
      </w:r>
      <w:r w:rsidRPr="001677F9">
        <w:rPr>
          <w:rFonts w:cstheme="minorHAnsi"/>
          <w:bCs/>
        </w:rPr>
        <w:t>≤</w:t>
      </w:r>
      <w:r w:rsidRPr="001677F9">
        <w:rPr>
          <w:bCs/>
        </w:rPr>
        <w:t>40% were empagliflozin 10 mg per day and dapagliflozin 10 mg per day (para 7.2, empagliflozin</w:t>
      </w:r>
      <w:r w:rsidR="00187328" w:rsidRPr="001677F9">
        <w:rPr>
          <w:iCs/>
        </w:rPr>
        <w:t xml:space="preserve"> </w:t>
      </w:r>
      <w:r w:rsidR="0091161B">
        <w:rPr>
          <w:iCs/>
        </w:rPr>
        <w:t>PSD</w:t>
      </w:r>
      <w:r w:rsidRPr="001677F9">
        <w:rPr>
          <w:bCs/>
        </w:rPr>
        <w:t xml:space="preserve">, November 2021). </w:t>
      </w:r>
      <w:r w:rsidRPr="001677F9">
        <w:t>The assumed equivalence of dapagliflozin (10</w:t>
      </w:r>
      <w:r w:rsidR="001677F9">
        <w:t> </w:t>
      </w:r>
      <w:r w:rsidRPr="001677F9">
        <w:t>mg once daily) with empagliflozin (10</w:t>
      </w:r>
      <w:r w:rsidR="001677F9">
        <w:t> </w:t>
      </w:r>
      <w:r w:rsidRPr="001677F9">
        <w:t xml:space="preserve">mg once daily) was reasonable, noting that the </w:t>
      </w:r>
      <w:r w:rsidR="00CD2722" w:rsidRPr="001677F9">
        <w:t xml:space="preserve">clinical </w:t>
      </w:r>
      <w:r w:rsidRPr="001677F9">
        <w:t xml:space="preserve">evidence demonstrated non-inferiority of efficacy and safety for dapagliflozin compared to empagliflozin. </w:t>
      </w:r>
    </w:p>
    <w:p w14:paraId="0B437634" w14:textId="287FC568" w:rsidR="00980351" w:rsidRPr="001677F9" w:rsidRDefault="00980351" w:rsidP="00980351">
      <w:pPr>
        <w:pStyle w:val="3-BodyText"/>
      </w:pPr>
      <w:r w:rsidRPr="001677F9">
        <w:lastRenderedPageBreak/>
        <w:t>In claiming that the equi-effective doses are the recommended daily doses of each drug, the submission implicitly assumed that the mean duration of treatment and the mean dose intensity in clinical practice will be the same for both drugs. Limited data are available to enable a robust comparison of the treatment duration of dapagliflozin and empagliflozin in the requested indication</w:t>
      </w:r>
      <w:r w:rsidR="0033380E" w:rsidRPr="001677F9">
        <w:rPr>
          <w:iCs/>
        </w:rPr>
        <w:t>, but the ESC did not see any reason for a difference to exist</w:t>
      </w:r>
      <w:r w:rsidRPr="001677F9">
        <w:rPr>
          <w:iCs/>
        </w:rPr>
        <w:t>.</w:t>
      </w:r>
    </w:p>
    <w:p w14:paraId="60001C48" w14:textId="3AFBEB5F" w:rsidR="00CE56CE" w:rsidRPr="001677F9" w:rsidRDefault="00980351" w:rsidP="00CE56CE">
      <w:pPr>
        <w:pStyle w:val="3-BodyText"/>
        <w:ind w:left="709" w:hanging="709"/>
      </w:pPr>
      <w:r w:rsidRPr="001677F9">
        <w:t>The results of the cost-minimisation approach were based on the published approved ex-manufacturer prices (AEMP) for dapagliflozin and empagliflozin. This was appropriate</w:t>
      </w:r>
      <w:r w:rsidR="00CE56CE" w:rsidRPr="001677F9">
        <w:t xml:space="preserve"> because the effective price for empagliflozin was not known to the sponsor of dapagliflozin</w:t>
      </w:r>
      <w:r w:rsidRPr="001677F9">
        <w:t xml:space="preserve">. The cost of empagliflozin treatment was $44.66 (AEMP) per pack (30 per pack) and $1.49 per day. </w:t>
      </w:r>
      <w:r w:rsidRPr="001677F9" w:rsidDel="0090412E">
        <w:t xml:space="preserve">The estimated cost of dapagliflozin 10 mg was </w:t>
      </w:r>
      <w:r w:rsidRPr="001677F9">
        <w:t>$41.69 (AEMP) per pack (28 per pack)</w:t>
      </w:r>
      <w:r w:rsidRPr="001677F9" w:rsidDel="00CD16F0">
        <w:t xml:space="preserve"> </w:t>
      </w:r>
      <w:r w:rsidRPr="001677F9">
        <w:t xml:space="preserve">and </w:t>
      </w:r>
      <w:r w:rsidRPr="001677F9" w:rsidDel="0090412E">
        <w:t>$1.49</w:t>
      </w:r>
      <w:r w:rsidRPr="001677F9">
        <w:t xml:space="preserve"> per day (</w:t>
      </w:r>
      <w:r w:rsidR="00566673" w:rsidRPr="001677F9">
        <w:fldChar w:fldCharType="begin" w:fldLock="1"/>
      </w:r>
      <w:r w:rsidR="00566673" w:rsidRPr="001677F9">
        <w:instrText xml:space="preserve"> REF _Ref132377111 \h </w:instrText>
      </w:r>
      <w:r w:rsidR="00CE56CE" w:rsidRPr="001677F9">
        <w:instrText xml:space="preserve"> \* MERGEFORMAT </w:instrText>
      </w:r>
      <w:r w:rsidR="00566673" w:rsidRPr="001677F9">
        <w:fldChar w:fldCharType="separate"/>
      </w:r>
      <w:r w:rsidR="002C43D4" w:rsidRPr="001677F9">
        <w:t>Table 8</w:t>
      </w:r>
      <w:r w:rsidR="00566673" w:rsidRPr="001677F9">
        <w:fldChar w:fldCharType="end"/>
      </w:r>
      <w:r w:rsidRPr="001677F9">
        <w:t xml:space="preserve">). </w:t>
      </w:r>
    </w:p>
    <w:p w14:paraId="2F50118D" w14:textId="722D7DD0" w:rsidR="00980351" w:rsidRPr="001677F9" w:rsidRDefault="00566673" w:rsidP="00566673">
      <w:pPr>
        <w:pStyle w:val="Caption"/>
      </w:pPr>
      <w:bookmarkStart w:id="53" w:name="_Ref132377111"/>
      <w:bookmarkStart w:id="54" w:name="_Hlk130227117"/>
      <w:r w:rsidRPr="001677F9">
        <w:t xml:space="preserve">Table </w:t>
      </w:r>
      <w:fldSimple w:instr=" SEQ Table \* ARABIC " w:fldLock="1">
        <w:r w:rsidR="002C43D4" w:rsidRPr="001677F9">
          <w:t>8</w:t>
        </w:r>
      </w:fldSimple>
      <w:bookmarkEnd w:id="53"/>
      <w:r w:rsidR="00980351" w:rsidRPr="001677F9">
        <w:t xml:space="preserve">: Results of the cost-minimisation analysis </w:t>
      </w:r>
    </w:p>
    <w:tbl>
      <w:tblPr>
        <w:tblStyle w:val="TableGrid"/>
        <w:tblW w:w="0" w:type="auto"/>
        <w:tblLook w:val="04A0" w:firstRow="1" w:lastRow="0" w:firstColumn="1" w:lastColumn="0" w:noHBand="0" w:noVBand="1"/>
      </w:tblPr>
      <w:tblGrid>
        <w:gridCol w:w="3005"/>
        <w:gridCol w:w="3005"/>
        <w:gridCol w:w="3006"/>
      </w:tblGrid>
      <w:tr w:rsidR="00980351" w:rsidRPr="001677F9" w14:paraId="6757C23C" w14:textId="77777777" w:rsidTr="00AD1DC3">
        <w:trPr>
          <w:trHeight w:val="20"/>
        </w:trPr>
        <w:tc>
          <w:tcPr>
            <w:tcW w:w="3005" w:type="dxa"/>
          </w:tcPr>
          <w:p w14:paraId="2DBE15B5" w14:textId="77777777" w:rsidR="00980351" w:rsidRPr="001677F9" w:rsidRDefault="00980351" w:rsidP="00AD1DC3">
            <w:pPr>
              <w:pStyle w:val="In-tableHeading"/>
              <w:rPr>
                <w:b w:val="0"/>
                <w:lang w:val="en-AU"/>
              </w:rPr>
            </w:pPr>
          </w:p>
        </w:tc>
        <w:tc>
          <w:tcPr>
            <w:tcW w:w="3005" w:type="dxa"/>
          </w:tcPr>
          <w:p w14:paraId="70537F2B" w14:textId="77777777" w:rsidR="00980351" w:rsidRPr="001677F9" w:rsidRDefault="00980351" w:rsidP="00AD1DC3">
            <w:pPr>
              <w:pStyle w:val="In-tableHeading"/>
              <w:jc w:val="center"/>
              <w:rPr>
                <w:lang w:val="en-AU"/>
              </w:rPr>
            </w:pPr>
            <w:r w:rsidRPr="001677F9">
              <w:rPr>
                <w:lang w:val="en-AU"/>
              </w:rPr>
              <w:t xml:space="preserve">Dapagliflozin 10 mg </w:t>
            </w:r>
          </w:p>
        </w:tc>
        <w:tc>
          <w:tcPr>
            <w:tcW w:w="3006" w:type="dxa"/>
          </w:tcPr>
          <w:p w14:paraId="4E427A39" w14:textId="77777777" w:rsidR="00980351" w:rsidRPr="001677F9" w:rsidRDefault="00980351" w:rsidP="00AD1DC3">
            <w:pPr>
              <w:pStyle w:val="In-tableHeading"/>
              <w:jc w:val="center"/>
              <w:rPr>
                <w:lang w:val="en-AU"/>
              </w:rPr>
            </w:pPr>
            <w:r w:rsidRPr="001677F9">
              <w:rPr>
                <w:lang w:val="en-AU"/>
              </w:rPr>
              <w:t xml:space="preserve">Empagliflozin 10 mg </w:t>
            </w:r>
          </w:p>
        </w:tc>
      </w:tr>
      <w:tr w:rsidR="00980351" w:rsidRPr="001677F9" w14:paraId="0AE5E890" w14:textId="77777777" w:rsidTr="00AD1DC3">
        <w:trPr>
          <w:trHeight w:val="20"/>
        </w:trPr>
        <w:tc>
          <w:tcPr>
            <w:tcW w:w="3005" w:type="dxa"/>
          </w:tcPr>
          <w:p w14:paraId="2CC3565C" w14:textId="77777777" w:rsidR="00980351" w:rsidRPr="001677F9" w:rsidRDefault="00980351" w:rsidP="00AD1DC3">
            <w:pPr>
              <w:pStyle w:val="In-tableHeading"/>
              <w:rPr>
                <w:b w:val="0"/>
                <w:lang w:val="en-AU"/>
              </w:rPr>
            </w:pPr>
            <w:r w:rsidRPr="001677F9">
              <w:rPr>
                <w:b w:val="0"/>
                <w:shd w:val="clear" w:color="auto" w:fill="FFFFFF" w:themeFill="background1"/>
                <w:lang w:val="en-AU"/>
              </w:rPr>
              <w:t>Proposed DPMQ</w:t>
            </w:r>
          </w:p>
        </w:tc>
        <w:tc>
          <w:tcPr>
            <w:tcW w:w="3005" w:type="dxa"/>
          </w:tcPr>
          <w:p w14:paraId="5CD4C3BD" w14:textId="77777777" w:rsidR="00980351" w:rsidRPr="001677F9" w:rsidRDefault="00980351" w:rsidP="00AD1DC3">
            <w:pPr>
              <w:pStyle w:val="In-tableHeading"/>
              <w:jc w:val="center"/>
              <w:rPr>
                <w:b w:val="0"/>
                <w:lang w:val="en-AU"/>
              </w:rPr>
            </w:pPr>
            <w:r w:rsidRPr="001677F9">
              <w:rPr>
                <w:b w:val="0"/>
                <w:lang w:val="en-AU"/>
              </w:rPr>
              <w:t>$56.97</w:t>
            </w:r>
          </w:p>
        </w:tc>
        <w:tc>
          <w:tcPr>
            <w:tcW w:w="3006" w:type="dxa"/>
          </w:tcPr>
          <w:p w14:paraId="69660BF7" w14:textId="77777777" w:rsidR="00980351" w:rsidRPr="001677F9" w:rsidRDefault="00980351" w:rsidP="00AD1DC3">
            <w:pPr>
              <w:pStyle w:val="In-tableHeading"/>
              <w:jc w:val="center"/>
              <w:rPr>
                <w:b w:val="0"/>
                <w:lang w:val="en-AU"/>
              </w:rPr>
            </w:pPr>
            <w:r w:rsidRPr="001677F9">
              <w:rPr>
                <w:b w:val="0"/>
                <w:lang w:val="en-AU"/>
              </w:rPr>
              <w:t>$60.10</w:t>
            </w:r>
          </w:p>
        </w:tc>
      </w:tr>
      <w:tr w:rsidR="00980351" w:rsidRPr="001677F9" w14:paraId="3182BAEF" w14:textId="77777777" w:rsidTr="00AD1DC3">
        <w:trPr>
          <w:trHeight w:val="20"/>
        </w:trPr>
        <w:tc>
          <w:tcPr>
            <w:tcW w:w="3005" w:type="dxa"/>
          </w:tcPr>
          <w:p w14:paraId="31178A05" w14:textId="77777777" w:rsidR="00980351" w:rsidRPr="001677F9" w:rsidRDefault="00980351" w:rsidP="00AD1DC3">
            <w:pPr>
              <w:pStyle w:val="In-tableHeading"/>
              <w:rPr>
                <w:b w:val="0"/>
                <w:lang w:val="en-AU"/>
              </w:rPr>
            </w:pPr>
            <w:r w:rsidRPr="001677F9">
              <w:rPr>
                <w:b w:val="0"/>
                <w:shd w:val="clear" w:color="auto" w:fill="FFFFFF" w:themeFill="background1"/>
                <w:lang w:val="en-AU"/>
              </w:rPr>
              <w:t>Proposed AEMP</w:t>
            </w:r>
          </w:p>
        </w:tc>
        <w:tc>
          <w:tcPr>
            <w:tcW w:w="3005" w:type="dxa"/>
          </w:tcPr>
          <w:p w14:paraId="6F16B403" w14:textId="77777777" w:rsidR="00980351" w:rsidRPr="001677F9" w:rsidRDefault="00980351" w:rsidP="00AD1DC3">
            <w:pPr>
              <w:pStyle w:val="In-tableHeading"/>
              <w:jc w:val="center"/>
              <w:rPr>
                <w:b w:val="0"/>
                <w:lang w:val="en-AU"/>
              </w:rPr>
            </w:pPr>
            <w:r w:rsidRPr="001677F9">
              <w:rPr>
                <w:b w:val="0"/>
                <w:lang w:val="en-AU"/>
              </w:rPr>
              <w:t>$41.69</w:t>
            </w:r>
          </w:p>
        </w:tc>
        <w:tc>
          <w:tcPr>
            <w:tcW w:w="3006" w:type="dxa"/>
          </w:tcPr>
          <w:p w14:paraId="5504BAE5" w14:textId="77777777" w:rsidR="00980351" w:rsidRPr="001677F9" w:rsidRDefault="00980351" w:rsidP="00AD1DC3">
            <w:pPr>
              <w:pStyle w:val="In-tableHeading"/>
              <w:jc w:val="center"/>
              <w:rPr>
                <w:b w:val="0"/>
                <w:lang w:val="en-AU"/>
              </w:rPr>
            </w:pPr>
            <w:r w:rsidRPr="001677F9">
              <w:rPr>
                <w:b w:val="0"/>
                <w:lang w:val="en-AU"/>
              </w:rPr>
              <w:t>$44.66</w:t>
            </w:r>
          </w:p>
        </w:tc>
      </w:tr>
      <w:tr w:rsidR="00980351" w:rsidRPr="001677F9" w14:paraId="518A2BC4" w14:textId="77777777" w:rsidTr="00AD1DC3">
        <w:trPr>
          <w:trHeight w:val="20"/>
        </w:trPr>
        <w:tc>
          <w:tcPr>
            <w:tcW w:w="3005" w:type="dxa"/>
          </w:tcPr>
          <w:p w14:paraId="7F4A3132" w14:textId="77777777" w:rsidR="00980351" w:rsidRPr="001677F9" w:rsidRDefault="00980351" w:rsidP="00AD1DC3">
            <w:pPr>
              <w:pStyle w:val="In-tableHeading"/>
              <w:rPr>
                <w:b w:val="0"/>
                <w:lang w:val="en-AU"/>
              </w:rPr>
            </w:pPr>
            <w:r w:rsidRPr="001677F9">
              <w:rPr>
                <w:b w:val="0"/>
                <w:shd w:val="clear" w:color="auto" w:fill="FFFFFF" w:themeFill="background1"/>
                <w:lang w:val="en-AU"/>
              </w:rPr>
              <w:t>Maximum quantity</w:t>
            </w:r>
          </w:p>
        </w:tc>
        <w:tc>
          <w:tcPr>
            <w:tcW w:w="3005" w:type="dxa"/>
          </w:tcPr>
          <w:p w14:paraId="5C4E4B37" w14:textId="77777777" w:rsidR="00980351" w:rsidRPr="001677F9" w:rsidRDefault="00980351" w:rsidP="00AD1DC3">
            <w:pPr>
              <w:pStyle w:val="In-tableHeading"/>
              <w:jc w:val="center"/>
              <w:rPr>
                <w:b w:val="0"/>
                <w:lang w:val="en-AU"/>
              </w:rPr>
            </w:pPr>
            <w:r w:rsidRPr="001677F9">
              <w:rPr>
                <w:b w:val="0"/>
                <w:lang w:val="en-AU"/>
              </w:rPr>
              <w:t>28</w:t>
            </w:r>
          </w:p>
        </w:tc>
        <w:tc>
          <w:tcPr>
            <w:tcW w:w="3006" w:type="dxa"/>
          </w:tcPr>
          <w:p w14:paraId="42A86727" w14:textId="77777777" w:rsidR="00980351" w:rsidRPr="001677F9" w:rsidRDefault="00980351" w:rsidP="00AD1DC3">
            <w:pPr>
              <w:pStyle w:val="In-tableHeading"/>
              <w:jc w:val="center"/>
              <w:rPr>
                <w:b w:val="0"/>
                <w:lang w:val="en-AU"/>
              </w:rPr>
            </w:pPr>
            <w:r w:rsidRPr="001677F9">
              <w:rPr>
                <w:b w:val="0"/>
                <w:lang w:val="en-AU"/>
              </w:rPr>
              <w:t>30</w:t>
            </w:r>
          </w:p>
        </w:tc>
      </w:tr>
      <w:tr w:rsidR="00980351" w:rsidRPr="001677F9" w14:paraId="2EC78706" w14:textId="77777777" w:rsidTr="00AD1DC3">
        <w:trPr>
          <w:trHeight w:val="20"/>
        </w:trPr>
        <w:tc>
          <w:tcPr>
            <w:tcW w:w="3005" w:type="dxa"/>
          </w:tcPr>
          <w:p w14:paraId="3CBDEDEC" w14:textId="77777777" w:rsidR="00980351" w:rsidRPr="001677F9" w:rsidRDefault="00980351" w:rsidP="00AD1DC3">
            <w:pPr>
              <w:pStyle w:val="In-tableHeading"/>
              <w:rPr>
                <w:b w:val="0"/>
                <w:lang w:val="en-AU"/>
              </w:rPr>
            </w:pPr>
            <w:r w:rsidRPr="001677F9">
              <w:rPr>
                <w:b w:val="0"/>
                <w:shd w:val="clear" w:color="auto" w:fill="FFFFFF" w:themeFill="background1"/>
                <w:lang w:val="en-AU"/>
              </w:rPr>
              <w:t>Proposed AEMP per day</w:t>
            </w:r>
          </w:p>
        </w:tc>
        <w:tc>
          <w:tcPr>
            <w:tcW w:w="3005" w:type="dxa"/>
          </w:tcPr>
          <w:p w14:paraId="5D5D49E7" w14:textId="77777777" w:rsidR="00980351" w:rsidRPr="001677F9" w:rsidRDefault="00980351" w:rsidP="00AD1DC3">
            <w:pPr>
              <w:pStyle w:val="In-tableHeading"/>
              <w:jc w:val="center"/>
              <w:rPr>
                <w:b w:val="0"/>
                <w:lang w:val="en-AU"/>
              </w:rPr>
            </w:pPr>
            <w:r w:rsidRPr="001677F9">
              <w:rPr>
                <w:b w:val="0"/>
                <w:lang w:val="en-AU"/>
              </w:rPr>
              <w:t>$1.49</w:t>
            </w:r>
          </w:p>
        </w:tc>
        <w:tc>
          <w:tcPr>
            <w:tcW w:w="3006" w:type="dxa"/>
          </w:tcPr>
          <w:p w14:paraId="5EE91495" w14:textId="77777777" w:rsidR="00980351" w:rsidRPr="001677F9" w:rsidRDefault="00980351" w:rsidP="00AD1DC3">
            <w:pPr>
              <w:pStyle w:val="In-tableHeading"/>
              <w:jc w:val="center"/>
              <w:rPr>
                <w:b w:val="0"/>
                <w:lang w:val="en-AU"/>
              </w:rPr>
            </w:pPr>
            <w:r w:rsidRPr="001677F9">
              <w:rPr>
                <w:b w:val="0"/>
                <w:lang w:val="en-AU"/>
              </w:rPr>
              <w:t>$1.49</w:t>
            </w:r>
          </w:p>
        </w:tc>
      </w:tr>
    </w:tbl>
    <w:p w14:paraId="3793C46D" w14:textId="77777777" w:rsidR="00980351" w:rsidRPr="001677F9" w:rsidRDefault="00980351" w:rsidP="00980351">
      <w:pPr>
        <w:pStyle w:val="FooterTableFigure"/>
      </w:pPr>
      <w:r w:rsidRPr="001677F9">
        <w:t xml:space="preserve">Source: Compiled during the evaluation based on Section 3 of the submission </w:t>
      </w:r>
    </w:p>
    <w:p w14:paraId="3AE35BDF" w14:textId="246D69E8" w:rsidR="00980351" w:rsidRPr="001677F9" w:rsidRDefault="00980351" w:rsidP="00980351">
      <w:pPr>
        <w:pStyle w:val="FooterTableFigure"/>
      </w:pPr>
      <w:r w:rsidRPr="001677F9">
        <w:t>AEMP=approved ex-manufacturer price; DPMQ= dispensed price for maximum quantity</w:t>
      </w:r>
      <w:r w:rsidR="00E31810" w:rsidRPr="001677F9">
        <w:t>.</w:t>
      </w:r>
    </w:p>
    <w:bookmarkEnd w:id="54"/>
    <w:p w14:paraId="518F88DB" w14:textId="77777777" w:rsidR="00980351" w:rsidRPr="001677F9" w:rsidRDefault="00980351" w:rsidP="00980351">
      <w:pPr>
        <w:pStyle w:val="3-BodyText"/>
        <w:numPr>
          <w:ilvl w:val="0"/>
          <w:numId w:val="0"/>
        </w:numPr>
        <w:rPr>
          <w:b/>
          <w:i/>
        </w:rPr>
      </w:pPr>
      <w:r w:rsidRPr="001677F9">
        <w:rPr>
          <w:b/>
          <w:i/>
        </w:rPr>
        <w:t>Cost-effectiveness/cost-utilisation analysis</w:t>
      </w:r>
    </w:p>
    <w:p w14:paraId="0A820850" w14:textId="02364376" w:rsidR="00980351" w:rsidRPr="00D33A17" w:rsidRDefault="00980351" w:rsidP="00980351">
      <w:pPr>
        <w:pStyle w:val="3-BodyText"/>
        <w:rPr>
          <w:b/>
          <w:bCs/>
        </w:rPr>
      </w:pPr>
      <w:r w:rsidRPr="001677F9">
        <w:t xml:space="preserve">The key components of the cost-utility analysis are presented in </w:t>
      </w:r>
      <w:r w:rsidR="00566673" w:rsidRPr="001677F9">
        <w:fldChar w:fldCharType="begin" w:fldLock="1"/>
      </w:r>
      <w:r w:rsidR="00566673" w:rsidRPr="001677F9">
        <w:instrText xml:space="preserve"> REF _Ref132377135 \h </w:instrText>
      </w:r>
      <w:r w:rsidR="00566673" w:rsidRPr="001677F9">
        <w:fldChar w:fldCharType="separate"/>
      </w:r>
      <w:r w:rsidR="002C43D4" w:rsidRPr="001677F9">
        <w:t>Table 9</w:t>
      </w:r>
      <w:r w:rsidR="00566673" w:rsidRPr="001677F9">
        <w:fldChar w:fldCharType="end"/>
      </w:r>
      <w:r w:rsidRPr="001677F9">
        <w:t>.</w:t>
      </w:r>
    </w:p>
    <w:p w14:paraId="398594DE" w14:textId="3AE00D29" w:rsidR="00980351" w:rsidRPr="001677F9" w:rsidRDefault="00566673" w:rsidP="00566673">
      <w:pPr>
        <w:pStyle w:val="Caption"/>
        <w:rPr>
          <w:rStyle w:val="CommentReference"/>
          <w:b/>
          <w:szCs w:val="24"/>
        </w:rPr>
      </w:pPr>
      <w:bookmarkStart w:id="55" w:name="_Ref132377135"/>
      <w:r w:rsidRPr="001677F9">
        <w:lastRenderedPageBreak/>
        <w:t xml:space="preserve">Table </w:t>
      </w:r>
      <w:fldSimple w:instr=" SEQ Table \* ARABIC " w:fldLock="1">
        <w:r w:rsidR="002C43D4" w:rsidRPr="001677F9">
          <w:t>9</w:t>
        </w:r>
      </w:fldSimple>
      <w:bookmarkEnd w:id="55"/>
      <w:r w:rsidR="00980351" w:rsidRPr="001677F9">
        <w:t xml:space="preserve">: </w:t>
      </w:r>
      <w:r w:rsidR="00980351" w:rsidRPr="001677F9">
        <w:rPr>
          <w:rStyle w:val="CommentReference"/>
          <w:b/>
          <w:szCs w:val="24"/>
        </w:rPr>
        <w:t>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3"/>
        <w:gridCol w:w="6894"/>
      </w:tblGrid>
      <w:tr w:rsidR="00980351" w:rsidRPr="001677F9" w14:paraId="6517AC5C" w14:textId="77777777" w:rsidTr="00AD1DC3">
        <w:tc>
          <w:tcPr>
            <w:tcW w:w="1177" w:type="pct"/>
            <w:vAlign w:val="center"/>
          </w:tcPr>
          <w:p w14:paraId="54ACDE24" w14:textId="77777777" w:rsidR="00980351" w:rsidRPr="001677F9" w:rsidRDefault="00980351" w:rsidP="00AD1DC3">
            <w:pPr>
              <w:pStyle w:val="In-tableHeading"/>
              <w:jc w:val="center"/>
              <w:rPr>
                <w:lang w:val="en-AU"/>
              </w:rPr>
            </w:pPr>
            <w:r w:rsidRPr="001677F9">
              <w:rPr>
                <w:lang w:val="en-AU"/>
              </w:rPr>
              <w:t>Component</w:t>
            </w:r>
          </w:p>
        </w:tc>
        <w:tc>
          <w:tcPr>
            <w:tcW w:w="3823" w:type="pct"/>
          </w:tcPr>
          <w:p w14:paraId="06D2EE96" w14:textId="77777777" w:rsidR="00980351" w:rsidRPr="001677F9" w:rsidRDefault="00980351" w:rsidP="00AD1DC3">
            <w:pPr>
              <w:pStyle w:val="In-tableHeading"/>
              <w:jc w:val="center"/>
              <w:rPr>
                <w:lang w:val="en-AU"/>
              </w:rPr>
            </w:pPr>
            <w:r w:rsidRPr="001677F9">
              <w:rPr>
                <w:lang w:val="en-AU"/>
              </w:rPr>
              <w:t>Description</w:t>
            </w:r>
          </w:p>
        </w:tc>
      </w:tr>
      <w:tr w:rsidR="00980351" w:rsidRPr="001677F9" w14:paraId="7E884626" w14:textId="77777777" w:rsidTr="00AD1DC3">
        <w:tc>
          <w:tcPr>
            <w:tcW w:w="1177" w:type="pct"/>
          </w:tcPr>
          <w:p w14:paraId="583C2448" w14:textId="77777777" w:rsidR="00980351" w:rsidRPr="001677F9" w:rsidRDefault="00980351" w:rsidP="00AD1DC3">
            <w:pPr>
              <w:pStyle w:val="TableText0"/>
            </w:pPr>
            <w:r w:rsidRPr="001677F9">
              <w:t>Types of analysis</w:t>
            </w:r>
          </w:p>
        </w:tc>
        <w:tc>
          <w:tcPr>
            <w:tcW w:w="3823" w:type="pct"/>
          </w:tcPr>
          <w:p w14:paraId="1648B65A" w14:textId="77777777" w:rsidR="00980351" w:rsidRPr="001677F9" w:rsidRDefault="00980351" w:rsidP="00AD1DC3">
            <w:pPr>
              <w:pStyle w:val="TableText0"/>
            </w:pPr>
            <w:r w:rsidRPr="001677F9">
              <w:t>Cost-effectiveness / cost-utility analysis</w:t>
            </w:r>
          </w:p>
        </w:tc>
      </w:tr>
      <w:tr w:rsidR="00980351" w:rsidRPr="001677F9" w14:paraId="699C3A07" w14:textId="77777777" w:rsidTr="00AD1DC3">
        <w:tc>
          <w:tcPr>
            <w:tcW w:w="1177" w:type="pct"/>
          </w:tcPr>
          <w:p w14:paraId="4CF82D7E" w14:textId="77777777" w:rsidR="00980351" w:rsidRPr="001677F9" w:rsidRDefault="00980351" w:rsidP="00AD1DC3">
            <w:pPr>
              <w:pStyle w:val="TableText0"/>
            </w:pPr>
            <w:r w:rsidRPr="001677F9">
              <w:t>Outcomes</w:t>
            </w:r>
          </w:p>
        </w:tc>
        <w:tc>
          <w:tcPr>
            <w:tcW w:w="3823" w:type="pct"/>
          </w:tcPr>
          <w:p w14:paraId="67F62731" w14:textId="77777777" w:rsidR="00980351" w:rsidRPr="001677F9" w:rsidRDefault="00980351" w:rsidP="00AD1DC3">
            <w:pPr>
              <w:pStyle w:val="TableText0"/>
            </w:pPr>
            <w:r w:rsidRPr="001677F9">
              <w:t>Life years</w:t>
            </w:r>
          </w:p>
          <w:p w14:paraId="694A7CA2" w14:textId="77777777" w:rsidR="00980351" w:rsidRPr="001677F9" w:rsidRDefault="00980351" w:rsidP="00AD1DC3">
            <w:pPr>
              <w:pStyle w:val="TableText0"/>
            </w:pPr>
            <w:r w:rsidRPr="001677F9">
              <w:t>Quality-adjusted life years</w:t>
            </w:r>
          </w:p>
        </w:tc>
      </w:tr>
      <w:tr w:rsidR="00980351" w:rsidRPr="001677F9" w14:paraId="56172726" w14:textId="77777777" w:rsidTr="00AD1DC3">
        <w:tc>
          <w:tcPr>
            <w:tcW w:w="1177" w:type="pct"/>
          </w:tcPr>
          <w:p w14:paraId="296AFCF4" w14:textId="77777777" w:rsidR="00980351" w:rsidRPr="001677F9" w:rsidRDefault="00980351" w:rsidP="00AD1DC3">
            <w:pPr>
              <w:pStyle w:val="TableText0"/>
            </w:pPr>
            <w:r w:rsidRPr="001677F9">
              <w:t>Time horizon</w:t>
            </w:r>
          </w:p>
        </w:tc>
        <w:tc>
          <w:tcPr>
            <w:tcW w:w="3823" w:type="pct"/>
          </w:tcPr>
          <w:p w14:paraId="0876F163" w14:textId="4D796CBF" w:rsidR="00980351" w:rsidRPr="001677F9" w:rsidRDefault="00980351" w:rsidP="00AD1DC3">
            <w:pPr>
              <w:pStyle w:val="TableText0"/>
            </w:pPr>
            <w:r w:rsidRPr="001677F9">
              <w:t xml:space="preserve">30 years (base case) </w:t>
            </w:r>
          </w:p>
        </w:tc>
      </w:tr>
      <w:tr w:rsidR="00980351" w:rsidRPr="001677F9" w14:paraId="17F0B351" w14:textId="77777777" w:rsidTr="00AD1DC3">
        <w:tc>
          <w:tcPr>
            <w:tcW w:w="1177" w:type="pct"/>
          </w:tcPr>
          <w:p w14:paraId="5145C1E2" w14:textId="77777777" w:rsidR="00980351" w:rsidRPr="001677F9" w:rsidRDefault="00980351" w:rsidP="00AD1DC3">
            <w:pPr>
              <w:pStyle w:val="TableText0"/>
            </w:pPr>
            <w:r w:rsidRPr="001677F9">
              <w:t>Methods used to generate results</w:t>
            </w:r>
          </w:p>
        </w:tc>
        <w:tc>
          <w:tcPr>
            <w:tcW w:w="3823" w:type="pct"/>
          </w:tcPr>
          <w:p w14:paraId="7C2BD636" w14:textId="77777777" w:rsidR="00980351" w:rsidRPr="001677F9" w:rsidRDefault="00980351" w:rsidP="00AD1DC3">
            <w:pPr>
              <w:pStyle w:val="TableText0"/>
            </w:pPr>
            <w:r w:rsidRPr="001677F9">
              <w:t>Markov state-transition modelling</w:t>
            </w:r>
          </w:p>
          <w:p w14:paraId="38C5D106" w14:textId="77777777" w:rsidR="00980351" w:rsidRPr="001677F9" w:rsidRDefault="00980351" w:rsidP="00AD1DC3">
            <w:pPr>
              <w:pStyle w:val="TableText0"/>
            </w:pPr>
          </w:p>
        </w:tc>
      </w:tr>
      <w:tr w:rsidR="00980351" w:rsidRPr="001677F9" w14:paraId="4135D5BB" w14:textId="77777777" w:rsidTr="00AD1DC3">
        <w:tc>
          <w:tcPr>
            <w:tcW w:w="1177" w:type="pct"/>
          </w:tcPr>
          <w:p w14:paraId="081BDFA1" w14:textId="77777777" w:rsidR="00980351" w:rsidRPr="001677F9" w:rsidRDefault="00980351" w:rsidP="00AD1DC3">
            <w:pPr>
              <w:pStyle w:val="TableText0"/>
            </w:pPr>
            <w:r w:rsidRPr="001677F9">
              <w:t>Health states</w:t>
            </w:r>
          </w:p>
        </w:tc>
        <w:tc>
          <w:tcPr>
            <w:tcW w:w="3823" w:type="pct"/>
          </w:tcPr>
          <w:p w14:paraId="305ED59E" w14:textId="77777777" w:rsidR="00980351" w:rsidRPr="001677F9" w:rsidRDefault="00980351" w:rsidP="00AD1DC3">
            <w:pPr>
              <w:pStyle w:val="TableText0"/>
            </w:pPr>
            <w:r w:rsidRPr="001677F9">
              <w:t>4 health states based on KCCQ-TSS quartiles (Q1 – Q4) where a higher score is better, and 2 death states (CV and non-CV)</w:t>
            </w:r>
          </w:p>
        </w:tc>
      </w:tr>
      <w:tr w:rsidR="00980351" w:rsidRPr="001677F9" w14:paraId="51500AB5" w14:textId="77777777" w:rsidTr="00AD1DC3">
        <w:tc>
          <w:tcPr>
            <w:tcW w:w="1177" w:type="pct"/>
          </w:tcPr>
          <w:p w14:paraId="49553DC6" w14:textId="77777777" w:rsidR="00980351" w:rsidRPr="001677F9" w:rsidRDefault="00980351" w:rsidP="00AD1DC3">
            <w:pPr>
              <w:pStyle w:val="TableText0"/>
            </w:pPr>
            <w:r w:rsidRPr="001677F9">
              <w:t>Cycle length</w:t>
            </w:r>
          </w:p>
        </w:tc>
        <w:tc>
          <w:tcPr>
            <w:tcW w:w="3823" w:type="pct"/>
          </w:tcPr>
          <w:p w14:paraId="662FC2C6" w14:textId="77777777" w:rsidR="00980351" w:rsidRPr="001677F9" w:rsidRDefault="00980351" w:rsidP="00AD1DC3">
            <w:pPr>
              <w:pStyle w:val="TableText0"/>
            </w:pPr>
            <w:r w:rsidRPr="001677F9">
              <w:t xml:space="preserve">1 month </w:t>
            </w:r>
          </w:p>
        </w:tc>
      </w:tr>
      <w:tr w:rsidR="00980351" w:rsidRPr="001677F9" w14:paraId="69A76408" w14:textId="77777777" w:rsidTr="00AD1DC3">
        <w:tc>
          <w:tcPr>
            <w:tcW w:w="1177" w:type="pct"/>
          </w:tcPr>
          <w:p w14:paraId="06B7A75C" w14:textId="77777777" w:rsidR="00980351" w:rsidRPr="001677F9" w:rsidRDefault="00980351" w:rsidP="00AD1DC3">
            <w:pPr>
              <w:pStyle w:val="TableText0"/>
            </w:pPr>
            <w:r w:rsidRPr="001677F9">
              <w:t>Transition probabilities</w:t>
            </w:r>
          </w:p>
        </w:tc>
        <w:tc>
          <w:tcPr>
            <w:tcW w:w="3823" w:type="pct"/>
          </w:tcPr>
          <w:p w14:paraId="4E9C3396" w14:textId="77777777" w:rsidR="00980351" w:rsidRPr="001677F9" w:rsidRDefault="00980351" w:rsidP="00AD1DC3">
            <w:pPr>
              <w:pStyle w:val="TableText0"/>
            </w:pPr>
            <w:r w:rsidRPr="001677F9">
              <w:t>KCCQ-TSS transitions</w:t>
            </w:r>
          </w:p>
          <w:p w14:paraId="5973E00D" w14:textId="77777777" w:rsidR="00980351" w:rsidRPr="001677F9" w:rsidRDefault="00980351" w:rsidP="00AD1DC3">
            <w:pPr>
              <w:pStyle w:val="TableText0"/>
            </w:pPr>
            <w:r w:rsidRPr="001677F9">
              <w:t>Cycle 1 – 4: data from the DELIVER trial months 1 - 4</w:t>
            </w:r>
          </w:p>
          <w:p w14:paraId="4D673567" w14:textId="77777777" w:rsidR="00980351" w:rsidRPr="001677F9" w:rsidRDefault="00980351" w:rsidP="00AD1DC3">
            <w:pPr>
              <w:pStyle w:val="TableText0"/>
            </w:pPr>
            <w:r w:rsidRPr="001677F9">
              <w:t>Cycles 5+: data from the DELIVER trial from month 5 onward</w:t>
            </w:r>
          </w:p>
          <w:p w14:paraId="0B7892BA" w14:textId="77777777" w:rsidR="00980351" w:rsidRPr="001677F9" w:rsidRDefault="00980351" w:rsidP="00AD1DC3">
            <w:pPr>
              <w:pStyle w:val="TableText0"/>
            </w:pPr>
          </w:p>
          <w:p w14:paraId="2BA1A909" w14:textId="77777777" w:rsidR="00980351" w:rsidRPr="001677F9" w:rsidRDefault="00980351" w:rsidP="00AD1DC3">
            <w:pPr>
              <w:pStyle w:val="TableText0"/>
            </w:pPr>
            <w:r w:rsidRPr="001677F9">
              <w:t xml:space="preserve">CV mortality </w:t>
            </w:r>
          </w:p>
          <w:p w14:paraId="73DE9256" w14:textId="77777777" w:rsidR="00980351" w:rsidRPr="001677F9" w:rsidRDefault="00980351" w:rsidP="00AD1DC3">
            <w:pPr>
              <w:pStyle w:val="TableText0"/>
            </w:pPr>
            <w:r w:rsidRPr="001677F9">
              <w:t>CV death transitions were based on Kaplan Meier time to CV death curves from DELIVER (median follow-up 28.5 months), extrapolated to 30 years based on a Weibull function, with treatment and KCCQ-TSS quartiles as covariates.</w:t>
            </w:r>
          </w:p>
          <w:p w14:paraId="3CA0E5CD" w14:textId="77777777" w:rsidR="00980351" w:rsidRPr="001677F9" w:rsidRDefault="00980351" w:rsidP="00AD1DC3">
            <w:pPr>
              <w:pStyle w:val="TableText0"/>
            </w:pPr>
          </w:p>
          <w:p w14:paraId="039CCD5B" w14:textId="77777777" w:rsidR="00980351" w:rsidRPr="001677F9" w:rsidRDefault="00980351" w:rsidP="00AD1DC3">
            <w:pPr>
              <w:pStyle w:val="TableText0"/>
            </w:pPr>
            <w:r w:rsidRPr="001677F9">
              <w:t>Non-CV mortality</w:t>
            </w:r>
          </w:p>
          <w:p w14:paraId="317ED468" w14:textId="4D9E90DF" w:rsidR="00980351" w:rsidRPr="001677F9" w:rsidRDefault="00980351" w:rsidP="00AD1DC3">
            <w:pPr>
              <w:pStyle w:val="TableText0"/>
            </w:pPr>
            <w:r w:rsidRPr="001677F9">
              <w:t>Non-CV death transitions were derived from estimates of all-cause mortality minus estimates of CV mortality. All-cause mortality was based on a Weibull function fitted to Kaplan Meier time to all-cause mortality curves from DELIVER, with KCCQ-TSS quartiles as covariates, extrapolated to 30 years. The model was calibrated to ensure that the monthly probability of non-CV death was not smaller than that of the Australian general population (adjusted to remove CV death).</w:t>
            </w:r>
          </w:p>
        </w:tc>
      </w:tr>
      <w:tr w:rsidR="00980351" w:rsidRPr="001677F9" w14:paraId="4FDD62A5" w14:textId="77777777" w:rsidTr="00AD1DC3">
        <w:tc>
          <w:tcPr>
            <w:tcW w:w="1177" w:type="pct"/>
          </w:tcPr>
          <w:p w14:paraId="55B58755" w14:textId="77777777" w:rsidR="00980351" w:rsidRPr="001677F9" w:rsidRDefault="00980351" w:rsidP="00AD1DC3">
            <w:pPr>
              <w:pStyle w:val="TableText0"/>
            </w:pPr>
            <w:r w:rsidRPr="001677F9">
              <w:t xml:space="preserve">Costs </w:t>
            </w:r>
          </w:p>
        </w:tc>
        <w:tc>
          <w:tcPr>
            <w:tcW w:w="3823" w:type="pct"/>
          </w:tcPr>
          <w:p w14:paraId="3015AE75" w14:textId="658E1455" w:rsidR="00980351" w:rsidRPr="001677F9" w:rsidRDefault="00980351" w:rsidP="00AD1DC3">
            <w:pPr>
              <w:pStyle w:val="COMTabletext"/>
              <w:spacing w:after="60"/>
            </w:pPr>
            <w:r w:rsidRPr="001677F9">
              <w:t>The cost of empagliflozin was based on the proposed DPMQ and assumed 97.2%</w:t>
            </w:r>
            <w:r w:rsidR="00BC47FF" w:rsidRPr="001677F9">
              <w:t xml:space="preserve"> </w:t>
            </w:r>
            <w:r w:rsidRPr="001677F9">
              <w:t>compliance.</w:t>
            </w:r>
          </w:p>
          <w:p w14:paraId="4AD28B88" w14:textId="6E2F5965" w:rsidR="00980351" w:rsidRPr="001677F9" w:rsidRDefault="00E31810" w:rsidP="00AD1DC3">
            <w:pPr>
              <w:pStyle w:val="COMTabletext"/>
              <w:spacing w:after="60"/>
              <w:rPr>
                <w:szCs w:val="20"/>
              </w:rPr>
            </w:pPr>
            <w:r w:rsidRPr="001677F9">
              <w:rPr>
                <w:szCs w:val="20"/>
              </w:rPr>
              <w:t>C</w:t>
            </w:r>
            <w:r w:rsidR="00980351" w:rsidRPr="001677F9">
              <w:rPr>
                <w:szCs w:val="20"/>
              </w:rPr>
              <w:t>ost of SOC: annual non-hospitalisation costs were based on the median heart failure ‘community costs’ reported by (Scuffham et al., 2017). The reported median cost of $2,998 was inflated to a 2023 value of $3,182 using the AIHW health price index.</w:t>
            </w:r>
          </w:p>
          <w:p w14:paraId="0A3FAFC2" w14:textId="567BE1D7" w:rsidR="00980351" w:rsidRPr="001677F9" w:rsidRDefault="00980351" w:rsidP="00AD1DC3">
            <w:pPr>
              <w:pStyle w:val="TableText0"/>
              <w:rPr>
                <w:szCs w:val="20"/>
              </w:rPr>
            </w:pPr>
            <w:r w:rsidRPr="001677F9">
              <w:rPr>
                <w:szCs w:val="20"/>
              </w:rPr>
              <w:t>AR-DRG costs were applied for AE</w:t>
            </w:r>
            <w:r w:rsidR="002F44D7" w:rsidRPr="001677F9">
              <w:rPr>
                <w:szCs w:val="20"/>
              </w:rPr>
              <w:t>s</w:t>
            </w:r>
            <w:r w:rsidRPr="001677F9">
              <w:rPr>
                <w:szCs w:val="20"/>
              </w:rPr>
              <w:t>.</w:t>
            </w:r>
          </w:p>
          <w:p w14:paraId="484666AA" w14:textId="77777777" w:rsidR="00980351" w:rsidRPr="001677F9" w:rsidRDefault="00980351" w:rsidP="00AD1DC3">
            <w:pPr>
              <w:pStyle w:val="TableText0"/>
            </w:pPr>
            <w:r w:rsidRPr="001677F9">
              <w:t>The cost of each HHF was based on data reported by the National Hospital Cost Data Collection (2017-2018), using the weighted average cost (by separations) of heart failure diagnosis-related groups.</w:t>
            </w:r>
          </w:p>
        </w:tc>
      </w:tr>
      <w:tr w:rsidR="00980351" w:rsidRPr="001677F9" w14:paraId="73D7BE3A" w14:textId="77777777" w:rsidTr="00AD1DC3">
        <w:tc>
          <w:tcPr>
            <w:tcW w:w="1177" w:type="pct"/>
          </w:tcPr>
          <w:p w14:paraId="7B1E3A71" w14:textId="77777777" w:rsidR="00980351" w:rsidRPr="001677F9" w:rsidRDefault="00980351" w:rsidP="00AD1DC3">
            <w:pPr>
              <w:pStyle w:val="TableText0"/>
            </w:pPr>
            <w:r w:rsidRPr="001677F9">
              <w:t>Health-related quality of life</w:t>
            </w:r>
          </w:p>
        </w:tc>
        <w:tc>
          <w:tcPr>
            <w:tcW w:w="3823" w:type="pct"/>
          </w:tcPr>
          <w:p w14:paraId="51B4ED79" w14:textId="08D4ACDF" w:rsidR="00980351" w:rsidRPr="001677F9" w:rsidRDefault="00980351" w:rsidP="00AD1DC3">
            <w:pPr>
              <w:pStyle w:val="TableText0"/>
            </w:pPr>
            <w:r w:rsidRPr="001677F9">
              <w:t xml:space="preserve">KCCQ-TSS health state utilities were derived from a linear mixed effects regression model using responses from the EQ-5D-5L questionnaires in the DELIVER trial mapped to a single utility score using an algorithm described in Norman 2023. </w:t>
            </w:r>
          </w:p>
          <w:p w14:paraId="25070E81" w14:textId="77777777" w:rsidR="00980351" w:rsidRPr="001677F9" w:rsidRDefault="00980351" w:rsidP="00AD1DC3">
            <w:pPr>
              <w:pStyle w:val="COMTabletext"/>
            </w:pPr>
            <w:r w:rsidRPr="001677F9">
              <w:t>Disutilities for HHF were also derived from the linear mixed regression equation fitted to data from DELIVER. Disutilities for HHF and UHFV events were applied for a single 1-month cycle in which the event occurred.</w:t>
            </w:r>
          </w:p>
          <w:p w14:paraId="1AC432A6" w14:textId="7B6727C2" w:rsidR="00980351" w:rsidRPr="001677F9" w:rsidRDefault="00980351" w:rsidP="00AD1DC3">
            <w:pPr>
              <w:pStyle w:val="COMTabletext"/>
            </w:pPr>
            <w:r w:rsidRPr="001677F9">
              <w:t xml:space="preserve">Adverse event disutilities were published sources (Beaudet </w:t>
            </w:r>
            <w:r w:rsidR="00D06412" w:rsidRPr="001677F9">
              <w:t>2014,</w:t>
            </w:r>
            <w:r w:rsidRPr="001677F9">
              <w:t xml:space="preserve"> McEwan 2020, Barry</w:t>
            </w:r>
            <w:r w:rsidRPr="001677F9">
              <w:rPr>
                <w:vertAlign w:val="superscript"/>
              </w:rPr>
              <w:t>a</w:t>
            </w:r>
            <w:r w:rsidRPr="001677F9">
              <w:t>).</w:t>
            </w:r>
          </w:p>
        </w:tc>
      </w:tr>
      <w:tr w:rsidR="00980351" w:rsidRPr="001677F9" w14:paraId="054A11BA" w14:textId="77777777" w:rsidTr="00AD1DC3">
        <w:tc>
          <w:tcPr>
            <w:tcW w:w="1177" w:type="pct"/>
          </w:tcPr>
          <w:p w14:paraId="36A9B28E" w14:textId="77777777" w:rsidR="00980351" w:rsidRPr="001677F9" w:rsidRDefault="00980351" w:rsidP="00AD1DC3">
            <w:pPr>
              <w:pStyle w:val="TableText0"/>
            </w:pPr>
            <w:r w:rsidRPr="001677F9">
              <w:t>Discount rate</w:t>
            </w:r>
          </w:p>
        </w:tc>
        <w:tc>
          <w:tcPr>
            <w:tcW w:w="3823" w:type="pct"/>
          </w:tcPr>
          <w:p w14:paraId="2733B240" w14:textId="77777777" w:rsidR="00980351" w:rsidRPr="001677F9" w:rsidRDefault="00980351" w:rsidP="00AD1DC3">
            <w:pPr>
              <w:pStyle w:val="TableText0"/>
            </w:pPr>
            <w:r w:rsidRPr="001677F9">
              <w:t>5% for cost and benefits</w:t>
            </w:r>
          </w:p>
        </w:tc>
      </w:tr>
      <w:tr w:rsidR="00980351" w:rsidRPr="001677F9" w14:paraId="217B91B5" w14:textId="77777777" w:rsidTr="00AD1DC3">
        <w:tc>
          <w:tcPr>
            <w:tcW w:w="1177" w:type="pct"/>
            <w:vAlign w:val="center"/>
          </w:tcPr>
          <w:p w14:paraId="0596C332" w14:textId="77777777" w:rsidR="00980351" w:rsidRPr="001677F9" w:rsidRDefault="00980351" w:rsidP="00AD1DC3">
            <w:pPr>
              <w:pStyle w:val="TableText0"/>
            </w:pPr>
            <w:r w:rsidRPr="001677F9">
              <w:t>Software package</w:t>
            </w:r>
          </w:p>
        </w:tc>
        <w:tc>
          <w:tcPr>
            <w:tcW w:w="3823" w:type="pct"/>
          </w:tcPr>
          <w:p w14:paraId="03CB189B" w14:textId="77777777" w:rsidR="00980351" w:rsidRPr="001677F9" w:rsidRDefault="00980351" w:rsidP="00AD1DC3">
            <w:pPr>
              <w:pStyle w:val="TableText0"/>
            </w:pPr>
            <w:r w:rsidRPr="001677F9">
              <w:t>Excel 2016</w:t>
            </w:r>
          </w:p>
        </w:tc>
      </w:tr>
    </w:tbl>
    <w:p w14:paraId="1C91845A" w14:textId="495DC13D" w:rsidR="00980351" w:rsidRPr="001677F9" w:rsidRDefault="00980351" w:rsidP="00980351">
      <w:pPr>
        <w:pStyle w:val="FooterTableFigure"/>
      </w:pPr>
      <w:r w:rsidRPr="001677F9">
        <w:t xml:space="preserve">Source: Table 1.1-1 p2, Section 1.1.5, Appendix A.1 of the submission </w:t>
      </w:r>
    </w:p>
    <w:p w14:paraId="158F41FF" w14:textId="7D0E03B3" w:rsidR="00980351" w:rsidRPr="001677F9" w:rsidRDefault="00980351" w:rsidP="00980351">
      <w:pPr>
        <w:pStyle w:val="FooterTableFigure"/>
      </w:pPr>
      <w:r w:rsidRPr="001677F9">
        <w:t>AIHW = Australian Institute of Health and Welfare; AR DRG = Australian refined diagnosis-related group; CV: = cardiovascular; DPMQ = dispensed price maximum quantity; EQ-5D-5L = EuroQol 5 dimensions 5 levels; HHF = hospitalisation for heart failure; KCCQ = Kansas City Cardiomyopathy Questionnaire; Q = quartile; SAE = serious adverse events; SOC = standard of care; TSS = total summary score</w:t>
      </w:r>
      <w:r w:rsidR="00E31810" w:rsidRPr="001677F9">
        <w:t>.</w:t>
      </w:r>
      <w:r w:rsidRPr="001677F9">
        <w:t xml:space="preserve"> </w:t>
      </w:r>
    </w:p>
    <w:p w14:paraId="33E38A30" w14:textId="77777777" w:rsidR="00980351" w:rsidRPr="001677F9" w:rsidRDefault="00980351" w:rsidP="00980351">
      <w:pPr>
        <w:pStyle w:val="FooterTableFigure"/>
      </w:pPr>
      <w:r w:rsidRPr="001677F9">
        <w:rPr>
          <w:vertAlign w:val="superscript"/>
        </w:rPr>
        <w:t xml:space="preserve">a </w:t>
      </w:r>
      <w:r w:rsidRPr="001677F9">
        <w:t xml:space="preserve">Source reference not provided by the </w:t>
      </w:r>
      <w:proofErr w:type="gramStart"/>
      <w:r w:rsidRPr="001677F9">
        <w:t>submission</w:t>
      </w:r>
      <w:proofErr w:type="gramEnd"/>
    </w:p>
    <w:p w14:paraId="3B390FE8" w14:textId="14EB01A0" w:rsidR="00980351" w:rsidRPr="001677F9" w:rsidRDefault="00980351" w:rsidP="00980351">
      <w:pPr>
        <w:pStyle w:val="COMexecsumnumberedpara"/>
        <w:numPr>
          <w:ilvl w:val="1"/>
          <w:numId w:val="1"/>
        </w:numPr>
        <w:rPr>
          <w:iCs/>
        </w:rPr>
      </w:pPr>
      <w:r w:rsidRPr="001677F9">
        <w:t xml:space="preserve">The model has a similar structure as the model presented in the November 2022 submission for empagliflozin in HF patients with LVEF &gt;40%. The structure is presented in </w:t>
      </w:r>
      <w:r w:rsidR="00566673" w:rsidRPr="001677F9">
        <w:fldChar w:fldCharType="begin" w:fldLock="1"/>
      </w:r>
      <w:r w:rsidR="00566673" w:rsidRPr="001677F9">
        <w:instrText xml:space="preserve"> REF _Ref132377165 \h </w:instrText>
      </w:r>
      <w:r w:rsidR="00566673" w:rsidRPr="001677F9">
        <w:fldChar w:fldCharType="separate"/>
      </w:r>
      <w:r w:rsidR="002C43D4" w:rsidRPr="001677F9">
        <w:t>Figure 2</w:t>
      </w:r>
      <w:r w:rsidR="00566673" w:rsidRPr="001677F9">
        <w:fldChar w:fldCharType="end"/>
      </w:r>
      <w:r w:rsidRPr="001677F9">
        <w:t>.</w:t>
      </w:r>
      <w:r w:rsidRPr="001677F9">
        <w:rPr>
          <w:iCs/>
        </w:rPr>
        <w:t xml:space="preserve"> A comparison of the current model with the model presented in the </w:t>
      </w:r>
      <w:r w:rsidRPr="001677F9">
        <w:rPr>
          <w:iCs/>
        </w:rPr>
        <w:lastRenderedPageBreak/>
        <w:t>November 2022 submission for empagliflozin in patients with HF with LVEF &gt;40% is presented in the Committee-In-Confidence section.</w:t>
      </w:r>
    </w:p>
    <w:p w14:paraId="1724012A" w14:textId="4BA473B0" w:rsidR="00980351" w:rsidRPr="001677F9" w:rsidRDefault="00566673" w:rsidP="00566673">
      <w:pPr>
        <w:pStyle w:val="Caption"/>
        <w:rPr>
          <w:bCs w:val="0"/>
          <w:szCs w:val="20"/>
        </w:rPr>
      </w:pPr>
      <w:bookmarkStart w:id="56" w:name="_Ref132377165"/>
      <w:r w:rsidRPr="001677F9">
        <w:t xml:space="preserve">Figure </w:t>
      </w:r>
      <w:fldSimple w:instr=" SEQ Figure \* ARABIC " w:fldLock="1">
        <w:r w:rsidR="002C43D4" w:rsidRPr="001677F9">
          <w:t>2</w:t>
        </w:r>
      </w:fldSimple>
      <w:bookmarkEnd w:id="56"/>
      <w:r w:rsidR="00980351" w:rsidRPr="001677F9">
        <w:rPr>
          <w:bCs w:val="0"/>
          <w:szCs w:val="20"/>
        </w:rPr>
        <w:t>: Model structure</w:t>
      </w:r>
    </w:p>
    <w:p w14:paraId="5B4D5F7B" w14:textId="77777777" w:rsidR="00980351" w:rsidRPr="001677F9" w:rsidRDefault="00980351" w:rsidP="00980351">
      <w:pPr>
        <w:pStyle w:val="COMexecsumnumberedpara"/>
        <w:ind w:left="0" w:firstLine="0"/>
        <w:rPr>
          <w:rFonts w:ascii="Arial Narrow" w:hAnsi="Arial Narrow"/>
          <w:b/>
          <w:bCs/>
          <w:sz w:val="20"/>
          <w:szCs w:val="20"/>
        </w:rPr>
      </w:pPr>
      <w:r w:rsidRPr="001677F9">
        <w:rPr>
          <w:noProof/>
        </w:rPr>
        <w:drawing>
          <wp:inline distT="0" distB="0" distL="0" distR="0" wp14:anchorId="5652BE82" wp14:editId="3F636C26">
            <wp:extent cx="5401310" cy="3035935"/>
            <wp:effectExtent l="0" t="0" r="889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310" cy="3035935"/>
                    </a:xfrm>
                    <a:prstGeom prst="rect">
                      <a:avLst/>
                    </a:prstGeom>
                    <a:noFill/>
                  </pic:spPr>
                </pic:pic>
              </a:graphicData>
            </a:graphic>
          </wp:inline>
        </w:drawing>
      </w:r>
    </w:p>
    <w:p w14:paraId="4254C681" w14:textId="0380AA86" w:rsidR="00980351" w:rsidRPr="001677F9" w:rsidRDefault="00980351" w:rsidP="00980351">
      <w:pPr>
        <w:pStyle w:val="COMexecsumnumberedpara"/>
        <w:ind w:left="0" w:firstLine="0"/>
        <w:jc w:val="left"/>
        <w:rPr>
          <w:rFonts w:ascii="Arial Narrow" w:hAnsi="Arial Narrow"/>
          <w:b/>
          <w:bCs/>
          <w:sz w:val="18"/>
          <w:szCs w:val="18"/>
        </w:rPr>
      </w:pPr>
      <w:r w:rsidRPr="001677F9">
        <w:rPr>
          <w:rFonts w:ascii="Arial Narrow" w:hAnsi="Arial Narrow"/>
          <w:sz w:val="18"/>
          <w:szCs w:val="18"/>
        </w:rPr>
        <w:t>Source: Figure 1.2-1</w:t>
      </w:r>
      <w:r w:rsidR="002E6C6B" w:rsidRPr="001677F9">
        <w:rPr>
          <w:rFonts w:ascii="Arial Narrow" w:hAnsi="Arial Narrow"/>
          <w:sz w:val="18"/>
          <w:szCs w:val="18"/>
        </w:rPr>
        <w:t xml:space="preserve"> </w:t>
      </w:r>
      <w:r w:rsidRPr="001677F9">
        <w:rPr>
          <w:rFonts w:ascii="Arial Narrow" w:hAnsi="Arial Narrow"/>
          <w:sz w:val="18"/>
          <w:szCs w:val="18"/>
        </w:rPr>
        <w:t>p8 of Appendix A.1</w:t>
      </w:r>
      <w:r w:rsidR="002E6C6B" w:rsidRPr="001677F9">
        <w:rPr>
          <w:rFonts w:ascii="Arial Narrow" w:hAnsi="Arial Narrow"/>
          <w:sz w:val="18"/>
          <w:szCs w:val="18"/>
        </w:rPr>
        <w:t xml:space="preserve"> </w:t>
      </w:r>
      <w:r w:rsidRPr="001677F9">
        <w:rPr>
          <w:rFonts w:ascii="Arial Narrow" w:hAnsi="Arial Narrow"/>
          <w:sz w:val="18"/>
          <w:szCs w:val="18"/>
        </w:rPr>
        <w:t>of the submission</w:t>
      </w:r>
      <w:r w:rsidRPr="001677F9">
        <w:rPr>
          <w:rFonts w:ascii="Arial Narrow" w:hAnsi="Arial Narrow"/>
          <w:sz w:val="18"/>
          <w:szCs w:val="18"/>
        </w:rPr>
        <w:br/>
        <w:t>CV = cardiovascular; HHF = hospitalisation for heart failure; KCCQ: = Kansas City Cardiomyopathy Questionnaire; Q = quartile; TSS: total symptom score; UHFV = urgent heart failure visit.</w:t>
      </w:r>
    </w:p>
    <w:p w14:paraId="1F36906A" w14:textId="2590346E" w:rsidR="00980351" w:rsidRPr="001677F9" w:rsidRDefault="00980351" w:rsidP="00980351">
      <w:pPr>
        <w:pStyle w:val="COMexecsumnumberedpara"/>
        <w:numPr>
          <w:ilvl w:val="1"/>
          <w:numId w:val="1"/>
        </w:numPr>
      </w:pPr>
      <w:r w:rsidRPr="001677F9">
        <w:t xml:space="preserve">Patients begin the model in one of the four KCCQ-TSS quartile health states. During each one-month cycle, patients may remain in their KCCQ-TSS quartile health state, move to another KCCQ-TSS quartile health state, or die from CV or non-CV causes. During each cycle, subjects can experience an HHF, an urgent heart failure visit (UHFV) or </w:t>
      </w:r>
      <w:r w:rsidR="00E31810" w:rsidRPr="001677F9">
        <w:t>AEs</w:t>
      </w:r>
      <w:r w:rsidRPr="001677F9">
        <w:t>. Patients in the dapagliflozin arm may discontinue drug treatment in each cycle. The model applied higher rates of HHF, UHFV, CV mortality and non-CV mortality to patients with poorer KCCQ-TSS scores (based on quartiles).</w:t>
      </w:r>
    </w:p>
    <w:p w14:paraId="0B4EE7A3" w14:textId="07EADEEB" w:rsidR="00980351" w:rsidRPr="001677F9" w:rsidRDefault="00980351" w:rsidP="00C47979">
      <w:pPr>
        <w:pStyle w:val="3-BodyText"/>
      </w:pPr>
      <w:bookmarkStart w:id="57" w:name="_Ref137747504"/>
      <w:r w:rsidRPr="001677F9">
        <w:t xml:space="preserve">The model assumed constant transition probabilities between KCCQ-TSS quartile health states from 5 months to the end of the </w:t>
      </w:r>
      <w:proofErr w:type="gramStart"/>
      <w:r w:rsidRPr="001677F9">
        <w:t>30 year</w:t>
      </w:r>
      <w:proofErr w:type="gramEnd"/>
      <w:r w:rsidRPr="001677F9">
        <w:t xml:space="preserve"> time horizon. Transitions derived from DELIVER may not adequately reflect longer-term health outcomes in progressive disease.</w:t>
      </w:r>
      <w:r w:rsidRPr="001677F9" w:rsidDel="00AD71F9">
        <w:t xml:space="preserve"> </w:t>
      </w:r>
      <w:r w:rsidR="00C47979" w:rsidRPr="001677F9">
        <w:rPr>
          <w:iCs/>
        </w:rPr>
        <w:t>The</w:t>
      </w:r>
      <w:r w:rsidR="008F5671">
        <w:rPr>
          <w:iCs/>
        </w:rPr>
        <w:t xml:space="preserve"> Pre-Sub-Committee Response</w:t>
      </w:r>
      <w:r w:rsidR="00C47979" w:rsidRPr="001677F9">
        <w:rPr>
          <w:iCs/>
        </w:rPr>
        <w:t xml:space="preserve"> </w:t>
      </w:r>
      <w:r w:rsidR="008F5671">
        <w:rPr>
          <w:iCs/>
        </w:rPr>
        <w:t>(</w:t>
      </w:r>
      <w:r w:rsidR="00C47979" w:rsidRPr="001677F9">
        <w:rPr>
          <w:iCs/>
        </w:rPr>
        <w:t>PSCR</w:t>
      </w:r>
      <w:r w:rsidR="008F5671">
        <w:rPr>
          <w:iCs/>
        </w:rPr>
        <w:t>)</w:t>
      </w:r>
      <w:r w:rsidR="00C47979" w:rsidRPr="001677F9">
        <w:rPr>
          <w:iCs/>
        </w:rPr>
        <w:t xml:space="preserve"> noted that a sensitivity analysis was provided in the commentary with a time horizon of 15 years, which increased the ICER by </w:t>
      </w:r>
      <w:r w:rsidR="00C47979" w:rsidRPr="0073756F">
        <w:rPr>
          <w:iCs/>
        </w:rPr>
        <w:t>5%</w:t>
      </w:r>
      <w:r w:rsidR="00C47979" w:rsidRPr="001677F9">
        <w:rPr>
          <w:iCs/>
        </w:rPr>
        <w:t xml:space="preserve"> to </w:t>
      </w:r>
      <w:r w:rsidR="00AA126F" w:rsidRPr="00AA126F">
        <w:rPr>
          <w:iCs/>
        </w:rPr>
        <w:t>$15,000</w:t>
      </w:r>
      <w:r w:rsidR="002A355D">
        <w:rPr>
          <w:iCs/>
        </w:rPr>
        <w:t> </w:t>
      </w:r>
      <w:r w:rsidR="00AA126F" w:rsidRPr="00AA126F">
        <w:rPr>
          <w:iCs/>
        </w:rPr>
        <w:t>to</w:t>
      </w:r>
      <w:r w:rsidR="002A355D">
        <w:rPr>
          <w:iCs/>
        </w:rPr>
        <w:t> </w:t>
      </w:r>
      <w:r w:rsidR="00AA126F" w:rsidRPr="00AA126F">
        <w:rPr>
          <w:iCs/>
        </w:rPr>
        <w:t>&lt;</w:t>
      </w:r>
      <w:r w:rsidR="002A355D">
        <w:rPr>
          <w:iCs/>
        </w:rPr>
        <w:t> </w:t>
      </w:r>
      <w:r w:rsidR="00AA126F" w:rsidRPr="00AA126F">
        <w:rPr>
          <w:iCs/>
        </w:rPr>
        <w:t>$25,000</w:t>
      </w:r>
      <w:r w:rsidR="00AA126F" w:rsidRPr="00AA126F" w:rsidDel="00AA126F">
        <w:rPr>
          <w:iCs/>
        </w:rPr>
        <w:t xml:space="preserve"> </w:t>
      </w:r>
      <w:r w:rsidR="00C47979" w:rsidRPr="001677F9">
        <w:rPr>
          <w:iCs/>
        </w:rPr>
        <w:t>(</w:t>
      </w:r>
      <w:r w:rsidR="00C47979" w:rsidRPr="001677F9">
        <w:rPr>
          <w:iCs/>
        </w:rPr>
        <w:fldChar w:fldCharType="begin" w:fldLock="1"/>
      </w:r>
      <w:r w:rsidR="00C47979" w:rsidRPr="001677F9">
        <w:rPr>
          <w:iCs/>
        </w:rPr>
        <w:instrText xml:space="preserve"> REF _Ref132377401 \h  \* MERGEFORMAT </w:instrText>
      </w:r>
      <w:r w:rsidR="00C47979" w:rsidRPr="001677F9">
        <w:rPr>
          <w:iCs/>
        </w:rPr>
      </w:r>
      <w:r w:rsidR="00C47979" w:rsidRPr="001677F9">
        <w:rPr>
          <w:iCs/>
        </w:rPr>
        <w:fldChar w:fldCharType="separate"/>
      </w:r>
      <w:r w:rsidR="002C43D4" w:rsidRPr="001677F9">
        <w:rPr>
          <w:iCs/>
        </w:rPr>
        <w:t>Table 12</w:t>
      </w:r>
      <w:r w:rsidR="00C47979" w:rsidRPr="001677F9">
        <w:rPr>
          <w:iCs/>
        </w:rPr>
        <w:fldChar w:fldCharType="end"/>
      </w:r>
      <w:r w:rsidR="00C47979" w:rsidRPr="001677F9">
        <w:rPr>
          <w:iCs/>
        </w:rPr>
        <w:t xml:space="preserve">). </w:t>
      </w:r>
      <w:r w:rsidR="00214FE2" w:rsidRPr="001677F9">
        <w:rPr>
          <w:iCs/>
        </w:rPr>
        <w:t>The ESC considered that the time horizon should be reduced to 15 years consistent with the economic evaluation for empagliflozin for the treatment of chronic HF with LVEF &gt;40% (Table 9, empagliflozin, PSD, November 2022 PBAC meeting).</w:t>
      </w:r>
      <w:bookmarkEnd w:id="57"/>
    </w:p>
    <w:p w14:paraId="6D19035F" w14:textId="7F9FEF65" w:rsidR="00980351" w:rsidRPr="001677F9" w:rsidRDefault="00980351" w:rsidP="00980351">
      <w:pPr>
        <w:pStyle w:val="3-BodyText"/>
      </w:pPr>
      <w:r w:rsidRPr="001677F9">
        <w:t xml:space="preserve">Dapagliflozin is currently PBS listed for use in patients with LVEF &lt; 40%. However, the model has not permitted patients in the SOC </w:t>
      </w:r>
      <w:r w:rsidR="007D7DB6" w:rsidRPr="001677F9">
        <w:t xml:space="preserve">arm </w:t>
      </w:r>
      <w:r w:rsidRPr="001677F9">
        <w:t xml:space="preserve">to receive dapagliflozin upon deterioration of LVEF to less than 40%. The benefits and costs associated with </w:t>
      </w:r>
      <w:r w:rsidRPr="001677F9">
        <w:lastRenderedPageBreak/>
        <w:t>subsequent dapagliflozin use in the SOC arm, as would be permitted under current practice, are therefore not accounted for in the model</w:t>
      </w:r>
      <w:r w:rsidR="00CD2722" w:rsidRPr="001677F9">
        <w:t>.</w:t>
      </w:r>
    </w:p>
    <w:p w14:paraId="73A34553" w14:textId="14231BFB" w:rsidR="00980351" w:rsidRPr="001677F9" w:rsidRDefault="00980351" w:rsidP="00980351">
      <w:pPr>
        <w:pStyle w:val="3-BodyText"/>
        <w:rPr>
          <w:iCs/>
        </w:rPr>
      </w:pPr>
      <w:r w:rsidRPr="001677F9">
        <w:t xml:space="preserve">In the model, heart failure hospitalisations are associated with a cost and disutility, but do not alter </w:t>
      </w:r>
      <w:r w:rsidR="00E30C7D" w:rsidRPr="001677F9">
        <w:t xml:space="preserve">KCCQ-TSS </w:t>
      </w:r>
      <w:r w:rsidRPr="001677F9">
        <w:t xml:space="preserve">health state transitions, which is unlikely to reflect the disease pathway. However, the impact of HHF events (history of HHF&gt;6 months and ≤6 months) was applied in the calculation of adjusted survival curves. </w:t>
      </w:r>
      <w:r w:rsidRPr="001677F9">
        <w:rPr>
          <w:iCs/>
        </w:rPr>
        <w:t xml:space="preserve">The ESC previously considered that, while the impact of heart failure hospitalisation on health state transitions and mortality may be implicitly captured within the trial period, this was less likely over the extrapolated period (para 6.50, empagliflozin </w:t>
      </w:r>
      <w:r w:rsidR="00C74253">
        <w:rPr>
          <w:iCs/>
        </w:rPr>
        <w:t xml:space="preserve">PSD, </w:t>
      </w:r>
      <w:r w:rsidRPr="001677F9">
        <w:rPr>
          <w:iCs/>
        </w:rPr>
        <w:t>November 2021 PBAC meeting).</w:t>
      </w:r>
    </w:p>
    <w:p w14:paraId="59A77E0E" w14:textId="77777777" w:rsidR="00980351" w:rsidRPr="001677F9" w:rsidRDefault="00980351" w:rsidP="00980351">
      <w:pPr>
        <w:pStyle w:val="3-BodyText"/>
        <w:rPr>
          <w:iCs/>
        </w:rPr>
      </w:pPr>
      <w:bookmarkStart w:id="58" w:name="_Ref104805122"/>
      <w:r w:rsidRPr="001677F9">
        <w:rPr>
          <w:iCs/>
        </w:rPr>
        <w:t xml:space="preserve">The submission adopted a piecewise approach to extrapolation of CV mortality and all-cause mortality. Based on visual inspection of the Kaplan Meier curves in DELIVER the submission allowed the hazard rate to change before and after year 1 in KCCQ-TSS Q1 and Q4. No other testing or justification, other than visual inspection, was used to justify the use of a piecewise approach, or the points of inflection. The economic model also applied parametric functions for CV and all-cause mortality from cycle 1. Observed time-to event data should have been used in preference to </w:t>
      </w:r>
      <w:proofErr w:type="gramStart"/>
      <w:r w:rsidRPr="001677F9">
        <w:rPr>
          <w:iCs/>
        </w:rPr>
        <w:t>modelled</w:t>
      </w:r>
      <w:proofErr w:type="gramEnd"/>
      <w:r w:rsidRPr="001677F9">
        <w:rPr>
          <w:iCs/>
        </w:rPr>
        <w:t xml:space="preserve"> data up to the time point at which the observed data become unreliable. </w:t>
      </w:r>
    </w:p>
    <w:p w14:paraId="099BD780" w14:textId="4D9B9652" w:rsidR="00980351" w:rsidRPr="001677F9" w:rsidRDefault="00980351" w:rsidP="00980351">
      <w:pPr>
        <w:pStyle w:val="3-BodyText"/>
      </w:pPr>
      <w:r w:rsidRPr="001677F9">
        <w:t>The economic model applied AE probabilities based on DELIVER which favoured dapagliflozin plus SOC</w:t>
      </w:r>
      <w:r w:rsidR="0050627D" w:rsidRPr="001677F9">
        <w:t>, although were not statistically significant,</w:t>
      </w:r>
      <w:r w:rsidRPr="001677F9">
        <w:t xml:space="preserve"> for acute kidney injury, amputation and fracture. Given the high cost associated with amputations this was a driver of the model, favouring dapagliflozin. Excluding amputations from the model increased the ICER from </w:t>
      </w:r>
      <w:r w:rsidR="00AA126F" w:rsidRPr="00AA126F">
        <w:t>$15,000</w:t>
      </w:r>
      <w:r w:rsidR="002A355D">
        <w:t> </w:t>
      </w:r>
      <w:r w:rsidR="00AA126F" w:rsidRPr="00AA126F">
        <w:t>to</w:t>
      </w:r>
      <w:r w:rsidR="002A355D">
        <w:t> </w:t>
      </w:r>
      <w:r w:rsidR="00AA126F" w:rsidRPr="00AA126F">
        <w:t>&lt;</w:t>
      </w:r>
      <w:r w:rsidR="002A355D">
        <w:t> </w:t>
      </w:r>
      <w:r w:rsidR="00AA126F" w:rsidRPr="00AA126F">
        <w:t>$25,000</w:t>
      </w:r>
      <w:r w:rsidRPr="001677F9">
        <w:t xml:space="preserve">/QALY in the base case to </w:t>
      </w:r>
      <w:r w:rsidR="00AA126F" w:rsidRPr="00AA126F">
        <w:t>$25,000</w:t>
      </w:r>
      <w:r w:rsidR="002A355D">
        <w:t> </w:t>
      </w:r>
      <w:r w:rsidR="00AA126F" w:rsidRPr="00AA126F">
        <w:t>to</w:t>
      </w:r>
      <w:r w:rsidR="002A355D">
        <w:t> </w:t>
      </w:r>
      <w:r w:rsidR="00AA126F" w:rsidRPr="00AA126F">
        <w:t>&lt;</w:t>
      </w:r>
      <w:r w:rsidR="002A355D">
        <w:t> </w:t>
      </w:r>
      <w:r w:rsidR="00AA126F" w:rsidRPr="00AA126F">
        <w:t>$35,000</w:t>
      </w:r>
      <w:r w:rsidRPr="001677F9">
        <w:t>/QALY (64% increase in the ICER).</w:t>
      </w:r>
      <w:r w:rsidR="00905A87" w:rsidRPr="001677F9">
        <w:t xml:space="preserve">  </w:t>
      </w:r>
      <w:r w:rsidR="00905A87" w:rsidRPr="001677F9">
        <w:rPr>
          <w:iCs/>
        </w:rPr>
        <w:t xml:space="preserve">The ESC noted that if a smaller incremental difference in amputations was assumed between dapagliflozin and SOC (equal to half the difference assumed by the submission), the resulting ICER was </w:t>
      </w:r>
      <w:r w:rsidR="001D3DDE" w:rsidRPr="001D3DDE">
        <w:rPr>
          <w:iCs/>
        </w:rPr>
        <w:t>$15,000</w:t>
      </w:r>
      <w:r w:rsidR="002A355D">
        <w:rPr>
          <w:iCs/>
        </w:rPr>
        <w:t> </w:t>
      </w:r>
      <w:r w:rsidR="001D3DDE" w:rsidRPr="001D3DDE">
        <w:rPr>
          <w:iCs/>
        </w:rPr>
        <w:t>to</w:t>
      </w:r>
      <w:r w:rsidR="002A355D">
        <w:rPr>
          <w:iCs/>
        </w:rPr>
        <w:t> </w:t>
      </w:r>
      <w:r w:rsidR="001D3DDE" w:rsidRPr="001D3DDE">
        <w:rPr>
          <w:iCs/>
        </w:rPr>
        <w:t>&lt;</w:t>
      </w:r>
      <w:r w:rsidR="002A355D">
        <w:rPr>
          <w:iCs/>
        </w:rPr>
        <w:t> </w:t>
      </w:r>
      <w:r w:rsidR="001D3DDE" w:rsidRPr="001D3DDE">
        <w:rPr>
          <w:iCs/>
        </w:rPr>
        <w:t>$25,000</w:t>
      </w:r>
      <w:r w:rsidR="00905A87" w:rsidRPr="001677F9">
        <w:rPr>
          <w:iCs/>
        </w:rPr>
        <w:t>/QALY.</w:t>
      </w:r>
    </w:p>
    <w:p w14:paraId="3AA6F901" w14:textId="5C8A7CD6" w:rsidR="00980351" w:rsidRPr="001677F9" w:rsidRDefault="00980351" w:rsidP="00980351">
      <w:pPr>
        <w:pStyle w:val="COMexecsumnumberedpara"/>
        <w:numPr>
          <w:ilvl w:val="1"/>
          <w:numId w:val="1"/>
        </w:numPr>
      </w:pPr>
      <w:r w:rsidRPr="001677F9">
        <w:t xml:space="preserve">Key drivers of the economic model are summarised in </w:t>
      </w:r>
      <w:r w:rsidR="00566673" w:rsidRPr="001677F9">
        <w:fldChar w:fldCharType="begin" w:fldLock="1"/>
      </w:r>
      <w:r w:rsidR="00566673" w:rsidRPr="001677F9">
        <w:instrText xml:space="preserve"> REF _Ref132377213 \h </w:instrText>
      </w:r>
      <w:r w:rsidR="00566673" w:rsidRPr="001677F9">
        <w:fldChar w:fldCharType="separate"/>
      </w:r>
      <w:r w:rsidR="002C43D4" w:rsidRPr="001677F9">
        <w:t>Table 10</w:t>
      </w:r>
      <w:r w:rsidR="00566673" w:rsidRPr="001677F9">
        <w:fldChar w:fldCharType="end"/>
      </w:r>
      <w:r w:rsidRPr="001677F9">
        <w:t xml:space="preserve">. </w:t>
      </w:r>
    </w:p>
    <w:p w14:paraId="32AB7B59" w14:textId="7DC0D4AC" w:rsidR="00980351" w:rsidRPr="001677F9" w:rsidRDefault="00566673" w:rsidP="00980351">
      <w:pPr>
        <w:pStyle w:val="Caption"/>
        <w:jc w:val="left"/>
        <w:rPr>
          <w:rStyle w:val="CommentReference"/>
          <w:b/>
          <w:szCs w:val="18"/>
        </w:rPr>
      </w:pPr>
      <w:bookmarkStart w:id="59" w:name="_Ref132377213"/>
      <w:r w:rsidRPr="001677F9">
        <w:lastRenderedPageBreak/>
        <w:t xml:space="preserve">Table </w:t>
      </w:r>
      <w:fldSimple w:instr=" SEQ Table \* ARABIC " w:fldLock="1">
        <w:r w:rsidR="002C43D4" w:rsidRPr="001677F9">
          <w:t>10</w:t>
        </w:r>
      </w:fldSimple>
      <w:bookmarkEnd w:id="58"/>
      <w:bookmarkEnd w:id="59"/>
      <w:r w:rsidR="00980351" w:rsidRPr="001677F9">
        <w:t>:</w:t>
      </w:r>
      <w:r w:rsidR="00980351" w:rsidRPr="001677F9">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5"/>
        <w:gridCol w:w="5529"/>
        <w:gridCol w:w="1933"/>
      </w:tblGrid>
      <w:tr w:rsidR="00980351" w:rsidRPr="001677F9" w14:paraId="2C8C5E3C" w14:textId="77777777" w:rsidTr="00AD1DC3">
        <w:trPr>
          <w:tblHeader/>
        </w:trPr>
        <w:tc>
          <w:tcPr>
            <w:tcW w:w="862" w:type="pct"/>
            <w:shd w:val="clear" w:color="auto" w:fill="auto"/>
            <w:vAlign w:val="center"/>
          </w:tcPr>
          <w:p w14:paraId="77A7D2F4" w14:textId="77777777" w:rsidR="00980351" w:rsidRPr="001677F9" w:rsidRDefault="00980351" w:rsidP="00AD1DC3">
            <w:pPr>
              <w:pStyle w:val="Tableheadingrow"/>
              <w:jc w:val="center"/>
              <w:rPr>
                <w:lang w:val="en-AU"/>
              </w:rPr>
            </w:pPr>
            <w:r w:rsidRPr="001677F9">
              <w:rPr>
                <w:lang w:val="en-AU"/>
              </w:rPr>
              <w:t>Description</w:t>
            </w:r>
          </w:p>
        </w:tc>
        <w:tc>
          <w:tcPr>
            <w:tcW w:w="3066" w:type="pct"/>
            <w:shd w:val="clear" w:color="auto" w:fill="auto"/>
            <w:vAlign w:val="center"/>
          </w:tcPr>
          <w:p w14:paraId="7C54E1BC" w14:textId="77777777" w:rsidR="00980351" w:rsidRPr="001677F9" w:rsidRDefault="00980351" w:rsidP="00AD1DC3">
            <w:pPr>
              <w:pStyle w:val="Tableheadingrow"/>
              <w:jc w:val="center"/>
              <w:rPr>
                <w:lang w:val="en-AU"/>
              </w:rPr>
            </w:pPr>
            <w:r w:rsidRPr="001677F9">
              <w:rPr>
                <w:lang w:val="en-AU"/>
              </w:rPr>
              <w:t>Method/Value</w:t>
            </w:r>
          </w:p>
        </w:tc>
        <w:tc>
          <w:tcPr>
            <w:tcW w:w="1072" w:type="pct"/>
            <w:shd w:val="clear" w:color="auto" w:fill="auto"/>
            <w:vAlign w:val="center"/>
          </w:tcPr>
          <w:p w14:paraId="5F64D651" w14:textId="77777777" w:rsidR="00980351" w:rsidRPr="001677F9" w:rsidRDefault="00980351" w:rsidP="00AD1DC3">
            <w:pPr>
              <w:pStyle w:val="Tableheadingrow"/>
              <w:jc w:val="center"/>
              <w:rPr>
                <w:lang w:val="en-AU"/>
              </w:rPr>
            </w:pPr>
            <w:r w:rsidRPr="001677F9">
              <w:rPr>
                <w:lang w:val="en-AU"/>
              </w:rPr>
              <w:t>Impact</w:t>
            </w:r>
          </w:p>
          <w:p w14:paraId="3A7EC65B" w14:textId="130019B8" w:rsidR="00980351" w:rsidRPr="001677F9" w:rsidRDefault="00980351" w:rsidP="00AD1DC3">
            <w:pPr>
              <w:pStyle w:val="Tableheadingrow"/>
              <w:jc w:val="center"/>
              <w:rPr>
                <w:lang w:val="en-AU"/>
              </w:rPr>
            </w:pPr>
            <w:r w:rsidRPr="001677F9">
              <w:rPr>
                <w:lang w:val="en-AU"/>
              </w:rPr>
              <w:t>(Base case: $</w:t>
            </w:r>
            <w:r w:rsidR="00D42DC9" w:rsidRPr="00D06FC9">
              <w:rPr>
                <w:rFonts w:hint="eastAsia"/>
                <w:color w:val="000000"/>
                <w:w w:val="15"/>
                <w:shd w:val="solid" w:color="000000" w:fill="000000"/>
                <w:fitText w:val="15" w:id="-1168360704"/>
                <w:lang w:val="en-AU"/>
                <w14:textFill>
                  <w14:solidFill>
                    <w14:srgbClr w14:val="000000">
                      <w14:alpha w14:val="100000"/>
                    </w14:srgbClr>
                  </w14:solidFill>
                </w14:textFill>
              </w:rPr>
              <w:t xml:space="preserve">　</w:t>
            </w:r>
            <w:r w:rsidR="00D42DC9" w:rsidRPr="00D06FC9">
              <w:rPr>
                <w:color w:val="000000"/>
                <w:w w:val="15"/>
                <w:shd w:val="solid" w:color="000000" w:fill="000000"/>
                <w:fitText w:val="15" w:id="-1168360704"/>
                <w:lang w:val="en-AU"/>
                <w14:textFill>
                  <w14:solidFill>
                    <w14:srgbClr w14:val="000000">
                      <w14:alpha w14:val="100000"/>
                    </w14:srgbClr>
                  </w14:solidFill>
                </w14:textFill>
              </w:rPr>
              <w:t>|</w:t>
            </w:r>
            <w:r w:rsidR="00D42DC9" w:rsidRPr="00D06FC9">
              <w:rPr>
                <w:rFonts w:hint="eastAsia"/>
                <w:color w:val="000000"/>
                <w:spacing w:val="-51"/>
                <w:w w:val="15"/>
                <w:shd w:val="solid" w:color="000000" w:fill="000000"/>
                <w:fitText w:val="15" w:id="-1168360704"/>
                <w:lang w:val="en-AU"/>
                <w14:textFill>
                  <w14:solidFill>
                    <w14:srgbClr w14:val="000000">
                      <w14:alpha w14:val="100000"/>
                    </w14:srgbClr>
                  </w14:solidFill>
                </w14:textFill>
              </w:rPr>
              <w:t xml:space="preserve">　</w:t>
            </w:r>
            <w:r w:rsidR="00310F54">
              <w:rPr>
                <w:vertAlign w:val="superscript"/>
                <w:lang w:val="en-AU"/>
              </w:rPr>
              <w:t>1</w:t>
            </w:r>
            <w:r w:rsidRPr="001677F9">
              <w:rPr>
                <w:lang w:val="en-AU"/>
              </w:rPr>
              <w:t>/QALY)</w:t>
            </w:r>
          </w:p>
        </w:tc>
      </w:tr>
      <w:tr w:rsidR="00980351" w:rsidRPr="001677F9" w14:paraId="0CAE2A98" w14:textId="77777777" w:rsidTr="00AD1DC3">
        <w:tc>
          <w:tcPr>
            <w:tcW w:w="862" w:type="pct"/>
            <w:shd w:val="clear" w:color="auto" w:fill="auto"/>
          </w:tcPr>
          <w:p w14:paraId="156AD44A" w14:textId="77777777" w:rsidR="00980351" w:rsidRPr="001677F9" w:rsidRDefault="00980351" w:rsidP="00AD1DC3">
            <w:pPr>
              <w:pStyle w:val="TableText0"/>
            </w:pPr>
            <w:r w:rsidRPr="001677F9">
              <w:t xml:space="preserve">Adverse events </w:t>
            </w:r>
          </w:p>
        </w:tc>
        <w:tc>
          <w:tcPr>
            <w:tcW w:w="3066" w:type="pct"/>
            <w:shd w:val="clear" w:color="auto" w:fill="auto"/>
          </w:tcPr>
          <w:p w14:paraId="3E5EE643" w14:textId="27848925" w:rsidR="00980351" w:rsidRPr="001677F9" w:rsidRDefault="00980351" w:rsidP="00AD1DC3">
            <w:pPr>
              <w:pStyle w:val="TableText0"/>
            </w:pPr>
            <w:r w:rsidRPr="001677F9">
              <w:t xml:space="preserve">The adverse events probabilities were in favour of dapagliflozin plus SOC for AKI, amputation and fracture. </w:t>
            </w:r>
          </w:p>
        </w:tc>
        <w:tc>
          <w:tcPr>
            <w:tcW w:w="1072" w:type="pct"/>
            <w:shd w:val="clear" w:color="auto" w:fill="auto"/>
          </w:tcPr>
          <w:p w14:paraId="59B467D6" w14:textId="77777777" w:rsidR="00980351" w:rsidRPr="001677F9" w:rsidRDefault="00980351" w:rsidP="00AD1DC3">
            <w:pPr>
              <w:pStyle w:val="TableText0"/>
            </w:pPr>
            <w:r w:rsidRPr="001677F9">
              <w:t>High, favours dapagliflozin.</w:t>
            </w:r>
          </w:p>
          <w:p w14:paraId="7900723A" w14:textId="77777777" w:rsidR="00980351" w:rsidRPr="001677F9" w:rsidRDefault="00980351" w:rsidP="00AD1DC3">
            <w:pPr>
              <w:pStyle w:val="TableText0"/>
            </w:pPr>
            <w:r w:rsidRPr="001677F9">
              <w:t>Including no amputations</w:t>
            </w:r>
          </w:p>
          <w:p w14:paraId="212B1415" w14:textId="2273A047" w:rsidR="00980351" w:rsidRPr="001677F9" w:rsidRDefault="00980351" w:rsidP="00AD1DC3">
            <w:pPr>
              <w:pStyle w:val="TableText0"/>
              <w:rPr>
                <w:i/>
              </w:rPr>
            </w:pPr>
            <w:r w:rsidRPr="001677F9">
              <w:t>$</w:t>
            </w:r>
            <w:r w:rsidR="00D42DC9" w:rsidRPr="00D42DC9">
              <w:rPr>
                <w:color w:val="000000"/>
                <w:spacing w:val="53"/>
                <w:shd w:val="solid" w:color="000000" w:fill="000000"/>
                <w:fitText w:val="330" w:id="-1168360703"/>
                <w14:textFill>
                  <w14:solidFill>
                    <w14:srgbClr w14:val="000000">
                      <w14:alpha w14:val="100000"/>
                    </w14:srgbClr>
                  </w14:solidFill>
                </w14:textFill>
              </w:rPr>
              <w:t>|||</w:t>
            </w:r>
            <w:r w:rsidR="00D42DC9" w:rsidRPr="00D42DC9">
              <w:rPr>
                <w:color w:val="000000"/>
                <w:spacing w:val="1"/>
                <w:shd w:val="solid" w:color="000000" w:fill="000000"/>
                <w:fitText w:val="330" w:id="-1168360703"/>
                <w14:textFill>
                  <w14:solidFill>
                    <w14:srgbClr w14:val="000000">
                      <w14:alpha w14:val="100000"/>
                    </w14:srgbClr>
                  </w14:solidFill>
                </w14:textFill>
              </w:rPr>
              <w:t>|</w:t>
            </w:r>
            <w:r w:rsidR="00310F54">
              <w:rPr>
                <w:vertAlign w:val="superscript"/>
              </w:rPr>
              <w:t>2</w:t>
            </w:r>
            <w:r w:rsidRPr="001677F9">
              <w:t xml:space="preserve">/QALY </w:t>
            </w:r>
            <w:r w:rsidRPr="0073756F">
              <w:t xml:space="preserve">(64% </w:t>
            </w:r>
            <w:r w:rsidRPr="001677F9">
              <w:t xml:space="preserve">increase in the ICER).  </w:t>
            </w:r>
          </w:p>
        </w:tc>
      </w:tr>
      <w:tr w:rsidR="00980351" w:rsidRPr="001677F9" w14:paraId="15BB642F" w14:textId="77777777" w:rsidTr="00AD1DC3">
        <w:tc>
          <w:tcPr>
            <w:tcW w:w="862" w:type="pct"/>
            <w:shd w:val="clear" w:color="auto" w:fill="auto"/>
          </w:tcPr>
          <w:p w14:paraId="54CE8504" w14:textId="234D04EF" w:rsidR="00980351" w:rsidRPr="001677F9" w:rsidRDefault="00980351" w:rsidP="00AD1DC3">
            <w:pPr>
              <w:pStyle w:val="TableText0"/>
            </w:pPr>
            <w:r w:rsidRPr="001677F9">
              <w:t>Modelled</w:t>
            </w:r>
            <w:r w:rsidR="0099324A" w:rsidRPr="001677F9">
              <w:t xml:space="preserve"> CV</w:t>
            </w:r>
            <w:r w:rsidRPr="001677F9">
              <w:t xml:space="preserve"> mortality benefit</w:t>
            </w:r>
          </w:p>
        </w:tc>
        <w:tc>
          <w:tcPr>
            <w:tcW w:w="3066" w:type="pct"/>
            <w:shd w:val="clear" w:color="auto" w:fill="auto"/>
          </w:tcPr>
          <w:p w14:paraId="11D1D0BC" w14:textId="029A9218" w:rsidR="00980351" w:rsidRPr="001677F9" w:rsidRDefault="00980351" w:rsidP="00AD1DC3">
            <w:pPr>
              <w:pStyle w:val="TableText0"/>
            </w:pPr>
            <w:r w:rsidRPr="001677F9">
              <w:t xml:space="preserve">The model assumes differences in time to cardiovascular death favouring dapagliflozin, although </w:t>
            </w:r>
            <w:r w:rsidR="00037E42" w:rsidRPr="001677F9">
              <w:t>a significant improvement had not been demonstrated in the clinical data</w:t>
            </w:r>
            <w:r w:rsidRPr="001677F9">
              <w:t>.</w:t>
            </w:r>
          </w:p>
          <w:p w14:paraId="39416D73" w14:textId="34D518F8" w:rsidR="00980351" w:rsidRPr="001677F9" w:rsidRDefault="00980351" w:rsidP="00AD1DC3">
            <w:pPr>
              <w:pStyle w:val="TableText0"/>
            </w:pPr>
            <w:r w:rsidRPr="001677F9">
              <w:rPr>
                <w:iCs/>
              </w:rPr>
              <w:t>In the model, a cardiovascular mortality benefit for dapagliflozin was generated from a modelled reduction in CV mortality associated with dapagliflozin, as well as from higher proportions of patients in the dapagliflozin arm transitioning to KCCQ-TSS quartiles representing improved health status which have lower mortality compared with the SOC arm. Given CV mortality curves were derived separately for KCCQ-TSS health states the impact of CV mortality benefits as a result of higher proportions of patients in the dapagliflozin arm transitioning to higher KCCQ-TSS quartiles could not be tested.</w:t>
            </w:r>
            <w:r w:rsidR="001C44E6" w:rsidRPr="001677F9">
              <w:rPr>
                <w:iCs/>
              </w:rPr>
              <w:t xml:space="preserve"> The impact on the ICER of modelling a reduction in CV mortality associated with dapagliflozin was moderate. </w:t>
            </w:r>
            <w:r w:rsidRPr="001677F9">
              <w:rPr>
                <w:iCs/>
              </w:rPr>
              <w:t xml:space="preserve">  </w:t>
            </w:r>
          </w:p>
        </w:tc>
        <w:tc>
          <w:tcPr>
            <w:tcW w:w="1072" w:type="pct"/>
            <w:shd w:val="clear" w:color="auto" w:fill="auto"/>
          </w:tcPr>
          <w:p w14:paraId="1E10B49D" w14:textId="77777777" w:rsidR="00980351" w:rsidRPr="001677F9" w:rsidRDefault="00980351" w:rsidP="00AD1DC3">
            <w:pPr>
              <w:pStyle w:val="TableText0"/>
            </w:pPr>
            <w:r w:rsidRPr="001677F9">
              <w:t>Moderate, favours dapagliflozin.</w:t>
            </w:r>
          </w:p>
          <w:p w14:paraId="01EDAABA" w14:textId="277D19A9" w:rsidR="00980351" w:rsidRPr="001677F9" w:rsidDel="00022E0A" w:rsidRDefault="00980351" w:rsidP="00AD1DC3">
            <w:pPr>
              <w:pStyle w:val="TableText0"/>
              <w:rPr>
                <w:i/>
              </w:rPr>
            </w:pPr>
            <w:r w:rsidRPr="001677F9">
              <w:t xml:space="preserve">No </w:t>
            </w:r>
            <w:r w:rsidR="004A28D8" w:rsidRPr="001677F9">
              <w:t>dapagliflozin treatment effect</w:t>
            </w:r>
            <w:r w:rsidR="006E1B80" w:rsidRPr="001677F9">
              <w:t xml:space="preserve"> on CV mortality</w:t>
            </w:r>
            <w:r w:rsidRPr="001677F9">
              <w:t xml:space="preserve">: </w:t>
            </w:r>
            <w:r w:rsidRPr="001677F9">
              <w:rPr>
                <w:iCs/>
              </w:rPr>
              <w:t>$</w:t>
            </w:r>
            <w:r w:rsidR="00D42DC9" w:rsidRPr="00D42DC9">
              <w:rPr>
                <w:iCs/>
                <w:color w:val="000000"/>
                <w:spacing w:val="53"/>
                <w:shd w:val="solid" w:color="000000" w:fill="000000"/>
                <w:fitText w:val="330" w:id="-1168360702"/>
                <w14:textFill>
                  <w14:solidFill>
                    <w14:srgbClr w14:val="000000">
                      <w14:alpha w14:val="100000"/>
                    </w14:srgbClr>
                  </w14:solidFill>
                </w14:textFill>
              </w:rPr>
              <w:t>|||</w:t>
            </w:r>
            <w:r w:rsidR="00D42DC9" w:rsidRPr="00D42DC9">
              <w:rPr>
                <w:iCs/>
                <w:color w:val="000000"/>
                <w:spacing w:val="1"/>
                <w:shd w:val="solid" w:color="000000" w:fill="000000"/>
                <w:fitText w:val="330" w:id="-1168360702"/>
                <w14:textFill>
                  <w14:solidFill>
                    <w14:srgbClr w14:val="000000">
                      <w14:alpha w14:val="100000"/>
                    </w14:srgbClr>
                  </w14:solidFill>
                </w14:textFill>
              </w:rPr>
              <w:t>|</w:t>
            </w:r>
            <w:r w:rsidR="00310F54">
              <w:rPr>
                <w:iCs/>
                <w:vertAlign w:val="superscript"/>
              </w:rPr>
              <w:t>1</w:t>
            </w:r>
            <w:r w:rsidRPr="001677F9">
              <w:rPr>
                <w:iCs/>
              </w:rPr>
              <w:t>/QALY (</w:t>
            </w:r>
            <w:r w:rsidRPr="0073756F">
              <w:rPr>
                <w:iCs/>
              </w:rPr>
              <w:t>14% increase</w:t>
            </w:r>
            <w:r w:rsidRPr="001677F9">
              <w:rPr>
                <w:iCs/>
              </w:rPr>
              <w:t xml:space="preserve"> in the ICER)</w:t>
            </w:r>
          </w:p>
        </w:tc>
      </w:tr>
      <w:tr w:rsidR="00293A3E" w:rsidRPr="001677F9" w14:paraId="42E48815" w14:textId="77777777" w:rsidTr="00293A3E">
        <w:tc>
          <w:tcPr>
            <w:tcW w:w="862" w:type="pct"/>
            <w:tcBorders>
              <w:top w:val="single" w:sz="4" w:space="0" w:color="auto"/>
              <w:left w:val="single" w:sz="4" w:space="0" w:color="auto"/>
              <w:bottom w:val="single" w:sz="4" w:space="0" w:color="auto"/>
              <w:right w:val="single" w:sz="4" w:space="0" w:color="auto"/>
            </w:tcBorders>
            <w:shd w:val="clear" w:color="auto" w:fill="auto"/>
          </w:tcPr>
          <w:p w14:paraId="7E8C9559" w14:textId="77777777" w:rsidR="00293A3E" w:rsidRPr="001677F9" w:rsidRDefault="00293A3E" w:rsidP="00303761">
            <w:pPr>
              <w:pStyle w:val="TableText0"/>
            </w:pPr>
            <w:r w:rsidRPr="001677F9">
              <w:t>KCCQ-TSS quartile health state transitions</w:t>
            </w:r>
          </w:p>
        </w:tc>
        <w:tc>
          <w:tcPr>
            <w:tcW w:w="3066" w:type="pct"/>
            <w:tcBorders>
              <w:top w:val="single" w:sz="4" w:space="0" w:color="auto"/>
              <w:left w:val="single" w:sz="4" w:space="0" w:color="auto"/>
              <w:bottom w:val="single" w:sz="4" w:space="0" w:color="auto"/>
              <w:right w:val="single" w:sz="4" w:space="0" w:color="auto"/>
            </w:tcBorders>
            <w:shd w:val="clear" w:color="auto" w:fill="auto"/>
          </w:tcPr>
          <w:p w14:paraId="724A7BA7" w14:textId="77777777" w:rsidR="00293A3E" w:rsidRPr="001677F9" w:rsidRDefault="00293A3E" w:rsidP="00303761">
            <w:pPr>
              <w:pStyle w:val="TableText0"/>
            </w:pPr>
            <w:r w:rsidRPr="001677F9">
              <w:t>The model assumes that transition probabilities between KCCQ-TSS quartile health states, derived from individual patient data from DELIVER, are constant from month 5 to the end of the 30-year model time horizon.</w:t>
            </w:r>
          </w:p>
          <w:p w14:paraId="2E76AD7B" w14:textId="77777777" w:rsidR="00293A3E" w:rsidRPr="001677F9" w:rsidRDefault="00293A3E" w:rsidP="00303761">
            <w:pPr>
              <w:pStyle w:val="TableText0"/>
            </w:pPr>
            <w:r w:rsidRPr="001677F9">
              <w:t xml:space="preserve">The analysis of individual patient data indicated a largely different disease progression profile for patients during early treatments versus late treatment, with patients more likely to transition to different health states in the first four months compared to month five onwards. It is unclear whether transitions derived from the month 5 onwards period adequately reflect longer-term health outcomes in a progressive disease. </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9EA0C3F" w14:textId="77777777" w:rsidR="00293A3E" w:rsidRPr="001677F9" w:rsidRDefault="00293A3E" w:rsidP="00303761">
            <w:pPr>
              <w:pStyle w:val="TableText0"/>
            </w:pPr>
            <w:r w:rsidRPr="001677F9">
              <w:t>Unclear</w:t>
            </w:r>
          </w:p>
        </w:tc>
      </w:tr>
    </w:tbl>
    <w:p w14:paraId="6F426D4F" w14:textId="77777777" w:rsidR="00980351" w:rsidRPr="001677F9" w:rsidRDefault="00980351" w:rsidP="00980351">
      <w:pPr>
        <w:pStyle w:val="FooterTableFigure"/>
      </w:pPr>
      <w:r w:rsidRPr="001677F9">
        <w:t>Source: Constructed during the evaluation with reference to Appendix A.1 of the submission and ‘Section 3 workbook provided with the submission</w:t>
      </w:r>
    </w:p>
    <w:p w14:paraId="62686D34" w14:textId="33C75B70" w:rsidR="00980351" w:rsidRDefault="00980351" w:rsidP="00980351">
      <w:pPr>
        <w:pStyle w:val="FooterTableFigure"/>
        <w:contextualSpacing w:val="0"/>
      </w:pPr>
      <w:r w:rsidRPr="001677F9">
        <w:t xml:space="preserve">AKI = acute kidney injury; </w:t>
      </w:r>
      <w:r w:rsidR="0099324A" w:rsidRPr="001677F9">
        <w:t xml:space="preserve">CV = cardiovascular; </w:t>
      </w:r>
      <w:r w:rsidRPr="001677F9">
        <w:t xml:space="preserve">ICER = incremental cost-effectiveness ratio; </w:t>
      </w:r>
      <w:r w:rsidR="003C7E33" w:rsidRPr="001677F9">
        <w:t xml:space="preserve">HHF = hospitalisation for heart failure; </w:t>
      </w:r>
      <w:r w:rsidRPr="001677F9">
        <w:t>KCCQ = Kansas City Cardiomyopathy Questionnaire; QALY = quality adjusted life year; SOC = standard of care; TSS = total symptom score</w:t>
      </w:r>
      <w:r w:rsidR="00C40B88" w:rsidRPr="001677F9">
        <w:t>.</w:t>
      </w:r>
      <w:r w:rsidRPr="001677F9">
        <w:t xml:space="preserve"> </w:t>
      </w:r>
    </w:p>
    <w:p w14:paraId="020BB367" w14:textId="1EBE1265" w:rsidR="0057126B" w:rsidRPr="00310F54" w:rsidRDefault="0057126B" w:rsidP="00310F54">
      <w:pPr>
        <w:pStyle w:val="FooterTableFigure"/>
        <w:spacing w:before="240" w:after="0"/>
        <w:rPr>
          <w:i/>
          <w:szCs w:val="18"/>
        </w:rPr>
      </w:pPr>
      <w:r w:rsidRPr="00310F54">
        <w:rPr>
          <w:i/>
          <w:szCs w:val="18"/>
        </w:rPr>
        <w:t>The redacted values correspond to the following ranges:</w:t>
      </w:r>
    </w:p>
    <w:p w14:paraId="3D2D9221" w14:textId="1B87EEDC" w:rsidR="00310F54" w:rsidRPr="00310F54" w:rsidRDefault="00310F54" w:rsidP="00310F54">
      <w:pPr>
        <w:ind w:right="147"/>
        <w:rPr>
          <w:rFonts w:ascii="Arial Narrow" w:hAnsi="Arial Narrow"/>
          <w:i/>
          <w:color w:val="333333"/>
          <w:sz w:val="18"/>
          <w:szCs w:val="18"/>
        </w:rPr>
      </w:pPr>
      <w:r w:rsidRPr="00310F54">
        <w:rPr>
          <w:rFonts w:ascii="Arial Narrow" w:hAnsi="Arial Narrow"/>
          <w:i/>
          <w:color w:val="333333"/>
          <w:sz w:val="18"/>
          <w:szCs w:val="18"/>
          <w:vertAlign w:val="superscript"/>
        </w:rPr>
        <w:t>1</w:t>
      </w:r>
      <w:r w:rsidRPr="00310F54">
        <w:rPr>
          <w:rFonts w:ascii="Arial Narrow" w:hAnsi="Arial Narrow"/>
          <w:i/>
          <w:color w:val="333333"/>
          <w:sz w:val="18"/>
          <w:szCs w:val="18"/>
        </w:rPr>
        <w:t>$15,000 to &lt; $25,000</w:t>
      </w:r>
    </w:p>
    <w:p w14:paraId="7CD47A04" w14:textId="05F91DA8" w:rsidR="00310F54" w:rsidRPr="00310F54" w:rsidRDefault="00310F54" w:rsidP="00310F54">
      <w:pPr>
        <w:spacing w:after="240"/>
        <w:ind w:right="147"/>
        <w:rPr>
          <w:rFonts w:ascii="Arial Narrow" w:hAnsi="Arial Narrow"/>
          <w:i/>
          <w:color w:val="333333"/>
          <w:sz w:val="18"/>
          <w:szCs w:val="18"/>
        </w:rPr>
      </w:pPr>
      <w:r w:rsidRPr="00310F54">
        <w:rPr>
          <w:rFonts w:ascii="Arial Narrow" w:hAnsi="Arial Narrow"/>
          <w:i/>
          <w:color w:val="333333"/>
          <w:sz w:val="18"/>
          <w:szCs w:val="18"/>
          <w:vertAlign w:val="superscript"/>
        </w:rPr>
        <w:t>2</w:t>
      </w:r>
      <w:r w:rsidRPr="00310F54">
        <w:rPr>
          <w:rFonts w:ascii="Arial Narrow" w:hAnsi="Arial Narrow"/>
          <w:i/>
          <w:color w:val="333333"/>
          <w:sz w:val="18"/>
          <w:szCs w:val="18"/>
        </w:rPr>
        <w:t>$25,000 to &lt; $35,000</w:t>
      </w:r>
    </w:p>
    <w:p w14:paraId="3EC9F2E7" w14:textId="3489080E" w:rsidR="00566673" w:rsidRPr="001677F9" w:rsidRDefault="00980351" w:rsidP="00566673">
      <w:pPr>
        <w:pStyle w:val="COMexecsumnumberedpara"/>
        <w:numPr>
          <w:ilvl w:val="1"/>
          <w:numId w:val="1"/>
        </w:numPr>
      </w:pPr>
      <w:r w:rsidRPr="001677F9">
        <w:t xml:space="preserve">The model traces for the dapagliflozin plus SOC and placebo plus SOC arms are presented in </w:t>
      </w:r>
      <w:r w:rsidR="00566673" w:rsidRPr="001677F9">
        <w:fldChar w:fldCharType="begin" w:fldLock="1"/>
      </w:r>
      <w:r w:rsidR="00566673" w:rsidRPr="001677F9">
        <w:instrText xml:space="preserve"> REF _Ref132377302 \h </w:instrText>
      </w:r>
      <w:r w:rsidR="00566673" w:rsidRPr="001677F9">
        <w:fldChar w:fldCharType="separate"/>
      </w:r>
      <w:r w:rsidR="002C43D4" w:rsidRPr="001677F9">
        <w:t>Figure 3</w:t>
      </w:r>
      <w:r w:rsidR="00566673" w:rsidRPr="001677F9">
        <w:fldChar w:fldCharType="end"/>
      </w:r>
      <w:r w:rsidRPr="001677F9">
        <w:t xml:space="preserve">. </w:t>
      </w:r>
    </w:p>
    <w:p w14:paraId="32E6F00E" w14:textId="097992B6" w:rsidR="00980351" w:rsidRPr="001677F9" w:rsidRDefault="00566673" w:rsidP="00566673">
      <w:pPr>
        <w:pStyle w:val="Caption"/>
      </w:pPr>
      <w:bookmarkStart w:id="60" w:name="_Ref132377302"/>
      <w:r w:rsidRPr="001677F9">
        <w:lastRenderedPageBreak/>
        <w:t xml:space="preserve">Figure </w:t>
      </w:r>
      <w:fldSimple w:instr=" SEQ Figure \* ARABIC " w:fldLock="1">
        <w:r w:rsidR="002C43D4" w:rsidRPr="001677F9">
          <w:t>3</w:t>
        </w:r>
      </w:fldSimple>
      <w:bookmarkEnd w:id="60"/>
      <w:r w:rsidRPr="001677F9">
        <w:t xml:space="preserve">: </w:t>
      </w:r>
      <w:r w:rsidR="00980351" w:rsidRPr="001677F9">
        <w:rPr>
          <w:bCs w:val="0"/>
          <w:szCs w:val="20"/>
        </w:rPr>
        <w:t>Model trace for dapagliflozin plus SOC and placebo plus SOC</w:t>
      </w:r>
    </w:p>
    <w:p w14:paraId="29ABA235" w14:textId="0C31C822" w:rsidR="00980351" w:rsidRPr="001677F9" w:rsidRDefault="00A8206D" w:rsidP="00980351">
      <w:pPr>
        <w:pStyle w:val="FooterTableFigure"/>
        <w:keepNext/>
      </w:pPr>
      <w:r w:rsidRPr="001677F9">
        <w:rPr>
          <w:rStyle w:val="FooterTableFigureChar"/>
          <w:noProof/>
        </w:rPr>
        <w:drawing>
          <wp:inline distT="0" distB="0" distL="0" distR="0" wp14:anchorId="798C459B" wp14:editId="1717EED3">
            <wp:extent cx="5742940" cy="385889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2940" cy="3858895"/>
                    </a:xfrm>
                    <a:prstGeom prst="rect">
                      <a:avLst/>
                    </a:prstGeom>
                    <a:noFill/>
                  </pic:spPr>
                </pic:pic>
              </a:graphicData>
            </a:graphic>
          </wp:inline>
        </w:drawing>
      </w:r>
      <w:r w:rsidR="00980351" w:rsidRPr="001677F9">
        <w:rPr>
          <w:rStyle w:val="FooterTableFigureChar"/>
        </w:rPr>
        <w:t>Source: Constructed during the evaluation based on Appendix A.1 of the submission and Section 3 Workbook provided with the submission</w:t>
      </w:r>
      <w:r w:rsidR="00980351" w:rsidRPr="001677F9">
        <w:rPr>
          <w:rStyle w:val="FooterTableFigureChar"/>
        </w:rPr>
        <w:br/>
        <w:t>CV = cardiovascular death; Dapa = dapagliflozin; KCCQ = Kansas City Cardiomyopathy Questionnaire; Pbo = placebo; Q = quartile; SoC = standard of care</w:t>
      </w:r>
      <w:r w:rsidR="00C40B88" w:rsidRPr="001677F9">
        <w:rPr>
          <w:rStyle w:val="FooterTableFigureChar"/>
        </w:rPr>
        <w:t>.</w:t>
      </w:r>
    </w:p>
    <w:p w14:paraId="19F8AB0F" w14:textId="77777777" w:rsidR="00FA17EE" w:rsidRPr="001677F9" w:rsidRDefault="00980351" w:rsidP="005C655F">
      <w:pPr>
        <w:pStyle w:val="3-BodyText"/>
        <w:rPr>
          <w:rFonts w:cstheme="minorHAnsi"/>
          <w:iCs/>
        </w:rPr>
      </w:pPr>
      <w:bookmarkStart w:id="61" w:name="_Ref137747506"/>
      <w:bookmarkStart w:id="62" w:name="_Ref104804865"/>
      <w:r w:rsidRPr="001677F9">
        <w:t xml:space="preserve">The model trace indicated there were higher proportions of patients in better KCCQ-TSS quartiles in the dapagliflozin arm than in the placebo arm, indicating better health status over the course of the model. The model traces indicated that dapagliflozin was associated with a survival benefit, and that this was predominantly due to a reduction in CV deaths. </w:t>
      </w:r>
      <w:bookmarkEnd w:id="61"/>
      <w:r w:rsidR="005C655F" w:rsidRPr="001677F9">
        <w:rPr>
          <w:iCs/>
        </w:rPr>
        <w:t xml:space="preserve"> </w:t>
      </w:r>
    </w:p>
    <w:p w14:paraId="42B81768" w14:textId="102FEF36" w:rsidR="005C655F" w:rsidRPr="001677F9" w:rsidRDefault="005C655F" w:rsidP="005C655F">
      <w:pPr>
        <w:pStyle w:val="3-BodyText"/>
        <w:rPr>
          <w:rFonts w:cstheme="minorHAnsi"/>
          <w:iCs/>
        </w:rPr>
      </w:pPr>
      <w:r w:rsidRPr="001677F9">
        <w:rPr>
          <w:iCs/>
        </w:rPr>
        <w:t xml:space="preserve">The PBAC recalled </w:t>
      </w:r>
      <w:r w:rsidRPr="001677F9">
        <w:rPr>
          <w:rFonts w:cstheme="minorHAnsi"/>
          <w:iCs/>
        </w:rPr>
        <w:t>the published meta-analysis by Vaduganathan et al. (2022) that pooled data from EMPEROR-Preserved and DELIVER</w:t>
      </w:r>
      <w:r w:rsidRPr="001677F9">
        <w:rPr>
          <w:vertAlign w:val="superscript"/>
        </w:rPr>
        <w:footnoteReference w:id="6"/>
      </w:r>
      <w:r w:rsidRPr="001677F9">
        <w:rPr>
          <w:rFonts w:cstheme="minorHAnsi"/>
          <w:iCs/>
        </w:rPr>
        <w:t xml:space="preserve">. The authors found that SGLT2 inhibitors reduced CV mortality by 12% with nominal significance and no statistically significant heterogeneity (HR 0.88; 95% CI: 0.77,1.00). The PBAC recalled that it had previously considered </w:t>
      </w:r>
      <w:r w:rsidRPr="001677F9">
        <w:t>a modelled CV mortality benefit was plausible for empagliflozin based on the meta-analysis published by Vaduganathan et al. (2022) (paragraph 6.55 empagliflozin PSD, November 2022).</w:t>
      </w:r>
    </w:p>
    <w:bookmarkEnd w:id="62"/>
    <w:p w14:paraId="536FE326" w14:textId="343CA897" w:rsidR="00980351" w:rsidRPr="001677F9" w:rsidRDefault="00980351" w:rsidP="00980351">
      <w:pPr>
        <w:pStyle w:val="3-BodyText"/>
      </w:pPr>
      <w:r w:rsidRPr="001677F9">
        <w:lastRenderedPageBreak/>
        <w:t>The model estimates that on average, patients treated with dapagliflozin plus SOC experience 0.57 heart failure hospitalisations, compared with 0.72 hospitalisations in patients treated with SOC alone over 30 years.</w:t>
      </w:r>
    </w:p>
    <w:p w14:paraId="066A1348" w14:textId="77777777" w:rsidR="00980351" w:rsidRPr="001677F9" w:rsidRDefault="00980351" w:rsidP="00980351">
      <w:pPr>
        <w:pStyle w:val="3-BodyText"/>
      </w:pPr>
      <w:r w:rsidRPr="001677F9">
        <w:t>Based on the extrapolated time to treatment discontinuation curve, the model estimates that 88% of dapagliflozin plus SOC patients remain on dapagliflozin treatment at 1 year, which decreases to 43% at 5 years (70% of those remaining alive) and 15% at 10 years (50% of those remaining alive). At the end of the model (at 30 years), no patients remain on dapagliflozin (3% of those remaining alive).</w:t>
      </w:r>
    </w:p>
    <w:p w14:paraId="2E7268E8" w14:textId="6EA4B87B" w:rsidR="00980351" w:rsidRPr="001677F9" w:rsidRDefault="00980351" w:rsidP="00980351">
      <w:pPr>
        <w:pStyle w:val="3-BodyText"/>
      </w:pPr>
      <w:r w:rsidRPr="001677F9">
        <w:t xml:space="preserve">The results of the stepped economic evaluation are summarised in </w:t>
      </w:r>
      <w:r w:rsidR="00566673" w:rsidRPr="001677F9">
        <w:fldChar w:fldCharType="begin" w:fldLock="1"/>
      </w:r>
      <w:r w:rsidR="00566673" w:rsidRPr="001677F9">
        <w:instrText xml:space="preserve"> REF _Ref132377344 \h </w:instrText>
      </w:r>
      <w:r w:rsidR="00566673" w:rsidRPr="001677F9">
        <w:fldChar w:fldCharType="separate"/>
      </w:r>
      <w:r w:rsidR="002C43D4" w:rsidRPr="001677F9">
        <w:t>Table 11</w:t>
      </w:r>
      <w:r w:rsidR="00566673" w:rsidRPr="001677F9">
        <w:fldChar w:fldCharType="end"/>
      </w:r>
      <w:r w:rsidR="00566673" w:rsidRPr="001677F9">
        <w:t xml:space="preserve">. </w:t>
      </w:r>
      <w:r w:rsidRPr="001677F9">
        <w:t xml:space="preserve">Step 1 of the submission’s stepped economic evaluation was based on a </w:t>
      </w:r>
      <w:proofErr w:type="gramStart"/>
      <w:r w:rsidRPr="001677F9">
        <w:t>2 year</w:t>
      </w:r>
      <w:proofErr w:type="gramEnd"/>
      <w:r w:rsidRPr="001677F9">
        <w:t xml:space="preserve"> duration, consistent with the mean duration of exposure in DELIVER (24.7 months). </w:t>
      </w:r>
    </w:p>
    <w:p w14:paraId="762F4526" w14:textId="5C55BA60" w:rsidR="00980351" w:rsidRPr="001677F9" w:rsidRDefault="00566673" w:rsidP="00566673">
      <w:pPr>
        <w:pStyle w:val="Caption"/>
        <w:rPr>
          <w:rStyle w:val="CommentReference"/>
          <w:b/>
          <w:szCs w:val="24"/>
        </w:rPr>
      </w:pPr>
      <w:bookmarkStart w:id="63" w:name="_Ref132377344"/>
      <w:r w:rsidRPr="001677F9">
        <w:t xml:space="preserve">Table </w:t>
      </w:r>
      <w:fldSimple w:instr=" SEQ Table \* ARABIC " w:fldLock="1">
        <w:r w:rsidR="002C43D4" w:rsidRPr="001677F9">
          <w:t>11</w:t>
        </w:r>
      </w:fldSimple>
      <w:bookmarkEnd w:id="63"/>
      <w:r w:rsidR="00980351" w:rsidRPr="001677F9">
        <w:rPr>
          <w:b w:val="0"/>
          <w:bCs w:val="0"/>
          <w:szCs w:val="20"/>
        </w:rPr>
        <w:t>:</w:t>
      </w:r>
      <w:r w:rsidR="00980351" w:rsidRPr="001677F9">
        <w:rPr>
          <w:b w:val="0"/>
          <w:szCs w:val="20"/>
        </w:rPr>
        <w:t xml:space="preserve"> </w:t>
      </w:r>
      <w:r w:rsidR="00980351" w:rsidRPr="001677F9">
        <w:rPr>
          <w:rStyle w:val="CommentReference"/>
          <w:b/>
          <w:szCs w:val="24"/>
        </w:rPr>
        <w:t>Results of the stepped economic evaluation</w:t>
      </w:r>
    </w:p>
    <w:tbl>
      <w:tblPr>
        <w:tblW w:w="5000" w:type="pct"/>
        <w:tblLook w:val="04A0" w:firstRow="1" w:lastRow="0" w:firstColumn="1" w:lastColumn="0" w:noHBand="0" w:noVBand="1"/>
      </w:tblPr>
      <w:tblGrid>
        <w:gridCol w:w="2255"/>
        <w:gridCol w:w="2254"/>
        <w:gridCol w:w="2254"/>
        <w:gridCol w:w="2254"/>
      </w:tblGrid>
      <w:tr w:rsidR="00980351" w:rsidRPr="001677F9" w14:paraId="7523E546" w14:textId="77777777" w:rsidTr="00AD1DC3">
        <w:trPr>
          <w:trHeight w:val="176"/>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7CBDD7" w14:textId="77777777" w:rsidR="00980351" w:rsidRPr="001677F9" w:rsidRDefault="00980351" w:rsidP="00AD1DC3">
            <w:pPr>
              <w:jc w:val="left"/>
              <w:rPr>
                <w:rFonts w:ascii="Arial Narrow" w:hAnsi="Arial Narrow" w:cs="Times New Roman"/>
                <w:b/>
                <w:bCs/>
                <w:color w:val="000000"/>
                <w:sz w:val="20"/>
                <w:szCs w:val="20"/>
              </w:rPr>
            </w:pPr>
            <w:r w:rsidRPr="001677F9">
              <w:rPr>
                <w:rFonts w:ascii="Arial Narrow" w:hAnsi="Arial Narrow" w:cs="Times New Roman"/>
                <w:b/>
                <w:bCs/>
                <w:color w:val="000000"/>
                <w:sz w:val="20"/>
                <w:szCs w:val="20"/>
              </w:rPr>
              <w:t>Step and component</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628B9E78" w14:textId="77777777" w:rsidR="00980351" w:rsidRPr="001677F9" w:rsidRDefault="00980351" w:rsidP="00AD1DC3">
            <w:pPr>
              <w:jc w:val="center"/>
              <w:rPr>
                <w:rFonts w:ascii="Arial Narrow" w:hAnsi="Arial Narrow" w:cs="Times New Roman"/>
                <w:b/>
                <w:bCs/>
                <w:color w:val="000000"/>
                <w:sz w:val="20"/>
                <w:szCs w:val="20"/>
              </w:rPr>
            </w:pPr>
            <w:r w:rsidRPr="001677F9">
              <w:rPr>
                <w:rFonts w:ascii="Arial Narrow" w:hAnsi="Arial Narrow" w:cs="Times New Roman"/>
                <w:b/>
                <w:bCs/>
                <w:color w:val="000000"/>
                <w:sz w:val="20"/>
                <w:szCs w:val="20"/>
              </w:rPr>
              <w:t>Dapagliflozin</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214B58BB" w14:textId="77777777" w:rsidR="00980351" w:rsidRPr="001677F9" w:rsidRDefault="00980351" w:rsidP="00AD1DC3">
            <w:pPr>
              <w:jc w:val="center"/>
              <w:rPr>
                <w:rFonts w:ascii="Arial Narrow" w:hAnsi="Arial Narrow" w:cs="Times New Roman"/>
                <w:b/>
                <w:bCs/>
                <w:color w:val="000000"/>
                <w:sz w:val="20"/>
                <w:szCs w:val="20"/>
              </w:rPr>
            </w:pPr>
            <w:r w:rsidRPr="001677F9">
              <w:rPr>
                <w:rFonts w:ascii="Arial Narrow" w:hAnsi="Arial Narrow" w:cs="Times New Roman"/>
                <w:b/>
                <w:bCs/>
                <w:color w:val="000000"/>
                <w:sz w:val="20"/>
                <w:szCs w:val="20"/>
              </w:rPr>
              <w:t>SOC</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6297D06E" w14:textId="77777777" w:rsidR="00980351" w:rsidRPr="001677F9" w:rsidRDefault="00980351" w:rsidP="00AD1DC3">
            <w:pPr>
              <w:jc w:val="center"/>
              <w:rPr>
                <w:rFonts w:ascii="Arial Narrow" w:hAnsi="Arial Narrow" w:cs="Times New Roman"/>
                <w:b/>
                <w:bCs/>
                <w:color w:val="000000"/>
                <w:sz w:val="20"/>
                <w:szCs w:val="20"/>
              </w:rPr>
            </w:pPr>
            <w:r w:rsidRPr="001677F9">
              <w:rPr>
                <w:rFonts w:ascii="Arial Narrow" w:hAnsi="Arial Narrow" w:cs="Times New Roman"/>
                <w:b/>
                <w:bCs/>
                <w:color w:val="000000"/>
                <w:sz w:val="20"/>
                <w:szCs w:val="20"/>
              </w:rPr>
              <w:t>Increment </w:t>
            </w:r>
          </w:p>
        </w:tc>
      </w:tr>
      <w:tr w:rsidR="00980351" w:rsidRPr="001677F9" w14:paraId="40B26EAC" w14:textId="77777777" w:rsidTr="00AD1DC3">
        <w:trPr>
          <w:trHeight w:val="17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D1F9C0C" w14:textId="77777777" w:rsidR="00980351" w:rsidRPr="001677F9" w:rsidRDefault="00980351" w:rsidP="00AD1DC3">
            <w:pPr>
              <w:jc w:val="left"/>
              <w:rPr>
                <w:rFonts w:ascii="Arial Narrow" w:hAnsi="Arial Narrow" w:cs="Times New Roman"/>
                <w:b/>
                <w:bCs/>
                <w:color w:val="000000"/>
                <w:sz w:val="20"/>
                <w:szCs w:val="20"/>
              </w:rPr>
            </w:pPr>
            <w:r w:rsidRPr="001677F9">
              <w:rPr>
                <w:rFonts w:ascii="Arial Narrow" w:hAnsi="Arial Narrow" w:cs="Times New Roman"/>
                <w:b/>
                <w:bCs/>
                <w:color w:val="000000"/>
                <w:sz w:val="20"/>
                <w:szCs w:val="20"/>
              </w:rPr>
              <w:t>Drug cost per event avoided (mortality, UHFV, HHF) at 2 years</w:t>
            </w:r>
          </w:p>
        </w:tc>
      </w:tr>
      <w:tr w:rsidR="00980351" w:rsidRPr="001677F9" w14:paraId="06E5AA0A" w14:textId="77777777" w:rsidTr="00D42DC9">
        <w:trPr>
          <w:trHeight w:val="176"/>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84C8F22" w14:textId="6C15D97D" w:rsidR="00980351" w:rsidRPr="001677F9" w:rsidRDefault="00980351" w:rsidP="00AD1DC3">
            <w:pPr>
              <w:jc w:val="left"/>
              <w:rPr>
                <w:rFonts w:ascii="Arial Narrow" w:hAnsi="Arial Narrow" w:cs="Times New Roman"/>
                <w:color w:val="000000"/>
                <w:sz w:val="20"/>
                <w:szCs w:val="20"/>
              </w:rPr>
            </w:pPr>
            <w:r w:rsidRPr="001677F9">
              <w:rPr>
                <w:rFonts w:ascii="Arial Narrow" w:hAnsi="Arial Narrow" w:cs="Times New Roman"/>
                <w:color w:val="000000"/>
                <w:sz w:val="20"/>
                <w:szCs w:val="20"/>
              </w:rPr>
              <w:t>Costs</w:t>
            </w:r>
            <w:r w:rsidR="00F941CA">
              <w:rPr>
                <w:rFonts w:ascii="Arial Narrow" w:hAnsi="Arial Narrow" w:cs="Times New Roman"/>
                <w:color w:val="000000"/>
                <w:sz w:val="20"/>
                <w:szCs w:val="20"/>
              </w:rPr>
              <w:t xml:space="preserve"> (</w:t>
            </w:r>
            <w:r w:rsidR="00845EF3">
              <w:rPr>
                <w:rFonts w:ascii="Arial Narrow" w:hAnsi="Arial Narrow" w:cs="Times New Roman"/>
                <w:color w:val="000000"/>
                <w:sz w:val="20"/>
                <w:szCs w:val="20"/>
              </w:rPr>
              <w:t>$</w:t>
            </w:r>
            <w:r w:rsidR="00F941CA">
              <w:rPr>
                <w:rFonts w:ascii="Arial Narrow" w:hAnsi="Arial Narrow" w:cs="Times New Roman"/>
                <w:color w:val="000000"/>
                <w:sz w:val="20"/>
                <w:szCs w:val="20"/>
              </w:rPr>
              <w:t>)</w:t>
            </w:r>
          </w:p>
        </w:tc>
        <w:tc>
          <w:tcPr>
            <w:tcW w:w="1250" w:type="pct"/>
            <w:tcBorders>
              <w:top w:val="nil"/>
              <w:left w:val="nil"/>
              <w:bottom w:val="single" w:sz="4" w:space="0" w:color="auto"/>
              <w:right w:val="single" w:sz="4" w:space="0" w:color="auto"/>
            </w:tcBorders>
            <w:shd w:val="solid" w:color="000000" w:fill="000000"/>
            <w:noWrap/>
            <w:vAlign w:val="center"/>
            <w:hideMark/>
          </w:tcPr>
          <w:p w14:paraId="4C1BCC3D" w14:textId="0C000EA7" w:rsidR="00980351" w:rsidRPr="001677F9" w:rsidRDefault="00D42DC9" w:rsidP="00AD1DC3">
            <w:pPr>
              <w:jc w:val="center"/>
              <w:rPr>
                <w:rFonts w:ascii="Arial Narrow" w:hAnsi="Arial Narrow" w:cs="Times New Roman"/>
                <w:color w:val="000000"/>
                <w:sz w:val="20"/>
                <w:szCs w:val="20"/>
              </w:rPr>
            </w:pPr>
            <w:r w:rsidRPr="00D42DC9">
              <w:rPr>
                <w:rFonts w:ascii="Arial Narrow" w:hAnsi="Arial Narrow" w:cs="Times New Roman"/>
                <w:color w:val="000000"/>
                <w:sz w:val="20"/>
                <w:szCs w:val="20"/>
                <w14:textFill>
                  <w14:solidFill>
                    <w14:srgbClr w14:val="000000">
                      <w14:alpha w14:val="100000"/>
                    </w14:srgbClr>
                  </w14:solidFill>
                </w14:textFill>
              </w:rPr>
              <w:t>|</w:t>
            </w:r>
          </w:p>
        </w:tc>
        <w:tc>
          <w:tcPr>
            <w:tcW w:w="1250" w:type="pct"/>
            <w:tcBorders>
              <w:top w:val="single" w:sz="4" w:space="0" w:color="auto"/>
              <w:left w:val="nil"/>
              <w:bottom w:val="single" w:sz="4" w:space="0" w:color="auto"/>
              <w:right w:val="single" w:sz="4" w:space="0" w:color="auto"/>
            </w:tcBorders>
            <w:shd w:val="solid" w:color="000000" w:fill="000000"/>
            <w:vAlign w:val="center"/>
            <w:hideMark/>
          </w:tcPr>
          <w:p w14:paraId="61772589" w14:textId="44B32A51" w:rsidR="00980351" w:rsidRPr="001677F9" w:rsidRDefault="00D42DC9" w:rsidP="00AD1DC3">
            <w:pPr>
              <w:jc w:val="center"/>
              <w:rPr>
                <w:rFonts w:ascii="Arial Narrow" w:hAnsi="Arial Narrow" w:cs="Times New Roman"/>
                <w:color w:val="000000"/>
                <w:sz w:val="20"/>
                <w:szCs w:val="20"/>
              </w:rPr>
            </w:pPr>
            <w:r w:rsidRPr="00D42DC9">
              <w:rPr>
                <w:rFonts w:ascii="Arial Narrow" w:hAnsi="Arial Narrow" w:cs="Times New Roman"/>
                <w:color w:val="000000"/>
                <w:sz w:val="20"/>
                <w:szCs w:val="20"/>
                <w14:textFill>
                  <w14:solidFill>
                    <w14:srgbClr w14:val="000000">
                      <w14:alpha w14:val="100000"/>
                    </w14:srgbClr>
                  </w14:solidFill>
                </w14:textFill>
              </w:rPr>
              <w:t>|</w:t>
            </w:r>
          </w:p>
        </w:tc>
        <w:tc>
          <w:tcPr>
            <w:tcW w:w="1250" w:type="pct"/>
            <w:tcBorders>
              <w:top w:val="nil"/>
              <w:left w:val="nil"/>
              <w:bottom w:val="single" w:sz="4" w:space="0" w:color="auto"/>
              <w:right w:val="single" w:sz="4" w:space="0" w:color="auto"/>
            </w:tcBorders>
            <w:shd w:val="solid" w:color="000000" w:fill="000000"/>
            <w:noWrap/>
            <w:vAlign w:val="center"/>
            <w:hideMark/>
          </w:tcPr>
          <w:p w14:paraId="32E7EFC2" w14:textId="64242593" w:rsidR="00980351" w:rsidRPr="001677F9" w:rsidRDefault="00D42DC9" w:rsidP="00AD1DC3">
            <w:pPr>
              <w:jc w:val="center"/>
              <w:rPr>
                <w:rFonts w:ascii="Arial Narrow" w:hAnsi="Arial Narrow" w:cs="Times New Roman"/>
                <w:color w:val="000000"/>
                <w:sz w:val="20"/>
                <w:szCs w:val="20"/>
              </w:rPr>
            </w:pPr>
            <w:r w:rsidRPr="00D42DC9">
              <w:rPr>
                <w:rFonts w:ascii="Arial Narrow" w:hAnsi="Arial Narrow" w:cs="Times New Roman"/>
                <w:color w:val="000000"/>
                <w:sz w:val="20"/>
                <w:szCs w:val="20"/>
                <w14:textFill>
                  <w14:solidFill>
                    <w14:srgbClr w14:val="000000">
                      <w14:alpha w14:val="100000"/>
                    </w14:srgbClr>
                  </w14:solidFill>
                </w14:textFill>
              </w:rPr>
              <w:t>|</w:t>
            </w:r>
          </w:p>
        </w:tc>
      </w:tr>
      <w:tr w:rsidR="00980351" w:rsidRPr="001677F9" w14:paraId="41295590" w14:textId="77777777" w:rsidTr="00AD1DC3">
        <w:trPr>
          <w:trHeight w:val="176"/>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3B8FCD4" w14:textId="77777777" w:rsidR="00980351" w:rsidRPr="001677F9" w:rsidRDefault="00980351" w:rsidP="00AD1DC3">
            <w:pPr>
              <w:jc w:val="left"/>
              <w:rPr>
                <w:rFonts w:ascii="Arial Narrow" w:hAnsi="Arial Narrow" w:cs="Times New Roman"/>
                <w:color w:val="000000"/>
                <w:sz w:val="20"/>
                <w:szCs w:val="20"/>
              </w:rPr>
            </w:pPr>
            <w:r w:rsidRPr="001677F9">
              <w:rPr>
                <w:rFonts w:ascii="Arial Narrow" w:hAnsi="Arial Narrow" w:cs="Times New Roman"/>
                <w:color w:val="000000"/>
                <w:sz w:val="20"/>
                <w:szCs w:val="20"/>
              </w:rPr>
              <w:t>Events avoided</w:t>
            </w:r>
          </w:p>
        </w:tc>
        <w:tc>
          <w:tcPr>
            <w:tcW w:w="1250" w:type="pct"/>
            <w:tcBorders>
              <w:top w:val="nil"/>
              <w:left w:val="nil"/>
              <w:bottom w:val="single" w:sz="4" w:space="0" w:color="auto"/>
              <w:right w:val="single" w:sz="4" w:space="0" w:color="auto"/>
            </w:tcBorders>
            <w:shd w:val="clear" w:color="auto" w:fill="auto"/>
            <w:noWrap/>
            <w:vAlign w:val="center"/>
            <w:hideMark/>
          </w:tcPr>
          <w:p w14:paraId="5AC81786" w14:textId="77777777" w:rsidR="00980351" w:rsidRPr="001677F9" w:rsidRDefault="00980351" w:rsidP="00AD1DC3">
            <w:pPr>
              <w:jc w:val="center"/>
              <w:rPr>
                <w:rFonts w:ascii="Arial Narrow" w:hAnsi="Arial Narrow" w:cs="Times New Roman"/>
                <w:color w:val="000000"/>
                <w:sz w:val="20"/>
                <w:szCs w:val="20"/>
              </w:rPr>
            </w:pPr>
            <w:r w:rsidRPr="001677F9">
              <w:rPr>
                <w:rFonts w:ascii="Arial Narrow" w:hAnsi="Arial Narrow" w:cs="Times New Roman"/>
                <w:color w:val="000000"/>
                <w:sz w:val="20"/>
                <w:szCs w:val="20"/>
              </w:rPr>
              <w:t>0.276</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493B4699" w14:textId="16FD2640" w:rsidR="00980351" w:rsidRPr="001677F9" w:rsidRDefault="00980351" w:rsidP="00AD1DC3">
            <w:pPr>
              <w:jc w:val="center"/>
              <w:rPr>
                <w:rFonts w:ascii="Arial Narrow" w:hAnsi="Arial Narrow" w:cs="Times New Roman"/>
                <w:color w:val="000000"/>
                <w:sz w:val="20"/>
                <w:szCs w:val="20"/>
              </w:rPr>
            </w:pPr>
            <w:r w:rsidRPr="001677F9">
              <w:rPr>
                <w:rFonts w:ascii="Arial Narrow" w:hAnsi="Arial Narrow" w:cs="Times New Roman"/>
                <w:color w:val="000000"/>
                <w:sz w:val="20"/>
                <w:szCs w:val="20"/>
              </w:rPr>
              <w:t>0.331</w:t>
            </w:r>
          </w:p>
        </w:tc>
        <w:tc>
          <w:tcPr>
            <w:tcW w:w="1250" w:type="pct"/>
            <w:tcBorders>
              <w:top w:val="nil"/>
              <w:left w:val="nil"/>
              <w:bottom w:val="single" w:sz="4" w:space="0" w:color="auto"/>
              <w:right w:val="single" w:sz="4" w:space="0" w:color="auto"/>
            </w:tcBorders>
            <w:shd w:val="clear" w:color="auto" w:fill="auto"/>
            <w:noWrap/>
            <w:vAlign w:val="center"/>
            <w:hideMark/>
          </w:tcPr>
          <w:p w14:paraId="02102A09" w14:textId="08B11522" w:rsidR="00980351" w:rsidRPr="001677F9" w:rsidRDefault="00980351" w:rsidP="00AD1DC3">
            <w:pPr>
              <w:jc w:val="center"/>
              <w:rPr>
                <w:rFonts w:ascii="Arial Narrow" w:hAnsi="Arial Narrow" w:cs="Times New Roman"/>
                <w:color w:val="000000"/>
                <w:sz w:val="20"/>
                <w:szCs w:val="20"/>
              </w:rPr>
            </w:pPr>
            <w:r w:rsidRPr="001677F9">
              <w:rPr>
                <w:rFonts w:ascii="Arial Narrow" w:hAnsi="Arial Narrow" w:cs="Times New Roman"/>
                <w:color w:val="000000"/>
                <w:sz w:val="20"/>
                <w:szCs w:val="20"/>
              </w:rPr>
              <w:t>0.055</w:t>
            </w:r>
          </w:p>
        </w:tc>
      </w:tr>
      <w:tr w:rsidR="00980351" w:rsidRPr="001677F9" w14:paraId="2AB9FCA5" w14:textId="77777777" w:rsidTr="00AD1DC3">
        <w:trPr>
          <w:trHeight w:val="176"/>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C45B4A" w14:textId="77777777" w:rsidR="00980351" w:rsidRPr="001677F9" w:rsidRDefault="00980351" w:rsidP="00AD1DC3">
            <w:pPr>
              <w:jc w:val="left"/>
              <w:rPr>
                <w:rFonts w:ascii="Arial Narrow" w:hAnsi="Arial Narrow" w:cs="Times New Roman"/>
                <w:color w:val="000000"/>
                <w:sz w:val="20"/>
                <w:szCs w:val="20"/>
              </w:rPr>
            </w:pPr>
            <w:r w:rsidRPr="001677F9">
              <w:rPr>
                <w:rFonts w:ascii="Arial Narrow" w:hAnsi="Arial Narrow" w:cs="Times New Roman"/>
                <w:color w:val="000000"/>
                <w:sz w:val="20"/>
                <w:szCs w:val="20"/>
              </w:rPr>
              <w:t>Incremental cost per life year gained</w:t>
            </w:r>
          </w:p>
        </w:tc>
        <w:tc>
          <w:tcPr>
            <w:tcW w:w="1250" w:type="pct"/>
            <w:tcBorders>
              <w:top w:val="nil"/>
              <w:left w:val="nil"/>
              <w:bottom w:val="single" w:sz="4" w:space="0" w:color="auto"/>
              <w:right w:val="single" w:sz="4" w:space="0" w:color="auto"/>
            </w:tcBorders>
            <w:shd w:val="clear" w:color="auto" w:fill="auto"/>
            <w:noWrap/>
            <w:vAlign w:val="center"/>
            <w:hideMark/>
          </w:tcPr>
          <w:p w14:paraId="2CEF1EE5" w14:textId="77777777" w:rsidR="00980351" w:rsidRPr="001677F9" w:rsidRDefault="00980351" w:rsidP="00AD1DC3">
            <w:pPr>
              <w:jc w:val="right"/>
              <w:rPr>
                <w:rFonts w:ascii="Arial Narrow" w:hAnsi="Arial Narrow" w:cs="Times New Roman"/>
                <w:color w:val="000000"/>
                <w:sz w:val="20"/>
                <w:szCs w:val="20"/>
              </w:rPr>
            </w:pPr>
          </w:p>
        </w:tc>
        <w:tc>
          <w:tcPr>
            <w:tcW w:w="1250" w:type="pct"/>
            <w:tcBorders>
              <w:top w:val="nil"/>
              <w:left w:val="nil"/>
              <w:bottom w:val="single" w:sz="4" w:space="0" w:color="auto"/>
              <w:right w:val="single" w:sz="4" w:space="0" w:color="auto"/>
            </w:tcBorders>
            <w:shd w:val="clear" w:color="auto" w:fill="auto"/>
            <w:vAlign w:val="center"/>
          </w:tcPr>
          <w:p w14:paraId="6C80F814" w14:textId="1691651D" w:rsidR="00980351" w:rsidRPr="00F941CA" w:rsidRDefault="00980351" w:rsidP="00AD1DC3">
            <w:pPr>
              <w:jc w:val="center"/>
              <w:rPr>
                <w:rFonts w:ascii="Arial Narrow" w:hAnsi="Arial Narrow" w:cs="Times New Roman"/>
                <w:color w:val="000000"/>
                <w:sz w:val="20"/>
                <w:szCs w:val="20"/>
                <w:vertAlign w:val="superscript"/>
              </w:rPr>
            </w:pPr>
            <w:r w:rsidRPr="001677F9">
              <w:rPr>
                <w:rFonts w:ascii="Arial Narrow" w:hAnsi="Arial Narrow" w:cs="Times New Roman"/>
                <w:color w:val="000000"/>
                <w:sz w:val="20"/>
                <w:szCs w:val="20"/>
              </w:rPr>
              <w:t>$</w:t>
            </w:r>
            <w:r w:rsidR="00D42DC9" w:rsidRPr="00D42DC9">
              <w:rPr>
                <w:rFonts w:ascii="Arial Narrow" w:hAnsi="Arial Narrow" w:cs="Times New Roman"/>
                <w:color w:val="000000"/>
                <w:sz w:val="20"/>
                <w:szCs w:val="20"/>
                <w:shd w:val="solid" w:color="000000" w:fill="000000"/>
                <w14:textFill>
                  <w14:solidFill>
                    <w14:srgbClr w14:val="000000">
                      <w14:alpha w14:val="100000"/>
                    </w14:srgbClr>
                  </w14:solidFill>
                </w14:textFill>
              </w:rPr>
              <w:t>|</w:t>
            </w:r>
            <w:r w:rsidR="00F941CA">
              <w:rPr>
                <w:rFonts w:ascii="Arial Narrow" w:hAnsi="Arial Narrow" w:cs="Times New Roman"/>
                <w:color w:val="000000"/>
                <w:sz w:val="20"/>
                <w:szCs w:val="20"/>
                <w:vertAlign w:val="superscript"/>
              </w:rPr>
              <w:t>1</w:t>
            </w:r>
          </w:p>
        </w:tc>
      </w:tr>
      <w:tr w:rsidR="00980351" w:rsidRPr="001677F9" w14:paraId="69575D1B" w14:textId="77777777" w:rsidTr="00AD1DC3">
        <w:trPr>
          <w:trHeight w:val="17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C1E16A4" w14:textId="77777777" w:rsidR="00980351" w:rsidRPr="001677F9" w:rsidRDefault="00980351" w:rsidP="00AD1DC3">
            <w:pPr>
              <w:jc w:val="left"/>
              <w:rPr>
                <w:rFonts w:ascii="Arial Narrow" w:hAnsi="Arial Narrow" w:cs="Times New Roman"/>
                <w:b/>
                <w:bCs/>
                <w:color w:val="000000"/>
                <w:sz w:val="20"/>
                <w:szCs w:val="20"/>
              </w:rPr>
            </w:pPr>
            <w:r w:rsidRPr="001677F9">
              <w:rPr>
                <w:rFonts w:ascii="Arial Narrow" w:hAnsi="Arial Narrow" w:cs="Times New Roman"/>
                <w:b/>
                <w:bCs/>
                <w:color w:val="000000"/>
                <w:sz w:val="20"/>
                <w:szCs w:val="20"/>
              </w:rPr>
              <w:t>Drug cost per life year at 2 years</w:t>
            </w:r>
          </w:p>
        </w:tc>
      </w:tr>
      <w:tr w:rsidR="00980351" w:rsidRPr="001677F9" w14:paraId="3F9B0FEF" w14:textId="77777777" w:rsidTr="00D42DC9">
        <w:trPr>
          <w:trHeight w:val="176"/>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79BB23E" w14:textId="24DFC774" w:rsidR="00980351" w:rsidRPr="001677F9" w:rsidRDefault="00980351" w:rsidP="00AD1DC3">
            <w:pPr>
              <w:jc w:val="left"/>
              <w:rPr>
                <w:rFonts w:ascii="Arial Narrow" w:hAnsi="Arial Narrow" w:cs="Times New Roman"/>
                <w:color w:val="000000"/>
                <w:sz w:val="20"/>
                <w:szCs w:val="20"/>
              </w:rPr>
            </w:pPr>
            <w:r w:rsidRPr="001677F9">
              <w:rPr>
                <w:rFonts w:ascii="Arial Narrow" w:hAnsi="Arial Narrow" w:cs="Times New Roman"/>
                <w:color w:val="000000"/>
                <w:sz w:val="20"/>
                <w:szCs w:val="20"/>
              </w:rPr>
              <w:t>Costs</w:t>
            </w:r>
            <w:r w:rsidR="00F941CA">
              <w:rPr>
                <w:rFonts w:ascii="Arial Narrow" w:hAnsi="Arial Narrow" w:cs="Times New Roman"/>
                <w:color w:val="000000"/>
                <w:sz w:val="20"/>
                <w:szCs w:val="20"/>
              </w:rPr>
              <w:t xml:space="preserve"> ($)</w:t>
            </w:r>
          </w:p>
        </w:tc>
        <w:tc>
          <w:tcPr>
            <w:tcW w:w="1250" w:type="pct"/>
            <w:tcBorders>
              <w:top w:val="nil"/>
              <w:left w:val="nil"/>
              <w:bottom w:val="single" w:sz="4" w:space="0" w:color="auto"/>
              <w:right w:val="single" w:sz="4" w:space="0" w:color="auto"/>
            </w:tcBorders>
            <w:shd w:val="solid" w:color="000000" w:fill="000000"/>
            <w:noWrap/>
            <w:vAlign w:val="center"/>
            <w:hideMark/>
          </w:tcPr>
          <w:p w14:paraId="0B11E1C6" w14:textId="25D0CFC1" w:rsidR="00980351" w:rsidRPr="001677F9" w:rsidRDefault="00D42DC9" w:rsidP="00AD1DC3">
            <w:pPr>
              <w:jc w:val="center"/>
              <w:rPr>
                <w:rFonts w:ascii="Arial Narrow" w:hAnsi="Arial Narrow" w:cs="Times New Roman"/>
                <w:color w:val="000000"/>
                <w:sz w:val="20"/>
                <w:szCs w:val="20"/>
              </w:rPr>
            </w:pPr>
            <w:r w:rsidRPr="00D42DC9">
              <w:rPr>
                <w:rFonts w:ascii="Arial Narrow" w:hAnsi="Arial Narrow" w:cs="Times New Roman"/>
                <w:color w:val="000000"/>
                <w:sz w:val="20"/>
                <w:szCs w:val="20"/>
                <w14:textFill>
                  <w14:solidFill>
                    <w14:srgbClr w14:val="000000">
                      <w14:alpha w14:val="100000"/>
                    </w14:srgbClr>
                  </w14:solidFill>
                </w14:textFill>
              </w:rPr>
              <w:t>|</w:t>
            </w:r>
          </w:p>
        </w:tc>
        <w:tc>
          <w:tcPr>
            <w:tcW w:w="1250" w:type="pct"/>
            <w:tcBorders>
              <w:top w:val="single" w:sz="4" w:space="0" w:color="auto"/>
              <w:left w:val="nil"/>
              <w:bottom w:val="single" w:sz="4" w:space="0" w:color="auto"/>
              <w:right w:val="single" w:sz="4" w:space="0" w:color="auto"/>
            </w:tcBorders>
            <w:shd w:val="solid" w:color="000000" w:fill="000000"/>
            <w:vAlign w:val="center"/>
            <w:hideMark/>
          </w:tcPr>
          <w:p w14:paraId="480F15F6" w14:textId="4C99B9ED" w:rsidR="00980351" w:rsidRPr="001677F9" w:rsidRDefault="00D42DC9" w:rsidP="00AD1DC3">
            <w:pPr>
              <w:jc w:val="center"/>
              <w:rPr>
                <w:rFonts w:ascii="Arial Narrow" w:hAnsi="Arial Narrow" w:cs="Times New Roman"/>
                <w:color w:val="000000"/>
                <w:sz w:val="20"/>
                <w:szCs w:val="20"/>
              </w:rPr>
            </w:pPr>
            <w:r w:rsidRPr="00D42DC9">
              <w:rPr>
                <w:rFonts w:ascii="Arial Narrow" w:hAnsi="Arial Narrow" w:cs="Times New Roman"/>
                <w:color w:val="000000"/>
                <w:sz w:val="20"/>
                <w:szCs w:val="20"/>
                <w14:textFill>
                  <w14:solidFill>
                    <w14:srgbClr w14:val="000000">
                      <w14:alpha w14:val="100000"/>
                    </w14:srgbClr>
                  </w14:solidFill>
                </w14:textFill>
              </w:rPr>
              <w:t>|</w:t>
            </w:r>
          </w:p>
        </w:tc>
        <w:tc>
          <w:tcPr>
            <w:tcW w:w="1250" w:type="pct"/>
            <w:tcBorders>
              <w:top w:val="nil"/>
              <w:left w:val="nil"/>
              <w:bottom w:val="single" w:sz="4" w:space="0" w:color="auto"/>
              <w:right w:val="single" w:sz="4" w:space="0" w:color="auto"/>
            </w:tcBorders>
            <w:shd w:val="solid" w:color="000000" w:fill="000000"/>
            <w:noWrap/>
            <w:vAlign w:val="center"/>
            <w:hideMark/>
          </w:tcPr>
          <w:p w14:paraId="05CA5E94" w14:textId="6E3AB6AD" w:rsidR="00980351" w:rsidRPr="001677F9" w:rsidRDefault="00D42DC9" w:rsidP="00AD1DC3">
            <w:pPr>
              <w:jc w:val="center"/>
              <w:rPr>
                <w:rFonts w:ascii="Arial Narrow" w:hAnsi="Arial Narrow" w:cs="Times New Roman"/>
                <w:color w:val="000000"/>
                <w:sz w:val="20"/>
                <w:szCs w:val="20"/>
              </w:rPr>
            </w:pPr>
            <w:r w:rsidRPr="00D42DC9">
              <w:rPr>
                <w:rFonts w:ascii="Arial Narrow" w:hAnsi="Arial Narrow" w:cs="Times New Roman"/>
                <w:color w:val="000000"/>
                <w:sz w:val="20"/>
                <w:szCs w:val="20"/>
                <w14:textFill>
                  <w14:solidFill>
                    <w14:srgbClr w14:val="000000">
                      <w14:alpha w14:val="100000"/>
                    </w14:srgbClr>
                  </w14:solidFill>
                </w14:textFill>
              </w:rPr>
              <w:t>|</w:t>
            </w:r>
          </w:p>
        </w:tc>
      </w:tr>
      <w:tr w:rsidR="00980351" w:rsidRPr="001677F9" w14:paraId="11AD828E" w14:textId="77777777" w:rsidTr="00AD1DC3">
        <w:trPr>
          <w:trHeight w:val="176"/>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ABF1832" w14:textId="77777777" w:rsidR="00980351" w:rsidRPr="001677F9" w:rsidRDefault="00980351" w:rsidP="00AD1DC3">
            <w:pPr>
              <w:jc w:val="left"/>
              <w:rPr>
                <w:rFonts w:ascii="Arial Narrow" w:hAnsi="Arial Narrow" w:cs="Times New Roman"/>
                <w:color w:val="000000"/>
                <w:sz w:val="20"/>
                <w:szCs w:val="20"/>
              </w:rPr>
            </w:pPr>
            <w:r w:rsidRPr="001677F9">
              <w:rPr>
                <w:rFonts w:ascii="Arial Narrow" w:hAnsi="Arial Narrow" w:cs="Times New Roman"/>
                <w:color w:val="000000"/>
                <w:sz w:val="20"/>
                <w:szCs w:val="20"/>
              </w:rPr>
              <w:t>Life years</w:t>
            </w:r>
          </w:p>
        </w:tc>
        <w:tc>
          <w:tcPr>
            <w:tcW w:w="1250" w:type="pct"/>
            <w:tcBorders>
              <w:top w:val="nil"/>
              <w:left w:val="nil"/>
              <w:bottom w:val="single" w:sz="4" w:space="0" w:color="auto"/>
              <w:right w:val="single" w:sz="4" w:space="0" w:color="auto"/>
            </w:tcBorders>
            <w:shd w:val="clear" w:color="auto" w:fill="auto"/>
            <w:noWrap/>
            <w:vAlign w:val="center"/>
            <w:hideMark/>
          </w:tcPr>
          <w:p w14:paraId="500FFDDF" w14:textId="77777777" w:rsidR="00980351" w:rsidRPr="001677F9" w:rsidRDefault="00980351" w:rsidP="00AD1DC3">
            <w:pPr>
              <w:jc w:val="center"/>
              <w:rPr>
                <w:rFonts w:ascii="Arial Narrow" w:hAnsi="Arial Narrow" w:cs="Times New Roman"/>
                <w:color w:val="000000"/>
                <w:sz w:val="20"/>
                <w:szCs w:val="20"/>
              </w:rPr>
            </w:pPr>
            <w:r w:rsidRPr="001677F9">
              <w:rPr>
                <w:rFonts w:ascii="Arial Narrow" w:hAnsi="Arial Narrow" w:cs="Times New Roman"/>
                <w:color w:val="000000"/>
                <w:sz w:val="20"/>
                <w:szCs w:val="20"/>
              </w:rPr>
              <w:t>1.785</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108B2756" w14:textId="77777777" w:rsidR="00980351" w:rsidRPr="001677F9" w:rsidRDefault="00980351" w:rsidP="00AD1DC3">
            <w:pPr>
              <w:jc w:val="center"/>
              <w:rPr>
                <w:rFonts w:ascii="Arial Narrow" w:hAnsi="Arial Narrow" w:cs="Times New Roman"/>
                <w:color w:val="000000"/>
                <w:sz w:val="20"/>
                <w:szCs w:val="20"/>
              </w:rPr>
            </w:pPr>
            <w:r w:rsidRPr="001677F9">
              <w:rPr>
                <w:rFonts w:ascii="Arial Narrow" w:hAnsi="Arial Narrow" w:cs="Times New Roman"/>
                <w:color w:val="000000"/>
                <w:sz w:val="20"/>
                <w:szCs w:val="20"/>
              </w:rPr>
              <w:t>1.782</w:t>
            </w:r>
          </w:p>
        </w:tc>
        <w:tc>
          <w:tcPr>
            <w:tcW w:w="1250" w:type="pct"/>
            <w:tcBorders>
              <w:top w:val="nil"/>
              <w:left w:val="nil"/>
              <w:bottom w:val="single" w:sz="4" w:space="0" w:color="auto"/>
              <w:right w:val="single" w:sz="4" w:space="0" w:color="auto"/>
            </w:tcBorders>
            <w:shd w:val="clear" w:color="auto" w:fill="auto"/>
            <w:noWrap/>
            <w:vAlign w:val="center"/>
            <w:hideMark/>
          </w:tcPr>
          <w:p w14:paraId="4570C11E" w14:textId="77777777" w:rsidR="00980351" w:rsidRPr="001677F9" w:rsidRDefault="00980351" w:rsidP="00AD1DC3">
            <w:pPr>
              <w:jc w:val="center"/>
              <w:rPr>
                <w:rFonts w:ascii="Arial Narrow" w:hAnsi="Arial Narrow" w:cs="Times New Roman"/>
                <w:color w:val="000000"/>
                <w:sz w:val="20"/>
                <w:szCs w:val="20"/>
              </w:rPr>
            </w:pPr>
            <w:r w:rsidRPr="001677F9">
              <w:rPr>
                <w:rFonts w:ascii="Arial Narrow" w:hAnsi="Arial Narrow" w:cs="Times New Roman"/>
                <w:color w:val="000000"/>
                <w:sz w:val="20"/>
                <w:szCs w:val="20"/>
              </w:rPr>
              <w:t>0.003</w:t>
            </w:r>
          </w:p>
        </w:tc>
      </w:tr>
      <w:tr w:rsidR="00980351" w:rsidRPr="001677F9" w14:paraId="14E0552D" w14:textId="77777777" w:rsidTr="00AD1DC3">
        <w:trPr>
          <w:trHeight w:val="176"/>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62F38" w14:textId="77777777" w:rsidR="00980351" w:rsidRPr="001677F9" w:rsidRDefault="00980351" w:rsidP="00AD1DC3">
            <w:pPr>
              <w:jc w:val="left"/>
              <w:rPr>
                <w:rFonts w:ascii="Arial Narrow" w:hAnsi="Arial Narrow" w:cs="Times New Roman"/>
                <w:color w:val="000000"/>
                <w:sz w:val="20"/>
                <w:szCs w:val="20"/>
              </w:rPr>
            </w:pPr>
            <w:r w:rsidRPr="001677F9">
              <w:rPr>
                <w:rFonts w:ascii="Arial Narrow" w:hAnsi="Arial Narrow" w:cs="Times New Roman"/>
                <w:color w:val="000000"/>
                <w:sz w:val="20"/>
                <w:szCs w:val="20"/>
              </w:rPr>
              <w:t>Incremental cost per life year gained</w:t>
            </w:r>
          </w:p>
        </w:tc>
        <w:tc>
          <w:tcPr>
            <w:tcW w:w="1250" w:type="pct"/>
            <w:tcBorders>
              <w:top w:val="nil"/>
              <w:left w:val="nil"/>
              <w:bottom w:val="single" w:sz="4" w:space="0" w:color="auto"/>
              <w:right w:val="single" w:sz="4" w:space="0" w:color="auto"/>
            </w:tcBorders>
            <w:shd w:val="clear" w:color="auto" w:fill="auto"/>
            <w:noWrap/>
            <w:vAlign w:val="center"/>
            <w:hideMark/>
          </w:tcPr>
          <w:p w14:paraId="78FE4292" w14:textId="77777777" w:rsidR="00980351" w:rsidRPr="001677F9" w:rsidRDefault="00980351" w:rsidP="00AD1DC3">
            <w:pPr>
              <w:jc w:val="center"/>
              <w:rPr>
                <w:rFonts w:ascii="Arial Narrow" w:hAnsi="Arial Narrow" w:cs="Times New Roman"/>
                <w:color w:val="000000"/>
                <w:sz w:val="20"/>
                <w:szCs w:val="20"/>
              </w:rPr>
            </w:pPr>
          </w:p>
        </w:tc>
        <w:tc>
          <w:tcPr>
            <w:tcW w:w="1250" w:type="pct"/>
            <w:tcBorders>
              <w:top w:val="nil"/>
              <w:left w:val="nil"/>
              <w:bottom w:val="single" w:sz="4" w:space="0" w:color="auto"/>
              <w:right w:val="single" w:sz="4" w:space="0" w:color="auto"/>
            </w:tcBorders>
            <w:shd w:val="clear" w:color="auto" w:fill="auto"/>
            <w:vAlign w:val="center"/>
          </w:tcPr>
          <w:p w14:paraId="4D4CC2F7" w14:textId="064F4451" w:rsidR="00980351" w:rsidRPr="002B3F93" w:rsidRDefault="00980351" w:rsidP="00AD1DC3">
            <w:pPr>
              <w:jc w:val="center"/>
              <w:rPr>
                <w:rFonts w:ascii="Arial Narrow" w:hAnsi="Arial Narrow" w:cs="Times New Roman"/>
                <w:color w:val="000000"/>
                <w:sz w:val="20"/>
                <w:szCs w:val="20"/>
                <w:vertAlign w:val="superscript"/>
              </w:rPr>
            </w:pPr>
            <w:r w:rsidRPr="001677F9">
              <w:rPr>
                <w:rFonts w:ascii="Arial Narrow" w:hAnsi="Arial Narrow" w:cs="Times New Roman"/>
                <w:color w:val="000000"/>
                <w:sz w:val="20"/>
                <w:szCs w:val="20"/>
              </w:rPr>
              <w:t>$</w:t>
            </w:r>
            <w:r w:rsidR="00D42DC9" w:rsidRPr="00D42DC9">
              <w:rPr>
                <w:rFonts w:ascii="Arial Narrow" w:hAnsi="Arial Narrow" w:cs="Times New Roman"/>
                <w:color w:val="000000"/>
                <w:sz w:val="20"/>
                <w:szCs w:val="20"/>
                <w:shd w:val="solid" w:color="000000" w:fill="000000"/>
                <w14:textFill>
                  <w14:solidFill>
                    <w14:srgbClr w14:val="000000">
                      <w14:alpha w14:val="100000"/>
                    </w14:srgbClr>
                  </w14:solidFill>
                </w14:textFill>
              </w:rPr>
              <w:t>|</w:t>
            </w:r>
            <w:r w:rsidR="002B3F93">
              <w:rPr>
                <w:rFonts w:ascii="Arial Narrow" w:hAnsi="Arial Narrow" w:cs="Times New Roman"/>
                <w:color w:val="000000"/>
                <w:sz w:val="20"/>
                <w:szCs w:val="20"/>
                <w:vertAlign w:val="superscript"/>
              </w:rPr>
              <w:t>2</w:t>
            </w:r>
          </w:p>
        </w:tc>
      </w:tr>
      <w:tr w:rsidR="00980351" w:rsidRPr="001677F9" w14:paraId="41C0DC01" w14:textId="77777777" w:rsidTr="00AD1DC3">
        <w:trPr>
          <w:trHeight w:val="17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D3051D9" w14:textId="77777777" w:rsidR="00980351" w:rsidRPr="001677F9" w:rsidRDefault="00980351" w:rsidP="00AD1DC3">
            <w:pPr>
              <w:jc w:val="left"/>
              <w:rPr>
                <w:rFonts w:ascii="Arial Narrow" w:hAnsi="Arial Narrow" w:cs="Times New Roman"/>
                <w:b/>
                <w:bCs/>
                <w:color w:val="000000"/>
                <w:sz w:val="20"/>
                <w:szCs w:val="20"/>
              </w:rPr>
            </w:pPr>
            <w:r w:rsidRPr="001677F9">
              <w:rPr>
                <w:rFonts w:ascii="Arial Narrow" w:hAnsi="Arial Narrow" w:cs="Times New Roman"/>
                <w:b/>
                <w:bCs/>
                <w:color w:val="000000"/>
                <w:sz w:val="20"/>
                <w:szCs w:val="20"/>
              </w:rPr>
              <w:t>Drug cost per QALY at 2 years</w:t>
            </w:r>
          </w:p>
        </w:tc>
      </w:tr>
      <w:tr w:rsidR="00980351" w:rsidRPr="001677F9" w14:paraId="1B08A437" w14:textId="77777777" w:rsidTr="00D42DC9">
        <w:trPr>
          <w:trHeight w:val="176"/>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C4FB0A" w14:textId="02243E55" w:rsidR="00980351" w:rsidRPr="001677F9" w:rsidRDefault="00980351" w:rsidP="00AD1DC3">
            <w:pPr>
              <w:jc w:val="left"/>
              <w:rPr>
                <w:rFonts w:ascii="Arial Narrow" w:hAnsi="Arial Narrow" w:cs="Times New Roman"/>
                <w:iCs/>
                <w:color w:val="000000"/>
                <w:sz w:val="20"/>
                <w:szCs w:val="20"/>
              </w:rPr>
            </w:pPr>
            <w:r w:rsidRPr="001677F9">
              <w:rPr>
                <w:rFonts w:ascii="Arial Narrow" w:hAnsi="Arial Narrow" w:cs="Times New Roman"/>
                <w:iCs/>
                <w:color w:val="000000"/>
                <w:sz w:val="20"/>
                <w:szCs w:val="20"/>
              </w:rPr>
              <w:t>Costs</w:t>
            </w:r>
            <w:r w:rsidR="00F941CA">
              <w:rPr>
                <w:rFonts w:ascii="Arial Narrow" w:hAnsi="Arial Narrow" w:cs="Times New Roman"/>
                <w:iCs/>
                <w:color w:val="000000"/>
                <w:sz w:val="20"/>
                <w:szCs w:val="20"/>
              </w:rPr>
              <w:t xml:space="preserve"> ($)</w:t>
            </w:r>
          </w:p>
        </w:tc>
        <w:tc>
          <w:tcPr>
            <w:tcW w:w="1250" w:type="pct"/>
            <w:tcBorders>
              <w:top w:val="nil"/>
              <w:left w:val="nil"/>
              <w:bottom w:val="single" w:sz="4" w:space="0" w:color="auto"/>
              <w:right w:val="single" w:sz="4" w:space="0" w:color="auto"/>
            </w:tcBorders>
            <w:shd w:val="solid" w:color="000000" w:fill="000000"/>
            <w:noWrap/>
            <w:vAlign w:val="center"/>
            <w:hideMark/>
          </w:tcPr>
          <w:p w14:paraId="05DF7EF6" w14:textId="5A8CE806" w:rsidR="00980351" w:rsidRPr="001677F9" w:rsidRDefault="00D42DC9" w:rsidP="00AD1DC3">
            <w:pPr>
              <w:jc w:val="center"/>
              <w:rPr>
                <w:rFonts w:ascii="Arial Narrow" w:hAnsi="Arial Narrow" w:cs="Times New Roman"/>
                <w:color w:val="000000"/>
                <w:sz w:val="20"/>
                <w:szCs w:val="20"/>
              </w:rPr>
            </w:pPr>
            <w:r w:rsidRPr="00D42DC9">
              <w:rPr>
                <w:rFonts w:ascii="Arial Narrow" w:hAnsi="Arial Narrow" w:cs="Times New Roman"/>
                <w:color w:val="000000"/>
                <w:sz w:val="20"/>
                <w:szCs w:val="20"/>
                <w14:textFill>
                  <w14:solidFill>
                    <w14:srgbClr w14:val="000000">
                      <w14:alpha w14:val="100000"/>
                    </w14:srgbClr>
                  </w14:solidFill>
                </w14:textFill>
              </w:rPr>
              <w:t>|</w:t>
            </w:r>
          </w:p>
        </w:tc>
        <w:tc>
          <w:tcPr>
            <w:tcW w:w="1250" w:type="pct"/>
            <w:tcBorders>
              <w:top w:val="single" w:sz="4" w:space="0" w:color="auto"/>
              <w:left w:val="nil"/>
              <w:bottom w:val="single" w:sz="4" w:space="0" w:color="auto"/>
              <w:right w:val="single" w:sz="4" w:space="0" w:color="auto"/>
            </w:tcBorders>
            <w:shd w:val="solid" w:color="000000" w:fill="000000"/>
            <w:vAlign w:val="center"/>
            <w:hideMark/>
          </w:tcPr>
          <w:p w14:paraId="6A164C0D" w14:textId="04B5E1E6" w:rsidR="00980351" w:rsidRPr="001677F9" w:rsidRDefault="00D42DC9" w:rsidP="00AD1DC3">
            <w:pPr>
              <w:jc w:val="center"/>
              <w:rPr>
                <w:rFonts w:ascii="Arial Narrow" w:hAnsi="Arial Narrow" w:cs="Times New Roman"/>
                <w:iCs/>
                <w:color w:val="000000"/>
                <w:sz w:val="20"/>
                <w:szCs w:val="20"/>
              </w:rPr>
            </w:pPr>
            <w:r w:rsidRPr="00D42DC9">
              <w:rPr>
                <w:rFonts w:ascii="Arial Narrow" w:hAnsi="Arial Narrow" w:cs="Times New Roman"/>
                <w:iCs/>
                <w:color w:val="000000"/>
                <w:sz w:val="20"/>
                <w:szCs w:val="20"/>
                <w14:textFill>
                  <w14:solidFill>
                    <w14:srgbClr w14:val="000000">
                      <w14:alpha w14:val="100000"/>
                    </w14:srgbClr>
                  </w14:solidFill>
                </w14:textFill>
              </w:rPr>
              <w:t>|</w:t>
            </w:r>
          </w:p>
        </w:tc>
        <w:tc>
          <w:tcPr>
            <w:tcW w:w="1250" w:type="pct"/>
            <w:tcBorders>
              <w:top w:val="nil"/>
              <w:left w:val="nil"/>
              <w:bottom w:val="single" w:sz="4" w:space="0" w:color="auto"/>
              <w:right w:val="single" w:sz="4" w:space="0" w:color="auto"/>
            </w:tcBorders>
            <w:shd w:val="solid" w:color="000000" w:fill="000000"/>
            <w:noWrap/>
            <w:vAlign w:val="center"/>
            <w:hideMark/>
          </w:tcPr>
          <w:p w14:paraId="747080C3" w14:textId="729678AB" w:rsidR="00980351" w:rsidRPr="001677F9" w:rsidRDefault="00D42DC9" w:rsidP="00AD1DC3">
            <w:pPr>
              <w:jc w:val="center"/>
              <w:rPr>
                <w:rFonts w:ascii="Arial Narrow" w:hAnsi="Arial Narrow" w:cs="Times New Roman"/>
                <w:color w:val="000000"/>
                <w:sz w:val="20"/>
                <w:szCs w:val="20"/>
              </w:rPr>
            </w:pPr>
            <w:r w:rsidRPr="00D42DC9">
              <w:rPr>
                <w:rFonts w:ascii="Arial Narrow" w:hAnsi="Arial Narrow" w:cs="Times New Roman"/>
                <w:color w:val="000000"/>
                <w:sz w:val="20"/>
                <w:szCs w:val="20"/>
                <w14:textFill>
                  <w14:solidFill>
                    <w14:srgbClr w14:val="000000">
                      <w14:alpha w14:val="100000"/>
                    </w14:srgbClr>
                  </w14:solidFill>
                </w14:textFill>
              </w:rPr>
              <w:t>|</w:t>
            </w:r>
          </w:p>
        </w:tc>
      </w:tr>
      <w:tr w:rsidR="00980351" w:rsidRPr="001677F9" w14:paraId="44618791" w14:textId="77777777" w:rsidTr="00AD1DC3">
        <w:trPr>
          <w:trHeight w:val="176"/>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59090B2" w14:textId="77777777" w:rsidR="00980351" w:rsidRPr="001677F9" w:rsidRDefault="00980351" w:rsidP="00AD1DC3">
            <w:pPr>
              <w:jc w:val="left"/>
              <w:rPr>
                <w:rFonts w:ascii="Arial Narrow" w:hAnsi="Arial Narrow" w:cs="Times New Roman"/>
                <w:iCs/>
                <w:color w:val="000000"/>
                <w:sz w:val="20"/>
                <w:szCs w:val="20"/>
              </w:rPr>
            </w:pPr>
            <w:r w:rsidRPr="001677F9">
              <w:rPr>
                <w:rFonts w:ascii="Arial Narrow" w:hAnsi="Arial Narrow" w:cs="Times New Roman"/>
                <w:iCs/>
                <w:color w:val="000000"/>
                <w:sz w:val="20"/>
                <w:szCs w:val="20"/>
              </w:rPr>
              <w:t>QALYs</w:t>
            </w:r>
          </w:p>
        </w:tc>
        <w:tc>
          <w:tcPr>
            <w:tcW w:w="1250" w:type="pct"/>
            <w:tcBorders>
              <w:top w:val="nil"/>
              <w:left w:val="nil"/>
              <w:bottom w:val="single" w:sz="4" w:space="0" w:color="auto"/>
              <w:right w:val="single" w:sz="4" w:space="0" w:color="auto"/>
            </w:tcBorders>
            <w:shd w:val="clear" w:color="auto" w:fill="auto"/>
            <w:noWrap/>
            <w:vAlign w:val="center"/>
            <w:hideMark/>
          </w:tcPr>
          <w:p w14:paraId="060BD7C8" w14:textId="77777777" w:rsidR="00980351" w:rsidRPr="001677F9" w:rsidRDefault="00980351" w:rsidP="00AD1DC3">
            <w:pPr>
              <w:jc w:val="center"/>
              <w:rPr>
                <w:rFonts w:ascii="Arial Narrow" w:hAnsi="Arial Narrow" w:cs="Times New Roman"/>
                <w:color w:val="000000"/>
                <w:sz w:val="20"/>
                <w:szCs w:val="20"/>
              </w:rPr>
            </w:pPr>
            <w:r w:rsidRPr="001677F9">
              <w:rPr>
                <w:rFonts w:ascii="Arial Narrow" w:hAnsi="Arial Narrow" w:cs="Times New Roman"/>
                <w:color w:val="000000"/>
                <w:sz w:val="20"/>
                <w:szCs w:val="20"/>
              </w:rPr>
              <w:t>1.42</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0F61C257" w14:textId="77777777" w:rsidR="00980351" w:rsidRPr="001677F9" w:rsidRDefault="00980351" w:rsidP="00AD1DC3">
            <w:pPr>
              <w:jc w:val="center"/>
              <w:rPr>
                <w:rFonts w:ascii="Arial Narrow" w:hAnsi="Arial Narrow" w:cs="Times New Roman"/>
                <w:iCs/>
                <w:color w:val="000000"/>
                <w:sz w:val="20"/>
                <w:szCs w:val="20"/>
              </w:rPr>
            </w:pPr>
            <w:r w:rsidRPr="001677F9">
              <w:rPr>
                <w:rFonts w:ascii="Arial Narrow" w:hAnsi="Arial Narrow" w:cs="Times New Roman"/>
                <w:iCs/>
                <w:color w:val="000000"/>
                <w:sz w:val="20"/>
                <w:szCs w:val="20"/>
              </w:rPr>
              <w:t>1.407</w:t>
            </w:r>
          </w:p>
        </w:tc>
        <w:tc>
          <w:tcPr>
            <w:tcW w:w="1250" w:type="pct"/>
            <w:tcBorders>
              <w:top w:val="nil"/>
              <w:left w:val="nil"/>
              <w:bottom w:val="single" w:sz="4" w:space="0" w:color="auto"/>
              <w:right w:val="single" w:sz="4" w:space="0" w:color="auto"/>
            </w:tcBorders>
            <w:shd w:val="clear" w:color="auto" w:fill="auto"/>
            <w:noWrap/>
            <w:vAlign w:val="center"/>
            <w:hideMark/>
          </w:tcPr>
          <w:p w14:paraId="34693D4D" w14:textId="77777777" w:rsidR="00980351" w:rsidRPr="001677F9" w:rsidRDefault="00980351" w:rsidP="00AD1DC3">
            <w:pPr>
              <w:jc w:val="center"/>
              <w:rPr>
                <w:rFonts w:ascii="Arial Narrow" w:hAnsi="Arial Narrow" w:cs="Times New Roman"/>
                <w:color w:val="000000"/>
                <w:sz w:val="20"/>
                <w:szCs w:val="20"/>
              </w:rPr>
            </w:pPr>
            <w:r w:rsidRPr="001677F9">
              <w:rPr>
                <w:rFonts w:ascii="Arial Narrow" w:hAnsi="Arial Narrow" w:cs="Times New Roman"/>
                <w:color w:val="000000"/>
                <w:sz w:val="20"/>
                <w:szCs w:val="20"/>
              </w:rPr>
              <w:t>0.013</w:t>
            </w:r>
          </w:p>
        </w:tc>
      </w:tr>
      <w:tr w:rsidR="00980351" w:rsidRPr="001677F9" w14:paraId="65A7F08D" w14:textId="77777777" w:rsidTr="00AD1DC3">
        <w:trPr>
          <w:trHeight w:val="176"/>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9AA249" w14:textId="77777777" w:rsidR="00980351" w:rsidRPr="001677F9" w:rsidRDefault="00980351" w:rsidP="00AD1DC3">
            <w:pPr>
              <w:jc w:val="left"/>
              <w:rPr>
                <w:rFonts w:ascii="Arial Narrow" w:hAnsi="Arial Narrow" w:cs="Times New Roman"/>
                <w:iCs/>
                <w:color w:val="000000"/>
                <w:sz w:val="20"/>
                <w:szCs w:val="20"/>
              </w:rPr>
            </w:pPr>
            <w:r w:rsidRPr="001677F9">
              <w:rPr>
                <w:rFonts w:ascii="Arial Narrow" w:hAnsi="Arial Narrow" w:cs="Times New Roman"/>
                <w:iCs/>
                <w:color w:val="000000"/>
                <w:sz w:val="20"/>
                <w:szCs w:val="20"/>
              </w:rPr>
              <w:t>Incremental cost per QALY gained</w:t>
            </w:r>
          </w:p>
        </w:tc>
        <w:tc>
          <w:tcPr>
            <w:tcW w:w="1250" w:type="pct"/>
            <w:tcBorders>
              <w:top w:val="nil"/>
              <w:left w:val="nil"/>
              <w:bottom w:val="single" w:sz="4" w:space="0" w:color="auto"/>
              <w:right w:val="single" w:sz="4" w:space="0" w:color="auto"/>
            </w:tcBorders>
            <w:shd w:val="clear" w:color="auto" w:fill="auto"/>
            <w:noWrap/>
            <w:vAlign w:val="center"/>
            <w:hideMark/>
          </w:tcPr>
          <w:p w14:paraId="0350B7D8" w14:textId="77777777" w:rsidR="00980351" w:rsidRPr="001677F9" w:rsidRDefault="00980351" w:rsidP="00AD1DC3">
            <w:pPr>
              <w:jc w:val="center"/>
              <w:rPr>
                <w:rFonts w:ascii="Arial Narrow" w:hAnsi="Arial Narrow" w:cs="Times New Roman"/>
                <w:color w:val="000000"/>
                <w:sz w:val="20"/>
                <w:szCs w:val="20"/>
              </w:rPr>
            </w:pPr>
          </w:p>
        </w:tc>
        <w:tc>
          <w:tcPr>
            <w:tcW w:w="1250" w:type="pct"/>
            <w:tcBorders>
              <w:top w:val="nil"/>
              <w:left w:val="nil"/>
              <w:bottom w:val="single" w:sz="4" w:space="0" w:color="auto"/>
              <w:right w:val="single" w:sz="4" w:space="0" w:color="auto"/>
            </w:tcBorders>
            <w:shd w:val="clear" w:color="auto" w:fill="auto"/>
            <w:vAlign w:val="center"/>
          </w:tcPr>
          <w:p w14:paraId="4AA98D8B" w14:textId="1EAB90B2" w:rsidR="00980351" w:rsidRPr="002B3F93" w:rsidRDefault="00980351" w:rsidP="00AD1DC3">
            <w:pPr>
              <w:jc w:val="center"/>
              <w:rPr>
                <w:rFonts w:ascii="Arial Narrow" w:hAnsi="Arial Narrow" w:cs="Times New Roman"/>
                <w:color w:val="000000"/>
                <w:sz w:val="20"/>
                <w:szCs w:val="20"/>
                <w:vertAlign w:val="superscript"/>
              </w:rPr>
            </w:pPr>
            <w:r w:rsidRPr="001677F9">
              <w:rPr>
                <w:rFonts w:ascii="Arial Narrow" w:hAnsi="Arial Narrow" w:cs="Times New Roman"/>
                <w:color w:val="000000"/>
                <w:sz w:val="20"/>
                <w:szCs w:val="20"/>
              </w:rPr>
              <w:t>$</w:t>
            </w:r>
            <w:r w:rsidR="00D42DC9" w:rsidRPr="00D42DC9">
              <w:rPr>
                <w:rFonts w:ascii="Arial Narrow" w:hAnsi="Arial Narrow" w:cs="Times New Roman"/>
                <w:color w:val="000000"/>
                <w:sz w:val="20"/>
                <w:szCs w:val="20"/>
                <w:shd w:val="solid" w:color="000000" w:fill="000000"/>
                <w14:textFill>
                  <w14:solidFill>
                    <w14:srgbClr w14:val="000000">
                      <w14:alpha w14:val="100000"/>
                    </w14:srgbClr>
                  </w14:solidFill>
                </w14:textFill>
              </w:rPr>
              <w:t>|</w:t>
            </w:r>
            <w:r w:rsidR="002B3F93">
              <w:rPr>
                <w:rFonts w:ascii="Arial Narrow" w:hAnsi="Arial Narrow" w:cs="Times New Roman"/>
                <w:color w:val="000000"/>
                <w:sz w:val="20"/>
                <w:szCs w:val="20"/>
                <w:vertAlign w:val="superscript"/>
              </w:rPr>
              <w:t>3</w:t>
            </w:r>
          </w:p>
        </w:tc>
      </w:tr>
      <w:tr w:rsidR="00980351" w:rsidRPr="001677F9" w14:paraId="62E5063E" w14:textId="77777777" w:rsidTr="00AD1DC3">
        <w:trPr>
          <w:trHeight w:val="17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C44702" w14:textId="59941408" w:rsidR="00980351" w:rsidRPr="001677F9" w:rsidRDefault="00980351" w:rsidP="00AD1DC3">
            <w:pPr>
              <w:jc w:val="left"/>
              <w:rPr>
                <w:rFonts w:ascii="Arial Narrow" w:hAnsi="Arial Narrow" w:cs="Times New Roman"/>
                <w:b/>
                <w:bCs/>
                <w:iCs/>
                <w:color w:val="000000"/>
                <w:sz w:val="20"/>
                <w:szCs w:val="20"/>
              </w:rPr>
            </w:pPr>
            <w:r w:rsidRPr="001677F9">
              <w:rPr>
                <w:rFonts w:ascii="Arial Narrow" w:hAnsi="Arial Narrow" w:cs="Times New Roman"/>
                <w:b/>
                <w:bCs/>
                <w:iCs/>
                <w:color w:val="000000"/>
                <w:sz w:val="20"/>
                <w:szCs w:val="20"/>
              </w:rPr>
              <w:t>All costs. (</w:t>
            </w:r>
            <w:proofErr w:type="gramStart"/>
            <w:r w:rsidRPr="001677F9">
              <w:rPr>
                <w:rFonts w:ascii="Arial Narrow" w:hAnsi="Arial Narrow" w:cs="Times New Roman"/>
                <w:b/>
                <w:bCs/>
                <w:iCs/>
                <w:color w:val="000000"/>
                <w:sz w:val="20"/>
                <w:szCs w:val="20"/>
              </w:rPr>
              <w:t>i.e.</w:t>
            </w:r>
            <w:proofErr w:type="gramEnd"/>
            <w:r w:rsidRPr="001677F9">
              <w:rPr>
                <w:rFonts w:ascii="Arial Narrow" w:hAnsi="Arial Narrow" w:cs="Times New Roman"/>
                <w:b/>
                <w:bCs/>
                <w:iCs/>
                <w:color w:val="000000"/>
                <w:sz w:val="20"/>
                <w:szCs w:val="20"/>
              </w:rPr>
              <w:t xml:space="preserve"> costs associated with SOC, HHFs, UHFVs, AEs and CV </w:t>
            </w:r>
            <w:r w:rsidR="00D06412" w:rsidRPr="001677F9">
              <w:rPr>
                <w:rFonts w:ascii="Arial Narrow" w:hAnsi="Arial Narrow" w:cs="Times New Roman"/>
                <w:b/>
                <w:bCs/>
                <w:iCs/>
                <w:color w:val="000000"/>
                <w:sz w:val="20"/>
                <w:szCs w:val="20"/>
              </w:rPr>
              <w:t>mortality) per</w:t>
            </w:r>
            <w:r w:rsidRPr="001677F9">
              <w:rPr>
                <w:rFonts w:ascii="Arial Narrow" w:hAnsi="Arial Narrow" w:cs="Times New Roman"/>
                <w:b/>
                <w:bCs/>
                <w:iCs/>
                <w:color w:val="000000"/>
                <w:sz w:val="20"/>
                <w:szCs w:val="20"/>
              </w:rPr>
              <w:t xml:space="preserve"> QALY at 2 years</w:t>
            </w:r>
          </w:p>
        </w:tc>
      </w:tr>
      <w:tr w:rsidR="00980351" w:rsidRPr="001677F9" w14:paraId="2327EDAA" w14:textId="77777777" w:rsidTr="00D42DC9">
        <w:trPr>
          <w:trHeight w:val="176"/>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72D75BB" w14:textId="269B9985" w:rsidR="00980351" w:rsidRPr="001677F9" w:rsidRDefault="00980351" w:rsidP="00AD1DC3">
            <w:pPr>
              <w:jc w:val="left"/>
              <w:rPr>
                <w:rFonts w:ascii="Arial Narrow" w:hAnsi="Arial Narrow" w:cs="Times New Roman"/>
                <w:iCs/>
                <w:color w:val="000000"/>
                <w:sz w:val="20"/>
                <w:szCs w:val="20"/>
              </w:rPr>
            </w:pPr>
            <w:r w:rsidRPr="001677F9">
              <w:rPr>
                <w:rFonts w:ascii="Arial Narrow" w:hAnsi="Arial Narrow" w:cs="Times New Roman"/>
                <w:iCs/>
                <w:color w:val="000000"/>
                <w:sz w:val="20"/>
                <w:szCs w:val="20"/>
              </w:rPr>
              <w:t>Costs</w:t>
            </w:r>
            <w:r w:rsidR="00F941CA">
              <w:rPr>
                <w:rFonts w:ascii="Arial Narrow" w:hAnsi="Arial Narrow" w:cs="Times New Roman"/>
                <w:iCs/>
                <w:color w:val="000000"/>
                <w:sz w:val="20"/>
                <w:szCs w:val="20"/>
              </w:rPr>
              <w:t xml:space="preserve"> ($)</w:t>
            </w:r>
          </w:p>
        </w:tc>
        <w:tc>
          <w:tcPr>
            <w:tcW w:w="1250" w:type="pct"/>
            <w:tcBorders>
              <w:top w:val="nil"/>
              <w:left w:val="nil"/>
              <w:bottom w:val="single" w:sz="4" w:space="0" w:color="auto"/>
              <w:right w:val="single" w:sz="4" w:space="0" w:color="auto"/>
            </w:tcBorders>
            <w:shd w:val="solid" w:color="000000" w:fill="000000"/>
            <w:noWrap/>
            <w:vAlign w:val="center"/>
            <w:hideMark/>
          </w:tcPr>
          <w:p w14:paraId="760A4E6A" w14:textId="387A4AB4" w:rsidR="00980351" w:rsidRPr="001677F9" w:rsidRDefault="00D42DC9" w:rsidP="00AD1DC3">
            <w:pPr>
              <w:jc w:val="center"/>
              <w:rPr>
                <w:rFonts w:ascii="Arial Narrow" w:hAnsi="Arial Narrow" w:cs="Times New Roman"/>
                <w:color w:val="000000"/>
                <w:sz w:val="20"/>
                <w:szCs w:val="20"/>
              </w:rPr>
            </w:pPr>
            <w:r w:rsidRPr="00D42DC9">
              <w:rPr>
                <w:rFonts w:ascii="Arial Narrow" w:hAnsi="Arial Narrow" w:cs="Times New Roman"/>
                <w:color w:val="000000"/>
                <w:sz w:val="20"/>
                <w:szCs w:val="20"/>
                <w14:textFill>
                  <w14:solidFill>
                    <w14:srgbClr w14:val="000000">
                      <w14:alpha w14:val="100000"/>
                    </w14:srgbClr>
                  </w14:solidFill>
                </w14:textFill>
              </w:rPr>
              <w:t>|</w:t>
            </w:r>
          </w:p>
        </w:tc>
        <w:tc>
          <w:tcPr>
            <w:tcW w:w="1250" w:type="pct"/>
            <w:tcBorders>
              <w:top w:val="single" w:sz="4" w:space="0" w:color="auto"/>
              <w:left w:val="nil"/>
              <w:bottom w:val="single" w:sz="4" w:space="0" w:color="auto"/>
              <w:right w:val="single" w:sz="4" w:space="0" w:color="auto"/>
            </w:tcBorders>
            <w:shd w:val="solid" w:color="000000" w:fill="000000"/>
            <w:vAlign w:val="center"/>
            <w:hideMark/>
          </w:tcPr>
          <w:p w14:paraId="046F1D4A" w14:textId="1E550DC8" w:rsidR="00980351" w:rsidRPr="001677F9" w:rsidRDefault="00D42DC9" w:rsidP="00AD1DC3">
            <w:pPr>
              <w:jc w:val="center"/>
              <w:rPr>
                <w:rFonts w:ascii="Arial Narrow" w:hAnsi="Arial Narrow" w:cs="Times New Roman"/>
                <w:iCs/>
                <w:color w:val="000000"/>
                <w:sz w:val="20"/>
                <w:szCs w:val="20"/>
              </w:rPr>
            </w:pPr>
            <w:r w:rsidRPr="00D42DC9">
              <w:rPr>
                <w:rFonts w:ascii="Arial Narrow" w:hAnsi="Arial Narrow" w:cs="Times New Roman"/>
                <w:iCs/>
                <w:color w:val="000000"/>
                <w:sz w:val="20"/>
                <w:szCs w:val="20"/>
                <w14:textFill>
                  <w14:solidFill>
                    <w14:srgbClr w14:val="000000">
                      <w14:alpha w14:val="100000"/>
                    </w14:srgbClr>
                  </w14:solidFill>
                </w14:textFill>
              </w:rPr>
              <w:t>|</w:t>
            </w:r>
          </w:p>
        </w:tc>
        <w:tc>
          <w:tcPr>
            <w:tcW w:w="1250" w:type="pct"/>
            <w:tcBorders>
              <w:top w:val="nil"/>
              <w:left w:val="nil"/>
              <w:bottom w:val="single" w:sz="4" w:space="0" w:color="auto"/>
              <w:right w:val="single" w:sz="4" w:space="0" w:color="auto"/>
            </w:tcBorders>
            <w:shd w:val="solid" w:color="000000" w:fill="000000"/>
            <w:noWrap/>
            <w:vAlign w:val="center"/>
            <w:hideMark/>
          </w:tcPr>
          <w:p w14:paraId="35C35F33" w14:textId="11A2A796" w:rsidR="00980351" w:rsidRPr="001677F9" w:rsidRDefault="00D42DC9" w:rsidP="00AD1DC3">
            <w:pPr>
              <w:jc w:val="center"/>
              <w:rPr>
                <w:rFonts w:ascii="Arial Narrow" w:hAnsi="Arial Narrow" w:cs="Times New Roman"/>
                <w:color w:val="000000"/>
                <w:sz w:val="20"/>
                <w:szCs w:val="20"/>
              </w:rPr>
            </w:pPr>
            <w:r w:rsidRPr="00D42DC9">
              <w:rPr>
                <w:rFonts w:ascii="Arial Narrow" w:hAnsi="Arial Narrow" w:cs="Times New Roman"/>
                <w:color w:val="000000"/>
                <w:sz w:val="20"/>
                <w:szCs w:val="20"/>
                <w14:textFill>
                  <w14:solidFill>
                    <w14:srgbClr w14:val="000000">
                      <w14:alpha w14:val="100000"/>
                    </w14:srgbClr>
                  </w14:solidFill>
                </w14:textFill>
              </w:rPr>
              <w:t>|</w:t>
            </w:r>
          </w:p>
        </w:tc>
      </w:tr>
      <w:tr w:rsidR="00980351" w:rsidRPr="001677F9" w14:paraId="353B84A3" w14:textId="77777777" w:rsidTr="00AD1DC3">
        <w:trPr>
          <w:trHeight w:val="176"/>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DD546D5" w14:textId="77777777" w:rsidR="00980351" w:rsidRPr="001677F9" w:rsidRDefault="00980351" w:rsidP="00AD1DC3">
            <w:pPr>
              <w:jc w:val="left"/>
              <w:rPr>
                <w:rFonts w:ascii="Arial Narrow" w:hAnsi="Arial Narrow" w:cs="Times New Roman"/>
                <w:iCs/>
                <w:color w:val="000000"/>
                <w:sz w:val="20"/>
                <w:szCs w:val="20"/>
              </w:rPr>
            </w:pPr>
            <w:r w:rsidRPr="001677F9">
              <w:rPr>
                <w:rFonts w:ascii="Arial Narrow" w:hAnsi="Arial Narrow" w:cs="Times New Roman"/>
                <w:iCs/>
                <w:color w:val="000000"/>
                <w:sz w:val="20"/>
                <w:szCs w:val="20"/>
              </w:rPr>
              <w:t>QALYs</w:t>
            </w:r>
          </w:p>
        </w:tc>
        <w:tc>
          <w:tcPr>
            <w:tcW w:w="1250" w:type="pct"/>
            <w:tcBorders>
              <w:top w:val="nil"/>
              <w:left w:val="nil"/>
              <w:bottom w:val="single" w:sz="4" w:space="0" w:color="auto"/>
              <w:right w:val="single" w:sz="4" w:space="0" w:color="auto"/>
            </w:tcBorders>
            <w:shd w:val="clear" w:color="auto" w:fill="auto"/>
            <w:noWrap/>
            <w:vAlign w:val="center"/>
            <w:hideMark/>
          </w:tcPr>
          <w:p w14:paraId="0A0B3C70" w14:textId="77777777" w:rsidR="00980351" w:rsidRPr="001677F9" w:rsidRDefault="00980351" w:rsidP="00AD1DC3">
            <w:pPr>
              <w:jc w:val="center"/>
              <w:rPr>
                <w:rFonts w:ascii="Arial Narrow" w:hAnsi="Arial Narrow" w:cs="Times New Roman"/>
                <w:color w:val="000000"/>
                <w:sz w:val="20"/>
                <w:szCs w:val="20"/>
              </w:rPr>
            </w:pPr>
            <w:r w:rsidRPr="001677F9">
              <w:rPr>
                <w:rFonts w:ascii="Arial Narrow" w:hAnsi="Arial Narrow" w:cs="Times New Roman"/>
                <w:color w:val="000000"/>
                <w:sz w:val="20"/>
                <w:szCs w:val="20"/>
              </w:rPr>
              <w:t>1.42</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6C1A4D1B" w14:textId="77777777" w:rsidR="00980351" w:rsidRPr="001677F9" w:rsidRDefault="00980351" w:rsidP="00AD1DC3">
            <w:pPr>
              <w:jc w:val="center"/>
              <w:rPr>
                <w:rFonts w:ascii="Arial Narrow" w:hAnsi="Arial Narrow" w:cs="Times New Roman"/>
                <w:iCs/>
                <w:color w:val="000000"/>
                <w:sz w:val="20"/>
                <w:szCs w:val="20"/>
              </w:rPr>
            </w:pPr>
            <w:r w:rsidRPr="001677F9">
              <w:rPr>
                <w:rFonts w:ascii="Arial Narrow" w:hAnsi="Arial Narrow" w:cs="Times New Roman"/>
                <w:iCs/>
                <w:color w:val="000000"/>
                <w:sz w:val="20"/>
                <w:szCs w:val="20"/>
              </w:rPr>
              <w:t>1.407</w:t>
            </w:r>
          </w:p>
        </w:tc>
        <w:tc>
          <w:tcPr>
            <w:tcW w:w="1250" w:type="pct"/>
            <w:tcBorders>
              <w:top w:val="nil"/>
              <w:left w:val="nil"/>
              <w:bottom w:val="single" w:sz="4" w:space="0" w:color="auto"/>
              <w:right w:val="single" w:sz="4" w:space="0" w:color="auto"/>
            </w:tcBorders>
            <w:shd w:val="clear" w:color="auto" w:fill="auto"/>
            <w:noWrap/>
            <w:vAlign w:val="center"/>
            <w:hideMark/>
          </w:tcPr>
          <w:p w14:paraId="480CFC65" w14:textId="77777777" w:rsidR="00980351" w:rsidRPr="001677F9" w:rsidRDefault="00980351" w:rsidP="00AD1DC3">
            <w:pPr>
              <w:jc w:val="center"/>
              <w:rPr>
                <w:rFonts w:ascii="Arial Narrow" w:hAnsi="Arial Narrow" w:cs="Times New Roman"/>
                <w:color w:val="000000"/>
                <w:sz w:val="20"/>
                <w:szCs w:val="20"/>
              </w:rPr>
            </w:pPr>
            <w:r w:rsidRPr="001677F9">
              <w:rPr>
                <w:rFonts w:ascii="Arial Narrow" w:hAnsi="Arial Narrow" w:cs="Times New Roman"/>
                <w:color w:val="000000"/>
                <w:sz w:val="20"/>
                <w:szCs w:val="20"/>
              </w:rPr>
              <w:t>0.013</w:t>
            </w:r>
          </w:p>
        </w:tc>
      </w:tr>
      <w:tr w:rsidR="00980351" w:rsidRPr="001677F9" w14:paraId="4631BE8B" w14:textId="77777777" w:rsidTr="00AD1DC3">
        <w:trPr>
          <w:trHeight w:val="176"/>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5C21CE" w14:textId="77777777" w:rsidR="00980351" w:rsidRPr="001677F9" w:rsidRDefault="00980351" w:rsidP="00AD1DC3">
            <w:pPr>
              <w:jc w:val="left"/>
              <w:rPr>
                <w:rFonts w:ascii="Arial Narrow" w:hAnsi="Arial Narrow" w:cs="Times New Roman"/>
                <w:iCs/>
                <w:color w:val="000000"/>
                <w:sz w:val="20"/>
                <w:szCs w:val="20"/>
              </w:rPr>
            </w:pPr>
            <w:r w:rsidRPr="001677F9">
              <w:rPr>
                <w:rFonts w:ascii="Arial Narrow" w:hAnsi="Arial Narrow" w:cs="Times New Roman"/>
                <w:iCs/>
                <w:color w:val="000000"/>
                <w:sz w:val="20"/>
                <w:szCs w:val="20"/>
              </w:rPr>
              <w:t>Incremental cost per QALY gained</w:t>
            </w:r>
          </w:p>
        </w:tc>
        <w:tc>
          <w:tcPr>
            <w:tcW w:w="1250" w:type="pct"/>
            <w:tcBorders>
              <w:top w:val="nil"/>
              <w:left w:val="nil"/>
              <w:bottom w:val="single" w:sz="4" w:space="0" w:color="auto"/>
              <w:right w:val="single" w:sz="4" w:space="0" w:color="auto"/>
            </w:tcBorders>
            <w:shd w:val="clear" w:color="auto" w:fill="auto"/>
            <w:noWrap/>
            <w:vAlign w:val="center"/>
            <w:hideMark/>
          </w:tcPr>
          <w:p w14:paraId="3489A557" w14:textId="77777777" w:rsidR="00980351" w:rsidRPr="001677F9" w:rsidRDefault="00980351" w:rsidP="00AD1DC3">
            <w:pPr>
              <w:jc w:val="center"/>
              <w:rPr>
                <w:rFonts w:ascii="Arial Narrow" w:hAnsi="Arial Narrow" w:cs="Times New Roman"/>
                <w:color w:val="000000"/>
                <w:sz w:val="20"/>
                <w:szCs w:val="20"/>
              </w:rPr>
            </w:pPr>
          </w:p>
        </w:tc>
        <w:tc>
          <w:tcPr>
            <w:tcW w:w="1250" w:type="pct"/>
            <w:tcBorders>
              <w:top w:val="nil"/>
              <w:left w:val="nil"/>
              <w:bottom w:val="single" w:sz="4" w:space="0" w:color="auto"/>
              <w:right w:val="single" w:sz="4" w:space="0" w:color="auto"/>
            </w:tcBorders>
            <w:shd w:val="clear" w:color="auto" w:fill="auto"/>
            <w:vAlign w:val="center"/>
          </w:tcPr>
          <w:p w14:paraId="1F98DBB7" w14:textId="1F5372C0" w:rsidR="00980351" w:rsidRPr="002B3F93" w:rsidRDefault="00980351" w:rsidP="00AD1DC3">
            <w:pPr>
              <w:jc w:val="center"/>
              <w:rPr>
                <w:rFonts w:ascii="Arial Narrow" w:hAnsi="Arial Narrow" w:cs="Times New Roman"/>
                <w:color w:val="000000"/>
                <w:sz w:val="20"/>
                <w:szCs w:val="20"/>
                <w:vertAlign w:val="superscript"/>
              </w:rPr>
            </w:pPr>
            <w:r w:rsidRPr="001677F9">
              <w:rPr>
                <w:rFonts w:ascii="Arial Narrow" w:hAnsi="Arial Narrow" w:cs="Times New Roman"/>
                <w:color w:val="000000"/>
                <w:sz w:val="20"/>
                <w:szCs w:val="20"/>
              </w:rPr>
              <w:t>$</w:t>
            </w:r>
            <w:r w:rsidR="00D42DC9" w:rsidRPr="00D42DC9">
              <w:rPr>
                <w:rFonts w:ascii="Arial Narrow" w:hAnsi="Arial Narrow" w:cs="Times New Roman"/>
                <w:color w:val="000000"/>
                <w:sz w:val="20"/>
                <w:szCs w:val="20"/>
                <w:shd w:val="solid" w:color="000000" w:fill="000000"/>
                <w14:textFill>
                  <w14:solidFill>
                    <w14:srgbClr w14:val="000000">
                      <w14:alpha w14:val="100000"/>
                    </w14:srgbClr>
                  </w14:solidFill>
                </w14:textFill>
              </w:rPr>
              <w:t>|</w:t>
            </w:r>
            <w:r w:rsidR="002B3F93">
              <w:rPr>
                <w:rFonts w:ascii="Arial Narrow" w:hAnsi="Arial Narrow" w:cs="Times New Roman"/>
                <w:color w:val="000000"/>
                <w:sz w:val="20"/>
                <w:szCs w:val="20"/>
                <w:vertAlign w:val="superscript"/>
              </w:rPr>
              <w:t>4</w:t>
            </w:r>
          </w:p>
        </w:tc>
      </w:tr>
      <w:tr w:rsidR="00980351" w:rsidRPr="001677F9" w14:paraId="0C02D580" w14:textId="77777777" w:rsidTr="00AD1DC3">
        <w:trPr>
          <w:trHeight w:val="17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D67A3C6" w14:textId="77777777" w:rsidR="00980351" w:rsidRPr="001677F9" w:rsidRDefault="00980351" w:rsidP="00AD1DC3">
            <w:pPr>
              <w:jc w:val="left"/>
              <w:rPr>
                <w:rFonts w:ascii="Arial Narrow" w:hAnsi="Arial Narrow" w:cs="Times New Roman"/>
                <w:b/>
                <w:bCs/>
                <w:iCs/>
                <w:color w:val="000000"/>
                <w:sz w:val="20"/>
                <w:szCs w:val="20"/>
              </w:rPr>
            </w:pPr>
            <w:r w:rsidRPr="001677F9">
              <w:rPr>
                <w:rFonts w:ascii="Arial Narrow" w:hAnsi="Arial Narrow" w:cs="Times New Roman"/>
                <w:b/>
                <w:bCs/>
                <w:iCs/>
                <w:color w:val="000000"/>
                <w:sz w:val="20"/>
                <w:szCs w:val="20"/>
              </w:rPr>
              <w:t xml:space="preserve"> All costs per QALY at 10 years</w:t>
            </w:r>
          </w:p>
        </w:tc>
      </w:tr>
      <w:tr w:rsidR="00980351" w:rsidRPr="001677F9" w14:paraId="2BDE79E1" w14:textId="77777777" w:rsidTr="00D42DC9">
        <w:trPr>
          <w:trHeight w:val="176"/>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3C538A2" w14:textId="051D03B2" w:rsidR="00980351" w:rsidRPr="001677F9" w:rsidRDefault="00980351" w:rsidP="00AD1DC3">
            <w:pPr>
              <w:jc w:val="left"/>
              <w:rPr>
                <w:rFonts w:ascii="Arial Narrow" w:hAnsi="Arial Narrow" w:cs="Times New Roman"/>
                <w:iCs/>
                <w:color w:val="000000"/>
                <w:sz w:val="20"/>
                <w:szCs w:val="20"/>
              </w:rPr>
            </w:pPr>
            <w:r w:rsidRPr="001677F9">
              <w:rPr>
                <w:rFonts w:ascii="Arial Narrow" w:hAnsi="Arial Narrow" w:cs="Times New Roman"/>
                <w:iCs/>
                <w:color w:val="000000"/>
                <w:sz w:val="20"/>
                <w:szCs w:val="20"/>
              </w:rPr>
              <w:t>Costs</w:t>
            </w:r>
            <w:r w:rsidR="00F941CA">
              <w:rPr>
                <w:rFonts w:ascii="Arial Narrow" w:hAnsi="Arial Narrow" w:cs="Times New Roman"/>
                <w:iCs/>
                <w:color w:val="000000"/>
                <w:sz w:val="20"/>
                <w:szCs w:val="20"/>
              </w:rPr>
              <w:t xml:space="preserve"> ($)</w:t>
            </w:r>
          </w:p>
        </w:tc>
        <w:tc>
          <w:tcPr>
            <w:tcW w:w="1250" w:type="pct"/>
            <w:tcBorders>
              <w:top w:val="nil"/>
              <w:left w:val="nil"/>
              <w:bottom w:val="single" w:sz="4" w:space="0" w:color="auto"/>
              <w:right w:val="single" w:sz="4" w:space="0" w:color="auto"/>
            </w:tcBorders>
            <w:shd w:val="solid" w:color="000000" w:fill="000000"/>
            <w:noWrap/>
            <w:vAlign w:val="center"/>
            <w:hideMark/>
          </w:tcPr>
          <w:p w14:paraId="201A9457" w14:textId="38DA062F" w:rsidR="00980351" w:rsidRPr="001677F9" w:rsidRDefault="00D42DC9" w:rsidP="00AD1DC3">
            <w:pPr>
              <w:jc w:val="center"/>
              <w:rPr>
                <w:rFonts w:ascii="Arial Narrow" w:hAnsi="Arial Narrow" w:cs="Times New Roman"/>
                <w:color w:val="000000"/>
                <w:sz w:val="20"/>
                <w:szCs w:val="20"/>
              </w:rPr>
            </w:pPr>
            <w:r w:rsidRPr="00D42DC9">
              <w:rPr>
                <w:rFonts w:ascii="Arial Narrow" w:hAnsi="Arial Narrow" w:cs="Times New Roman"/>
                <w:color w:val="000000"/>
                <w:sz w:val="20"/>
                <w:szCs w:val="20"/>
                <w14:textFill>
                  <w14:solidFill>
                    <w14:srgbClr w14:val="000000">
                      <w14:alpha w14:val="100000"/>
                    </w14:srgbClr>
                  </w14:solidFill>
                </w14:textFill>
              </w:rPr>
              <w:t>|</w:t>
            </w:r>
          </w:p>
        </w:tc>
        <w:tc>
          <w:tcPr>
            <w:tcW w:w="1250" w:type="pct"/>
            <w:tcBorders>
              <w:top w:val="single" w:sz="4" w:space="0" w:color="auto"/>
              <w:left w:val="nil"/>
              <w:bottom w:val="single" w:sz="4" w:space="0" w:color="auto"/>
              <w:right w:val="single" w:sz="4" w:space="0" w:color="auto"/>
            </w:tcBorders>
            <w:shd w:val="solid" w:color="000000" w:fill="000000"/>
            <w:vAlign w:val="center"/>
            <w:hideMark/>
          </w:tcPr>
          <w:p w14:paraId="36B9A041" w14:textId="72895198" w:rsidR="00980351" w:rsidRPr="001677F9" w:rsidRDefault="00D42DC9" w:rsidP="00AD1DC3">
            <w:pPr>
              <w:jc w:val="center"/>
              <w:rPr>
                <w:rFonts w:ascii="Arial Narrow" w:hAnsi="Arial Narrow" w:cs="Times New Roman"/>
                <w:iCs/>
                <w:color w:val="000000"/>
                <w:sz w:val="20"/>
                <w:szCs w:val="20"/>
              </w:rPr>
            </w:pPr>
            <w:r w:rsidRPr="00D42DC9">
              <w:rPr>
                <w:rFonts w:ascii="Arial Narrow" w:hAnsi="Arial Narrow" w:cs="Times New Roman"/>
                <w:iCs/>
                <w:color w:val="000000"/>
                <w:sz w:val="20"/>
                <w:szCs w:val="20"/>
                <w14:textFill>
                  <w14:solidFill>
                    <w14:srgbClr w14:val="000000">
                      <w14:alpha w14:val="100000"/>
                    </w14:srgbClr>
                  </w14:solidFill>
                </w14:textFill>
              </w:rPr>
              <w:t>|</w:t>
            </w:r>
          </w:p>
        </w:tc>
        <w:tc>
          <w:tcPr>
            <w:tcW w:w="1250" w:type="pct"/>
            <w:tcBorders>
              <w:top w:val="nil"/>
              <w:left w:val="nil"/>
              <w:bottom w:val="single" w:sz="4" w:space="0" w:color="auto"/>
              <w:right w:val="single" w:sz="4" w:space="0" w:color="auto"/>
            </w:tcBorders>
            <w:shd w:val="solid" w:color="000000" w:fill="000000"/>
            <w:noWrap/>
            <w:vAlign w:val="center"/>
            <w:hideMark/>
          </w:tcPr>
          <w:p w14:paraId="0A459E81" w14:textId="3B7662D1" w:rsidR="00980351" w:rsidRPr="001677F9" w:rsidRDefault="00D42DC9" w:rsidP="00AD1DC3">
            <w:pPr>
              <w:jc w:val="center"/>
              <w:rPr>
                <w:rFonts w:ascii="Arial Narrow" w:hAnsi="Arial Narrow" w:cs="Times New Roman"/>
                <w:color w:val="000000"/>
                <w:sz w:val="20"/>
                <w:szCs w:val="20"/>
              </w:rPr>
            </w:pPr>
            <w:r w:rsidRPr="00D42DC9">
              <w:rPr>
                <w:rFonts w:ascii="Arial Narrow" w:hAnsi="Arial Narrow" w:cs="Times New Roman"/>
                <w:color w:val="000000"/>
                <w:sz w:val="20"/>
                <w:szCs w:val="20"/>
                <w14:textFill>
                  <w14:solidFill>
                    <w14:srgbClr w14:val="000000">
                      <w14:alpha w14:val="100000"/>
                    </w14:srgbClr>
                  </w14:solidFill>
                </w14:textFill>
              </w:rPr>
              <w:t>|</w:t>
            </w:r>
          </w:p>
        </w:tc>
      </w:tr>
      <w:tr w:rsidR="00980351" w:rsidRPr="001677F9" w14:paraId="76F63F36" w14:textId="77777777" w:rsidTr="00AD1DC3">
        <w:trPr>
          <w:trHeight w:val="176"/>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0F67D5D" w14:textId="77777777" w:rsidR="00980351" w:rsidRPr="001677F9" w:rsidRDefault="00980351" w:rsidP="00AD1DC3">
            <w:pPr>
              <w:jc w:val="left"/>
              <w:rPr>
                <w:rFonts w:ascii="Arial Narrow" w:hAnsi="Arial Narrow" w:cs="Times New Roman"/>
                <w:iCs/>
                <w:color w:val="000000"/>
                <w:sz w:val="20"/>
                <w:szCs w:val="20"/>
              </w:rPr>
            </w:pPr>
            <w:r w:rsidRPr="001677F9">
              <w:rPr>
                <w:rFonts w:ascii="Arial Narrow" w:hAnsi="Arial Narrow" w:cs="Times New Roman"/>
                <w:iCs/>
                <w:color w:val="000000"/>
                <w:sz w:val="20"/>
                <w:szCs w:val="20"/>
              </w:rPr>
              <w:t>QALYs</w:t>
            </w:r>
          </w:p>
        </w:tc>
        <w:tc>
          <w:tcPr>
            <w:tcW w:w="1250" w:type="pct"/>
            <w:tcBorders>
              <w:top w:val="nil"/>
              <w:left w:val="nil"/>
              <w:bottom w:val="single" w:sz="4" w:space="0" w:color="auto"/>
              <w:right w:val="single" w:sz="4" w:space="0" w:color="auto"/>
            </w:tcBorders>
            <w:shd w:val="clear" w:color="auto" w:fill="auto"/>
            <w:noWrap/>
            <w:vAlign w:val="center"/>
            <w:hideMark/>
          </w:tcPr>
          <w:p w14:paraId="5B341D58" w14:textId="77777777" w:rsidR="00980351" w:rsidRPr="001677F9" w:rsidRDefault="00980351" w:rsidP="00AD1DC3">
            <w:pPr>
              <w:jc w:val="center"/>
              <w:rPr>
                <w:rFonts w:ascii="Arial Narrow" w:hAnsi="Arial Narrow" w:cs="Times New Roman"/>
                <w:color w:val="000000"/>
                <w:sz w:val="20"/>
                <w:szCs w:val="20"/>
              </w:rPr>
            </w:pPr>
            <w:r w:rsidRPr="001677F9">
              <w:rPr>
                <w:rFonts w:ascii="Arial Narrow" w:hAnsi="Arial Narrow" w:cs="Times New Roman"/>
                <w:color w:val="000000"/>
                <w:sz w:val="20"/>
                <w:szCs w:val="20"/>
              </w:rPr>
              <w:t>4.145</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79569A86" w14:textId="77777777" w:rsidR="00980351" w:rsidRPr="001677F9" w:rsidRDefault="00980351" w:rsidP="00AD1DC3">
            <w:pPr>
              <w:jc w:val="center"/>
              <w:rPr>
                <w:rFonts w:ascii="Arial Narrow" w:hAnsi="Arial Narrow" w:cs="Times New Roman"/>
                <w:iCs/>
                <w:color w:val="000000"/>
                <w:sz w:val="20"/>
                <w:szCs w:val="20"/>
              </w:rPr>
            </w:pPr>
            <w:r w:rsidRPr="001677F9">
              <w:rPr>
                <w:rFonts w:ascii="Arial Narrow" w:hAnsi="Arial Narrow" w:cs="Times New Roman"/>
                <w:iCs/>
                <w:color w:val="000000"/>
                <w:sz w:val="20"/>
                <w:szCs w:val="20"/>
              </w:rPr>
              <w:t>4.092</w:t>
            </w:r>
          </w:p>
        </w:tc>
        <w:tc>
          <w:tcPr>
            <w:tcW w:w="1250" w:type="pct"/>
            <w:tcBorders>
              <w:top w:val="nil"/>
              <w:left w:val="nil"/>
              <w:bottom w:val="single" w:sz="4" w:space="0" w:color="auto"/>
              <w:right w:val="single" w:sz="4" w:space="0" w:color="auto"/>
            </w:tcBorders>
            <w:shd w:val="clear" w:color="auto" w:fill="auto"/>
            <w:noWrap/>
            <w:vAlign w:val="center"/>
            <w:hideMark/>
          </w:tcPr>
          <w:p w14:paraId="0A72F38E" w14:textId="77777777" w:rsidR="00980351" w:rsidRPr="001677F9" w:rsidRDefault="00980351" w:rsidP="00AD1DC3">
            <w:pPr>
              <w:jc w:val="center"/>
              <w:rPr>
                <w:rFonts w:ascii="Arial Narrow" w:hAnsi="Arial Narrow" w:cs="Times New Roman"/>
                <w:color w:val="000000"/>
                <w:sz w:val="20"/>
                <w:szCs w:val="20"/>
              </w:rPr>
            </w:pPr>
            <w:r w:rsidRPr="001677F9">
              <w:rPr>
                <w:rFonts w:ascii="Arial Narrow" w:hAnsi="Arial Narrow" w:cs="Times New Roman"/>
                <w:color w:val="000000"/>
                <w:sz w:val="20"/>
                <w:szCs w:val="20"/>
              </w:rPr>
              <w:t>0.052</w:t>
            </w:r>
          </w:p>
        </w:tc>
      </w:tr>
      <w:tr w:rsidR="00980351" w:rsidRPr="001677F9" w14:paraId="2214B5BE" w14:textId="77777777" w:rsidTr="00AD1DC3">
        <w:trPr>
          <w:trHeight w:val="176"/>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E3F666" w14:textId="77777777" w:rsidR="00980351" w:rsidRPr="001677F9" w:rsidRDefault="00980351" w:rsidP="00AD1DC3">
            <w:pPr>
              <w:jc w:val="left"/>
              <w:rPr>
                <w:rFonts w:ascii="Arial Narrow" w:hAnsi="Arial Narrow" w:cs="Times New Roman"/>
                <w:iCs/>
                <w:color w:val="000000"/>
                <w:sz w:val="20"/>
                <w:szCs w:val="20"/>
              </w:rPr>
            </w:pPr>
            <w:r w:rsidRPr="001677F9">
              <w:rPr>
                <w:rFonts w:ascii="Arial Narrow" w:hAnsi="Arial Narrow" w:cs="Times New Roman"/>
                <w:iCs/>
                <w:color w:val="000000"/>
                <w:sz w:val="20"/>
                <w:szCs w:val="20"/>
              </w:rPr>
              <w:t>Incremental cost per QALY gained</w:t>
            </w:r>
          </w:p>
        </w:tc>
        <w:tc>
          <w:tcPr>
            <w:tcW w:w="1250" w:type="pct"/>
            <w:tcBorders>
              <w:top w:val="nil"/>
              <w:left w:val="nil"/>
              <w:bottom w:val="single" w:sz="4" w:space="0" w:color="auto"/>
              <w:right w:val="single" w:sz="4" w:space="0" w:color="auto"/>
            </w:tcBorders>
            <w:shd w:val="clear" w:color="auto" w:fill="auto"/>
            <w:noWrap/>
            <w:vAlign w:val="center"/>
            <w:hideMark/>
          </w:tcPr>
          <w:p w14:paraId="47708397" w14:textId="77777777" w:rsidR="00980351" w:rsidRPr="001677F9" w:rsidRDefault="00980351" w:rsidP="00AD1DC3">
            <w:pPr>
              <w:jc w:val="center"/>
              <w:rPr>
                <w:rFonts w:ascii="Arial Narrow" w:hAnsi="Arial Narrow" w:cs="Times New Roman"/>
                <w:color w:val="000000"/>
                <w:sz w:val="20"/>
                <w:szCs w:val="20"/>
              </w:rPr>
            </w:pPr>
          </w:p>
        </w:tc>
        <w:tc>
          <w:tcPr>
            <w:tcW w:w="1250" w:type="pct"/>
            <w:tcBorders>
              <w:top w:val="nil"/>
              <w:left w:val="nil"/>
              <w:bottom w:val="single" w:sz="4" w:space="0" w:color="auto"/>
              <w:right w:val="single" w:sz="4" w:space="0" w:color="auto"/>
            </w:tcBorders>
            <w:shd w:val="clear" w:color="auto" w:fill="auto"/>
            <w:vAlign w:val="center"/>
          </w:tcPr>
          <w:p w14:paraId="42751E35" w14:textId="5E243370" w:rsidR="00980351" w:rsidRPr="00845EF3" w:rsidRDefault="00980351" w:rsidP="00AD1DC3">
            <w:pPr>
              <w:jc w:val="center"/>
              <w:rPr>
                <w:rFonts w:ascii="Arial Narrow" w:hAnsi="Arial Narrow" w:cs="Times New Roman"/>
                <w:color w:val="000000"/>
                <w:sz w:val="20"/>
                <w:szCs w:val="20"/>
                <w:vertAlign w:val="superscript"/>
              </w:rPr>
            </w:pPr>
            <w:r w:rsidRPr="001677F9">
              <w:rPr>
                <w:rFonts w:ascii="Arial Narrow" w:hAnsi="Arial Narrow" w:cs="Times New Roman"/>
                <w:color w:val="000000"/>
                <w:sz w:val="20"/>
                <w:szCs w:val="20"/>
              </w:rPr>
              <w:t>$</w:t>
            </w:r>
            <w:r w:rsidR="00D42DC9" w:rsidRPr="00D42DC9">
              <w:rPr>
                <w:rFonts w:ascii="Arial Narrow" w:hAnsi="Arial Narrow" w:cs="Times New Roman"/>
                <w:color w:val="000000"/>
                <w:sz w:val="20"/>
                <w:szCs w:val="20"/>
                <w:shd w:val="solid" w:color="000000" w:fill="000000"/>
                <w14:textFill>
                  <w14:solidFill>
                    <w14:srgbClr w14:val="000000">
                      <w14:alpha w14:val="100000"/>
                    </w14:srgbClr>
                  </w14:solidFill>
                </w14:textFill>
              </w:rPr>
              <w:t>|</w:t>
            </w:r>
            <w:r w:rsidR="00845EF3">
              <w:rPr>
                <w:rFonts w:ascii="Arial Narrow" w:hAnsi="Arial Narrow" w:cs="Times New Roman"/>
                <w:color w:val="000000"/>
                <w:sz w:val="20"/>
                <w:szCs w:val="20"/>
                <w:vertAlign w:val="superscript"/>
              </w:rPr>
              <w:t>1</w:t>
            </w:r>
          </w:p>
        </w:tc>
      </w:tr>
      <w:tr w:rsidR="00980351" w:rsidRPr="001677F9" w14:paraId="2CC7F5F1" w14:textId="77777777" w:rsidTr="00AD1DC3">
        <w:trPr>
          <w:trHeight w:val="17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8CEF60" w14:textId="77777777" w:rsidR="00980351" w:rsidRPr="001677F9" w:rsidRDefault="00980351" w:rsidP="00AD1DC3">
            <w:pPr>
              <w:jc w:val="left"/>
              <w:rPr>
                <w:rFonts w:ascii="Arial Narrow" w:hAnsi="Arial Narrow" w:cs="Times New Roman"/>
                <w:b/>
                <w:bCs/>
                <w:iCs/>
                <w:color w:val="000000"/>
                <w:sz w:val="20"/>
                <w:szCs w:val="20"/>
              </w:rPr>
            </w:pPr>
            <w:r w:rsidRPr="001677F9">
              <w:rPr>
                <w:rFonts w:ascii="Arial Narrow" w:hAnsi="Arial Narrow" w:cs="Times New Roman"/>
                <w:b/>
                <w:bCs/>
                <w:iCs/>
                <w:color w:val="000000"/>
                <w:sz w:val="20"/>
                <w:szCs w:val="20"/>
              </w:rPr>
              <w:t xml:space="preserve"> All costs per QALY at 30 years</w:t>
            </w:r>
          </w:p>
        </w:tc>
      </w:tr>
      <w:tr w:rsidR="00980351" w:rsidRPr="001677F9" w14:paraId="1A14FD9C" w14:textId="77777777" w:rsidTr="00D42DC9">
        <w:trPr>
          <w:trHeight w:val="176"/>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E32DDA5" w14:textId="391B9486" w:rsidR="00980351" w:rsidRPr="001677F9" w:rsidRDefault="00980351" w:rsidP="00AD1DC3">
            <w:pPr>
              <w:jc w:val="left"/>
              <w:rPr>
                <w:rFonts w:ascii="Arial Narrow" w:hAnsi="Arial Narrow" w:cs="Times New Roman"/>
                <w:iCs/>
                <w:color w:val="000000"/>
                <w:sz w:val="20"/>
                <w:szCs w:val="20"/>
              </w:rPr>
            </w:pPr>
            <w:r w:rsidRPr="001677F9">
              <w:rPr>
                <w:rFonts w:ascii="Arial Narrow" w:hAnsi="Arial Narrow" w:cs="Times New Roman"/>
                <w:iCs/>
                <w:color w:val="000000"/>
                <w:sz w:val="20"/>
                <w:szCs w:val="20"/>
              </w:rPr>
              <w:t>Costs</w:t>
            </w:r>
            <w:r w:rsidR="00F941CA">
              <w:rPr>
                <w:rFonts w:ascii="Arial Narrow" w:hAnsi="Arial Narrow" w:cs="Times New Roman"/>
                <w:iCs/>
                <w:color w:val="000000"/>
                <w:sz w:val="20"/>
                <w:szCs w:val="20"/>
              </w:rPr>
              <w:t xml:space="preserve"> ($)</w:t>
            </w:r>
          </w:p>
        </w:tc>
        <w:tc>
          <w:tcPr>
            <w:tcW w:w="1250" w:type="pct"/>
            <w:tcBorders>
              <w:top w:val="nil"/>
              <w:left w:val="nil"/>
              <w:bottom w:val="single" w:sz="4" w:space="0" w:color="auto"/>
              <w:right w:val="single" w:sz="4" w:space="0" w:color="auto"/>
            </w:tcBorders>
            <w:shd w:val="solid" w:color="000000" w:fill="000000"/>
            <w:noWrap/>
            <w:vAlign w:val="center"/>
            <w:hideMark/>
          </w:tcPr>
          <w:p w14:paraId="506DB42B" w14:textId="123D67E1" w:rsidR="00980351" w:rsidRPr="001677F9" w:rsidRDefault="00D42DC9" w:rsidP="00AD1DC3">
            <w:pPr>
              <w:jc w:val="center"/>
              <w:rPr>
                <w:rFonts w:ascii="Arial Narrow" w:hAnsi="Arial Narrow" w:cs="Times New Roman"/>
                <w:color w:val="000000"/>
                <w:sz w:val="20"/>
                <w:szCs w:val="20"/>
              </w:rPr>
            </w:pPr>
            <w:r w:rsidRPr="00D42DC9">
              <w:rPr>
                <w:rFonts w:ascii="Arial Narrow" w:hAnsi="Arial Narrow" w:cs="Times New Roman"/>
                <w:color w:val="000000"/>
                <w:sz w:val="20"/>
                <w:szCs w:val="20"/>
                <w14:textFill>
                  <w14:solidFill>
                    <w14:srgbClr w14:val="000000">
                      <w14:alpha w14:val="100000"/>
                    </w14:srgbClr>
                  </w14:solidFill>
                </w14:textFill>
              </w:rPr>
              <w:t>|</w:t>
            </w:r>
          </w:p>
        </w:tc>
        <w:tc>
          <w:tcPr>
            <w:tcW w:w="1250" w:type="pct"/>
            <w:tcBorders>
              <w:top w:val="single" w:sz="4" w:space="0" w:color="auto"/>
              <w:left w:val="nil"/>
              <w:bottom w:val="single" w:sz="4" w:space="0" w:color="auto"/>
              <w:right w:val="single" w:sz="4" w:space="0" w:color="auto"/>
            </w:tcBorders>
            <w:shd w:val="solid" w:color="000000" w:fill="000000"/>
            <w:vAlign w:val="center"/>
            <w:hideMark/>
          </w:tcPr>
          <w:p w14:paraId="1BA5BC6D" w14:textId="5D964CB7" w:rsidR="00980351" w:rsidRPr="001677F9" w:rsidRDefault="00D42DC9" w:rsidP="00AD1DC3">
            <w:pPr>
              <w:jc w:val="center"/>
              <w:rPr>
                <w:rFonts w:ascii="Arial Narrow" w:hAnsi="Arial Narrow" w:cs="Times New Roman"/>
                <w:iCs/>
                <w:color w:val="000000"/>
                <w:sz w:val="20"/>
                <w:szCs w:val="20"/>
              </w:rPr>
            </w:pPr>
            <w:r w:rsidRPr="00D42DC9">
              <w:rPr>
                <w:rFonts w:ascii="Arial Narrow" w:hAnsi="Arial Narrow" w:cs="Times New Roman"/>
                <w:iCs/>
                <w:color w:val="000000"/>
                <w:sz w:val="20"/>
                <w:szCs w:val="20"/>
                <w14:textFill>
                  <w14:solidFill>
                    <w14:srgbClr w14:val="000000">
                      <w14:alpha w14:val="100000"/>
                    </w14:srgbClr>
                  </w14:solidFill>
                </w14:textFill>
              </w:rPr>
              <w:t>|</w:t>
            </w:r>
          </w:p>
        </w:tc>
        <w:tc>
          <w:tcPr>
            <w:tcW w:w="1250" w:type="pct"/>
            <w:tcBorders>
              <w:top w:val="nil"/>
              <w:left w:val="nil"/>
              <w:bottom w:val="single" w:sz="4" w:space="0" w:color="auto"/>
              <w:right w:val="single" w:sz="4" w:space="0" w:color="auto"/>
            </w:tcBorders>
            <w:shd w:val="solid" w:color="000000" w:fill="000000"/>
            <w:noWrap/>
            <w:vAlign w:val="center"/>
            <w:hideMark/>
          </w:tcPr>
          <w:p w14:paraId="403A5D2A" w14:textId="045B2105" w:rsidR="00980351" w:rsidRPr="001677F9" w:rsidRDefault="00D42DC9" w:rsidP="00AD1DC3">
            <w:pPr>
              <w:jc w:val="center"/>
              <w:rPr>
                <w:rFonts w:ascii="Arial Narrow" w:hAnsi="Arial Narrow" w:cs="Times New Roman"/>
                <w:color w:val="000000"/>
                <w:sz w:val="20"/>
                <w:szCs w:val="20"/>
              </w:rPr>
            </w:pPr>
            <w:r w:rsidRPr="00D42DC9">
              <w:rPr>
                <w:rFonts w:ascii="Arial Narrow" w:hAnsi="Arial Narrow" w:cs="Times New Roman"/>
                <w:color w:val="000000"/>
                <w:sz w:val="20"/>
                <w:szCs w:val="20"/>
                <w14:textFill>
                  <w14:solidFill>
                    <w14:srgbClr w14:val="000000">
                      <w14:alpha w14:val="100000"/>
                    </w14:srgbClr>
                  </w14:solidFill>
                </w14:textFill>
              </w:rPr>
              <w:t>|</w:t>
            </w:r>
          </w:p>
        </w:tc>
      </w:tr>
      <w:tr w:rsidR="00980351" w:rsidRPr="001677F9" w14:paraId="1A44D7C9" w14:textId="77777777" w:rsidTr="00AD1DC3">
        <w:trPr>
          <w:trHeight w:val="176"/>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2520BFC" w14:textId="77777777" w:rsidR="00980351" w:rsidRPr="001677F9" w:rsidRDefault="00980351" w:rsidP="00AD1DC3">
            <w:pPr>
              <w:jc w:val="left"/>
              <w:rPr>
                <w:rFonts w:ascii="Arial Narrow" w:hAnsi="Arial Narrow" w:cs="Times New Roman"/>
                <w:iCs/>
                <w:color w:val="000000"/>
                <w:sz w:val="20"/>
                <w:szCs w:val="20"/>
              </w:rPr>
            </w:pPr>
            <w:r w:rsidRPr="001677F9">
              <w:rPr>
                <w:rFonts w:ascii="Arial Narrow" w:hAnsi="Arial Narrow" w:cs="Times New Roman"/>
                <w:iCs/>
                <w:color w:val="000000"/>
                <w:sz w:val="20"/>
                <w:szCs w:val="20"/>
              </w:rPr>
              <w:t>QALYs</w:t>
            </w:r>
          </w:p>
        </w:tc>
        <w:tc>
          <w:tcPr>
            <w:tcW w:w="1250" w:type="pct"/>
            <w:tcBorders>
              <w:top w:val="nil"/>
              <w:left w:val="nil"/>
              <w:bottom w:val="single" w:sz="4" w:space="0" w:color="auto"/>
              <w:right w:val="single" w:sz="4" w:space="0" w:color="auto"/>
            </w:tcBorders>
            <w:shd w:val="clear" w:color="auto" w:fill="auto"/>
            <w:noWrap/>
            <w:vAlign w:val="center"/>
            <w:hideMark/>
          </w:tcPr>
          <w:p w14:paraId="10A292E0" w14:textId="77777777" w:rsidR="00980351" w:rsidRPr="001677F9" w:rsidRDefault="00980351" w:rsidP="00AD1DC3">
            <w:pPr>
              <w:jc w:val="center"/>
              <w:rPr>
                <w:rFonts w:ascii="Arial Narrow" w:hAnsi="Arial Narrow" w:cs="Times New Roman"/>
                <w:color w:val="000000"/>
                <w:sz w:val="20"/>
                <w:szCs w:val="20"/>
              </w:rPr>
            </w:pPr>
            <w:r w:rsidRPr="001677F9">
              <w:rPr>
                <w:rFonts w:ascii="Arial Narrow" w:hAnsi="Arial Narrow" w:cs="Times New Roman"/>
                <w:color w:val="000000"/>
                <w:sz w:val="20"/>
                <w:szCs w:val="20"/>
              </w:rPr>
              <w:t>4.772</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47E94410" w14:textId="77777777" w:rsidR="00980351" w:rsidRPr="001677F9" w:rsidRDefault="00980351" w:rsidP="00AD1DC3">
            <w:pPr>
              <w:jc w:val="center"/>
              <w:rPr>
                <w:rFonts w:ascii="Arial Narrow" w:hAnsi="Arial Narrow" w:cs="Times New Roman"/>
                <w:iCs/>
                <w:color w:val="000000"/>
                <w:sz w:val="20"/>
                <w:szCs w:val="20"/>
              </w:rPr>
            </w:pPr>
            <w:r w:rsidRPr="001677F9">
              <w:rPr>
                <w:rFonts w:ascii="Arial Narrow" w:hAnsi="Arial Narrow" w:cs="Times New Roman"/>
                <w:iCs/>
                <w:color w:val="000000"/>
                <w:sz w:val="20"/>
                <w:szCs w:val="20"/>
              </w:rPr>
              <w:t>4.705</w:t>
            </w:r>
          </w:p>
        </w:tc>
        <w:tc>
          <w:tcPr>
            <w:tcW w:w="1250" w:type="pct"/>
            <w:tcBorders>
              <w:top w:val="nil"/>
              <w:left w:val="nil"/>
              <w:bottom w:val="single" w:sz="4" w:space="0" w:color="auto"/>
              <w:right w:val="single" w:sz="4" w:space="0" w:color="auto"/>
            </w:tcBorders>
            <w:shd w:val="clear" w:color="auto" w:fill="auto"/>
            <w:noWrap/>
            <w:vAlign w:val="center"/>
            <w:hideMark/>
          </w:tcPr>
          <w:p w14:paraId="5AE4E57D" w14:textId="77777777" w:rsidR="00980351" w:rsidRPr="001677F9" w:rsidRDefault="00980351" w:rsidP="00AD1DC3">
            <w:pPr>
              <w:jc w:val="center"/>
              <w:rPr>
                <w:rFonts w:ascii="Arial Narrow" w:hAnsi="Arial Narrow" w:cs="Times New Roman"/>
                <w:color w:val="000000"/>
                <w:sz w:val="20"/>
                <w:szCs w:val="20"/>
              </w:rPr>
            </w:pPr>
            <w:r w:rsidRPr="001677F9">
              <w:rPr>
                <w:rFonts w:ascii="Arial Narrow" w:hAnsi="Arial Narrow" w:cs="Times New Roman"/>
                <w:color w:val="000000"/>
                <w:sz w:val="20"/>
                <w:szCs w:val="20"/>
              </w:rPr>
              <w:t>0.067</w:t>
            </w:r>
          </w:p>
        </w:tc>
      </w:tr>
      <w:tr w:rsidR="00980351" w:rsidRPr="001677F9" w14:paraId="3542C54B" w14:textId="77777777" w:rsidTr="00AD1DC3">
        <w:trPr>
          <w:trHeight w:val="176"/>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16F8A8" w14:textId="77777777" w:rsidR="00980351" w:rsidRPr="001677F9" w:rsidRDefault="00980351" w:rsidP="00AD1DC3">
            <w:pPr>
              <w:jc w:val="left"/>
              <w:rPr>
                <w:rFonts w:ascii="Arial Narrow" w:hAnsi="Arial Narrow" w:cs="Times New Roman"/>
                <w:iCs/>
                <w:color w:val="000000"/>
                <w:sz w:val="20"/>
                <w:szCs w:val="20"/>
              </w:rPr>
            </w:pPr>
            <w:r w:rsidRPr="001677F9">
              <w:rPr>
                <w:rFonts w:ascii="Arial Narrow" w:hAnsi="Arial Narrow" w:cs="Times New Roman"/>
                <w:iCs/>
                <w:color w:val="000000"/>
                <w:sz w:val="20"/>
                <w:szCs w:val="20"/>
              </w:rPr>
              <w:t>Incremental cost per QALY gained</w:t>
            </w:r>
          </w:p>
        </w:tc>
        <w:tc>
          <w:tcPr>
            <w:tcW w:w="1250" w:type="pct"/>
            <w:tcBorders>
              <w:top w:val="nil"/>
              <w:left w:val="nil"/>
              <w:bottom w:val="single" w:sz="4" w:space="0" w:color="auto"/>
              <w:right w:val="single" w:sz="4" w:space="0" w:color="auto"/>
            </w:tcBorders>
            <w:shd w:val="clear" w:color="auto" w:fill="auto"/>
            <w:noWrap/>
            <w:vAlign w:val="center"/>
            <w:hideMark/>
          </w:tcPr>
          <w:p w14:paraId="324E3F8A" w14:textId="77777777" w:rsidR="00980351" w:rsidRPr="001677F9" w:rsidRDefault="00980351" w:rsidP="00AD1DC3">
            <w:pPr>
              <w:jc w:val="center"/>
              <w:rPr>
                <w:rFonts w:ascii="Arial Narrow" w:hAnsi="Arial Narrow" w:cs="Times New Roman"/>
                <w:color w:val="000000"/>
                <w:sz w:val="20"/>
                <w:szCs w:val="20"/>
              </w:rPr>
            </w:pPr>
          </w:p>
        </w:tc>
        <w:tc>
          <w:tcPr>
            <w:tcW w:w="1250" w:type="pct"/>
            <w:tcBorders>
              <w:top w:val="nil"/>
              <w:left w:val="nil"/>
              <w:bottom w:val="single" w:sz="4" w:space="0" w:color="auto"/>
              <w:right w:val="single" w:sz="4" w:space="0" w:color="auto"/>
            </w:tcBorders>
            <w:shd w:val="clear" w:color="auto" w:fill="auto"/>
            <w:vAlign w:val="center"/>
          </w:tcPr>
          <w:p w14:paraId="7EE86A4B" w14:textId="24B5FF24" w:rsidR="00980351" w:rsidRPr="00845EF3" w:rsidRDefault="00980351" w:rsidP="00AD1DC3">
            <w:pPr>
              <w:jc w:val="center"/>
              <w:rPr>
                <w:rFonts w:ascii="Arial Narrow" w:hAnsi="Arial Narrow" w:cs="Times New Roman"/>
                <w:color w:val="000000"/>
                <w:sz w:val="20"/>
                <w:szCs w:val="20"/>
                <w:vertAlign w:val="superscript"/>
              </w:rPr>
            </w:pPr>
            <w:r w:rsidRPr="001677F9">
              <w:rPr>
                <w:rFonts w:ascii="Arial Narrow" w:hAnsi="Arial Narrow" w:cs="Times New Roman"/>
                <w:color w:val="000000"/>
                <w:sz w:val="20"/>
                <w:szCs w:val="20"/>
              </w:rPr>
              <w:t>$</w:t>
            </w:r>
            <w:r w:rsidR="00D42DC9" w:rsidRPr="00D42DC9">
              <w:rPr>
                <w:rFonts w:ascii="Arial Narrow" w:hAnsi="Arial Narrow" w:cs="Times New Roman"/>
                <w:color w:val="000000"/>
                <w:sz w:val="20"/>
                <w:szCs w:val="20"/>
                <w:shd w:val="solid" w:color="000000" w:fill="000000"/>
                <w14:textFill>
                  <w14:solidFill>
                    <w14:srgbClr w14:val="000000">
                      <w14:alpha w14:val="100000"/>
                    </w14:srgbClr>
                  </w14:solidFill>
                </w14:textFill>
              </w:rPr>
              <w:t>|</w:t>
            </w:r>
            <w:r w:rsidR="00845EF3">
              <w:rPr>
                <w:rFonts w:ascii="Arial Narrow" w:hAnsi="Arial Narrow" w:cs="Times New Roman"/>
                <w:color w:val="000000"/>
                <w:sz w:val="20"/>
                <w:szCs w:val="20"/>
                <w:vertAlign w:val="superscript"/>
              </w:rPr>
              <w:t>1</w:t>
            </w:r>
          </w:p>
        </w:tc>
      </w:tr>
    </w:tbl>
    <w:p w14:paraId="5D97A66F" w14:textId="77777777" w:rsidR="00980351" w:rsidRPr="001677F9" w:rsidRDefault="00980351" w:rsidP="00980351">
      <w:pPr>
        <w:pStyle w:val="FooterTableFigure"/>
      </w:pPr>
      <w:r w:rsidRPr="001677F9">
        <w:t xml:space="preserve">Source: Table 1.8-1 p41, Appendix A.1 of the submission </w:t>
      </w:r>
    </w:p>
    <w:p w14:paraId="1DD8E883" w14:textId="44F7293A" w:rsidR="00980351" w:rsidRPr="001677F9" w:rsidRDefault="004A28D8" w:rsidP="00980351">
      <w:pPr>
        <w:pStyle w:val="FooterTableFigure"/>
      </w:pPr>
      <w:r w:rsidRPr="001677F9">
        <w:t xml:space="preserve">AE = adverse event; CV = cardiovascular; </w:t>
      </w:r>
      <w:r w:rsidR="00980351" w:rsidRPr="001677F9">
        <w:t xml:space="preserve">HHF = hospitalisation for heart failure; </w:t>
      </w:r>
      <w:r w:rsidR="00980351" w:rsidRPr="001677F9">
        <w:rPr>
          <w:rStyle w:val="normaltextrun"/>
          <w:sz w:val="20"/>
          <w:szCs w:val="20"/>
        </w:rPr>
        <w:t>I</w:t>
      </w:r>
      <w:r w:rsidR="00980351" w:rsidRPr="001677F9">
        <w:t>CER = incremental cost-effectiveness ratio; LY= life year; QALY = quality-adjusted; SOC = standard of care; UHFV = urgent heart failure visit</w:t>
      </w:r>
      <w:r w:rsidRPr="001677F9">
        <w:t>.</w:t>
      </w:r>
    </w:p>
    <w:p w14:paraId="12E66FDF" w14:textId="77777777" w:rsidR="00F941CA" w:rsidRPr="00845EF3" w:rsidRDefault="00F941CA" w:rsidP="00F941CA">
      <w:pPr>
        <w:rPr>
          <w:rFonts w:ascii="Arial Narrow" w:hAnsi="Arial Narrow"/>
          <w:i/>
          <w:sz w:val="18"/>
          <w:szCs w:val="18"/>
        </w:rPr>
      </w:pPr>
      <w:r w:rsidRPr="00845EF3">
        <w:rPr>
          <w:rFonts w:ascii="Arial Narrow" w:hAnsi="Arial Narrow"/>
          <w:i/>
          <w:sz w:val="18"/>
          <w:szCs w:val="18"/>
        </w:rPr>
        <w:t xml:space="preserve">The redacted values correspond to the following ranges: </w:t>
      </w:r>
    </w:p>
    <w:p w14:paraId="48774382" w14:textId="0883C0BE" w:rsidR="00F941CA" w:rsidRPr="00845EF3" w:rsidRDefault="00F941CA" w:rsidP="00F941CA">
      <w:pPr>
        <w:ind w:right="147"/>
        <w:rPr>
          <w:rFonts w:ascii="Arial Narrow" w:hAnsi="Arial Narrow"/>
          <w:i/>
          <w:color w:val="333333"/>
          <w:sz w:val="18"/>
          <w:szCs w:val="18"/>
        </w:rPr>
      </w:pPr>
      <w:r w:rsidRPr="00845EF3">
        <w:rPr>
          <w:rFonts w:ascii="Arial Narrow" w:hAnsi="Arial Narrow"/>
          <w:i/>
          <w:color w:val="333333"/>
          <w:sz w:val="18"/>
          <w:szCs w:val="18"/>
          <w:vertAlign w:val="superscript"/>
        </w:rPr>
        <w:t>1</w:t>
      </w:r>
      <w:r w:rsidRPr="00845EF3">
        <w:rPr>
          <w:rFonts w:ascii="Arial Narrow" w:hAnsi="Arial Narrow"/>
          <w:i/>
          <w:color w:val="333333"/>
          <w:sz w:val="18"/>
          <w:szCs w:val="18"/>
        </w:rPr>
        <w:t>$15,000 to &lt; $25,000</w:t>
      </w:r>
    </w:p>
    <w:p w14:paraId="41B840E6" w14:textId="0AB75FCE" w:rsidR="002B3F93" w:rsidRPr="00845EF3" w:rsidRDefault="002B3F93" w:rsidP="002B3F93">
      <w:pPr>
        <w:ind w:right="147"/>
        <w:rPr>
          <w:rFonts w:ascii="Arial Narrow" w:hAnsi="Arial Narrow"/>
          <w:i/>
          <w:color w:val="333333"/>
          <w:sz w:val="18"/>
          <w:szCs w:val="18"/>
        </w:rPr>
      </w:pPr>
      <w:r w:rsidRPr="00845EF3">
        <w:rPr>
          <w:rFonts w:ascii="Arial Narrow" w:hAnsi="Arial Narrow"/>
          <w:i/>
          <w:color w:val="333333"/>
          <w:sz w:val="18"/>
          <w:szCs w:val="18"/>
          <w:vertAlign w:val="superscript"/>
        </w:rPr>
        <w:t>2</w:t>
      </w:r>
      <w:r w:rsidRPr="00845EF3">
        <w:rPr>
          <w:rFonts w:ascii="Arial Narrow" w:hAnsi="Arial Narrow"/>
          <w:i/>
          <w:color w:val="333333"/>
          <w:sz w:val="18"/>
          <w:szCs w:val="18"/>
        </w:rPr>
        <w:t>$355,000 to &lt; $455,000</w:t>
      </w:r>
    </w:p>
    <w:p w14:paraId="4C3003AE" w14:textId="40DABD4E" w:rsidR="002B3F93" w:rsidRPr="00845EF3" w:rsidRDefault="002B3F93" w:rsidP="002B3F93">
      <w:pPr>
        <w:ind w:right="147"/>
        <w:rPr>
          <w:rFonts w:ascii="Arial Narrow" w:hAnsi="Arial Narrow"/>
          <w:i/>
          <w:color w:val="333333"/>
          <w:sz w:val="18"/>
          <w:szCs w:val="18"/>
        </w:rPr>
      </w:pPr>
      <w:r w:rsidRPr="00845EF3">
        <w:rPr>
          <w:rFonts w:ascii="Arial Narrow" w:hAnsi="Arial Narrow"/>
          <w:i/>
          <w:color w:val="333333"/>
          <w:sz w:val="18"/>
          <w:szCs w:val="18"/>
          <w:vertAlign w:val="superscript"/>
        </w:rPr>
        <w:t>3</w:t>
      </w:r>
      <w:r w:rsidRPr="00845EF3">
        <w:rPr>
          <w:rFonts w:ascii="Arial Narrow" w:hAnsi="Arial Narrow"/>
          <w:i/>
          <w:color w:val="333333"/>
          <w:sz w:val="18"/>
          <w:szCs w:val="18"/>
        </w:rPr>
        <w:t>$75,000 to &lt; $95,000</w:t>
      </w:r>
    </w:p>
    <w:p w14:paraId="10FEA3DB" w14:textId="4AF4689B" w:rsidR="002B3F93" w:rsidRPr="00845EF3" w:rsidRDefault="002B3F93" w:rsidP="002B3F93">
      <w:pPr>
        <w:ind w:right="147"/>
        <w:rPr>
          <w:rFonts w:ascii="Arial Narrow" w:hAnsi="Arial Narrow"/>
          <w:i/>
          <w:color w:val="333333"/>
          <w:sz w:val="18"/>
          <w:szCs w:val="18"/>
        </w:rPr>
      </w:pPr>
      <w:r w:rsidRPr="00845EF3">
        <w:rPr>
          <w:rFonts w:ascii="Arial Narrow" w:hAnsi="Arial Narrow"/>
          <w:i/>
          <w:color w:val="333333"/>
          <w:sz w:val="18"/>
          <w:szCs w:val="18"/>
          <w:vertAlign w:val="superscript"/>
        </w:rPr>
        <w:t>4</w:t>
      </w:r>
      <w:r w:rsidRPr="00845EF3">
        <w:rPr>
          <w:rFonts w:ascii="Arial Narrow" w:hAnsi="Arial Narrow"/>
          <w:i/>
          <w:color w:val="333333"/>
          <w:sz w:val="18"/>
          <w:szCs w:val="18"/>
        </w:rPr>
        <w:t>$25,000 to &lt; $35,000</w:t>
      </w:r>
    </w:p>
    <w:p w14:paraId="0F4DE2DA" w14:textId="77777777" w:rsidR="00F941CA" w:rsidRPr="001677F9" w:rsidRDefault="00F941CA" w:rsidP="00980351">
      <w:pPr>
        <w:pStyle w:val="FooterTableFigure"/>
        <w:rPr>
          <w:szCs w:val="18"/>
        </w:rPr>
      </w:pPr>
    </w:p>
    <w:p w14:paraId="40C9B67B" w14:textId="127E0D7A" w:rsidR="00980351" w:rsidRPr="001677F9" w:rsidRDefault="00980351" w:rsidP="00980351">
      <w:pPr>
        <w:pStyle w:val="COMexecsumnumberedpara"/>
        <w:numPr>
          <w:ilvl w:val="1"/>
          <w:numId w:val="1"/>
        </w:numPr>
      </w:pPr>
      <w:r w:rsidRPr="001677F9">
        <w:lastRenderedPageBreak/>
        <w:t xml:space="preserve">Based on the modelled economic evaluation, the incremental cost per QALY gained for the use of dapagliflozin plus SOC compared to SOC alone for the treatment of HF with LVEF &gt;40% was </w:t>
      </w:r>
      <w:r w:rsidR="00ED33BD" w:rsidRPr="00ED33BD">
        <w:t>$15,000</w:t>
      </w:r>
      <w:r w:rsidR="002A355D">
        <w:t> </w:t>
      </w:r>
      <w:r w:rsidR="00ED33BD" w:rsidRPr="00ED33BD">
        <w:t>to</w:t>
      </w:r>
      <w:r w:rsidR="002A355D">
        <w:t> </w:t>
      </w:r>
      <w:r w:rsidR="00ED33BD" w:rsidRPr="00ED33BD">
        <w:t>&lt;</w:t>
      </w:r>
      <w:r w:rsidR="002A355D">
        <w:t> </w:t>
      </w:r>
      <w:r w:rsidR="00ED33BD" w:rsidRPr="00ED33BD">
        <w:t>$25,000</w:t>
      </w:r>
      <w:r w:rsidRPr="001677F9">
        <w:t xml:space="preserve">. </w:t>
      </w:r>
    </w:p>
    <w:p w14:paraId="156A6B9F" w14:textId="77777777" w:rsidR="00980351" w:rsidRPr="001677F9" w:rsidRDefault="00980351" w:rsidP="00980351">
      <w:pPr>
        <w:pStyle w:val="3-BodyText"/>
      </w:pPr>
      <w:r w:rsidRPr="001677F9">
        <w:t>On average, for every HF patient with LVEF &gt;40% treated with dapagliflozin plus SOC versus SOC alone and followed up for 30 years, the (undiscounted) economic model estimated that there would be:</w:t>
      </w:r>
    </w:p>
    <w:p w14:paraId="2EAF6B8F" w14:textId="518A136E" w:rsidR="00980351" w:rsidRPr="001677F9" w:rsidRDefault="00980351" w:rsidP="00AA7422">
      <w:pPr>
        <w:pStyle w:val="3-BodyText"/>
        <w:numPr>
          <w:ilvl w:val="0"/>
          <w:numId w:val="9"/>
        </w:numPr>
        <w:spacing w:after="0"/>
        <w:ind w:left="1077" w:hanging="357"/>
      </w:pPr>
      <w:r w:rsidRPr="001677F9">
        <w:t>Additional dapagliflozin costs of $</w:t>
      </w:r>
      <w:proofErr w:type="gramStart"/>
      <w:r w:rsidR="00D42DC9" w:rsidRPr="00D06FC9">
        <w:rPr>
          <w:color w:val="000000"/>
          <w:w w:val="15"/>
          <w:shd w:val="solid" w:color="000000" w:fill="000000"/>
          <w:fitText w:val="-20" w:id="-1168360701"/>
          <w14:textFill>
            <w14:solidFill>
              <w14:srgbClr w14:val="000000">
                <w14:alpha w14:val="100000"/>
              </w14:srgbClr>
            </w14:solidFill>
          </w14:textFill>
        </w:rPr>
        <w:t xml:space="preserve">|  </w:t>
      </w:r>
      <w:r w:rsidR="00D42DC9" w:rsidRPr="00D06FC9">
        <w:rPr>
          <w:color w:val="000000"/>
          <w:spacing w:val="-69"/>
          <w:w w:val="15"/>
          <w:shd w:val="solid" w:color="000000" w:fill="000000"/>
          <w:fitText w:val="-20" w:id="-1168360701"/>
          <w14:textFill>
            <w14:solidFill>
              <w14:srgbClr w14:val="000000">
                <w14:alpha w14:val="100000"/>
              </w14:srgbClr>
            </w14:solidFill>
          </w14:textFill>
        </w:rPr>
        <w:t>|</w:t>
      </w:r>
      <w:proofErr w:type="gramEnd"/>
      <w:r w:rsidRPr="001677F9">
        <w:t xml:space="preserve"> and a reduction in costs of treating adverse events of $912.</w:t>
      </w:r>
    </w:p>
    <w:p w14:paraId="1ABE1AA7" w14:textId="6CB7E5B0" w:rsidR="00980351" w:rsidRPr="001677F9" w:rsidRDefault="00980351" w:rsidP="00AA7422">
      <w:pPr>
        <w:pStyle w:val="3-BodyText"/>
        <w:numPr>
          <w:ilvl w:val="0"/>
          <w:numId w:val="9"/>
        </w:numPr>
        <w:spacing w:after="0"/>
        <w:ind w:left="1077" w:hanging="357"/>
      </w:pPr>
      <w:r w:rsidRPr="001677F9">
        <w:t xml:space="preserve">Additional survival of 0.82 months, associated with additional disease management costs $218 and a reduction in the costs associated with </w:t>
      </w:r>
      <w:r w:rsidR="004A28D8" w:rsidRPr="001677F9">
        <w:t>CV</w:t>
      </w:r>
      <w:r w:rsidRPr="001677F9">
        <w:t xml:space="preserve"> death $199.</w:t>
      </w:r>
    </w:p>
    <w:p w14:paraId="0A113A02" w14:textId="77777777" w:rsidR="00980351" w:rsidRPr="001677F9" w:rsidRDefault="00980351" w:rsidP="00AA7422">
      <w:pPr>
        <w:pStyle w:val="3-BodyText"/>
        <w:numPr>
          <w:ilvl w:val="0"/>
          <w:numId w:val="9"/>
        </w:numPr>
        <w:spacing w:after="0"/>
        <w:ind w:left="1077" w:hanging="357"/>
      </w:pPr>
      <w:r w:rsidRPr="001677F9">
        <w:t>An additional 2.46 months spent in health states with higher quality of life (KCCQ-TSS quartiles 3 and 4), and 3.28 fewer months spent in health states with lower quality of life (KCCQ-TSS quartiles 1 and 2).</w:t>
      </w:r>
    </w:p>
    <w:p w14:paraId="51EB2130" w14:textId="77777777" w:rsidR="00980351" w:rsidRPr="001677F9" w:rsidRDefault="00980351" w:rsidP="00AA7422">
      <w:pPr>
        <w:pStyle w:val="3-BodyText"/>
        <w:numPr>
          <w:ilvl w:val="0"/>
          <w:numId w:val="9"/>
        </w:numPr>
        <w:spacing w:after="0"/>
        <w:ind w:left="1077" w:hanging="357"/>
      </w:pPr>
      <w:r w:rsidRPr="001677F9">
        <w:t>A reduction of 0.15 heart failure hospitalisations (15 events per 100 patients), which would be associated with a reduction in hospitalisation costs ($1,493), and improved quality of life.</w:t>
      </w:r>
    </w:p>
    <w:p w14:paraId="73A4F5D5" w14:textId="390BDDE9" w:rsidR="00980351" w:rsidRPr="001677F9" w:rsidRDefault="00980351" w:rsidP="00980351">
      <w:pPr>
        <w:pStyle w:val="3-BodyText"/>
      </w:pPr>
      <w:bookmarkStart w:id="64" w:name="_Toc22897646"/>
      <w:r w:rsidRPr="001677F9">
        <w:t xml:space="preserve">The results of key sensitivity analyses presented by the submission and the results of additional sensitivity analyses conducted during the evaluation are summarised in </w:t>
      </w:r>
      <w:r w:rsidR="00566673" w:rsidRPr="001677F9">
        <w:fldChar w:fldCharType="begin" w:fldLock="1"/>
      </w:r>
      <w:r w:rsidR="00566673" w:rsidRPr="001677F9">
        <w:instrText xml:space="preserve"> REF _Ref132377401 \h </w:instrText>
      </w:r>
      <w:r w:rsidR="00566673" w:rsidRPr="001677F9">
        <w:fldChar w:fldCharType="separate"/>
      </w:r>
      <w:r w:rsidR="002C43D4" w:rsidRPr="001677F9">
        <w:t>Table 12</w:t>
      </w:r>
      <w:r w:rsidR="00566673" w:rsidRPr="001677F9">
        <w:fldChar w:fldCharType="end"/>
      </w:r>
      <w:r w:rsidR="00566673" w:rsidRPr="001677F9">
        <w:t>.</w:t>
      </w:r>
    </w:p>
    <w:p w14:paraId="1A77DF2C" w14:textId="6A5A2EA6" w:rsidR="00980351" w:rsidRPr="001677F9" w:rsidRDefault="00566673" w:rsidP="00566673">
      <w:pPr>
        <w:pStyle w:val="Caption"/>
        <w:rPr>
          <w:b w:val="0"/>
          <w:bCs w:val="0"/>
          <w:szCs w:val="20"/>
        </w:rPr>
      </w:pPr>
      <w:bookmarkStart w:id="65" w:name="_Ref132377401"/>
      <w:r w:rsidRPr="001677F9">
        <w:t xml:space="preserve">Table </w:t>
      </w:r>
      <w:fldSimple w:instr=" SEQ Table \* ARABIC " w:fldLock="1">
        <w:r w:rsidR="002C43D4" w:rsidRPr="001677F9">
          <w:t>12</w:t>
        </w:r>
      </w:fldSimple>
      <w:bookmarkEnd w:id="65"/>
      <w:r w:rsidR="00980351" w:rsidRPr="001677F9">
        <w:rPr>
          <w:bCs w:val="0"/>
          <w:szCs w:val="20"/>
        </w:rPr>
        <w:t>: Results of sensitivity analyses</w:t>
      </w:r>
    </w:p>
    <w:tbl>
      <w:tblPr>
        <w:tblStyle w:val="TableGrid"/>
        <w:tblW w:w="0" w:type="auto"/>
        <w:tblCellMar>
          <w:left w:w="57" w:type="dxa"/>
          <w:right w:w="57" w:type="dxa"/>
        </w:tblCellMar>
        <w:tblLook w:val="04A0" w:firstRow="1" w:lastRow="0" w:firstColumn="1" w:lastColumn="0" w:noHBand="0" w:noVBand="1"/>
      </w:tblPr>
      <w:tblGrid>
        <w:gridCol w:w="2789"/>
        <w:gridCol w:w="1415"/>
        <w:gridCol w:w="1339"/>
        <w:gridCol w:w="1336"/>
        <w:gridCol w:w="2138"/>
      </w:tblGrid>
      <w:tr w:rsidR="00980351" w:rsidRPr="001677F9" w14:paraId="35EF410A" w14:textId="77777777" w:rsidTr="00AD1DC3">
        <w:trPr>
          <w:tblHeader/>
        </w:trPr>
        <w:tc>
          <w:tcPr>
            <w:tcW w:w="2789" w:type="dxa"/>
            <w:vAlign w:val="center"/>
          </w:tcPr>
          <w:p w14:paraId="03B958F4" w14:textId="77777777" w:rsidR="00980351" w:rsidRPr="001677F9" w:rsidRDefault="00980351" w:rsidP="00AD1DC3">
            <w:pPr>
              <w:pStyle w:val="COMTableheadingrow"/>
              <w:keepNext w:val="0"/>
              <w:rPr>
                <w:lang w:val="en-AU"/>
              </w:rPr>
            </w:pPr>
            <w:r w:rsidRPr="001677F9">
              <w:rPr>
                <w:lang w:val="en-AU"/>
              </w:rPr>
              <w:t>Analyses</w:t>
            </w:r>
          </w:p>
        </w:tc>
        <w:tc>
          <w:tcPr>
            <w:tcW w:w="1415" w:type="dxa"/>
            <w:vAlign w:val="center"/>
          </w:tcPr>
          <w:p w14:paraId="7896446E" w14:textId="77777777" w:rsidR="00980351" w:rsidRPr="001677F9" w:rsidRDefault="00980351" w:rsidP="00AD1DC3">
            <w:pPr>
              <w:pStyle w:val="COMTableheadingrow"/>
              <w:keepNext w:val="0"/>
              <w:jc w:val="center"/>
              <w:rPr>
                <w:lang w:val="en-AU"/>
              </w:rPr>
            </w:pPr>
            <w:r w:rsidRPr="001677F9">
              <w:rPr>
                <w:lang w:val="en-AU"/>
              </w:rPr>
              <w:t>Incremental cost</w:t>
            </w:r>
          </w:p>
        </w:tc>
        <w:tc>
          <w:tcPr>
            <w:tcW w:w="1339" w:type="dxa"/>
            <w:vAlign w:val="center"/>
          </w:tcPr>
          <w:p w14:paraId="37CC2E37" w14:textId="77777777" w:rsidR="00980351" w:rsidRPr="001677F9" w:rsidRDefault="00980351" w:rsidP="00AD1DC3">
            <w:pPr>
              <w:pStyle w:val="COMTableheadingrow"/>
              <w:keepNext w:val="0"/>
              <w:jc w:val="center"/>
              <w:rPr>
                <w:lang w:val="en-AU"/>
              </w:rPr>
            </w:pPr>
            <w:r w:rsidRPr="001677F9">
              <w:rPr>
                <w:lang w:val="en-AU"/>
              </w:rPr>
              <w:t>Incremental QALYs</w:t>
            </w:r>
          </w:p>
        </w:tc>
        <w:tc>
          <w:tcPr>
            <w:tcW w:w="1336" w:type="dxa"/>
            <w:vAlign w:val="center"/>
          </w:tcPr>
          <w:p w14:paraId="2F15D05E" w14:textId="77777777" w:rsidR="00980351" w:rsidRPr="001677F9" w:rsidRDefault="00980351" w:rsidP="00AD1DC3">
            <w:pPr>
              <w:pStyle w:val="COMTableheadingrow"/>
              <w:keepNext w:val="0"/>
              <w:jc w:val="center"/>
              <w:rPr>
                <w:lang w:val="en-AU"/>
              </w:rPr>
            </w:pPr>
            <w:r w:rsidRPr="001677F9">
              <w:rPr>
                <w:lang w:val="en-AU"/>
              </w:rPr>
              <w:t>ICER</w:t>
            </w:r>
          </w:p>
        </w:tc>
        <w:tc>
          <w:tcPr>
            <w:tcW w:w="2138" w:type="dxa"/>
            <w:vAlign w:val="center"/>
          </w:tcPr>
          <w:p w14:paraId="72E77E90" w14:textId="77777777" w:rsidR="00980351" w:rsidRPr="001677F9" w:rsidRDefault="00980351" w:rsidP="00AD1DC3">
            <w:pPr>
              <w:pStyle w:val="COMTableheadingrow"/>
              <w:keepNext w:val="0"/>
              <w:jc w:val="center"/>
              <w:rPr>
                <w:lang w:val="en-AU"/>
              </w:rPr>
            </w:pPr>
            <w:r w:rsidRPr="001677F9">
              <w:rPr>
                <w:lang w:val="en-AU"/>
              </w:rPr>
              <w:t>% change from base case</w:t>
            </w:r>
          </w:p>
        </w:tc>
      </w:tr>
      <w:tr w:rsidR="00980351" w:rsidRPr="001677F9" w14:paraId="71292D86" w14:textId="77777777" w:rsidTr="00AD1DC3">
        <w:tc>
          <w:tcPr>
            <w:tcW w:w="2789" w:type="dxa"/>
          </w:tcPr>
          <w:p w14:paraId="369EF7AC" w14:textId="77777777" w:rsidR="00980351" w:rsidRPr="001677F9" w:rsidRDefault="00980351" w:rsidP="00AD1DC3">
            <w:pPr>
              <w:pStyle w:val="COMTableheadingrow"/>
              <w:keepNext w:val="0"/>
              <w:rPr>
                <w:lang w:val="en-AU"/>
              </w:rPr>
            </w:pPr>
            <w:r w:rsidRPr="001677F9">
              <w:rPr>
                <w:lang w:val="en-AU"/>
              </w:rPr>
              <w:t>Base case</w:t>
            </w:r>
          </w:p>
        </w:tc>
        <w:tc>
          <w:tcPr>
            <w:tcW w:w="1415" w:type="dxa"/>
            <w:vAlign w:val="center"/>
          </w:tcPr>
          <w:p w14:paraId="0B904F90" w14:textId="6089E49D" w:rsidR="00980351" w:rsidRPr="001677F9" w:rsidRDefault="00980351" w:rsidP="00AD1DC3">
            <w:pPr>
              <w:pStyle w:val="COMTableheadingrow"/>
              <w:keepNext w:val="0"/>
              <w:jc w:val="center"/>
              <w:rPr>
                <w:lang w:val="en-AU"/>
              </w:rPr>
            </w:pPr>
            <w:r w:rsidRPr="001677F9">
              <w:rPr>
                <w:lang w:val="en-AU"/>
              </w:rPr>
              <w:t>$</w:t>
            </w:r>
            <w:r w:rsidR="00D42DC9" w:rsidRPr="00D42DC9">
              <w:rPr>
                <w:color w:val="000000"/>
                <w:shd w:val="solid" w:color="000000" w:fill="000000"/>
                <w:lang w:val="en-AU"/>
                <w14:textFill>
                  <w14:solidFill>
                    <w14:srgbClr w14:val="000000">
                      <w14:alpha w14:val="100000"/>
                    </w14:srgbClr>
                  </w14:solidFill>
                </w14:textFill>
              </w:rPr>
              <w:t>|</w:t>
            </w:r>
          </w:p>
        </w:tc>
        <w:tc>
          <w:tcPr>
            <w:tcW w:w="1339" w:type="dxa"/>
            <w:vAlign w:val="center"/>
          </w:tcPr>
          <w:p w14:paraId="3A490521" w14:textId="77777777" w:rsidR="00980351" w:rsidRPr="001677F9" w:rsidRDefault="00980351" w:rsidP="00AD1DC3">
            <w:pPr>
              <w:pStyle w:val="COMTableheadingrow"/>
              <w:keepNext w:val="0"/>
              <w:jc w:val="center"/>
              <w:rPr>
                <w:lang w:val="en-AU"/>
              </w:rPr>
            </w:pPr>
            <w:r w:rsidRPr="001677F9">
              <w:rPr>
                <w:lang w:val="en-AU"/>
              </w:rPr>
              <w:t>0.067</w:t>
            </w:r>
          </w:p>
        </w:tc>
        <w:tc>
          <w:tcPr>
            <w:tcW w:w="1336" w:type="dxa"/>
            <w:vAlign w:val="center"/>
          </w:tcPr>
          <w:p w14:paraId="1E569736" w14:textId="62779B2D" w:rsidR="00980351" w:rsidRPr="00881B9F" w:rsidRDefault="00980351" w:rsidP="00AD1DC3">
            <w:pPr>
              <w:pStyle w:val="COMTableheadingrow"/>
              <w:keepNext w:val="0"/>
              <w:jc w:val="center"/>
              <w:rPr>
                <w:b w:val="0"/>
                <w:bCs/>
                <w:vertAlign w:val="superscript"/>
                <w:lang w:val="en-AU"/>
              </w:rPr>
            </w:pPr>
            <w:r w:rsidRPr="001677F9">
              <w:rPr>
                <w:lang w:val="en-AU"/>
              </w:rPr>
              <w:t>$</w:t>
            </w:r>
            <w:r w:rsidR="00D42DC9" w:rsidRPr="00D42DC9">
              <w:rPr>
                <w:rFonts w:hint="eastAsia"/>
                <w:color w:val="000000"/>
                <w:w w:val="15"/>
                <w:shd w:val="solid" w:color="000000" w:fill="000000"/>
                <w:fitText w:val="60" w:id="-1168360700"/>
                <w:lang w:val="en-AU"/>
                <w14:textFill>
                  <w14:solidFill>
                    <w14:srgbClr w14:val="000000">
                      <w14:alpha w14:val="100000"/>
                    </w14:srgbClr>
                  </w14:solidFill>
                </w14:textFill>
              </w:rPr>
              <w:t xml:space="preserve">　</w:t>
            </w:r>
            <w:r w:rsidR="00D42DC9" w:rsidRPr="00D42DC9">
              <w:rPr>
                <w:color w:val="000000"/>
                <w:w w:val="15"/>
                <w:shd w:val="solid" w:color="000000" w:fill="000000"/>
                <w:fitText w:val="60" w:id="-1168360700"/>
                <w:lang w:val="en-AU"/>
                <w14:textFill>
                  <w14:solidFill>
                    <w14:srgbClr w14:val="000000">
                      <w14:alpha w14:val="100000"/>
                    </w14:srgbClr>
                  </w14:solidFill>
                </w14:textFill>
              </w:rPr>
              <w:t>|</w:t>
            </w:r>
            <w:r w:rsidR="00D42DC9" w:rsidRPr="00D42DC9">
              <w:rPr>
                <w:rFonts w:hint="eastAsia"/>
                <w:color w:val="000000"/>
                <w:spacing w:val="-15"/>
                <w:w w:val="15"/>
                <w:shd w:val="solid" w:color="000000" w:fill="000000"/>
                <w:fitText w:val="60" w:id="-1168360700"/>
                <w:lang w:val="en-AU"/>
                <w14:textFill>
                  <w14:solidFill>
                    <w14:srgbClr w14:val="000000">
                      <w14:alpha w14:val="100000"/>
                    </w14:srgbClr>
                  </w14:solidFill>
                </w14:textFill>
              </w:rPr>
              <w:t xml:space="preserve">　</w:t>
            </w:r>
            <w:r w:rsidR="00881B9F">
              <w:rPr>
                <w:b w:val="0"/>
                <w:bCs/>
                <w:vertAlign w:val="superscript"/>
                <w:lang w:val="en-AU"/>
              </w:rPr>
              <w:t>1</w:t>
            </w:r>
          </w:p>
        </w:tc>
        <w:tc>
          <w:tcPr>
            <w:tcW w:w="2138" w:type="dxa"/>
            <w:vAlign w:val="center"/>
          </w:tcPr>
          <w:p w14:paraId="7AF3AC62" w14:textId="77777777" w:rsidR="00980351" w:rsidRPr="001677F9" w:rsidRDefault="00980351" w:rsidP="00AD1DC3">
            <w:pPr>
              <w:pStyle w:val="COMTableheadingrow"/>
              <w:keepNext w:val="0"/>
              <w:jc w:val="center"/>
              <w:rPr>
                <w:lang w:val="en-AU"/>
              </w:rPr>
            </w:pPr>
            <w:r w:rsidRPr="001677F9">
              <w:rPr>
                <w:lang w:val="en-AU"/>
              </w:rPr>
              <w:t>-</w:t>
            </w:r>
          </w:p>
        </w:tc>
      </w:tr>
      <w:tr w:rsidR="00980351" w:rsidRPr="001677F9" w14:paraId="318A4AEB" w14:textId="77777777" w:rsidTr="00AD1DC3">
        <w:tc>
          <w:tcPr>
            <w:tcW w:w="9017" w:type="dxa"/>
            <w:gridSpan w:val="5"/>
          </w:tcPr>
          <w:p w14:paraId="53C46CAF" w14:textId="77777777" w:rsidR="00980351" w:rsidRPr="001677F9" w:rsidRDefault="00980351" w:rsidP="00AD1DC3">
            <w:pPr>
              <w:pStyle w:val="COMTableheadingrow"/>
              <w:keepNext w:val="0"/>
              <w:rPr>
                <w:lang w:val="en-AU"/>
              </w:rPr>
            </w:pPr>
            <w:r w:rsidRPr="001677F9">
              <w:rPr>
                <w:lang w:val="en-AU"/>
              </w:rPr>
              <w:t>Discount rate (base case 5% costs and outcomes)</w:t>
            </w:r>
          </w:p>
        </w:tc>
      </w:tr>
      <w:tr w:rsidR="00980351" w:rsidRPr="001677F9" w14:paraId="440FF755" w14:textId="77777777" w:rsidTr="00AD1DC3">
        <w:tc>
          <w:tcPr>
            <w:tcW w:w="2789" w:type="dxa"/>
          </w:tcPr>
          <w:p w14:paraId="2168EEF1" w14:textId="77777777" w:rsidR="00980351" w:rsidRPr="001677F9" w:rsidRDefault="00980351" w:rsidP="00AD1DC3">
            <w:pPr>
              <w:pStyle w:val="COMTableheadingrow"/>
              <w:keepNext w:val="0"/>
              <w:rPr>
                <w:b w:val="0"/>
                <w:bCs/>
                <w:lang w:val="en-AU"/>
              </w:rPr>
            </w:pPr>
            <w:r w:rsidRPr="001677F9">
              <w:rPr>
                <w:b w:val="0"/>
                <w:bCs/>
                <w:lang w:val="en-AU"/>
              </w:rPr>
              <w:t>- 0% costs and outcomes</w:t>
            </w:r>
          </w:p>
        </w:tc>
        <w:tc>
          <w:tcPr>
            <w:tcW w:w="1415" w:type="dxa"/>
            <w:vAlign w:val="center"/>
          </w:tcPr>
          <w:p w14:paraId="51A357A9" w14:textId="6632078B" w:rsidR="00980351" w:rsidRPr="001677F9" w:rsidRDefault="00980351" w:rsidP="00AD1DC3">
            <w:pPr>
              <w:pStyle w:val="COMTableheadingrow"/>
              <w:keepNext w:val="0"/>
              <w:jc w:val="center"/>
              <w:rPr>
                <w:b w:val="0"/>
                <w:bCs/>
                <w:lang w:val="en-AU"/>
              </w:rPr>
            </w:pPr>
            <w:r w:rsidRPr="001677F9">
              <w:rPr>
                <w:b w:val="0"/>
                <w:bCs/>
                <w:lang w:val="en-AU"/>
              </w:rPr>
              <w:t>$</w:t>
            </w:r>
            <w:r w:rsidR="00D42DC9" w:rsidRPr="00D42DC9">
              <w:rPr>
                <w:b w:val="0"/>
                <w:bCs/>
                <w:color w:val="000000"/>
                <w:shd w:val="solid" w:color="000000" w:fill="000000"/>
                <w:lang w:val="en-AU"/>
                <w14:textFill>
                  <w14:solidFill>
                    <w14:srgbClr w14:val="000000">
                      <w14:alpha w14:val="100000"/>
                    </w14:srgbClr>
                  </w14:solidFill>
                </w14:textFill>
              </w:rPr>
              <w:t>|</w:t>
            </w:r>
          </w:p>
        </w:tc>
        <w:tc>
          <w:tcPr>
            <w:tcW w:w="1339" w:type="dxa"/>
            <w:vAlign w:val="center"/>
          </w:tcPr>
          <w:p w14:paraId="0266CC82" w14:textId="77777777" w:rsidR="00980351" w:rsidRPr="001677F9" w:rsidRDefault="00980351" w:rsidP="00AD1DC3">
            <w:pPr>
              <w:pStyle w:val="COMTableheadingrow"/>
              <w:keepNext w:val="0"/>
              <w:jc w:val="center"/>
              <w:rPr>
                <w:b w:val="0"/>
                <w:bCs/>
                <w:lang w:val="en-AU"/>
              </w:rPr>
            </w:pPr>
            <w:r w:rsidRPr="001677F9">
              <w:rPr>
                <w:b w:val="0"/>
                <w:bCs/>
                <w:lang w:val="en-AU"/>
              </w:rPr>
              <w:t>0.096</w:t>
            </w:r>
          </w:p>
        </w:tc>
        <w:tc>
          <w:tcPr>
            <w:tcW w:w="1336" w:type="dxa"/>
            <w:vAlign w:val="center"/>
          </w:tcPr>
          <w:p w14:paraId="3CC05019" w14:textId="192E7761" w:rsidR="00980351" w:rsidRPr="00881B9F" w:rsidRDefault="00980351" w:rsidP="00AD1DC3">
            <w:pPr>
              <w:pStyle w:val="COMTableheadingrow"/>
              <w:keepNext w:val="0"/>
              <w:jc w:val="center"/>
              <w:rPr>
                <w:b w:val="0"/>
                <w:bCs/>
                <w:vertAlign w:val="superscript"/>
                <w:lang w:val="en-AU"/>
              </w:rPr>
            </w:pPr>
            <w:r w:rsidRPr="001677F9">
              <w:rPr>
                <w:b w:val="0"/>
                <w:bCs/>
                <w:lang w:val="en-AU"/>
              </w:rPr>
              <w:t>$</w:t>
            </w:r>
            <w:r w:rsidR="00D42DC9" w:rsidRPr="00D42DC9">
              <w:rPr>
                <w:b w:val="0"/>
                <w:bCs/>
                <w:color w:val="000000"/>
                <w:shd w:val="solid" w:color="000000" w:fill="000000"/>
                <w:lang w:val="en-AU"/>
                <w14:textFill>
                  <w14:solidFill>
                    <w14:srgbClr w14:val="000000">
                      <w14:alpha w14:val="100000"/>
                    </w14:srgbClr>
                  </w14:solidFill>
                </w14:textFill>
              </w:rPr>
              <w:t>|</w:t>
            </w:r>
            <w:r w:rsidR="00881B9F">
              <w:rPr>
                <w:b w:val="0"/>
                <w:bCs/>
                <w:vertAlign w:val="superscript"/>
                <w:lang w:val="en-AU"/>
              </w:rPr>
              <w:t>1</w:t>
            </w:r>
          </w:p>
        </w:tc>
        <w:tc>
          <w:tcPr>
            <w:tcW w:w="2138" w:type="dxa"/>
            <w:vAlign w:val="center"/>
          </w:tcPr>
          <w:p w14:paraId="38CDA3C1" w14:textId="77777777" w:rsidR="00980351" w:rsidRPr="001677F9" w:rsidRDefault="00980351" w:rsidP="00AD1DC3">
            <w:pPr>
              <w:pStyle w:val="COMTableheadingrow"/>
              <w:keepNext w:val="0"/>
              <w:jc w:val="center"/>
              <w:rPr>
                <w:b w:val="0"/>
                <w:bCs/>
                <w:lang w:val="en-AU"/>
              </w:rPr>
            </w:pPr>
            <w:r w:rsidRPr="001677F9">
              <w:rPr>
                <w:rFonts w:cs="Calibri"/>
                <w:b w:val="0"/>
                <w:color w:val="000000"/>
                <w:szCs w:val="20"/>
                <w:lang w:val="en-AU"/>
              </w:rPr>
              <w:t>-10%</w:t>
            </w:r>
          </w:p>
        </w:tc>
      </w:tr>
      <w:tr w:rsidR="00980351" w:rsidRPr="001677F9" w14:paraId="1A98B07E" w14:textId="77777777" w:rsidTr="00AD1DC3">
        <w:tc>
          <w:tcPr>
            <w:tcW w:w="2789" w:type="dxa"/>
          </w:tcPr>
          <w:p w14:paraId="33905803" w14:textId="77777777" w:rsidR="00980351" w:rsidRPr="001677F9" w:rsidRDefault="00980351" w:rsidP="00AD1DC3">
            <w:pPr>
              <w:pStyle w:val="COMTableheadingrow"/>
              <w:keepNext w:val="0"/>
              <w:rPr>
                <w:b w:val="0"/>
                <w:bCs/>
                <w:lang w:val="en-AU"/>
              </w:rPr>
            </w:pPr>
            <w:r w:rsidRPr="001677F9">
              <w:rPr>
                <w:b w:val="0"/>
                <w:bCs/>
                <w:lang w:val="en-AU"/>
              </w:rPr>
              <w:t>- 3.5% costs and outcomes</w:t>
            </w:r>
          </w:p>
        </w:tc>
        <w:tc>
          <w:tcPr>
            <w:tcW w:w="1415" w:type="dxa"/>
            <w:vAlign w:val="center"/>
          </w:tcPr>
          <w:p w14:paraId="438D46A7" w14:textId="3378BE65" w:rsidR="00980351" w:rsidRPr="001677F9" w:rsidRDefault="00980351" w:rsidP="00AD1DC3">
            <w:pPr>
              <w:pStyle w:val="COMTableheadingrow"/>
              <w:keepNext w:val="0"/>
              <w:jc w:val="center"/>
              <w:rPr>
                <w:b w:val="0"/>
                <w:bCs/>
                <w:lang w:val="en-AU"/>
              </w:rPr>
            </w:pPr>
            <w:r w:rsidRPr="001677F9">
              <w:rPr>
                <w:b w:val="0"/>
                <w:bCs/>
                <w:lang w:val="en-AU"/>
              </w:rPr>
              <w:t>$</w:t>
            </w:r>
            <w:r w:rsidR="00D42DC9" w:rsidRPr="00D42DC9">
              <w:rPr>
                <w:b w:val="0"/>
                <w:bCs/>
                <w:color w:val="000000"/>
                <w:shd w:val="solid" w:color="000000" w:fill="000000"/>
                <w:lang w:val="en-AU"/>
                <w14:textFill>
                  <w14:solidFill>
                    <w14:srgbClr w14:val="000000">
                      <w14:alpha w14:val="100000"/>
                    </w14:srgbClr>
                  </w14:solidFill>
                </w14:textFill>
              </w:rPr>
              <w:t>|</w:t>
            </w:r>
          </w:p>
        </w:tc>
        <w:tc>
          <w:tcPr>
            <w:tcW w:w="1339" w:type="dxa"/>
            <w:vAlign w:val="center"/>
          </w:tcPr>
          <w:p w14:paraId="1DDC4D29" w14:textId="77777777" w:rsidR="00980351" w:rsidRPr="001677F9" w:rsidRDefault="00980351" w:rsidP="00AD1DC3">
            <w:pPr>
              <w:pStyle w:val="COMTableheadingrow"/>
              <w:keepNext w:val="0"/>
              <w:jc w:val="center"/>
              <w:rPr>
                <w:b w:val="0"/>
                <w:bCs/>
                <w:lang w:val="en-AU"/>
              </w:rPr>
            </w:pPr>
            <w:r w:rsidRPr="001677F9">
              <w:rPr>
                <w:b w:val="0"/>
                <w:bCs/>
                <w:lang w:val="en-AU"/>
              </w:rPr>
              <w:t>0.074</w:t>
            </w:r>
          </w:p>
        </w:tc>
        <w:tc>
          <w:tcPr>
            <w:tcW w:w="1336" w:type="dxa"/>
            <w:vAlign w:val="center"/>
          </w:tcPr>
          <w:p w14:paraId="2788E53A" w14:textId="23FAFF6F" w:rsidR="00980351" w:rsidRPr="00881B9F" w:rsidRDefault="00980351" w:rsidP="00AD1DC3">
            <w:pPr>
              <w:pStyle w:val="COMTableheadingrow"/>
              <w:keepNext w:val="0"/>
              <w:jc w:val="center"/>
              <w:rPr>
                <w:b w:val="0"/>
                <w:bCs/>
                <w:vertAlign w:val="superscript"/>
                <w:lang w:val="en-AU"/>
              </w:rPr>
            </w:pPr>
            <w:r w:rsidRPr="001677F9">
              <w:rPr>
                <w:b w:val="0"/>
                <w:bCs/>
                <w:lang w:val="en-AU"/>
              </w:rPr>
              <w:t>$</w:t>
            </w:r>
            <w:r w:rsidR="00D42DC9" w:rsidRPr="00D42DC9">
              <w:rPr>
                <w:b w:val="0"/>
                <w:bCs/>
                <w:color w:val="000000"/>
                <w:shd w:val="solid" w:color="000000" w:fill="000000"/>
                <w:lang w:val="en-AU"/>
                <w14:textFill>
                  <w14:solidFill>
                    <w14:srgbClr w14:val="000000">
                      <w14:alpha w14:val="100000"/>
                    </w14:srgbClr>
                  </w14:solidFill>
                </w14:textFill>
              </w:rPr>
              <w:t>|</w:t>
            </w:r>
            <w:r w:rsidR="00881B9F">
              <w:rPr>
                <w:b w:val="0"/>
                <w:bCs/>
                <w:vertAlign w:val="superscript"/>
                <w:lang w:val="en-AU"/>
              </w:rPr>
              <w:t>1</w:t>
            </w:r>
          </w:p>
        </w:tc>
        <w:tc>
          <w:tcPr>
            <w:tcW w:w="2138" w:type="dxa"/>
            <w:vAlign w:val="center"/>
          </w:tcPr>
          <w:p w14:paraId="49CEB8E9" w14:textId="77777777" w:rsidR="00980351" w:rsidRPr="001677F9" w:rsidRDefault="00980351" w:rsidP="00AD1DC3">
            <w:pPr>
              <w:pStyle w:val="COMTableheadingrow"/>
              <w:keepNext w:val="0"/>
              <w:jc w:val="center"/>
              <w:rPr>
                <w:b w:val="0"/>
                <w:bCs/>
                <w:lang w:val="en-AU"/>
              </w:rPr>
            </w:pPr>
            <w:r w:rsidRPr="001677F9">
              <w:rPr>
                <w:rFonts w:cs="Calibri"/>
                <w:b w:val="0"/>
                <w:color w:val="000000"/>
                <w:szCs w:val="20"/>
                <w:lang w:val="en-AU"/>
              </w:rPr>
              <w:t>-3%</w:t>
            </w:r>
          </w:p>
        </w:tc>
      </w:tr>
      <w:tr w:rsidR="00980351" w:rsidRPr="001677F9" w14:paraId="1323670B" w14:textId="77777777" w:rsidTr="00AD1DC3">
        <w:tc>
          <w:tcPr>
            <w:tcW w:w="9017" w:type="dxa"/>
            <w:gridSpan w:val="5"/>
          </w:tcPr>
          <w:p w14:paraId="6EB79030" w14:textId="77777777" w:rsidR="00980351" w:rsidRPr="001677F9" w:rsidRDefault="00980351" w:rsidP="00AD1DC3">
            <w:pPr>
              <w:pStyle w:val="COMTableheadingrow"/>
              <w:keepNext w:val="0"/>
              <w:rPr>
                <w:b w:val="0"/>
                <w:bCs/>
                <w:lang w:val="en-AU"/>
              </w:rPr>
            </w:pPr>
            <w:r w:rsidRPr="001677F9">
              <w:rPr>
                <w:lang w:val="en-AU"/>
              </w:rPr>
              <w:t>Time horizon (base case 30 years)</w:t>
            </w:r>
          </w:p>
        </w:tc>
      </w:tr>
      <w:tr w:rsidR="00980351" w:rsidRPr="001677F9" w14:paraId="400D7A6E" w14:textId="77777777" w:rsidTr="00AD1DC3">
        <w:tc>
          <w:tcPr>
            <w:tcW w:w="2789" w:type="dxa"/>
          </w:tcPr>
          <w:p w14:paraId="5034D029" w14:textId="77777777" w:rsidR="00980351" w:rsidRPr="001677F9" w:rsidRDefault="00980351" w:rsidP="00AD1DC3">
            <w:pPr>
              <w:pStyle w:val="COMTableheadingrow"/>
              <w:keepNext w:val="0"/>
              <w:rPr>
                <w:b w:val="0"/>
                <w:bCs/>
                <w:lang w:val="en-AU"/>
              </w:rPr>
            </w:pPr>
            <w:r w:rsidRPr="001677F9">
              <w:rPr>
                <w:b w:val="0"/>
                <w:bCs/>
                <w:iCs/>
                <w:lang w:val="en-AU"/>
              </w:rPr>
              <w:t>- 20 years</w:t>
            </w:r>
          </w:p>
        </w:tc>
        <w:tc>
          <w:tcPr>
            <w:tcW w:w="1415" w:type="dxa"/>
            <w:vAlign w:val="center"/>
          </w:tcPr>
          <w:p w14:paraId="15229375" w14:textId="581DC147" w:rsidR="00980351" w:rsidRPr="001677F9" w:rsidRDefault="00980351" w:rsidP="00AD1DC3">
            <w:pPr>
              <w:pStyle w:val="COMTableheadingrow"/>
              <w:keepNext w:val="0"/>
              <w:jc w:val="center"/>
              <w:rPr>
                <w:b w:val="0"/>
                <w:bCs/>
                <w:lang w:val="en-AU"/>
              </w:rPr>
            </w:pPr>
            <w:r w:rsidRPr="001677F9">
              <w:rPr>
                <w:b w:val="0"/>
                <w:bCs/>
                <w:lang w:val="en-AU"/>
              </w:rPr>
              <w:t>$</w:t>
            </w:r>
            <w:r w:rsidR="00D42DC9" w:rsidRPr="00D42DC9">
              <w:rPr>
                <w:b w:val="0"/>
                <w:bCs/>
                <w:color w:val="000000"/>
                <w:shd w:val="solid" w:color="000000" w:fill="000000"/>
                <w:lang w:val="en-AU"/>
                <w14:textFill>
                  <w14:solidFill>
                    <w14:srgbClr w14:val="000000">
                      <w14:alpha w14:val="100000"/>
                    </w14:srgbClr>
                  </w14:solidFill>
                </w14:textFill>
              </w:rPr>
              <w:t>|</w:t>
            </w:r>
          </w:p>
        </w:tc>
        <w:tc>
          <w:tcPr>
            <w:tcW w:w="1339" w:type="dxa"/>
            <w:vAlign w:val="center"/>
          </w:tcPr>
          <w:p w14:paraId="6A7FABD2" w14:textId="77777777" w:rsidR="00980351" w:rsidRPr="001677F9" w:rsidRDefault="00980351" w:rsidP="00AD1DC3">
            <w:pPr>
              <w:pStyle w:val="COMTableheadingrow"/>
              <w:keepNext w:val="0"/>
              <w:jc w:val="center"/>
              <w:rPr>
                <w:b w:val="0"/>
                <w:bCs/>
                <w:iCs/>
                <w:lang w:val="en-AU"/>
              </w:rPr>
            </w:pPr>
            <w:r w:rsidRPr="001677F9">
              <w:rPr>
                <w:b w:val="0"/>
                <w:bCs/>
                <w:iCs/>
                <w:lang w:val="en-AU"/>
              </w:rPr>
              <w:t>0.066</w:t>
            </w:r>
          </w:p>
        </w:tc>
        <w:tc>
          <w:tcPr>
            <w:tcW w:w="1336" w:type="dxa"/>
            <w:vAlign w:val="center"/>
          </w:tcPr>
          <w:p w14:paraId="3EEF7998" w14:textId="12A025AE" w:rsidR="00980351" w:rsidRPr="00881B9F" w:rsidRDefault="00980351" w:rsidP="00AD1DC3">
            <w:pPr>
              <w:pStyle w:val="COMTableheadingrow"/>
              <w:keepNext w:val="0"/>
              <w:jc w:val="center"/>
              <w:rPr>
                <w:b w:val="0"/>
                <w:bCs/>
                <w:iCs/>
                <w:vertAlign w:val="superscript"/>
                <w:lang w:val="en-AU"/>
              </w:rPr>
            </w:pPr>
            <w:r w:rsidRPr="001677F9">
              <w:rPr>
                <w:b w:val="0"/>
                <w:bCs/>
                <w:iCs/>
                <w:lang w:val="en-AU"/>
              </w:rPr>
              <w:t>$</w:t>
            </w:r>
            <w:r w:rsidR="00D42DC9" w:rsidRPr="00D42DC9">
              <w:rPr>
                <w:b w:val="0"/>
                <w:bCs/>
                <w:iCs/>
                <w:color w:val="000000"/>
                <w:shd w:val="solid" w:color="000000" w:fill="000000"/>
                <w:lang w:val="en-AU"/>
                <w14:textFill>
                  <w14:solidFill>
                    <w14:srgbClr w14:val="000000">
                      <w14:alpha w14:val="100000"/>
                    </w14:srgbClr>
                  </w14:solidFill>
                </w14:textFill>
              </w:rPr>
              <w:t>|</w:t>
            </w:r>
            <w:r w:rsidR="00881B9F">
              <w:rPr>
                <w:b w:val="0"/>
                <w:bCs/>
                <w:iCs/>
                <w:vertAlign w:val="superscript"/>
                <w:lang w:val="en-AU"/>
              </w:rPr>
              <w:t>1</w:t>
            </w:r>
          </w:p>
        </w:tc>
        <w:tc>
          <w:tcPr>
            <w:tcW w:w="2138" w:type="dxa"/>
            <w:vAlign w:val="center"/>
          </w:tcPr>
          <w:p w14:paraId="0418A20D" w14:textId="77777777" w:rsidR="00980351" w:rsidRPr="001677F9" w:rsidRDefault="00980351" w:rsidP="00AD1DC3">
            <w:pPr>
              <w:pStyle w:val="COMTableheadingrow"/>
              <w:keepNext w:val="0"/>
              <w:jc w:val="center"/>
              <w:rPr>
                <w:b w:val="0"/>
                <w:bCs/>
                <w:iCs/>
                <w:lang w:val="en-AU"/>
              </w:rPr>
            </w:pPr>
            <w:r w:rsidRPr="001677F9">
              <w:rPr>
                <w:b w:val="0"/>
                <w:bCs/>
                <w:iCs/>
                <w:lang w:val="en-AU"/>
              </w:rPr>
              <w:t>1%</w:t>
            </w:r>
          </w:p>
        </w:tc>
      </w:tr>
      <w:tr w:rsidR="000B4BD5" w:rsidRPr="001677F9" w14:paraId="368C6C02" w14:textId="77777777" w:rsidTr="00AD1DC3">
        <w:tc>
          <w:tcPr>
            <w:tcW w:w="2789" w:type="dxa"/>
          </w:tcPr>
          <w:p w14:paraId="6D71ED80" w14:textId="4F3654D4" w:rsidR="00E4009E" w:rsidRPr="001677F9" w:rsidRDefault="00E4009E" w:rsidP="00E4009E">
            <w:pPr>
              <w:pStyle w:val="COMTableheadingrow"/>
              <w:keepNext w:val="0"/>
              <w:rPr>
                <w:b w:val="0"/>
                <w:bCs/>
                <w:iCs/>
                <w:lang w:val="en-AU"/>
              </w:rPr>
            </w:pPr>
            <w:r w:rsidRPr="001677F9">
              <w:rPr>
                <w:b w:val="0"/>
                <w:bCs/>
                <w:iCs/>
                <w:lang w:val="en-AU"/>
              </w:rPr>
              <w:t>-15 years</w:t>
            </w:r>
          </w:p>
        </w:tc>
        <w:tc>
          <w:tcPr>
            <w:tcW w:w="1415" w:type="dxa"/>
            <w:vAlign w:val="center"/>
          </w:tcPr>
          <w:p w14:paraId="46B133B2" w14:textId="551A108A" w:rsidR="00E4009E" w:rsidRPr="001677F9" w:rsidRDefault="00E4009E" w:rsidP="00E4009E">
            <w:pPr>
              <w:pStyle w:val="COMTableheadingrow"/>
              <w:keepNext w:val="0"/>
              <w:jc w:val="center"/>
              <w:rPr>
                <w:b w:val="0"/>
                <w:bCs/>
                <w:lang w:val="en-AU"/>
              </w:rPr>
            </w:pPr>
            <w:r w:rsidRPr="001677F9">
              <w:rPr>
                <w:rFonts w:cs="Calibri"/>
                <w:b w:val="0"/>
                <w:bCs/>
                <w:iCs/>
                <w:color w:val="000000"/>
                <w:szCs w:val="20"/>
                <w:lang w:val="en-AU"/>
              </w:rPr>
              <w:t>$</w:t>
            </w:r>
            <w:r w:rsidR="00D42DC9" w:rsidRPr="00D42DC9">
              <w:rPr>
                <w:rFonts w:cs="Calibri"/>
                <w:b w:val="0"/>
                <w:bCs/>
                <w:iCs/>
                <w:color w:val="000000"/>
                <w:szCs w:val="20"/>
                <w:shd w:val="solid" w:color="000000" w:fill="000000"/>
                <w:lang w:val="en-AU"/>
                <w14:textFill>
                  <w14:solidFill>
                    <w14:srgbClr w14:val="000000">
                      <w14:alpha w14:val="100000"/>
                    </w14:srgbClr>
                  </w14:solidFill>
                </w14:textFill>
              </w:rPr>
              <w:t>|</w:t>
            </w:r>
            <w:r w:rsidRPr="001677F9">
              <w:rPr>
                <w:rFonts w:cs="Calibri"/>
                <w:b w:val="0"/>
                <w:bCs/>
                <w:iCs/>
                <w:color w:val="000000"/>
                <w:szCs w:val="20"/>
                <w:lang w:val="en-AU"/>
              </w:rPr>
              <w:t xml:space="preserve"> </w:t>
            </w:r>
          </w:p>
        </w:tc>
        <w:tc>
          <w:tcPr>
            <w:tcW w:w="1339" w:type="dxa"/>
            <w:vAlign w:val="center"/>
          </w:tcPr>
          <w:p w14:paraId="17191898" w14:textId="60EEC1DC" w:rsidR="00E4009E" w:rsidRPr="001677F9" w:rsidRDefault="00E4009E" w:rsidP="00E4009E">
            <w:pPr>
              <w:pStyle w:val="COMTableheadingrow"/>
              <w:keepNext w:val="0"/>
              <w:jc w:val="center"/>
              <w:rPr>
                <w:b w:val="0"/>
                <w:bCs/>
                <w:iCs/>
                <w:lang w:val="en-AU"/>
              </w:rPr>
            </w:pPr>
            <w:r w:rsidRPr="001677F9">
              <w:rPr>
                <w:rFonts w:cs="Calibri"/>
                <w:b w:val="0"/>
                <w:bCs/>
                <w:iCs/>
                <w:color w:val="000000"/>
                <w:szCs w:val="20"/>
                <w:lang w:val="en-AU"/>
              </w:rPr>
              <w:t>0.062</w:t>
            </w:r>
          </w:p>
        </w:tc>
        <w:tc>
          <w:tcPr>
            <w:tcW w:w="1336" w:type="dxa"/>
            <w:vAlign w:val="center"/>
          </w:tcPr>
          <w:p w14:paraId="38D14C65" w14:textId="21DF960E" w:rsidR="00E4009E" w:rsidRPr="001677F9" w:rsidRDefault="00E4009E" w:rsidP="00E4009E">
            <w:pPr>
              <w:pStyle w:val="COMTableheadingrow"/>
              <w:keepNext w:val="0"/>
              <w:jc w:val="center"/>
              <w:rPr>
                <w:b w:val="0"/>
                <w:bCs/>
                <w:iCs/>
                <w:lang w:val="en-AU"/>
              </w:rPr>
            </w:pPr>
            <w:r w:rsidRPr="001677F9">
              <w:rPr>
                <w:rFonts w:cs="Calibri"/>
                <w:b w:val="0"/>
                <w:bCs/>
                <w:iCs/>
                <w:color w:val="000000"/>
                <w:szCs w:val="20"/>
                <w:lang w:val="en-AU"/>
              </w:rPr>
              <w:t>$</w:t>
            </w:r>
            <w:r w:rsidR="00D42DC9" w:rsidRPr="00D42DC9">
              <w:rPr>
                <w:rFonts w:cs="Calibri"/>
                <w:b w:val="0"/>
                <w:bCs/>
                <w:iCs/>
                <w:color w:val="000000"/>
                <w:szCs w:val="20"/>
                <w:shd w:val="solid" w:color="000000" w:fill="000000"/>
                <w:lang w:val="en-AU"/>
                <w14:textFill>
                  <w14:solidFill>
                    <w14:srgbClr w14:val="000000">
                      <w14:alpha w14:val="100000"/>
                    </w14:srgbClr>
                  </w14:solidFill>
                </w14:textFill>
              </w:rPr>
              <w:t>|</w:t>
            </w:r>
            <w:r w:rsidR="00881B9F">
              <w:rPr>
                <w:rFonts w:cs="Calibri"/>
                <w:b w:val="0"/>
                <w:bCs/>
                <w:iCs/>
                <w:color w:val="000000"/>
                <w:szCs w:val="20"/>
                <w:vertAlign w:val="superscript"/>
                <w:lang w:val="en-AU"/>
              </w:rPr>
              <w:t>1</w:t>
            </w:r>
            <w:r w:rsidRPr="001677F9">
              <w:rPr>
                <w:rFonts w:cs="Calibri"/>
                <w:b w:val="0"/>
                <w:bCs/>
                <w:iCs/>
                <w:color w:val="000000"/>
                <w:szCs w:val="20"/>
                <w:lang w:val="en-AU"/>
              </w:rPr>
              <w:t xml:space="preserve"> </w:t>
            </w:r>
          </w:p>
        </w:tc>
        <w:tc>
          <w:tcPr>
            <w:tcW w:w="2138" w:type="dxa"/>
            <w:vAlign w:val="center"/>
          </w:tcPr>
          <w:p w14:paraId="506C9BFA" w14:textId="27379B78" w:rsidR="00E4009E" w:rsidRPr="001677F9" w:rsidRDefault="00E4009E" w:rsidP="00E4009E">
            <w:pPr>
              <w:pStyle w:val="COMTableheadingrow"/>
              <w:keepNext w:val="0"/>
              <w:jc w:val="center"/>
              <w:rPr>
                <w:b w:val="0"/>
                <w:bCs/>
                <w:iCs/>
                <w:lang w:val="en-AU"/>
              </w:rPr>
            </w:pPr>
            <w:r w:rsidRPr="001677F9">
              <w:rPr>
                <w:rFonts w:cs="Calibri"/>
                <w:b w:val="0"/>
                <w:bCs/>
                <w:iCs/>
                <w:color w:val="000000"/>
                <w:szCs w:val="20"/>
                <w:lang w:val="en-AU"/>
              </w:rPr>
              <w:t>5%</w:t>
            </w:r>
          </w:p>
        </w:tc>
      </w:tr>
      <w:tr w:rsidR="00980351" w:rsidRPr="001677F9" w14:paraId="11F30257" w14:textId="77777777" w:rsidTr="00AD1DC3">
        <w:tc>
          <w:tcPr>
            <w:tcW w:w="9017" w:type="dxa"/>
            <w:gridSpan w:val="5"/>
          </w:tcPr>
          <w:p w14:paraId="601EA028" w14:textId="77777777" w:rsidR="00980351" w:rsidRPr="001677F9" w:rsidRDefault="00980351" w:rsidP="00AD1DC3">
            <w:pPr>
              <w:pStyle w:val="COMTableheadingrow"/>
              <w:keepNext w:val="0"/>
              <w:rPr>
                <w:b w:val="0"/>
                <w:bCs/>
                <w:i/>
                <w:iCs/>
                <w:lang w:val="en-AU"/>
              </w:rPr>
            </w:pPr>
            <w:r w:rsidRPr="001677F9">
              <w:rPr>
                <w:lang w:val="en-AU"/>
              </w:rPr>
              <w:t>Health states (base case health states based on KCCQ-TSS quartiles; transitions based on DELIVER)</w:t>
            </w:r>
          </w:p>
        </w:tc>
      </w:tr>
      <w:tr w:rsidR="00980351" w:rsidRPr="001677F9" w14:paraId="057D4E12" w14:textId="77777777" w:rsidTr="00AD1DC3">
        <w:tc>
          <w:tcPr>
            <w:tcW w:w="2789" w:type="dxa"/>
          </w:tcPr>
          <w:p w14:paraId="32AD74FC" w14:textId="77777777" w:rsidR="00980351" w:rsidRPr="001677F9" w:rsidRDefault="00980351" w:rsidP="00AA7422">
            <w:pPr>
              <w:pStyle w:val="COMTableheadingrow"/>
              <w:keepNext w:val="0"/>
              <w:numPr>
                <w:ilvl w:val="0"/>
                <w:numId w:val="10"/>
              </w:numPr>
              <w:ind w:left="82" w:hanging="82"/>
              <w:rPr>
                <w:b w:val="0"/>
                <w:bCs/>
                <w:iCs/>
                <w:lang w:val="en-AU"/>
              </w:rPr>
            </w:pPr>
            <w:r w:rsidRPr="001677F9">
              <w:rPr>
                <w:b w:val="0"/>
                <w:bCs/>
                <w:iCs/>
                <w:lang w:val="en-AU"/>
              </w:rPr>
              <w:t>dapagliflozin transitions set equal to placebo transitions (month 5 onwards)</w:t>
            </w:r>
          </w:p>
        </w:tc>
        <w:tc>
          <w:tcPr>
            <w:tcW w:w="1415" w:type="dxa"/>
            <w:vAlign w:val="center"/>
          </w:tcPr>
          <w:p w14:paraId="436DB5EC" w14:textId="04504448" w:rsidR="00980351" w:rsidRPr="001677F9" w:rsidRDefault="00980351" w:rsidP="00AD1DC3">
            <w:pPr>
              <w:pStyle w:val="COMTableheadingrow"/>
              <w:keepNext w:val="0"/>
              <w:jc w:val="center"/>
              <w:rPr>
                <w:b w:val="0"/>
                <w:bCs/>
                <w:lang w:val="en-AU"/>
              </w:rPr>
            </w:pPr>
            <w:r w:rsidRPr="001677F9">
              <w:rPr>
                <w:b w:val="0"/>
                <w:bCs/>
                <w:lang w:val="en-AU"/>
              </w:rPr>
              <w:t>$</w:t>
            </w:r>
            <w:r w:rsidR="00D42DC9" w:rsidRPr="00D42DC9">
              <w:rPr>
                <w:b w:val="0"/>
                <w:bCs/>
                <w:color w:val="000000"/>
                <w:shd w:val="solid" w:color="000000" w:fill="000000"/>
                <w:lang w:val="en-AU"/>
                <w14:textFill>
                  <w14:solidFill>
                    <w14:srgbClr w14:val="000000">
                      <w14:alpha w14:val="100000"/>
                    </w14:srgbClr>
                  </w14:solidFill>
                </w14:textFill>
              </w:rPr>
              <w:t>|</w:t>
            </w:r>
          </w:p>
        </w:tc>
        <w:tc>
          <w:tcPr>
            <w:tcW w:w="1339" w:type="dxa"/>
            <w:vAlign w:val="center"/>
          </w:tcPr>
          <w:p w14:paraId="62E8F86C" w14:textId="77777777" w:rsidR="00980351" w:rsidRPr="001677F9" w:rsidRDefault="00980351" w:rsidP="00AD1DC3">
            <w:pPr>
              <w:pStyle w:val="COMTableheadingrow"/>
              <w:keepNext w:val="0"/>
              <w:jc w:val="center"/>
              <w:rPr>
                <w:b w:val="0"/>
                <w:bCs/>
                <w:iCs/>
                <w:lang w:val="en-AU"/>
              </w:rPr>
            </w:pPr>
            <w:r w:rsidRPr="001677F9">
              <w:rPr>
                <w:b w:val="0"/>
                <w:bCs/>
                <w:iCs/>
                <w:lang w:val="en-AU"/>
              </w:rPr>
              <w:t>0.029</w:t>
            </w:r>
          </w:p>
        </w:tc>
        <w:tc>
          <w:tcPr>
            <w:tcW w:w="1336" w:type="dxa"/>
            <w:vAlign w:val="center"/>
          </w:tcPr>
          <w:p w14:paraId="1E8F3156" w14:textId="63E256DA" w:rsidR="00980351" w:rsidRPr="00881B9F" w:rsidRDefault="00980351" w:rsidP="00AD1DC3">
            <w:pPr>
              <w:pStyle w:val="COMTableheadingrow"/>
              <w:keepNext w:val="0"/>
              <w:jc w:val="center"/>
              <w:rPr>
                <w:b w:val="0"/>
                <w:bCs/>
                <w:iCs/>
                <w:vertAlign w:val="superscript"/>
                <w:lang w:val="en-AU"/>
              </w:rPr>
            </w:pPr>
            <w:r w:rsidRPr="001677F9">
              <w:rPr>
                <w:b w:val="0"/>
                <w:bCs/>
                <w:iCs/>
                <w:lang w:val="en-AU"/>
              </w:rPr>
              <w:t>$</w:t>
            </w:r>
            <w:r w:rsidR="00D42DC9" w:rsidRPr="00D42DC9">
              <w:rPr>
                <w:b w:val="0"/>
                <w:bCs/>
                <w:iCs/>
                <w:color w:val="000000"/>
                <w:shd w:val="solid" w:color="000000" w:fill="000000"/>
                <w:lang w:val="en-AU"/>
                <w14:textFill>
                  <w14:solidFill>
                    <w14:srgbClr w14:val="000000">
                      <w14:alpha w14:val="100000"/>
                    </w14:srgbClr>
                  </w14:solidFill>
                </w14:textFill>
              </w:rPr>
              <w:t>|</w:t>
            </w:r>
            <w:r w:rsidR="00881B9F">
              <w:rPr>
                <w:b w:val="0"/>
                <w:bCs/>
                <w:iCs/>
                <w:vertAlign w:val="superscript"/>
                <w:lang w:val="en-AU"/>
              </w:rPr>
              <w:t>2</w:t>
            </w:r>
          </w:p>
        </w:tc>
        <w:tc>
          <w:tcPr>
            <w:tcW w:w="2138" w:type="dxa"/>
            <w:vAlign w:val="center"/>
          </w:tcPr>
          <w:p w14:paraId="76646B82" w14:textId="77777777" w:rsidR="00980351" w:rsidRPr="001677F9" w:rsidRDefault="00980351" w:rsidP="00AD1DC3">
            <w:pPr>
              <w:pStyle w:val="COMTableheadingrow"/>
              <w:keepNext w:val="0"/>
              <w:jc w:val="center"/>
              <w:rPr>
                <w:b w:val="0"/>
                <w:bCs/>
                <w:iCs/>
                <w:lang w:val="en-AU"/>
              </w:rPr>
            </w:pPr>
            <w:r w:rsidRPr="001677F9">
              <w:rPr>
                <w:b w:val="0"/>
                <w:bCs/>
                <w:iCs/>
                <w:lang w:val="en-AU"/>
              </w:rPr>
              <w:t>123%</w:t>
            </w:r>
          </w:p>
        </w:tc>
      </w:tr>
      <w:tr w:rsidR="00980351" w:rsidRPr="001677F9" w14:paraId="3BB94306" w14:textId="77777777" w:rsidTr="00AD1DC3">
        <w:tc>
          <w:tcPr>
            <w:tcW w:w="9017" w:type="dxa"/>
            <w:gridSpan w:val="5"/>
          </w:tcPr>
          <w:p w14:paraId="3328B51F" w14:textId="77777777" w:rsidR="00980351" w:rsidRPr="001677F9" w:rsidRDefault="00980351" w:rsidP="00AD1DC3">
            <w:pPr>
              <w:pStyle w:val="COMTableheadingrow"/>
              <w:keepNext w:val="0"/>
              <w:rPr>
                <w:b w:val="0"/>
                <w:bCs/>
                <w:i/>
                <w:iCs/>
                <w:lang w:val="en-AU"/>
              </w:rPr>
            </w:pPr>
            <w:r w:rsidRPr="001677F9">
              <w:rPr>
                <w:lang w:val="en-AU"/>
              </w:rPr>
              <w:t>CV mortality (Weibull function; dapagliflozin treatment effect)</w:t>
            </w:r>
          </w:p>
        </w:tc>
      </w:tr>
      <w:tr w:rsidR="00980351" w:rsidRPr="001677F9" w14:paraId="4AAAB0E2" w14:textId="77777777" w:rsidTr="00AD1DC3">
        <w:tc>
          <w:tcPr>
            <w:tcW w:w="2789" w:type="dxa"/>
          </w:tcPr>
          <w:p w14:paraId="4D4D1213" w14:textId="77777777" w:rsidR="00980351" w:rsidRPr="001677F9" w:rsidRDefault="00980351" w:rsidP="00AA7422">
            <w:pPr>
              <w:pStyle w:val="COMTableheadingrow"/>
              <w:keepNext w:val="0"/>
              <w:numPr>
                <w:ilvl w:val="0"/>
                <w:numId w:val="10"/>
              </w:numPr>
              <w:ind w:left="82" w:hanging="82"/>
              <w:rPr>
                <w:b w:val="0"/>
                <w:lang w:val="en-AU"/>
              </w:rPr>
            </w:pPr>
            <w:r w:rsidRPr="001677F9">
              <w:rPr>
                <w:b w:val="0"/>
                <w:lang w:val="en-AU"/>
              </w:rPr>
              <w:t xml:space="preserve"> no dapagliflozin treatment effect</w:t>
            </w:r>
          </w:p>
        </w:tc>
        <w:tc>
          <w:tcPr>
            <w:tcW w:w="1415" w:type="dxa"/>
            <w:vAlign w:val="center"/>
          </w:tcPr>
          <w:p w14:paraId="20BB3507" w14:textId="4ED04978" w:rsidR="00980351" w:rsidRPr="001677F9" w:rsidRDefault="00980351" w:rsidP="00AD1DC3">
            <w:pPr>
              <w:pStyle w:val="COMTableheadingrow"/>
              <w:keepNext w:val="0"/>
              <w:jc w:val="center"/>
              <w:rPr>
                <w:b w:val="0"/>
                <w:bCs/>
                <w:lang w:val="en-AU"/>
              </w:rPr>
            </w:pPr>
            <w:r w:rsidRPr="001677F9">
              <w:rPr>
                <w:b w:val="0"/>
                <w:bCs/>
                <w:lang w:val="en-AU"/>
              </w:rPr>
              <w:t>$</w:t>
            </w:r>
            <w:r w:rsidR="00D42DC9" w:rsidRPr="00D42DC9">
              <w:rPr>
                <w:b w:val="0"/>
                <w:bCs/>
                <w:color w:val="000000"/>
                <w:shd w:val="solid" w:color="000000" w:fill="000000"/>
                <w:lang w:val="en-AU"/>
                <w14:textFill>
                  <w14:solidFill>
                    <w14:srgbClr w14:val="000000">
                      <w14:alpha w14:val="100000"/>
                    </w14:srgbClr>
                  </w14:solidFill>
                </w14:textFill>
              </w:rPr>
              <w:t>|</w:t>
            </w:r>
          </w:p>
        </w:tc>
        <w:tc>
          <w:tcPr>
            <w:tcW w:w="1339" w:type="dxa"/>
            <w:vAlign w:val="center"/>
          </w:tcPr>
          <w:p w14:paraId="48EE0404" w14:textId="77777777" w:rsidR="00980351" w:rsidRPr="001677F9" w:rsidRDefault="00980351" w:rsidP="00AD1DC3">
            <w:pPr>
              <w:pStyle w:val="COMTableheadingrow"/>
              <w:keepNext w:val="0"/>
              <w:jc w:val="center"/>
              <w:rPr>
                <w:b w:val="0"/>
                <w:bCs/>
                <w:iCs/>
                <w:lang w:val="en-AU"/>
              </w:rPr>
            </w:pPr>
            <w:r w:rsidRPr="001677F9">
              <w:rPr>
                <w:b w:val="0"/>
                <w:lang w:val="en-AU"/>
              </w:rPr>
              <w:t>0.066</w:t>
            </w:r>
          </w:p>
        </w:tc>
        <w:tc>
          <w:tcPr>
            <w:tcW w:w="1336" w:type="dxa"/>
            <w:vAlign w:val="center"/>
          </w:tcPr>
          <w:p w14:paraId="6E1CE950" w14:textId="21195D31" w:rsidR="00980351" w:rsidRPr="00881B9F" w:rsidRDefault="00980351" w:rsidP="00AD1DC3">
            <w:pPr>
              <w:pStyle w:val="COMTableheadingrow"/>
              <w:keepNext w:val="0"/>
              <w:jc w:val="center"/>
              <w:rPr>
                <w:b w:val="0"/>
                <w:bCs/>
                <w:iCs/>
                <w:vertAlign w:val="superscript"/>
                <w:lang w:val="en-AU"/>
              </w:rPr>
            </w:pPr>
            <w:r w:rsidRPr="001677F9">
              <w:rPr>
                <w:b w:val="0"/>
                <w:bCs/>
                <w:iCs/>
                <w:lang w:val="en-AU"/>
              </w:rPr>
              <w:t>$</w:t>
            </w:r>
            <w:r w:rsidR="00D42DC9" w:rsidRPr="00D42DC9">
              <w:rPr>
                <w:b w:val="0"/>
                <w:bCs/>
                <w:iCs/>
                <w:color w:val="000000"/>
                <w:shd w:val="solid" w:color="000000" w:fill="000000"/>
                <w:lang w:val="en-AU"/>
                <w14:textFill>
                  <w14:solidFill>
                    <w14:srgbClr w14:val="000000">
                      <w14:alpha w14:val="100000"/>
                    </w14:srgbClr>
                  </w14:solidFill>
                </w14:textFill>
              </w:rPr>
              <w:t>|</w:t>
            </w:r>
            <w:r w:rsidR="00881B9F">
              <w:rPr>
                <w:b w:val="0"/>
                <w:bCs/>
                <w:iCs/>
                <w:vertAlign w:val="superscript"/>
                <w:lang w:val="en-AU"/>
              </w:rPr>
              <w:t>1</w:t>
            </w:r>
          </w:p>
        </w:tc>
        <w:tc>
          <w:tcPr>
            <w:tcW w:w="2138" w:type="dxa"/>
          </w:tcPr>
          <w:p w14:paraId="662F966D" w14:textId="77777777" w:rsidR="00980351" w:rsidRPr="001677F9" w:rsidRDefault="00980351" w:rsidP="00AD1DC3">
            <w:pPr>
              <w:pStyle w:val="COMTableheadingrow"/>
              <w:keepNext w:val="0"/>
              <w:jc w:val="center"/>
              <w:rPr>
                <w:b w:val="0"/>
                <w:bCs/>
                <w:iCs/>
                <w:lang w:val="en-AU"/>
              </w:rPr>
            </w:pPr>
            <w:r w:rsidRPr="001677F9">
              <w:rPr>
                <w:b w:val="0"/>
                <w:lang w:val="en-AU"/>
              </w:rPr>
              <w:t>14%</w:t>
            </w:r>
          </w:p>
        </w:tc>
      </w:tr>
      <w:tr w:rsidR="00980351" w:rsidRPr="001677F9" w14:paraId="5F1970C8" w14:textId="77777777" w:rsidTr="00AD1DC3">
        <w:tc>
          <w:tcPr>
            <w:tcW w:w="9017" w:type="dxa"/>
            <w:gridSpan w:val="5"/>
          </w:tcPr>
          <w:p w14:paraId="1150AD6A" w14:textId="5EEF8356" w:rsidR="00980351" w:rsidRPr="001677F9" w:rsidRDefault="00980351" w:rsidP="00AD1DC3">
            <w:pPr>
              <w:pStyle w:val="COMTableheadingrow"/>
              <w:keepNext w:val="0"/>
              <w:rPr>
                <w:bCs/>
                <w:i/>
                <w:iCs/>
                <w:lang w:val="en-AU"/>
              </w:rPr>
            </w:pPr>
            <w:r w:rsidRPr="001677F9">
              <w:rPr>
                <w:bCs/>
                <w:iCs/>
                <w:lang w:val="en-AU"/>
              </w:rPr>
              <w:t>Treatment discontinuation (base case</w:t>
            </w:r>
            <w:r w:rsidR="0043373D">
              <w:rPr>
                <w:bCs/>
                <w:iCs/>
                <w:lang w:val="en-AU"/>
              </w:rPr>
              <w:t>)</w:t>
            </w:r>
            <w:r w:rsidRPr="001677F9">
              <w:rPr>
                <w:bCs/>
                <w:iCs/>
                <w:lang w:val="en-AU"/>
              </w:rPr>
              <w:t xml:space="preserve"> </w:t>
            </w:r>
          </w:p>
        </w:tc>
      </w:tr>
      <w:tr w:rsidR="00980351" w:rsidRPr="001677F9" w14:paraId="25A5F2C4" w14:textId="77777777" w:rsidTr="00AD1DC3">
        <w:tc>
          <w:tcPr>
            <w:tcW w:w="2789" w:type="dxa"/>
          </w:tcPr>
          <w:p w14:paraId="6E08881D" w14:textId="77777777" w:rsidR="00980351" w:rsidRPr="001677F9" w:rsidRDefault="00980351" w:rsidP="00AA7422">
            <w:pPr>
              <w:pStyle w:val="COMTableheadingrow"/>
              <w:keepNext w:val="0"/>
              <w:numPr>
                <w:ilvl w:val="0"/>
                <w:numId w:val="10"/>
              </w:numPr>
              <w:ind w:left="82" w:hanging="82"/>
              <w:rPr>
                <w:b w:val="0"/>
                <w:bCs/>
                <w:iCs/>
                <w:lang w:val="en-AU"/>
              </w:rPr>
            </w:pPr>
            <w:r w:rsidRPr="001677F9">
              <w:rPr>
                <w:b w:val="0"/>
                <w:bCs/>
                <w:iCs/>
                <w:lang w:val="en-AU"/>
              </w:rPr>
              <w:t>no dapagliflozin treatment discontinuation</w:t>
            </w:r>
          </w:p>
        </w:tc>
        <w:tc>
          <w:tcPr>
            <w:tcW w:w="1415" w:type="dxa"/>
          </w:tcPr>
          <w:p w14:paraId="585AAA1C" w14:textId="14DB2D18" w:rsidR="00980351" w:rsidRPr="001677F9" w:rsidRDefault="00980351" w:rsidP="00AD1DC3">
            <w:pPr>
              <w:pStyle w:val="COMTableheadingrow"/>
              <w:keepNext w:val="0"/>
              <w:jc w:val="center"/>
              <w:rPr>
                <w:b w:val="0"/>
                <w:bCs/>
                <w:lang w:val="en-AU"/>
              </w:rPr>
            </w:pPr>
            <w:r w:rsidRPr="001677F9">
              <w:rPr>
                <w:b w:val="0"/>
                <w:lang w:val="en-AU"/>
              </w:rPr>
              <w:t xml:space="preserve"> $</w:t>
            </w:r>
            <w:r w:rsidR="00D42DC9" w:rsidRPr="00D42DC9">
              <w:rPr>
                <w:b w:val="0"/>
                <w:color w:val="000000"/>
                <w:shd w:val="solid" w:color="000000" w:fill="000000"/>
                <w:lang w:val="en-AU"/>
                <w14:textFill>
                  <w14:solidFill>
                    <w14:srgbClr w14:val="000000">
                      <w14:alpha w14:val="100000"/>
                    </w14:srgbClr>
                  </w14:solidFill>
                </w14:textFill>
              </w:rPr>
              <w:t>|</w:t>
            </w:r>
          </w:p>
        </w:tc>
        <w:tc>
          <w:tcPr>
            <w:tcW w:w="1339" w:type="dxa"/>
          </w:tcPr>
          <w:p w14:paraId="293CCB77" w14:textId="77777777" w:rsidR="00980351" w:rsidRPr="001677F9" w:rsidRDefault="00980351" w:rsidP="00AD1DC3">
            <w:pPr>
              <w:pStyle w:val="COMTableheadingrow"/>
              <w:keepNext w:val="0"/>
              <w:jc w:val="center"/>
              <w:rPr>
                <w:b w:val="0"/>
                <w:bCs/>
                <w:iCs/>
                <w:lang w:val="en-AU"/>
              </w:rPr>
            </w:pPr>
            <w:r w:rsidRPr="001677F9">
              <w:rPr>
                <w:b w:val="0"/>
                <w:lang w:val="en-AU"/>
              </w:rPr>
              <w:t>0.084</w:t>
            </w:r>
          </w:p>
        </w:tc>
        <w:tc>
          <w:tcPr>
            <w:tcW w:w="1336" w:type="dxa"/>
          </w:tcPr>
          <w:p w14:paraId="1C565F29" w14:textId="0B5FA424" w:rsidR="00980351" w:rsidRPr="001677F9" w:rsidRDefault="00980351" w:rsidP="00AD1DC3">
            <w:pPr>
              <w:pStyle w:val="COMTableheadingrow"/>
              <w:keepNext w:val="0"/>
              <w:jc w:val="center"/>
              <w:rPr>
                <w:b w:val="0"/>
                <w:bCs/>
                <w:iCs/>
                <w:lang w:val="en-AU"/>
              </w:rPr>
            </w:pPr>
            <w:r w:rsidRPr="001677F9">
              <w:rPr>
                <w:b w:val="0"/>
                <w:lang w:val="en-AU"/>
              </w:rPr>
              <w:t>$</w:t>
            </w:r>
            <w:r w:rsidR="00D42DC9" w:rsidRPr="00D42DC9">
              <w:rPr>
                <w:b w:val="0"/>
                <w:color w:val="000000"/>
                <w:shd w:val="solid" w:color="000000" w:fill="000000"/>
                <w:lang w:val="en-AU"/>
                <w14:textFill>
                  <w14:solidFill>
                    <w14:srgbClr w14:val="000000">
                      <w14:alpha w14:val="100000"/>
                    </w14:srgbClr>
                  </w14:solidFill>
                </w14:textFill>
              </w:rPr>
              <w:t>|</w:t>
            </w:r>
            <w:r w:rsidR="00881B9F">
              <w:rPr>
                <w:b w:val="0"/>
                <w:vertAlign w:val="superscript"/>
                <w:lang w:val="en-AU"/>
              </w:rPr>
              <w:t>1</w:t>
            </w:r>
            <w:r w:rsidRPr="001677F9">
              <w:rPr>
                <w:b w:val="0"/>
                <w:lang w:val="en-AU"/>
              </w:rPr>
              <w:t xml:space="preserve"> </w:t>
            </w:r>
          </w:p>
        </w:tc>
        <w:tc>
          <w:tcPr>
            <w:tcW w:w="2138" w:type="dxa"/>
            <w:vAlign w:val="center"/>
          </w:tcPr>
          <w:p w14:paraId="388D73F3" w14:textId="77777777" w:rsidR="00980351" w:rsidRPr="001677F9" w:rsidRDefault="00980351" w:rsidP="00AD1DC3">
            <w:pPr>
              <w:pStyle w:val="COMTableheadingrow"/>
              <w:keepNext w:val="0"/>
              <w:jc w:val="center"/>
              <w:rPr>
                <w:b w:val="0"/>
                <w:bCs/>
                <w:iCs/>
                <w:lang w:val="en-AU"/>
              </w:rPr>
            </w:pPr>
            <w:r w:rsidRPr="001677F9">
              <w:rPr>
                <w:b w:val="0"/>
                <w:bCs/>
                <w:iCs/>
                <w:lang w:val="en-AU"/>
              </w:rPr>
              <w:t>9%</w:t>
            </w:r>
          </w:p>
        </w:tc>
      </w:tr>
      <w:tr w:rsidR="00980351" w:rsidRPr="001677F9" w14:paraId="5D65FEF6" w14:textId="77777777" w:rsidTr="00AD1DC3">
        <w:tc>
          <w:tcPr>
            <w:tcW w:w="9017" w:type="dxa"/>
            <w:gridSpan w:val="5"/>
          </w:tcPr>
          <w:p w14:paraId="6A5F1999" w14:textId="77777777" w:rsidR="00980351" w:rsidRPr="001677F9" w:rsidRDefault="00980351" w:rsidP="00AD1DC3">
            <w:pPr>
              <w:pStyle w:val="COMTableheadingrow"/>
              <w:keepNext w:val="0"/>
              <w:rPr>
                <w:bCs/>
                <w:iCs/>
                <w:lang w:val="en-AU"/>
              </w:rPr>
            </w:pPr>
            <w:r w:rsidRPr="001677F9">
              <w:rPr>
                <w:bCs/>
                <w:iCs/>
                <w:lang w:val="en-AU"/>
              </w:rPr>
              <w:t>Adverse events (base case probabilities derived from published literature)</w:t>
            </w:r>
          </w:p>
        </w:tc>
      </w:tr>
      <w:tr w:rsidR="00980351" w:rsidRPr="001677F9" w14:paraId="465755FF" w14:textId="77777777" w:rsidTr="00AD1DC3">
        <w:tc>
          <w:tcPr>
            <w:tcW w:w="2789" w:type="dxa"/>
          </w:tcPr>
          <w:p w14:paraId="2CF3114A" w14:textId="77777777" w:rsidR="00980351" w:rsidRPr="001677F9" w:rsidRDefault="00980351" w:rsidP="00AA7422">
            <w:pPr>
              <w:pStyle w:val="COMTableheadingrow"/>
              <w:keepNext w:val="0"/>
              <w:numPr>
                <w:ilvl w:val="0"/>
                <w:numId w:val="10"/>
              </w:numPr>
              <w:ind w:left="82" w:hanging="82"/>
              <w:rPr>
                <w:b w:val="0"/>
                <w:bCs/>
                <w:iCs/>
                <w:lang w:val="en-AU"/>
              </w:rPr>
            </w:pPr>
            <w:r w:rsidRPr="001677F9">
              <w:rPr>
                <w:b w:val="0"/>
                <w:lang w:val="en-AU"/>
              </w:rPr>
              <w:t>zero probability of AKI</w:t>
            </w:r>
          </w:p>
        </w:tc>
        <w:tc>
          <w:tcPr>
            <w:tcW w:w="1415" w:type="dxa"/>
          </w:tcPr>
          <w:p w14:paraId="03EB0945" w14:textId="3139A06E" w:rsidR="00980351" w:rsidRPr="001677F9" w:rsidRDefault="00980351" w:rsidP="00AD1DC3">
            <w:pPr>
              <w:pStyle w:val="COMTableheadingrow"/>
              <w:keepNext w:val="0"/>
              <w:jc w:val="center"/>
              <w:rPr>
                <w:b w:val="0"/>
                <w:bCs/>
                <w:lang w:val="en-AU"/>
              </w:rPr>
            </w:pPr>
            <w:r w:rsidRPr="001677F9">
              <w:rPr>
                <w:b w:val="0"/>
                <w:lang w:val="en-AU"/>
              </w:rPr>
              <w:t>$</w:t>
            </w:r>
            <w:r w:rsidR="00D42DC9" w:rsidRPr="00D42DC9">
              <w:rPr>
                <w:b w:val="0"/>
                <w:color w:val="000000"/>
                <w:shd w:val="solid" w:color="000000" w:fill="000000"/>
                <w:lang w:val="en-AU"/>
                <w14:textFill>
                  <w14:solidFill>
                    <w14:srgbClr w14:val="000000">
                      <w14:alpha w14:val="100000"/>
                    </w14:srgbClr>
                  </w14:solidFill>
                </w14:textFill>
              </w:rPr>
              <w:t>|</w:t>
            </w:r>
            <w:r w:rsidRPr="001677F9">
              <w:rPr>
                <w:b w:val="0"/>
                <w:lang w:val="en-AU"/>
              </w:rPr>
              <w:t xml:space="preserve"> </w:t>
            </w:r>
          </w:p>
        </w:tc>
        <w:tc>
          <w:tcPr>
            <w:tcW w:w="1339" w:type="dxa"/>
          </w:tcPr>
          <w:p w14:paraId="6ACF572F" w14:textId="77777777" w:rsidR="00980351" w:rsidRPr="001677F9" w:rsidRDefault="00980351" w:rsidP="00AD1DC3">
            <w:pPr>
              <w:pStyle w:val="COMTableheadingrow"/>
              <w:keepNext w:val="0"/>
              <w:jc w:val="center"/>
              <w:rPr>
                <w:b w:val="0"/>
                <w:bCs/>
                <w:iCs/>
                <w:lang w:val="en-AU"/>
              </w:rPr>
            </w:pPr>
            <w:r w:rsidRPr="001677F9">
              <w:rPr>
                <w:b w:val="0"/>
                <w:lang w:val="en-AU"/>
              </w:rPr>
              <w:t>0.067</w:t>
            </w:r>
          </w:p>
        </w:tc>
        <w:tc>
          <w:tcPr>
            <w:tcW w:w="1336" w:type="dxa"/>
          </w:tcPr>
          <w:p w14:paraId="2F508BFA" w14:textId="1576D51D" w:rsidR="00980351" w:rsidRPr="001677F9" w:rsidRDefault="00980351" w:rsidP="00AD1DC3">
            <w:pPr>
              <w:pStyle w:val="COMTableheadingrow"/>
              <w:keepNext w:val="0"/>
              <w:jc w:val="center"/>
              <w:rPr>
                <w:b w:val="0"/>
                <w:bCs/>
                <w:iCs/>
                <w:lang w:val="en-AU"/>
              </w:rPr>
            </w:pPr>
            <w:r w:rsidRPr="001677F9">
              <w:rPr>
                <w:b w:val="0"/>
                <w:lang w:val="en-AU"/>
              </w:rPr>
              <w:t>$</w:t>
            </w:r>
            <w:r w:rsidR="00D42DC9" w:rsidRPr="00D42DC9">
              <w:rPr>
                <w:b w:val="0"/>
                <w:color w:val="000000"/>
                <w:shd w:val="solid" w:color="000000" w:fill="000000"/>
                <w:lang w:val="en-AU"/>
                <w14:textFill>
                  <w14:solidFill>
                    <w14:srgbClr w14:val="000000">
                      <w14:alpha w14:val="100000"/>
                    </w14:srgbClr>
                  </w14:solidFill>
                </w14:textFill>
              </w:rPr>
              <w:t>|</w:t>
            </w:r>
            <w:r w:rsidR="00881B9F">
              <w:rPr>
                <w:b w:val="0"/>
                <w:vertAlign w:val="superscript"/>
                <w:lang w:val="en-AU"/>
              </w:rPr>
              <w:t>1</w:t>
            </w:r>
            <w:r w:rsidRPr="001677F9">
              <w:rPr>
                <w:b w:val="0"/>
                <w:lang w:val="en-AU"/>
              </w:rPr>
              <w:t xml:space="preserve"> </w:t>
            </w:r>
          </w:p>
        </w:tc>
        <w:tc>
          <w:tcPr>
            <w:tcW w:w="2138" w:type="dxa"/>
          </w:tcPr>
          <w:p w14:paraId="4016D0DC" w14:textId="77777777" w:rsidR="00980351" w:rsidRPr="001677F9" w:rsidRDefault="00980351" w:rsidP="00AD1DC3">
            <w:pPr>
              <w:pStyle w:val="COMTableheadingrow"/>
              <w:keepNext w:val="0"/>
              <w:jc w:val="center"/>
              <w:rPr>
                <w:b w:val="0"/>
                <w:bCs/>
                <w:iCs/>
                <w:lang w:val="en-AU"/>
              </w:rPr>
            </w:pPr>
            <w:r w:rsidRPr="001677F9">
              <w:rPr>
                <w:b w:val="0"/>
                <w:lang w:val="en-AU"/>
              </w:rPr>
              <w:t>15%</w:t>
            </w:r>
          </w:p>
        </w:tc>
      </w:tr>
      <w:tr w:rsidR="00980351" w:rsidRPr="001677F9" w14:paraId="3C5F2C0A" w14:textId="77777777" w:rsidTr="00AD1DC3">
        <w:tc>
          <w:tcPr>
            <w:tcW w:w="2789" w:type="dxa"/>
          </w:tcPr>
          <w:p w14:paraId="1F8AFBD1" w14:textId="77777777" w:rsidR="00980351" w:rsidRPr="001677F9" w:rsidRDefault="00980351" w:rsidP="00AA7422">
            <w:pPr>
              <w:pStyle w:val="COMTableheadingrow"/>
              <w:keepNext w:val="0"/>
              <w:numPr>
                <w:ilvl w:val="0"/>
                <w:numId w:val="10"/>
              </w:numPr>
              <w:ind w:left="82" w:hanging="82"/>
              <w:rPr>
                <w:b w:val="0"/>
                <w:bCs/>
                <w:iCs/>
                <w:lang w:val="en-AU"/>
              </w:rPr>
            </w:pPr>
            <w:r w:rsidRPr="001677F9">
              <w:rPr>
                <w:b w:val="0"/>
                <w:lang w:val="en-AU"/>
              </w:rPr>
              <w:t>zero probability of amputation</w:t>
            </w:r>
          </w:p>
        </w:tc>
        <w:tc>
          <w:tcPr>
            <w:tcW w:w="1415" w:type="dxa"/>
          </w:tcPr>
          <w:p w14:paraId="31EB5525" w14:textId="353E1B46" w:rsidR="00980351" w:rsidRPr="001677F9" w:rsidRDefault="00980351" w:rsidP="00AD1DC3">
            <w:pPr>
              <w:pStyle w:val="COMTableheadingrow"/>
              <w:keepNext w:val="0"/>
              <w:jc w:val="center"/>
              <w:rPr>
                <w:b w:val="0"/>
                <w:bCs/>
                <w:lang w:val="en-AU"/>
              </w:rPr>
            </w:pPr>
            <w:r w:rsidRPr="001677F9">
              <w:rPr>
                <w:b w:val="0"/>
                <w:lang w:val="en-AU"/>
              </w:rPr>
              <w:t>$</w:t>
            </w:r>
            <w:r w:rsidR="00D42DC9" w:rsidRPr="00D42DC9">
              <w:rPr>
                <w:b w:val="0"/>
                <w:color w:val="000000"/>
                <w:shd w:val="solid" w:color="000000" w:fill="000000"/>
                <w:lang w:val="en-AU"/>
                <w14:textFill>
                  <w14:solidFill>
                    <w14:srgbClr w14:val="000000">
                      <w14:alpha w14:val="100000"/>
                    </w14:srgbClr>
                  </w14:solidFill>
                </w14:textFill>
              </w:rPr>
              <w:t>|</w:t>
            </w:r>
            <w:r w:rsidRPr="001677F9">
              <w:rPr>
                <w:b w:val="0"/>
                <w:lang w:val="en-AU"/>
              </w:rPr>
              <w:t xml:space="preserve"> </w:t>
            </w:r>
          </w:p>
        </w:tc>
        <w:tc>
          <w:tcPr>
            <w:tcW w:w="1339" w:type="dxa"/>
          </w:tcPr>
          <w:p w14:paraId="2C2E4C93" w14:textId="77777777" w:rsidR="00980351" w:rsidRPr="001677F9" w:rsidRDefault="00980351" w:rsidP="00AD1DC3">
            <w:pPr>
              <w:pStyle w:val="COMTableheadingrow"/>
              <w:keepNext w:val="0"/>
              <w:jc w:val="center"/>
              <w:rPr>
                <w:b w:val="0"/>
                <w:bCs/>
                <w:iCs/>
                <w:lang w:val="en-AU"/>
              </w:rPr>
            </w:pPr>
            <w:r w:rsidRPr="001677F9">
              <w:rPr>
                <w:b w:val="0"/>
                <w:lang w:val="en-AU"/>
              </w:rPr>
              <w:t>0.067</w:t>
            </w:r>
          </w:p>
        </w:tc>
        <w:tc>
          <w:tcPr>
            <w:tcW w:w="1336" w:type="dxa"/>
          </w:tcPr>
          <w:p w14:paraId="073C7EF8" w14:textId="2FC21898" w:rsidR="00980351" w:rsidRPr="001677F9" w:rsidRDefault="00980351" w:rsidP="00AD1DC3">
            <w:pPr>
              <w:pStyle w:val="COMTableheadingrow"/>
              <w:keepNext w:val="0"/>
              <w:jc w:val="center"/>
              <w:rPr>
                <w:b w:val="0"/>
                <w:bCs/>
                <w:iCs/>
                <w:lang w:val="en-AU"/>
              </w:rPr>
            </w:pPr>
            <w:r w:rsidRPr="001677F9">
              <w:rPr>
                <w:b w:val="0"/>
                <w:lang w:val="en-AU"/>
              </w:rPr>
              <w:t>$</w:t>
            </w:r>
            <w:r w:rsidR="00D42DC9" w:rsidRPr="00D42DC9">
              <w:rPr>
                <w:b w:val="0"/>
                <w:color w:val="000000"/>
                <w:shd w:val="solid" w:color="000000" w:fill="000000"/>
                <w:lang w:val="en-AU"/>
                <w14:textFill>
                  <w14:solidFill>
                    <w14:srgbClr w14:val="000000">
                      <w14:alpha w14:val="100000"/>
                    </w14:srgbClr>
                  </w14:solidFill>
                </w14:textFill>
              </w:rPr>
              <w:t>|</w:t>
            </w:r>
            <w:r w:rsidR="00881B9F">
              <w:rPr>
                <w:b w:val="0"/>
                <w:vertAlign w:val="superscript"/>
                <w:lang w:val="en-AU"/>
              </w:rPr>
              <w:t>3</w:t>
            </w:r>
            <w:r w:rsidRPr="001677F9">
              <w:rPr>
                <w:b w:val="0"/>
                <w:lang w:val="en-AU"/>
              </w:rPr>
              <w:t xml:space="preserve"> </w:t>
            </w:r>
          </w:p>
        </w:tc>
        <w:tc>
          <w:tcPr>
            <w:tcW w:w="2138" w:type="dxa"/>
          </w:tcPr>
          <w:p w14:paraId="36DFA239" w14:textId="77777777" w:rsidR="00980351" w:rsidRPr="001677F9" w:rsidRDefault="00980351" w:rsidP="00AD1DC3">
            <w:pPr>
              <w:pStyle w:val="COMTableheadingrow"/>
              <w:keepNext w:val="0"/>
              <w:jc w:val="center"/>
              <w:rPr>
                <w:b w:val="0"/>
                <w:bCs/>
                <w:iCs/>
                <w:lang w:val="en-AU"/>
              </w:rPr>
            </w:pPr>
            <w:r w:rsidRPr="001677F9">
              <w:rPr>
                <w:b w:val="0"/>
                <w:lang w:val="en-AU"/>
              </w:rPr>
              <w:t>64%</w:t>
            </w:r>
          </w:p>
        </w:tc>
      </w:tr>
      <w:tr w:rsidR="00980351" w:rsidRPr="001677F9" w14:paraId="41A87DC4" w14:textId="77777777" w:rsidTr="00AD1DC3">
        <w:tc>
          <w:tcPr>
            <w:tcW w:w="2789" w:type="dxa"/>
          </w:tcPr>
          <w:p w14:paraId="2A29527A" w14:textId="77777777" w:rsidR="00980351" w:rsidRPr="001677F9" w:rsidRDefault="00980351" w:rsidP="00AA7422">
            <w:pPr>
              <w:pStyle w:val="COMTableheadingrow"/>
              <w:keepNext w:val="0"/>
              <w:numPr>
                <w:ilvl w:val="0"/>
                <w:numId w:val="10"/>
              </w:numPr>
              <w:ind w:left="82" w:hanging="82"/>
              <w:rPr>
                <w:b w:val="0"/>
                <w:bCs/>
                <w:iCs/>
                <w:lang w:val="en-AU"/>
              </w:rPr>
            </w:pPr>
            <w:r w:rsidRPr="001677F9">
              <w:rPr>
                <w:b w:val="0"/>
                <w:lang w:val="en-AU"/>
              </w:rPr>
              <w:t>zero probability of all adverse events</w:t>
            </w:r>
          </w:p>
        </w:tc>
        <w:tc>
          <w:tcPr>
            <w:tcW w:w="1415" w:type="dxa"/>
          </w:tcPr>
          <w:p w14:paraId="0E4DD9CE" w14:textId="2A40919E" w:rsidR="00980351" w:rsidRPr="001677F9" w:rsidRDefault="00980351" w:rsidP="00AD1DC3">
            <w:pPr>
              <w:pStyle w:val="COMTableheadingrow"/>
              <w:keepNext w:val="0"/>
              <w:jc w:val="center"/>
              <w:rPr>
                <w:b w:val="0"/>
                <w:bCs/>
                <w:lang w:val="en-AU"/>
              </w:rPr>
            </w:pPr>
            <w:r w:rsidRPr="001677F9">
              <w:rPr>
                <w:b w:val="0"/>
                <w:lang w:val="en-AU"/>
              </w:rPr>
              <w:t>$</w:t>
            </w:r>
            <w:r w:rsidR="00D42DC9" w:rsidRPr="00D42DC9">
              <w:rPr>
                <w:b w:val="0"/>
                <w:color w:val="000000"/>
                <w:shd w:val="solid" w:color="000000" w:fill="000000"/>
                <w:lang w:val="en-AU"/>
                <w14:textFill>
                  <w14:solidFill>
                    <w14:srgbClr w14:val="000000">
                      <w14:alpha w14:val="100000"/>
                    </w14:srgbClr>
                  </w14:solidFill>
                </w14:textFill>
              </w:rPr>
              <w:t>|</w:t>
            </w:r>
            <w:r w:rsidRPr="001677F9">
              <w:rPr>
                <w:b w:val="0"/>
                <w:lang w:val="en-AU"/>
              </w:rPr>
              <w:t xml:space="preserve"> </w:t>
            </w:r>
          </w:p>
        </w:tc>
        <w:tc>
          <w:tcPr>
            <w:tcW w:w="1339" w:type="dxa"/>
          </w:tcPr>
          <w:p w14:paraId="5BA97240" w14:textId="77777777" w:rsidR="00980351" w:rsidRPr="001677F9" w:rsidRDefault="00980351" w:rsidP="00AD1DC3">
            <w:pPr>
              <w:pStyle w:val="COMTableheadingrow"/>
              <w:keepNext w:val="0"/>
              <w:jc w:val="center"/>
              <w:rPr>
                <w:b w:val="0"/>
                <w:bCs/>
                <w:iCs/>
                <w:lang w:val="en-AU"/>
              </w:rPr>
            </w:pPr>
            <w:r w:rsidRPr="001677F9">
              <w:rPr>
                <w:b w:val="0"/>
                <w:lang w:val="en-AU"/>
              </w:rPr>
              <w:t>0.067</w:t>
            </w:r>
          </w:p>
        </w:tc>
        <w:tc>
          <w:tcPr>
            <w:tcW w:w="1336" w:type="dxa"/>
          </w:tcPr>
          <w:p w14:paraId="0E90E6DB" w14:textId="1719BDA0" w:rsidR="00980351" w:rsidRPr="001677F9" w:rsidRDefault="00980351" w:rsidP="00AD1DC3">
            <w:pPr>
              <w:pStyle w:val="COMTableheadingrow"/>
              <w:keepNext w:val="0"/>
              <w:jc w:val="center"/>
              <w:rPr>
                <w:b w:val="0"/>
                <w:bCs/>
                <w:iCs/>
                <w:lang w:val="en-AU"/>
              </w:rPr>
            </w:pPr>
            <w:r w:rsidRPr="001677F9">
              <w:rPr>
                <w:b w:val="0"/>
                <w:lang w:val="en-AU"/>
              </w:rPr>
              <w:t>$</w:t>
            </w:r>
            <w:r w:rsidR="00D42DC9" w:rsidRPr="00D42DC9">
              <w:rPr>
                <w:b w:val="0"/>
                <w:color w:val="000000"/>
                <w:shd w:val="solid" w:color="000000" w:fill="000000"/>
                <w:lang w:val="en-AU"/>
                <w14:textFill>
                  <w14:solidFill>
                    <w14:srgbClr w14:val="000000">
                      <w14:alpha w14:val="100000"/>
                    </w14:srgbClr>
                  </w14:solidFill>
                </w14:textFill>
              </w:rPr>
              <w:t>|</w:t>
            </w:r>
            <w:r w:rsidR="00881B9F">
              <w:rPr>
                <w:b w:val="0"/>
                <w:vertAlign w:val="superscript"/>
                <w:lang w:val="en-AU"/>
              </w:rPr>
              <w:t>3</w:t>
            </w:r>
            <w:r w:rsidRPr="001677F9">
              <w:rPr>
                <w:b w:val="0"/>
                <w:lang w:val="en-AU"/>
              </w:rPr>
              <w:t xml:space="preserve"> </w:t>
            </w:r>
          </w:p>
        </w:tc>
        <w:tc>
          <w:tcPr>
            <w:tcW w:w="2138" w:type="dxa"/>
          </w:tcPr>
          <w:p w14:paraId="67F51EB9" w14:textId="77777777" w:rsidR="00980351" w:rsidRPr="001677F9" w:rsidRDefault="00980351" w:rsidP="00AD1DC3">
            <w:pPr>
              <w:pStyle w:val="COMTableheadingrow"/>
              <w:keepNext w:val="0"/>
              <w:jc w:val="center"/>
              <w:rPr>
                <w:b w:val="0"/>
                <w:bCs/>
                <w:iCs/>
                <w:lang w:val="en-AU"/>
              </w:rPr>
            </w:pPr>
            <w:r w:rsidRPr="001677F9">
              <w:rPr>
                <w:b w:val="0"/>
                <w:lang w:val="en-AU"/>
              </w:rPr>
              <w:t>63%</w:t>
            </w:r>
          </w:p>
        </w:tc>
      </w:tr>
      <w:tr w:rsidR="00980351" w:rsidRPr="001677F9" w14:paraId="152DA779" w14:textId="77777777" w:rsidTr="00AD1DC3">
        <w:tc>
          <w:tcPr>
            <w:tcW w:w="9017" w:type="dxa"/>
            <w:gridSpan w:val="5"/>
          </w:tcPr>
          <w:p w14:paraId="134D3D19" w14:textId="77777777" w:rsidR="00980351" w:rsidRPr="001677F9" w:rsidRDefault="00980351" w:rsidP="00AD1DC3">
            <w:pPr>
              <w:pStyle w:val="COMTableheadingrow"/>
              <w:keepNext w:val="0"/>
              <w:rPr>
                <w:bCs/>
                <w:iCs/>
                <w:lang w:val="en-AU"/>
              </w:rPr>
            </w:pPr>
            <w:r w:rsidRPr="001677F9">
              <w:rPr>
                <w:bCs/>
                <w:iCs/>
                <w:lang w:val="en-AU"/>
              </w:rPr>
              <w:t>Heart failure hospitalisation cost (base case $9,935.03)</w:t>
            </w:r>
          </w:p>
        </w:tc>
      </w:tr>
      <w:tr w:rsidR="00980351" w:rsidRPr="001677F9" w14:paraId="71202BA8" w14:textId="77777777" w:rsidTr="00AD1DC3">
        <w:tc>
          <w:tcPr>
            <w:tcW w:w="2789" w:type="dxa"/>
          </w:tcPr>
          <w:p w14:paraId="137E9A10" w14:textId="4A4C3EDC" w:rsidR="00980351" w:rsidRPr="001677F9" w:rsidRDefault="00980351" w:rsidP="00AD1DC3">
            <w:pPr>
              <w:pStyle w:val="COMTableheadingrow"/>
              <w:keepNext w:val="0"/>
              <w:rPr>
                <w:b w:val="0"/>
                <w:bCs/>
                <w:iCs/>
                <w:lang w:val="en-AU"/>
              </w:rPr>
            </w:pPr>
            <w:r w:rsidRPr="001677F9">
              <w:rPr>
                <w:b w:val="0"/>
                <w:bCs/>
                <w:iCs/>
                <w:lang w:val="en-AU"/>
              </w:rPr>
              <w:t xml:space="preserve">- Increase by </w:t>
            </w:r>
            <w:r w:rsidR="00293A3E" w:rsidRPr="001677F9">
              <w:rPr>
                <w:b w:val="0"/>
                <w:bCs/>
                <w:iCs/>
                <w:lang w:val="en-AU"/>
              </w:rPr>
              <w:t>2</w:t>
            </w:r>
            <w:r w:rsidRPr="001677F9">
              <w:rPr>
                <w:b w:val="0"/>
                <w:bCs/>
                <w:iCs/>
                <w:lang w:val="en-AU"/>
              </w:rPr>
              <w:t>0%</w:t>
            </w:r>
          </w:p>
        </w:tc>
        <w:tc>
          <w:tcPr>
            <w:tcW w:w="1415" w:type="dxa"/>
          </w:tcPr>
          <w:p w14:paraId="7AE907C3" w14:textId="006CBEAB" w:rsidR="00980351" w:rsidRPr="001677F9" w:rsidRDefault="00980351" w:rsidP="00AD1DC3">
            <w:pPr>
              <w:pStyle w:val="COMTableheadingrow"/>
              <w:keepNext w:val="0"/>
              <w:jc w:val="center"/>
              <w:rPr>
                <w:b w:val="0"/>
                <w:bCs/>
                <w:lang w:val="en-AU"/>
              </w:rPr>
            </w:pPr>
            <w:r w:rsidRPr="001677F9">
              <w:rPr>
                <w:b w:val="0"/>
                <w:lang w:val="en-AU"/>
              </w:rPr>
              <w:t>$</w:t>
            </w:r>
            <w:r w:rsidR="00D42DC9" w:rsidRPr="00D42DC9">
              <w:rPr>
                <w:b w:val="0"/>
                <w:color w:val="000000"/>
                <w:shd w:val="solid" w:color="000000" w:fill="000000"/>
                <w:lang w:val="en-AU"/>
                <w14:textFill>
                  <w14:solidFill>
                    <w14:srgbClr w14:val="000000">
                      <w14:alpha w14:val="100000"/>
                    </w14:srgbClr>
                  </w14:solidFill>
                </w14:textFill>
              </w:rPr>
              <w:t>|</w:t>
            </w:r>
          </w:p>
        </w:tc>
        <w:tc>
          <w:tcPr>
            <w:tcW w:w="1339" w:type="dxa"/>
          </w:tcPr>
          <w:p w14:paraId="58DBCDA2" w14:textId="77777777" w:rsidR="00980351" w:rsidRPr="001677F9" w:rsidRDefault="00980351" w:rsidP="00AD1DC3">
            <w:pPr>
              <w:pStyle w:val="COMTableheadingrow"/>
              <w:keepNext w:val="0"/>
              <w:jc w:val="center"/>
              <w:rPr>
                <w:b w:val="0"/>
                <w:bCs/>
                <w:iCs/>
                <w:lang w:val="en-AU"/>
              </w:rPr>
            </w:pPr>
            <w:r w:rsidRPr="001677F9">
              <w:rPr>
                <w:b w:val="0"/>
                <w:lang w:val="en-AU"/>
              </w:rPr>
              <w:t>0.067</w:t>
            </w:r>
          </w:p>
        </w:tc>
        <w:tc>
          <w:tcPr>
            <w:tcW w:w="1336" w:type="dxa"/>
          </w:tcPr>
          <w:p w14:paraId="036C9B31" w14:textId="404F419D" w:rsidR="00980351" w:rsidRPr="001677F9" w:rsidRDefault="00980351" w:rsidP="00AD1DC3">
            <w:pPr>
              <w:pStyle w:val="COMTableheadingrow"/>
              <w:keepNext w:val="0"/>
              <w:jc w:val="center"/>
              <w:rPr>
                <w:b w:val="0"/>
                <w:bCs/>
                <w:iCs/>
                <w:lang w:val="en-AU"/>
              </w:rPr>
            </w:pPr>
            <w:r w:rsidRPr="001677F9">
              <w:rPr>
                <w:b w:val="0"/>
                <w:lang w:val="en-AU"/>
              </w:rPr>
              <w:t>$</w:t>
            </w:r>
            <w:r w:rsidR="00D42DC9" w:rsidRPr="00D42DC9">
              <w:rPr>
                <w:b w:val="0"/>
                <w:color w:val="000000"/>
                <w:shd w:val="solid" w:color="000000" w:fill="000000"/>
                <w:lang w:val="en-AU"/>
                <w14:textFill>
                  <w14:solidFill>
                    <w14:srgbClr w14:val="000000">
                      <w14:alpha w14:val="100000"/>
                    </w14:srgbClr>
                  </w14:solidFill>
                </w14:textFill>
              </w:rPr>
              <w:t>|</w:t>
            </w:r>
            <w:r w:rsidR="00881B9F">
              <w:rPr>
                <w:b w:val="0"/>
                <w:vertAlign w:val="superscript"/>
                <w:lang w:val="en-AU"/>
              </w:rPr>
              <w:t>4</w:t>
            </w:r>
            <w:r w:rsidRPr="001677F9">
              <w:rPr>
                <w:b w:val="0"/>
                <w:lang w:val="en-AU"/>
              </w:rPr>
              <w:t xml:space="preserve"> </w:t>
            </w:r>
          </w:p>
        </w:tc>
        <w:tc>
          <w:tcPr>
            <w:tcW w:w="2138" w:type="dxa"/>
          </w:tcPr>
          <w:p w14:paraId="788A6A62" w14:textId="39965587" w:rsidR="00980351" w:rsidRPr="001677F9" w:rsidRDefault="00980351" w:rsidP="00AD1DC3">
            <w:pPr>
              <w:pStyle w:val="COMTableheadingrow"/>
              <w:keepNext w:val="0"/>
              <w:jc w:val="center"/>
              <w:rPr>
                <w:b w:val="0"/>
                <w:bCs/>
                <w:iCs/>
                <w:lang w:val="en-AU"/>
              </w:rPr>
            </w:pPr>
            <w:r w:rsidRPr="001677F9">
              <w:rPr>
                <w:b w:val="0"/>
                <w:lang w:val="en-AU"/>
              </w:rPr>
              <w:t>-</w:t>
            </w:r>
            <w:r w:rsidR="00E332A0" w:rsidRPr="001677F9">
              <w:rPr>
                <w:b w:val="0"/>
                <w:lang w:val="en-AU"/>
              </w:rPr>
              <w:t>2</w:t>
            </w:r>
            <w:r w:rsidRPr="001677F9">
              <w:rPr>
                <w:b w:val="0"/>
                <w:lang w:val="en-AU"/>
              </w:rPr>
              <w:t>1%</w:t>
            </w:r>
          </w:p>
        </w:tc>
      </w:tr>
      <w:tr w:rsidR="00980351" w:rsidRPr="001677F9" w14:paraId="4E23232D" w14:textId="77777777" w:rsidTr="00AD1DC3">
        <w:tc>
          <w:tcPr>
            <w:tcW w:w="2789" w:type="dxa"/>
          </w:tcPr>
          <w:p w14:paraId="7A37C82F" w14:textId="2B5D6FA8" w:rsidR="00980351" w:rsidRPr="001677F9" w:rsidRDefault="00980351" w:rsidP="00AD1DC3">
            <w:pPr>
              <w:pStyle w:val="COMTableheadingrow"/>
              <w:keepNext w:val="0"/>
              <w:rPr>
                <w:b w:val="0"/>
                <w:bCs/>
                <w:iCs/>
                <w:lang w:val="en-AU"/>
              </w:rPr>
            </w:pPr>
            <w:r w:rsidRPr="001677F9">
              <w:rPr>
                <w:b w:val="0"/>
                <w:bCs/>
                <w:iCs/>
                <w:lang w:val="en-AU"/>
              </w:rPr>
              <w:t xml:space="preserve">- Decrease by </w:t>
            </w:r>
            <w:r w:rsidR="00293A3E" w:rsidRPr="001677F9">
              <w:rPr>
                <w:b w:val="0"/>
                <w:bCs/>
                <w:iCs/>
                <w:lang w:val="en-AU"/>
              </w:rPr>
              <w:t>2</w:t>
            </w:r>
            <w:r w:rsidRPr="001677F9">
              <w:rPr>
                <w:b w:val="0"/>
                <w:bCs/>
                <w:iCs/>
                <w:lang w:val="en-AU"/>
              </w:rPr>
              <w:t>0%</w:t>
            </w:r>
          </w:p>
        </w:tc>
        <w:tc>
          <w:tcPr>
            <w:tcW w:w="1415" w:type="dxa"/>
          </w:tcPr>
          <w:p w14:paraId="4907B287" w14:textId="130531EF" w:rsidR="00980351" w:rsidRPr="001677F9" w:rsidRDefault="00980351" w:rsidP="00AD1DC3">
            <w:pPr>
              <w:pStyle w:val="COMTableheadingrow"/>
              <w:keepNext w:val="0"/>
              <w:jc w:val="center"/>
              <w:rPr>
                <w:b w:val="0"/>
                <w:bCs/>
                <w:lang w:val="en-AU"/>
              </w:rPr>
            </w:pPr>
            <w:r w:rsidRPr="001677F9">
              <w:rPr>
                <w:b w:val="0"/>
                <w:lang w:val="en-AU"/>
              </w:rPr>
              <w:t>$</w:t>
            </w:r>
            <w:r w:rsidR="00D42DC9" w:rsidRPr="00D42DC9">
              <w:rPr>
                <w:b w:val="0"/>
                <w:color w:val="000000"/>
                <w:shd w:val="solid" w:color="000000" w:fill="000000"/>
                <w:lang w:val="en-AU"/>
                <w14:textFill>
                  <w14:solidFill>
                    <w14:srgbClr w14:val="000000">
                      <w14:alpha w14:val="100000"/>
                    </w14:srgbClr>
                  </w14:solidFill>
                </w14:textFill>
              </w:rPr>
              <w:t>|</w:t>
            </w:r>
          </w:p>
        </w:tc>
        <w:tc>
          <w:tcPr>
            <w:tcW w:w="1339" w:type="dxa"/>
          </w:tcPr>
          <w:p w14:paraId="4758BDD5" w14:textId="77777777" w:rsidR="00980351" w:rsidRPr="001677F9" w:rsidRDefault="00980351" w:rsidP="00AD1DC3">
            <w:pPr>
              <w:pStyle w:val="COMTableheadingrow"/>
              <w:keepNext w:val="0"/>
              <w:jc w:val="center"/>
              <w:rPr>
                <w:b w:val="0"/>
                <w:bCs/>
                <w:iCs/>
                <w:lang w:val="en-AU"/>
              </w:rPr>
            </w:pPr>
            <w:r w:rsidRPr="001677F9">
              <w:rPr>
                <w:b w:val="0"/>
                <w:lang w:val="en-AU"/>
              </w:rPr>
              <w:t>0.067</w:t>
            </w:r>
          </w:p>
        </w:tc>
        <w:tc>
          <w:tcPr>
            <w:tcW w:w="1336" w:type="dxa"/>
          </w:tcPr>
          <w:p w14:paraId="32777796" w14:textId="3DDF34BB" w:rsidR="00980351" w:rsidRPr="001677F9" w:rsidRDefault="00980351" w:rsidP="00AD1DC3">
            <w:pPr>
              <w:pStyle w:val="COMTableheadingrow"/>
              <w:keepNext w:val="0"/>
              <w:jc w:val="center"/>
              <w:rPr>
                <w:b w:val="0"/>
                <w:bCs/>
                <w:iCs/>
                <w:lang w:val="en-AU"/>
              </w:rPr>
            </w:pPr>
            <w:r w:rsidRPr="001677F9">
              <w:rPr>
                <w:b w:val="0"/>
                <w:lang w:val="en-AU"/>
              </w:rPr>
              <w:t>$</w:t>
            </w:r>
            <w:r w:rsidR="00D42DC9" w:rsidRPr="00D42DC9">
              <w:rPr>
                <w:b w:val="0"/>
                <w:color w:val="000000"/>
                <w:shd w:val="solid" w:color="000000" w:fill="000000"/>
                <w:lang w:val="en-AU"/>
                <w14:textFill>
                  <w14:solidFill>
                    <w14:srgbClr w14:val="000000">
                      <w14:alpha w14:val="100000"/>
                    </w14:srgbClr>
                  </w14:solidFill>
                </w14:textFill>
              </w:rPr>
              <w:t>|</w:t>
            </w:r>
            <w:r w:rsidR="00B06D18">
              <w:rPr>
                <w:b w:val="0"/>
                <w:vertAlign w:val="superscript"/>
                <w:lang w:val="en-AU"/>
              </w:rPr>
              <w:t>1</w:t>
            </w:r>
            <w:r w:rsidRPr="001677F9">
              <w:rPr>
                <w:b w:val="0"/>
                <w:lang w:val="en-AU"/>
              </w:rPr>
              <w:t xml:space="preserve"> </w:t>
            </w:r>
          </w:p>
        </w:tc>
        <w:tc>
          <w:tcPr>
            <w:tcW w:w="2138" w:type="dxa"/>
          </w:tcPr>
          <w:p w14:paraId="2C337BDA" w14:textId="7D98B4E9" w:rsidR="00980351" w:rsidRPr="001677F9" w:rsidRDefault="00E332A0" w:rsidP="00AD1DC3">
            <w:pPr>
              <w:pStyle w:val="COMTableheadingrow"/>
              <w:keepNext w:val="0"/>
              <w:jc w:val="center"/>
              <w:rPr>
                <w:b w:val="0"/>
                <w:bCs/>
                <w:iCs/>
                <w:lang w:val="en-AU"/>
              </w:rPr>
            </w:pPr>
            <w:r w:rsidRPr="001677F9">
              <w:rPr>
                <w:b w:val="0"/>
                <w:lang w:val="en-AU"/>
              </w:rPr>
              <w:t>2</w:t>
            </w:r>
            <w:r w:rsidR="00980351" w:rsidRPr="001677F9">
              <w:rPr>
                <w:b w:val="0"/>
                <w:lang w:val="en-AU"/>
              </w:rPr>
              <w:t>1%</w:t>
            </w:r>
          </w:p>
        </w:tc>
      </w:tr>
      <w:tr w:rsidR="00980351" w:rsidRPr="001677F9" w14:paraId="40B6FB8B" w14:textId="77777777" w:rsidTr="00AD1DC3">
        <w:tc>
          <w:tcPr>
            <w:tcW w:w="9017" w:type="dxa"/>
            <w:gridSpan w:val="5"/>
          </w:tcPr>
          <w:p w14:paraId="35094C0A" w14:textId="77777777" w:rsidR="00980351" w:rsidRPr="001677F9" w:rsidRDefault="00980351" w:rsidP="00AD1DC3">
            <w:pPr>
              <w:pStyle w:val="COMTableheadingrow"/>
              <w:keepNext w:val="0"/>
              <w:rPr>
                <w:b w:val="0"/>
                <w:bCs/>
                <w:i/>
                <w:iCs/>
                <w:lang w:val="en-AU"/>
              </w:rPr>
            </w:pPr>
            <w:r w:rsidRPr="001677F9">
              <w:rPr>
                <w:lang w:val="en-AU"/>
              </w:rPr>
              <w:lastRenderedPageBreak/>
              <w:t>CV death costs (base case $9,935 applied to half CV deaths)</w:t>
            </w:r>
          </w:p>
        </w:tc>
      </w:tr>
      <w:tr w:rsidR="00980351" w:rsidRPr="001677F9" w14:paraId="0A911DA7" w14:textId="77777777" w:rsidTr="00AD1DC3">
        <w:tc>
          <w:tcPr>
            <w:tcW w:w="2789" w:type="dxa"/>
          </w:tcPr>
          <w:p w14:paraId="46DCCA27" w14:textId="77777777" w:rsidR="00980351" w:rsidRPr="001677F9" w:rsidRDefault="00980351" w:rsidP="00AD1DC3">
            <w:pPr>
              <w:pStyle w:val="COMTableheadingrow"/>
              <w:keepNext w:val="0"/>
              <w:rPr>
                <w:b w:val="0"/>
                <w:bCs/>
                <w:iCs/>
                <w:lang w:val="en-AU"/>
              </w:rPr>
            </w:pPr>
            <w:r w:rsidRPr="001677F9">
              <w:rPr>
                <w:b w:val="0"/>
                <w:bCs/>
                <w:lang w:val="en-AU"/>
              </w:rPr>
              <w:t>- CV death costs applied all of CV deaths</w:t>
            </w:r>
          </w:p>
        </w:tc>
        <w:tc>
          <w:tcPr>
            <w:tcW w:w="1415" w:type="dxa"/>
          </w:tcPr>
          <w:p w14:paraId="1F441F06" w14:textId="2F63B5A5" w:rsidR="00980351" w:rsidRPr="001677F9" w:rsidRDefault="00980351" w:rsidP="00AD1DC3">
            <w:pPr>
              <w:pStyle w:val="COMTableheadingrow"/>
              <w:keepNext w:val="0"/>
              <w:jc w:val="center"/>
              <w:rPr>
                <w:b w:val="0"/>
                <w:bCs/>
                <w:lang w:val="en-AU"/>
              </w:rPr>
            </w:pPr>
            <w:r w:rsidRPr="001677F9">
              <w:rPr>
                <w:b w:val="0"/>
                <w:lang w:val="en-AU"/>
              </w:rPr>
              <w:t>$</w:t>
            </w:r>
            <w:r w:rsidR="00D42DC9" w:rsidRPr="00D42DC9">
              <w:rPr>
                <w:b w:val="0"/>
                <w:color w:val="000000"/>
                <w:shd w:val="solid" w:color="000000" w:fill="000000"/>
                <w:lang w:val="en-AU"/>
                <w14:textFill>
                  <w14:solidFill>
                    <w14:srgbClr w14:val="000000">
                      <w14:alpha w14:val="100000"/>
                    </w14:srgbClr>
                  </w14:solidFill>
                </w14:textFill>
              </w:rPr>
              <w:t>|</w:t>
            </w:r>
          </w:p>
        </w:tc>
        <w:tc>
          <w:tcPr>
            <w:tcW w:w="1339" w:type="dxa"/>
          </w:tcPr>
          <w:p w14:paraId="1366EF64" w14:textId="77777777" w:rsidR="00980351" w:rsidRPr="001677F9" w:rsidRDefault="00980351" w:rsidP="00AD1DC3">
            <w:pPr>
              <w:pStyle w:val="COMTableheadingrow"/>
              <w:keepNext w:val="0"/>
              <w:jc w:val="center"/>
              <w:rPr>
                <w:b w:val="0"/>
                <w:bCs/>
                <w:iCs/>
                <w:lang w:val="en-AU"/>
              </w:rPr>
            </w:pPr>
            <w:r w:rsidRPr="001677F9">
              <w:rPr>
                <w:b w:val="0"/>
                <w:lang w:val="en-AU"/>
              </w:rPr>
              <w:t>0.067</w:t>
            </w:r>
          </w:p>
        </w:tc>
        <w:tc>
          <w:tcPr>
            <w:tcW w:w="1336" w:type="dxa"/>
          </w:tcPr>
          <w:p w14:paraId="6EFA8A5E" w14:textId="2BC715E3" w:rsidR="00980351" w:rsidRPr="001677F9" w:rsidRDefault="00980351" w:rsidP="00AD1DC3">
            <w:pPr>
              <w:pStyle w:val="COMTableheadingrow"/>
              <w:keepNext w:val="0"/>
              <w:jc w:val="center"/>
              <w:rPr>
                <w:b w:val="0"/>
                <w:bCs/>
                <w:iCs/>
                <w:lang w:val="en-AU"/>
              </w:rPr>
            </w:pPr>
            <w:r w:rsidRPr="001677F9">
              <w:rPr>
                <w:b w:val="0"/>
                <w:lang w:val="en-AU"/>
              </w:rPr>
              <w:t>$</w:t>
            </w:r>
            <w:r w:rsidR="00D42DC9" w:rsidRPr="00D42DC9">
              <w:rPr>
                <w:b w:val="0"/>
                <w:color w:val="000000"/>
                <w:shd w:val="solid" w:color="000000" w:fill="000000"/>
                <w:lang w:val="en-AU"/>
                <w14:textFill>
                  <w14:solidFill>
                    <w14:srgbClr w14:val="000000">
                      <w14:alpha w14:val="100000"/>
                    </w14:srgbClr>
                  </w14:solidFill>
                </w14:textFill>
              </w:rPr>
              <w:t>|</w:t>
            </w:r>
            <w:r w:rsidR="00B06D18">
              <w:rPr>
                <w:b w:val="0"/>
                <w:vertAlign w:val="superscript"/>
                <w:lang w:val="en-AU"/>
              </w:rPr>
              <w:t>1</w:t>
            </w:r>
            <w:r w:rsidRPr="001677F9">
              <w:rPr>
                <w:b w:val="0"/>
                <w:lang w:val="en-AU"/>
              </w:rPr>
              <w:t xml:space="preserve"> </w:t>
            </w:r>
          </w:p>
        </w:tc>
        <w:tc>
          <w:tcPr>
            <w:tcW w:w="2138" w:type="dxa"/>
          </w:tcPr>
          <w:p w14:paraId="1C9B3D73" w14:textId="77777777" w:rsidR="00980351" w:rsidRPr="001677F9" w:rsidRDefault="00980351" w:rsidP="00AD1DC3">
            <w:pPr>
              <w:pStyle w:val="COMTableheadingrow"/>
              <w:keepNext w:val="0"/>
              <w:jc w:val="center"/>
              <w:rPr>
                <w:b w:val="0"/>
                <w:bCs/>
                <w:iCs/>
                <w:lang w:val="en-AU"/>
              </w:rPr>
            </w:pPr>
            <w:r w:rsidRPr="001677F9">
              <w:rPr>
                <w:b w:val="0"/>
                <w:lang w:val="en-AU"/>
              </w:rPr>
              <w:t>-7%</w:t>
            </w:r>
          </w:p>
        </w:tc>
      </w:tr>
      <w:tr w:rsidR="00980351" w:rsidRPr="001677F9" w14:paraId="1E9A91EB" w14:textId="77777777" w:rsidTr="00AD1DC3">
        <w:tc>
          <w:tcPr>
            <w:tcW w:w="2789" w:type="dxa"/>
          </w:tcPr>
          <w:p w14:paraId="7C2B3DF8" w14:textId="77777777" w:rsidR="00980351" w:rsidRPr="001677F9" w:rsidRDefault="00980351" w:rsidP="00AD1DC3">
            <w:pPr>
              <w:pStyle w:val="COMTableheadingrow"/>
              <w:keepNext w:val="0"/>
              <w:rPr>
                <w:b w:val="0"/>
                <w:bCs/>
                <w:iCs/>
                <w:lang w:val="en-AU"/>
              </w:rPr>
            </w:pPr>
            <w:r w:rsidRPr="001677F9">
              <w:rPr>
                <w:b w:val="0"/>
                <w:bCs/>
                <w:lang w:val="en-AU"/>
              </w:rPr>
              <w:t>- No CV death costs</w:t>
            </w:r>
          </w:p>
        </w:tc>
        <w:tc>
          <w:tcPr>
            <w:tcW w:w="1415" w:type="dxa"/>
          </w:tcPr>
          <w:p w14:paraId="21F55D0A" w14:textId="7D8F07BA" w:rsidR="00980351" w:rsidRPr="001677F9" w:rsidRDefault="00980351" w:rsidP="00AD1DC3">
            <w:pPr>
              <w:pStyle w:val="COMTableheadingrow"/>
              <w:keepNext w:val="0"/>
              <w:jc w:val="center"/>
              <w:rPr>
                <w:b w:val="0"/>
                <w:bCs/>
                <w:lang w:val="en-AU"/>
              </w:rPr>
            </w:pPr>
            <w:r w:rsidRPr="001677F9">
              <w:rPr>
                <w:b w:val="0"/>
                <w:lang w:val="en-AU"/>
              </w:rPr>
              <w:t>$</w:t>
            </w:r>
            <w:r w:rsidR="00D42DC9" w:rsidRPr="00D42DC9">
              <w:rPr>
                <w:b w:val="0"/>
                <w:color w:val="000000"/>
                <w:shd w:val="solid" w:color="000000" w:fill="000000"/>
                <w:lang w:val="en-AU"/>
                <w14:textFill>
                  <w14:solidFill>
                    <w14:srgbClr w14:val="000000">
                      <w14:alpha w14:val="100000"/>
                    </w14:srgbClr>
                  </w14:solidFill>
                </w14:textFill>
              </w:rPr>
              <w:t>|</w:t>
            </w:r>
            <w:r w:rsidRPr="001677F9">
              <w:rPr>
                <w:b w:val="0"/>
                <w:lang w:val="en-AU"/>
              </w:rPr>
              <w:t xml:space="preserve"> </w:t>
            </w:r>
          </w:p>
        </w:tc>
        <w:tc>
          <w:tcPr>
            <w:tcW w:w="1339" w:type="dxa"/>
          </w:tcPr>
          <w:p w14:paraId="5CFF0B8B" w14:textId="77777777" w:rsidR="00980351" w:rsidRPr="001677F9" w:rsidRDefault="00980351" w:rsidP="00AD1DC3">
            <w:pPr>
              <w:pStyle w:val="COMTableheadingrow"/>
              <w:keepNext w:val="0"/>
              <w:jc w:val="center"/>
              <w:rPr>
                <w:b w:val="0"/>
                <w:bCs/>
                <w:iCs/>
                <w:lang w:val="en-AU"/>
              </w:rPr>
            </w:pPr>
            <w:r w:rsidRPr="001677F9">
              <w:rPr>
                <w:b w:val="0"/>
                <w:lang w:val="en-AU"/>
              </w:rPr>
              <w:t>0.067</w:t>
            </w:r>
          </w:p>
        </w:tc>
        <w:tc>
          <w:tcPr>
            <w:tcW w:w="1336" w:type="dxa"/>
          </w:tcPr>
          <w:p w14:paraId="3F6AB534" w14:textId="76136485" w:rsidR="00980351" w:rsidRPr="001677F9" w:rsidRDefault="00980351" w:rsidP="00AD1DC3">
            <w:pPr>
              <w:pStyle w:val="COMTableheadingrow"/>
              <w:keepNext w:val="0"/>
              <w:jc w:val="center"/>
              <w:rPr>
                <w:b w:val="0"/>
                <w:bCs/>
                <w:iCs/>
                <w:lang w:val="en-AU"/>
              </w:rPr>
            </w:pPr>
            <w:r w:rsidRPr="001677F9">
              <w:rPr>
                <w:b w:val="0"/>
                <w:lang w:val="en-AU"/>
              </w:rPr>
              <w:t>$</w:t>
            </w:r>
            <w:r w:rsidR="00D42DC9" w:rsidRPr="00D42DC9">
              <w:rPr>
                <w:b w:val="0"/>
                <w:color w:val="000000"/>
                <w:shd w:val="solid" w:color="000000" w:fill="000000"/>
                <w:lang w:val="en-AU"/>
                <w14:textFill>
                  <w14:solidFill>
                    <w14:srgbClr w14:val="000000">
                      <w14:alpha w14:val="100000"/>
                    </w14:srgbClr>
                  </w14:solidFill>
                </w14:textFill>
              </w:rPr>
              <w:t>|</w:t>
            </w:r>
            <w:r w:rsidR="00B06D18">
              <w:rPr>
                <w:b w:val="0"/>
                <w:vertAlign w:val="superscript"/>
                <w:lang w:val="en-AU"/>
              </w:rPr>
              <w:t>1</w:t>
            </w:r>
            <w:r w:rsidRPr="001677F9">
              <w:rPr>
                <w:b w:val="0"/>
                <w:lang w:val="en-AU"/>
              </w:rPr>
              <w:t xml:space="preserve"> </w:t>
            </w:r>
          </w:p>
        </w:tc>
        <w:tc>
          <w:tcPr>
            <w:tcW w:w="2138" w:type="dxa"/>
          </w:tcPr>
          <w:p w14:paraId="7BB66055" w14:textId="77777777" w:rsidR="00980351" w:rsidRPr="001677F9" w:rsidRDefault="00980351" w:rsidP="00AD1DC3">
            <w:pPr>
              <w:pStyle w:val="COMTableheadingrow"/>
              <w:keepNext w:val="0"/>
              <w:jc w:val="center"/>
              <w:rPr>
                <w:b w:val="0"/>
                <w:bCs/>
                <w:iCs/>
                <w:lang w:val="en-AU"/>
              </w:rPr>
            </w:pPr>
            <w:r w:rsidRPr="001677F9">
              <w:rPr>
                <w:b w:val="0"/>
                <w:lang w:val="en-AU"/>
              </w:rPr>
              <w:t>7%</w:t>
            </w:r>
          </w:p>
        </w:tc>
      </w:tr>
    </w:tbl>
    <w:p w14:paraId="2ADCB3B9" w14:textId="71ADA858" w:rsidR="00980351" w:rsidRDefault="00980351" w:rsidP="00980351">
      <w:pPr>
        <w:pStyle w:val="COMexecsumnumberedpara"/>
        <w:ind w:left="0" w:firstLine="0"/>
        <w:jc w:val="left"/>
        <w:rPr>
          <w:rStyle w:val="CommentReference"/>
          <w:b w:val="0"/>
          <w:sz w:val="18"/>
          <w:szCs w:val="22"/>
        </w:rPr>
      </w:pPr>
      <w:bookmarkStart w:id="66" w:name="_Hlk132111077"/>
      <w:r w:rsidRPr="001677F9">
        <w:rPr>
          <w:rStyle w:val="CommentReference"/>
          <w:b w:val="0"/>
          <w:sz w:val="18"/>
          <w:szCs w:val="22"/>
        </w:rPr>
        <w:t xml:space="preserve">Source: Table 1.9- 1 p46 of Appendix A.1 of the submission and Section 3 Workbook </w:t>
      </w:r>
      <w:r w:rsidRPr="001677F9">
        <w:rPr>
          <w:rStyle w:val="CommentReference"/>
          <w:b w:val="0"/>
          <w:sz w:val="18"/>
          <w:szCs w:val="22"/>
        </w:rPr>
        <w:br/>
        <w:t>AKI = acute kidney injury;</w:t>
      </w:r>
      <w:r w:rsidR="004A28D8" w:rsidRPr="001677F9">
        <w:rPr>
          <w:rStyle w:val="CommentReference"/>
          <w:b w:val="0"/>
          <w:sz w:val="18"/>
          <w:szCs w:val="22"/>
        </w:rPr>
        <w:t xml:space="preserve"> </w:t>
      </w:r>
      <w:r w:rsidRPr="001677F9">
        <w:rPr>
          <w:rStyle w:val="CommentReference"/>
          <w:b w:val="0"/>
          <w:sz w:val="18"/>
          <w:szCs w:val="22"/>
        </w:rPr>
        <w:t xml:space="preserve">CV = cardiovascular; HHF = Hospitalisation due to heart failure; ICER = incremental cost-effectiveness </w:t>
      </w:r>
      <w:r w:rsidR="00D06412" w:rsidRPr="001677F9">
        <w:rPr>
          <w:rStyle w:val="CommentReference"/>
          <w:b w:val="0"/>
          <w:sz w:val="18"/>
          <w:szCs w:val="22"/>
        </w:rPr>
        <w:t>ratio; KCCQ</w:t>
      </w:r>
      <w:r w:rsidRPr="001677F9">
        <w:rPr>
          <w:rStyle w:val="CommentReference"/>
          <w:b w:val="0"/>
          <w:sz w:val="18"/>
          <w:szCs w:val="22"/>
        </w:rPr>
        <w:t xml:space="preserve"> = Kansas City Cardiomyopathy Questionnaire; LVEF = left ventricle ejection function; NT-pro BNP = N-terminal-pro hormone of brain natriuretic peptide; QALY = quality-adjusted life years; TSS = total symptom </w:t>
      </w:r>
      <w:bookmarkEnd w:id="66"/>
      <w:r w:rsidR="004A28D8" w:rsidRPr="001677F9">
        <w:rPr>
          <w:rStyle w:val="CommentReference"/>
          <w:b w:val="0"/>
          <w:sz w:val="18"/>
          <w:szCs w:val="22"/>
        </w:rPr>
        <w:t>score.</w:t>
      </w:r>
    </w:p>
    <w:p w14:paraId="2E202896" w14:textId="384C994A" w:rsidR="00881B9F" w:rsidRPr="00B06D18" w:rsidRDefault="00881B9F" w:rsidP="00881B9F">
      <w:pPr>
        <w:pStyle w:val="COMexecsumnumberedpara"/>
        <w:spacing w:after="0"/>
        <w:ind w:left="0" w:firstLine="0"/>
        <w:jc w:val="left"/>
        <w:rPr>
          <w:rFonts w:ascii="Arial Narrow" w:hAnsi="Arial Narrow"/>
          <w:i/>
          <w:sz w:val="18"/>
          <w:szCs w:val="18"/>
        </w:rPr>
      </w:pPr>
      <w:r w:rsidRPr="00B06D18">
        <w:rPr>
          <w:rFonts w:ascii="Arial Narrow" w:hAnsi="Arial Narrow"/>
          <w:i/>
          <w:sz w:val="18"/>
          <w:szCs w:val="18"/>
        </w:rPr>
        <w:t>The redacted values correspond to the following ranges:</w:t>
      </w:r>
    </w:p>
    <w:p w14:paraId="0FC1A1D0" w14:textId="459C67D6" w:rsidR="00881B9F" w:rsidRPr="00B06D18" w:rsidRDefault="00881B9F" w:rsidP="00881B9F">
      <w:pPr>
        <w:ind w:right="147"/>
        <w:rPr>
          <w:rFonts w:ascii="Arial Narrow" w:hAnsi="Arial Narrow"/>
          <w:color w:val="333333"/>
          <w:sz w:val="18"/>
          <w:szCs w:val="18"/>
        </w:rPr>
      </w:pPr>
      <w:r w:rsidRPr="00B06D18">
        <w:rPr>
          <w:rFonts w:ascii="Arial Narrow" w:hAnsi="Arial Narrow"/>
          <w:color w:val="333333"/>
          <w:sz w:val="18"/>
          <w:szCs w:val="18"/>
          <w:vertAlign w:val="superscript"/>
        </w:rPr>
        <w:t>1</w:t>
      </w:r>
      <w:r w:rsidRPr="00B06D18">
        <w:rPr>
          <w:rFonts w:ascii="Arial Narrow" w:hAnsi="Arial Narrow"/>
          <w:color w:val="333333"/>
          <w:sz w:val="18"/>
          <w:szCs w:val="18"/>
        </w:rPr>
        <w:t>$15,000 to &lt; $25,000</w:t>
      </w:r>
    </w:p>
    <w:p w14:paraId="4C8E9865" w14:textId="0D99C9D7" w:rsidR="00881B9F" w:rsidRPr="00B06D18" w:rsidRDefault="00881B9F" w:rsidP="00881B9F">
      <w:pPr>
        <w:ind w:right="147"/>
        <w:rPr>
          <w:rFonts w:ascii="Arial Narrow" w:hAnsi="Arial Narrow"/>
          <w:color w:val="333333"/>
          <w:sz w:val="18"/>
          <w:szCs w:val="18"/>
        </w:rPr>
      </w:pPr>
      <w:r w:rsidRPr="00B06D18">
        <w:rPr>
          <w:rFonts w:ascii="Arial Narrow" w:hAnsi="Arial Narrow"/>
          <w:color w:val="333333"/>
          <w:sz w:val="18"/>
          <w:szCs w:val="18"/>
          <w:vertAlign w:val="superscript"/>
        </w:rPr>
        <w:t>2</w:t>
      </w:r>
      <w:r w:rsidRPr="00B06D18">
        <w:rPr>
          <w:rFonts w:ascii="Arial Narrow" w:hAnsi="Arial Narrow"/>
          <w:color w:val="333333"/>
          <w:sz w:val="18"/>
          <w:szCs w:val="18"/>
        </w:rPr>
        <w:t>$35,000 to &lt; $45,000</w:t>
      </w:r>
    </w:p>
    <w:p w14:paraId="67534B26" w14:textId="17DA57D5" w:rsidR="00881B9F" w:rsidRPr="00B06D18" w:rsidRDefault="00881B9F" w:rsidP="00881B9F">
      <w:pPr>
        <w:ind w:right="147"/>
        <w:rPr>
          <w:rFonts w:ascii="Arial Narrow" w:hAnsi="Arial Narrow"/>
          <w:color w:val="333333"/>
          <w:sz w:val="18"/>
          <w:szCs w:val="18"/>
        </w:rPr>
      </w:pPr>
      <w:r w:rsidRPr="00B06D18">
        <w:rPr>
          <w:rFonts w:ascii="Arial Narrow" w:hAnsi="Arial Narrow"/>
          <w:color w:val="333333"/>
          <w:sz w:val="18"/>
          <w:szCs w:val="18"/>
          <w:vertAlign w:val="superscript"/>
        </w:rPr>
        <w:t>3</w:t>
      </w:r>
      <w:r w:rsidRPr="00B06D18">
        <w:rPr>
          <w:rFonts w:ascii="Arial Narrow" w:hAnsi="Arial Narrow"/>
          <w:color w:val="333333"/>
          <w:sz w:val="18"/>
          <w:szCs w:val="18"/>
        </w:rPr>
        <w:t>$25,000 to &lt; $35,000</w:t>
      </w:r>
    </w:p>
    <w:p w14:paraId="6DA18126" w14:textId="55FDE49E" w:rsidR="00881B9F" w:rsidRPr="00B06D18" w:rsidRDefault="00B06D18" w:rsidP="00B06D18">
      <w:pPr>
        <w:spacing w:after="240"/>
        <w:ind w:right="147"/>
        <w:rPr>
          <w:rFonts w:ascii="Arial Narrow" w:hAnsi="Arial Narrow"/>
          <w:color w:val="333333"/>
          <w:sz w:val="18"/>
          <w:szCs w:val="18"/>
        </w:rPr>
      </w:pPr>
      <w:r w:rsidRPr="00B06D18">
        <w:rPr>
          <w:rFonts w:ascii="Arial Narrow" w:hAnsi="Arial Narrow"/>
          <w:color w:val="333333"/>
          <w:sz w:val="18"/>
          <w:szCs w:val="18"/>
          <w:vertAlign w:val="superscript"/>
        </w:rPr>
        <w:t>4</w:t>
      </w:r>
      <w:r w:rsidRPr="00B06D18">
        <w:rPr>
          <w:rFonts w:ascii="Arial Narrow" w:hAnsi="Arial Narrow"/>
          <w:color w:val="333333"/>
          <w:sz w:val="18"/>
          <w:szCs w:val="18"/>
        </w:rPr>
        <w:t xml:space="preserve">$5,000 to &lt; $15,000 </w:t>
      </w:r>
    </w:p>
    <w:p w14:paraId="6FE78164" w14:textId="2236E79D" w:rsidR="00980351" w:rsidRPr="001677F9" w:rsidRDefault="00980351" w:rsidP="00980351">
      <w:pPr>
        <w:pStyle w:val="3-BodyText"/>
      </w:pPr>
      <w:r w:rsidRPr="001677F9">
        <w:t xml:space="preserve">The results were most sensitive to heart failure hospitalisation costs, incidence of AEs due to the high hospital costs associated with these events, particularly amputations and the CV mortality benefit applied to dapagliflozin treatment. The AE probabilities were in favour of dapagliflozin plus SOC for AKI, amputation and fracture. The results of sensitivity analyses excluding amputations increased the ICER from </w:t>
      </w:r>
      <w:r w:rsidR="004D7D46" w:rsidRPr="004D7D46">
        <w:t>$15,000</w:t>
      </w:r>
      <w:r w:rsidR="002A355D">
        <w:t> </w:t>
      </w:r>
      <w:r w:rsidR="004D7D46" w:rsidRPr="004D7D46">
        <w:t>to</w:t>
      </w:r>
      <w:r w:rsidR="002A355D">
        <w:t> </w:t>
      </w:r>
      <w:r w:rsidR="004D7D46" w:rsidRPr="004D7D46">
        <w:t>&lt;</w:t>
      </w:r>
      <w:r w:rsidR="002A355D">
        <w:t> </w:t>
      </w:r>
      <w:r w:rsidR="004D7D46" w:rsidRPr="004D7D46">
        <w:t>$25,000</w:t>
      </w:r>
      <w:r w:rsidRPr="001677F9">
        <w:t xml:space="preserve">/QALY in the base case to </w:t>
      </w:r>
      <w:r w:rsidR="004D7D46" w:rsidRPr="004D7D46">
        <w:t>$25,000</w:t>
      </w:r>
      <w:r w:rsidR="002A355D">
        <w:t> </w:t>
      </w:r>
      <w:r w:rsidR="004D7D46" w:rsidRPr="004D7D46">
        <w:t>to</w:t>
      </w:r>
      <w:r w:rsidR="002A355D">
        <w:t> </w:t>
      </w:r>
      <w:r w:rsidR="004D7D46" w:rsidRPr="004D7D46">
        <w:t>&lt;</w:t>
      </w:r>
      <w:r w:rsidR="002A355D">
        <w:t> </w:t>
      </w:r>
      <w:r w:rsidR="004D7D46" w:rsidRPr="004D7D46">
        <w:t>$35,000</w:t>
      </w:r>
      <w:r w:rsidRPr="001677F9">
        <w:t>/QALY (64% increase in the ICER).</w:t>
      </w:r>
      <w:r w:rsidR="00905A87" w:rsidRPr="001677F9">
        <w:t xml:space="preserve"> </w:t>
      </w:r>
      <w:r w:rsidR="00905A87" w:rsidRPr="001677F9">
        <w:rPr>
          <w:iCs/>
        </w:rPr>
        <w:t xml:space="preserve">The ESC noted that if a smaller incremental difference in amputations was assumed between dapagliflozin and SOC (equal to half the difference assumed by the submission), the resulting ICER was </w:t>
      </w:r>
      <w:r w:rsidR="004D7D46" w:rsidRPr="004D7D46">
        <w:rPr>
          <w:iCs/>
        </w:rPr>
        <w:t>$15,000</w:t>
      </w:r>
      <w:r w:rsidR="002A355D">
        <w:rPr>
          <w:iCs/>
        </w:rPr>
        <w:t> </w:t>
      </w:r>
      <w:r w:rsidR="004D7D46" w:rsidRPr="004D7D46">
        <w:rPr>
          <w:iCs/>
        </w:rPr>
        <w:t>to</w:t>
      </w:r>
      <w:r w:rsidR="002A355D">
        <w:rPr>
          <w:iCs/>
        </w:rPr>
        <w:t> </w:t>
      </w:r>
      <w:r w:rsidR="004D7D46" w:rsidRPr="004D7D46">
        <w:rPr>
          <w:iCs/>
        </w:rPr>
        <w:t>&lt;</w:t>
      </w:r>
      <w:r w:rsidR="002A355D">
        <w:rPr>
          <w:iCs/>
        </w:rPr>
        <w:t> </w:t>
      </w:r>
      <w:r w:rsidR="004D7D46" w:rsidRPr="004D7D46">
        <w:rPr>
          <w:iCs/>
        </w:rPr>
        <w:t>$25,000</w:t>
      </w:r>
      <w:r w:rsidR="00905A87" w:rsidRPr="001677F9">
        <w:rPr>
          <w:iCs/>
        </w:rPr>
        <w:t>/QALY.</w:t>
      </w:r>
    </w:p>
    <w:p w14:paraId="1F5BDA95" w14:textId="14E444D1" w:rsidR="00980351" w:rsidRPr="001677F9" w:rsidRDefault="00980351" w:rsidP="00980351">
      <w:pPr>
        <w:pStyle w:val="3-BodyText"/>
      </w:pPr>
      <w:r w:rsidRPr="001677F9">
        <w:rPr>
          <w:iCs/>
        </w:rPr>
        <w:t>Sensitivity analyses testing the extreme scenario where transition probabilities for KCCQ-TSS quartile health states in the dapagliflozin arm were set as equal to the transitions for the placebo arm indicated that the model was sensitive to this parameter. It is unclear whether transitions derived from the month 5 onwards period adequately reflect longer-term health outcomes in a progressive disease.</w:t>
      </w:r>
    </w:p>
    <w:p w14:paraId="40E06AFF" w14:textId="082C2019" w:rsidR="00980351" w:rsidRPr="001677F9" w:rsidRDefault="00980351" w:rsidP="00980351">
      <w:pPr>
        <w:pStyle w:val="4-SubsectionHeading"/>
      </w:pPr>
      <w:bookmarkStart w:id="67" w:name="_Toc135217178"/>
      <w:bookmarkStart w:id="68" w:name="_Ref104805102"/>
      <w:bookmarkEnd w:id="64"/>
      <w:r w:rsidRPr="001677F9">
        <w:t>Drug/patient/year</w:t>
      </w:r>
      <w:bookmarkEnd w:id="67"/>
    </w:p>
    <w:p w14:paraId="7C7587FB" w14:textId="60EA034B" w:rsidR="00980351" w:rsidRPr="001677F9" w:rsidRDefault="00980351" w:rsidP="00980351">
      <w:pPr>
        <w:pStyle w:val="ExecSumBodyText"/>
        <w:numPr>
          <w:ilvl w:val="1"/>
          <w:numId w:val="1"/>
        </w:numPr>
      </w:pPr>
      <w:bookmarkStart w:id="69" w:name="_Hlk107307804"/>
      <w:bookmarkEnd w:id="68"/>
      <w:r w:rsidRPr="001677F9">
        <w:t>The dapagliflozin drug cost per patient per year was $772.35, based on the proposed DPMQ per script of $56.97/ 28 days per script × 365.25 days per year, assuming 97.2% compliance (</w:t>
      </w:r>
      <w:r w:rsidR="00566673" w:rsidRPr="001677F9">
        <w:fldChar w:fldCharType="begin" w:fldLock="1"/>
      </w:r>
      <w:r w:rsidR="00566673" w:rsidRPr="001677F9">
        <w:instrText xml:space="preserve"> REF _Ref132377455 \h </w:instrText>
      </w:r>
      <w:r w:rsidR="00566673" w:rsidRPr="001677F9">
        <w:fldChar w:fldCharType="separate"/>
      </w:r>
      <w:r w:rsidR="002C43D4" w:rsidRPr="001677F9">
        <w:t>Table 13</w:t>
      </w:r>
      <w:r w:rsidR="00566673" w:rsidRPr="001677F9">
        <w:fldChar w:fldCharType="end"/>
      </w:r>
      <w:r w:rsidR="00566673" w:rsidRPr="001677F9">
        <w:t>)</w:t>
      </w:r>
      <w:r w:rsidRPr="001677F9">
        <w:t xml:space="preserve">. </w:t>
      </w:r>
      <w:r w:rsidRPr="001677F9">
        <w:rPr>
          <w:iCs/>
        </w:rPr>
        <w:t xml:space="preserve">The estimated drug costs were consistent across the economic analysis and the financial estimates. </w:t>
      </w:r>
    </w:p>
    <w:p w14:paraId="43EEB619" w14:textId="4255EC94" w:rsidR="00980351" w:rsidRPr="001677F9" w:rsidRDefault="00980351" w:rsidP="00980351">
      <w:pPr>
        <w:pStyle w:val="ExecSumBodyText"/>
        <w:numPr>
          <w:ilvl w:val="1"/>
          <w:numId w:val="1"/>
        </w:numPr>
      </w:pPr>
      <w:r w:rsidRPr="001677F9">
        <w:t xml:space="preserve">The economic analysis included estimates of the costs of standard care ($3,182.25 per year) applied to both arms of the model. These costs were not included in the financial estimates. </w:t>
      </w:r>
    </w:p>
    <w:p w14:paraId="37CCB81F" w14:textId="74504FA1" w:rsidR="00980351" w:rsidRPr="001677F9" w:rsidRDefault="00566673" w:rsidP="00566673">
      <w:pPr>
        <w:pStyle w:val="Caption"/>
      </w:pPr>
      <w:bookmarkStart w:id="70" w:name="_Ref132377455"/>
      <w:r w:rsidRPr="001677F9">
        <w:lastRenderedPageBreak/>
        <w:t xml:space="preserve">Table </w:t>
      </w:r>
      <w:fldSimple w:instr=" SEQ Table \* ARABIC " w:fldLock="1">
        <w:r w:rsidR="002C43D4" w:rsidRPr="001677F9">
          <w:t>13</w:t>
        </w:r>
      </w:fldSimple>
      <w:bookmarkEnd w:id="70"/>
      <w:r w:rsidR="00980351" w:rsidRPr="001677F9">
        <w:rPr>
          <w:szCs w:val="20"/>
        </w:rPr>
        <w:t>:</w:t>
      </w:r>
      <w:r w:rsidR="00980351" w:rsidRPr="001677F9">
        <w:rPr>
          <w:b w:val="0"/>
          <w:bCs w:val="0"/>
          <w:szCs w:val="20"/>
        </w:rPr>
        <w:t xml:space="preserve"> </w:t>
      </w:r>
      <w:r w:rsidR="00980351" w:rsidRPr="001677F9">
        <w:t>Drug cost per patient per year for dapagliflozin</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3"/>
        <w:gridCol w:w="1804"/>
        <w:gridCol w:w="1804"/>
        <w:gridCol w:w="1804"/>
        <w:gridCol w:w="1804"/>
      </w:tblGrid>
      <w:tr w:rsidR="004A28D8" w:rsidRPr="001677F9" w14:paraId="3D58A7C4" w14:textId="77777777" w:rsidTr="004A28D8">
        <w:trPr>
          <w:cantSplit/>
          <w:tblHeader/>
          <w:jc w:val="center"/>
        </w:trPr>
        <w:tc>
          <w:tcPr>
            <w:tcW w:w="1000" w:type="pct"/>
            <w:tcMar>
              <w:top w:w="0" w:type="dxa"/>
              <w:left w:w="28" w:type="dxa"/>
              <w:bottom w:w="0" w:type="dxa"/>
              <w:right w:w="28" w:type="dxa"/>
            </w:tcMar>
            <w:vAlign w:val="center"/>
          </w:tcPr>
          <w:p w14:paraId="43C04B56" w14:textId="77777777" w:rsidR="004A28D8" w:rsidRPr="001677F9" w:rsidRDefault="004A28D8" w:rsidP="004A28D8">
            <w:pPr>
              <w:pStyle w:val="Tableheadingrow"/>
              <w:jc w:val="center"/>
              <w:rPr>
                <w:lang w:val="en-AU"/>
              </w:rPr>
            </w:pPr>
          </w:p>
        </w:tc>
        <w:tc>
          <w:tcPr>
            <w:tcW w:w="1000" w:type="pct"/>
            <w:tcMar>
              <w:top w:w="0" w:type="dxa"/>
              <w:left w:w="28" w:type="dxa"/>
              <w:bottom w:w="0" w:type="dxa"/>
              <w:right w:w="28" w:type="dxa"/>
            </w:tcMar>
            <w:vAlign w:val="center"/>
            <w:hideMark/>
          </w:tcPr>
          <w:p w14:paraId="4317066C" w14:textId="77777777" w:rsidR="004A28D8" w:rsidRPr="001677F9" w:rsidRDefault="004A28D8" w:rsidP="004A28D8">
            <w:pPr>
              <w:pStyle w:val="Tableheadingrow"/>
              <w:jc w:val="center"/>
              <w:rPr>
                <w:lang w:val="en-AU"/>
              </w:rPr>
            </w:pPr>
            <w:r w:rsidRPr="001677F9">
              <w:rPr>
                <w:lang w:val="en-AU"/>
              </w:rPr>
              <w:t>DELIVER trial</w:t>
            </w:r>
          </w:p>
        </w:tc>
        <w:tc>
          <w:tcPr>
            <w:tcW w:w="1000" w:type="pct"/>
          </w:tcPr>
          <w:p w14:paraId="699C0F45" w14:textId="77777777" w:rsidR="004A28D8" w:rsidRPr="001677F9" w:rsidRDefault="004A28D8" w:rsidP="004A28D8">
            <w:pPr>
              <w:pStyle w:val="Tableheadingrow"/>
              <w:jc w:val="center"/>
              <w:rPr>
                <w:lang w:val="en-AU"/>
              </w:rPr>
            </w:pPr>
            <w:r w:rsidRPr="001677F9">
              <w:rPr>
                <w:lang w:val="en-AU"/>
              </w:rPr>
              <w:t>Economic model (CMA)</w:t>
            </w:r>
          </w:p>
        </w:tc>
        <w:tc>
          <w:tcPr>
            <w:tcW w:w="1000" w:type="pct"/>
            <w:vAlign w:val="center"/>
          </w:tcPr>
          <w:p w14:paraId="41946645" w14:textId="1FECB032" w:rsidR="004A28D8" w:rsidRPr="001677F9" w:rsidRDefault="004A28D8" w:rsidP="004A28D8">
            <w:pPr>
              <w:pStyle w:val="Tableheadingrow"/>
              <w:jc w:val="center"/>
              <w:rPr>
                <w:lang w:val="en-AU"/>
              </w:rPr>
            </w:pPr>
            <w:r w:rsidRPr="001677F9">
              <w:rPr>
                <w:lang w:val="en-AU"/>
              </w:rPr>
              <w:t>Economic model (CUA)</w:t>
            </w:r>
          </w:p>
        </w:tc>
        <w:tc>
          <w:tcPr>
            <w:tcW w:w="1000" w:type="pct"/>
            <w:tcMar>
              <w:top w:w="0" w:type="dxa"/>
              <w:left w:w="28" w:type="dxa"/>
              <w:bottom w:w="0" w:type="dxa"/>
              <w:right w:w="28" w:type="dxa"/>
            </w:tcMar>
            <w:vAlign w:val="center"/>
            <w:hideMark/>
          </w:tcPr>
          <w:p w14:paraId="2302CBFF" w14:textId="357AC2EA" w:rsidR="004A28D8" w:rsidRPr="001677F9" w:rsidRDefault="004A28D8" w:rsidP="004A28D8">
            <w:pPr>
              <w:pStyle w:val="Tableheadingrow"/>
              <w:jc w:val="center"/>
              <w:rPr>
                <w:lang w:val="en-AU"/>
              </w:rPr>
            </w:pPr>
            <w:r w:rsidRPr="001677F9">
              <w:rPr>
                <w:lang w:val="en-AU"/>
              </w:rPr>
              <w:t>Financial estimates</w:t>
            </w:r>
          </w:p>
        </w:tc>
      </w:tr>
      <w:tr w:rsidR="004A28D8" w:rsidRPr="001677F9" w14:paraId="600B6D14" w14:textId="77777777" w:rsidTr="004A28D8">
        <w:trPr>
          <w:cantSplit/>
          <w:jc w:val="center"/>
        </w:trPr>
        <w:tc>
          <w:tcPr>
            <w:tcW w:w="1000" w:type="pct"/>
            <w:tcMar>
              <w:top w:w="0" w:type="dxa"/>
              <w:left w:w="28" w:type="dxa"/>
              <w:bottom w:w="0" w:type="dxa"/>
              <w:right w:w="28" w:type="dxa"/>
            </w:tcMar>
            <w:vAlign w:val="center"/>
            <w:hideMark/>
          </w:tcPr>
          <w:p w14:paraId="0D28D18A" w14:textId="77777777" w:rsidR="004A28D8" w:rsidRPr="001677F9" w:rsidRDefault="004A28D8" w:rsidP="004A28D8">
            <w:pPr>
              <w:pStyle w:val="TableText0"/>
            </w:pPr>
            <w:r w:rsidRPr="001677F9">
              <w:t>Daily dose</w:t>
            </w:r>
          </w:p>
        </w:tc>
        <w:tc>
          <w:tcPr>
            <w:tcW w:w="1000" w:type="pct"/>
            <w:tcMar>
              <w:top w:w="0" w:type="dxa"/>
              <w:left w:w="28" w:type="dxa"/>
              <w:bottom w:w="0" w:type="dxa"/>
              <w:right w:w="28" w:type="dxa"/>
            </w:tcMar>
            <w:vAlign w:val="center"/>
            <w:hideMark/>
          </w:tcPr>
          <w:p w14:paraId="71FB4B9C" w14:textId="77777777" w:rsidR="004A28D8" w:rsidRPr="001677F9" w:rsidRDefault="004A28D8" w:rsidP="004A28D8">
            <w:pPr>
              <w:pStyle w:val="TableText0"/>
              <w:jc w:val="center"/>
            </w:pPr>
            <w:r w:rsidRPr="001677F9">
              <w:t>10 mg daily</w:t>
            </w:r>
          </w:p>
        </w:tc>
        <w:tc>
          <w:tcPr>
            <w:tcW w:w="1000" w:type="pct"/>
          </w:tcPr>
          <w:p w14:paraId="5491E5E1" w14:textId="77777777" w:rsidR="004A28D8" w:rsidRPr="001677F9" w:rsidRDefault="004A28D8" w:rsidP="004A28D8">
            <w:pPr>
              <w:pStyle w:val="TableText0"/>
              <w:jc w:val="center"/>
            </w:pPr>
            <w:r w:rsidRPr="001677F9">
              <w:t>10 mg daily</w:t>
            </w:r>
          </w:p>
        </w:tc>
        <w:tc>
          <w:tcPr>
            <w:tcW w:w="1000" w:type="pct"/>
            <w:vAlign w:val="center"/>
          </w:tcPr>
          <w:p w14:paraId="0BECCC2E" w14:textId="56302F33" w:rsidR="004A28D8" w:rsidRPr="001677F9" w:rsidRDefault="004A28D8" w:rsidP="004A28D8">
            <w:pPr>
              <w:pStyle w:val="TableText0"/>
              <w:jc w:val="center"/>
            </w:pPr>
            <w:r w:rsidRPr="001677F9">
              <w:t>10 mg daily</w:t>
            </w:r>
          </w:p>
        </w:tc>
        <w:tc>
          <w:tcPr>
            <w:tcW w:w="1000" w:type="pct"/>
            <w:tcMar>
              <w:top w:w="0" w:type="dxa"/>
              <w:left w:w="28" w:type="dxa"/>
              <w:bottom w:w="0" w:type="dxa"/>
              <w:right w:w="28" w:type="dxa"/>
            </w:tcMar>
            <w:vAlign w:val="center"/>
            <w:hideMark/>
          </w:tcPr>
          <w:p w14:paraId="7C2CDC46" w14:textId="7524480B" w:rsidR="004A28D8" w:rsidRPr="001677F9" w:rsidRDefault="004A28D8" w:rsidP="004A28D8">
            <w:pPr>
              <w:pStyle w:val="TableText0"/>
              <w:jc w:val="center"/>
            </w:pPr>
            <w:r w:rsidRPr="001677F9">
              <w:t>10 mg daily</w:t>
            </w:r>
          </w:p>
        </w:tc>
      </w:tr>
      <w:tr w:rsidR="004A28D8" w:rsidRPr="001677F9" w14:paraId="20552CF8" w14:textId="77777777" w:rsidTr="004A28D8">
        <w:trPr>
          <w:cantSplit/>
          <w:jc w:val="center"/>
        </w:trPr>
        <w:tc>
          <w:tcPr>
            <w:tcW w:w="1000" w:type="pct"/>
            <w:tcMar>
              <w:top w:w="0" w:type="dxa"/>
              <w:left w:w="28" w:type="dxa"/>
              <w:bottom w:w="0" w:type="dxa"/>
              <w:right w:w="28" w:type="dxa"/>
            </w:tcMar>
            <w:vAlign w:val="center"/>
            <w:hideMark/>
          </w:tcPr>
          <w:p w14:paraId="316477A7" w14:textId="77777777" w:rsidR="004A28D8" w:rsidRPr="001677F9" w:rsidRDefault="004A28D8" w:rsidP="004A28D8">
            <w:pPr>
              <w:pStyle w:val="TableText0"/>
            </w:pPr>
            <w:r w:rsidRPr="001677F9">
              <w:t>Cost per pack of 28 tablets (proposed DPMQ)</w:t>
            </w:r>
          </w:p>
        </w:tc>
        <w:tc>
          <w:tcPr>
            <w:tcW w:w="1000" w:type="pct"/>
            <w:tcMar>
              <w:top w:w="0" w:type="dxa"/>
              <w:left w:w="28" w:type="dxa"/>
              <w:bottom w:w="0" w:type="dxa"/>
              <w:right w:w="28" w:type="dxa"/>
            </w:tcMar>
            <w:vAlign w:val="center"/>
            <w:hideMark/>
          </w:tcPr>
          <w:p w14:paraId="764EFDE8" w14:textId="77777777" w:rsidR="004A28D8" w:rsidRPr="001677F9" w:rsidRDefault="004A28D8" w:rsidP="004A28D8">
            <w:pPr>
              <w:pStyle w:val="TableText0"/>
              <w:jc w:val="center"/>
            </w:pPr>
            <w:r w:rsidRPr="001677F9">
              <w:t>-</w:t>
            </w:r>
          </w:p>
        </w:tc>
        <w:tc>
          <w:tcPr>
            <w:tcW w:w="1000" w:type="pct"/>
            <w:vAlign w:val="center"/>
          </w:tcPr>
          <w:p w14:paraId="0A98BD36" w14:textId="77777777" w:rsidR="004A28D8" w:rsidRPr="001677F9" w:rsidRDefault="004A28D8" w:rsidP="004A28D8">
            <w:pPr>
              <w:pStyle w:val="TableText0"/>
              <w:jc w:val="center"/>
            </w:pPr>
            <w:r w:rsidRPr="001677F9">
              <w:t>$56.97</w:t>
            </w:r>
          </w:p>
        </w:tc>
        <w:tc>
          <w:tcPr>
            <w:tcW w:w="1000" w:type="pct"/>
            <w:vAlign w:val="center"/>
          </w:tcPr>
          <w:p w14:paraId="3C9DEEDF" w14:textId="118FAAD8" w:rsidR="004A28D8" w:rsidRPr="001677F9" w:rsidRDefault="004A28D8" w:rsidP="004A28D8">
            <w:pPr>
              <w:pStyle w:val="TableText0"/>
              <w:jc w:val="center"/>
            </w:pPr>
            <w:r w:rsidRPr="001677F9">
              <w:t>$56.97</w:t>
            </w:r>
          </w:p>
        </w:tc>
        <w:tc>
          <w:tcPr>
            <w:tcW w:w="1000" w:type="pct"/>
            <w:tcMar>
              <w:top w:w="0" w:type="dxa"/>
              <w:left w:w="28" w:type="dxa"/>
              <w:bottom w:w="0" w:type="dxa"/>
              <w:right w:w="28" w:type="dxa"/>
            </w:tcMar>
            <w:vAlign w:val="center"/>
          </w:tcPr>
          <w:p w14:paraId="209F74EB" w14:textId="1661AFB2" w:rsidR="004A28D8" w:rsidRPr="001677F9" w:rsidRDefault="004A28D8" w:rsidP="004A28D8">
            <w:pPr>
              <w:pStyle w:val="TableText0"/>
              <w:jc w:val="center"/>
            </w:pPr>
            <w:r w:rsidRPr="001677F9">
              <w:t>$56.97</w:t>
            </w:r>
          </w:p>
        </w:tc>
      </w:tr>
      <w:tr w:rsidR="004A28D8" w:rsidRPr="001677F9" w14:paraId="5EDCBA24" w14:textId="77777777" w:rsidTr="004A28D8">
        <w:trPr>
          <w:cantSplit/>
          <w:jc w:val="center"/>
        </w:trPr>
        <w:tc>
          <w:tcPr>
            <w:tcW w:w="1000" w:type="pct"/>
            <w:tcMar>
              <w:top w:w="0" w:type="dxa"/>
              <w:left w:w="28" w:type="dxa"/>
              <w:bottom w:w="0" w:type="dxa"/>
              <w:right w:w="28" w:type="dxa"/>
            </w:tcMar>
            <w:vAlign w:val="center"/>
          </w:tcPr>
          <w:p w14:paraId="7EAAF883" w14:textId="77777777" w:rsidR="004A28D8" w:rsidRPr="001677F9" w:rsidRDefault="004A28D8" w:rsidP="004A28D8">
            <w:pPr>
              <w:pStyle w:val="TableText0"/>
            </w:pPr>
            <w:r w:rsidRPr="001677F9">
              <w:t>Compliance</w:t>
            </w:r>
          </w:p>
        </w:tc>
        <w:tc>
          <w:tcPr>
            <w:tcW w:w="1000" w:type="pct"/>
            <w:tcMar>
              <w:top w:w="0" w:type="dxa"/>
              <w:left w:w="28" w:type="dxa"/>
              <w:bottom w:w="0" w:type="dxa"/>
              <w:right w:w="28" w:type="dxa"/>
            </w:tcMar>
            <w:vAlign w:val="center"/>
          </w:tcPr>
          <w:p w14:paraId="000CB24E" w14:textId="77777777" w:rsidR="004A28D8" w:rsidRPr="001677F9" w:rsidRDefault="004A28D8" w:rsidP="004A28D8">
            <w:pPr>
              <w:pStyle w:val="TableText0"/>
              <w:jc w:val="center"/>
            </w:pPr>
            <w:r w:rsidRPr="001677F9">
              <w:t>97.2%</w:t>
            </w:r>
          </w:p>
        </w:tc>
        <w:tc>
          <w:tcPr>
            <w:tcW w:w="1000" w:type="pct"/>
            <w:vAlign w:val="center"/>
          </w:tcPr>
          <w:p w14:paraId="46F3CF11" w14:textId="77777777" w:rsidR="004A28D8" w:rsidRPr="001677F9" w:rsidRDefault="004A28D8" w:rsidP="004A28D8">
            <w:pPr>
              <w:pStyle w:val="TableText0"/>
              <w:jc w:val="center"/>
            </w:pPr>
            <w:r w:rsidRPr="001677F9">
              <w:t>100%</w:t>
            </w:r>
          </w:p>
        </w:tc>
        <w:tc>
          <w:tcPr>
            <w:tcW w:w="1000" w:type="pct"/>
            <w:vAlign w:val="center"/>
          </w:tcPr>
          <w:p w14:paraId="18887460" w14:textId="4F99E8D9" w:rsidR="004A28D8" w:rsidRPr="001677F9" w:rsidRDefault="004A28D8" w:rsidP="004A28D8">
            <w:pPr>
              <w:pStyle w:val="TableText0"/>
              <w:jc w:val="center"/>
            </w:pPr>
            <w:r w:rsidRPr="001677F9">
              <w:t>97.2%</w:t>
            </w:r>
          </w:p>
        </w:tc>
        <w:tc>
          <w:tcPr>
            <w:tcW w:w="1000" w:type="pct"/>
            <w:tcMar>
              <w:top w:w="0" w:type="dxa"/>
              <w:left w:w="28" w:type="dxa"/>
              <w:bottom w:w="0" w:type="dxa"/>
              <w:right w:w="28" w:type="dxa"/>
            </w:tcMar>
            <w:vAlign w:val="center"/>
          </w:tcPr>
          <w:p w14:paraId="125B97D6" w14:textId="11E1A520" w:rsidR="004A28D8" w:rsidRPr="001677F9" w:rsidRDefault="004A28D8" w:rsidP="004A28D8">
            <w:pPr>
              <w:pStyle w:val="TableText0"/>
              <w:jc w:val="center"/>
              <w:rPr>
                <w:vertAlign w:val="superscript"/>
              </w:rPr>
            </w:pPr>
            <w:r w:rsidRPr="001677F9">
              <w:t>97.2%</w:t>
            </w:r>
          </w:p>
        </w:tc>
      </w:tr>
      <w:tr w:rsidR="004A28D8" w:rsidRPr="001677F9" w14:paraId="68AFE328" w14:textId="77777777" w:rsidTr="004A28D8">
        <w:trPr>
          <w:cantSplit/>
          <w:jc w:val="center"/>
        </w:trPr>
        <w:tc>
          <w:tcPr>
            <w:tcW w:w="1000" w:type="pct"/>
            <w:tcMar>
              <w:top w:w="0" w:type="dxa"/>
              <w:left w:w="28" w:type="dxa"/>
              <w:bottom w:w="0" w:type="dxa"/>
              <w:right w:w="28" w:type="dxa"/>
            </w:tcMar>
            <w:vAlign w:val="center"/>
            <w:hideMark/>
          </w:tcPr>
          <w:p w14:paraId="54DDE945" w14:textId="77777777" w:rsidR="004A28D8" w:rsidRPr="001677F9" w:rsidRDefault="004A28D8" w:rsidP="004A28D8">
            <w:pPr>
              <w:pStyle w:val="TableText0"/>
            </w:pPr>
            <w:r w:rsidRPr="001677F9">
              <w:t>Number of scripts per year</w:t>
            </w:r>
          </w:p>
        </w:tc>
        <w:tc>
          <w:tcPr>
            <w:tcW w:w="1000" w:type="pct"/>
            <w:tcMar>
              <w:top w:w="0" w:type="dxa"/>
              <w:left w:w="28" w:type="dxa"/>
              <w:bottom w:w="0" w:type="dxa"/>
              <w:right w:w="28" w:type="dxa"/>
            </w:tcMar>
            <w:vAlign w:val="center"/>
            <w:hideMark/>
          </w:tcPr>
          <w:p w14:paraId="604ACF03" w14:textId="77777777" w:rsidR="004A28D8" w:rsidRPr="001677F9" w:rsidRDefault="004A28D8" w:rsidP="004A28D8">
            <w:pPr>
              <w:pStyle w:val="TableText0"/>
              <w:jc w:val="center"/>
            </w:pPr>
            <w:r w:rsidRPr="001677F9">
              <w:t>-</w:t>
            </w:r>
          </w:p>
        </w:tc>
        <w:tc>
          <w:tcPr>
            <w:tcW w:w="1000" w:type="pct"/>
            <w:vAlign w:val="center"/>
          </w:tcPr>
          <w:p w14:paraId="2F4CBA17" w14:textId="77777777" w:rsidR="004A28D8" w:rsidRPr="001677F9" w:rsidRDefault="004A28D8" w:rsidP="004A28D8">
            <w:pPr>
              <w:pStyle w:val="TableText0"/>
              <w:jc w:val="center"/>
            </w:pPr>
            <w:r w:rsidRPr="001677F9">
              <w:t>13.04 (=365.25/28)</w:t>
            </w:r>
          </w:p>
        </w:tc>
        <w:tc>
          <w:tcPr>
            <w:tcW w:w="1000" w:type="pct"/>
            <w:vAlign w:val="center"/>
          </w:tcPr>
          <w:p w14:paraId="06CB570F" w14:textId="5E86B881" w:rsidR="004A28D8" w:rsidRPr="001677F9" w:rsidRDefault="004A28D8" w:rsidP="004A28D8">
            <w:pPr>
              <w:pStyle w:val="TableText0"/>
              <w:jc w:val="center"/>
            </w:pPr>
            <w:r w:rsidRPr="001677F9">
              <w:t>12.67 (=365.25/28 × 97.2%)</w:t>
            </w:r>
          </w:p>
        </w:tc>
        <w:tc>
          <w:tcPr>
            <w:tcW w:w="1000" w:type="pct"/>
            <w:tcMar>
              <w:top w:w="0" w:type="dxa"/>
              <w:left w:w="28" w:type="dxa"/>
              <w:bottom w:w="0" w:type="dxa"/>
              <w:right w:w="28" w:type="dxa"/>
            </w:tcMar>
            <w:vAlign w:val="center"/>
            <w:hideMark/>
          </w:tcPr>
          <w:p w14:paraId="2D8BD67A" w14:textId="45E53FBF" w:rsidR="004A28D8" w:rsidRPr="001677F9" w:rsidRDefault="004A28D8" w:rsidP="004A28D8">
            <w:pPr>
              <w:pStyle w:val="TableText0"/>
              <w:jc w:val="center"/>
            </w:pPr>
            <w:r w:rsidRPr="001677F9">
              <w:t>12.67 (=365.25/28 × 97.2%)</w:t>
            </w:r>
          </w:p>
        </w:tc>
      </w:tr>
      <w:tr w:rsidR="004A28D8" w:rsidRPr="001677F9" w14:paraId="27AF224D" w14:textId="77777777" w:rsidTr="004A28D8">
        <w:trPr>
          <w:cantSplit/>
          <w:jc w:val="center"/>
        </w:trPr>
        <w:tc>
          <w:tcPr>
            <w:tcW w:w="1000" w:type="pct"/>
            <w:tcMar>
              <w:top w:w="0" w:type="dxa"/>
              <w:left w:w="28" w:type="dxa"/>
              <w:bottom w:w="0" w:type="dxa"/>
              <w:right w:w="28" w:type="dxa"/>
            </w:tcMar>
            <w:vAlign w:val="center"/>
            <w:hideMark/>
          </w:tcPr>
          <w:p w14:paraId="3EAA5165" w14:textId="77777777" w:rsidR="004A28D8" w:rsidRPr="001677F9" w:rsidRDefault="004A28D8" w:rsidP="004A28D8">
            <w:pPr>
              <w:pStyle w:val="TableText0"/>
            </w:pPr>
            <w:r w:rsidRPr="001677F9">
              <w:t>Cost per year</w:t>
            </w:r>
          </w:p>
        </w:tc>
        <w:tc>
          <w:tcPr>
            <w:tcW w:w="1000" w:type="pct"/>
            <w:tcMar>
              <w:top w:w="0" w:type="dxa"/>
              <w:left w:w="28" w:type="dxa"/>
              <w:bottom w:w="0" w:type="dxa"/>
              <w:right w:w="28" w:type="dxa"/>
            </w:tcMar>
            <w:vAlign w:val="center"/>
            <w:hideMark/>
          </w:tcPr>
          <w:p w14:paraId="27015DB2" w14:textId="77777777" w:rsidR="004A28D8" w:rsidRPr="001677F9" w:rsidRDefault="004A28D8" w:rsidP="004A28D8">
            <w:pPr>
              <w:pStyle w:val="TableText0"/>
              <w:jc w:val="center"/>
            </w:pPr>
            <w:r w:rsidRPr="001677F9">
              <w:t>-</w:t>
            </w:r>
          </w:p>
        </w:tc>
        <w:tc>
          <w:tcPr>
            <w:tcW w:w="1000" w:type="pct"/>
            <w:vAlign w:val="center"/>
          </w:tcPr>
          <w:p w14:paraId="55DC75EE" w14:textId="77777777" w:rsidR="004A28D8" w:rsidRPr="001677F9" w:rsidRDefault="004A28D8" w:rsidP="004A28D8">
            <w:pPr>
              <w:pStyle w:val="TableText0"/>
              <w:jc w:val="center"/>
            </w:pPr>
            <w:r w:rsidRPr="001677F9">
              <w:t>$742.89</w:t>
            </w:r>
          </w:p>
        </w:tc>
        <w:tc>
          <w:tcPr>
            <w:tcW w:w="1000" w:type="pct"/>
            <w:vAlign w:val="center"/>
          </w:tcPr>
          <w:p w14:paraId="06E23DF6" w14:textId="71610760" w:rsidR="004A28D8" w:rsidRPr="001677F9" w:rsidRDefault="004A28D8" w:rsidP="004A28D8">
            <w:pPr>
              <w:pStyle w:val="TableText0"/>
              <w:jc w:val="center"/>
            </w:pPr>
            <w:r w:rsidRPr="001677F9">
              <w:t>$722.35</w:t>
            </w:r>
          </w:p>
        </w:tc>
        <w:tc>
          <w:tcPr>
            <w:tcW w:w="1000" w:type="pct"/>
            <w:tcMar>
              <w:top w:w="0" w:type="dxa"/>
              <w:left w:w="28" w:type="dxa"/>
              <w:bottom w:w="0" w:type="dxa"/>
              <w:right w:w="28" w:type="dxa"/>
            </w:tcMar>
            <w:vAlign w:val="center"/>
            <w:hideMark/>
          </w:tcPr>
          <w:p w14:paraId="05A50B4C" w14:textId="41D797AA" w:rsidR="004A28D8" w:rsidRPr="001677F9" w:rsidRDefault="004A28D8" w:rsidP="004A28D8">
            <w:pPr>
              <w:pStyle w:val="TableText0"/>
              <w:jc w:val="center"/>
            </w:pPr>
            <w:r w:rsidRPr="001677F9">
              <w:t>$722.35</w:t>
            </w:r>
          </w:p>
        </w:tc>
      </w:tr>
      <w:tr w:rsidR="004A28D8" w:rsidRPr="001677F9" w14:paraId="65FA80E5" w14:textId="77777777" w:rsidTr="004A28D8">
        <w:trPr>
          <w:cantSplit/>
          <w:trHeight w:val="1389"/>
          <w:jc w:val="center"/>
        </w:trPr>
        <w:tc>
          <w:tcPr>
            <w:tcW w:w="1000" w:type="pct"/>
            <w:tcMar>
              <w:top w:w="0" w:type="dxa"/>
              <w:left w:w="28" w:type="dxa"/>
              <w:bottom w:w="0" w:type="dxa"/>
              <w:right w:w="28" w:type="dxa"/>
            </w:tcMar>
            <w:vAlign w:val="center"/>
          </w:tcPr>
          <w:p w14:paraId="04C3A696" w14:textId="77777777" w:rsidR="004A28D8" w:rsidRPr="001677F9" w:rsidRDefault="004A28D8" w:rsidP="004A28D8">
            <w:pPr>
              <w:pStyle w:val="TableText0"/>
            </w:pPr>
            <w:r w:rsidRPr="001677F9">
              <w:t>Proportion of patients on treatment (persistence)</w:t>
            </w:r>
          </w:p>
        </w:tc>
        <w:tc>
          <w:tcPr>
            <w:tcW w:w="1000" w:type="pct"/>
            <w:tcMar>
              <w:top w:w="0" w:type="dxa"/>
              <w:left w:w="28" w:type="dxa"/>
              <w:bottom w:w="0" w:type="dxa"/>
              <w:right w:w="28" w:type="dxa"/>
            </w:tcMar>
            <w:vAlign w:val="center"/>
          </w:tcPr>
          <w:p w14:paraId="60DA8E53" w14:textId="77777777" w:rsidR="004A28D8" w:rsidRPr="001677F9" w:rsidRDefault="004A28D8" w:rsidP="004A28D8">
            <w:pPr>
              <w:pStyle w:val="TableText0"/>
              <w:jc w:val="center"/>
            </w:pPr>
            <w:r w:rsidRPr="001677F9">
              <w:t>At a median follow-up of 28 months, 77% of patients in the dapagliflozin arm remained on treatment.</w:t>
            </w:r>
          </w:p>
        </w:tc>
        <w:tc>
          <w:tcPr>
            <w:tcW w:w="1000" w:type="pct"/>
            <w:vAlign w:val="center"/>
          </w:tcPr>
          <w:p w14:paraId="421E5F0F" w14:textId="77777777" w:rsidR="004A28D8" w:rsidRPr="001677F9" w:rsidRDefault="004A28D8" w:rsidP="004A28D8">
            <w:pPr>
              <w:pStyle w:val="TableText0"/>
              <w:jc w:val="center"/>
            </w:pPr>
            <w:r w:rsidRPr="001677F9">
              <w:t>Not included in the prevalence approach</w:t>
            </w:r>
          </w:p>
        </w:tc>
        <w:tc>
          <w:tcPr>
            <w:tcW w:w="1000" w:type="pct"/>
          </w:tcPr>
          <w:p w14:paraId="3264D7E6" w14:textId="77777777" w:rsidR="004A28D8" w:rsidRPr="001677F9" w:rsidRDefault="004A28D8" w:rsidP="004A28D8">
            <w:pPr>
              <w:pStyle w:val="TableText0"/>
              <w:jc w:val="center"/>
              <w:rPr>
                <w:vertAlign w:val="superscript"/>
              </w:rPr>
            </w:pPr>
            <w:r w:rsidRPr="001677F9">
              <w:t>Year 1: 93.2%</w:t>
            </w:r>
            <w:r w:rsidRPr="001677F9">
              <w:rPr>
                <w:vertAlign w:val="superscript"/>
              </w:rPr>
              <w:t>a</w:t>
            </w:r>
          </w:p>
          <w:p w14:paraId="61BB6D4B" w14:textId="77777777" w:rsidR="004A28D8" w:rsidRPr="001677F9" w:rsidRDefault="004A28D8" w:rsidP="004A28D8">
            <w:pPr>
              <w:pStyle w:val="TableText0"/>
              <w:jc w:val="center"/>
            </w:pPr>
            <w:r w:rsidRPr="001677F9">
              <w:t>Year 2: 86.9 %</w:t>
            </w:r>
          </w:p>
          <w:p w14:paraId="6E5CAECF" w14:textId="77777777" w:rsidR="004A28D8" w:rsidRPr="001677F9" w:rsidRDefault="004A28D8" w:rsidP="004A28D8">
            <w:pPr>
              <w:pStyle w:val="TableText0"/>
              <w:jc w:val="center"/>
            </w:pPr>
            <w:r w:rsidRPr="001677F9">
              <w:t>Year 3: 81.0%</w:t>
            </w:r>
          </w:p>
          <w:p w14:paraId="74AB2FDC" w14:textId="77777777" w:rsidR="004A28D8" w:rsidRPr="001677F9" w:rsidRDefault="004A28D8" w:rsidP="004A28D8">
            <w:pPr>
              <w:pStyle w:val="TableText0"/>
              <w:jc w:val="center"/>
            </w:pPr>
            <w:r w:rsidRPr="001677F9">
              <w:t>Year 4: 75.5%</w:t>
            </w:r>
          </w:p>
          <w:p w14:paraId="66580414" w14:textId="77777777" w:rsidR="004A28D8" w:rsidRPr="001677F9" w:rsidRDefault="004A28D8" w:rsidP="004A28D8">
            <w:pPr>
              <w:pStyle w:val="TableText0"/>
              <w:jc w:val="center"/>
            </w:pPr>
            <w:r w:rsidRPr="001677F9">
              <w:t>Year 5: 70.4%</w:t>
            </w:r>
          </w:p>
          <w:p w14:paraId="495BE397" w14:textId="59A16887" w:rsidR="004A28D8" w:rsidRPr="001677F9" w:rsidRDefault="004A28D8" w:rsidP="004A28D8">
            <w:pPr>
              <w:pStyle w:val="TableText0"/>
              <w:jc w:val="center"/>
            </w:pPr>
            <w:r w:rsidRPr="001677F9">
              <w:t>Year 6: 65.6%</w:t>
            </w:r>
          </w:p>
        </w:tc>
        <w:tc>
          <w:tcPr>
            <w:tcW w:w="1000" w:type="pct"/>
            <w:tcMar>
              <w:top w:w="0" w:type="dxa"/>
              <w:left w:w="28" w:type="dxa"/>
              <w:bottom w:w="0" w:type="dxa"/>
              <w:right w:w="28" w:type="dxa"/>
            </w:tcMar>
            <w:vAlign w:val="center"/>
          </w:tcPr>
          <w:p w14:paraId="2231A7AE" w14:textId="306FBABE" w:rsidR="004A28D8" w:rsidRPr="001677F9" w:rsidRDefault="004A28D8" w:rsidP="004A28D8">
            <w:pPr>
              <w:pStyle w:val="TableText0"/>
              <w:jc w:val="center"/>
            </w:pPr>
            <w:r w:rsidRPr="001677F9">
              <w:t xml:space="preserve">The median duration of treatment was 9.9 years. At Year 6 100% of patients were on treatment. </w:t>
            </w:r>
          </w:p>
        </w:tc>
      </w:tr>
    </w:tbl>
    <w:p w14:paraId="0F32CBAA" w14:textId="77777777" w:rsidR="0023506D" w:rsidRPr="001677F9" w:rsidRDefault="0023506D" w:rsidP="0023506D">
      <w:pPr>
        <w:pStyle w:val="FooterTableFigure"/>
        <w:spacing w:after="0"/>
        <w:rPr>
          <w:rStyle w:val="ui-provider"/>
        </w:rPr>
      </w:pPr>
      <w:bookmarkStart w:id="71" w:name="_Hlk132629349"/>
      <w:bookmarkStart w:id="72" w:name="_Hlk132630795"/>
      <w:r w:rsidRPr="001677F9">
        <w:rPr>
          <w:rStyle w:val="ui-provider"/>
        </w:rPr>
        <w:t xml:space="preserve">Compiled during the evaluation based on Section 1.6.5 p34, Table 3.3-1 p112; Table 4.2-1 p117, p120 of the submission; Section1.4.3 p15, Appendix A.1 of the submission, Section 3 Workbook, sheet Dapagliflozin+SoC Trace: cell AN27; AN39; AN51; AN63; AN75; </w:t>
      </w:r>
      <w:proofErr w:type="gramStart"/>
      <w:r w:rsidRPr="001677F9">
        <w:rPr>
          <w:rStyle w:val="ui-provider"/>
        </w:rPr>
        <w:t>AN87</w:t>
      </w:r>
      <w:proofErr w:type="gramEnd"/>
    </w:p>
    <w:p w14:paraId="018CB7DF" w14:textId="7F6C0DAF" w:rsidR="00980351" w:rsidRPr="001677F9" w:rsidRDefault="00980351" w:rsidP="0023506D">
      <w:pPr>
        <w:pStyle w:val="TableFigureFooter"/>
        <w:spacing w:after="0"/>
        <w:rPr>
          <w:iCs/>
        </w:rPr>
      </w:pPr>
      <w:bookmarkStart w:id="73" w:name="_Hlk132627968"/>
      <w:bookmarkEnd w:id="71"/>
      <w:r w:rsidRPr="001677F9">
        <w:rPr>
          <w:iCs/>
        </w:rPr>
        <w:t xml:space="preserve">CMA = cost minimisation </w:t>
      </w:r>
      <w:r w:rsidR="00E332A0" w:rsidRPr="001677F9">
        <w:rPr>
          <w:iCs/>
        </w:rPr>
        <w:t>approach</w:t>
      </w:r>
      <w:r w:rsidRPr="001677F9">
        <w:rPr>
          <w:iCs/>
        </w:rPr>
        <w:t>; CUA = cost-utility analysis; DPMQ = dispensed price per maximum quantity</w:t>
      </w:r>
      <w:r w:rsidR="00C40B88" w:rsidRPr="001677F9">
        <w:rPr>
          <w:iCs/>
        </w:rPr>
        <w:t>.</w:t>
      </w:r>
    </w:p>
    <w:bookmarkEnd w:id="73"/>
    <w:p w14:paraId="0E768D34" w14:textId="2F15AF9B" w:rsidR="00980351" w:rsidRPr="001677F9" w:rsidRDefault="0023506D" w:rsidP="0023506D">
      <w:pPr>
        <w:pStyle w:val="TableFigureFooter"/>
      </w:pPr>
      <w:proofErr w:type="gramStart"/>
      <w:r w:rsidRPr="001677F9">
        <w:rPr>
          <w:vertAlign w:val="superscript"/>
        </w:rPr>
        <w:t>a</w:t>
      </w:r>
      <w:proofErr w:type="gramEnd"/>
      <w:r w:rsidRPr="001677F9">
        <w:t xml:space="preserve"> </w:t>
      </w:r>
      <w:r w:rsidR="00980351" w:rsidRPr="001677F9">
        <w:t>Estimates based on the proportion of discontinuation (0.06771) in each year</w:t>
      </w:r>
    </w:p>
    <w:p w14:paraId="7513B74A" w14:textId="77777777" w:rsidR="00980351" w:rsidRPr="001677F9" w:rsidRDefault="00980351" w:rsidP="00980351">
      <w:pPr>
        <w:pStyle w:val="4-SubsectionHeading"/>
      </w:pPr>
      <w:bookmarkStart w:id="74" w:name="_Toc22897647"/>
      <w:bookmarkStart w:id="75" w:name="_Toc135217179"/>
      <w:bookmarkEnd w:id="69"/>
      <w:bookmarkEnd w:id="72"/>
      <w:r w:rsidRPr="001677F9">
        <w:t xml:space="preserve">Estimated PBS usage &amp; financial </w:t>
      </w:r>
      <w:proofErr w:type="gramStart"/>
      <w:r w:rsidRPr="001677F9">
        <w:t>implications</w:t>
      </w:r>
      <w:bookmarkEnd w:id="74"/>
      <w:bookmarkEnd w:id="75"/>
      <w:proofErr w:type="gramEnd"/>
    </w:p>
    <w:p w14:paraId="106B8E74" w14:textId="38AD3A55" w:rsidR="00980351" w:rsidRPr="001677F9" w:rsidRDefault="00980351" w:rsidP="00980351">
      <w:pPr>
        <w:pStyle w:val="3-BodyText"/>
      </w:pPr>
      <w:bookmarkStart w:id="76" w:name="_Ref104805262"/>
      <w:r w:rsidRPr="001677F9">
        <w:t xml:space="preserve">This submission </w:t>
      </w:r>
      <w:r w:rsidR="00D17B42" w:rsidRPr="001677F9">
        <w:t>was</w:t>
      </w:r>
      <w:r w:rsidRPr="001677F9">
        <w:t xml:space="preserve"> not considered by DUSC. The submission presented an epidemiological approach to estimate the utilisation and financial impacts associated with the PBS listing of dapagliflozin for the treatment of HF patients with LVEF&gt;40% over 6 years. The submission assumed no changes in the expected use of other medicines and estimated that the estimated net PBS/RPBS cost of dapagliflozin (published DPMQ) was </w:t>
      </w:r>
      <w:r w:rsidR="00DD0BC5" w:rsidRPr="00DD0BC5">
        <w:t>$90</w:t>
      </w:r>
      <w:r w:rsidR="002A355D">
        <w:t> </w:t>
      </w:r>
      <w:r w:rsidR="00DD0BC5" w:rsidRPr="00DD0BC5">
        <w:t>million</w:t>
      </w:r>
      <w:r w:rsidR="002A355D">
        <w:t> </w:t>
      </w:r>
      <w:r w:rsidR="00DD0BC5" w:rsidRPr="00DD0BC5">
        <w:t>to</w:t>
      </w:r>
      <w:r w:rsidR="002A355D">
        <w:t> </w:t>
      </w:r>
      <w:r w:rsidR="00DD0BC5" w:rsidRPr="00DD0BC5">
        <w:t>&lt;</w:t>
      </w:r>
      <w:r w:rsidR="002A355D">
        <w:t> </w:t>
      </w:r>
      <w:r w:rsidR="00DD0BC5" w:rsidRPr="00DD0BC5">
        <w:t>$100 million</w:t>
      </w:r>
      <w:r w:rsidR="00DD0BC5">
        <w:t xml:space="preserve"> </w:t>
      </w:r>
      <w:r w:rsidRPr="001677F9">
        <w:t xml:space="preserve">in Year 6. </w:t>
      </w:r>
      <w:r w:rsidRPr="001677F9">
        <w:rPr>
          <w:bCs/>
        </w:rPr>
        <w:t>The estimation of a positive financial impact associated with dapagliflozin listing was reasonable</w:t>
      </w:r>
      <w:r w:rsidR="000B7FFA" w:rsidRPr="001677F9">
        <w:rPr>
          <w:bCs/>
        </w:rPr>
        <w:t xml:space="preserve"> given that empagliflozin is </w:t>
      </w:r>
      <w:proofErr w:type="gramStart"/>
      <w:r w:rsidR="000B7FFA" w:rsidRPr="001677F9">
        <w:rPr>
          <w:bCs/>
        </w:rPr>
        <w:t>not</w:t>
      </w:r>
      <w:proofErr w:type="gramEnd"/>
      <w:r w:rsidR="000B7FFA" w:rsidRPr="001677F9">
        <w:rPr>
          <w:bCs/>
        </w:rPr>
        <w:t xml:space="preserve"> yet PBS listed</w:t>
      </w:r>
      <w:r w:rsidRPr="001677F9">
        <w:t xml:space="preserve">. </w:t>
      </w:r>
    </w:p>
    <w:p w14:paraId="0944BE0D" w14:textId="3B0221FF" w:rsidR="00980351" w:rsidRPr="001677F9" w:rsidRDefault="00980351" w:rsidP="00980351">
      <w:pPr>
        <w:pStyle w:val="3-BodyText"/>
      </w:pPr>
      <w:r w:rsidRPr="001677F9">
        <w:t xml:space="preserve">The key inputs for financial estimates are presented in </w:t>
      </w:r>
      <w:r w:rsidR="00566673" w:rsidRPr="001677F9">
        <w:fldChar w:fldCharType="begin" w:fldLock="1"/>
      </w:r>
      <w:r w:rsidR="00566673" w:rsidRPr="001677F9">
        <w:instrText xml:space="preserve"> REF _Ref132377488 \h </w:instrText>
      </w:r>
      <w:r w:rsidR="00566673" w:rsidRPr="001677F9">
        <w:fldChar w:fldCharType="separate"/>
      </w:r>
      <w:r w:rsidR="002C43D4" w:rsidRPr="001677F9">
        <w:t>Table 14</w:t>
      </w:r>
      <w:r w:rsidR="00566673" w:rsidRPr="001677F9">
        <w:fldChar w:fldCharType="end"/>
      </w:r>
      <w:r w:rsidR="00566673" w:rsidRPr="001677F9">
        <w:t>.</w:t>
      </w:r>
    </w:p>
    <w:p w14:paraId="2D3BBE42" w14:textId="53AB60CE" w:rsidR="00980351" w:rsidRPr="001677F9" w:rsidRDefault="00566673" w:rsidP="00566673">
      <w:pPr>
        <w:pStyle w:val="Caption"/>
        <w:rPr>
          <w:rStyle w:val="CommentReference"/>
          <w:b/>
          <w:szCs w:val="24"/>
        </w:rPr>
      </w:pPr>
      <w:bookmarkStart w:id="77" w:name="_Ref132377488"/>
      <w:bookmarkEnd w:id="76"/>
      <w:r w:rsidRPr="001677F9">
        <w:lastRenderedPageBreak/>
        <w:t xml:space="preserve">Table </w:t>
      </w:r>
      <w:fldSimple w:instr=" SEQ Table \* ARABIC " w:fldLock="1">
        <w:r w:rsidR="002C43D4" w:rsidRPr="001677F9">
          <w:t>14</w:t>
        </w:r>
      </w:fldSimple>
      <w:bookmarkEnd w:id="77"/>
      <w:r w:rsidR="00980351" w:rsidRPr="001677F9">
        <w:t>:</w:t>
      </w:r>
      <w:r w:rsidR="00980351" w:rsidRPr="001677F9">
        <w:rPr>
          <w:rStyle w:val="CommentReference"/>
          <w:b/>
          <w:szCs w:val="24"/>
        </w:rPr>
        <w:t xml:space="preserve"> Key inputs for financial estimates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2"/>
        <w:gridCol w:w="1977"/>
        <w:gridCol w:w="4778"/>
      </w:tblGrid>
      <w:tr w:rsidR="00980351" w:rsidRPr="001677F9" w14:paraId="359F2943" w14:textId="77777777" w:rsidTr="00D92D1F">
        <w:trPr>
          <w:tblHeader/>
        </w:trPr>
        <w:tc>
          <w:tcPr>
            <w:tcW w:w="0" w:type="auto"/>
            <w:shd w:val="clear" w:color="auto" w:fill="auto"/>
            <w:vAlign w:val="center"/>
          </w:tcPr>
          <w:p w14:paraId="67FEB308" w14:textId="77777777" w:rsidR="00980351" w:rsidRPr="001677F9" w:rsidRDefault="00980351" w:rsidP="00D92D1F">
            <w:pPr>
              <w:pStyle w:val="In-tableHeading"/>
              <w:rPr>
                <w:lang w:val="en-AU"/>
              </w:rPr>
            </w:pPr>
            <w:r w:rsidRPr="001677F9">
              <w:rPr>
                <w:lang w:val="en-AU"/>
              </w:rPr>
              <w:t>Parameter</w:t>
            </w:r>
          </w:p>
        </w:tc>
        <w:tc>
          <w:tcPr>
            <w:tcW w:w="0" w:type="auto"/>
            <w:shd w:val="clear" w:color="auto" w:fill="auto"/>
            <w:vAlign w:val="center"/>
          </w:tcPr>
          <w:p w14:paraId="31271791" w14:textId="77777777" w:rsidR="00980351" w:rsidRPr="001677F9" w:rsidRDefault="00980351" w:rsidP="00D92D1F">
            <w:pPr>
              <w:pStyle w:val="In-tableHeading"/>
              <w:rPr>
                <w:lang w:val="en-AU"/>
              </w:rPr>
            </w:pPr>
            <w:r w:rsidRPr="001677F9">
              <w:rPr>
                <w:lang w:val="en-AU"/>
              </w:rPr>
              <w:t>Value applied and source</w:t>
            </w:r>
          </w:p>
        </w:tc>
        <w:tc>
          <w:tcPr>
            <w:tcW w:w="0" w:type="auto"/>
            <w:shd w:val="clear" w:color="auto" w:fill="auto"/>
            <w:vAlign w:val="center"/>
          </w:tcPr>
          <w:p w14:paraId="43BFF177" w14:textId="77777777" w:rsidR="00980351" w:rsidRPr="001677F9" w:rsidRDefault="00980351" w:rsidP="00D92D1F">
            <w:pPr>
              <w:pStyle w:val="In-tableHeading"/>
              <w:rPr>
                <w:lang w:val="en-AU"/>
              </w:rPr>
            </w:pPr>
            <w:r w:rsidRPr="001677F9">
              <w:rPr>
                <w:lang w:val="en-AU"/>
              </w:rPr>
              <w:t>Comment</w:t>
            </w:r>
          </w:p>
        </w:tc>
      </w:tr>
      <w:tr w:rsidR="00980351" w:rsidRPr="001677F9" w14:paraId="5BDC3027" w14:textId="77777777" w:rsidTr="00D92D1F">
        <w:tc>
          <w:tcPr>
            <w:tcW w:w="0" w:type="auto"/>
            <w:shd w:val="clear" w:color="auto" w:fill="auto"/>
            <w:vAlign w:val="center"/>
          </w:tcPr>
          <w:p w14:paraId="35FED0AC" w14:textId="77777777" w:rsidR="00980351" w:rsidRPr="001677F9" w:rsidRDefault="00980351" w:rsidP="00D92D1F">
            <w:pPr>
              <w:pStyle w:val="TableText0"/>
            </w:pPr>
            <w:r w:rsidRPr="001677F9">
              <w:t>Prevalent population</w:t>
            </w:r>
          </w:p>
        </w:tc>
        <w:tc>
          <w:tcPr>
            <w:tcW w:w="0" w:type="auto"/>
            <w:shd w:val="clear" w:color="auto" w:fill="auto"/>
            <w:vAlign w:val="center"/>
          </w:tcPr>
          <w:p w14:paraId="0B982E74" w14:textId="77777777" w:rsidR="00980351" w:rsidRPr="001677F9" w:rsidRDefault="00980351" w:rsidP="00D92D1F">
            <w:pPr>
              <w:pStyle w:val="TableFigureHeading"/>
              <w:rPr>
                <w:b w:val="0"/>
              </w:rPr>
            </w:pPr>
            <w:r w:rsidRPr="001677F9">
              <w:rPr>
                <w:b w:val="0"/>
              </w:rPr>
              <w:t>Australian Bureau of Statistics Series B population data</w:t>
            </w:r>
          </w:p>
          <w:p w14:paraId="683AD50E" w14:textId="77777777" w:rsidR="00980351" w:rsidRPr="001677F9" w:rsidRDefault="00980351" w:rsidP="00D92D1F">
            <w:pPr>
              <w:pStyle w:val="TableFigureHeading"/>
            </w:pPr>
            <w:r w:rsidRPr="001677F9">
              <w:rPr>
                <w:b w:val="0"/>
              </w:rPr>
              <w:t>Published literature for Australian based cohorts: Study of Heart failure in the Australian Primary carE setting (SHAPE) Liew D, 2020</w:t>
            </w:r>
          </w:p>
        </w:tc>
        <w:tc>
          <w:tcPr>
            <w:tcW w:w="0" w:type="auto"/>
            <w:shd w:val="clear" w:color="auto" w:fill="auto"/>
            <w:vAlign w:val="center"/>
          </w:tcPr>
          <w:p w14:paraId="340C6DC7" w14:textId="66844F6E" w:rsidR="00980351" w:rsidRPr="001677F9" w:rsidRDefault="00980351" w:rsidP="00D92D1F">
            <w:pPr>
              <w:pStyle w:val="TableText0"/>
            </w:pPr>
            <w:r w:rsidRPr="001677F9">
              <w:t>This was appropriate and aligned with previous DUSC advice (Table 15, empagliflozin</w:t>
            </w:r>
            <w:r w:rsidR="00C74253">
              <w:t xml:space="preserve"> PSD</w:t>
            </w:r>
            <w:r w:rsidRPr="001677F9">
              <w:t>, Nov 2021). The publication noted that the prevalence of HF may have been underestimated given the difficulty in identifying HF patients with LVEF &gt;40% as this condition is not as well recognised and does not have any disease-specific therapies.</w:t>
            </w:r>
          </w:p>
        </w:tc>
      </w:tr>
      <w:tr w:rsidR="00980351" w:rsidRPr="001677F9" w14:paraId="644DDE23" w14:textId="77777777" w:rsidTr="00D92D1F">
        <w:tc>
          <w:tcPr>
            <w:tcW w:w="0" w:type="auto"/>
            <w:shd w:val="clear" w:color="auto" w:fill="auto"/>
            <w:vAlign w:val="center"/>
          </w:tcPr>
          <w:p w14:paraId="29301F3D" w14:textId="77777777" w:rsidR="00980351" w:rsidRPr="001677F9" w:rsidRDefault="00980351" w:rsidP="00D92D1F">
            <w:pPr>
              <w:pStyle w:val="TableText0"/>
            </w:pPr>
            <w:r w:rsidRPr="001677F9">
              <w:rPr>
                <w:szCs w:val="20"/>
              </w:rPr>
              <w:t>Proportion of HF patients with LVEF &gt;40%</w:t>
            </w:r>
          </w:p>
        </w:tc>
        <w:tc>
          <w:tcPr>
            <w:tcW w:w="0" w:type="auto"/>
            <w:shd w:val="clear" w:color="auto" w:fill="auto"/>
            <w:vAlign w:val="center"/>
          </w:tcPr>
          <w:p w14:paraId="362B1D2F" w14:textId="7CE82EDC" w:rsidR="00980351" w:rsidRPr="001677F9" w:rsidRDefault="00980351" w:rsidP="00D92D1F">
            <w:pPr>
              <w:pStyle w:val="TableText0"/>
            </w:pPr>
            <w:r w:rsidRPr="001677F9">
              <w:t>43%; Assumption; dapagliflozin July 2021 submission (Table 13, dapagliflozin</w:t>
            </w:r>
            <w:r w:rsidR="00C74253">
              <w:t xml:space="preserve"> PSD</w:t>
            </w:r>
            <w:r w:rsidRPr="001677F9">
              <w:t>, July 2021)</w:t>
            </w:r>
          </w:p>
        </w:tc>
        <w:tc>
          <w:tcPr>
            <w:tcW w:w="0" w:type="auto"/>
            <w:shd w:val="clear" w:color="auto" w:fill="auto"/>
            <w:vAlign w:val="center"/>
          </w:tcPr>
          <w:p w14:paraId="2F0B6C7E" w14:textId="725AB072" w:rsidR="00980351" w:rsidRPr="001677F9" w:rsidRDefault="00980351" w:rsidP="00D92D1F">
            <w:pPr>
              <w:pStyle w:val="TableText0"/>
            </w:pPr>
            <w:r w:rsidRPr="001677F9">
              <w:t>This estimate is uncertain. The estimated proportion of HF patients with LVEF &gt;40% patients was consistent with the assumptions made for the number of eligible patients with HF patients with LVEF ≤40% (57%) in dapagliflozin July 2021 submission (Table 13, dapagliflozin</w:t>
            </w:r>
            <w:r w:rsidR="00C74253">
              <w:t xml:space="preserve"> PSD</w:t>
            </w:r>
            <w:r w:rsidRPr="001677F9">
              <w:t xml:space="preserve">, July 2021). However, Australian epidemiological studies have shown that approximately 52-59% of the HF patient population have HF patients with LVEF &gt;40% (para 4.4 empagliflozin, Public Summary Document, November 2022). </w:t>
            </w:r>
          </w:p>
        </w:tc>
      </w:tr>
      <w:tr w:rsidR="00980351" w:rsidRPr="001677F9" w14:paraId="4E828FDA" w14:textId="77777777" w:rsidTr="00D92D1F">
        <w:tc>
          <w:tcPr>
            <w:tcW w:w="0" w:type="auto"/>
            <w:shd w:val="clear" w:color="auto" w:fill="auto"/>
            <w:vAlign w:val="center"/>
          </w:tcPr>
          <w:p w14:paraId="0F1D976B" w14:textId="10930F45" w:rsidR="00980351" w:rsidRPr="001677F9" w:rsidRDefault="00980351" w:rsidP="00D92D1F">
            <w:pPr>
              <w:pStyle w:val="TableText0"/>
            </w:pPr>
            <w:r w:rsidRPr="001677F9">
              <w:rPr>
                <w:szCs w:val="20"/>
              </w:rPr>
              <w:t>Proportion of patients with NYHA Class II-IV</w:t>
            </w:r>
          </w:p>
        </w:tc>
        <w:tc>
          <w:tcPr>
            <w:tcW w:w="0" w:type="auto"/>
            <w:shd w:val="clear" w:color="auto" w:fill="auto"/>
            <w:vAlign w:val="center"/>
          </w:tcPr>
          <w:p w14:paraId="7D46ACA0" w14:textId="1C2FEF71" w:rsidR="00980351" w:rsidRPr="001677F9" w:rsidRDefault="00980351" w:rsidP="00D92D1F">
            <w:pPr>
              <w:pStyle w:val="TableText0"/>
            </w:pPr>
            <w:r w:rsidRPr="001677F9">
              <w:t xml:space="preserve">95%; </w:t>
            </w:r>
            <w:r w:rsidRPr="001677F9">
              <w:rPr>
                <w:bCs w:val="0"/>
              </w:rPr>
              <w:t>dapagliflozin November 2020 submission (para 6.60, dapagliflozin</w:t>
            </w:r>
            <w:r w:rsidR="00C74253">
              <w:t xml:space="preserve"> PSD</w:t>
            </w:r>
            <w:r w:rsidRPr="001677F9">
              <w:rPr>
                <w:bCs w:val="0"/>
              </w:rPr>
              <w:t>, November 2020</w:t>
            </w:r>
            <w:r w:rsidRPr="001677F9">
              <w:t xml:space="preserve">) </w:t>
            </w:r>
          </w:p>
        </w:tc>
        <w:tc>
          <w:tcPr>
            <w:tcW w:w="0" w:type="auto"/>
            <w:shd w:val="clear" w:color="auto" w:fill="auto"/>
            <w:vAlign w:val="center"/>
          </w:tcPr>
          <w:p w14:paraId="1B595E47" w14:textId="0EC475B6" w:rsidR="00980351" w:rsidRPr="001677F9" w:rsidRDefault="00980351" w:rsidP="00D92D1F">
            <w:pPr>
              <w:pStyle w:val="TableText0"/>
            </w:pPr>
            <w:r w:rsidRPr="001677F9">
              <w:t xml:space="preserve">This was appropriate and previously accepted by the PBAC (para 6.60, dapagliflozin PSD, November 2020; Table 15, empagliflozin </w:t>
            </w:r>
            <w:r w:rsidR="00C74253">
              <w:t xml:space="preserve">PSD, </w:t>
            </w:r>
            <w:r w:rsidRPr="001677F9">
              <w:t>Nov 2021).</w:t>
            </w:r>
          </w:p>
        </w:tc>
      </w:tr>
      <w:tr w:rsidR="00980351" w:rsidRPr="001677F9" w14:paraId="3094C2ED" w14:textId="77777777" w:rsidTr="00D92D1F">
        <w:tc>
          <w:tcPr>
            <w:tcW w:w="0" w:type="auto"/>
            <w:shd w:val="clear" w:color="auto" w:fill="auto"/>
            <w:vAlign w:val="center"/>
          </w:tcPr>
          <w:p w14:paraId="01D571AB" w14:textId="77777777" w:rsidR="00980351" w:rsidRPr="001677F9" w:rsidRDefault="00980351" w:rsidP="00D92D1F">
            <w:pPr>
              <w:pStyle w:val="TableText0"/>
            </w:pPr>
            <w:r w:rsidRPr="001677F9">
              <w:rPr>
                <w:szCs w:val="20"/>
              </w:rPr>
              <w:t>Proportion of HF patients with LVEF&gt;40% in NYHA Classes II-IV who are receiving optimised SOC, comprising a diuretic +/- beta-blocker plus an ACE-I/ARB or ARNI</w:t>
            </w:r>
          </w:p>
        </w:tc>
        <w:tc>
          <w:tcPr>
            <w:tcW w:w="0" w:type="auto"/>
            <w:shd w:val="clear" w:color="auto" w:fill="auto"/>
            <w:vAlign w:val="center"/>
          </w:tcPr>
          <w:p w14:paraId="74766DEE" w14:textId="77777777" w:rsidR="00980351" w:rsidRPr="001677F9" w:rsidRDefault="00980351" w:rsidP="00D92D1F">
            <w:pPr>
              <w:pStyle w:val="TableFigureHeading"/>
              <w:rPr>
                <w:b w:val="0"/>
              </w:rPr>
            </w:pPr>
            <w:r w:rsidRPr="001677F9">
              <w:rPr>
                <w:b w:val="0"/>
              </w:rPr>
              <w:t>100%</w:t>
            </w:r>
            <w:r w:rsidRPr="001677F9">
              <w:t xml:space="preserve">; </w:t>
            </w:r>
            <w:r w:rsidRPr="001677F9">
              <w:rPr>
                <w:b w:val="0"/>
              </w:rPr>
              <w:t>(Table 15, DELIVER CSR)</w:t>
            </w:r>
          </w:p>
          <w:p w14:paraId="7E64483C" w14:textId="77777777" w:rsidR="00980351" w:rsidRPr="001677F9" w:rsidRDefault="00980351" w:rsidP="00D92D1F">
            <w:pPr>
              <w:pStyle w:val="TableText0"/>
            </w:pPr>
          </w:p>
        </w:tc>
        <w:tc>
          <w:tcPr>
            <w:tcW w:w="0" w:type="auto"/>
            <w:shd w:val="clear" w:color="auto" w:fill="auto"/>
            <w:vAlign w:val="center"/>
          </w:tcPr>
          <w:p w14:paraId="6834119E" w14:textId="30791BE3" w:rsidR="00980351" w:rsidRPr="001677F9" w:rsidRDefault="00D36FD2" w:rsidP="00D92D1F">
            <w:pPr>
              <w:pStyle w:val="TableText0"/>
            </w:pPr>
            <w:r>
              <w:t>The commentary noted t</w:t>
            </w:r>
            <w:r w:rsidR="00980351" w:rsidRPr="001677F9">
              <w:t xml:space="preserve">his may be overestimated and unlikely to be realised in clinical practice. The submission did not account for the proportion of patients who would be intolerant or choose not to be on treatment with SOC. </w:t>
            </w:r>
          </w:p>
        </w:tc>
      </w:tr>
      <w:tr w:rsidR="00980351" w:rsidRPr="001677F9" w14:paraId="7824D723" w14:textId="77777777" w:rsidTr="00D92D1F">
        <w:tc>
          <w:tcPr>
            <w:tcW w:w="0" w:type="auto"/>
            <w:shd w:val="clear" w:color="auto" w:fill="auto"/>
            <w:vAlign w:val="center"/>
          </w:tcPr>
          <w:p w14:paraId="5606C07C" w14:textId="77777777" w:rsidR="00980351" w:rsidRPr="001677F9" w:rsidRDefault="00980351" w:rsidP="00D92D1F">
            <w:pPr>
              <w:pStyle w:val="TableText0"/>
            </w:pPr>
            <w:r w:rsidRPr="001677F9">
              <w:t>Comorbid T2DM or CKD already eligible through existing PBS indications for dapagliflozin</w:t>
            </w:r>
          </w:p>
        </w:tc>
        <w:tc>
          <w:tcPr>
            <w:tcW w:w="0" w:type="auto"/>
            <w:shd w:val="clear" w:color="auto" w:fill="auto"/>
            <w:vAlign w:val="center"/>
          </w:tcPr>
          <w:p w14:paraId="5C132C56" w14:textId="18839773" w:rsidR="00980351" w:rsidRPr="001677F9" w:rsidRDefault="00980351" w:rsidP="00D92D1F">
            <w:pPr>
              <w:pStyle w:val="TableFigureHeading"/>
              <w:rPr>
                <w:b w:val="0"/>
              </w:rPr>
            </w:pPr>
            <w:r w:rsidRPr="001677F9">
              <w:rPr>
                <w:b w:val="0"/>
              </w:rPr>
              <w:t>48.9%; (Table 14.1.7.2S, DELIVER</w:t>
            </w:r>
            <w:r w:rsidR="001677F9">
              <w:rPr>
                <w:b w:val="0"/>
              </w:rPr>
              <w:t xml:space="preserve"> </w:t>
            </w:r>
            <w:r w:rsidRPr="001677F9">
              <w:rPr>
                <w:b w:val="0"/>
              </w:rPr>
              <w:t>CSR)</w:t>
            </w:r>
          </w:p>
          <w:p w14:paraId="6698D088" w14:textId="77777777" w:rsidR="00980351" w:rsidRPr="001677F9" w:rsidRDefault="00980351" w:rsidP="00D92D1F">
            <w:pPr>
              <w:pStyle w:val="TableFigureHeading"/>
              <w:rPr>
                <w:b w:val="0"/>
              </w:rPr>
            </w:pPr>
          </w:p>
        </w:tc>
        <w:tc>
          <w:tcPr>
            <w:tcW w:w="0" w:type="auto"/>
            <w:shd w:val="clear" w:color="auto" w:fill="auto"/>
            <w:vAlign w:val="center"/>
          </w:tcPr>
          <w:p w14:paraId="0F84E3D3" w14:textId="4975907A" w:rsidR="00980351" w:rsidRPr="001677F9" w:rsidRDefault="00D36FD2" w:rsidP="00D92D1F">
            <w:pPr>
              <w:pStyle w:val="TableText0"/>
            </w:pPr>
            <w:r>
              <w:t>The commentary noted t</w:t>
            </w:r>
            <w:r w:rsidR="00980351" w:rsidRPr="001677F9">
              <w:t>he methodology applied by the submission appears reasonable, however the estimated proportion of patients with T2DM and/or CKD could not be verified. The proportion of patients already eligible for an SGLT2 inhibitor may be overestimated. The proportion of patients with CKD applied in the model (49.4%) was higher than reported in DELIVER (28.2% Table 14.1.6.1, DELIVER CSR).</w:t>
            </w:r>
          </w:p>
        </w:tc>
      </w:tr>
      <w:tr w:rsidR="00980351" w:rsidRPr="001677F9" w14:paraId="15AC8589" w14:textId="77777777" w:rsidTr="00D92D1F">
        <w:tc>
          <w:tcPr>
            <w:tcW w:w="0" w:type="auto"/>
            <w:shd w:val="clear" w:color="auto" w:fill="auto"/>
            <w:vAlign w:val="center"/>
          </w:tcPr>
          <w:p w14:paraId="385E507A" w14:textId="77777777" w:rsidR="00980351" w:rsidRPr="001677F9" w:rsidRDefault="00980351" w:rsidP="00D92D1F">
            <w:pPr>
              <w:pStyle w:val="TableText0"/>
            </w:pPr>
            <w:r w:rsidRPr="001677F9">
              <w:t>Uptake rate</w:t>
            </w:r>
          </w:p>
        </w:tc>
        <w:tc>
          <w:tcPr>
            <w:tcW w:w="0" w:type="auto"/>
            <w:shd w:val="clear" w:color="auto" w:fill="auto"/>
            <w:vAlign w:val="center"/>
          </w:tcPr>
          <w:p w14:paraId="15422E6A" w14:textId="02CA1EF3" w:rsidR="00980351" w:rsidRPr="001677F9" w:rsidRDefault="00D42DC9" w:rsidP="00D92D1F">
            <w:pPr>
              <w:pStyle w:val="TableText0"/>
            </w:pPr>
            <w:r w:rsidRPr="00D42DC9">
              <w:rPr>
                <w:color w:val="000000"/>
                <w:spacing w:val="53"/>
                <w:shd w:val="solid" w:color="000000" w:fill="000000"/>
                <w:fitText w:val="330" w:id="-1168360699"/>
                <w14:textFill>
                  <w14:solidFill>
                    <w14:srgbClr w14:val="000000">
                      <w14:alpha w14:val="100000"/>
                    </w14:srgbClr>
                  </w14:solidFill>
                </w14:textFill>
              </w:rPr>
              <w:t>|||</w:t>
            </w:r>
            <w:r w:rsidRPr="00D42DC9">
              <w:rPr>
                <w:color w:val="000000"/>
                <w:spacing w:val="1"/>
                <w:shd w:val="solid" w:color="000000" w:fill="000000"/>
                <w:fitText w:val="330" w:id="-1168360699"/>
                <w14:textFill>
                  <w14:solidFill>
                    <w14:srgbClr w14:val="000000">
                      <w14:alpha w14:val="100000"/>
                    </w14:srgbClr>
                  </w14:solidFill>
                </w14:textFill>
              </w:rPr>
              <w:t>|</w:t>
            </w:r>
            <w:r w:rsidR="00980351" w:rsidRPr="0073756F">
              <w:t>%-</w:t>
            </w:r>
            <w:r w:rsidRPr="00D42DC9">
              <w:rPr>
                <w:color w:val="000000"/>
                <w:spacing w:val="53"/>
                <w:shd w:val="solid" w:color="000000" w:fill="000000"/>
                <w:fitText w:val="330" w:id="-1168360698"/>
                <w14:textFill>
                  <w14:solidFill>
                    <w14:srgbClr w14:val="000000">
                      <w14:alpha w14:val="100000"/>
                    </w14:srgbClr>
                  </w14:solidFill>
                </w14:textFill>
              </w:rPr>
              <w:t>|||</w:t>
            </w:r>
            <w:r w:rsidRPr="00D42DC9">
              <w:rPr>
                <w:color w:val="000000"/>
                <w:spacing w:val="1"/>
                <w:shd w:val="solid" w:color="000000" w:fill="000000"/>
                <w:fitText w:val="330" w:id="-1168360698"/>
                <w14:textFill>
                  <w14:solidFill>
                    <w14:srgbClr w14:val="000000">
                      <w14:alpha w14:val="100000"/>
                    </w14:srgbClr>
                  </w14:solidFill>
                </w14:textFill>
              </w:rPr>
              <w:t>|</w:t>
            </w:r>
            <w:r w:rsidR="00980351" w:rsidRPr="0073756F">
              <w:t xml:space="preserve">% over 6 years. Assumed </w:t>
            </w:r>
          </w:p>
        </w:tc>
        <w:tc>
          <w:tcPr>
            <w:tcW w:w="0" w:type="auto"/>
            <w:shd w:val="clear" w:color="auto" w:fill="auto"/>
            <w:vAlign w:val="center"/>
          </w:tcPr>
          <w:p w14:paraId="26FB6709" w14:textId="5BF52608" w:rsidR="00980351" w:rsidRPr="001677F9" w:rsidRDefault="00D36FD2" w:rsidP="00D92D1F">
            <w:pPr>
              <w:pStyle w:val="TableText0"/>
              <w:rPr>
                <w:i/>
              </w:rPr>
            </w:pPr>
            <w:r>
              <w:t>The commentary noted t</w:t>
            </w:r>
            <w:r w:rsidR="00980351" w:rsidRPr="001677F9">
              <w:t xml:space="preserve">he uptake rates are uncertain and likely underestimated. The submission </w:t>
            </w:r>
            <w:r>
              <w:t>did</w:t>
            </w:r>
            <w:r w:rsidRPr="001677F9">
              <w:t xml:space="preserve"> </w:t>
            </w:r>
            <w:r w:rsidR="00980351" w:rsidRPr="001677F9">
              <w:t>not justi</w:t>
            </w:r>
            <w:r>
              <w:t>fy</w:t>
            </w:r>
            <w:r w:rsidR="00980351" w:rsidRPr="001677F9">
              <w:t xml:space="preserve"> the uptake rates. </w:t>
            </w:r>
          </w:p>
        </w:tc>
      </w:tr>
      <w:tr w:rsidR="00980351" w:rsidRPr="001677F9" w14:paraId="394AB687" w14:textId="77777777" w:rsidTr="00D92D1F">
        <w:tc>
          <w:tcPr>
            <w:tcW w:w="0" w:type="auto"/>
            <w:shd w:val="clear" w:color="auto" w:fill="auto"/>
            <w:vAlign w:val="center"/>
          </w:tcPr>
          <w:p w14:paraId="168B9444" w14:textId="77777777" w:rsidR="00980351" w:rsidRPr="001677F9" w:rsidRDefault="00980351" w:rsidP="00D92D1F">
            <w:pPr>
              <w:pStyle w:val="TableText0"/>
            </w:pPr>
            <w:r w:rsidRPr="001677F9">
              <w:t xml:space="preserve">Compliance rate </w:t>
            </w:r>
          </w:p>
        </w:tc>
        <w:tc>
          <w:tcPr>
            <w:tcW w:w="0" w:type="auto"/>
            <w:shd w:val="clear" w:color="auto" w:fill="auto"/>
            <w:vAlign w:val="center"/>
          </w:tcPr>
          <w:p w14:paraId="03C3B0BA" w14:textId="77777777" w:rsidR="00980351" w:rsidRPr="001677F9" w:rsidRDefault="00980351" w:rsidP="00D92D1F">
            <w:pPr>
              <w:pStyle w:val="TableText0"/>
            </w:pPr>
            <w:r w:rsidRPr="001677F9">
              <w:t>97.2%; (Table 14.1.9, DELIVER CSR)</w:t>
            </w:r>
          </w:p>
        </w:tc>
        <w:tc>
          <w:tcPr>
            <w:tcW w:w="0" w:type="auto"/>
            <w:shd w:val="clear" w:color="auto" w:fill="auto"/>
            <w:vAlign w:val="center"/>
          </w:tcPr>
          <w:p w14:paraId="055F6FA5" w14:textId="638E8C1D" w:rsidR="00980351" w:rsidRPr="001677F9" w:rsidRDefault="00D36FD2" w:rsidP="00D92D1F">
            <w:pPr>
              <w:pStyle w:val="TableText0"/>
              <w:rPr>
                <w:i/>
              </w:rPr>
            </w:pPr>
            <w:r>
              <w:t>The commentary noted t</w:t>
            </w:r>
            <w:r w:rsidR="00980351" w:rsidRPr="001677F9">
              <w:t xml:space="preserve">he compliance rate observed in a tightly regulated clinical trial setting is uncertain and likely overestimated. </w:t>
            </w:r>
          </w:p>
        </w:tc>
      </w:tr>
    </w:tbl>
    <w:p w14:paraId="02492B9E" w14:textId="21E4816A" w:rsidR="00980351" w:rsidRPr="001677F9" w:rsidRDefault="00980351" w:rsidP="00980351">
      <w:pPr>
        <w:pStyle w:val="FooterTableFigure"/>
      </w:pPr>
      <w:r w:rsidRPr="001677F9">
        <w:t>Source: Compiled during the evaluation based on Table 4.2.1 p117, Figure 4.1.1 p116 of the submission; Table 14.1.9, dapagliflozin CSR, Table 14, empagliflozin</w:t>
      </w:r>
      <w:r w:rsidR="00472465">
        <w:t xml:space="preserve"> PSD</w:t>
      </w:r>
      <w:r w:rsidRPr="001677F9">
        <w:t>, November 2022</w:t>
      </w:r>
    </w:p>
    <w:p w14:paraId="4C1B0651" w14:textId="6C16884A" w:rsidR="00980351" w:rsidRPr="001677F9" w:rsidRDefault="00980351" w:rsidP="00980351">
      <w:pPr>
        <w:pStyle w:val="FooterTableFigure"/>
      </w:pPr>
      <w:r w:rsidRPr="001677F9">
        <w:t>ACEI= Angiotensin converting enzyme inhibitor ; ARB= Angiotensin II receptor blocker ; ARNI= Angiotensin receptor neprilysin inhibitor; CKD = chronic kidney disease; CSR= clinical study report; DUSC= Drug Utilisation Sub Committee; HF= Heart failure; LVEF= left ventricular ejection fraction; NYHA= New York Heart Association; PBAC = Pharmaceutical Benefits Advisory Committee; PBS= Pharmaceutical Benefits Scheme;</w:t>
      </w:r>
      <w:r w:rsidR="00472465">
        <w:t xml:space="preserve"> PSD = Public Summary Document;</w:t>
      </w:r>
      <w:r w:rsidR="004A28D8" w:rsidRPr="001677F9">
        <w:t xml:space="preserve"> </w:t>
      </w:r>
      <w:r w:rsidRPr="001677F9">
        <w:t xml:space="preserve">SGLT = Sodium-glucose co-transporter; SOC = standard of care T2DM= type 2 diabetes mellitus.  </w:t>
      </w:r>
    </w:p>
    <w:p w14:paraId="30435B93" w14:textId="77777777" w:rsidR="002C43D4" w:rsidRPr="001677F9" w:rsidRDefault="002C43D4" w:rsidP="00980351">
      <w:pPr>
        <w:pStyle w:val="FooterTableFigure"/>
      </w:pPr>
    </w:p>
    <w:p w14:paraId="43CE3AED" w14:textId="32F86C89" w:rsidR="00980351" w:rsidRPr="001677F9" w:rsidRDefault="00980351" w:rsidP="00980351">
      <w:pPr>
        <w:pStyle w:val="3-BodyText"/>
      </w:pPr>
      <w:bookmarkStart w:id="78" w:name="_Ref104805295"/>
      <w:r w:rsidRPr="001677F9">
        <w:t>The estimated net cost to the PBS/RPBS of listing dapagliflozin for HF patients with LVEF &gt;40%, based on the submission’s DPMQ of $56.97 is presented in</w:t>
      </w:r>
      <w:r w:rsidR="00566673" w:rsidRPr="001677F9">
        <w:t xml:space="preserve"> </w:t>
      </w:r>
      <w:r w:rsidR="00566673" w:rsidRPr="001677F9">
        <w:fldChar w:fldCharType="begin" w:fldLock="1"/>
      </w:r>
      <w:r w:rsidR="00566673" w:rsidRPr="001677F9">
        <w:instrText xml:space="preserve"> REF _Ref132377537 \h </w:instrText>
      </w:r>
      <w:r w:rsidR="00566673" w:rsidRPr="001677F9">
        <w:fldChar w:fldCharType="separate"/>
      </w:r>
      <w:r w:rsidR="002C43D4" w:rsidRPr="001677F9">
        <w:t>Table 15</w:t>
      </w:r>
      <w:r w:rsidR="00566673" w:rsidRPr="001677F9">
        <w:fldChar w:fldCharType="end"/>
      </w:r>
      <w:r w:rsidRPr="001677F9">
        <w:t xml:space="preserve">. The </w:t>
      </w:r>
      <w:r w:rsidRPr="001677F9">
        <w:lastRenderedPageBreak/>
        <w:t xml:space="preserve">estimated cost to the PBS/RPBS was </w:t>
      </w:r>
      <w:r w:rsidR="00A22651" w:rsidRPr="00A22651">
        <w:t>$0</w:t>
      </w:r>
      <w:r w:rsidR="002A355D">
        <w:t> </w:t>
      </w:r>
      <w:r w:rsidR="00A22651" w:rsidRPr="00A22651">
        <w:t>to</w:t>
      </w:r>
      <w:r w:rsidR="002A355D">
        <w:t> </w:t>
      </w:r>
      <w:r w:rsidR="00A22651" w:rsidRPr="00A22651">
        <w:t>&lt;</w:t>
      </w:r>
      <w:r w:rsidR="002A355D">
        <w:t> </w:t>
      </w:r>
      <w:r w:rsidR="00A22651" w:rsidRPr="00A22651">
        <w:t>$10 million</w:t>
      </w:r>
      <w:r w:rsidR="00A22651">
        <w:t xml:space="preserve"> </w:t>
      </w:r>
      <w:r w:rsidRPr="001677F9">
        <w:t xml:space="preserve">in Year 1 to </w:t>
      </w:r>
      <w:r w:rsidR="00A22651" w:rsidRPr="00A22651">
        <w:t>$90 million</w:t>
      </w:r>
      <w:r w:rsidR="002A355D">
        <w:t> </w:t>
      </w:r>
      <w:r w:rsidR="00A22651" w:rsidRPr="00A22651">
        <w:t>to</w:t>
      </w:r>
      <w:r w:rsidR="002A355D">
        <w:t> </w:t>
      </w:r>
      <w:r w:rsidR="00A22651" w:rsidRPr="00A22651">
        <w:t>&lt;</w:t>
      </w:r>
      <w:r w:rsidR="002A355D">
        <w:t> </w:t>
      </w:r>
      <w:r w:rsidR="00A22651" w:rsidRPr="00A22651">
        <w:t>$100 million</w:t>
      </w:r>
      <w:r w:rsidR="00A22651">
        <w:t xml:space="preserve"> </w:t>
      </w:r>
      <w:r w:rsidRPr="001677F9">
        <w:t xml:space="preserve">in Year 6. </w:t>
      </w:r>
    </w:p>
    <w:p w14:paraId="59B77D59" w14:textId="7C70E2F0" w:rsidR="00980351" w:rsidRPr="001677F9" w:rsidRDefault="00566673" w:rsidP="00566673">
      <w:pPr>
        <w:pStyle w:val="Caption"/>
      </w:pPr>
      <w:bookmarkStart w:id="79" w:name="_Ref132377537"/>
      <w:bookmarkEnd w:id="78"/>
      <w:r w:rsidRPr="001677F9">
        <w:t xml:space="preserve">Table </w:t>
      </w:r>
      <w:fldSimple w:instr=" SEQ Table \* ARABIC " w:fldLock="1">
        <w:r w:rsidR="002C43D4" w:rsidRPr="001677F9">
          <w:t>15</w:t>
        </w:r>
      </w:fldSimple>
      <w:bookmarkEnd w:id="79"/>
      <w:r w:rsidR="00980351" w:rsidRPr="001677F9">
        <w:t>:</w:t>
      </w:r>
      <w:r w:rsidR="00980351" w:rsidRPr="001677F9">
        <w:rPr>
          <w:rStyle w:val="CommentReference"/>
          <w:b/>
          <w:szCs w:val="24"/>
        </w:rPr>
        <w:t xml:space="preserve"> </w:t>
      </w:r>
      <w:r w:rsidR="00980351" w:rsidRPr="001677F9">
        <w:rPr>
          <w:rStyle w:val="CommentReference"/>
          <w:b/>
        </w:rPr>
        <w:t>Estimated net cost of dapagliflozin to the PBS/RPBS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3"/>
        <w:gridCol w:w="1134"/>
        <w:gridCol w:w="1134"/>
        <w:gridCol w:w="1134"/>
        <w:gridCol w:w="1134"/>
        <w:gridCol w:w="1134"/>
        <w:gridCol w:w="1134"/>
      </w:tblGrid>
      <w:tr w:rsidR="00980351" w:rsidRPr="001677F9" w14:paraId="243F5840" w14:textId="77777777" w:rsidTr="00AD1DC3">
        <w:trPr>
          <w:tblHeader/>
        </w:trPr>
        <w:tc>
          <w:tcPr>
            <w:tcW w:w="2263" w:type="dxa"/>
            <w:shd w:val="clear" w:color="auto" w:fill="auto"/>
            <w:vAlign w:val="center"/>
          </w:tcPr>
          <w:p w14:paraId="6F50A4B5" w14:textId="77777777" w:rsidR="00980351" w:rsidRPr="001677F9" w:rsidRDefault="00980351" w:rsidP="00AD1DC3">
            <w:pPr>
              <w:pStyle w:val="In-tableHeading"/>
              <w:rPr>
                <w:lang w:val="en-AU"/>
              </w:rPr>
            </w:pPr>
          </w:p>
        </w:tc>
        <w:tc>
          <w:tcPr>
            <w:tcW w:w="1134" w:type="dxa"/>
            <w:shd w:val="clear" w:color="auto" w:fill="auto"/>
            <w:vAlign w:val="center"/>
          </w:tcPr>
          <w:p w14:paraId="03CBAABE" w14:textId="77777777" w:rsidR="00980351" w:rsidRPr="001677F9" w:rsidRDefault="00980351" w:rsidP="00AD1DC3">
            <w:pPr>
              <w:pStyle w:val="In-tableHeading"/>
              <w:jc w:val="center"/>
              <w:rPr>
                <w:lang w:val="en-AU"/>
              </w:rPr>
            </w:pPr>
            <w:r w:rsidRPr="001677F9">
              <w:rPr>
                <w:lang w:val="en-AU"/>
              </w:rPr>
              <w:t>Year 1</w:t>
            </w:r>
          </w:p>
        </w:tc>
        <w:tc>
          <w:tcPr>
            <w:tcW w:w="1134" w:type="dxa"/>
            <w:shd w:val="clear" w:color="auto" w:fill="auto"/>
            <w:vAlign w:val="center"/>
          </w:tcPr>
          <w:p w14:paraId="3761FF95" w14:textId="77777777" w:rsidR="00980351" w:rsidRPr="001677F9" w:rsidRDefault="00980351" w:rsidP="00AD1DC3">
            <w:pPr>
              <w:pStyle w:val="In-tableHeading"/>
              <w:jc w:val="center"/>
              <w:rPr>
                <w:lang w:val="en-AU"/>
              </w:rPr>
            </w:pPr>
            <w:r w:rsidRPr="001677F9">
              <w:rPr>
                <w:lang w:val="en-AU"/>
              </w:rPr>
              <w:t>Year 2</w:t>
            </w:r>
          </w:p>
        </w:tc>
        <w:tc>
          <w:tcPr>
            <w:tcW w:w="1134" w:type="dxa"/>
            <w:shd w:val="clear" w:color="auto" w:fill="auto"/>
            <w:vAlign w:val="center"/>
          </w:tcPr>
          <w:p w14:paraId="4596D8AF" w14:textId="77777777" w:rsidR="00980351" w:rsidRPr="001677F9" w:rsidRDefault="00980351" w:rsidP="00AD1DC3">
            <w:pPr>
              <w:pStyle w:val="In-tableHeading"/>
              <w:jc w:val="center"/>
              <w:rPr>
                <w:lang w:val="en-AU"/>
              </w:rPr>
            </w:pPr>
            <w:r w:rsidRPr="001677F9">
              <w:rPr>
                <w:lang w:val="en-AU"/>
              </w:rPr>
              <w:t>Year 3</w:t>
            </w:r>
          </w:p>
        </w:tc>
        <w:tc>
          <w:tcPr>
            <w:tcW w:w="1134" w:type="dxa"/>
            <w:shd w:val="clear" w:color="auto" w:fill="auto"/>
            <w:vAlign w:val="center"/>
          </w:tcPr>
          <w:p w14:paraId="47039E72" w14:textId="77777777" w:rsidR="00980351" w:rsidRPr="001677F9" w:rsidRDefault="00980351" w:rsidP="00AD1DC3">
            <w:pPr>
              <w:pStyle w:val="In-tableHeading"/>
              <w:jc w:val="center"/>
              <w:rPr>
                <w:lang w:val="en-AU"/>
              </w:rPr>
            </w:pPr>
            <w:r w:rsidRPr="001677F9">
              <w:rPr>
                <w:lang w:val="en-AU"/>
              </w:rPr>
              <w:t>Year 4</w:t>
            </w:r>
          </w:p>
        </w:tc>
        <w:tc>
          <w:tcPr>
            <w:tcW w:w="1134" w:type="dxa"/>
            <w:shd w:val="clear" w:color="auto" w:fill="auto"/>
            <w:vAlign w:val="center"/>
          </w:tcPr>
          <w:p w14:paraId="70E25254" w14:textId="77777777" w:rsidR="00980351" w:rsidRPr="001677F9" w:rsidRDefault="00980351" w:rsidP="00AD1DC3">
            <w:pPr>
              <w:pStyle w:val="In-tableHeading"/>
              <w:jc w:val="center"/>
              <w:rPr>
                <w:lang w:val="en-AU"/>
              </w:rPr>
            </w:pPr>
            <w:r w:rsidRPr="001677F9">
              <w:rPr>
                <w:lang w:val="en-AU"/>
              </w:rPr>
              <w:t>Year 5</w:t>
            </w:r>
          </w:p>
        </w:tc>
        <w:tc>
          <w:tcPr>
            <w:tcW w:w="1134" w:type="dxa"/>
            <w:shd w:val="clear" w:color="auto" w:fill="auto"/>
            <w:vAlign w:val="center"/>
          </w:tcPr>
          <w:p w14:paraId="357D5554" w14:textId="77777777" w:rsidR="00980351" w:rsidRPr="001677F9" w:rsidRDefault="00980351" w:rsidP="00AD1DC3">
            <w:pPr>
              <w:pStyle w:val="In-tableHeading"/>
              <w:jc w:val="center"/>
              <w:rPr>
                <w:lang w:val="en-AU"/>
              </w:rPr>
            </w:pPr>
            <w:r w:rsidRPr="001677F9">
              <w:rPr>
                <w:lang w:val="en-AU"/>
              </w:rPr>
              <w:t>Year 6</w:t>
            </w:r>
          </w:p>
        </w:tc>
      </w:tr>
      <w:tr w:rsidR="00980351" w:rsidRPr="001677F9" w14:paraId="12141FD7" w14:textId="77777777" w:rsidTr="00AD1DC3">
        <w:tc>
          <w:tcPr>
            <w:tcW w:w="2263" w:type="dxa"/>
            <w:shd w:val="clear" w:color="auto" w:fill="auto"/>
            <w:vAlign w:val="center"/>
          </w:tcPr>
          <w:p w14:paraId="2D2955D5" w14:textId="77777777" w:rsidR="00980351" w:rsidRPr="001677F9" w:rsidRDefault="00980351" w:rsidP="00AD1DC3">
            <w:pPr>
              <w:pStyle w:val="TableText0"/>
            </w:pPr>
            <w:r w:rsidRPr="001677F9">
              <w:t>Total script numbers – dapagliflozin</w:t>
            </w:r>
          </w:p>
        </w:tc>
        <w:tc>
          <w:tcPr>
            <w:tcW w:w="1134" w:type="dxa"/>
            <w:shd w:val="clear" w:color="auto" w:fill="auto"/>
          </w:tcPr>
          <w:p w14:paraId="25CEAA44" w14:textId="1D95D484" w:rsidR="00980351" w:rsidRPr="00ED1DE7" w:rsidRDefault="00D42DC9" w:rsidP="00AD1DC3">
            <w:pPr>
              <w:pStyle w:val="TableText0"/>
              <w:jc w:val="center"/>
              <w:rPr>
                <w:rFonts w:cs="Arial"/>
                <w:color w:val="000000"/>
                <w:vertAlign w:val="superscript"/>
              </w:rPr>
            </w:pPr>
            <w:r w:rsidRPr="00D42DC9">
              <w:rPr>
                <w:rFonts w:hint="eastAsia"/>
                <w:color w:val="000000"/>
                <w:w w:val="15"/>
                <w:shd w:val="solid" w:color="000000" w:fill="000000"/>
                <w:fitText w:val="45" w:id="-1168360697"/>
                <w14:textFill>
                  <w14:solidFill>
                    <w14:srgbClr w14:val="000000">
                      <w14:alpha w14:val="100000"/>
                    </w14:srgbClr>
                  </w14:solidFill>
                </w14:textFill>
              </w:rPr>
              <w:t xml:space="preserve">　</w:t>
            </w:r>
            <w:r w:rsidRPr="00D42DC9">
              <w:rPr>
                <w:color w:val="000000"/>
                <w:w w:val="15"/>
                <w:shd w:val="solid" w:color="000000" w:fill="000000"/>
                <w:fitText w:val="45" w:id="-1168360697"/>
                <w14:textFill>
                  <w14:solidFill>
                    <w14:srgbClr w14:val="000000">
                      <w14:alpha w14:val="100000"/>
                    </w14:srgbClr>
                  </w14:solidFill>
                </w14:textFill>
              </w:rPr>
              <w:t>|</w:t>
            </w:r>
            <w:r w:rsidRPr="00D42DC9">
              <w:rPr>
                <w:rFonts w:hint="eastAsia"/>
                <w:color w:val="000000"/>
                <w:spacing w:val="-20"/>
                <w:w w:val="15"/>
                <w:shd w:val="solid" w:color="000000" w:fill="000000"/>
                <w:fitText w:val="45" w:id="-1168360697"/>
                <w14:textFill>
                  <w14:solidFill>
                    <w14:srgbClr w14:val="000000">
                      <w14:alpha w14:val="100000"/>
                    </w14:srgbClr>
                  </w14:solidFill>
                </w14:textFill>
              </w:rPr>
              <w:t xml:space="preserve">　</w:t>
            </w:r>
            <w:r w:rsidR="00ED1DE7">
              <w:rPr>
                <w:vertAlign w:val="superscript"/>
              </w:rPr>
              <w:t>1</w:t>
            </w:r>
          </w:p>
        </w:tc>
        <w:tc>
          <w:tcPr>
            <w:tcW w:w="1134" w:type="dxa"/>
            <w:shd w:val="clear" w:color="auto" w:fill="auto"/>
          </w:tcPr>
          <w:p w14:paraId="0466BD09" w14:textId="78975B6D" w:rsidR="00980351" w:rsidRPr="00ED1DE7" w:rsidRDefault="00D42DC9" w:rsidP="00AD1DC3">
            <w:pPr>
              <w:pStyle w:val="TableText0"/>
              <w:jc w:val="center"/>
              <w:rPr>
                <w:rFonts w:cs="Arial"/>
                <w:color w:val="000000"/>
                <w:vertAlign w:val="superscript"/>
              </w:rPr>
            </w:pPr>
            <w:r w:rsidRPr="00D42DC9">
              <w:rPr>
                <w:rFonts w:hint="eastAsia"/>
                <w:color w:val="000000"/>
                <w:w w:val="15"/>
                <w:shd w:val="solid" w:color="000000" w:fill="000000"/>
                <w:fitText w:val="45" w:id="-1168360696"/>
                <w14:textFill>
                  <w14:solidFill>
                    <w14:srgbClr w14:val="000000">
                      <w14:alpha w14:val="100000"/>
                    </w14:srgbClr>
                  </w14:solidFill>
                </w14:textFill>
              </w:rPr>
              <w:t xml:space="preserve">　</w:t>
            </w:r>
            <w:r w:rsidRPr="00D42DC9">
              <w:rPr>
                <w:color w:val="000000"/>
                <w:w w:val="15"/>
                <w:shd w:val="solid" w:color="000000" w:fill="000000"/>
                <w:fitText w:val="45" w:id="-1168360696"/>
                <w14:textFill>
                  <w14:solidFill>
                    <w14:srgbClr w14:val="000000">
                      <w14:alpha w14:val="100000"/>
                    </w14:srgbClr>
                  </w14:solidFill>
                </w14:textFill>
              </w:rPr>
              <w:t>|</w:t>
            </w:r>
            <w:r w:rsidRPr="00D42DC9">
              <w:rPr>
                <w:rFonts w:hint="eastAsia"/>
                <w:color w:val="000000"/>
                <w:spacing w:val="-20"/>
                <w:w w:val="15"/>
                <w:shd w:val="solid" w:color="000000" w:fill="000000"/>
                <w:fitText w:val="45" w:id="-1168360696"/>
                <w14:textFill>
                  <w14:solidFill>
                    <w14:srgbClr w14:val="000000">
                      <w14:alpha w14:val="100000"/>
                    </w14:srgbClr>
                  </w14:solidFill>
                </w14:textFill>
              </w:rPr>
              <w:t xml:space="preserve">　</w:t>
            </w:r>
            <w:r w:rsidR="00ED1DE7">
              <w:rPr>
                <w:vertAlign w:val="superscript"/>
              </w:rPr>
              <w:t>2</w:t>
            </w:r>
          </w:p>
        </w:tc>
        <w:tc>
          <w:tcPr>
            <w:tcW w:w="1134" w:type="dxa"/>
            <w:shd w:val="clear" w:color="auto" w:fill="auto"/>
          </w:tcPr>
          <w:p w14:paraId="746EBCEF" w14:textId="519E4711" w:rsidR="00980351" w:rsidRPr="00ED1DE7" w:rsidRDefault="00D42DC9" w:rsidP="00AD1DC3">
            <w:pPr>
              <w:pStyle w:val="TableText0"/>
              <w:jc w:val="center"/>
              <w:rPr>
                <w:rFonts w:cs="Arial"/>
                <w:color w:val="000000"/>
                <w:vertAlign w:val="superscript"/>
              </w:rPr>
            </w:pPr>
            <w:r w:rsidRPr="00D42DC9">
              <w:rPr>
                <w:rFonts w:hint="eastAsia"/>
                <w:color w:val="000000"/>
                <w:w w:val="15"/>
                <w:shd w:val="solid" w:color="000000" w:fill="000000"/>
                <w:fitText w:val="45" w:id="-1168360695"/>
                <w14:textFill>
                  <w14:solidFill>
                    <w14:srgbClr w14:val="000000">
                      <w14:alpha w14:val="100000"/>
                    </w14:srgbClr>
                  </w14:solidFill>
                </w14:textFill>
              </w:rPr>
              <w:t xml:space="preserve">　</w:t>
            </w:r>
            <w:r w:rsidRPr="00D42DC9">
              <w:rPr>
                <w:color w:val="000000"/>
                <w:w w:val="15"/>
                <w:shd w:val="solid" w:color="000000" w:fill="000000"/>
                <w:fitText w:val="45" w:id="-1168360695"/>
                <w14:textFill>
                  <w14:solidFill>
                    <w14:srgbClr w14:val="000000">
                      <w14:alpha w14:val="100000"/>
                    </w14:srgbClr>
                  </w14:solidFill>
                </w14:textFill>
              </w:rPr>
              <w:t>|</w:t>
            </w:r>
            <w:r w:rsidRPr="00D42DC9">
              <w:rPr>
                <w:rFonts w:hint="eastAsia"/>
                <w:color w:val="000000"/>
                <w:spacing w:val="-20"/>
                <w:w w:val="15"/>
                <w:shd w:val="solid" w:color="000000" w:fill="000000"/>
                <w:fitText w:val="45" w:id="-1168360695"/>
                <w14:textFill>
                  <w14:solidFill>
                    <w14:srgbClr w14:val="000000">
                      <w14:alpha w14:val="100000"/>
                    </w14:srgbClr>
                  </w14:solidFill>
                </w14:textFill>
              </w:rPr>
              <w:t xml:space="preserve">　</w:t>
            </w:r>
            <w:r w:rsidR="00ED1DE7">
              <w:rPr>
                <w:vertAlign w:val="superscript"/>
              </w:rPr>
              <w:t>3</w:t>
            </w:r>
          </w:p>
        </w:tc>
        <w:tc>
          <w:tcPr>
            <w:tcW w:w="1134" w:type="dxa"/>
            <w:shd w:val="clear" w:color="auto" w:fill="auto"/>
          </w:tcPr>
          <w:p w14:paraId="575325A4" w14:textId="54A9B6BD" w:rsidR="00980351" w:rsidRPr="00ED1DE7" w:rsidRDefault="00D42DC9" w:rsidP="00AD1DC3">
            <w:pPr>
              <w:pStyle w:val="TableText0"/>
              <w:jc w:val="center"/>
              <w:rPr>
                <w:rFonts w:cs="Arial"/>
                <w:color w:val="000000"/>
                <w:vertAlign w:val="superscript"/>
              </w:rPr>
            </w:pPr>
            <w:r w:rsidRPr="00D42DC9">
              <w:rPr>
                <w:rFonts w:hint="eastAsia"/>
                <w:color w:val="000000"/>
                <w:w w:val="15"/>
                <w:shd w:val="solid" w:color="000000" w:fill="000000"/>
                <w:fitText w:val="45" w:id="-1168360694"/>
                <w14:textFill>
                  <w14:solidFill>
                    <w14:srgbClr w14:val="000000">
                      <w14:alpha w14:val="100000"/>
                    </w14:srgbClr>
                  </w14:solidFill>
                </w14:textFill>
              </w:rPr>
              <w:t xml:space="preserve">　</w:t>
            </w:r>
            <w:r w:rsidRPr="00D42DC9">
              <w:rPr>
                <w:color w:val="000000"/>
                <w:w w:val="15"/>
                <w:shd w:val="solid" w:color="000000" w:fill="000000"/>
                <w:fitText w:val="45" w:id="-1168360694"/>
                <w14:textFill>
                  <w14:solidFill>
                    <w14:srgbClr w14:val="000000">
                      <w14:alpha w14:val="100000"/>
                    </w14:srgbClr>
                  </w14:solidFill>
                </w14:textFill>
              </w:rPr>
              <w:t>|</w:t>
            </w:r>
            <w:r w:rsidRPr="00D42DC9">
              <w:rPr>
                <w:rFonts w:hint="eastAsia"/>
                <w:color w:val="000000"/>
                <w:spacing w:val="-20"/>
                <w:w w:val="15"/>
                <w:shd w:val="solid" w:color="000000" w:fill="000000"/>
                <w:fitText w:val="45" w:id="-1168360694"/>
                <w14:textFill>
                  <w14:solidFill>
                    <w14:srgbClr w14:val="000000">
                      <w14:alpha w14:val="100000"/>
                    </w14:srgbClr>
                  </w14:solidFill>
                </w14:textFill>
              </w:rPr>
              <w:t xml:space="preserve">　</w:t>
            </w:r>
            <w:r w:rsidR="00ED1DE7">
              <w:rPr>
                <w:vertAlign w:val="superscript"/>
              </w:rPr>
              <w:t>4</w:t>
            </w:r>
          </w:p>
        </w:tc>
        <w:tc>
          <w:tcPr>
            <w:tcW w:w="1134" w:type="dxa"/>
            <w:shd w:val="clear" w:color="auto" w:fill="auto"/>
          </w:tcPr>
          <w:p w14:paraId="2BD7F87E" w14:textId="026ABBB5" w:rsidR="00980351" w:rsidRPr="00ED1DE7" w:rsidRDefault="00D42DC9" w:rsidP="00AD1DC3">
            <w:pPr>
              <w:pStyle w:val="TableText0"/>
              <w:jc w:val="center"/>
              <w:rPr>
                <w:rFonts w:cs="Arial"/>
                <w:color w:val="000000"/>
                <w:vertAlign w:val="superscript"/>
              </w:rPr>
            </w:pPr>
            <w:r w:rsidRPr="00D42DC9">
              <w:rPr>
                <w:rFonts w:hint="eastAsia"/>
                <w:color w:val="000000"/>
                <w:w w:val="15"/>
                <w:shd w:val="solid" w:color="000000" w:fill="000000"/>
                <w:fitText w:val="45" w:id="-1168360693"/>
                <w14:textFill>
                  <w14:solidFill>
                    <w14:srgbClr w14:val="000000">
                      <w14:alpha w14:val="100000"/>
                    </w14:srgbClr>
                  </w14:solidFill>
                </w14:textFill>
              </w:rPr>
              <w:t xml:space="preserve">　</w:t>
            </w:r>
            <w:r w:rsidRPr="00D42DC9">
              <w:rPr>
                <w:color w:val="000000"/>
                <w:w w:val="15"/>
                <w:shd w:val="solid" w:color="000000" w:fill="000000"/>
                <w:fitText w:val="45" w:id="-1168360693"/>
                <w14:textFill>
                  <w14:solidFill>
                    <w14:srgbClr w14:val="000000">
                      <w14:alpha w14:val="100000"/>
                    </w14:srgbClr>
                  </w14:solidFill>
                </w14:textFill>
              </w:rPr>
              <w:t>|</w:t>
            </w:r>
            <w:r w:rsidRPr="00D42DC9">
              <w:rPr>
                <w:rFonts w:hint="eastAsia"/>
                <w:color w:val="000000"/>
                <w:spacing w:val="-20"/>
                <w:w w:val="15"/>
                <w:shd w:val="solid" w:color="000000" w:fill="000000"/>
                <w:fitText w:val="45" w:id="-1168360693"/>
                <w14:textFill>
                  <w14:solidFill>
                    <w14:srgbClr w14:val="000000">
                      <w14:alpha w14:val="100000"/>
                    </w14:srgbClr>
                  </w14:solidFill>
                </w14:textFill>
              </w:rPr>
              <w:t xml:space="preserve">　</w:t>
            </w:r>
            <w:r w:rsidR="00ED1DE7">
              <w:rPr>
                <w:vertAlign w:val="superscript"/>
              </w:rPr>
              <w:t>4</w:t>
            </w:r>
          </w:p>
        </w:tc>
        <w:tc>
          <w:tcPr>
            <w:tcW w:w="1134" w:type="dxa"/>
            <w:shd w:val="clear" w:color="auto" w:fill="auto"/>
          </w:tcPr>
          <w:p w14:paraId="1764D38A" w14:textId="70BBD4E7" w:rsidR="00980351" w:rsidRPr="00ED1DE7" w:rsidRDefault="00D42DC9" w:rsidP="00AD1DC3">
            <w:pPr>
              <w:pStyle w:val="TableText0"/>
              <w:jc w:val="center"/>
              <w:rPr>
                <w:rFonts w:cs="Arial"/>
                <w:color w:val="000000"/>
                <w:vertAlign w:val="superscript"/>
              </w:rPr>
            </w:pPr>
            <w:r w:rsidRPr="00D42DC9">
              <w:rPr>
                <w:rFonts w:hint="eastAsia"/>
                <w:color w:val="000000"/>
                <w:w w:val="15"/>
                <w:shd w:val="solid" w:color="000000" w:fill="000000"/>
                <w:fitText w:val="45" w:id="-1168360692"/>
                <w14:textFill>
                  <w14:solidFill>
                    <w14:srgbClr w14:val="000000">
                      <w14:alpha w14:val="100000"/>
                    </w14:srgbClr>
                  </w14:solidFill>
                </w14:textFill>
              </w:rPr>
              <w:t xml:space="preserve">　</w:t>
            </w:r>
            <w:r w:rsidRPr="00D42DC9">
              <w:rPr>
                <w:color w:val="000000"/>
                <w:w w:val="15"/>
                <w:shd w:val="solid" w:color="000000" w:fill="000000"/>
                <w:fitText w:val="45" w:id="-1168360692"/>
                <w14:textFill>
                  <w14:solidFill>
                    <w14:srgbClr w14:val="000000">
                      <w14:alpha w14:val="100000"/>
                    </w14:srgbClr>
                  </w14:solidFill>
                </w14:textFill>
              </w:rPr>
              <w:t>|</w:t>
            </w:r>
            <w:r w:rsidRPr="00D42DC9">
              <w:rPr>
                <w:rFonts w:hint="eastAsia"/>
                <w:color w:val="000000"/>
                <w:spacing w:val="-20"/>
                <w:w w:val="15"/>
                <w:shd w:val="solid" w:color="000000" w:fill="000000"/>
                <w:fitText w:val="45" w:id="-1168360692"/>
                <w14:textFill>
                  <w14:solidFill>
                    <w14:srgbClr w14:val="000000">
                      <w14:alpha w14:val="100000"/>
                    </w14:srgbClr>
                  </w14:solidFill>
                </w14:textFill>
              </w:rPr>
              <w:t xml:space="preserve">　</w:t>
            </w:r>
            <w:r w:rsidR="00ED1DE7">
              <w:rPr>
                <w:vertAlign w:val="superscript"/>
              </w:rPr>
              <w:t>5</w:t>
            </w:r>
          </w:p>
        </w:tc>
      </w:tr>
      <w:tr w:rsidR="00980351" w:rsidRPr="001677F9" w14:paraId="16A4F3BC" w14:textId="77777777" w:rsidTr="00AD1DC3">
        <w:tc>
          <w:tcPr>
            <w:tcW w:w="2263" w:type="dxa"/>
            <w:shd w:val="clear" w:color="auto" w:fill="auto"/>
            <w:vAlign w:val="center"/>
          </w:tcPr>
          <w:p w14:paraId="29163241" w14:textId="1E5F4FF5" w:rsidR="00980351" w:rsidRPr="001677F9" w:rsidRDefault="00980351" w:rsidP="00AD1DC3">
            <w:pPr>
              <w:pStyle w:val="TableText0"/>
            </w:pPr>
            <w:r w:rsidRPr="001677F9">
              <w:t xml:space="preserve">PBS/RPBS cost </w:t>
            </w:r>
            <w:r w:rsidR="00A22651">
              <w:t>($)</w:t>
            </w:r>
          </w:p>
        </w:tc>
        <w:tc>
          <w:tcPr>
            <w:tcW w:w="1134" w:type="dxa"/>
            <w:shd w:val="clear" w:color="auto" w:fill="auto"/>
          </w:tcPr>
          <w:p w14:paraId="5392B577" w14:textId="65B4F7CD" w:rsidR="00980351" w:rsidRPr="001677F9" w:rsidRDefault="00980351" w:rsidP="00AD1DC3">
            <w:pPr>
              <w:pStyle w:val="TableText0"/>
              <w:jc w:val="center"/>
              <w:rPr>
                <w:rFonts w:cs="Arial"/>
              </w:rPr>
            </w:pPr>
            <w:r w:rsidRPr="001677F9">
              <w:t xml:space="preserve"> </w:t>
            </w:r>
            <w:r w:rsidR="00D42DC9" w:rsidRPr="00D42DC9">
              <w:rPr>
                <w:rFonts w:hint="eastAsia"/>
                <w:color w:val="000000"/>
                <w:w w:val="15"/>
                <w:shd w:val="solid" w:color="000000" w:fill="000000"/>
                <w:fitText w:val="60" w:id="-1168360691"/>
                <w14:textFill>
                  <w14:solidFill>
                    <w14:srgbClr w14:val="000000">
                      <w14:alpha w14:val="100000"/>
                    </w14:srgbClr>
                  </w14:solidFill>
                </w14:textFill>
              </w:rPr>
              <w:t xml:space="preserve">　</w:t>
            </w:r>
            <w:r w:rsidR="00D42DC9" w:rsidRPr="00D42DC9">
              <w:rPr>
                <w:color w:val="000000"/>
                <w:w w:val="15"/>
                <w:shd w:val="solid" w:color="000000" w:fill="000000"/>
                <w:fitText w:val="60" w:id="-1168360691"/>
                <w14:textFill>
                  <w14:solidFill>
                    <w14:srgbClr w14:val="000000">
                      <w14:alpha w14:val="100000"/>
                    </w14:srgbClr>
                  </w14:solidFill>
                </w14:textFill>
              </w:rPr>
              <w:t>|</w:t>
            </w:r>
            <w:r w:rsidR="00D42DC9" w:rsidRPr="00D42DC9">
              <w:rPr>
                <w:rFonts w:hint="eastAsia"/>
                <w:color w:val="000000"/>
                <w:spacing w:val="-5"/>
                <w:w w:val="15"/>
                <w:shd w:val="solid" w:color="000000" w:fill="000000"/>
                <w:fitText w:val="60" w:id="-1168360691"/>
                <w14:textFill>
                  <w14:solidFill>
                    <w14:srgbClr w14:val="000000">
                      <w14:alpha w14:val="100000"/>
                    </w14:srgbClr>
                  </w14:solidFill>
                </w14:textFill>
              </w:rPr>
              <w:t xml:space="preserve">　</w:t>
            </w:r>
            <w:r w:rsidR="00ED1DE7">
              <w:rPr>
                <w:vertAlign w:val="superscript"/>
              </w:rPr>
              <w:t>6</w:t>
            </w:r>
            <w:r w:rsidRPr="001677F9">
              <w:t xml:space="preserve"> </w:t>
            </w:r>
          </w:p>
        </w:tc>
        <w:tc>
          <w:tcPr>
            <w:tcW w:w="1134" w:type="dxa"/>
            <w:shd w:val="clear" w:color="auto" w:fill="auto"/>
          </w:tcPr>
          <w:p w14:paraId="3E486581" w14:textId="015BF018" w:rsidR="00980351" w:rsidRPr="001677F9" w:rsidRDefault="00980351" w:rsidP="00AD1DC3">
            <w:pPr>
              <w:pStyle w:val="TableText0"/>
              <w:jc w:val="center"/>
              <w:rPr>
                <w:rFonts w:cs="Arial"/>
              </w:rPr>
            </w:pPr>
            <w:r w:rsidRPr="001677F9">
              <w:t xml:space="preserve"> </w:t>
            </w:r>
            <w:r w:rsidR="00D42DC9" w:rsidRPr="00D42DC9">
              <w:rPr>
                <w:rFonts w:hint="eastAsia"/>
                <w:color w:val="000000"/>
                <w:w w:val="15"/>
                <w:shd w:val="solid" w:color="000000" w:fill="000000"/>
                <w:fitText w:val="60" w:id="-1168360690"/>
                <w14:textFill>
                  <w14:solidFill>
                    <w14:srgbClr w14:val="000000">
                      <w14:alpha w14:val="100000"/>
                    </w14:srgbClr>
                  </w14:solidFill>
                </w14:textFill>
              </w:rPr>
              <w:t xml:space="preserve">　</w:t>
            </w:r>
            <w:r w:rsidR="00D42DC9" w:rsidRPr="00D42DC9">
              <w:rPr>
                <w:color w:val="000000"/>
                <w:w w:val="15"/>
                <w:shd w:val="solid" w:color="000000" w:fill="000000"/>
                <w:fitText w:val="60" w:id="-1168360690"/>
                <w14:textFill>
                  <w14:solidFill>
                    <w14:srgbClr w14:val="000000">
                      <w14:alpha w14:val="100000"/>
                    </w14:srgbClr>
                  </w14:solidFill>
                </w14:textFill>
              </w:rPr>
              <w:t>|</w:t>
            </w:r>
            <w:r w:rsidR="00D42DC9" w:rsidRPr="00D42DC9">
              <w:rPr>
                <w:rFonts w:hint="eastAsia"/>
                <w:color w:val="000000"/>
                <w:spacing w:val="-5"/>
                <w:w w:val="15"/>
                <w:shd w:val="solid" w:color="000000" w:fill="000000"/>
                <w:fitText w:val="60" w:id="-1168360690"/>
                <w14:textFill>
                  <w14:solidFill>
                    <w14:srgbClr w14:val="000000">
                      <w14:alpha w14:val="100000"/>
                    </w14:srgbClr>
                  </w14:solidFill>
                </w14:textFill>
              </w:rPr>
              <w:t xml:space="preserve">　</w:t>
            </w:r>
            <w:r w:rsidR="007720AD">
              <w:rPr>
                <w:vertAlign w:val="superscript"/>
              </w:rPr>
              <w:t>7</w:t>
            </w:r>
            <w:r w:rsidRPr="001677F9">
              <w:t xml:space="preserve"> </w:t>
            </w:r>
          </w:p>
        </w:tc>
        <w:tc>
          <w:tcPr>
            <w:tcW w:w="1134" w:type="dxa"/>
            <w:shd w:val="clear" w:color="auto" w:fill="auto"/>
          </w:tcPr>
          <w:p w14:paraId="7A6AE671" w14:textId="4434C96D" w:rsidR="00980351" w:rsidRPr="001677F9" w:rsidRDefault="00980351" w:rsidP="00AD1DC3">
            <w:pPr>
              <w:pStyle w:val="TableText0"/>
              <w:jc w:val="center"/>
              <w:rPr>
                <w:rFonts w:cs="Arial"/>
              </w:rPr>
            </w:pPr>
            <w:r w:rsidRPr="001677F9">
              <w:t xml:space="preserve"> </w:t>
            </w:r>
            <w:r w:rsidR="00D42DC9" w:rsidRPr="00D42DC9">
              <w:rPr>
                <w:rFonts w:hint="eastAsia"/>
                <w:color w:val="000000"/>
                <w:w w:val="15"/>
                <w:shd w:val="solid" w:color="000000" w:fill="000000"/>
                <w:fitText w:val="60" w:id="-1168360689"/>
                <w14:textFill>
                  <w14:solidFill>
                    <w14:srgbClr w14:val="000000">
                      <w14:alpha w14:val="100000"/>
                    </w14:srgbClr>
                  </w14:solidFill>
                </w14:textFill>
              </w:rPr>
              <w:t xml:space="preserve">　</w:t>
            </w:r>
            <w:r w:rsidR="00D42DC9" w:rsidRPr="00D42DC9">
              <w:rPr>
                <w:color w:val="000000"/>
                <w:w w:val="15"/>
                <w:shd w:val="solid" w:color="000000" w:fill="000000"/>
                <w:fitText w:val="60" w:id="-1168360689"/>
                <w14:textFill>
                  <w14:solidFill>
                    <w14:srgbClr w14:val="000000">
                      <w14:alpha w14:val="100000"/>
                    </w14:srgbClr>
                  </w14:solidFill>
                </w14:textFill>
              </w:rPr>
              <w:t>|</w:t>
            </w:r>
            <w:r w:rsidR="00D42DC9" w:rsidRPr="00D42DC9">
              <w:rPr>
                <w:rFonts w:hint="eastAsia"/>
                <w:color w:val="000000"/>
                <w:spacing w:val="-5"/>
                <w:w w:val="15"/>
                <w:shd w:val="solid" w:color="000000" w:fill="000000"/>
                <w:fitText w:val="60" w:id="-1168360689"/>
                <w14:textFill>
                  <w14:solidFill>
                    <w14:srgbClr w14:val="000000">
                      <w14:alpha w14:val="100000"/>
                    </w14:srgbClr>
                  </w14:solidFill>
                </w14:textFill>
              </w:rPr>
              <w:t xml:space="preserve">　</w:t>
            </w:r>
            <w:r w:rsidR="007720AD">
              <w:rPr>
                <w:vertAlign w:val="superscript"/>
              </w:rPr>
              <w:t>8</w:t>
            </w:r>
            <w:r w:rsidRPr="001677F9">
              <w:t xml:space="preserve"> </w:t>
            </w:r>
          </w:p>
        </w:tc>
        <w:tc>
          <w:tcPr>
            <w:tcW w:w="1134" w:type="dxa"/>
            <w:shd w:val="clear" w:color="auto" w:fill="auto"/>
          </w:tcPr>
          <w:p w14:paraId="7217826C" w14:textId="48E00504" w:rsidR="00980351" w:rsidRPr="001677F9" w:rsidRDefault="00980351" w:rsidP="00AD1DC3">
            <w:pPr>
              <w:pStyle w:val="TableText0"/>
              <w:jc w:val="center"/>
              <w:rPr>
                <w:rFonts w:cs="Arial"/>
              </w:rPr>
            </w:pPr>
            <w:r w:rsidRPr="001677F9">
              <w:t xml:space="preserve"> </w:t>
            </w:r>
            <w:r w:rsidR="00D42DC9" w:rsidRPr="00D42DC9">
              <w:rPr>
                <w:rFonts w:hint="eastAsia"/>
                <w:color w:val="000000"/>
                <w:w w:val="15"/>
                <w:shd w:val="solid" w:color="000000" w:fill="000000"/>
                <w:fitText w:val="60" w:id="-1168360688"/>
                <w14:textFill>
                  <w14:solidFill>
                    <w14:srgbClr w14:val="000000">
                      <w14:alpha w14:val="100000"/>
                    </w14:srgbClr>
                  </w14:solidFill>
                </w14:textFill>
              </w:rPr>
              <w:t xml:space="preserve">　</w:t>
            </w:r>
            <w:r w:rsidR="00D42DC9" w:rsidRPr="00D42DC9">
              <w:rPr>
                <w:color w:val="000000"/>
                <w:w w:val="15"/>
                <w:shd w:val="solid" w:color="000000" w:fill="000000"/>
                <w:fitText w:val="60" w:id="-1168360688"/>
                <w14:textFill>
                  <w14:solidFill>
                    <w14:srgbClr w14:val="000000">
                      <w14:alpha w14:val="100000"/>
                    </w14:srgbClr>
                  </w14:solidFill>
                </w14:textFill>
              </w:rPr>
              <w:t>|</w:t>
            </w:r>
            <w:r w:rsidR="00D42DC9" w:rsidRPr="00D42DC9">
              <w:rPr>
                <w:rFonts w:hint="eastAsia"/>
                <w:color w:val="000000"/>
                <w:spacing w:val="-5"/>
                <w:w w:val="15"/>
                <w:shd w:val="solid" w:color="000000" w:fill="000000"/>
                <w:fitText w:val="60" w:id="-1168360688"/>
                <w14:textFill>
                  <w14:solidFill>
                    <w14:srgbClr w14:val="000000">
                      <w14:alpha w14:val="100000"/>
                    </w14:srgbClr>
                  </w14:solidFill>
                </w14:textFill>
              </w:rPr>
              <w:t xml:space="preserve">　</w:t>
            </w:r>
            <w:r w:rsidR="007720AD">
              <w:rPr>
                <w:vertAlign w:val="superscript"/>
              </w:rPr>
              <w:t>9</w:t>
            </w:r>
            <w:r w:rsidRPr="001677F9">
              <w:t xml:space="preserve"> </w:t>
            </w:r>
          </w:p>
        </w:tc>
        <w:tc>
          <w:tcPr>
            <w:tcW w:w="1134" w:type="dxa"/>
            <w:shd w:val="clear" w:color="auto" w:fill="auto"/>
          </w:tcPr>
          <w:p w14:paraId="0AF34F5D" w14:textId="674F48F2" w:rsidR="00980351" w:rsidRPr="001677F9" w:rsidRDefault="00980351" w:rsidP="00AD1DC3">
            <w:pPr>
              <w:pStyle w:val="TableText0"/>
              <w:jc w:val="center"/>
              <w:rPr>
                <w:rFonts w:cs="Arial"/>
              </w:rPr>
            </w:pPr>
            <w:r w:rsidRPr="001677F9">
              <w:t xml:space="preserve"> </w:t>
            </w:r>
            <w:r w:rsidR="00D42DC9" w:rsidRPr="00D42DC9">
              <w:rPr>
                <w:rFonts w:hint="eastAsia"/>
                <w:color w:val="000000"/>
                <w:w w:val="20"/>
                <w:shd w:val="solid" w:color="000000" w:fill="000000"/>
                <w:fitText w:val="90" w:id="-1168360704"/>
                <w14:textFill>
                  <w14:solidFill>
                    <w14:srgbClr w14:val="000000">
                      <w14:alpha w14:val="100000"/>
                    </w14:srgbClr>
                  </w14:solidFill>
                </w14:textFill>
              </w:rPr>
              <w:t xml:space="preserve">　</w:t>
            </w:r>
            <w:r w:rsidR="00D42DC9" w:rsidRPr="00D42DC9">
              <w:rPr>
                <w:color w:val="000000"/>
                <w:w w:val="20"/>
                <w:shd w:val="solid" w:color="000000" w:fill="000000"/>
                <w:fitText w:val="90" w:id="-1168360704"/>
                <w14:textFill>
                  <w14:solidFill>
                    <w14:srgbClr w14:val="000000">
                      <w14:alpha w14:val="100000"/>
                    </w14:srgbClr>
                  </w14:solidFill>
                </w14:textFill>
              </w:rPr>
              <w:t>|</w:t>
            </w:r>
            <w:r w:rsidR="00D42DC9" w:rsidRPr="00D42DC9">
              <w:rPr>
                <w:rFonts w:hint="eastAsia"/>
                <w:color w:val="000000"/>
                <w:spacing w:val="3"/>
                <w:w w:val="20"/>
                <w:shd w:val="solid" w:color="000000" w:fill="000000"/>
                <w:fitText w:val="90" w:id="-1168360704"/>
                <w14:textFill>
                  <w14:solidFill>
                    <w14:srgbClr w14:val="000000">
                      <w14:alpha w14:val="100000"/>
                    </w14:srgbClr>
                  </w14:solidFill>
                </w14:textFill>
              </w:rPr>
              <w:t xml:space="preserve">　</w:t>
            </w:r>
            <w:r w:rsidR="00D207C7">
              <w:rPr>
                <w:vertAlign w:val="superscript"/>
              </w:rPr>
              <w:t>10</w:t>
            </w:r>
            <w:r w:rsidRPr="001677F9">
              <w:t xml:space="preserve"> </w:t>
            </w:r>
          </w:p>
        </w:tc>
        <w:tc>
          <w:tcPr>
            <w:tcW w:w="1134" w:type="dxa"/>
            <w:shd w:val="clear" w:color="auto" w:fill="auto"/>
          </w:tcPr>
          <w:p w14:paraId="33386C71" w14:textId="71B094A0" w:rsidR="00980351" w:rsidRPr="001677F9" w:rsidRDefault="00980351" w:rsidP="00AD1DC3">
            <w:pPr>
              <w:pStyle w:val="TableText0"/>
              <w:jc w:val="center"/>
              <w:rPr>
                <w:rFonts w:cs="Arial"/>
              </w:rPr>
            </w:pPr>
            <w:r w:rsidRPr="001677F9">
              <w:t xml:space="preserve"> </w:t>
            </w:r>
            <w:r w:rsidR="00D42DC9" w:rsidRPr="00D42DC9">
              <w:rPr>
                <w:rFonts w:hint="eastAsia"/>
                <w:color w:val="000000"/>
                <w:w w:val="20"/>
                <w:shd w:val="solid" w:color="000000" w:fill="000000"/>
                <w:fitText w:val="90" w:id="-1168360703"/>
                <w14:textFill>
                  <w14:solidFill>
                    <w14:srgbClr w14:val="000000">
                      <w14:alpha w14:val="100000"/>
                    </w14:srgbClr>
                  </w14:solidFill>
                </w14:textFill>
              </w:rPr>
              <w:t xml:space="preserve">　</w:t>
            </w:r>
            <w:r w:rsidR="00D42DC9" w:rsidRPr="00D42DC9">
              <w:rPr>
                <w:color w:val="000000"/>
                <w:w w:val="20"/>
                <w:shd w:val="solid" w:color="000000" w:fill="000000"/>
                <w:fitText w:val="90" w:id="-1168360703"/>
                <w14:textFill>
                  <w14:solidFill>
                    <w14:srgbClr w14:val="000000">
                      <w14:alpha w14:val="100000"/>
                    </w14:srgbClr>
                  </w14:solidFill>
                </w14:textFill>
              </w:rPr>
              <w:t>|</w:t>
            </w:r>
            <w:r w:rsidR="00D42DC9" w:rsidRPr="00D42DC9">
              <w:rPr>
                <w:rFonts w:hint="eastAsia"/>
                <w:color w:val="000000"/>
                <w:spacing w:val="3"/>
                <w:w w:val="20"/>
                <w:shd w:val="solid" w:color="000000" w:fill="000000"/>
                <w:fitText w:val="90" w:id="-1168360703"/>
                <w14:textFill>
                  <w14:solidFill>
                    <w14:srgbClr w14:val="000000">
                      <w14:alpha w14:val="100000"/>
                    </w14:srgbClr>
                  </w14:solidFill>
                </w14:textFill>
              </w:rPr>
              <w:t xml:space="preserve">　</w:t>
            </w:r>
            <w:r w:rsidR="00D207C7">
              <w:rPr>
                <w:vertAlign w:val="superscript"/>
              </w:rPr>
              <w:t>11</w:t>
            </w:r>
            <w:r w:rsidRPr="001677F9">
              <w:t xml:space="preserve"> </w:t>
            </w:r>
          </w:p>
        </w:tc>
      </w:tr>
      <w:tr w:rsidR="00980351" w:rsidRPr="001677F9" w14:paraId="762BA0AF" w14:textId="77777777" w:rsidTr="00AD1DC3">
        <w:tc>
          <w:tcPr>
            <w:tcW w:w="2263" w:type="dxa"/>
            <w:shd w:val="clear" w:color="auto" w:fill="auto"/>
            <w:vAlign w:val="center"/>
          </w:tcPr>
          <w:p w14:paraId="51272E1D" w14:textId="49D660E4" w:rsidR="00980351" w:rsidRPr="001677F9" w:rsidRDefault="00980351" w:rsidP="00AD1DC3">
            <w:pPr>
              <w:pStyle w:val="TableText0"/>
            </w:pPr>
            <w:r w:rsidRPr="001677F9">
              <w:t xml:space="preserve">Patient co-payment </w:t>
            </w:r>
            <w:r w:rsidR="00ED1DE7">
              <w:t>($)</w:t>
            </w:r>
          </w:p>
        </w:tc>
        <w:tc>
          <w:tcPr>
            <w:tcW w:w="1134" w:type="dxa"/>
            <w:shd w:val="clear" w:color="auto" w:fill="auto"/>
          </w:tcPr>
          <w:p w14:paraId="6720FEED" w14:textId="147B7AF8" w:rsidR="00980351" w:rsidRPr="001677F9" w:rsidRDefault="00980351" w:rsidP="00AD1DC3">
            <w:pPr>
              <w:pStyle w:val="TableText0"/>
              <w:jc w:val="center"/>
              <w:rPr>
                <w:rFonts w:cs="Arial"/>
              </w:rPr>
            </w:pPr>
            <w:r w:rsidRPr="001677F9">
              <w:t>-</w:t>
            </w:r>
            <w:r w:rsidR="00D42DC9" w:rsidRPr="00D42DC9">
              <w:rPr>
                <w:rFonts w:hint="eastAsia"/>
                <w:color w:val="000000"/>
                <w:w w:val="16"/>
                <w:shd w:val="solid" w:color="000000" w:fill="000000"/>
                <w:fitText w:val="75" w:id="-1168360702"/>
                <w14:textFill>
                  <w14:solidFill>
                    <w14:srgbClr w14:val="000000">
                      <w14:alpha w14:val="100000"/>
                    </w14:srgbClr>
                  </w14:solidFill>
                </w14:textFill>
              </w:rPr>
              <w:t xml:space="preserve">　</w:t>
            </w:r>
            <w:r w:rsidR="00D42DC9" w:rsidRPr="00D42DC9">
              <w:rPr>
                <w:color w:val="000000"/>
                <w:w w:val="16"/>
                <w:shd w:val="solid" w:color="000000" w:fill="000000"/>
                <w:fitText w:val="75" w:id="-1168360702"/>
                <w14:textFill>
                  <w14:solidFill>
                    <w14:srgbClr w14:val="000000">
                      <w14:alpha w14:val="100000"/>
                    </w14:srgbClr>
                  </w14:solidFill>
                </w14:textFill>
              </w:rPr>
              <w:t>|</w:t>
            </w:r>
            <w:r w:rsidR="00D42DC9" w:rsidRPr="00D42DC9">
              <w:rPr>
                <w:rFonts w:hint="eastAsia"/>
                <w:color w:val="000000"/>
                <w:spacing w:val="5"/>
                <w:w w:val="16"/>
                <w:shd w:val="solid" w:color="000000" w:fill="000000"/>
                <w:fitText w:val="75" w:id="-1168360702"/>
                <w14:textFill>
                  <w14:solidFill>
                    <w14:srgbClr w14:val="000000">
                      <w14:alpha w14:val="100000"/>
                    </w14:srgbClr>
                  </w14:solidFill>
                </w14:textFill>
              </w:rPr>
              <w:t xml:space="preserve">　</w:t>
            </w:r>
            <w:r w:rsidR="006E7E26">
              <w:rPr>
                <w:vertAlign w:val="superscript"/>
              </w:rPr>
              <w:t>12</w:t>
            </w:r>
            <w:r w:rsidRPr="001677F9">
              <w:t xml:space="preserve"> </w:t>
            </w:r>
          </w:p>
        </w:tc>
        <w:tc>
          <w:tcPr>
            <w:tcW w:w="1134" w:type="dxa"/>
            <w:shd w:val="clear" w:color="auto" w:fill="auto"/>
          </w:tcPr>
          <w:p w14:paraId="77E0B59E" w14:textId="04D70DE0" w:rsidR="00980351" w:rsidRPr="001677F9" w:rsidRDefault="00980351" w:rsidP="00AD1DC3">
            <w:pPr>
              <w:pStyle w:val="TableText0"/>
              <w:jc w:val="center"/>
              <w:rPr>
                <w:rFonts w:cs="Arial"/>
              </w:rPr>
            </w:pPr>
            <w:r w:rsidRPr="001677F9">
              <w:t>-</w:t>
            </w:r>
            <w:r w:rsidR="00D42DC9" w:rsidRPr="00D42DC9">
              <w:rPr>
                <w:rFonts w:hint="eastAsia"/>
                <w:color w:val="000000"/>
                <w:w w:val="16"/>
                <w:shd w:val="solid" w:color="000000" w:fill="000000"/>
                <w:fitText w:val="75" w:id="-1168360701"/>
                <w14:textFill>
                  <w14:solidFill>
                    <w14:srgbClr w14:val="000000">
                      <w14:alpha w14:val="100000"/>
                    </w14:srgbClr>
                  </w14:solidFill>
                </w14:textFill>
              </w:rPr>
              <w:t xml:space="preserve">　</w:t>
            </w:r>
            <w:r w:rsidR="00D42DC9" w:rsidRPr="00D42DC9">
              <w:rPr>
                <w:color w:val="000000"/>
                <w:w w:val="16"/>
                <w:shd w:val="solid" w:color="000000" w:fill="000000"/>
                <w:fitText w:val="75" w:id="-1168360701"/>
                <w14:textFill>
                  <w14:solidFill>
                    <w14:srgbClr w14:val="000000">
                      <w14:alpha w14:val="100000"/>
                    </w14:srgbClr>
                  </w14:solidFill>
                </w14:textFill>
              </w:rPr>
              <w:t>|</w:t>
            </w:r>
            <w:r w:rsidR="00D42DC9" w:rsidRPr="00D42DC9">
              <w:rPr>
                <w:rFonts w:hint="eastAsia"/>
                <w:color w:val="000000"/>
                <w:spacing w:val="5"/>
                <w:w w:val="16"/>
                <w:shd w:val="solid" w:color="000000" w:fill="000000"/>
                <w:fitText w:val="75" w:id="-1168360701"/>
                <w14:textFill>
                  <w14:solidFill>
                    <w14:srgbClr w14:val="000000">
                      <w14:alpha w14:val="100000"/>
                    </w14:srgbClr>
                  </w14:solidFill>
                </w14:textFill>
              </w:rPr>
              <w:t xml:space="preserve">　</w:t>
            </w:r>
            <w:r w:rsidR="006E7E26">
              <w:rPr>
                <w:vertAlign w:val="superscript"/>
              </w:rPr>
              <w:t>12</w:t>
            </w:r>
            <w:r w:rsidRPr="001677F9">
              <w:t xml:space="preserve"> </w:t>
            </w:r>
          </w:p>
        </w:tc>
        <w:tc>
          <w:tcPr>
            <w:tcW w:w="1134" w:type="dxa"/>
            <w:shd w:val="clear" w:color="auto" w:fill="auto"/>
          </w:tcPr>
          <w:p w14:paraId="02A46158" w14:textId="5F2D79FC" w:rsidR="00980351" w:rsidRPr="001677F9" w:rsidRDefault="00980351" w:rsidP="00AD1DC3">
            <w:pPr>
              <w:pStyle w:val="TableText0"/>
              <w:jc w:val="center"/>
              <w:rPr>
                <w:rFonts w:cs="Arial"/>
              </w:rPr>
            </w:pPr>
            <w:r w:rsidRPr="001677F9">
              <w:t>-</w:t>
            </w:r>
            <w:r w:rsidR="00D42DC9" w:rsidRPr="00D42DC9">
              <w:rPr>
                <w:rFonts w:hint="eastAsia"/>
                <w:color w:val="000000"/>
                <w:w w:val="16"/>
                <w:shd w:val="solid" w:color="000000" w:fill="000000"/>
                <w:fitText w:val="75" w:id="-1168360700"/>
                <w14:textFill>
                  <w14:solidFill>
                    <w14:srgbClr w14:val="000000">
                      <w14:alpha w14:val="100000"/>
                    </w14:srgbClr>
                  </w14:solidFill>
                </w14:textFill>
              </w:rPr>
              <w:t xml:space="preserve">　</w:t>
            </w:r>
            <w:r w:rsidR="00D42DC9" w:rsidRPr="00D42DC9">
              <w:rPr>
                <w:color w:val="000000"/>
                <w:w w:val="16"/>
                <w:shd w:val="solid" w:color="000000" w:fill="000000"/>
                <w:fitText w:val="75" w:id="-1168360700"/>
                <w14:textFill>
                  <w14:solidFill>
                    <w14:srgbClr w14:val="000000">
                      <w14:alpha w14:val="100000"/>
                    </w14:srgbClr>
                  </w14:solidFill>
                </w14:textFill>
              </w:rPr>
              <w:t>|</w:t>
            </w:r>
            <w:r w:rsidR="00D42DC9" w:rsidRPr="00D42DC9">
              <w:rPr>
                <w:rFonts w:hint="eastAsia"/>
                <w:color w:val="000000"/>
                <w:spacing w:val="5"/>
                <w:w w:val="16"/>
                <w:shd w:val="solid" w:color="000000" w:fill="000000"/>
                <w:fitText w:val="75" w:id="-1168360700"/>
                <w14:textFill>
                  <w14:solidFill>
                    <w14:srgbClr w14:val="000000">
                      <w14:alpha w14:val="100000"/>
                    </w14:srgbClr>
                  </w14:solidFill>
                </w14:textFill>
              </w:rPr>
              <w:t xml:space="preserve">　</w:t>
            </w:r>
            <w:r w:rsidR="006E7E26">
              <w:rPr>
                <w:vertAlign w:val="superscript"/>
              </w:rPr>
              <w:t>12</w:t>
            </w:r>
            <w:r w:rsidRPr="001677F9">
              <w:t xml:space="preserve"> </w:t>
            </w:r>
          </w:p>
        </w:tc>
        <w:tc>
          <w:tcPr>
            <w:tcW w:w="1134" w:type="dxa"/>
            <w:shd w:val="clear" w:color="auto" w:fill="auto"/>
          </w:tcPr>
          <w:p w14:paraId="773712A8" w14:textId="610A1880" w:rsidR="00980351" w:rsidRPr="001677F9" w:rsidRDefault="00980351" w:rsidP="00AD1DC3">
            <w:pPr>
              <w:pStyle w:val="TableText0"/>
              <w:jc w:val="center"/>
              <w:rPr>
                <w:rFonts w:cs="Arial"/>
              </w:rPr>
            </w:pPr>
            <w:r w:rsidRPr="001677F9">
              <w:t>-</w:t>
            </w:r>
            <w:r w:rsidR="00D42DC9" w:rsidRPr="00D42DC9">
              <w:rPr>
                <w:rFonts w:hint="eastAsia"/>
                <w:color w:val="000000"/>
                <w:w w:val="16"/>
                <w:shd w:val="solid" w:color="000000" w:fill="000000"/>
                <w:fitText w:val="75" w:id="-1168360699"/>
                <w14:textFill>
                  <w14:solidFill>
                    <w14:srgbClr w14:val="000000">
                      <w14:alpha w14:val="100000"/>
                    </w14:srgbClr>
                  </w14:solidFill>
                </w14:textFill>
              </w:rPr>
              <w:t xml:space="preserve">　</w:t>
            </w:r>
            <w:r w:rsidR="00D42DC9" w:rsidRPr="00D42DC9">
              <w:rPr>
                <w:color w:val="000000"/>
                <w:w w:val="16"/>
                <w:shd w:val="solid" w:color="000000" w:fill="000000"/>
                <w:fitText w:val="75" w:id="-1168360699"/>
                <w14:textFill>
                  <w14:solidFill>
                    <w14:srgbClr w14:val="000000">
                      <w14:alpha w14:val="100000"/>
                    </w14:srgbClr>
                  </w14:solidFill>
                </w14:textFill>
              </w:rPr>
              <w:t>|</w:t>
            </w:r>
            <w:r w:rsidR="00D42DC9" w:rsidRPr="00D42DC9">
              <w:rPr>
                <w:rFonts w:hint="eastAsia"/>
                <w:color w:val="000000"/>
                <w:spacing w:val="5"/>
                <w:w w:val="16"/>
                <w:shd w:val="solid" w:color="000000" w:fill="000000"/>
                <w:fitText w:val="75" w:id="-1168360699"/>
                <w14:textFill>
                  <w14:solidFill>
                    <w14:srgbClr w14:val="000000">
                      <w14:alpha w14:val="100000"/>
                    </w14:srgbClr>
                  </w14:solidFill>
                </w14:textFill>
              </w:rPr>
              <w:t xml:space="preserve">　</w:t>
            </w:r>
            <w:r w:rsidR="00974D36">
              <w:rPr>
                <w:vertAlign w:val="superscript"/>
              </w:rPr>
              <w:t>12</w:t>
            </w:r>
            <w:r w:rsidRPr="001677F9">
              <w:t xml:space="preserve"> </w:t>
            </w:r>
          </w:p>
        </w:tc>
        <w:tc>
          <w:tcPr>
            <w:tcW w:w="1134" w:type="dxa"/>
            <w:shd w:val="clear" w:color="auto" w:fill="auto"/>
          </w:tcPr>
          <w:p w14:paraId="16D39EE3" w14:textId="6F6C2001" w:rsidR="00980351" w:rsidRPr="001677F9" w:rsidRDefault="00980351" w:rsidP="00AD1DC3">
            <w:pPr>
              <w:pStyle w:val="TableText0"/>
              <w:jc w:val="center"/>
              <w:rPr>
                <w:rFonts w:cs="Arial"/>
              </w:rPr>
            </w:pPr>
            <w:r w:rsidRPr="001677F9">
              <w:t>-</w:t>
            </w:r>
            <w:r w:rsidR="00D42DC9" w:rsidRPr="00D42DC9">
              <w:rPr>
                <w:rFonts w:hint="eastAsia"/>
                <w:color w:val="000000"/>
                <w:w w:val="16"/>
                <w:shd w:val="solid" w:color="000000" w:fill="000000"/>
                <w:fitText w:val="75" w:id="-1168360698"/>
                <w14:textFill>
                  <w14:solidFill>
                    <w14:srgbClr w14:val="000000">
                      <w14:alpha w14:val="100000"/>
                    </w14:srgbClr>
                  </w14:solidFill>
                </w14:textFill>
              </w:rPr>
              <w:t xml:space="preserve">　</w:t>
            </w:r>
            <w:r w:rsidR="00D42DC9" w:rsidRPr="00D42DC9">
              <w:rPr>
                <w:color w:val="000000"/>
                <w:w w:val="16"/>
                <w:shd w:val="solid" w:color="000000" w:fill="000000"/>
                <w:fitText w:val="75" w:id="-1168360698"/>
                <w14:textFill>
                  <w14:solidFill>
                    <w14:srgbClr w14:val="000000">
                      <w14:alpha w14:val="100000"/>
                    </w14:srgbClr>
                  </w14:solidFill>
                </w14:textFill>
              </w:rPr>
              <w:t>|</w:t>
            </w:r>
            <w:r w:rsidR="00D42DC9" w:rsidRPr="00D42DC9">
              <w:rPr>
                <w:rFonts w:hint="eastAsia"/>
                <w:color w:val="000000"/>
                <w:spacing w:val="5"/>
                <w:w w:val="16"/>
                <w:shd w:val="solid" w:color="000000" w:fill="000000"/>
                <w:fitText w:val="75" w:id="-1168360698"/>
                <w14:textFill>
                  <w14:solidFill>
                    <w14:srgbClr w14:val="000000">
                      <w14:alpha w14:val="100000"/>
                    </w14:srgbClr>
                  </w14:solidFill>
                </w14:textFill>
              </w:rPr>
              <w:t xml:space="preserve">　</w:t>
            </w:r>
            <w:r w:rsidR="00974D36">
              <w:rPr>
                <w:vertAlign w:val="superscript"/>
              </w:rPr>
              <w:t>12</w:t>
            </w:r>
            <w:r w:rsidRPr="001677F9">
              <w:t xml:space="preserve"> </w:t>
            </w:r>
          </w:p>
        </w:tc>
        <w:tc>
          <w:tcPr>
            <w:tcW w:w="1134" w:type="dxa"/>
            <w:shd w:val="clear" w:color="auto" w:fill="auto"/>
          </w:tcPr>
          <w:p w14:paraId="4F832B94" w14:textId="5AC8B285" w:rsidR="00980351" w:rsidRPr="001677F9" w:rsidRDefault="00980351" w:rsidP="00AD1DC3">
            <w:pPr>
              <w:pStyle w:val="TableText0"/>
              <w:jc w:val="center"/>
              <w:rPr>
                <w:rFonts w:cs="Arial"/>
              </w:rPr>
            </w:pPr>
            <w:r w:rsidRPr="001677F9">
              <w:t>-</w:t>
            </w:r>
            <w:r w:rsidR="00D42DC9" w:rsidRPr="00D42DC9">
              <w:rPr>
                <w:rFonts w:hint="eastAsia"/>
                <w:color w:val="000000"/>
                <w:w w:val="16"/>
                <w:shd w:val="solid" w:color="000000" w:fill="000000"/>
                <w:fitText w:val="75" w:id="-1168360697"/>
                <w14:textFill>
                  <w14:solidFill>
                    <w14:srgbClr w14:val="000000">
                      <w14:alpha w14:val="100000"/>
                    </w14:srgbClr>
                  </w14:solidFill>
                </w14:textFill>
              </w:rPr>
              <w:t xml:space="preserve">　</w:t>
            </w:r>
            <w:r w:rsidR="00D42DC9" w:rsidRPr="00D42DC9">
              <w:rPr>
                <w:color w:val="000000"/>
                <w:w w:val="16"/>
                <w:shd w:val="solid" w:color="000000" w:fill="000000"/>
                <w:fitText w:val="75" w:id="-1168360697"/>
                <w14:textFill>
                  <w14:solidFill>
                    <w14:srgbClr w14:val="000000">
                      <w14:alpha w14:val="100000"/>
                    </w14:srgbClr>
                  </w14:solidFill>
                </w14:textFill>
              </w:rPr>
              <w:t>|</w:t>
            </w:r>
            <w:r w:rsidR="00D42DC9" w:rsidRPr="00D42DC9">
              <w:rPr>
                <w:rFonts w:hint="eastAsia"/>
                <w:color w:val="000000"/>
                <w:spacing w:val="5"/>
                <w:w w:val="16"/>
                <w:shd w:val="solid" w:color="000000" w:fill="000000"/>
                <w:fitText w:val="75" w:id="-1168360697"/>
                <w14:textFill>
                  <w14:solidFill>
                    <w14:srgbClr w14:val="000000">
                      <w14:alpha w14:val="100000"/>
                    </w14:srgbClr>
                  </w14:solidFill>
                </w14:textFill>
              </w:rPr>
              <w:t xml:space="preserve">　</w:t>
            </w:r>
            <w:r w:rsidR="00974D36">
              <w:rPr>
                <w:vertAlign w:val="superscript"/>
              </w:rPr>
              <w:t>12</w:t>
            </w:r>
            <w:r w:rsidRPr="001677F9">
              <w:t xml:space="preserve"> </w:t>
            </w:r>
          </w:p>
        </w:tc>
      </w:tr>
      <w:tr w:rsidR="00980351" w:rsidRPr="001677F9" w14:paraId="2E407050" w14:textId="77777777" w:rsidTr="00AD1DC3">
        <w:tc>
          <w:tcPr>
            <w:tcW w:w="2263" w:type="dxa"/>
            <w:shd w:val="clear" w:color="auto" w:fill="auto"/>
            <w:vAlign w:val="center"/>
          </w:tcPr>
          <w:p w14:paraId="02C04434" w14:textId="394301C8" w:rsidR="00980351" w:rsidRPr="001677F9" w:rsidRDefault="00980351" w:rsidP="00AD1DC3">
            <w:pPr>
              <w:pStyle w:val="TableText0"/>
            </w:pPr>
            <w:r w:rsidRPr="001677F9">
              <w:t xml:space="preserve">Net PBS/RPBS cost </w:t>
            </w:r>
            <w:r w:rsidR="00ED1DE7">
              <w:t>($)</w:t>
            </w:r>
          </w:p>
        </w:tc>
        <w:tc>
          <w:tcPr>
            <w:tcW w:w="1134" w:type="dxa"/>
            <w:shd w:val="clear" w:color="auto" w:fill="auto"/>
          </w:tcPr>
          <w:p w14:paraId="25051E4A" w14:textId="0F1729C4" w:rsidR="00980351" w:rsidRPr="006E7E26" w:rsidRDefault="00D42DC9" w:rsidP="00AD1DC3">
            <w:pPr>
              <w:pStyle w:val="TableText0"/>
              <w:jc w:val="center"/>
              <w:rPr>
                <w:rFonts w:cs="Arial"/>
                <w:vertAlign w:val="superscript"/>
              </w:rPr>
            </w:pPr>
            <w:r w:rsidRPr="00D42DC9">
              <w:rPr>
                <w:rFonts w:cs="Arial"/>
                <w:color w:val="000000"/>
                <w:sz w:val="18"/>
                <w:szCs w:val="18"/>
                <w:shd w:val="solid" w:color="000000" w:fill="000000"/>
                <w14:textFill>
                  <w14:solidFill>
                    <w14:srgbClr w14:val="000000">
                      <w14:alpha w14:val="100000"/>
                    </w14:srgbClr>
                  </w14:solidFill>
                </w14:textFill>
              </w:rPr>
              <w:t>|</w:t>
            </w:r>
            <w:r w:rsidR="006E7E26">
              <w:rPr>
                <w:rFonts w:cs="Arial"/>
                <w:sz w:val="18"/>
                <w:szCs w:val="18"/>
                <w:vertAlign w:val="superscript"/>
              </w:rPr>
              <w:t>1</w:t>
            </w:r>
            <w:r w:rsidR="00B9516F">
              <w:rPr>
                <w:rFonts w:cs="Arial"/>
                <w:sz w:val="18"/>
                <w:szCs w:val="18"/>
                <w:vertAlign w:val="superscript"/>
              </w:rPr>
              <w:t>3</w:t>
            </w:r>
          </w:p>
        </w:tc>
        <w:tc>
          <w:tcPr>
            <w:tcW w:w="1134" w:type="dxa"/>
            <w:shd w:val="clear" w:color="auto" w:fill="auto"/>
          </w:tcPr>
          <w:p w14:paraId="5067B47B" w14:textId="52E5A93C" w:rsidR="00980351" w:rsidRPr="006E7E26" w:rsidRDefault="00D42DC9" w:rsidP="00AD1DC3">
            <w:pPr>
              <w:pStyle w:val="TableText0"/>
              <w:jc w:val="center"/>
              <w:rPr>
                <w:rFonts w:cs="Arial"/>
                <w:vertAlign w:val="superscript"/>
              </w:rPr>
            </w:pPr>
            <w:r w:rsidRPr="00D42DC9">
              <w:rPr>
                <w:rFonts w:cs="Arial"/>
                <w:color w:val="000000"/>
                <w:sz w:val="18"/>
                <w:szCs w:val="18"/>
                <w:shd w:val="solid" w:color="000000" w:fill="000000"/>
                <w14:textFill>
                  <w14:solidFill>
                    <w14:srgbClr w14:val="000000">
                      <w14:alpha w14:val="100000"/>
                    </w14:srgbClr>
                  </w14:solidFill>
                </w14:textFill>
              </w:rPr>
              <w:t>|</w:t>
            </w:r>
            <w:r w:rsidR="006F77F7">
              <w:rPr>
                <w:rFonts w:cs="Arial"/>
                <w:sz w:val="18"/>
                <w:szCs w:val="18"/>
                <w:vertAlign w:val="superscript"/>
              </w:rPr>
              <w:t>6</w:t>
            </w:r>
          </w:p>
        </w:tc>
        <w:tc>
          <w:tcPr>
            <w:tcW w:w="1134" w:type="dxa"/>
            <w:shd w:val="clear" w:color="auto" w:fill="auto"/>
          </w:tcPr>
          <w:p w14:paraId="3583BAFC" w14:textId="0B5750EC" w:rsidR="00980351" w:rsidRPr="006F77F7" w:rsidRDefault="00D42DC9" w:rsidP="00AD1DC3">
            <w:pPr>
              <w:pStyle w:val="TableText0"/>
              <w:jc w:val="center"/>
              <w:rPr>
                <w:rFonts w:cs="Arial"/>
                <w:vertAlign w:val="superscript"/>
              </w:rPr>
            </w:pPr>
            <w:r w:rsidRPr="00D42DC9">
              <w:rPr>
                <w:rFonts w:cs="Arial"/>
                <w:color w:val="000000"/>
                <w:sz w:val="18"/>
                <w:szCs w:val="18"/>
                <w:shd w:val="solid" w:color="000000" w:fill="000000"/>
                <w14:textFill>
                  <w14:solidFill>
                    <w14:srgbClr w14:val="000000">
                      <w14:alpha w14:val="100000"/>
                    </w14:srgbClr>
                  </w14:solidFill>
                </w14:textFill>
              </w:rPr>
              <w:t>|</w:t>
            </w:r>
            <w:r w:rsidR="006F77F7">
              <w:rPr>
                <w:rFonts w:cs="Arial"/>
                <w:sz w:val="18"/>
                <w:szCs w:val="18"/>
                <w:vertAlign w:val="superscript"/>
              </w:rPr>
              <w:t>1</w:t>
            </w:r>
            <w:r w:rsidR="00B9516F">
              <w:rPr>
                <w:rFonts w:cs="Arial"/>
                <w:sz w:val="18"/>
                <w:szCs w:val="18"/>
                <w:vertAlign w:val="superscript"/>
              </w:rPr>
              <w:t>4</w:t>
            </w:r>
          </w:p>
        </w:tc>
        <w:tc>
          <w:tcPr>
            <w:tcW w:w="1134" w:type="dxa"/>
            <w:shd w:val="clear" w:color="auto" w:fill="auto"/>
          </w:tcPr>
          <w:p w14:paraId="19A92965" w14:textId="4761728C" w:rsidR="00980351" w:rsidRPr="006F77F7" w:rsidRDefault="00D42DC9" w:rsidP="00AD1DC3">
            <w:pPr>
              <w:pStyle w:val="TableText0"/>
              <w:jc w:val="center"/>
              <w:rPr>
                <w:rFonts w:cs="Arial"/>
                <w:vertAlign w:val="superscript"/>
              </w:rPr>
            </w:pPr>
            <w:r w:rsidRPr="00D42DC9">
              <w:rPr>
                <w:rFonts w:cs="Arial"/>
                <w:color w:val="000000"/>
                <w:sz w:val="18"/>
                <w:szCs w:val="18"/>
                <w:shd w:val="solid" w:color="000000" w:fill="000000"/>
                <w14:textFill>
                  <w14:solidFill>
                    <w14:srgbClr w14:val="000000">
                      <w14:alpha w14:val="100000"/>
                    </w14:srgbClr>
                  </w14:solidFill>
                </w14:textFill>
              </w:rPr>
              <w:t>|</w:t>
            </w:r>
            <w:r w:rsidR="006F77F7">
              <w:rPr>
                <w:rFonts w:cs="Arial"/>
                <w:sz w:val="18"/>
                <w:szCs w:val="18"/>
                <w:vertAlign w:val="superscript"/>
              </w:rPr>
              <w:t>8</w:t>
            </w:r>
          </w:p>
        </w:tc>
        <w:tc>
          <w:tcPr>
            <w:tcW w:w="1134" w:type="dxa"/>
            <w:shd w:val="clear" w:color="auto" w:fill="auto"/>
          </w:tcPr>
          <w:p w14:paraId="09A5C4FD" w14:textId="25F8B6BC" w:rsidR="00980351" w:rsidRPr="006F77F7" w:rsidRDefault="00D42DC9" w:rsidP="00AD1DC3">
            <w:pPr>
              <w:pStyle w:val="TableText0"/>
              <w:jc w:val="center"/>
              <w:rPr>
                <w:rFonts w:cs="Arial"/>
                <w:vertAlign w:val="superscript"/>
              </w:rPr>
            </w:pPr>
            <w:r w:rsidRPr="00D42DC9">
              <w:rPr>
                <w:rFonts w:cs="Arial"/>
                <w:color w:val="000000"/>
                <w:sz w:val="18"/>
                <w:szCs w:val="18"/>
                <w:shd w:val="solid" w:color="000000" w:fill="000000"/>
                <w14:textFill>
                  <w14:solidFill>
                    <w14:srgbClr w14:val="000000">
                      <w14:alpha w14:val="100000"/>
                    </w14:srgbClr>
                  </w14:solidFill>
                </w14:textFill>
              </w:rPr>
              <w:t>|</w:t>
            </w:r>
            <w:r w:rsidR="006F77F7">
              <w:rPr>
                <w:rFonts w:cs="Arial"/>
                <w:sz w:val="18"/>
                <w:szCs w:val="18"/>
                <w:vertAlign w:val="superscript"/>
              </w:rPr>
              <w:t>9</w:t>
            </w:r>
          </w:p>
        </w:tc>
        <w:tc>
          <w:tcPr>
            <w:tcW w:w="1134" w:type="dxa"/>
            <w:shd w:val="clear" w:color="auto" w:fill="auto"/>
          </w:tcPr>
          <w:p w14:paraId="3782C15A" w14:textId="63A30963" w:rsidR="00980351" w:rsidRPr="006F77F7" w:rsidRDefault="00D42DC9" w:rsidP="00AD1DC3">
            <w:pPr>
              <w:pStyle w:val="TableText0"/>
              <w:jc w:val="center"/>
              <w:rPr>
                <w:rFonts w:cs="Arial"/>
                <w:vertAlign w:val="superscript"/>
              </w:rPr>
            </w:pPr>
            <w:r w:rsidRPr="00D42DC9">
              <w:rPr>
                <w:rFonts w:cs="Arial"/>
                <w:color w:val="000000"/>
                <w:sz w:val="18"/>
                <w:szCs w:val="18"/>
                <w:shd w:val="solid" w:color="000000" w:fill="000000"/>
                <w14:textFill>
                  <w14:solidFill>
                    <w14:srgbClr w14:val="000000">
                      <w14:alpha w14:val="100000"/>
                    </w14:srgbClr>
                  </w14:solidFill>
                </w14:textFill>
              </w:rPr>
              <w:t>|</w:t>
            </w:r>
            <w:r w:rsidR="006F77F7">
              <w:rPr>
                <w:rFonts w:cs="Arial"/>
                <w:sz w:val="18"/>
                <w:szCs w:val="18"/>
                <w:vertAlign w:val="superscript"/>
              </w:rPr>
              <w:t>1</w:t>
            </w:r>
            <w:r w:rsidR="00B9516F">
              <w:rPr>
                <w:rFonts w:cs="Arial"/>
                <w:sz w:val="18"/>
                <w:szCs w:val="18"/>
                <w:vertAlign w:val="superscript"/>
              </w:rPr>
              <w:t>5</w:t>
            </w:r>
          </w:p>
        </w:tc>
      </w:tr>
    </w:tbl>
    <w:p w14:paraId="79218600" w14:textId="77777777" w:rsidR="00980351" w:rsidRPr="001677F9" w:rsidRDefault="00980351" w:rsidP="00980351">
      <w:pPr>
        <w:pStyle w:val="FooterTableFigure"/>
        <w:rPr>
          <w:rStyle w:val="CommentReference"/>
          <w:sz w:val="18"/>
          <w:szCs w:val="18"/>
        </w:rPr>
      </w:pPr>
      <w:r w:rsidRPr="001677F9">
        <w:rPr>
          <w:szCs w:val="18"/>
        </w:rPr>
        <w:t>Source: Table 4.2.5 p120 of the submission; Section 4 Workbook, sheet “Impact -proposed (pub)</w:t>
      </w:r>
    </w:p>
    <w:p w14:paraId="2FCC0CB5" w14:textId="2AE7C292" w:rsidR="00980351" w:rsidRDefault="00980351" w:rsidP="00980351">
      <w:pPr>
        <w:pStyle w:val="FooterTableFigure"/>
        <w:rPr>
          <w:szCs w:val="18"/>
        </w:rPr>
      </w:pPr>
      <w:r w:rsidRPr="001677F9">
        <w:rPr>
          <w:szCs w:val="18"/>
        </w:rPr>
        <w:t>PBS = Pharmaceutical Benefits Scheme; RPBS = Repatriation Schedule of Pharmaceutical Benefits</w:t>
      </w:r>
      <w:r w:rsidR="00C40B88" w:rsidRPr="001677F9">
        <w:rPr>
          <w:szCs w:val="18"/>
        </w:rPr>
        <w:t>.</w:t>
      </w:r>
    </w:p>
    <w:p w14:paraId="27F20CAF" w14:textId="77777777" w:rsidR="00974D36" w:rsidRDefault="00974D36" w:rsidP="00ED1DE7">
      <w:pPr>
        <w:rPr>
          <w:rFonts w:ascii="Arial Narrow" w:hAnsi="Arial Narrow"/>
          <w:i/>
          <w:sz w:val="18"/>
          <w:szCs w:val="18"/>
        </w:rPr>
        <w:sectPr w:rsidR="00974D36" w:rsidSect="007E0D58">
          <w:headerReference w:type="default" r:id="rId11"/>
          <w:footerReference w:type="default" r:id="rId12"/>
          <w:pgSz w:w="11907" w:h="16840" w:code="9"/>
          <w:pgMar w:top="1440" w:right="1440" w:bottom="1440" w:left="1440" w:header="1440" w:footer="1440" w:gutter="0"/>
          <w:pgNumType w:start="1"/>
          <w:cols w:space="708"/>
          <w:docGrid w:linePitch="360"/>
        </w:sectPr>
      </w:pPr>
    </w:p>
    <w:p w14:paraId="4222191C" w14:textId="77777777" w:rsidR="00ED1DE7" w:rsidRPr="006F77F7" w:rsidRDefault="00ED1DE7" w:rsidP="00ED1DE7">
      <w:pPr>
        <w:rPr>
          <w:rFonts w:ascii="Arial Narrow" w:hAnsi="Arial Narrow"/>
          <w:i/>
          <w:sz w:val="18"/>
          <w:szCs w:val="18"/>
        </w:rPr>
      </w:pPr>
      <w:r w:rsidRPr="006F77F7">
        <w:rPr>
          <w:rFonts w:ascii="Arial Narrow" w:hAnsi="Arial Narrow"/>
          <w:i/>
          <w:sz w:val="18"/>
          <w:szCs w:val="18"/>
        </w:rPr>
        <w:t xml:space="preserve">The redacted values correspond to the following ranges: </w:t>
      </w:r>
    </w:p>
    <w:p w14:paraId="20A842AB" w14:textId="727F30ED" w:rsidR="00ED1DE7" w:rsidRPr="006F77F7" w:rsidRDefault="00ED1DE7" w:rsidP="00ED1DE7">
      <w:pPr>
        <w:ind w:right="147"/>
        <w:rPr>
          <w:rFonts w:ascii="Arial Narrow" w:hAnsi="Arial Narrow"/>
          <w:i/>
          <w:color w:val="333333"/>
          <w:sz w:val="18"/>
          <w:szCs w:val="18"/>
        </w:rPr>
      </w:pPr>
      <w:r w:rsidRPr="006F77F7">
        <w:rPr>
          <w:rFonts w:ascii="Arial Narrow" w:hAnsi="Arial Narrow"/>
          <w:i/>
          <w:color w:val="333333"/>
          <w:sz w:val="18"/>
          <w:szCs w:val="18"/>
          <w:vertAlign w:val="superscript"/>
        </w:rPr>
        <w:t>1</w:t>
      </w:r>
      <w:r w:rsidRPr="006F77F7">
        <w:rPr>
          <w:rFonts w:ascii="Arial Narrow" w:hAnsi="Arial Narrow"/>
          <w:i/>
          <w:color w:val="333333"/>
          <w:sz w:val="18"/>
          <w:szCs w:val="18"/>
        </w:rPr>
        <w:t>100,000 to &lt; 200,000</w:t>
      </w:r>
    </w:p>
    <w:p w14:paraId="3E840CBE" w14:textId="3FE0F8A2" w:rsidR="00ED1DE7" w:rsidRPr="006F77F7" w:rsidRDefault="00ED1DE7" w:rsidP="00ED1DE7">
      <w:pPr>
        <w:ind w:right="147"/>
        <w:rPr>
          <w:rFonts w:ascii="Arial Narrow" w:hAnsi="Arial Narrow"/>
          <w:i/>
          <w:color w:val="333333"/>
          <w:sz w:val="18"/>
          <w:szCs w:val="18"/>
        </w:rPr>
      </w:pPr>
      <w:r w:rsidRPr="006F77F7">
        <w:rPr>
          <w:rFonts w:ascii="Arial Narrow" w:hAnsi="Arial Narrow"/>
          <w:i/>
          <w:color w:val="333333"/>
          <w:sz w:val="18"/>
          <w:szCs w:val="18"/>
          <w:vertAlign w:val="superscript"/>
        </w:rPr>
        <w:t>2</w:t>
      </w:r>
      <w:r w:rsidRPr="006F77F7">
        <w:rPr>
          <w:rFonts w:ascii="Arial Narrow" w:hAnsi="Arial Narrow"/>
          <w:i/>
          <w:color w:val="333333"/>
          <w:sz w:val="18"/>
          <w:szCs w:val="18"/>
        </w:rPr>
        <w:t>400,000 to &lt; 500,000</w:t>
      </w:r>
    </w:p>
    <w:p w14:paraId="53793B77" w14:textId="2C9E187E" w:rsidR="00ED1DE7" w:rsidRPr="006F77F7" w:rsidRDefault="00ED1DE7" w:rsidP="00ED1DE7">
      <w:pPr>
        <w:ind w:right="147"/>
        <w:rPr>
          <w:rFonts w:ascii="Arial Narrow" w:hAnsi="Arial Narrow"/>
          <w:i/>
          <w:color w:val="333333"/>
          <w:sz w:val="18"/>
          <w:szCs w:val="18"/>
        </w:rPr>
      </w:pPr>
      <w:r w:rsidRPr="006F77F7">
        <w:rPr>
          <w:rFonts w:ascii="Arial Narrow" w:hAnsi="Arial Narrow"/>
          <w:i/>
          <w:color w:val="333333"/>
          <w:sz w:val="18"/>
          <w:szCs w:val="18"/>
          <w:vertAlign w:val="superscript"/>
        </w:rPr>
        <w:t>3</w:t>
      </w:r>
      <w:r w:rsidRPr="006F77F7">
        <w:rPr>
          <w:rFonts w:ascii="Arial Narrow" w:hAnsi="Arial Narrow"/>
          <w:i/>
          <w:color w:val="333333"/>
          <w:sz w:val="18"/>
          <w:szCs w:val="18"/>
        </w:rPr>
        <w:t>700,000 to &lt; 800,000</w:t>
      </w:r>
    </w:p>
    <w:p w14:paraId="4E6FEC94" w14:textId="6211C083" w:rsidR="00ED1DE7" w:rsidRPr="006F77F7" w:rsidRDefault="00ED1DE7" w:rsidP="00ED1DE7">
      <w:pPr>
        <w:ind w:right="147"/>
        <w:rPr>
          <w:rFonts w:ascii="Arial Narrow" w:hAnsi="Arial Narrow"/>
          <w:i/>
          <w:color w:val="333333"/>
          <w:sz w:val="18"/>
          <w:szCs w:val="18"/>
        </w:rPr>
      </w:pPr>
      <w:r w:rsidRPr="006F77F7">
        <w:rPr>
          <w:rFonts w:ascii="Arial Narrow" w:hAnsi="Arial Narrow"/>
          <w:i/>
          <w:color w:val="333333"/>
          <w:sz w:val="18"/>
          <w:szCs w:val="18"/>
          <w:vertAlign w:val="superscript"/>
        </w:rPr>
        <w:t>4</w:t>
      </w:r>
      <w:r w:rsidRPr="006F77F7">
        <w:rPr>
          <w:rFonts w:ascii="Arial Narrow" w:hAnsi="Arial Narrow"/>
          <w:i/>
          <w:color w:val="333333"/>
          <w:sz w:val="18"/>
          <w:szCs w:val="18"/>
        </w:rPr>
        <w:t>1,000,000 to &lt; 2,000,000</w:t>
      </w:r>
    </w:p>
    <w:p w14:paraId="56C6FCD8" w14:textId="5376439B" w:rsidR="00ED1DE7" w:rsidRPr="006F77F7" w:rsidRDefault="00ED1DE7" w:rsidP="00ED1DE7">
      <w:pPr>
        <w:ind w:right="147"/>
        <w:rPr>
          <w:rFonts w:ascii="Arial Narrow" w:hAnsi="Arial Narrow"/>
          <w:i/>
          <w:color w:val="333333"/>
          <w:sz w:val="18"/>
          <w:szCs w:val="18"/>
        </w:rPr>
      </w:pPr>
      <w:r w:rsidRPr="006F77F7">
        <w:rPr>
          <w:rFonts w:ascii="Arial Narrow" w:hAnsi="Arial Narrow"/>
          <w:i/>
          <w:color w:val="333333"/>
          <w:sz w:val="18"/>
          <w:szCs w:val="18"/>
          <w:vertAlign w:val="superscript"/>
        </w:rPr>
        <w:t>5</w:t>
      </w:r>
      <w:r w:rsidRPr="006F77F7">
        <w:rPr>
          <w:rFonts w:ascii="Arial Narrow" w:hAnsi="Arial Narrow"/>
          <w:i/>
          <w:color w:val="333333"/>
          <w:sz w:val="18"/>
          <w:szCs w:val="18"/>
        </w:rPr>
        <w:t>2,000,000 to &lt; 3,000,000</w:t>
      </w:r>
    </w:p>
    <w:p w14:paraId="6E8E2287" w14:textId="2BC9599B" w:rsidR="00ED1DE7" w:rsidRPr="006F77F7" w:rsidRDefault="00ED1DE7" w:rsidP="00ED1DE7">
      <w:pPr>
        <w:ind w:right="150"/>
        <w:rPr>
          <w:rFonts w:ascii="Arial Narrow" w:hAnsi="Arial Narrow"/>
          <w:i/>
          <w:color w:val="333333"/>
          <w:sz w:val="18"/>
          <w:szCs w:val="18"/>
        </w:rPr>
      </w:pPr>
      <w:r w:rsidRPr="006F77F7">
        <w:rPr>
          <w:rFonts w:ascii="Arial Narrow" w:hAnsi="Arial Narrow"/>
          <w:i/>
          <w:color w:val="333333"/>
          <w:sz w:val="18"/>
          <w:szCs w:val="18"/>
          <w:vertAlign w:val="superscript"/>
        </w:rPr>
        <w:t>6</w:t>
      </w:r>
      <w:r w:rsidRPr="006F77F7">
        <w:rPr>
          <w:rFonts w:ascii="Arial Narrow" w:hAnsi="Arial Narrow"/>
          <w:i/>
          <w:color w:val="333333"/>
          <w:sz w:val="18"/>
          <w:szCs w:val="18"/>
        </w:rPr>
        <w:t>$10 million to &lt; $20 million</w:t>
      </w:r>
    </w:p>
    <w:p w14:paraId="40FB80BA" w14:textId="7608C632" w:rsidR="007720AD" w:rsidRPr="006F77F7" w:rsidRDefault="007720AD" w:rsidP="007720AD">
      <w:pPr>
        <w:ind w:right="150"/>
        <w:rPr>
          <w:rFonts w:ascii="Arial Narrow" w:hAnsi="Arial Narrow"/>
          <w:i/>
          <w:color w:val="333333"/>
          <w:sz w:val="18"/>
          <w:szCs w:val="18"/>
        </w:rPr>
      </w:pPr>
      <w:r w:rsidRPr="006F77F7">
        <w:rPr>
          <w:rFonts w:ascii="Arial Narrow" w:hAnsi="Arial Narrow"/>
          <w:i/>
          <w:color w:val="333333"/>
          <w:sz w:val="18"/>
          <w:szCs w:val="18"/>
          <w:vertAlign w:val="superscript"/>
        </w:rPr>
        <w:t>7</w:t>
      </w:r>
      <w:r w:rsidRPr="006F77F7">
        <w:rPr>
          <w:rFonts w:ascii="Arial Narrow" w:hAnsi="Arial Narrow"/>
          <w:i/>
          <w:color w:val="333333"/>
          <w:sz w:val="18"/>
          <w:szCs w:val="18"/>
        </w:rPr>
        <w:t>$20 million to &lt; $30 million</w:t>
      </w:r>
    </w:p>
    <w:p w14:paraId="2C9B636B" w14:textId="5DA8FD7B" w:rsidR="007720AD" w:rsidRPr="006F77F7" w:rsidRDefault="007720AD" w:rsidP="007720AD">
      <w:pPr>
        <w:ind w:right="150"/>
        <w:rPr>
          <w:rFonts w:ascii="Arial Narrow" w:hAnsi="Arial Narrow"/>
          <w:i/>
          <w:color w:val="333333"/>
          <w:sz w:val="18"/>
          <w:szCs w:val="18"/>
        </w:rPr>
      </w:pPr>
      <w:r w:rsidRPr="006F77F7">
        <w:rPr>
          <w:rFonts w:ascii="Arial Narrow" w:hAnsi="Arial Narrow"/>
          <w:i/>
          <w:color w:val="333333"/>
          <w:sz w:val="18"/>
          <w:szCs w:val="18"/>
          <w:vertAlign w:val="superscript"/>
        </w:rPr>
        <w:t>8</w:t>
      </w:r>
      <w:r w:rsidRPr="006F77F7">
        <w:rPr>
          <w:rFonts w:ascii="Arial Narrow" w:hAnsi="Arial Narrow"/>
          <w:i/>
          <w:color w:val="333333"/>
          <w:sz w:val="18"/>
          <w:szCs w:val="18"/>
        </w:rPr>
        <w:t>$40 million to &lt; $50 million</w:t>
      </w:r>
    </w:p>
    <w:p w14:paraId="1BECA141" w14:textId="00673356" w:rsidR="007720AD" w:rsidRPr="006F77F7" w:rsidRDefault="007720AD" w:rsidP="007720AD">
      <w:pPr>
        <w:ind w:right="150"/>
        <w:rPr>
          <w:rFonts w:ascii="Arial Narrow" w:hAnsi="Arial Narrow"/>
          <w:i/>
          <w:color w:val="333333"/>
          <w:sz w:val="18"/>
          <w:szCs w:val="18"/>
        </w:rPr>
      </w:pPr>
      <w:r w:rsidRPr="006F77F7">
        <w:rPr>
          <w:rFonts w:ascii="Arial Narrow" w:hAnsi="Arial Narrow"/>
          <w:i/>
          <w:color w:val="333333"/>
          <w:sz w:val="18"/>
          <w:szCs w:val="18"/>
          <w:vertAlign w:val="superscript"/>
        </w:rPr>
        <w:t>9</w:t>
      </w:r>
      <w:r w:rsidRPr="006F77F7">
        <w:rPr>
          <w:rFonts w:ascii="Arial Narrow" w:hAnsi="Arial Narrow"/>
          <w:i/>
          <w:color w:val="333333"/>
          <w:sz w:val="18"/>
          <w:szCs w:val="18"/>
        </w:rPr>
        <w:t>$60 million to &lt; $70 million</w:t>
      </w:r>
    </w:p>
    <w:p w14:paraId="35685D22" w14:textId="3EB71EB9" w:rsidR="00D207C7" w:rsidRPr="006F77F7" w:rsidRDefault="00D207C7" w:rsidP="00D207C7">
      <w:pPr>
        <w:ind w:right="150"/>
        <w:rPr>
          <w:rFonts w:ascii="Arial Narrow" w:hAnsi="Arial Narrow"/>
          <w:i/>
          <w:color w:val="333333"/>
          <w:sz w:val="18"/>
          <w:szCs w:val="18"/>
        </w:rPr>
      </w:pPr>
      <w:r w:rsidRPr="006F77F7">
        <w:rPr>
          <w:rFonts w:ascii="Arial Narrow" w:hAnsi="Arial Narrow"/>
          <w:i/>
          <w:color w:val="333333"/>
          <w:sz w:val="18"/>
          <w:szCs w:val="18"/>
          <w:vertAlign w:val="superscript"/>
        </w:rPr>
        <w:t>10</w:t>
      </w:r>
      <w:r w:rsidRPr="006F77F7">
        <w:rPr>
          <w:rFonts w:ascii="Arial Narrow" w:hAnsi="Arial Narrow"/>
          <w:i/>
          <w:color w:val="333333"/>
          <w:sz w:val="18"/>
          <w:szCs w:val="18"/>
        </w:rPr>
        <w:t>$80 million to &lt; $90 million</w:t>
      </w:r>
    </w:p>
    <w:p w14:paraId="6D881B2B" w14:textId="2C0476EA" w:rsidR="00D207C7" w:rsidRPr="006F77F7" w:rsidRDefault="00D207C7" w:rsidP="00D207C7">
      <w:pPr>
        <w:ind w:right="150"/>
        <w:rPr>
          <w:rFonts w:ascii="Arial Narrow" w:hAnsi="Arial Narrow"/>
          <w:i/>
          <w:color w:val="333333"/>
          <w:sz w:val="18"/>
          <w:szCs w:val="18"/>
        </w:rPr>
      </w:pPr>
      <w:r w:rsidRPr="006F77F7">
        <w:rPr>
          <w:rFonts w:ascii="Arial Narrow" w:hAnsi="Arial Narrow"/>
          <w:i/>
          <w:color w:val="333333"/>
          <w:sz w:val="18"/>
          <w:szCs w:val="18"/>
          <w:vertAlign w:val="superscript"/>
        </w:rPr>
        <w:t>11</w:t>
      </w:r>
      <w:r w:rsidRPr="006F77F7">
        <w:rPr>
          <w:rFonts w:ascii="Arial Narrow" w:hAnsi="Arial Narrow"/>
          <w:i/>
          <w:color w:val="333333"/>
          <w:sz w:val="18"/>
          <w:szCs w:val="18"/>
        </w:rPr>
        <w:t>$100 million to &lt; $200 million</w:t>
      </w:r>
    </w:p>
    <w:p w14:paraId="6D418166" w14:textId="623B8A5D" w:rsidR="00974D36" w:rsidRDefault="006E7E26" w:rsidP="006E7E26">
      <w:pPr>
        <w:ind w:right="150"/>
        <w:rPr>
          <w:rFonts w:ascii="Arial Narrow" w:hAnsi="Arial Narrow"/>
          <w:i/>
          <w:color w:val="333333"/>
          <w:sz w:val="18"/>
          <w:szCs w:val="18"/>
          <w:vertAlign w:val="superscript"/>
        </w:rPr>
      </w:pPr>
      <w:r w:rsidRPr="006F77F7">
        <w:rPr>
          <w:rFonts w:ascii="Arial Narrow" w:hAnsi="Arial Narrow"/>
          <w:i/>
          <w:color w:val="333333"/>
          <w:sz w:val="18"/>
          <w:szCs w:val="18"/>
          <w:vertAlign w:val="superscript"/>
        </w:rPr>
        <w:t>12</w:t>
      </w:r>
      <w:r w:rsidR="00974D36" w:rsidRPr="00974D36">
        <w:t xml:space="preserve"> </w:t>
      </w:r>
      <w:r w:rsidR="00974D36" w:rsidRPr="00974D36">
        <w:rPr>
          <w:rFonts w:ascii="Arial Narrow" w:hAnsi="Arial Narrow"/>
          <w:i/>
          <w:color w:val="333333"/>
          <w:sz w:val="18"/>
          <w:szCs w:val="18"/>
        </w:rPr>
        <w:t>net cost saving</w:t>
      </w:r>
    </w:p>
    <w:p w14:paraId="590EFD56" w14:textId="45A1CFEB" w:rsidR="006E7E26" w:rsidRPr="006F77F7" w:rsidRDefault="00974D36" w:rsidP="006E7E26">
      <w:pPr>
        <w:ind w:right="150"/>
        <w:rPr>
          <w:rFonts w:ascii="Arial Narrow" w:hAnsi="Arial Narrow"/>
          <w:i/>
          <w:color w:val="333333"/>
          <w:sz w:val="18"/>
          <w:szCs w:val="18"/>
        </w:rPr>
      </w:pPr>
      <w:r>
        <w:rPr>
          <w:rFonts w:ascii="Arial Narrow" w:hAnsi="Arial Narrow"/>
          <w:i/>
          <w:color w:val="333333"/>
          <w:sz w:val="18"/>
          <w:szCs w:val="18"/>
          <w:vertAlign w:val="superscript"/>
        </w:rPr>
        <w:t>13</w:t>
      </w:r>
      <w:r w:rsidR="006E7E26" w:rsidRPr="006F77F7">
        <w:rPr>
          <w:rFonts w:ascii="Arial Narrow" w:hAnsi="Arial Narrow"/>
          <w:i/>
          <w:color w:val="333333"/>
          <w:sz w:val="18"/>
          <w:szCs w:val="18"/>
        </w:rPr>
        <w:t>$0 to &lt; $10 million</w:t>
      </w:r>
    </w:p>
    <w:p w14:paraId="2D46FC31" w14:textId="0DB77E36" w:rsidR="006F77F7" w:rsidRPr="006F77F7" w:rsidRDefault="006F77F7" w:rsidP="006F77F7">
      <w:pPr>
        <w:ind w:right="150"/>
        <w:rPr>
          <w:rFonts w:ascii="Arial Narrow" w:hAnsi="Arial Narrow"/>
          <w:i/>
          <w:color w:val="333333"/>
          <w:sz w:val="18"/>
          <w:szCs w:val="18"/>
        </w:rPr>
      </w:pPr>
      <w:r w:rsidRPr="006F77F7">
        <w:rPr>
          <w:rFonts w:ascii="Arial Narrow" w:hAnsi="Arial Narrow"/>
          <w:i/>
          <w:color w:val="333333"/>
          <w:sz w:val="18"/>
          <w:szCs w:val="18"/>
          <w:vertAlign w:val="superscript"/>
        </w:rPr>
        <w:t>1</w:t>
      </w:r>
      <w:r w:rsidR="00974D36">
        <w:rPr>
          <w:rFonts w:ascii="Arial Narrow" w:hAnsi="Arial Narrow"/>
          <w:i/>
          <w:color w:val="333333"/>
          <w:sz w:val="18"/>
          <w:szCs w:val="18"/>
          <w:vertAlign w:val="superscript"/>
        </w:rPr>
        <w:t>4</w:t>
      </w:r>
      <w:r w:rsidRPr="006F77F7">
        <w:rPr>
          <w:rFonts w:ascii="Arial Narrow" w:hAnsi="Arial Narrow"/>
          <w:i/>
          <w:color w:val="333333"/>
          <w:sz w:val="18"/>
          <w:szCs w:val="18"/>
        </w:rPr>
        <w:t>$30 million to &lt; $40 million</w:t>
      </w:r>
    </w:p>
    <w:p w14:paraId="18202BAA" w14:textId="5371A061" w:rsidR="00ED1DE7" w:rsidRPr="006F77F7" w:rsidRDefault="006F77F7" w:rsidP="006F77F7">
      <w:pPr>
        <w:spacing w:after="240"/>
        <w:ind w:right="150"/>
        <w:rPr>
          <w:rFonts w:ascii="Arial Narrow" w:hAnsi="Arial Narrow"/>
          <w:i/>
          <w:color w:val="333333"/>
          <w:sz w:val="18"/>
          <w:szCs w:val="18"/>
        </w:rPr>
      </w:pPr>
      <w:r w:rsidRPr="006F77F7">
        <w:rPr>
          <w:rFonts w:ascii="Arial Narrow" w:hAnsi="Arial Narrow"/>
          <w:i/>
          <w:color w:val="333333"/>
          <w:sz w:val="18"/>
          <w:szCs w:val="18"/>
          <w:vertAlign w:val="superscript"/>
        </w:rPr>
        <w:t>1</w:t>
      </w:r>
      <w:r w:rsidR="00974D36">
        <w:rPr>
          <w:rFonts w:ascii="Arial Narrow" w:hAnsi="Arial Narrow"/>
          <w:i/>
          <w:color w:val="333333"/>
          <w:sz w:val="18"/>
          <w:szCs w:val="18"/>
          <w:vertAlign w:val="superscript"/>
        </w:rPr>
        <w:t>5</w:t>
      </w:r>
      <w:r w:rsidRPr="006F77F7">
        <w:rPr>
          <w:rFonts w:ascii="Arial Narrow" w:hAnsi="Arial Narrow"/>
          <w:i/>
          <w:color w:val="333333"/>
          <w:sz w:val="18"/>
          <w:szCs w:val="18"/>
        </w:rPr>
        <w:t>$90 million to &lt; $100 million</w:t>
      </w:r>
    </w:p>
    <w:p w14:paraId="0BDD6394" w14:textId="77777777" w:rsidR="00974D36" w:rsidRDefault="00974D36" w:rsidP="00CD2722">
      <w:pPr>
        <w:pStyle w:val="3-BodyText"/>
        <w:sectPr w:rsidR="00974D36" w:rsidSect="00974D36">
          <w:type w:val="continuous"/>
          <w:pgSz w:w="11907" w:h="16840" w:code="9"/>
          <w:pgMar w:top="1440" w:right="1440" w:bottom="1440" w:left="1440" w:header="1440" w:footer="1440" w:gutter="0"/>
          <w:pgNumType w:start="1"/>
          <w:cols w:num="2" w:space="708"/>
          <w:docGrid w:linePitch="360"/>
        </w:sectPr>
      </w:pPr>
      <w:bookmarkStart w:id="81" w:name="_Hlk131049921"/>
    </w:p>
    <w:p w14:paraId="4210536C" w14:textId="2DCED31A" w:rsidR="00980351" w:rsidRPr="001677F9" w:rsidRDefault="00980351" w:rsidP="00CD2722">
      <w:pPr>
        <w:pStyle w:val="3-BodyText"/>
        <w:rPr>
          <w:iCs/>
        </w:rPr>
      </w:pPr>
      <w:r w:rsidRPr="001677F9">
        <w:t>The prevalence may have been underestimated given the difficulty in identifying HF patients with LVEF &gt;40% patients as this condition is not as well recognised compared with HFrEF. Heart failure with mildly reduced or preserved ejection fraction appears to be a relatively common but under-recognised condition in older populations. Overall, there are limited data to reliably inform Australian estimates of prevalence and functional status (para 6.61, empagliflozin</w:t>
      </w:r>
      <w:r w:rsidR="00472465">
        <w:t xml:space="preserve"> PSD</w:t>
      </w:r>
      <w:r w:rsidRPr="001677F9">
        <w:t xml:space="preserve">, November 2022). </w:t>
      </w:r>
    </w:p>
    <w:bookmarkEnd w:id="81"/>
    <w:p w14:paraId="075D1DA5" w14:textId="77777777" w:rsidR="00980351" w:rsidRPr="001677F9" w:rsidRDefault="00980351" w:rsidP="00980351">
      <w:pPr>
        <w:pStyle w:val="3-BodyText"/>
      </w:pPr>
      <w:r w:rsidRPr="001677F9">
        <w:t xml:space="preserve">The overall implications for the use and financial impacts of listing dapagliflozin are complex, and the magnitude of changes difficult to estimate. The estimated use and financial implications to the RPBS/PBS of listing dapagliflozin for the treatment of HF with LVEF &gt;40% were uncertain for the following reasons: </w:t>
      </w:r>
    </w:p>
    <w:p w14:paraId="1A46FA64" w14:textId="2344A877" w:rsidR="00980351" w:rsidRPr="001677F9" w:rsidRDefault="00980351" w:rsidP="00AA7422">
      <w:pPr>
        <w:pStyle w:val="ListParagraph"/>
        <w:numPr>
          <w:ilvl w:val="0"/>
          <w:numId w:val="11"/>
        </w:numPr>
        <w:spacing w:after="0"/>
        <w:ind w:left="1080"/>
        <w:contextualSpacing/>
        <w:rPr>
          <w:color w:val="000000"/>
        </w:rPr>
      </w:pPr>
      <w:r w:rsidRPr="001677F9">
        <w:rPr>
          <w:color w:val="000000"/>
        </w:rPr>
        <w:t>The proportion of HF patients with LVEF &gt;40% was assumed to be 43%, representing the complement of the proportion of patients with LVEF ≤40% which was accepted by the PBAC during its evaluation of dapagliflozin (Table 13, dapagliflozin</w:t>
      </w:r>
      <w:r w:rsidR="00472465">
        <w:t xml:space="preserve"> PSD</w:t>
      </w:r>
      <w:r w:rsidRPr="001677F9">
        <w:rPr>
          <w:color w:val="000000"/>
        </w:rPr>
        <w:t xml:space="preserve">, July 2021). This may be an underestimate as Australian epidemiological studies have reported a higher proportion of patients with </w:t>
      </w:r>
      <w:r w:rsidR="004A28D8" w:rsidRPr="001677F9">
        <w:rPr>
          <w:color w:val="000000"/>
        </w:rPr>
        <w:t>LVEF &gt;40%</w:t>
      </w:r>
      <w:r w:rsidRPr="001677F9">
        <w:rPr>
          <w:color w:val="000000"/>
        </w:rPr>
        <w:t xml:space="preserve"> ranging from 52% to 59% (Newton 2020; Sindone 2021; Wang 2018, para 4.4, empagliflozin</w:t>
      </w:r>
      <w:r w:rsidR="00472465">
        <w:t xml:space="preserve"> PSD</w:t>
      </w:r>
      <w:r w:rsidRPr="001677F9">
        <w:rPr>
          <w:color w:val="000000"/>
        </w:rPr>
        <w:t>, November 2022).</w:t>
      </w:r>
    </w:p>
    <w:p w14:paraId="300091B1" w14:textId="3415E6D0" w:rsidR="00980351" w:rsidRPr="001677F9" w:rsidRDefault="00980351" w:rsidP="00AA7422">
      <w:pPr>
        <w:pStyle w:val="ListParagraph"/>
        <w:numPr>
          <w:ilvl w:val="0"/>
          <w:numId w:val="11"/>
        </w:numPr>
        <w:spacing w:after="0"/>
        <w:ind w:left="1080"/>
        <w:contextualSpacing/>
        <w:rPr>
          <w:color w:val="000000"/>
        </w:rPr>
      </w:pPr>
      <w:r w:rsidRPr="001677F9">
        <w:rPr>
          <w:color w:val="000000"/>
        </w:rPr>
        <w:t xml:space="preserve">The proportion of patients not already using SGLT2 inhibitors for other indications (T2DM and CKD) was estimated to be 48.9%. This estimate likely underestimated the estimated eligible population and subject to uncertainty given the applied proportions could not be source verified during the evaluation. </w:t>
      </w:r>
    </w:p>
    <w:p w14:paraId="20E1F218" w14:textId="4F1B0E8D" w:rsidR="00980351" w:rsidRPr="001677F9" w:rsidRDefault="00980351" w:rsidP="00AA7422">
      <w:pPr>
        <w:pStyle w:val="ListParagraph"/>
        <w:numPr>
          <w:ilvl w:val="0"/>
          <w:numId w:val="11"/>
        </w:numPr>
        <w:spacing w:after="0"/>
        <w:ind w:left="1080"/>
        <w:contextualSpacing/>
        <w:rPr>
          <w:color w:val="000000"/>
        </w:rPr>
      </w:pPr>
      <w:r w:rsidRPr="001677F9">
        <w:rPr>
          <w:color w:val="000000"/>
        </w:rPr>
        <w:t>The proportion of patients with improved HFrEF (</w:t>
      </w:r>
      <w:proofErr w:type="gramStart"/>
      <w:r w:rsidRPr="001677F9">
        <w:rPr>
          <w:color w:val="000000"/>
        </w:rPr>
        <w:t>i.e.</w:t>
      </w:r>
      <w:proofErr w:type="gramEnd"/>
      <w:r w:rsidRPr="001677F9">
        <w:rPr>
          <w:color w:val="000000"/>
        </w:rPr>
        <w:t xml:space="preserve"> patients previously treated with SGLT2 inhibitors under the </w:t>
      </w:r>
      <w:r w:rsidR="004A28D8" w:rsidRPr="001677F9">
        <w:rPr>
          <w:color w:val="000000"/>
        </w:rPr>
        <w:t>current</w:t>
      </w:r>
      <w:r w:rsidRPr="001677F9">
        <w:rPr>
          <w:color w:val="000000"/>
        </w:rPr>
        <w:t xml:space="preserve"> listing </w:t>
      </w:r>
      <w:r w:rsidR="004A28D8" w:rsidRPr="001677F9">
        <w:rPr>
          <w:color w:val="000000"/>
        </w:rPr>
        <w:t>for HF with LVEF ≤40% and whose LVEF has improved to &gt;40%</w:t>
      </w:r>
      <w:r w:rsidRPr="001677F9">
        <w:rPr>
          <w:color w:val="000000"/>
        </w:rPr>
        <w:t>) removed from the utilisation estimates was 0%.</w:t>
      </w:r>
      <w:r w:rsidRPr="001677F9">
        <w:t xml:space="preserve"> </w:t>
      </w:r>
      <w:r w:rsidRPr="001677F9">
        <w:rPr>
          <w:color w:val="000000"/>
        </w:rPr>
        <w:t xml:space="preserve">Under the current restriction for HF with </w:t>
      </w:r>
      <w:bookmarkStart w:id="82" w:name="_Hlk130982444"/>
      <w:r w:rsidRPr="001677F9">
        <w:rPr>
          <w:color w:val="000000"/>
        </w:rPr>
        <w:t xml:space="preserve">LVEF ≤40% </w:t>
      </w:r>
      <w:bookmarkEnd w:id="82"/>
      <w:r w:rsidRPr="001677F9">
        <w:rPr>
          <w:color w:val="000000"/>
        </w:rPr>
        <w:t xml:space="preserve">prescribers may continue to prescribe dapagliflozin to those patients with HF whose LVEF has improved to </w:t>
      </w:r>
      <w:r w:rsidRPr="001677F9">
        <w:rPr>
          <w:color w:val="000000"/>
        </w:rPr>
        <w:lastRenderedPageBreak/>
        <w:t>&gt;40% under that restriction. The inclusion of these patients by the submission overestimated the utilisation of dapagliflozin</w:t>
      </w:r>
      <w:r w:rsidR="004A28D8" w:rsidRPr="001677F9">
        <w:rPr>
          <w:color w:val="000000"/>
        </w:rPr>
        <w:t xml:space="preserve"> under the proposed listing</w:t>
      </w:r>
      <w:r w:rsidRPr="001677F9">
        <w:rPr>
          <w:color w:val="000000"/>
        </w:rPr>
        <w:t xml:space="preserve">.  </w:t>
      </w:r>
    </w:p>
    <w:p w14:paraId="17113E70" w14:textId="1BFF9FD8" w:rsidR="00980351" w:rsidRPr="001677F9" w:rsidRDefault="00980351" w:rsidP="00AA7422">
      <w:pPr>
        <w:pStyle w:val="ListParagraph"/>
        <w:numPr>
          <w:ilvl w:val="0"/>
          <w:numId w:val="11"/>
        </w:numPr>
        <w:spacing w:after="0"/>
        <w:ind w:left="1080"/>
        <w:contextualSpacing/>
        <w:rPr>
          <w:color w:val="000000"/>
        </w:rPr>
      </w:pPr>
      <w:r w:rsidRPr="001677F9">
        <w:rPr>
          <w:color w:val="000000"/>
        </w:rPr>
        <w:t xml:space="preserve">PBS listing in HF patients with LVEF &gt;40% may lead to potential </w:t>
      </w:r>
      <w:r w:rsidRPr="001677F9">
        <w:t xml:space="preserve">leakage to patients with dyspnoea of multifactorial aetiology and which may not exclusively or predominantly be due to </w:t>
      </w:r>
      <w:r w:rsidRPr="001677F9">
        <w:rPr>
          <w:color w:val="000000"/>
        </w:rPr>
        <w:t>HF with LVEF &gt;40%</w:t>
      </w:r>
      <w:r w:rsidRPr="001677F9">
        <w:t xml:space="preserve">, resulting in use in populations where cost-effectiveness has not been demonstrated and creating considerable financial uncertainty </w:t>
      </w:r>
      <w:bookmarkStart w:id="83" w:name="_Hlk131050782"/>
      <w:r w:rsidRPr="001677F9">
        <w:t>(para 7.10, empagliflozin</w:t>
      </w:r>
      <w:r w:rsidR="00472465">
        <w:t xml:space="preserve"> PSD</w:t>
      </w:r>
      <w:r w:rsidRPr="001677F9">
        <w:t>, November 2022).</w:t>
      </w:r>
    </w:p>
    <w:bookmarkEnd w:id="83"/>
    <w:p w14:paraId="0B951F9D" w14:textId="32EADE45" w:rsidR="00980351" w:rsidRPr="001677F9" w:rsidRDefault="00980351" w:rsidP="00AA7422">
      <w:pPr>
        <w:pStyle w:val="ListParagraph"/>
        <w:numPr>
          <w:ilvl w:val="0"/>
          <w:numId w:val="11"/>
        </w:numPr>
        <w:spacing w:after="0"/>
        <w:ind w:left="1080"/>
        <w:contextualSpacing/>
        <w:rPr>
          <w:color w:val="000000"/>
        </w:rPr>
      </w:pPr>
      <w:r w:rsidRPr="001677F9">
        <w:rPr>
          <w:color w:val="000000"/>
        </w:rPr>
        <w:t xml:space="preserve">The estimated uptake of dapagliflozin was uncertain and likely underestimated (see </w:t>
      </w:r>
      <w:r w:rsidR="0037056F" w:rsidRPr="001677F9">
        <w:rPr>
          <w:color w:val="000000"/>
        </w:rPr>
        <w:fldChar w:fldCharType="begin" w:fldLock="1"/>
      </w:r>
      <w:r w:rsidR="0037056F" w:rsidRPr="001677F9">
        <w:rPr>
          <w:color w:val="000000"/>
        </w:rPr>
        <w:instrText xml:space="preserve"> REF _Ref132377488 \h </w:instrText>
      </w:r>
      <w:r w:rsidR="004A28D8" w:rsidRPr="001677F9">
        <w:rPr>
          <w:color w:val="000000"/>
        </w:rPr>
        <w:instrText xml:space="preserve"> \* MERGEFORMAT </w:instrText>
      </w:r>
      <w:r w:rsidR="0037056F" w:rsidRPr="001677F9">
        <w:rPr>
          <w:color w:val="000000"/>
        </w:rPr>
      </w:r>
      <w:r w:rsidR="0037056F" w:rsidRPr="001677F9">
        <w:rPr>
          <w:color w:val="000000"/>
        </w:rPr>
        <w:fldChar w:fldCharType="separate"/>
      </w:r>
      <w:r w:rsidR="002C43D4" w:rsidRPr="001677F9">
        <w:t>Table 14</w:t>
      </w:r>
      <w:r w:rsidR="0037056F" w:rsidRPr="001677F9">
        <w:rPr>
          <w:color w:val="000000"/>
        </w:rPr>
        <w:fldChar w:fldCharType="end"/>
      </w:r>
      <w:r w:rsidRPr="001677F9">
        <w:rPr>
          <w:color w:val="000000"/>
        </w:rPr>
        <w:t>).</w:t>
      </w:r>
      <w:r w:rsidRPr="001677F9">
        <w:t xml:space="preserve"> </w:t>
      </w:r>
      <w:r w:rsidRPr="001677F9">
        <w:rPr>
          <w:color w:val="000000"/>
        </w:rPr>
        <w:t>Dapagliflozin is well-known to prescribers</w:t>
      </w:r>
      <w:r w:rsidRPr="001677F9">
        <w:t xml:space="preserve"> </w:t>
      </w:r>
      <w:r w:rsidRPr="001677F9">
        <w:rPr>
          <w:color w:val="000000"/>
        </w:rPr>
        <w:t xml:space="preserve">with a non-inferior safety profile relative to SOC and empagliflozin. </w:t>
      </w:r>
    </w:p>
    <w:p w14:paraId="72EA841A" w14:textId="77777777" w:rsidR="00980351" w:rsidRPr="001677F9" w:rsidRDefault="00980351" w:rsidP="00AA7422">
      <w:pPr>
        <w:pStyle w:val="3-BodyText"/>
        <w:numPr>
          <w:ilvl w:val="0"/>
          <w:numId w:val="11"/>
        </w:numPr>
        <w:spacing w:after="0"/>
        <w:ind w:left="1080"/>
      </w:pPr>
      <w:r w:rsidRPr="001677F9">
        <w:t xml:space="preserve">Treatment compliance to dapagliflozin of 97.2%, is unlikely to be realised in clinical practice, and may have overestimated the utilisation of dapagliflozin in the eligible population. </w:t>
      </w:r>
    </w:p>
    <w:p w14:paraId="29DAD0E2" w14:textId="77777777" w:rsidR="00980351" w:rsidRPr="001677F9" w:rsidRDefault="00980351" w:rsidP="00AA7422">
      <w:pPr>
        <w:pStyle w:val="3-BodyText"/>
        <w:numPr>
          <w:ilvl w:val="0"/>
          <w:numId w:val="11"/>
        </w:numPr>
        <w:ind w:left="1080"/>
      </w:pPr>
      <w:r w:rsidRPr="001677F9">
        <w:t xml:space="preserve">The proportion of patients receiving optimised SOC of 100% was overestimated and unlikely to be realised in clinical practice. </w:t>
      </w:r>
    </w:p>
    <w:p w14:paraId="18009D86" w14:textId="0D8D506B" w:rsidR="00980351" w:rsidRPr="001677F9" w:rsidRDefault="00980351" w:rsidP="00980351">
      <w:pPr>
        <w:pStyle w:val="3-BodyText"/>
      </w:pPr>
      <w:r w:rsidRPr="001677F9">
        <w:t xml:space="preserve">The results of sensitivity analyses show </w:t>
      </w:r>
      <w:r w:rsidRPr="001677F9">
        <w:rPr>
          <w:rFonts w:cstheme="minorHAnsi"/>
        </w:rPr>
        <w:t>the net financial impact was most sensitive to changes in the estimated proportion of HF patients with LVEF &gt;40% and the estimated proportion of patients with CKD already receiving treatment with SGLT2 inhibitors (</w:t>
      </w:r>
      <w:r w:rsidR="004B3044" w:rsidRPr="001677F9">
        <w:rPr>
          <w:rFonts w:cstheme="minorHAnsi"/>
        </w:rPr>
        <w:fldChar w:fldCharType="begin" w:fldLock="1"/>
      </w:r>
      <w:r w:rsidR="004B3044" w:rsidRPr="001677F9">
        <w:rPr>
          <w:rFonts w:cstheme="minorHAnsi"/>
        </w:rPr>
        <w:instrText xml:space="preserve"> REF _Ref132377602 \h  \* MERGEFORMAT </w:instrText>
      </w:r>
      <w:r w:rsidR="004B3044" w:rsidRPr="001677F9">
        <w:rPr>
          <w:rFonts w:cstheme="minorHAnsi"/>
        </w:rPr>
      </w:r>
      <w:r w:rsidR="004B3044" w:rsidRPr="001677F9">
        <w:rPr>
          <w:rFonts w:cstheme="minorHAnsi"/>
        </w:rPr>
        <w:fldChar w:fldCharType="separate"/>
      </w:r>
      <w:r w:rsidR="002C43D4" w:rsidRPr="001677F9">
        <w:t>Table 16</w:t>
      </w:r>
      <w:r w:rsidR="004B3044" w:rsidRPr="001677F9">
        <w:rPr>
          <w:rFonts w:cstheme="minorHAnsi"/>
        </w:rPr>
        <w:fldChar w:fldCharType="end"/>
      </w:r>
      <w:r w:rsidRPr="001677F9">
        <w:rPr>
          <w:rFonts w:cstheme="minorHAnsi"/>
        </w:rPr>
        <w:t xml:space="preserve">). </w:t>
      </w:r>
      <w:r w:rsidR="00497D15" w:rsidRPr="001677F9">
        <w:rPr>
          <w:rFonts w:cstheme="minorHAnsi"/>
        </w:rPr>
        <w:t xml:space="preserve"> </w:t>
      </w:r>
      <w:r w:rsidR="00497D15" w:rsidRPr="001677F9">
        <w:rPr>
          <w:rFonts w:cstheme="minorHAnsi"/>
          <w:iCs/>
        </w:rPr>
        <w:t>The ESC noted the sensitivity analysis that estimated the number of HF patients with LVEF &gt;40% as the midpoint between published Australian estimates increased the estimated by 28% over the first six years of listing compared with the submission base case.</w:t>
      </w:r>
    </w:p>
    <w:p w14:paraId="2D7DF143" w14:textId="6EA2157D" w:rsidR="009C49C3" w:rsidRPr="001677F9" w:rsidRDefault="009C49C3" w:rsidP="00980351">
      <w:pPr>
        <w:pStyle w:val="3-BodyText"/>
      </w:pPr>
      <w:r w:rsidRPr="001677F9">
        <w:rPr>
          <w:iCs/>
        </w:rPr>
        <w:t xml:space="preserve">The ESC considered that increased awareness and diagnosis </w:t>
      </w:r>
      <w:r w:rsidR="00A10A33" w:rsidRPr="001677F9">
        <w:rPr>
          <w:iCs/>
        </w:rPr>
        <w:t xml:space="preserve">would almost certainly </w:t>
      </w:r>
      <w:r w:rsidRPr="001677F9">
        <w:rPr>
          <w:iCs/>
        </w:rPr>
        <w:t xml:space="preserve">result from the PBS listing of a second SGLT2 inhibitor for HFpEF, which </w:t>
      </w:r>
      <w:r w:rsidR="00A10A33" w:rsidRPr="001677F9">
        <w:rPr>
          <w:iCs/>
        </w:rPr>
        <w:t xml:space="preserve">would be expected to </w:t>
      </w:r>
      <w:r w:rsidRPr="001677F9">
        <w:rPr>
          <w:iCs/>
        </w:rPr>
        <w:t xml:space="preserve">lead to </w:t>
      </w:r>
      <w:r w:rsidR="00A10A33" w:rsidRPr="001677F9">
        <w:rPr>
          <w:iCs/>
        </w:rPr>
        <w:t xml:space="preserve">faster and </w:t>
      </w:r>
      <w:r w:rsidR="00483ABE">
        <w:rPr>
          <w:iCs/>
        </w:rPr>
        <w:t>higher overall</w:t>
      </w:r>
      <w:r w:rsidR="00483ABE" w:rsidRPr="001677F9">
        <w:rPr>
          <w:iCs/>
        </w:rPr>
        <w:t xml:space="preserve"> </w:t>
      </w:r>
      <w:r w:rsidRPr="001677F9">
        <w:rPr>
          <w:iCs/>
        </w:rPr>
        <w:t>uptake in the eligible population.</w:t>
      </w:r>
    </w:p>
    <w:p w14:paraId="6AA7E65C" w14:textId="27A5B86B" w:rsidR="00980351" w:rsidRPr="001677F9" w:rsidRDefault="00566673" w:rsidP="00566673">
      <w:pPr>
        <w:pStyle w:val="Caption"/>
      </w:pPr>
      <w:bookmarkStart w:id="84" w:name="_Ref132377602"/>
      <w:r w:rsidRPr="001677F9">
        <w:lastRenderedPageBreak/>
        <w:t xml:space="preserve">Table </w:t>
      </w:r>
      <w:fldSimple w:instr=" SEQ Table \* ARABIC " w:fldLock="1">
        <w:r w:rsidR="002C43D4" w:rsidRPr="001677F9">
          <w:t>16</w:t>
        </w:r>
      </w:fldSimple>
      <w:bookmarkEnd w:id="84"/>
      <w:r w:rsidR="00980351" w:rsidRPr="001677F9">
        <w:rPr>
          <w:iCs/>
          <w:szCs w:val="20"/>
        </w:rPr>
        <w:t xml:space="preserve">: </w:t>
      </w:r>
      <w:r w:rsidR="00980351" w:rsidRPr="001677F9">
        <w:t>Results of the sensitivity analysis for net financial estimates of PBS/RPBS cost</w:t>
      </w:r>
    </w:p>
    <w:tbl>
      <w:tblPr>
        <w:tblStyle w:val="TableGrid"/>
        <w:tblW w:w="0" w:type="auto"/>
        <w:tblLayout w:type="fixed"/>
        <w:tblLook w:val="04A0" w:firstRow="1" w:lastRow="0" w:firstColumn="1" w:lastColumn="0" w:noHBand="0" w:noVBand="1"/>
      </w:tblPr>
      <w:tblGrid>
        <w:gridCol w:w="2263"/>
        <w:gridCol w:w="956"/>
        <w:gridCol w:w="1011"/>
        <w:gridCol w:w="1010"/>
        <w:gridCol w:w="962"/>
        <w:gridCol w:w="1023"/>
        <w:gridCol w:w="1134"/>
        <w:gridCol w:w="658"/>
      </w:tblGrid>
      <w:tr w:rsidR="0072088C" w:rsidRPr="001677F9" w14:paraId="5A33EE7C" w14:textId="77777777" w:rsidTr="0072088C">
        <w:trPr>
          <w:trHeight w:val="250"/>
        </w:trPr>
        <w:tc>
          <w:tcPr>
            <w:tcW w:w="2263" w:type="dxa"/>
            <w:noWrap/>
            <w:tcMar>
              <w:left w:w="20" w:type="dxa"/>
              <w:right w:w="20" w:type="dxa"/>
            </w:tcMar>
            <w:hideMark/>
          </w:tcPr>
          <w:p w14:paraId="463D389B" w14:textId="77777777" w:rsidR="00980351" w:rsidRPr="001677F9" w:rsidRDefault="00980351" w:rsidP="00AD1DC3">
            <w:pPr>
              <w:keepNext/>
              <w:keepLines/>
              <w:jc w:val="left"/>
              <w:rPr>
                <w:rFonts w:ascii="Arial Narrow" w:hAnsi="Arial Narrow"/>
                <w:b/>
                <w:sz w:val="20"/>
                <w:szCs w:val="20"/>
              </w:rPr>
            </w:pPr>
            <w:r w:rsidRPr="001677F9">
              <w:rPr>
                <w:rFonts w:ascii="Arial Narrow" w:hAnsi="Arial Narrow"/>
                <w:b/>
                <w:sz w:val="20"/>
                <w:szCs w:val="20"/>
              </w:rPr>
              <w:t>Scenario</w:t>
            </w:r>
          </w:p>
        </w:tc>
        <w:tc>
          <w:tcPr>
            <w:tcW w:w="956" w:type="dxa"/>
            <w:noWrap/>
            <w:tcMar>
              <w:left w:w="20" w:type="dxa"/>
              <w:right w:w="20" w:type="dxa"/>
            </w:tcMar>
            <w:hideMark/>
          </w:tcPr>
          <w:p w14:paraId="35B15C57" w14:textId="77777777" w:rsidR="00980351" w:rsidRPr="001677F9" w:rsidRDefault="00980351" w:rsidP="00AD1DC3">
            <w:pPr>
              <w:keepNext/>
              <w:keepLines/>
              <w:jc w:val="center"/>
              <w:rPr>
                <w:rFonts w:ascii="Arial Narrow" w:hAnsi="Arial Narrow"/>
                <w:b/>
                <w:sz w:val="20"/>
                <w:szCs w:val="20"/>
              </w:rPr>
            </w:pPr>
            <w:r w:rsidRPr="001677F9">
              <w:rPr>
                <w:rFonts w:ascii="Arial Narrow" w:hAnsi="Arial Narrow"/>
                <w:b/>
                <w:sz w:val="20"/>
                <w:szCs w:val="20"/>
              </w:rPr>
              <w:t>2024</w:t>
            </w:r>
          </w:p>
        </w:tc>
        <w:tc>
          <w:tcPr>
            <w:tcW w:w="1011" w:type="dxa"/>
            <w:noWrap/>
            <w:tcMar>
              <w:left w:w="20" w:type="dxa"/>
              <w:right w:w="20" w:type="dxa"/>
            </w:tcMar>
            <w:hideMark/>
          </w:tcPr>
          <w:p w14:paraId="70303AC3" w14:textId="77777777" w:rsidR="00980351" w:rsidRPr="001677F9" w:rsidRDefault="00980351" w:rsidP="00AD1DC3">
            <w:pPr>
              <w:keepNext/>
              <w:keepLines/>
              <w:jc w:val="center"/>
              <w:rPr>
                <w:rFonts w:ascii="Arial Narrow" w:hAnsi="Arial Narrow"/>
                <w:b/>
                <w:sz w:val="20"/>
                <w:szCs w:val="20"/>
              </w:rPr>
            </w:pPr>
            <w:r w:rsidRPr="001677F9">
              <w:rPr>
                <w:rFonts w:ascii="Arial Narrow" w:hAnsi="Arial Narrow"/>
                <w:b/>
                <w:sz w:val="20"/>
                <w:szCs w:val="20"/>
              </w:rPr>
              <w:t>2025</w:t>
            </w:r>
          </w:p>
        </w:tc>
        <w:tc>
          <w:tcPr>
            <w:tcW w:w="1010" w:type="dxa"/>
            <w:noWrap/>
            <w:tcMar>
              <w:left w:w="20" w:type="dxa"/>
              <w:right w:w="20" w:type="dxa"/>
            </w:tcMar>
            <w:hideMark/>
          </w:tcPr>
          <w:p w14:paraId="054B3DC9" w14:textId="77777777" w:rsidR="00980351" w:rsidRPr="001677F9" w:rsidRDefault="00980351" w:rsidP="00AD1DC3">
            <w:pPr>
              <w:keepNext/>
              <w:keepLines/>
              <w:jc w:val="center"/>
              <w:rPr>
                <w:rFonts w:ascii="Arial Narrow" w:hAnsi="Arial Narrow"/>
                <w:b/>
                <w:sz w:val="20"/>
                <w:szCs w:val="20"/>
              </w:rPr>
            </w:pPr>
            <w:r w:rsidRPr="001677F9">
              <w:rPr>
                <w:rFonts w:ascii="Arial Narrow" w:hAnsi="Arial Narrow"/>
                <w:b/>
                <w:sz w:val="20"/>
                <w:szCs w:val="20"/>
              </w:rPr>
              <w:t>2026</w:t>
            </w:r>
          </w:p>
        </w:tc>
        <w:tc>
          <w:tcPr>
            <w:tcW w:w="962" w:type="dxa"/>
            <w:noWrap/>
            <w:tcMar>
              <w:left w:w="20" w:type="dxa"/>
              <w:right w:w="20" w:type="dxa"/>
            </w:tcMar>
            <w:hideMark/>
          </w:tcPr>
          <w:p w14:paraId="328DEDB6" w14:textId="77777777" w:rsidR="00980351" w:rsidRPr="001677F9" w:rsidRDefault="00980351" w:rsidP="00AD1DC3">
            <w:pPr>
              <w:keepNext/>
              <w:keepLines/>
              <w:jc w:val="center"/>
              <w:rPr>
                <w:rFonts w:ascii="Arial Narrow" w:hAnsi="Arial Narrow"/>
                <w:b/>
                <w:sz w:val="20"/>
                <w:szCs w:val="20"/>
              </w:rPr>
            </w:pPr>
            <w:r w:rsidRPr="001677F9">
              <w:rPr>
                <w:rFonts w:ascii="Arial Narrow" w:hAnsi="Arial Narrow"/>
                <w:b/>
                <w:sz w:val="20"/>
                <w:szCs w:val="20"/>
              </w:rPr>
              <w:t>2027</w:t>
            </w:r>
          </w:p>
        </w:tc>
        <w:tc>
          <w:tcPr>
            <w:tcW w:w="1023" w:type="dxa"/>
            <w:noWrap/>
            <w:tcMar>
              <w:left w:w="20" w:type="dxa"/>
              <w:right w:w="20" w:type="dxa"/>
            </w:tcMar>
            <w:hideMark/>
          </w:tcPr>
          <w:p w14:paraId="09E5209C" w14:textId="77777777" w:rsidR="00980351" w:rsidRPr="001677F9" w:rsidRDefault="00980351" w:rsidP="00AD1DC3">
            <w:pPr>
              <w:keepNext/>
              <w:keepLines/>
              <w:jc w:val="center"/>
              <w:rPr>
                <w:rFonts w:ascii="Arial Narrow" w:hAnsi="Arial Narrow"/>
                <w:b/>
                <w:sz w:val="20"/>
                <w:szCs w:val="20"/>
              </w:rPr>
            </w:pPr>
            <w:r w:rsidRPr="001677F9">
              <w:rPr>
                <w:rFonts w:ascii="Arial Narrow" w:hAnsi="Arial Narrow"/>
                <w:b/>
                <w:sz w:val="20"/>
                <w:szCs w:val="20"/>
              </w:rPr>
              <w:t>2028</w:t>
            </w:r>
          </w:p>
        </w:tc>
        <w:tc>
          <w:tcPr>
            <w:tcW w:w="1134" w:type="dxa"/>
            <w:noWrap/>
            <w:tcMar>
              <w:left w:w="20" w:type="dxa"/>
              <w:right w:w="20" w:type="dxa"/>
            </w:tcMar>
            <w:hideMark/>
          </w:tcPr>
          <w:p w14:paraId="3620AAB5" w14:textId="77777777" w:rsidR="00980351" w:rsidRPr="001677F9" w:rsidRDefault="00980351" w:rsidP="00AD1DC3">
            <w:pPr>
              <w:keepNext/>
              <w:keepLines/>
              <w:jc w:val="center"/>
              <w:rPr>
                <w:rFonts w:ascii="Arial Narrow" w:hAnsi="Arial Narrow"/>
                <w:b/>
                <w:sz w:val="20"/>
                <w:szCs w:val="20"/>
              </w:rPr>
            </w:pPr>
            <w:r w:rsidRPr="001677F9">
              <w:rPr>
                <w:rFonts w:ascii="Arial Narrow" w:hAnsi="Arial Narrow"/>
                <w:b/>
                <w:sz w:val="20"/>
                <w:szCs w:val="20"/>
              </w:rPr>
              <w:t>2029</w:t>
            </w:r>
          </w:p>
        </w:tc>
        <w:tc>
          <w:tcPr>
            <w:tcW w:w="658" w:type="dxa"/>
            <w:noWrap/>
            <w:tcMar>
              <w:left w:w="20" w:type="dxa"/>
              <w:right w:w="20" w:type="dxa"/>
            </w:tcMar>
            <w:hideMark/>
          </w:tcPr>
          <w:p w14:paraId="1E41B7C6" w14:textId="5BDBB7F5" w:rsidR="00980351" w:rsidRPr="001677F9" w:rsidRDefault="00980351" w:rsidP="00AD1DC3">
            <w:pPr>
              <w:keepNext/>
              <w:keepLines/>
              <w:ind w:right="-20"/>
              <w:jc w:val="center"/>
              <w:rPr>
                <w:rFonts w:ascii="Arial Narrow" w:hAnsi="Arial Narrow"/>
                <w:b/>
                <w:sz w:val="20"/>
                <w:szCs w:val="20"/>
                <w:vertAlign w:val="superscript"/>
              </w:rPr>
            </w:pPr>
            <w:r w:rsidRPr="001677F9">
              <w:rPr>
                <w:rFonts w:ascii="Arial Narrow" w:hAnsi="Arial Narrow"/>
                <w:b/>
                <w:sz w:val="20"/>
                <w:szCs w:val="20"/>
              </w:rPr>
              <w:t xml:space="preserve">% </w:t>
            </w:r>
            <w:r w:rsidR="007C6C80" w:rsidRPr="001677F9">
              <w:rPr>
                <w:rFonts w:ascii="Arial Narrow" w:hAnsi="Arial Narrow"/>
                <w:b/>
                <w:sz w:val="20"/>
                <w:szCs w:val="20"/>
              </w:rPr>
              <w:t>c</w:t>
            </w:r>
            <w:r w:rsidRPr="001677F9">
              <w:rPr>
                <w:rFonts w:ascii="Arial Narrow" w:hAnsi="Arial Narrow"/>
                <w:b/>
                <w:sz w:val="20"/>
                <w:szCs w:val="20"/>
              </w:rPr>
              <w:t>hange</w:t>
            </w:r>
            <w:r w:rsidRPr="001677F9">
              <w:rPr>
                <w:rFonts w:ascii="Arial Narrow" w:hAnsi="Arial Narrow"/>
                <w:b/>
                <w:sz w:val="20"/>
                <w:szCs w:val="20"/>
                <w:vertAlign w:val="superscript"/>
              </w:rPr>
              <w:t>b</w:t>
            </w:r>
          </w:p>
        </w:tc>
      </w:tr>
      <w:tr w:rsidR="0072088C" w:rsidRPr="001677F9" w14:paraId="6C50A03C" w14:textId="77777777" w:rsidTr="0072088C">
        <w:trPr>
          <w:trHeight w:val="250"/>
        </w:trPr>
        <w:tc>
          <w:tcPr>
            <w:tcW w:w="2263" w:type="dxa"/>
            <w:noWrap/>
            <w:tcMar>
              <w:left w:w="20" w:type="dxa"/>
              <w:right w:w="20" w:type="dxa"/>
            </w:tcMar>
            <w:hideMark/>
          </w:tcPr>
          <w:p w14:paraId="1550F6CC" w14:textId="7E15415C" w:rsidR="00980351" w:rsidRPr="001677F9" w:rsidRDefault="00980351" w:rsidP="00AD1DC3">
            <w:pPr>
              <w:keepNext/>
              <w:keepLines/>
              <w:jc w:val="left"/>
              <w:rPr>
                <w:rFonts w:ascii="Arial Narrow" w:hAnsi="Arial Narrow"/>
                <w:iCs/>
                <w:sz w:val="20"/>
                <w:szCs w:val="20"/>
              </w:rPr>
            </w:pPr>
            <w:r w:rsidRPr="001677F9">
              <w:rPr>
                <w:rFonts w:ascii="Arial Narrow" w:hAnsi="Arial Narrow"/>
                <w:iCs/>
                <w:sz w:val="20"/>
                <w:szCs w:val="20"/>
              </w:rPr>
              <w:t>Base case</w:t>
            </w:r>
            <w:r w:rsidR="00D363E3">
              <w:rPr>
                <w:rFonts w:ascii="Arial Narrow" w:hAnsi="Arial Narrow"/>
                <w:iCs/>
                <w:sz w:val="20"/>
                <w:szCs w:val="20"/>
              </w:rPr>
              <w:t xml:space="preserve"> ($)</w:t>
            </w:r>
          </w:p>
        </w:tc>
        <w:tc>
          <w:tcPr>
            <w:tcW w:w="956" w:type="dxa"/>
            <w:noWrap/>
            <w:tcMar>
              <w:left w:w="20" w:type="dxa"/>
              <w:right w:w="20" w:type="dxa"/>
            </w:tcMar>
            <w:vAlign w:val="center"/>
            <w:hideMark/>
          </w:tcPr>
          <w:p w14:paraId="5E18AB3A" w14:textId="31E5238A" w:rsidR="00980351" w:rsidRPr="00ED1B25" w:rsidRDefault="00D42DC9" w:rsidP="009402F2">
            <w:pPr>
              <w:keepNext/>
              <w:keepLines/>
              <w:jc w:val="center"/>
              <w:rPr>
                <w:rFonts w:ascii="Arial Narrow" w:hAnsi="Arial Narrow"/>
                <w:iCs/>
                <w:sz w:val="20"/>
                <w:szCs w:val="20"/>
                <w:vertAlign w:val="superscript"/>
              </w:rPr>
            </w:pPr>
            <w:r w:rsidRPr="00D42DC9">
              <w:rPr>
                <w:rFonts w:ascii="Arial Narrow" w:hAnsi="Arial Narrow" w:hint="eastAsia"/>
                <w:iCs/>
                <w:color w:val="000000"/>
                <w:w w:val="27"/>
                <w:sz w:val="20"/>
                <w:szCs w:val="20"/>
                <w:shd w:val="solid" w:color="000000" w:fill="000000"/>
                <w:fitText w:val="120" w:id="-1168360696"/>
                <w14:textFill>
                  <w14:solidFill>
                    <w14:srgbClr w14:val="000000">
                      <w14:alpha w14:val="100000"/>
                    </w14:srgbClr>
                  </w14:solidFill>
                </w14:textFill>
              </w:rPr>
              <w:t xml:space="preserve">　</w:t>
            </w:r>
            <w:r w:rsidRPr="00D42DC9">
              <w:rPr>
                <w:rFonts w:ascii="Arial Narrow" w:hAnsi="Arial Narrow"/>
                <w:iCs/>
                <w:color w:val="000000"/>
                <w:w w:val="27"/>
                <w:sz w:val="20"/>
                <w:szCs w:val="20"/>
                <w:shd w:val="solid" w:color="000000" w:fill="000000"/>
                <w:fitText w:val="120" w:id="-1168360696"/>
                <w14:textFill>
                  <w14:solidFill>
                    <w14:srgbClr w14:val="000000">
                      <w14:alpha w14:val="100000"/>
                    </w14:srgbClr>
                  </w14:solidFill>
                </w14:textFill>
              </w:rPr>
              <w:t>|</w:t>
            </w:r>
            <w:r w:rsidRPr="00D42DC9">
              <w:rPr>
                <w:rFonts w:ascii="Arial Narrow" w:hAnsi="Arial Narrow" w:hint="eastAsia"/>
                <w:iCs/>
                <w:color w:val="000000"/>
                <w:spacing w:val="2"/>
                <w:w w:val="27"/>
                <w:sz w:val="20"/>
                <w:szCs w:val="20"/>
                <w:shd w:val="solid" w:color="000000" w:fill="000000"/>
                <w:fitText w:val="120" w:id="-1168360696"/>
                <w14:textFill>
                  <w14:solidFill>
                    <w14:srgbClr w14:val="000000">
                      <w14:alpha w14:val="100000"/>
                    </w14:srgbClr>
                  </w14:solidFill>
                </w14:textFill>
              </w:rPr>
              <w:t xml:space="preserve">　</w:t>
            </w:r>
            <w:r w:rsidR="00ED1B25">
              <w:rPr>
                <w:rFonts w:ascii="Arial Narrow" w:hAnsi="Arial Narrow"/>
                <w:iCs/>
                <w:sz w:val="20"/>
                <w:szCs w:val="20"/>
                <w:vertAlign w:val="superscript"/>
              </w:rPr>
              <w:t>1</w:t>
            </w:r>
          </w:p>
        </w:tc>
        <w:tc>
          <w:tcPr>
            <w:tcW w:w="1011" w:type="dxa"/>
            <w:noWrap/>
            <w:tcMar>
              <w:left w:w="20" w:type="dxa"/>
              <w:right w:w="20" w:type="dxa"/>
            </w:tcMar>
            <w:vAlign w:val="center"/>
            <w:hideMark/>
          </w:tcPr>
          <w:p w14:paraId="736DB5F8" w14:textId="273638BF" w:rsidR="00980351" w:rsidRPr="00ED1B25" w:rsidRDefault="00D42DC9" w:rsidP="009402F2">
            <w:pPr>
              <w:keepNext/>
              <w:keepLines/>
              <w:jc w:val="center"/>
              <w:rPr>
                <w:rFonts w:ascii="Arial Narrow" w:hAnsi="Arial Narrow"/>
                <w:iCs/>
                <w:sz w:val="20"/>
                <w:szCs w:val="20"/>
                <w:vertAlign w:val="superscript"/>
              </w:rPr>
            </w:pPr>
            <w:r w:rsidRPr="00D42DC9">
              <w:rPr>
                <w:rFonts w:ascii="Arial Narrow" w:hAnsi="Arial Narrow" w:hint="eastAsia"/>
                <w:iCs/>
                <w:color w:val="000000"/>
                <w:w w:val="20"/>
                <w:sz w:val="20"/>
                <w:szCs w:val="20"/>
                <w:shd w:val="solid" w:color="000000" w:fill="000000"/>
                <w:fitText w:val="90" w:id="-1168360695"/>
                <w14:textFill>
                  <w14:solidFill>
                    <w14:srgbClr w14:val="000000">
                      <w14:alpha w14:val="100000"/>
                    </w14:srgbClr>
                  </w14:solidFill>
                </w14:textFill>
              </w:rPr>
              <w:t xml:space="preserve">　</w:t>
            </w:r>
            <w:r w:rsidRPr="00D42DC9">
              <w:rPr>
                <w:rFonts w:ascii="Arial Narrow" w:hAnsi="Arial Narrow"/>
                <w:iCs/>
                <w:color w:val="000000"/>
                <w:w w:val="20"/>
                <w:sz w:val="20"/>
                <w:szCs w:val="20"/>
                <w:shd w:val="solid" w:color="000000" w:fill="000000"/>
                <w:fitText w:val="90" w:id="-1168360695"/>
                <w14:textFill>
                  <w14:solidFill>
                    <w14:srgbClr w14:val="000000">
                      <w14:alpha w14:val="100000"/>
                    </w14:srgbClr>
                  </w14:solidFill>
                </w14:textFill>
              </w:rPr>
              <w:t>|</w:t>
            </w:r>
            <w:r w:rsidRPr="00D42DC9">
              <w:rPr>
                <w:rFonts w:ascii="Arial Narrow" w:hAnsi="Arial Narrow" w:hint="eastAsia"/>
                <w:iCs/>
                <w:color w:val="000000"/>
                <w:spacing w:val="3"/>
                <w:w w:val="20"/>
                <w:sz w:val="20"/>
                <w:szCs w:val="20"/>
                <w:shd w:val="solid" w:color="000000" w:fill="000000"/>
                <w:fitText w:val="90" w:id="-1168360695"/>
                <w14:textFill>
                  <w14:solidFill>
                    <w14:srgbClr w14:val="000000">
                      <w14:alpha w14:val="100000"/>
                    </w14:srgbClr>
                  </w14:solidFill>
                </w14:textFill>
              </w:rPr>
              <w:t xml:space="preserve">　</w:t>
            </w:r>
            <w:r w:rsidR="00ED1B25">
              <w:rPr>
                <w:rFonts w:ascii="Arial Narrow" w:hAnsi="Arial Narrow"/>
                <w:iCs/>
                <w:sz w:val="20"/>
                <w:szCs w:val="20"/>
                <w:vertAlign w:val="superscript"/>
              </w:rPr>
              <w:t>2</w:t>
            </w:r>
          </w:p>
        </w:tc>
        <w:tc>
          <w:tcPr>
            <w:tcW w:w="1010" w:type="dxa"/>
            <w:noWrap/>
            <w:tcMar>
              <w:left w:w="20" w:type="dxa"/>
              <w:right w:w="20" w:type="dxa"/>
            </w:tcMar>
            <w:vAlign w:val="center"/>
            <w:hideMark/>
          </w:tcPr>
          <w:p w14:paraId="52EAEC7E" w14:textId="7CCA4527" w:rsidR="00980351" w:rsidRPr="00ED1B25" w:rsidRDefault="00D42DC9" w:rsidP="009402F2">
            <w:pPr>
              <w:keepNext/>
              <w:keepLines/>
              <w:jc w:val="center"/>
              <w:rPr>
                <w:rFonts w:ascii="Arial Narrow" w:hAnsi="Arial Narrow"/>
                <w:iCs/>
                <w:sz w:val="20"/>
                <w:szCs w:val="20"/>
                <w:vertAlign w:val="superscript"/>
              </w:rPr>
            </w:pPr>
            <w:r w:rsidRPr="00D42DC9">
              <w:rPr>
                <w:rFonts w:ascii="Arial Narrow" w:hAnsi="Arial Narrow" w:hint="eastAsia"/>
                <w:iCs/>
                <w:color w:val="000000"/>
                <w:w w:val="20"/>
                <w:sz w:val="20"/>
                <w:szCs w:val="20"/>
                <w:shd w:val="solid" w:color="000000" w:fill="000000"/>
                <w:fitText w:val="90" w:id="-1168360694"/>
                <w14:textFill>
                  <w14:solidFill>
                    <w14:srgbClr w14:val="000000">
                      <w14:alpha w14:val="100000"/>
                    </w14:srgbClr>
                  </w14:solidFill>
                </w14:textFill>
              </w:rPr>
              <w:t xml:space="preserve">　</w:t>
            </w:r>
            <w:r w:rsidRPr="00D42DC9">
              <w:rPr>
                <w:rFonts w:ascii="Arial Narrow" w:hAnsi="Arial Narrow"/>
                <w:iCs/>
                <w:color w:val="000000"/>
                <w:w w:val="20"/>
                <w:sz w:val="20"/>
                <w:szCs w:val="20"/>
                <w:shd w:val="solid" w:color="000000" w:fill="000000"/>
                <w:fitText w:val="90" w:id="-1168360694"/>
                <w14:textFill>
                  <w14:solidFill>
                    <w14:srgbClr w14:val="000000">
                      <w14:alpha w14:val="100000"/>
                    </w14:srgbClr>
                  </w14:solidFill>
                </w14:textFill>
              </w:rPr>
              <w:t>|</w:t>
            </w:r>
            <w:r w:rsidRPr="00D42DC9">
              <w:rPr>
                <w:rFonts w:ascii="Arial Narrow" w:hAnsi="Arial Narrow" w:hint="eastAsia"/>
                <w:iCs/>
                <w:color w:val="000000"/>
                <w:spacing w:val="3"/>
                <w:w w:val="20"/>
                <w:sz w:val="20"/>
                <w:szCs w:val="20"/>
                <w:shd w:val="solid" w:color="000000" w:fill="000000"/>
                <w:fitText w:val="90" w:id="-1168360694"/>
                <w14:textFill>
                  <w14:solidFill>
                    <w14:srgbClr w14:val="000000">
                      <w14:alpha w14:val="100000"/>
                    </w14:srgbClr>
                  </w14:solidFill>
                </w14:textFill>
              </w:rPr>
              <w:t xml:space="preserve">　</w:t>
            </w:r>
            <w:r w:rsidR="00ED1B25">
              <w:rPr>
                <w:rFonts w:ascii="Arial Narrow" w:hAnsi="Arial Narrow"/>
                <w:iCs/>
                <w:sz w:val="20"/>
                <w:szCs w:val="20"/>
                <w:vertAlign w:val="superscript"/>
              </w:rPr>
              <w:t>3</w:t>
            </w:r>
          </w:p>
        </w:tc>
        <w:tc>
          <w:tcPr>
            <w:tcW w:w="962" w:type="dxa"/>
            <w:noWrap/>
            <w:tcMar>
              <w:left w:w="20" w:type="dxa"/>
              <w:right w:w="20" w:type="dxa"/>
            </w:tcMar>
            <w:vAlign w:val="center"/>
            <w:hideMark/>
          </w:tcPr>
          <w:p w14:paraId="197F924A" w14:textId="66EDBDA5" w:rsidR="00980351" w:rsidRPr="001A0CA4" w:rsidRDefault="00D42DC9" w:rsidP="009402F2">
            <w:pPr>
              <w:keepNext/>
              <w:keepLines/>
              <w:jc w:val="center"/>
              <w:rPr>
                <w:rFonts w:ascii="Arial Narrow" w:hAnsi="Arial Narrow"/>
                <w:iCs/>
                <w:sz w:val="20"/>
                <w:szCs w:val="20"/>
                <w:vertAlign w:val="superscript"/>
              </w:rPr>
            </w:pPr>
            <w:r w:rsidRPr="00D42DC9">
              <w:rPr>
                <w:rFonts w:ascii="Arial Narrow" w:hAnsi="Arial Narrow" w:hint="eastAsia"/>
                <w:iCs/>
                <w:color w:val="000000"/>
                <w:w w:val="27"/>
                <w:sz w:val="20"/>
                <w:szCs w:val="20"/>
                <w:shd w:val="solid" w:color="000000" w:fill="000000"/>
                <w:fitText w:val="120" w:id="-1168360693"/>
                <w14:textFill>
                  <w14:solidFill>
                    <w14:srgbClr w14:val="000000">
                      <w14:alpha w14:val="100000"/>
                    </w14:srgbClr>
                  </w14:solidFill>
                </w14:textFill>
              </w:rPr>
              <w:t xml:space="preserve">　</w:t>
            </w:r>
            <w:r w:rsidRPr="00D42DC9">
              <w:rPr>
                <w:rFonts w:ascii="Arial Narrow" w:hAnsi="Arial Narrow"/>
                <w:iCs/>
                <w:color w:val="000000"/>
                <w:w w:val="27"/>
                <w:sz w:val="20"/>
                <w:szCs w:val="20"/>
                <w:shd w:val="solid" w:color="000000" w:fill="000000"/>
                <w:fitText w:val="120" w:id="-1168360693"/>
                <w14:textFill>
                  <w14:solidFill>
                    <w14:srgbClr w14:val="000000">
                      <w14:alpha w14:val="100000"/>
                    </w14:srgbClr>
                  </w14:solidFill>
                </w14:textFill>
              </w:rPr>
              <w:t>|</w:t>
            </w:r>
            <w:r w:rsidRPr="00D42DC9">
              <w:rPr>
                <w:rFonts w:ascii="Arial Narrow" w:hAnsi="Arial Narrow" w:hint="eastAsia"/>
                <w:iCs/>
                <w:color w:val="000000"/>
                <w:spacing w:val="2"/>
                <w:w w:val="27"/>
                <w:sz w:val="20"/>
                <w:szCs w:val="20"/>
                <w:shd w:val="solid" w:color="000000" w:fill="000000"/>
                <w:fitText w:val="120" w:id="-1168360693"/>
                <w14:textFill>
                  <w14:solidFill>
                    <w14:srgbClr w14:val="000000">
                      <w14:alpha w14:val="100000"/>
                    </w14:srgbClr>
                  </w14:solidFill>
                </w14:textFill>
              </w:rPr>
              <w:t xml:space="preserve">　</w:t>
            </w:r>
            <w:r w:rsidR="001A0CA4">
              <w:rPr>
                <w:rFonts w:ascii="Arial Narrow" w:hAnsi="Arial Narrow"/>
                <w:iCs/>
                <w:sz w:val="20"/>
                <w:szCs w:val="20"/>
                <w:vertAlign w:val="superscript"/>
              </w:rPr>
              <w:t>4</w:t>
            </w:r>
          </w:p>
        </w:tc>
        <w:tc>
          <w:tcPr>
            <w:tcW w:w="1023" w:type="dxa"/>
            <w:noWrap/>
            <w:tcMar>
              <w:left w:w="20" w:type="dxa"/>
              <w:right w:w="20" w:type="dxa"/>
            </w:tcMar>
            <w:vAlign w:val="center"/>
            <w:hideMark/>
          </w:tcPr>
          <w:p w14:paraId="4E1BE5AB" w14:textId="3504E934" w:rsidR="00980351" w:rsidRPr="001A0CA4" w:rsidRDefault="00D42DC9" w:rsidP="009402F2">
            <w:pPr>
              <w:keepNext/>
              <w:keepLines/>
              <w:jc w:val="center"/>
              <w:rPr>
                <w:rFonts w:ascii="Arial Narrow" w:hAnsi="Arial Narrow"/>
                <w:iCs/>
                <w:sz w:val="20"/>
                <w:szCs w:val="20"/>
                <w:vertAlign w:val="superscript"/>
              </w:rPr>
            </w:pPr>
            <w:r w:rsidRPr="00D42DC9">
              <w:rPr>
                <w:rFonts w:ascii="Arial Narrow" w:hAnsi="Arial Narrow" w:hint="eastAsia"/>
                <w:iCs/>
                <w:color w:val="000000"/>
                <w:w w:val="20"/>
                <w:sz w:val="20"/>
                <w:szCs w:val="20"/>
                <w:shd w:val="solid" w:color="000000" w:fill="000000"/>
                <w:fitText w:val="90" w:id="-1168360692"/>
                <w14:textFill>
                  <w14:solidFill>
                    <w14:srgbClr w14:val="000000">
                      <w14:alpha w14:val="100000"/>
                    </w14:srgbClr>
                  </w14:solidFill>
                </w14:textFill>
              </w:rPr>
              <w:t xml:space="preserve">　</w:t>
            </w:r>
            <w:r w:rsidRPr="00D42DC9">
              <w:rPr>
                <w:rFonts w:ascii="Arial Narrow" w:hAnsi="Arial Narrow"/>
                <w:iCs/>
                <w:color w:val="000000"/>
                <w:w w:val="20"/>
                <w:sz w:val="20"/>
                <w:szCs w:val="20"/>
                <w:shd w:val="solid" w:color="000000" w:fill="000000"/>
                <w:fitText w:val="90" w:id="-1168360692"/>
                <w14:textFill>
                  <w14:solidFill>
                    <w14:srgbClr w14:val="000000">
                      <w14:alpha w14:val="100000"/>
                    </w14:srgbClr>
                  </w14:solidFill>
                </w14:textFill>
              </w:rPr>
              <w:t>|</w:t>
            </w:r>
            <w:r w:rsidRPr="00D42DC9">
              <w:rPr>
                <w:rFonts w:ascii="Arial Narrow" w:hAnsi="Arial Narrow" w:hint="eastAsia"/>
                <w:iCs/>
                <w:color w:val="000000"/>
                <w:spacing w:val="3"/>
                <w:w w:val="20"/>
                <w:sz w:val="20"/>
                <w:szCs w:val="20"/>
                <w:shd w:val="solid" w:color="000000" w:fill="000000"/>
                <w:fitText w:val="90" w:id="-1168360692"/>
                <w14:textFill>
                  <w14:solidFill>
                    <w14:srgbClr w14:val="000000">
                      <w14:alpha w14:val="100000"/>
                    </w14:srgbClr>
                  </w14:solidFill>
                </w14:textFill>
              </w:rPr>
              <w:t xml:space="preserve">　</w:t>
            </w:r>
            <w:r w:rsidR="001A0CA4">
              <w:rPr>
                <w:rFonts w:ascii="Arial Narrow" w:hAnsi="Arial Narrow"/>
                <w:iCs/>
                <w:sz w:val="20"/>
                <w:szCs w:val="20"/>
                <w:vertAlign w:val="superscript"/>
              </w:rPr>
              <w:t>5</w:t>
            </w:r>
          </w:p>
        </w:tc>
        <w:tc>
          <w:tcPr>
            <w:tcW w:w="1134" w:type="dxa"/>
            <w:noWrap/>
            <w:tcMar>
              <w:left w:w="20" w:type="dxa"/>
              <w:right w:w="20" w:type="dxa"/>
            </w:tcMar>
            <w:vAlign w:val="center"/>
            <w:hideMark/>
          </w:tcPr>
          <w:p w14:paraId="1F46A139" w14:textId="62F29374" w:rsidR="00980351" w:rsidRPr="001A0CA4" w:rsidRDefault="00D42DC9" w:rsidP="009402F2">
            <w:pPr>
              <w:keepNext/>
              <w:keepLines/>
              <w:jc w:val="center"/>
              <w:rPr>
                <w:rFonts w:ascii="Arial Narrow" w:hAnsi="Arial Narrow"/>
                <w:iCs/>
                <w:sz w:val="20"/>
                <w:szCs w:val="20"/>
                <w:vertAlign w:val="superscript"/>
              </w:rPr>
            </w:pPr>
            <w:r w:rsidRPr="00D42DC9">
              <w:rPr>
                <w:rFonts w:ascii="Arial Narrow" w:hAnsi="Arial Narrow" w:hint="eastAsia"/>
                <w:iCs/>
                <w:color w:val="000000"/>
                <w:w w:val="15"/>
                <w:sz w:val="20"/>
                <w:szCs w:val="20"/>
                <w:shd w:val="solid" w:color="000000" w:fill="000000"/>
                <w:fitText w:val="30" w:id="-1168360691"/>
                <w14:textFill>
                  <w14:solidFill>
                    <w14:srgbClr w14:val="000000">
                      <w14:alpha w14:val="100000"/>
                    </w14:srgbClr>
                  </w14:solidFill>
                </w14:textFill>
              </w:rPr>
              <w:t xml:space="preserve">　</w:t>
            </w:r>
            <w:r w:rsidRPr="00D42DC9">
              <w:rPr>
                <w:rFonts w:ascii="Arial Narrow" w:hAnsi="Arial Narrow"/>
                <w:iCs/>
                <w:color w:val="000000"/>
                <w:w w:val="15"/>
                <w:sz w:val="20"/>
                <w:szCs w:val="20"/>
                <w:shd w:val="solid" w:color="000000" w:fill="000000"/>
                <w:fitText w:val="30" w:id="-1168360691"/>
                <w14:textFill>
                  <w14:solidFill>
                    <w14:srgbClr w14:val="000000">
                      <w14:alpha w14:val="100000"/>
                    </w14:srgbClr>
                  </w14:solidFill>
                </w14:textFill>
              </w:rPr>
              <w:t>|</w:t>
            </w:r>
            <w:r w:rsidRPr="00D42DC9">
              <w:rPr>
                <w:rFonts w:ascii="Arial Narrow" w:hAnsi="Arial Narrow" w:hint="eastAsia"/>
                <w:iCs/>
                <w:color w:val="000000"/>
                <w:spacing w:val="-35"/>
                <w:w w:val="15"/>
                <w:sz w:val="20"/>
                <w:szCs w:val="20"/>
                <w:shd w:val="solid" w:color="000000" w:fill="000000"/>
                <w:fitText w:val="30" w:id="-1168360691"/>
                <w14:textFill>
                  <w14:solidFill>
                    <w14:srgbClr w14:val="000000">
                      <w14:alpha w14:val="100000"/>
                    </w14:srgbClr>
                  </w14:solidFill>
                </w14:textFill>
              </w:rPr>
              <w:t xml:space="preserve">　</w:t>
            </w:r>
            <w:r w:rsidR="001A0CA4">
              <w:rPr>
                <w:rFonts w:ascii="Arial Narrow" w:hAnsi="Arial Narrow"/>
                <w:iCs/>
                <w:sz w:val="20"/>
                <w:szCs w:val="20"/>
                <w:vertAlign w:val="superscript"/>
              </w:rPr>
              <w:t>6</w:t>
            </w:r>
          </w:p>
        </w:tc>
        <w:tc>
          <w:tcPr>
            <w:tcW w:w="658" w:type="dxa"/>
            <w:noWrap/>
            <w:tcMar>
              <w:left w:w="20" w:type="dxa"/>
              <w:right w:w="20" w:type="dxa"/>
            </w:tcMar>
            <w:vAlign w:val="center"/>
            <w:hideMark/>
          </w:tcPr>
          <w:p w14:paraId="73A3C1D9" w14:textId="77777777" w:rsidR="00980351" w:rsidRPr="001677F9" w:rsidRDefault="00980351" w:rsidP="009402F2">
            <w:pPr>
              <w:keepNext/>
              <w:keepLines/>
              <w:jc w:val="center"/>
              <w:rPr>
                <w:rFonts w:ascii="Arial Narrow" w:hAnsi="Arial Narrow"/>
                <w:iCs/>
                <w:sz w:val="20"/>
                <w:szCs w:val="20"/>
              </w:rPr>
            </w:pPr>
            <w:r w:rsidRPr="001677F9">
              <w:rPr>
                <w:rFonts w:ascii="Arial Narrow" w:hAnsi="Arial Narrow"/>
                <w:iCs/>
                <w:sz w:val="20"/>
                <w:szCs w:val="20"/>
              </w:rPr>
              <w:t>-</w:t>
            </w:r>
          </w:p>
        </w:tc>
      </w:tr>
      <w:tr w:rsidR="0072088C" w:rsidRPr="001677F9" w14:paraId="67F83EB0" w14:textId="77777777" w:rsidTr="0072088C">
        <w:trPr>
          <w:trHeight w:val="250"/>
        </w:trPr>
        <w:tc>
          <w:tcPr>
            <w:tcW w:w="2263" w:type="dxa"/>
            <w:noWrap/>
            <w:tcMar>
              <w:left w:w="20" w:type="dxa"/>
              <w:right w:w="20" w:type="dxa"/>
            </w:tcMar>
          </w:tcPr>
          <w:p w14:paraId="05C0C237" w14:textId="7E82C8BC" w:rsidR="00C20FE3" w:rsidRPr="001677F9" w:rsidRDefault="00C20FE3" w:rsidP="00C20FE3">
            <w:pPr>
              <w:keepNext/>
              <w:keepLines/>
              <w:jc w:val="left"/>
              <w:rPr>
                <w:rFonts w:ascii="Arial Narrow" w:hAnsi="Arial Narrow"/>
                <w:i/>
                <w:sz w:val="20"/>
                <w:szCs w:val="20"/>
              </w:rPr>
            </w:pPr>
            <w:r w:rsidRPr="001677F9">
              <w:rPr>
                <w:rFonts w:ascii="Arial Narrow" w:hAnsi="Arial Narrow"/>
                <w:sz w:val="20"/>
                <w:szCs w:val="20"/>
              </w:rPr>
              <w:t>Patients electing treatment (-</w:t>
            </w:r>
            <w:r w:rsidR="007C356C">
              <w:rPr>
                <w:rFonts w:ascii="Arial Narrow" w:hAnsi="Arial Narrow"/>
                <w:sz w:val="20"/>
                <w:szCs w:val="20"/>
              </w:rPr>
              <w:t> </w:t>
            </w:r>
            <w:r w:rsidRPr="001677F9">
              <w:rPr>
                <w:rFonts w:ascii="Arial Narrow" w:hAnsi="Arial Narrow"/>
                <w:sz w:val="20"/>
                <w:szCs w:val="20"/>
              </w:rPr>
              <w:t>20%)</w:t>
            </w:r>
            <w:r w:rsidR="00D363E3">
              <w:rPr>
                <w:rFonts w:ascii="Arial Narrow" w:hAnsi="Arial Narrow"/>
                <w:sz w:val="20"/>
                <w:szCs w:val="20"/>
              </w:rPr>
              <w:t xml:space="preserve"> ($)</w:t>
            </w:r>
          </w:p>
        </w:tc>
        <w:tc>
          <w:tcPr>
            <w:tcW w:w="956" w:type="dxa"/>
            <w:noWrap/>
            <w:tcMar>
              <w:left w:w="20" w:type="dxa"/>
              <w:right w:w="20" w:type="dxa"/>
            </w:tcMar>
            <w:vAlign w:val="center"/>
          </w:tcPr>
          <w:p w14:paraId="4EE76709" w14:textId="11997C21" w:rsidR="00C20FE3" w:rsidRPr="00B97A72" w:rsidRDefault="00D42DC9" w:rsidP="009402F2">
            <w:pPr>
              <w:keepNext/>
              <w:keepLines/>
              <w:jc w:val="center"/>
              <w:rPr>
                <w:rFonts w:ascii="Arial Narrow" w:hAnsi="Arial Narrow"/>
                <w:i/>
                <w:sz w:val="20"/>
                <w:szCs w:val="20"/>
                <w:vertAlign w:val="superscript"/>
              </w:rPr>
            </w:pPr>
            <w:r w:rsidRPr="00D42DC9">
              <w:rPr>
                <w:rFonts w:ascii="Arial Narrow" w:hAnsi="Arial Narrow" w:hint="eastAsia"/>
                <w:color w:val="000000"/>
                <w:w w:val="27"/>
                <w:sz w:val="20"/>
                <w:szCs w:val="20"/>
                <w:shd w:val="solid" w:color="000000" w:fill="000000"/>
                <w:fitText w:val="120" w:id="-1168360690"/>
                <w14:textFill>
                  <w14:solidFill>
                    <w14:srgbClr w14:val="000000">
                      <w14:alpha w14:val="100000"/>
                    </w14:srgbClr>
                  </w14:solidFill>
                </w14:textFill>
              </w:rPr>
              <w:t xml:space="preserve">　</w:t>
            </w:r>
            <w:r w:rsidRPr="00D42DC9">
              <w:rPr>
                <w:rFonts w:ascii="Arial Narrow" w:hAnsi="Arial Narrow"/>
                <w:color w:val="000000"/>
                <w:w w:val="27"/>
                <w:sz w:val="20"/>
                <w:szCs w:val="20"/>
                <w:shd w:val="solid" w:color="000000" w:fill="000000"/>
                <w:fitText w:val="120" w:id="-1168360690"/>
                <w14:textFill>
                  <w14:solidFill>
                    <w14:srgbClr w14:val="000000">
                      <w14:alpha w14:val="100000"/>
                    </w14:srgbClr>
                  </w14:solidFill>
                </w14:textFill>
              </w:rPr>
              <w:t>|</w:t>
            </w:r>
            <w:r w:rsidRPr="00D42DC9">
              <w:rPr>
                <w:rFonts w:ascii="Arial Narrow" w:hAnsi="Arial Narrow" w:hint="eastAsia"/>
                <w:color w:val="000000"/>
                <w:spacing w:val="2"/>
                <w:w w:val="27"/>
                <w:sz w:val="20"/>
                <w:szCs w:val="20"/>
                <w:shd w:val="solid" w:color="000000" w:fill="000000"/>
                <w:fitText w:val="120" w:id="-1168360690"/>
                <w14:textFill>
                  <w14:solidFill>
                    <w14:srgbClr w14:val="000000">
                      <w14:alpha w14:val="100000"/>
                    </w14:srgbClr>
                  </w14:solidFill>
                </w14:textFill>
              </w:rPr>
              <w:t xml:space="preserve">　</w:t>
            </w:r>
            <w:r w:rsidR="00B97A72">
              <w:rPr>
                <w:rFonts w:ascii="Arial Narrow" w:hAnsi="Arial Narrow"/>
                <w:sz w:val="20"/>
                <w:szCs w:val="20"/>
                <w:vertAlign w:val="superscript"/>
              </w:rPr>
              <w:t>1</w:t>
            </w:r>
          </w:p>
        </w:tc>
        <w:tc>
          <w:tcPr>
            <w:tcW w:w="1011" w:type="dxa"/>
            <w:noWrap/>
            <w:tcMar>
              <w:left w:w="20" w:type="dxa"/>
              <w:right w:w="20" w:type="dxa"/>
            </w:tcMar>
            <w:vAlign w:val="center"/>
          </w:tcPr>
          <w:p w14:paraId="1E68A0CF" w14:textId="0A729D2D" w:rsidR="00C20FE3" w:rsidRPr="00B97A72" w:rsidRDefault="00D42DC9" w:rsidP="009402F2">
            <w:pPr>
              <w:keepNext/>
              <w:keepLines/>
              <w:jc w:val="center"/>
              <w:rPr>
                <w:rFonts w:ascii="Arial Narrow" w:hAnsi="Arial Narrow"/>
                <w:i/>
                <w:sz w:val="20"/>
                <w:szCs w:val="20"/>
                <w:vertAlign w:val="superscript"/>
              </w:rPr>
            </w:pPr>
            <w:r w:rsidRPr="00D42DC9">
              <w:rPr>
                <w:rFonts w:ascii="Arial Narrow" w:hAnsi="Arial Narrow" w:hint="eastAsia"/>
                <w:color w:val="000000"/>
                <w:w w:val="20"/>
                <w:sz w:val="20"/>
                <w:szCs w:val="20"/>
                <w:shd w:val="solid" w:color="000000" w:fill="000000"/>
                <w:fitText w:val="90" w:id="-1168360689"/>
                <w14:textFill>
                  <w14:solidFill>
                    <w14:srgbClr w14:val="000000">
                      <w14:alpha w14:val="100000"/>
                    </w14:srgbClr>
                  </w14:solidFill>
                </w14:textFill>
              </w:rPr>
              <w:t xml:space="preserve">　</w:t>
            </w:r>
            <w:r w:rsidRPr="00D42DC9">
              <w:rPr>
                <w:rFonts w:ascii="Arial Narrow" w:hAnsi="Arial Narrow"/>
                <w:color w:val="000000"/>
                <w:w w:val="20"/>
                <w:sz w:val="20"/>
                <w:szCs w:val="20"/>
                <w:shd w:val="solid" w:color="000000" w:fill="000000"/>
                <w:fitText w:val="90" w:id="-1168360689"/>
                <w14:textFill>
                  <w14:solidFill>
                    <w14:srgbClr w14:val="000000">
                      <w14:alpha w14:val="100000"/>
                    </w14:srgbClr>
                  </w14:solidFill>
                </w14:textFill>
              </w:rPr>
              <w:t>|</w:t>
            </w:r>
            <w:r w:rsidRPr="00D42DC9">
              <w:rPr>
                <w:rFonts w:ascii="Arial Narrow" w:hAnsi="Arial Narrow" w:hint="eastAsia"/>
                <w:color w:val="000000"/>
                <w:spacing w:val="3"/>
                <w:w w:val="20"/>
                <w:sz w:val="20"/>
                <w:szCs w:val="20"/>
                <w:shd w:val="solid" w:color="000000" w:fill="000000"/>
                <w:fitText w:val="90" w:id="-1168360689"/>
                <w14:textFill>
                  <w14:solidFill>
                    <w14:srgbClr w14:val="000000">
                      <w14:alpha w14:val="100000"/>
                    </w14:srgbClr>
                  </w14:solidFill>
                </w14:textFill>
              </w:rPr>
              <w:t xml:space="preserve">　</w:t>
            </w:r>
            <w:r w:rsidR="00B97A72">
              <w:rPr>
                <w:rFonts w:ascii="Arial Narrow" w:hAnsi="Arial Narrow"/>
                <w:sz w:val="20"/>
                <w:szCs w:val="20"/>
                <w:vertAlign w:val="superscript"/>
              </w:rPr>
              <w:t>2</w:t>
            </w:r>
          </w:p>
        </w:tc>
        <w:tc>
          <w:tcPr>
            <w:tcW w:w="1010" w:type="dxa"/>
            <w:noWrap/>
            <w:tcMar>
              <w:left w:w="20" w:type="dxa"/>
              <w:right w:w="20" w:type="dxa"/>
            </w:tcMar>
            <w:vAlign w:val="center"/>
          </w:tcPr>
          <w:p w14:paraId="2EEDE530" w14:textId="133082C7" w:rsidR="00C20FE3" w:rsidRPr="00B97A72" w:rsidRDefault="00D42DC9" w:rsidP="009402F2">
            <w:pPr>
              <w:keepNext/>
              <w:keepLines/>
              <w:jc w:val="center"/>
              <w:rPr>
                <w:rFonts w:ascii="Arial Narrow" w:hAnsi="Arial Narrow"/>
                <w:i/>
                <w:sz w:val="20"/>
                <w:szCs w:val="20"/>
                <w:vertAlign w:val="superscript"/>
              </w:rPr>
            </w:pPr>
            <w:r w:rsidRPr="00D42DC9">
              <w:rPr>
                <w:rFonts w:ascii="Arial Narrow" w:hAnsi="Arial Narrow" w:hint="eastAsia"/>
                <w:color w:val="000000"/>
                <w:w w:val="20"/>
                <w:sz w:val="20"/>
                <w:szCs w:val="20"/>
                <w:shd w:val="solid" w:color="000000" w:fill="000000"/>
                <w:fitText w:val="90" w:id="-1168360688"/>
                <w14:textFill>
                  <w14:solidFill>
                    <w14:srgbClr w14:val="000000">
                      <w14:alpha w14:val="100000"/>
                    </w14:srgbClr>
                  </w14:solidFill>
                </w14:textFill>
              </w:rPr>
              <w:t xml:space="preserve">　</w:t>
            </w:r>
            <w:r w:rsidRPr="00D42DC9">
              <w:rPr>
                <w:rFonts w:ascii="Arial Narrow" w:hAnsi="Arial Narrow"/>
                <w:color w:val="000000"/>
                <w:w w:val="20"/>
                <w:sz w:val="20"/>
                <w:szCs w:val="20"/>
                <w:shd w:val="solid" w:color="000000" w:fill="000000"/>
                <w:fitText w:val="90" w:id="-1168360688"/>
                <w14:textFill>
                  <w14:solidFill>
                    <w14:srgbClr w14:val="000000">
                      <w14:alpha w14:val="100000"/>
                    </w14:srgbClr>
                  </w14:solidFill>
                </w14:textFill>
              </w:rPr>
              <w:t>|</w:t>
            </w:r>
            <w:r w:rsidRPr="00D42DC9">
              <w:rPr>
                <w:rFonts w:ascii="Arial Narrow" w:hAnsi="Arial Narrow" w:hint="eastAsia"/>
                <w:color w:val="000000"/>
                <w:spacing w:val="3"/>
                <w:w w:val="20"/>
                <w:sz w:val="20"/>
                <w:szCs w:val="20"/>
                <w:shd w:val="solid" w:color="000000" w:fill="000000"/>
                <w:fitText w:val="90" w:id="-1168360688"/>
                <w14:textFill>
                  <w14:solidFill>
                    <w14:srgbClr w14:val="000000">
                      <w14:alpha w14:val="100000"/>
                    </w14:srgbClr>
                  </w14:solidFill>
                </w14:textFill>
              </w:rPr>
              <w:t xml:space="preserve">　</w:t>
            </w:r>
            <w:r w:rsidR="00B97A72">
              <w:rPr>
                <w:rFonts w:ascii="Arial Narrow" w:hAnsi="Arial Narrow"/>
                <w:sz w:val="20"/>
                <w:szCs w:val="20"/>
                <w:vertAlign w:val="superscript"/>
              </w:rPr>
              <w:t>7</w:t>
            </w:r>
          </w:p>
        </w:tc>
        <w:tc>
          <w:tcPr>
            <w:tcW w:w="962" w:type="dxa"/>
            <w:noWrap/>
            <w:tcMar>
              <w:left w:w="20" w:type="dxa"/>
              <w:right w:w="20" w:type="dxa"/>
            </w:tcMar>
            <w:vAlign w:val="center"/>
          </w:tcPr>
          <w:p w14:paraId="777E40EB" w14:textId="057614CC" w:rsidR="00C20FE3" w:rsidRPr="00B97A72" w:rsidRDefault="00D42DC9" w:rsidP="009402F2">
            <w:pPr>
              <w:keepNext/>
              <w:keepLines/>
              <w:jc w:val="center"/>
              <w:rPr>
                <w:rFonts w:ascii="Arial Narrow" w:hAnsi="Arial Narrow"/>
                <w:i/>
                <w:sz w:val="20"/>
                <w:szCs w:val="20"/>
                <w:vertAlign w:val="superscript"/>
              </w:rPr>
            </w:pPr>
            <w:r w:rsidRPr="00D42DC9">
              <w:rPr>
                <w:rFonts w:ascii="Arial Narrow" w:hAnsi="Arial Narrow" w:hint="eastAsia"/>
                <w:color w:val="000000"/>
                <w:w w:val="27"/>
                <w:sz w:val="20"/>
                <w:szCs w:val="20"/>
                <w:shd w:val="solid" w:color="000000" w:fill="000000"/>
                <w:fitText w:val="120" w:id="-1168360704"/>
                <w14:textFill>
                  <w14:solidFill>
                    <w14:srgbClr w14:val="000000">
                      <w14:alpha w14:val="100000"/>
                    </w14:srgbClr>
                  </w14:solidFill>
                </w14:textFill>
              </w:rPr>
              <w:t xml:space="preserve">　</w:t>
            </w:r>
            <w:r w:rsidRPr="00D42DC9">
              <w:rPr>
                <w:rFonts w:ascii="Arial Narrow" w:hAnsi="Arial Narrow"/>
                <w:color w:val="000000"/>
                <w:w w:val="27"/>
                <w:sz w:val="20"/>
                <w:szCs w:val="20"/>
                <w:shd w:val="solid" w:color="000000" w:fill="000000"/>
                <w:fitText w:val="120" w:id="-1168360704"/>
                <w14:textFill>
                  <w14:solidFill>
                    <w14:srgbClr w14:val="000000">
                      <w14:alpha w14:val="100000"/>
                    </w14:srgbClr>
                  </w14:solidFill>
                </w14:textFill>
              </w:rPr>
              <w:t>|</w:t>
            </w:r>
            <w:r w:rsidRPr="00D42DC9">
              <w:rPr>
                <w:rFonts w:ascii="Arial Narrow" w:hAnsi="Arial Narrow" w:hint="eastAsia"/>
                <w:color w:val="000000"/>
                <w:spacing w:val="2"/>
                <w:w w:val="27"/>
                <w:sz w:val="20"/>
                <w:szCs w:val="20"/>
                <w:shd w:val="solid" w:color="000000" w:fill="000000"/>
                <w:fitText w:val="120" w:id="-1168360704"/>
                <w14:textFill>
                  <w14:solidFill>
                    <w14:srgbClr w14:val="000000">
                      <w14:alpha w14:val="100000"/>
                    </w14:srgbClr>
                  </w14:solidFill>
                </w14:textFill>
              </w:rPr>
              <w:t xml:space="preserve">　</w:t>
            </w:r>
            <w:r w:rsidR="00B97A72">
              <w:rPr>
                <w:rFonts w:ascii="Arial Narrow" w:hAnsi="Arial Narrow"/>
                <w:sz w:val="20"/>
                <w:szCs w:val="20"/>
                <w:vertAlign w:val="superscript"/>
              </w:rPr>
              <w:t>3</w:t>
            </w:r>
          </w:p>
        </w:tc>
        <w:tc>
          <w:tcPr>
            <w:tcW w:w="1023" w:type="dxa"/>
            <w:noWrap/>
            <w:tcMar>
              <w:left w:w="20" w:type="dxa"/>
              <w:right w:w="20" w:type="dxa"/>
            </w:tcMar>
            <w:vAlign w:val="center"/>
          </w:tcPr>
          <w:p w14:paraId="418D7972" w14:textId="5C149FE2" w:rsidR="00C20FE3" w:rsidRPr="00254E64" w:rsidRDefault="00D42DC9" w:rsidP="009402F2">
            <w:pPr>
              <w:keepNext/>
              <w:keepLines/>
              <w:jc w:val="center"/>
              <w:rPr>
                <w:rFonts w:ascii="Arial Narrow" w:hAnsi="Arial Narrow"/>
                <w:i/>
                <w:sz w:val="20"/>
                <w:szCs w:val="20"/>
                <w:vertAlign w:val="superscript"/>
              </w:rPr>
            </w:pPr>
            <w:r w:rsidRPr="00D42DC9">
              <w:rPr>
                <w:rFonts w:ascii="Arial Narrow" w:hAnsi="Arial Narrow" w:hint="eastAsia"/>
                <w:color w:val="000000"/>
                <w:w w:val="20"/>
                <w:sz w:val="20"/>
                <w:szCs w:val="20"/>
                <w:shd w:val="solid" w:color="000000" w:fill="000000"/>
                <w:fitText w:val="90" w:id="-1168360703"/>
                <w14:textFill>
                  <w14:solidFill>
                    <w14:srgbClr w14:val="000000">
                      <w14:alpha w14:val="100000"/>
                    </w14:srgbClr>
                  </w14:solidFill>
                </w14:textFill>
              </w:rPr>
              <w:t xml:space="preserve">　</w:t>
            </w:r>
            <w:r w:rsidRPr="00D42DC9">
              <w:rPr>
                <w:rFonts w:ascii="Arial Narrow" w:hAnsi="Arial Narrow"/>
                <w:color w:val="000000"/>
                <w:w w:val="20"/>
                <w:sz w:val="20"/>
                <w:szCs w:val="20"/>
                <w:shd w:val="solid" w:color="000000" w:fill="000000"/>
                <w:fitText w:val="90" w:id="-1168360703"/>
                <w14:textFill>
                  <w14:solidFill>
                    <w14:srgbClr w14:val="000000">
                      <w14:alpha w14:val="100000"/>
                    </w14:srgbClr>
                  </w14:solidFill>
                </w14:textFill>
              </w:rPr>
              <w:t>|</w:t>
            </w:r>
            <w:r w:rsidRPr="00D42DC9">
              <w:rPr>
                <w:rFonts w:ascii="Arial Narrow" w:hAnsi="Arial Narrow" w:hint="eastAsia"/>
                <w:color w:val="000000"/>
                <w:spacing w:val="3"/>
                <w:w w:val="20"/>
                <w:sz w:val="20"/>
                <w:szCs w:val="20"/>
                <w:shd w:val="solid" w:color="000000" w:fill="000000"/>
                <w:fitText w:val="90" w:id="-1168360703"/>
                <w14:textFill>
                  <w14:solidFill>
                    <w14:srgbClr w14:val="000000">
                      <w14:alpha w14:val="100000"/>
                    </w14:srgbClr>
                  </w14:solidFill>
                </w14:textFill>
              </w:rPr>
              <w:t xml:space="preserve">　</w:t>
            </w:r>
            <w:r w:rsidR="00254E64">
              <w:rPr>
                <w:rFonts w:ascii="Arial Narrow" w:hAnsi="Arial Narrow"/>
                <w:sz w:val="20"/>
                <w:szCs w:val="20"/>
                <w:vertAlign w:val="superscript"/>
              </w:rPr>
              <w:t>8</w:t>
            </w:r>
          </w:p>
        </w:tc>
        <w:tc>
          <w:tcPr>
            <w:tcW w:w="1134" w:type="dxa"/>
            <w:noWrap/>
            <w:tcMar>
              <w:left w:w="20" w:type="dxa"/>
              <w:right w:w="20" w:type="dxa"/>
            </w:tcMar>
            <w:vAlign w:val="center"/>
          </w:tcPr>
          <w:p w14:paraId="6B78F0D7" w14:textId="18CB2C08" w:rsidR="00C20FE3" w:rsidRPr="00254E64" w:rsidRDefault="00D42DC9" w:rsidP="009402F2">
            <w:pPr>
              <w:keepNext/>
              <w:keepLines/>
              <w:jc w:val="center"/>
              <w:rPr>
                <w:rFonts w:ascii="Arial Narrow" w:hAnsi="Arial Narrow"/>
                <w:i/>
                <w:sz w:val="20"/>
                <w:szCs w:val="20"/>
                <w:vertAlign w:val="superscript"/>
              </w:rPr>
            </w:pPr>
            <w:r w:rsidRPr="00D42DC9">
              <w:rPr>
                <w:rFonts w:ascii="Arial Narrow" w:hAnsi="Arial Narrow" w:hint="eastAsia"/>
                <w:color w:val="000000"/>
                <w:w w:val="15"/>
                <w:sz w:val="20"/>
                <w:szCs w:val="20"/>
                <w:shd w:val="solid" w:color="000000" w:fill="000000"/>
                <w:fitText w:val="30" w:id="-1168360702"/>
                <w14:textFill>
                  <w14:solidFill>
                    <w14:srgbClr w14:val="000000">
                      <w14:alpha w14:val="100000"/>
                    </w14:srgbClr>
                  </w14:solidFill>
                </w14:textFill>
              </w:rPr>
              <w:t xml:space="preserve">　</w:t>
            </w:r>
            <w:r w:rsidRPr="00D42DC9">
              <w:rPr>
                <w:rFonts w:ascii="Arial Narrow" w:hAnsi="Arial Narrow"/>
                <w:color w:val="000000"/>
                <w:w w:val="15"/>
                <w:sz w:val="20"/>
                <w:szCs w:val="20"/>
                <w:shd w:val="solid" w:color="000000" w:fill="000000"/>
                <w:fitText w:val="30" w:id="-1168360702"/>
                <w14:textFill>
                  <w14:solidFill>
                    <w14:srgbClr w14:val="000000">
                      <w14:alpha w14:val="100000"/>
                    </w14:srgbClr>
                  </w14:solidFill>
                </w14:textFill>
              </w:rPr>
              <w:t>|</w:t>
            </w:r>
            <w:r w:rsidRPr="00D42DC9">
              <w:rPr>
                <w:rFonts w:ascii="Arial Narrow" w:hAnsi="Arial Narrow" w:hint="eastAsia"/>
                <w:color w:val="000000"/>
                <w:spacing w:val="-35"/>
                <w:w w:val="15"/>
                <w:sz w:val="20"/>
                <w:szCs w:val="20"/>
                <w:shd w:val="solid" w:color="000000" w:fill="000000"/>
                <w:fitText w:val="30" w:id="-1168360702"/>
                <w14:textFill>
                  <w14:solidFill>
                    <w14:srgbClr w14:val="000000">
                      <w14:alpha w14:val="100000"/>
                    </w14:srgbClr>
                  </w14:solidFill>
                </w14:textFill>
              </w:rPr>
              <w:t xml:space="preserve">　</w:t>
            </w:r>
            <w:r w:rsidR="00254E64">
              <w:rPr>
                <w:rFonts w:ascii="Arial Narrow" w:hAnsi="Arial Narrow"/>
                <w:sz w:val="20"/>
                <w:szCs w:val="20"/>
                <w:vertAlign w:val="superscript"/>
              </w:rPr>
              <w:t>9</w:t>
            </w:r>
          </w:p>
        </w:tc>
        <w:tc>
          <w:tcPr>
            <w:tcW w:w="658" w:type="dxa"/>
            <w:noWrap/>
            <w:tcMar>
              <w:left w:w="20" w:type="dxa"/>
              <w:right w:w="20" w:type="dxa"/>
            </w:tcMar>
            <w:vAlign w:val="center"/>
          </w:tcPr>
          <w:p w14:paraId="19BC4D90" w14:textId="649A3E99" w:rsidR="00C20FE3" w:rsidRPr="001677F9" w:rsidRDefault="00C20FE3" w:rsidP="009402F2">
            <w:pPr>
              <w:keepNext/>
              <w:keepLines/>
              <w:jc w:val="center"/>
              <w:rPr>
                <w:rFonts w:ascii="Arial Narrow" w:hAnsi="Arial Narrow"/>
                <w:i/>
                <w:sz w:val="20"/>
                <w:szCs w:val="20"/>
              </w:rPr>
            </w:pPr>
            <w:r w:rsidRPr="001677F9">
              <w:rPr>
                <w:rFonts w:ascii="Arial Narrow" w:hAnsi="Arial Narrow"/>
                <w:sz w:val="20"/>
                <w:szCs w:val="20"/>
              </w:rPr>
              <w:t>-20%</w:t>
            </w:r>
          </w:p>
        </w:tc>
      </w:tr>
      <w:tr w:rsidR="0072088C" w:rsidRPr="001677F9" w14:paraId="2A86E885" w14:textId="77777777" w:rsidTr="0072088C">
        <w:trPr>
          <w:trHeight w:val="250"/>
        </w:trPr>
        <w:tc>
          <w:tcPr>
            <w:tcW w:w="2263" w:type="dxa"/>
            <w:noWrap/>
            <w:tcMar>
              <w:left w:w="20" w:type="dxa"/>
              <w:right w:w="20" w:type="dxa"/>
            </w:tcMar>
          </w:tcPr>
          <w:p w14:paraId="379E80F3" w14:textId="60326DDC" w:rsidR="00C20FE3" w:rsidRPr="001677F9" w:rsidRDefault="00C20FE3" w:rsidP="00C20FE3">
            <w:pPr>
              <w:keepNext/>
              <w:keepLines/>
              <w:jc w:val="left"/>
              <w:rPr>
                <w:rFonts w:ascii="Arial Narrow" w:hAnsi="Arial Narrow"/>
                <w:i/>
                <w:sz w:val="20"/>
                <w:szCs w:val="20"/>
              </w:rPr>
            </w:pPr>
            <w:r w:rsidRPr="001677F9">
              <w:rPr>
                <w:rFonts w:ascii="Arial Narrow" w:hAnsi="Arial Narrow"/>
                <w:sz w:val="20"/>
                <w:szCs w:val="20"/>
              </w:rPr>
              <w:t>Patients electing treatment (+20%)</w:t>
            </w:r>
            <w:r w:rsidR="00D363E3">
              <w:rPr>
                <w:rFonts w:ascii="Arial Narrow" w:hAnsi="Arial Narrow"/>
                <w:sz w:val="20"/>
                <w:szCs w:val="20"/>
              </w:rPr>
              <w:t xml:space="preserve"> ($)</w:t>
            </w:r>
          </w:p>
        </w:tc>
        <w:tc>
          <w:tcPr>
            <w:tcW w:w="956" w:type="dxa"/>
            <w:noWrap/>
            <w:tcMar>
              <w:left w:w="20" w:type="dxa"/>
              <w:right w:w="20" w:type="dxa"/>
            </w:tcMar>
            <w:vAlign w:val="center"/>
          </w:tcPr>
          <w:p w14:paraId="56C5C8E9" w14:textId="1647B39C" w:rsidR="00C20FE3" w:rsidRPr="00064975" w:rsidRDefault="00D42DC9" w:rsidP="009402F2">
            <w:pPr>
              <w:keepNext/>
              <w:keepLines/>
              <w:jc w:val="center"/>
              <w:rPr>
                <w:rFonts w:ascii="Arial Narrow" w:hAnsi="Arial Narrow"/>
                <w:i/>
                <w:sz w:val="20"/>
                <w:szCs w:val="20"/>
                <w:vertAlign w:val="superscript"/>
              </w:rPr>
            </w:pPr>
            <w:r w:rsidRPr="00D42DC9">
              <w:rPr>
                <w:rFonts w:ascii="Arial Narrow" w:hAnsi="Arial Narrow" w:hint="eastAsia"/>
                <w:color w:val="000000"/>
                <w:w w:val="27"/>
                <w:sz w:val="20"/>
                <w:szCs w:val="20"/>
                <w:shd w:val="solid" w:color="000000" w:fill="000000"/>
                <w:fitText w:val="120" w:id="-1168360701"/>
                <w14:textFill>
                  <w14:solidFill>
                    <w14:srgbClr w14:val="000000">
                      <w14:alpha w14:val="100000"/>
                    </w14:srgbClr>
                  </w14:solidFill>
                </w14:textFill>
              </w:rPr>
              <w:t xml:space="preserve">　</w:t>
            </w:r>
            <w:r w:rsidRPr="00D42DC9">
              <w:rPr>
                <w:rFonts w:ascii="Arial Narrow" w:hAnsi="Arial Narrow"/>
                <w:color w:val="000000"/>
                <w:w w:val="27"/>
                <w:sz w:val="20"/>
                <w:szCs w:val="20"/>
                <w:shd w:val="solid" w:color="000000" w:fill="000000"/>
                <w:fitText w:val="120" w:id="-1168360701"/>
                <w14:textFill>
                  <w14:solidFill>
                    <w14:srgbClr w14:val="000000">
                      <w14:alpha w14:val="100000"/>
                    </w14:srgbClr>
                  </w14:solidFill>
                </w14:textFill>
              </w:rPr>
              <w:t>|</w:t>
            </w:r>
            <w:r w:rsidRPr="00D42DC9">
              <w:rPr>
                <w:rFonts w:ascii="Arial Narrow" w:hAnsi="Arial Narrow" w:hint="eastAsia"/>
                <w:color w:val="000000"/>
                <w:spacing w:val="2"/>
                <w:w w:val="27"/>
                <w:sz w:val="20"/>
                <w:szCs w:val="20"/>
                <w:shd w:val="solid" w:color="000000" w:fill="000000"/>
                <w:fitText w:val="120" w:id="-1168360701"/>
                <w14:textFill>
                  <w14:solidFill>
                    <w14:srgbClr w14:val="000000">
                      <w14:alpha w14:val="100000"/>
                    </w14:srgbClr>
                  </w14:solidFill>
                </w14:textFill>
              </w:rPr>
              <w:t xml:space="preserve">　</w:t>
            </w:r>
            <w:r w:rsidR="00064975">
              <w:rPr>
                <w:rFonts w:ascii="Arial Narrow" w:hAnsi="Arial Narrow"/>
                <w:sz w:val="20"/>
                <w:szCs w:val="20"/>
                <w:vertAlign w:val="superscript"/>
              </w:rPr>
              <w:t>1</w:t>
            </w:r>
          </w:p>
        </w:tc>
        <w:tc>
          <w:tcPr>
            <w:tcW w:w="1011" w:type="dxa"/>
            <w:noWrap/>
            <w:tcMar>
              <w:left w:w="20" w:type="dxa"/>
              <w:right w:w="20" w:type="dxa"/>
            </w:tcMar>
            <w:vAlign w:val="center"/>
          </w:tcPr>
          <w:p w14:paraId="7CB97C4A" w14:textId="275717AD" w:rsidR="00C20FE3" w:rsidRPr="00064975" w:rsidRDefault="00D42DC9" w:rsidP="009402F2">
            <w:pPr>
              <w:keepNext/>
              <w:keepLines/>
              <w:jc w:val="center"/>
              <w:rPr>
                <w:rFonts w:ascii="Arial Narrow" w:hAnsi="Arial Narrow"/>
                <w:i/>
                <w:sz w:val="20"/>
                <w:szCs w:val="20"/>
                <w:vertAlign w:val="superscript"/>
              </w:rPr>
            </w:pPr>
            <w:r w:rsidRPr="00D42DC9">
              <w:rPr>
                <w:rFonts w:ascii="Arial Narrow" w:hAnsi="Arial Narrow" w:hint="eastAsia"/>
                <w:color w:val="000000"/>
                <w:w w:val="20"/>
                <w:sz w:val="20"/>
                <w:szCs w:val="20"/>
                <w:shd w:val="solid" w:color="000000" w:fill="000000"/>
                <w:fitText w:val="90" w:id="-1168359424"/>
                <w14:textFill>
                  <w14:solidFill>
                    <w14:srgbClr w14:val="000000">
                      <w14:alpha w14:val="100000"/>
                    </w14:srgbClr>
                  </w14:solidFill>
                </w14:textFill>
              </w:rPr>
              <w:t xml:space="preserve">　</w:t>
            </w:r>
            <w:r w:rsidRPr="00D42DC9">
              <w:rPr>
                <w:rFonts w:ascii="Arial Narrow" w:hAnsi="Arial Narrow"/>
                <w:color w:val="000000"/>
                <w:w w:val="20"/>
                <w:sz w:val="20"/>
                <w:szCs w:val="20"/>
                <w:shd w:val="solid" w:color="000000" w:fill="000000"/>
                <w:fitText w:val="90" w:id="-1168359424"/>
                <w14:textFill>
                  <w14:solidFill>
                    <w14:srgbClr w14:val="000000">
                      <w14:alpha w14:val="100000"/>
                    </w14:srgbClr>
                  </w14:solidFill>
                </w14:textFill>
              </w:rPr>
              <w:t>|</w:t>
            </w:r>
            <w:r w:rsidRPr="00D42DC9">
              <w:rPr>
                <w:rFonts w:ascii="Arial Narrow" w:hAnsi="Arial Narrow" w:hint="eastAsia"/>
                <w:color w:val="000000"/>
                <w:spacing w:val="3"/>
                <w:w w:val="20"/>
                <w:sz w:val="20"/>
                <w:szCs w:val="20"/>
                <w:shd w:val="solid" w:color="000000" w:fill="000000"/>
                <w:fitText w:val="90" w:id="-1168359424"/>
                <w14:textFill>
                  <w14:solidFill>
                    <w14:srgbClr w14:val="000000">
                      <w14:alpha w14:val="100000"/>
                    </w14:srgbClr>
                  </w14:solidFill>
                </w14:textFill>
              </w:rPr>
              <w:t xml:space="preserve">　</w:t>
            </w:r>
            <w:r w:rsidR="00064975">
              <w:rPr>
                <w:rFonts w:ascii="Arial Narrow" w:hAnsi="Arial Narrow"/>
                <w:sz w:val="20"/>
                <w:szCs w:val="20"/>
                <w:vertAlign w:val="superscript"/>
              </w:rPr>
              <w:t>7</w:t>
            </w:r>
          </w:p>
        </w:tc>
        <w:tc>
          <w:tcPr>
            <w:tcW w:w="1010" w:type="dxa"/>
            <w:noWrap/>
            <w:tcMar>
              <w:left w:w="20" w:type="dxa"/>
              <w:right w:w="20" w:type="dxa"/>
            </w:tcMar>
            <w:vAlign w:val="center"/>
          </w:tcPr>
          <w:p w14:paraId="72E2276E" w14:textId="598ECD31" w:rsidR="00C20FE3" w:rsidRPr="00064975" w:rsidRDefault="00D42DC9" w:rsidP="009402F2">
            <w:pPr>
              <w:keepNext/>
              <w:keepLines/>
              <w:jc w:val="center"/>
              <w:rPr>
                <w:rFonts w:ascii="Arial Narrow" w:hAnsi="Arial Narrow"/>
                <w:i/>
                <w:sz w:val="20"/>
                <w:szCs w:val="20"/>
                <w:vertAlign w:val="superscript"/>
              </w:rPr>
            </w:pPr>
            <w:r w:rsidRPr="00D42DC9">
              <w:rPr>
                <w:rFonts w:ascii="Arial Narrow" w:hAnsi="Arial Narrow" w:hint="eastAsia"/>
                <w:color w:val="000000"/>
                <w:w w:val="20"/>
                <w:sz w:val="20"/>
                <w:szCs w:val="20"/>
                <w:shd w:val="solid" w:color="000000" w:fill="000000"/>
                <w:fitText w:val="90" w:id="-1168359423"/>
                <w14:textFill>
                  <w14:solidFill>
                    <w14:srgbClr w14:val="000000">
                      <w14:alpha w14:val="100000"/>
                    </w14:srgbClr>
                  </w14:solidFill>
                </w14:textFill>
              </w:rPr>
              <w:t xml:space="preserve">　</w:t>
            </w:r>
            <w:r w:rsidRPr="00D42DC9">
              <w:rPr>
                <w:rFonts w:ascii="Arial Narrow" w:hAnsi="Arial Narrow"/>
                <w:color w:val="000000"/>
                <w:w w:val="20"/>
                <w:sz w:val="20"/>
                <w:szCs w:val="20"/>
                <w:shd w:val="solid" w:color="000000" w:fill="000000"/>
                <w:fitText w:val="90" w:id="-1168359423"/>
                <w14:textFill>
                  <w14:solidFill>
                    <w14:srgbClr w14:val="000000">
                      <w14:alpha w14:val="100000"/>
                    </w14:srgbClr>
                  </w14:solidFill>
                </w14:textFill>
              </w:rPr>
              <w:t>|</w:t>
            </w:r>
            <w:r w:rsidRPr="00D42DC9">
              <w:rPr>
                <w:rFonts w:ascii="Arial Narrow" w:hAnsi="Arial Narrow" w:hint="eastAsia"/>
                <w:color w:val="000000"/>
                <w:spacing w:val="3"/>
                <w:w w:val="20"/>
                <w:sz w:val="20"/>
                <w:szCs w:val="20"/>
                <w:shd w:val="solid" w:color="000000" w:fill="000000"/>
                <w:fitText w:val="90" w:id="-1168359423"/>
                <w14:textFill>
                  <w14:solidFill>
                    <w14:srgbClr w14:val="000000">
                      <w14:alpha w14:val="100000"/>
                    </w14:srgbClr>
                  </w14:solidFill>
                </w14:textFill>
              </w:rPr>
              <w:t xml:space="preserve">　</w:t>
            </w:r>
            <w:r w:rsidR="00064975">
              <w:rPr>
                <w:rFonts w:ascii="Arial Narrow" w:hAnsi="Arial Narrow"/>
                <w:sz w:val="20"/>
                <w:szCs w:val="20"/>
                <w:vertAlign w:val="superscript"/>
              </w:rPr>
              <w:t>3</w:t>
            </w:r>
          </w:p>
        </w:tc>
        <w:tc>
          <w:tcPr>
            <w:tcW w:w="962" w:type="dxa"/>
            <w:noWrap/>
            <w:tcMar>
              <w:left w:w="20" w:type="dxa"/>
              <w:right w:w="20" w:type="dxa"/>
            </w:tcMar>
            <w:vAlign w:val="center"/>
          </w:tcPr>
          <w:p w14:paraId="690F8D3C" w14:textId="33EA64B4" w:rsidR="00C20FE3" w:rsidRPr="00064975" w:rsidRDefault="00D42DC9" w:rsidP="009402F2">
            <w:pPr>
              <w:keepNext/>
              <w:keepLines/>
              <w:jc w:val="center"/>
              <w:rPr>
                <w:rFonts w:ascii="Arial Narrow" w:hAnsi="Arial Narrow"/>
                <w:i/>
                <w:sz w:val="20"/>
                <w:szCs w:val="20"/>
                <w:vertAlign w:val="superscript"/>
              </w:rPr>
            </w:pPr>
            <w:r w:rsidRPr="00D42DC9">
              <w:rPr>
                <w:rFonts w:ascii="Arial Narrow" w:hAnsi="Arial Narrow" w:hint="eastAsia"/>
                <w:color w:val="000000"/>
                <w:w w:val="27"/>
                <w:sz w:val="20"/>
                <w:szCs w:val="20"/>
                <w:shd w:val="solid" w:color="000000" w:fill="000000"/>
                <w:fitText w:val="120" w:id="-1168359422"/>
                <w14:textFill>
                  <w14:solidFill>
                    <w14:srgbClr w14:val="000000">
                      <w14:alpha w14:val="100000"/>
                    </w14:srgbClr>
                  </w14:solidFill>
                </w14:textFill>
              </w:rPr>
              <w:t xml:space="preserve">　</w:t>
            </w:r>
            <w:r w:rsidRPr="00D42DC9">
              <w:rPr>
                <w:rFonts w:ascii="Arial Narrow" w:hAnsi="Arial Narrow"/>
                <w:color w:val="000000"/>
                <w:w w:val="27"/>
                <w:sz w:val="20"/>
                <w:szCs w:val="20"/>
                <w:shd w:val="solid" w:color="000000" w:fill="000000"/>
                <w:fitText w:val="120" w:id="-1168359422"/>
                <w14:textFill>
                  <w14:solidFill>
                    <w14:srgbClr w14:val="000000">
                      <w14:alpha w14:val="100000"/>
                    </w14:srgbClr>
                  </w14:solidFill>
                </w14:textFill>
              </w:rPr>
              <w:t>|</w:t>
            </w:r>
            <w:r w:rsidRPr="00D42DC9">
              <w:rPr>
                <w:rFonts w:ascii="Arial Narrow" w:hAnsi="Arial Narrow" w:hint="eastAsia"/>
                <w:color w:val="000000"/>
                <w:spacing w:val="2"/>
                <w:w w:val="27"/>
                <w:sz w:val="20"/>
                <w:szCs w:val="20"/>
                <w:shd w:val="solid" w:color="000000" w:fill="000000"/>
                <w:fitText w:val="120" w:id="-1168359422"/>
                <w14:textFill>
                  <w14:solidFill>
                    <w14:srgbClr w14:val="000000">
                      <w14:alpha w14:val="100000"/>
                    </w14:srgbClr>
                  </w14:solidFill>
                </w14:textFill>
              </w:rPr>
              <w:t xml:space="preserve">　</w:t>
            </w:r>
            <w:r w:rsidR="00064975">
              <w:rPr>
                <w:rFonts w:ascii="Arial Narrow" w:hAnsi="Arial Narrow"/>
                <w:sz w:val="20"/>
                <w:szCs w:val="20"/>
                <w:vertAlign w:val="superscript"/>
              </w:rPr>
              <w:t>8</w:t>
            </w:r>
          </w:p>
        </w:tc>
        <w:tc>
          <w:tcPr>
            <w:tcW w:w="1023" w:type="dxa"/>
            <w:noWrap/>
            <w:tcMar>
              <w:left w:w="20" w:type="dxa"/>
              <w:right w:w="20" w:type="dxa"/>
            </w:tcMar>
            <w:vAlign w:val="center"/>
          </w:tcPr>
          <w:p w14:paraId="14AA34C1" w14:textId="4924B72B" w:rsidR="00C20FE3" w:rsidRPr="00064975" w:rsidRDefault="00D42DC9" w:rsidP="009402F2">
            <w:pPr>
              <w:keepNext/>
              <w:keepLines/>
              <w:jc w:val="center"/>
              <w:rPr>
                <w:rFonts w:ascii="Arial Narrow" w:hAnsi="Arial Narrow"/>
                <w:i/>
                <w:sz w:val="20"/>
                <w:szCs w:val="20"/>
                <w:vertAlign w:val="superscript"/>
              </w:rPr>
            </w:pPr>
            <w:r w:rsidRPr="00D42DC9">
              <w:rPr>
                <w:rFonts w:ascii="Arial Narrow" w:hAnsi="Arial Narrow" w:hint="eastAsia"/>
                <w:color w:val="000000"/>
                <w:w w:val="23"/>
                <w:sz w:val="20"/>
                <w:szCs w:val="20"/>
                <w:shd w:val="solid" w:color="000000" w:fill="000000"/>
                <w:fitText w:val="105" w:id="-1168359421"/>
                <w14:textFill>
                  <w14:solidFill>
                    <w14:srgbClr w14:val="000000">
                      <w14:alpha w14:val="100000"/>
                    </w14:srgbClr>
                  </w14:solidFill>
                </w14:textFill>
              </w:rPr>
              <w:t xml:space="preserve">　</w:t>
            </w:r>
            <w:r w:rsidRPr="00D42DC9">
              <w:rPr>
                <w:rFonts w:ascii="Arial Narrow" w:hAnsi="Arial Narrow"/>
                <w:color w:val="000000"/>
                <w:w w:val="23"/>
                <w:sz w:val="20"/>
                <w:szCs w:val="20"/>
                <w:shd w:val="solid" w:color="000000" w:fill="000000"/>
                <w:fitText w:val="105" w:id="-1168359421"/>
                <w14:textFill>
                  <w14:solidFill>
                    <w14:srgbClr w14:val="000000">
                      <w14:alpha w14:val="100000"/>
                    </w14:srgbClr>
                  </w14:solidFill>
                </w14:textFill>
              </w:rPr>
              <w:t>|</w:t>
            </w:r>
            <w:r w:rsidRPr="00D42DC9">
              <w:rPr>
                <w:rFonts w:ascii="Arial Narrow" w:hAnsi="Arial Narrow" w:hint="eastAsia"/>
                <w:color w:val="000000"/>
                <w:spacing w:val="4"/>
                <w:w w:val="23"/>
                <w:sz w:val="20"/>
                <w:szCs w:val="20"/>
                <w:shd w:val="solid" w:color="000000" w:fill="000000"/>
                <w:fitText w:val="105" w:id="-1168359421"/>
                <w14:textFill>
                  <w14:solidFill>
                    <w14:srgbClr w14:val="000000">
                      <w14:alpha w14:val="100000"/>
                    </w14:srgbClr>
                  </w14:solidFill>
                </w14:textFill>
              </w:rPr>
              <w:t xml:space="preserve">　</w:t>
            </w:r>
            <w:r w:rsidR="00064975">
              <w:rPr>
                <w:rFonts w:ascii="Arial Narrow" w:hAnsi="Arial Narrow"/>
                <w:sz w:val="20"/>
                <w:szCs w:val="20"/>
                <w:vertAlign w:val="superscript"/>
              </w:rPr>
              <w:t>10</w:t>
            </w:r>
          </w:p>
        </w:tc>
        <w:tc>
          <w:tcPr>
            <w:tcW w:w="1134" w:type="dxa"/>
            <w:noWrap/>
            <w:tcMar>
              <w:left w:w="20" w:type="dxa"/>
              <w:right w:w="20" w:type="dxa"/>
            </w:tcMar>
            <w:vAlign w:val="center"/>
          </w:tcPr>
          <w:p w14:paraId="60B6908D" w14:textId="2F61DA3E" w:rsidR="00C20FE3" w:rsidRPr="00064975" w:rsidRDefault="00D42DC9" w:rsidP="009402F2">
            <w:pPr>
              <w:keepNext/>
              <w:keepLines/>
              <w:jc w:val="center"/>
              <w:rPr>
                <w:rFonts w:ascii="Arial Narrow" w:hAnsi="Arial Narrow"/>
                <w:i/>
                <w:sz w:val="20"/>
                <w:szCs w:val="20"/>
                <w:vertAlign w:val="superscript"/>
              </w:rPr>
            </w:pPr>
            <w:r w:rsidRPr="00D42DC9">
              <w:rPr>
                <w:rFonts w:ascii="Arial Narrow" w:hAnsi="Arial Narrow" w:hint="eastAsia"/>
                <w:color w:val="000000"/>
                <w:w w:val="15"/>
                <w:sz w:val="20"/>
                <w:szCs w:val="20"/>
                <w:shd w:val="solid" w:color="000000" w:fill="000000"/>
                <w:fitText w:val="60" w:id="-1168359420"/>
                <w14:textFill>
                  <w14:solidFill>
                    <w14:srgbClr w14:val="000000">
                      <w14:alpha w14:val="100000"/>
                    </w14:srgbClr>
                  </w14:solidFill>
                </w14:textFill>
              </w:rPr>
              <w:t xml:space="preserve">　</w:t>
            </w:r>
            <w:r w:rsidRPr="00D42DC9">
              <w:rPr>
                <w:rFonts w:ascii="Arial Narrow" w:hAnsi="Arial Narrow"/>
                <w:color w:val="000000"/>
                <w:w w:val="15"/>
                <w:sz w:val="20"/>
                <w:szCs w:val="20"/>
                <w:shd w:val="solid" w:color="000000" w:fill="000000"/>
                <w:fitText w:val="60" w:id="-1168359420"/>
                <w14:textFill>
                  <w14:solidFill>
                    <w14:srgbClr w14:val="000000">
                      <w14:alpha w14:val="100000"/>
                    </w14:srgbClr>
                  </w14:solidFill>
                </w14:textFill>
              </w:rPr>
              <w:t>|</w:t>
            </w:r>
            <w:r w:rsidRPr="00D42DC9">
              <w:rPr>
                <w:rFonts w:ascii="Arial Narrow" w:hAnsi="Arial Narrow" w:hint="eastAsia"/>
                <w:color w:val="000000"/>
                <w:spacing w:val="-5"/>
                <w:w w:val="15"/>
                <w:sz w:val="20"/>
                <w:szCs w:val="20"/>
                <w:shd w:val="solid" w:color="000000" w:fill="000000"/>
                <w:fitText w:val="60" w:id="-1168359420"/>
                <w14:textFill>
                  <w14:solidFill>
                    <w14:srgbClr w14:val="000000">
                      <w14:alpha w14:val="100000"/>
                    </w14:srgbClr>
                  </w14:solidFill>
                </w14:textFill>
              </w:rPr>
              <w:t xml:space="preserve">　</w:t>
            </w:r>
            <w:r w:rsidR="00064975">
              <w:rPr>
                <w:rFonts w:ascii="Arial Narrow" w:hAnsi="Arial Narrow"/>
                <w:sz w:val="20"/>
                <w:szCs w:val="20"/>
                <w:vertAlign w:val="superscript"/>
              </w:rPr>
              <w:t>11</w:t>
            </w:r>
          </w:p>
        </w:tc>
        <w:tc>
          <w:tcPr>
            <w:tcW w:w="658" w:type="dxa"/>
            <w:noWrap/>
            <w:tcMar>
              <w:left w:w="20" w:type="dxa"/>
              <w:right w:w="20" w:type="dxa"/>
            </w:tcMar>
            <w:vAlign w:val="center"/>
          </w:tcPr>
          <w:p w14:paraId="56D45327" w14:textId="4D48A032" w:rsidR="00C20FE3" w:rsidRPr="001677F9" w:rsidRDefault="00C20FE3" w:rsidP="009402F2">
            <w:pPr>
              <w:keepNext/>
              <w:keepLines/>
              <w:jc w:val="center"/>
              <w:rPr>
                <w:rFonts w:ascii="Arial Narrow" w:hAnsi="Arial Narrow"/>
                <w:i/>
                <w:sz w:val="20"/>
                <w:szCs w:val="20"/>
              </w:rPr>
            </w:pPr>
            <w:r w:rsidRPr="001677F9">
              <w:rPr>
                <w:rFonts w:ascii="Arial Narrow" w:hAnsi="Arial Narrow"/>
                <w:sz w:val="20"/>
                <w:szCs w:val="20"/>
              </w:rPr>
              <w:t>20%</w:t>
            </w:r>
          </w:p>
        </w:tc>
      </w:tr>
      <w:tr w:rsidR="0072088C" w:rsidRPr="001677F9" w14:paraId="355B33E0" w14:textId="77777777" w:rsidTr="0072088C">
        <w:trPr>
          <w:trHeight w:val="250"/>
        </w:trPr>
        <w:tc>
          <w:tcPr>
            <w:tcW w:w="2263" w:type="dxa"/>
            <w:noWrap/>
            <w:tcMar>
              <w:left w:w="20" w:type="dxa"/>
              <w:right w:w="20" w:type="dxa"/>
            </w:tcMar>
          </w:tcPr>
          <w:p w14:paraId="14BB9B41" w14:textId="7A7F92F8" w:rsidR="00980351" w:rsidRPr="001677F9" w:rsidRDefault="00980351" w:rsidP="00AD1DC3">
            <w:pPr>
              <w:pStyle w:val="TableText0"/>
              <w:rPr>
                <w:szCs w:val="20"/>
              </w:rPr>
            </w:pPr>
            <w:r w:rsidRPr="001677F9">
              <w:rPr>
                <w:szCs w:val="20"/>
              </w:rPr>
              <w:t>HF patients with LVEF &gt;40% (55%), midpoint between the published Australian estimates</w:t>
            </w:r>
            <w:r w:rsidR="00B1637B">
              <w:rPr>
                <w:szCs w:val="20"/>
              </w:rPr>
              <w:t xml:space="preserve"> ($)</w:t>
            </w:r>
          </w:p>
        </w:tc>
        <w:tc>
          <w:tcPr>
            <w:tcW w:w="956" w:type="dxa"/>
            <w:noWrap/>
            <w:tcMar>
              <w:left w:w="20" w:type="dxa"/>
              <w:right w:w="20" w:type="dxa"/>
            </w:tcMar>
            <w:vAlign w:val="center"/>
          </w:tcPr>
          <w:p w14:paraId="7C3FB97E" w14:textId="71D4507D" w:rsidR="00980351" w:rsidRPr="00B83DBA" w:rsidRDefault="00D42DC9" w:rsidP="009402F2">
            <w:pPr>
              <w:pStyle w:val="TableText0"/>
              <w:jc w:val="center"/>
              <w:rPr>
                <w:szCs w:val="20"/>
                <w:highlight w:val="lightGray"/>
                <w:vertAlign w:val="superscript"/>
              </w:rPr>
            </w:pPr>
            <w:r w:rsidRPr="00D42DC9">
              <w:rPr>
                <w:rFonts w:hint="eastAsia"/>
                <w:color w:val="000000"/>
                <w:w w:val="27"/>
                <w:szCs w:val="20"/>
                <w:shd w:val="solid" w:color="000000" w:fill="000000"/>
                <w:fitText w:val="120" w:id="-1168359419"/>
                <w14:textFill>
                  <w14:solidFill>
                    <w14:srgbClr w14:val="000000">
                      <w14:alpha w14:val="100000"/>
                    </w14:srgbClr>
                  </w14:solidFill>
                </w14:textFill>
              </w:rPr>
              <w:t xml:space="preserve">　</w:t>
            </w:r>
            <w:r w:rsidRPr="00D42DC9">
              <w:rPr>
                <w:color w:val="000000"/>
                <w:w w:val="27"/>
                <w:szCs w:val="20"/>
                <w:shd w:val="solid" w:color="000000" w:fill="000000"/>
                <w:fitText w:val="120" w:id="-1168359419"/>
                <w14:textFill>
                  <w14:solidFill>
                    <w14:srgbClr w14:val="000000">
                      <w14:alpha w14:val="100000"/>
                    </w14:srgbClr>
                  </w14:solidFill>
                </w14:textFill>
              </w:rPr>
              <w:t>|</w:t>
            </w:r>
            <w:r w:rsidRPr="00D42DC9">
              <w:rPr>
                <w:rFonts w:hint="eastAsia"/>
                <w:color w:val="000000"/>
                <w:spacing w:val="2"/>
                <w:w w:val="27"/>
                <w:szCs w:val="20"/>
                <w:shd w:val="solid" w:color="000000" w:fill="000000"/>
                <w:fitText w:val="120" w:id="-1168359419"/>
                <w14:textFill>
                  <w14:solidFill>
                    <w14:srgbClr w14:val="000000">
                      <w14:alpha w14:val="100000"/>
                    </w14:srgbClr>
                  </w14:solidFill>
                </w14:textFill>
              </w:rPr>
              <w:t xml:space="preserve">　</w:t>
            </w:r>
            <w:r w:rsidR="00B83DBA" w:rsidRPr="00B83DBA">
              <w:rPr>
                <w:szCs w:val="20"/>
                <w:vertAlign w:val="superscript"/>
              </w:rPr>
              <w:t>2</w:t>
            </w:r>
          </w:p>
        </w:tc>
        <w:tc>
          <w:tcPr>
            <w:tcW w:w="1011" w:type="dxa"/>
            <w:noWrap/>
            <w:tcMar>
              <w:left w:w="20" w:type="dxa"/>
              <w:right w:w="20" w:type="dxa"/>
            </w:tcMar>
            <w:vAlign w:val="center"/>
          </w:tcPr>
          <w:p w14:paraId="33BC0F69" w14:textId="3350C469" w:rsidR="00980351" w:rsidRPr="001677F9" w:rsidRDefault="00D42DC9" w:rsidP="009402F2">
            <w:pPr>
              <w:pStyle w:val="TableText0"/>
              <w:jc w:val="center"/>
              <w:rPr>
                <w:szCs w:val="20"/>
              </w:rPr>
            </w:pPr>
            <w:r w:rsidRPr="00D42DC9">
              <w:rPr>
                <w:rFonts w:hint="eastAsia"/>
                <w:color w:val="000000"/>
                <w:w w:val="20"/>
                <w:szCs w:val="20"/>
                <w:shd w:val="solid" w:color="000000" w:fill="000000"/>
                <w:fitText w:val="90" w:id="-1168359418"/>
                <w14:textFill>
                  <w14:solidFill>
                    <w14:srgbClr w14:val="000000">
                      <w14:alpha w14:val="100000"/>
                    </w14:srgbClr>
                  </w14:solidFill>
                </w14:textFill>
              </w:rPr>
              <w:t xml:space="preserve">　</w:t>
            </w:r>
            <w:r w:rsidRPr="00D42DC9">
              <w:rPr>
                <w:color w:val="000000"/>
                <w:w w:val="20"/>
                <w:szCs w:val="20"/>
                <w:shd w:val="solid" w:color="000000" w:fill="000000"/>
                <w:fitText w:val="90" w:id="-1168359418"/>
                <w14:textFill>
                  <w14:solidFill>
                    <w14:srgbClr w14:val="000000">
                      <w14:alpha w14:val="100000"/>
                    </w14:srgbClr>
                  </w14:solidFill>
                </w14:textFill>
              </w:rPr>
              <w:t>|</w:t>
            </w:r>
            <w:r w:rsidRPr="00D42DC9">
              <w:rPr>
                <w:rFonts w:hint="eastAsia"/>
                <w:color w:val="000000"/>
                <w:spacing w:val="3"/>
                <w:w w:val="20"/>
                <w:szCs w:val="20"/>
                <w:shd w:val="solid" w:color="000000" w:fill="000000"/>
                <w:fitText w:val="90" w:id="-1168359418"/>
                <w14:textFill>
                  <w14:solidFill>
                    <w14:srgbClr w14:val="000000">
                      <w14:alpha w14:val="100000"/>
                    </w14:srgbClr>
                  </w14:solidFill>
                </w14:textFill>
              </w:rPr>
              <w:t xml:space="preserve">　</w:t>
            </w:r>
            <w:r w:rsidR="00B83DBA" w:rsidRPr="00B83DBA">
              <w:rPr>
                <w:szCs w:val="20"/>
                <w:vertAlign w:val="superscript"/>
              </w:rPr>
              <w:t>7</w:t>
            </w:r>
          </w:p>
        </w:tc>
        <w:tc>
          <w:tcPr>
            <w:tcW w:w="1010" w:type="dxa"/>
            <w:noWrap/>
            <w:tcMar>
              <w:left w:w="20" w:type="dxa"/>
              <w:right w:w="20" w:type="dxa"/>
            </w:tcMar>
            <w:vAlign w:val="center"/>
          </w:tcPr>
          <w:p w14:paraId="50A7F3B4" w14:textId="73561B08" w:rsidR="00980351" w:rsidRPr="00B83DBA" w:rsidRDefault="00D42DC9" w:rsidP="009402F2">
            <w:pPr>
              <w:pStyle w:val="TableText0"/>
              <w:jc w:val="center"/>
              <w:rPr>
                <w:szCs w:val="20"/>
                <w:vertAlign w:val="superscript"/>
              </w:rPr>
            </w:pPr>
            <w:r w:rsidRPr="00D42DC9">
              <w:rPr>
                <w:rFonts w:hint="eastAsia"/>
                <w:color w:val="000000"/>
                <w:w w:val="20"/>
                <w:szCs w:val="20"/>
                <w:shd w:val="solid" w:color="000000" w:fill="000000"/>
                <w:fitText w:val="90" w:id="-1168359417"/>
                <w14:textFill>
                  <w14:solidFill>
                    <w14:srgbClr w14:val="000000">
                      <w14:alpha w14:val="100000"/>
                    </w14:srgbClr>
                  </w14:solidFill>
                </w14:textFill>
              </w:rPr>
              <w:t xml:space="preserve">　</w:t>
            </w:r>
            <w:r w:rsidRPr="00D42DC9">
              <w:rPr>
                <w:color w:val="000000"/>
                <w:w w:val="20"/>
                <w:szCs w:val="20"/>
                <w:shd w:val="solid" w:color="000000" w:fill="000000"/>
                <w:fitText w:val="90" w:id="-1168359417"/>
                <w14:textFill>
                  <w14:solidFill>
                    <w14:srgbClr w14:val="000000">
                      <w14:alpha w14:val="100000"/>
                    </w14:srgbClr>
                  </w14:solidFill>
                </w14:textFill>
              </w:rPr>
              <w:t>|</w:t>
            </w:r>
            <w:r w:rsidRPr="00D42DC9">
              <w:rPr>
                <w:rFonts w:hint="eastAsia"/>
                <w:color w:val="000000"/>
                <w:spacing w:val="3"/>
                <w:w w:val="20"/>
                <w:szCs w:val="20"/>
                <w:shd w:val="solid" w:color="000000" w:fill="000000"/>
                <w:fitText w:val="90" w:id="-1168359417"/>
                <w14:textFill>
                  <w14:solidFill>
                    <w14:srgbClr w14:val="000000">
                      <w14:alpha w14:val="100000"/>
                    </w14:srgbClr>
                  </w14:solidFill>
                </w14:textFill>
              </w:rPr>
              <w:t xml:space="preserve">　</w:t>
            </w:r>
            <w:r w:rsidR="00B83DBA">
              <w:rPr>
                <w:szCs w:val="20"/>
                <w:vertAlign w:val="superscript"/>
              </w:rPr>
              <w:t>4</w:t>
            </w:r>
          </w:p>
        </w:tc>
        <w:tc>
          <w:tcPr>
            <w:tcW w:w="962" w:type="dxa"/>
            <w:noWrap/>
            <w:tcMar>
              <w:left w:w="20" w:type="dxa"/>
              <w:right w:w="20" w:type="dxa"/>
            </w:tcMar>
            <w:vAlign w:val="center"/>
          </w:tcPr>
          <w:p w14:paraId="563D21F2" w14:textId="4DD37E4F" w:rsidR="00980351" w:rsidRPr="00BF4F48" w:rsidRDefault="00D42DC9" w:rsidP="009402F2">
            <w:pPr>
              <w:pStyle w:val="TableText0"/>
              <w:jc w:val="center"/>
              <w:rPr>
                <w:szCs w:val="20"/>
                <w:highlight w:val="lightGray"/>
                <w:vertAlign w:val="superscript"/>
              </w:rPr>
            </w:pPr>
            <w:r w:rsidRPr="00D42DC9">
              <w:rPr>
                <w:rFonts w:hint="eastAsia"/>
                <w:color w:val="000000"/>
                <w:w w:val="27"/>
                <w:szCs w:val="20"/>
                <w:shd w:val="solid" w:color="000000" w:fill="000000"/>
                <w:fitText w:val="120" w:id="-1168359416"/>
                <w14:textFill>
                  <w14:solidFill>
                    <w14:srgbClr w14:val="000000">
                      <w14:alpha w14:val="100000"/>
                    </w14:srgbClr>
                  </w14:solidFill>
                </w14:textFill>
              </w:rPr>
              <w:t xml:space="preserve">　</w:t>
            </w:r>
            <w:r w:rsidRPr="00D42DC9">
              <w:rPr>
                <w:color w:val="000000"/>
                <w:w w:val="27"/>
                <w:szCs w:val="20"/>
                <w:shd w:val="solid" w:color="000000" w:fill="000000"/>
                <w:fitText w:val="120" w:id="-1168359416"/>
                <w14:textFill>
                  <w14:solidFill>
                    <w14:srgbClr w14:val="000000">
                      <w14:alpha w14:val="100000"/>
                    </w14:srgbClr>
                  </w14:solidFill>
                </w14:textFill>
              </w:rPr>
              <w:t>|</w:t>
            </w:r>
            <w:r w:rsidRPr="00D42DC9">
              <w:rPr>
                <w:rFonts w:hint="eastAsia"/>
                <w:color w:val="000000"/>
                <w:spacing w:val="2"/>
                <w:w w:val="27"/>
                <w:szCs w:val="20"/>
                <w:shd w:val="solid" w:color="000000" w:fill="000000"/>
                <w:fitText w:val="120" w:id="-1168359416"/>
                <w14:textFill>
                  <w14:solidFill>
                    <w14:srgbClr w14:val="000000">
                      <w14:alpha w14:val="100000"/>
                    </w14:srgbClr>
                  </w14:solidFill>
                </w14:textFill>
              </w:rPr>
              <w:t xml:space="preserve">　</w:t>
            </w:r>
            <w:r w:rsidR="00BF4F48" w:rsidRPr="00BF4F48">
              <w:rPr>
                <w:szCs w:val="20"/>
                <w:vertAlign w:val="superscript"/>
              </w:rPr>
              <w:t>5</w:t>
            </w:r>
          </w:p>
        </w:tc>
        <w:tc>
          <w:tcPr>
            <w:tcW w:w="1023" w:type="dxa"/>
            <w:noWrap/>
            <w:tcMar>
              <w:left w:w="20" w:type="dxa"/>
              <w:right w:w="20" w:type="dxa"/>
            </w:tcMar>
            <w:vAlign w:val="center"/>
          </w:tcPr>
          <w:p w14:paraId="024C2DCA" w14:textId="0DD60986" w:rsidR="00980351" w:rsidRPr="00BF4F48" w:rsidRDefault="00D42DC9" w:rsidP="009402F2">
            <w:pPr>
              <w:pStyle w:val="TableText0"/>
              <w:jc w:val="center"/>
              <w:rPr>
                <w:szCs w:val="20"/>
                <w:vertAlign w:val="superscript"/>
              </w:rPr>
            </w:pPr>
            <w:r w:rsidRPr="00D42DC9">
              <w:rPr>
                <w:rFonts w:hint="eastAsia"/>
                <w:color w:val="000000"/>
                <w:w w:val="23"/>
                <w:szCs w:val="20"/>
                <w:shd w:val="solid" w:color="000000" w:fill="000000"/>
                <w:fitText w:val="105" w:id="-1168359415"/>
                <w14:textFill>
                  <w14:solidFill>
                    <w14:srgbClr w14:val="000000">
                      <w14:alpha w14:val="100000"/>
                    </w14:srgbClr>
                  </w14:solidFill>
                </w14:textFill>
              </w:rPr>
              <w:t xml:space="preserve">　</w:t>
            </w:r>
            <w:r w:rsidRPr="00D42DC9">
              <w:rPr>
                <w:color w:val="000000"/>
                <w:w w:val="23"/>
                <w:szCs w:val="20"/>
                <w:shd w:val="solid" w:color="000000" w:fill="000000"/>
                <w:fitText w:val="105" w:id="-1168359415"/>
                <w14:textFill>
                  <w14:solidFill>
                    <w14:srgbClr w14:val="000000">
                      <w14:alpha w14:val="100000"/>
                    </w14:srgbClr>
                  </w14:solidFill>
                </w14:textFill>
              </w:rPr>
              <w:t>|</w:t>
            </w:r>
            <w:r w:rsidRPr="00D42DC9">
              <w:rPr>
                <w:rFonts w:hint="eastAsia"/>
                <w:color w:val="000000"/>
                <w:spacing w:val="4"/>
                <w:w w:val="23"/>
                <w:szCs w:val="20"/>
                <w:shd w:val="solid" w:color="000000" w:fill="000000"/>
                <w:fitText w:val="105" w:id="-1168359415"/>
                <w14:textFill>
                  <w14:solidFill>
                    <w14:srgbClr w14:val="000000">
                      <w14:alpha w14:val="100000"/>
                    </w14:srgbClr>
                  </w14:solidFill>
                </w14:textFill>
              </w:rPr>
              <w:t xml:space="preserve">　</w:t>
            </w:r>
            <w:r w:rsidR="00BF4F48">
              <w:rPr>
                <w:szCs w:val="20"/>
                <w:vertAlign w:val="superscript"/>
              </w:rPr>
              <w:t>10</w:t>
            </w:r>
          </w:p>
        </w:tc>
        <w:tc>
          <w:tcPr>
            <w:tcW w:w="1134" w:type="dxa"/>
            <w:noWrap/>
            <w:tcMar>
              <w:left w:w="20" w:type="dxa"/>
              <w:right w:w="20" w:type="dxa"/>
            </w:tcMar>
            <w:vAlign w:val="center"/>
          </w:tcPr>
          <w:p w14:paraId="3F854EF0" w14:textId="4B01036D" w:rsidR="00980351" w:rsidRPr="00BF4F48" w:rsidRDefault="00D42DC9" w:rsidP="009402F2">
            <w:pPr>
              <w:pStyle w:val="TableText0"/>
              <w:jc w:val="center"/>
              <w:rPr>
                <w:szCs w:val="20"/>
                <w:vertAlign w:val="superscript"/>
              </w:rPr>
            </w:pPr>
            <w:r w:rsidRPr="00D42DC9">
              <w:rPr>
                <w:rFonts w:hint="eastAsia"/>
                <w:color w:val="000000"/>
                <w:w w:val="15"/>
                <w:szCs w:val="20"/>
                <w:shd w:val="solid" w:color="000000" w:fill="000000"/>
                <w:fitText w:val="60" w:id="-1168359414"/>
                <w14:textFill>
                  <w14:solidFill>
                    <w14:srgbClr w14:val="000000">
                      <w14:alpha w14:val="100000"/>
                    </w14:srgbClr>
                  </w14:solidFill>
                </w14:textFill>
              </w:rPr>
              <w:t xml:space="preserve">　</w:t>
            </w:r>
            <w:r w:rsidRPr="00D42DC9">
              <w:rPr>
                <w:color w:val="000000"/>
                <w:w w:val="15"/>
                <w:szCs w:val="20"/>
                <w:shd w:val="solid" w:color="000000" w:fill="000000"/>
                <w:fitText w:val="60" w:id="-1168359414"/>
                <w14:textFill>
                  <w14:solidFill>
                    <w14:srgbClr w14:val="000000">
                      <w14:alpha w14:val="100000"/>
                    </w14:srgbClr>
                  </w14:solidFill>
                </w14:textFill>
              </w:rPr>
              <w:t>|</w:t>
            </w:r>
            <w:r w:rsidRPr="00D42DC9">
              <w:rPr>
                <w:rFonts w:hint="eastAsia"/>
                <w:color w:val="000000"/>
                <w:spacing w:val="-5"/>
                <w:w w:val="15"/>
                <w:szCs w:val="20"/>
                <w:shd w:val="solid" w:color="000000" w:fill="000000"/>
                <w:fitText w:val="60" w:id="-1168359414"/>
                <w14:textFill>
                  <w14:solidFill>
                    <w14:srgbClr w14:val="000000">
                      <w14:alpha w14:val="100000"/>
                    </w14:srgbClr>
                  </w14:solidFill>
                </w14:textFill>
              </w:rPr>
              <w:t xml:space="preserve">　</w:t>
            </w:r>
            <w:r w:rsidR="00BF4F48">
              <w:rPr>
                <w:szCs w:val="20"/>
                <w:vertAlign w:val="superscript"/>
              </w:rPr>
              <w:t>11</w:t>
            </w:r>
          </w:p>
        </w:tc>
        <w:tc>
          <w:tcPr>
            <w:tcW w:w="658" w:type="dxa"/>
            <w:noWrap/>
            <w:tcMar>
              <w:left w:w="20" w:type="dxa"/>
              <w:right w:w="20" w:type="dxa"/>
            </w:tcMar>
            <w:vAlign w:val="center"/>
          </w:tcPr>
          <w:p w14:paraId="78321BA3" w14:textId="77777777" w:rsidR="00980351" w:rsidRPr="001677F9" w:rsidRDefault="00980351" w:rsidP="009402F2">
            <w:pPr>
              <w:keepNext/>
              <w:keepLines/>
              <w:jc w:val="center"/>
              <w:rPr>
                <w:rFonts w:ascii="Arial Narrow" w:hAnsi="Arial Narrow"/>
                <w:sz w:val="20"/>
                <w:szCs w:val="20"/>
              </w:rPr>
            </w:pPr>
            <w:r w:rsidRPr="001677F9">
              <w:rPr>
                <w:rFonts w:ascii="Arial Narrow" w:hAnsi="Arial Narrow"/>
                <w:sz w:val="20"/>
                <w:szCs w:val="20"/>
              </w:rPr>
              <w:t>28%</w:t>
            </w:r>
          </w:p>
        </w:tc>
      </w:tr>
      <w:tr w:rsidR="0072088C" w:rsidRPr="001677F9" w14:paraId="5120E343" w14:textId="77777777" w:rsidTr="0072088C">
        <w:trPr>
          <w:trHeight w:val="250"/>
        </w:trPr>
        <w:tc>
          <w:tcPr>
            <w:tcW w:w="2263" w:type="dxa"/>
            <w:noWrap/>
            <w:tcMar>
              <w:left w:w="20" w:type="dxa"/>
              <w:right w:w="20" w:type="dxa"/>
            </w:tcMar>
          </w:tcPr>
          <w:p w14:paraId="06E1F55D" w14:textId="4C46B158" w:rsidR="00980351" w:rsidRPr="00D736CE" w:rsidRDefault="00980351" w:rsidP="00AD1DC3">
            <w:pPr>
              <w:pStyle w:val="TableText0"/>
              <w:rPr>
                <w:szCs w:val="20"/>
              </w:rPr>
            </w:pPr>
            <w:r w:rsidRPr="001677F9">
              <w:rPr>
                <w:szCs w:val="20"/>
              </w:rPr>
              <w:t>Patients already using SGLT2 inhibitors for other indications, CKD (28.2</w:t>
            </w:r>
            <w:proofErr w:type="gramStart"/>
            <w:r w:rsidRPr="001677F9">
              <w:rPr>
                <w:szCs w:val="20"/>
              </w:rPr>
              <w:t>%)</w:t>
            </w:r>
            <w:r w:rsidRPr="001677F9">
              <w:rPr>
                <w:szCs w:val="20"/>
                <w:vertAlign w:val="superscript"/>
              </w:rPr>
              <w:t>a</w:t>
            </w:r>
            <w:proofErr w:type="gramEnd"/>
            <w:r w:rsidR="00D736CE">
              <w:rPr>
                <w:szCs w:val="20"/>
              </w:rPr>
              <w:t xml:space="preserve"> ($)</w:t>
            </w:r>
          </w:p>
        </w:tc>
        <w:tc>
          <w:tcPr>
            <w:tcW w:w="956" w:type="dxa"/>
            <w:noWrap/>
            <w:tcMar>
              <w:left w:w="20" w:type="dxa"/>
              <w:right w:w="20" w:type="dxa"/>
            </w:tcMar>
            <w:vAlign w:val="center"/>
          </w:tcPr>
          <w:p w14:paraId="258EB439" w14:textId="12AA35C9" w:rsidR="00980351" w:rsidRPr="00BF4F48" w:rsidRDefault="00D42DC9" w:rsidP="009402F2">
            <w:pPr>
              <w:pStyle w:val="TableText0"/>
              <w:jc w:val="center"/>
              <w:rPr>
                <w:szCs w:val="20"/>
                <w:vertAlign w:val="superscript"/>
              </w:rPr>
            </w:pPr>
            <w:r w:rsidRPr="00D42DC9">
              <w:rPr>
                <w:rFonts w:hint="eastAsia"/>
                <w:color w:val="000000"/>
                <w:w w:val="27"/>
                <w:szCs w:val="20"/>
                <w:shd w:val="solid" w:color="000000" w:fill="000000"/>
                <w:fitText w:val="120" w:id="-1168359413"/>
                <w14:textFill>
                  <w14:solidFill>
                    <w14:srgbClr w14:val="000000">
                      <w14:alpha w14:val="100000"/>
                    </w14:srgbClr>
                  </w14:solidFill>
                </w14:textFill>
              </w:rPr>
              <w:t xml:space="preserve">　</w:t>
            </w:r>
            <w:r w:rsidRPr="00D42DC9">
              <w:rPr>
                <w:color w:val="000000"/>
                <w:w w:val="27"/>
                <w:szCs w:val="20"/>
                <w:shd w:val="solid" w:color="000000" w:fill="000000"/>
                <w:fitText w:val="120" w:id="-1168359413"/>
                <w14:textFill>
                  <w14:solidFill>
                    <w14:srgbClr w14:val="000000">
                      <w14:alpha w14:val="100000"/>
                    </w14:srgbClr>
                  </w14:solidFill>
                </w14:textFill>
              </w:rPr>
              <w:t>|</w:t>
            </w:r>
            <w:r w:rsidRPr="00D42DC9">
              <w:rPr>
                <w:rFonts w:hint="eastAsia"/>
                <w:color w:val="000000"/>
                <w:spacing w:val="2"/>
                <w:w w:val="27"/>
                <w:szCs w:val="20"/>
                <w:shd w:val="solid" w:color="000000" w:fill="000000"/>
                <w:fitText w:val="120" w:id="-1168359413"/>
                <w14:textFill>
                  <w14:solidFill>
                    <w14:srgbClr w14:val="000000">
                      <w14:alpha w14:val="100000"/>
                    </w14:srgbClr>
                  </w14:solidFill>
                </w14:textFill>
              </w:rPr>
              <w:t xml:space="preserve">　</w:t>
            </w:r>
            <w:r w:rsidR="00BF4F48">
              <w:rPr>
                <w:szCs w:val="20"/>
                <w:vertAlign w:val="superscript"/>
              </w:rPr>
              <w:t>1</w:t>
            </w:r>
          </w:p>
        </w:tc>
        <w:tc>
          <w:tcPr>
            <w:tcW w:w="1011" w:type="dxa"/>
            <w:noWrap/>
            <w:tcMar>
              <w:left w:w="20" w:type="dxa"/>
              <w:right w:w="20" w:type="dxa"/>
            </w:tcMar>
            <w:vAlign w:val="center"/>
          </w:tcPr>
          <w:p w14:paraId="6EA4B476" w14:textId="071C507D" w:rsidR="00980351" w:rsidRPr="00BF4F48" w:rsidRDefault="00D42DC9" w:rsidP="009402F2">
            <w:pPr>
              <w:pStyle w:val="TableText0"/>
              <w:jc w:val="center"/>
              <w:rPr>
                <w:szCs w:val="20"/>
                <w:vertAlign w:val="superscript"/>
              </w:rPr>
            </w:pPr>
            <w:r w:rsidRPr="00D42DC9">
              <w:rPr>
                <w:rFonts w:hint="eastAsia"/>
                <w:color w:val="000000"/>
                <w:w w:val="20"/>
                <w:szCs w:val="20"/>
                <w:shd w:val="solid" w:color="000000" w:fill="000000"/>
                <w:fitText w:val="90" w:id="-1168359412"/>
                <w14:textFill>
                  <w14:solidFill>
                    <w14:srgbClr w14:val="000000">
                      <w14:alpha w14:val="100000"/>
                    </w14:srgbClr>
                  </w14:solidFill>
                </w14:textFill>
              </w:rPr>
              <w:t xml:space="preserve">　</w:t>
            </w:r>
            <w:r w:rsidRPr="00D42DC9">
              <w:rPr>
                <w:color w:val="000000"/>
                <w:w w:val="20"/>
                <w:szCs w:val="20"/>
                <w:shd w:val="solid" w:color="000000" w:fill="000000"/>
                <w:fitText w:val="90" w:id="-1168359412"/>
                <w14:textFill>
                  <w14:solidFill>
                    <w14:srgbClr w14:val="000000">
                      <w14:alpha w14:val="100000"/>
                    </w14:srgbClr>
                  </w14:solidFill>
                </w14:textFill>
              </w:rPr>
              <w:t>|</w:t>
            </w:r>
            <w:r w:rsidRPr="00D42DC9">
              <w:rPr>
                <w:rFonts w:hint="eastAsia"/>
                <w:color w:val="000000"/>
                <w:spacing w:val="3"/>
                <w:w w:val="20"/>
                <w:szCs w:val="20"/>
                <w:shd w:val="solid" w:color="000000" w:fill="000000"/>
                <w:fitText w:val="90" w:id="-1168359412"/>
                <w14:textFill>
                  <w14:solidFill>
                    <w14:srgbClr w14:val="000000">
                      <w14:alpha w14:val="100000"/>
                    </w14:srgbClr>
                  </w14:solidFill>
                </w14:textFill>
              </w:rPr>
              <w:t xml:space="preserve">　</w:t>
            </w:r>
            <w:r w:rsidR="00BF4F48">
              <w:rPr>
                <w:szCs w:val="20"/>
                <w:vertAlign w:val="superscript"/>
              </w:rPr>
              <w:t>7</w:t>
            </w:r>
          </w:p>
        </w:tc>
        <w:tc>
          <w:tcPr>
            <w:tcW w:w="1010" w:type="dxa"/>
            <w:noWrap/>
            <w:tcMar>
              <w:left w:w="20" w:type="dxa"/>
              <w:right w:w="20" w:type="dxa"/>
            </w:tcMar>
            <w:vAlign w:val="center"/>
          </w:tcPr>
          <w:p w14:paraId="3FAC1731" w14:textId="0E7B41CE" w:rsidR="00980351" w:rsidRPr="00BF4F48" w:rsidRDefault="00D42DC9" w:rsidP="009402F2">
            <w:pPr>
              <w:pStyle w:val="TableText0"/>
              <w:jc w:val="center"/>
              <w:rPr>
                <w:szCs w:val="20"/>
                <w:vertAlign w:val="superscript"/>
              </w:rPr>
            </w:pPr>
            <w:r w:rsidRPr="00D42DC9">
              <w:rPr>
                <w:rFonts w:hint="eastAsia"/>
                <w:color w:val="000000"/>
                <w:w w:val="20"/>
                <w:szCs w:val="20"/>
                <w:shd w:val="solid" w:color="000000" w:fill="000000"/>
                <w:fitText w:val="90" w:id="-1168359411"/>
                <w14:textFill>
                  <w14:solidFill>
                    <w14:srgbClr w14:val="000000">
                      <w14:alpha w14:val="100000"/>
                    </w14:srgbClr>
                  </w14:solidFill>
                </w14:textFill>
              </w:rPr>
              <w:t xml:space="preserve">　</w:t>
            </w:r>
            <w:r w:rsidRPr="00D42DC9">
              <w:rPr>
                <w:color w:val="000000"/>
                <w:w w:val="20"/>
                <w:szCs w:val="20"/>
                <w:shd w:val="solid" w:color="000000" w:fill="000000"/>
                <w:fitText w:val="90" w:id="-1168359411"/>
                <w14:textFill>
                  <w14:solidFill>
                    <w14:srgbClr w14:val="000000">
                      <w14:alpha w14:val="100000"/>
                    </w14:srgbClr>
                  </w14:solidFill>
                </w14:textFill>
              </w:rPr>
              <w:t>|</w:t>
            </w:r>
            <w:r w:rsidRPr="00D42DC9">
              <w:rPr>
                <w:rFonts w:hint="eastAsia"/>
                <w:color w:val="000000"/>
                <w:spacing w:val="3"/>
                <w:w w:val="20"/>
                <w:szCs w:val="20"/>
                <w:shd w:val="solid" w:color="000000" w:fill="000000"/>
                <w:fitText w:val="90" w:id="-1168359411"/>
                <w14:textFill>
                  <w14:solidFill>
                    <w14:srgbClr w14:val="000000">
                      <w14:alpha w14:val="100000"/>
                    </w14:srgbClr>
                  </w14:solidFill>
                </w14:textFill>
              </w:rPr>
              <w:t xml:space="preserve">　</w:t>
            </w:r>
            <w:r w:rsidR="00BF4F48">
              <w:rPr>
                <w:szCs w:val="20"/>
                <w:vertAlign w:val="superscript"/>
              </w:rPr>
              <w:t>3</w:t>
            </w:r>
          </w:p>
        </w:tc>
        <w:tc>
          <w:tcPr>
            <w:tcW w:w="962" w:type="dxa"/>
            <w:noWrap/>
            <w:tcMar>
              <w:left w:w="20" w:type="dxa"/>
              <w:right w:w="20" w:type="dxa"/>
            </w:tcMar>
            <w:vAlign w:val="center"/>
          </w:tcPr>
          <w:p w14:paraId="4802843F" w14:textId="380D42B4" w:rsidR="00980351" w:rsidRPr="00BF4F48" w:rsidRDefault="00D42DC9" w:rsidP="009402F2">
            <w:pPr>
              <w:pStyle w:val="TableText0"/>
              <w:jc w:val="center"/>
              <w:rPr>
                <w:szCs w:val="20"/>
                <w:highlight w:val="lightGray"/>
                <w:vertAlign w:val="superscript"/>
              </w:rPr>
            </w:pPr>
            <w:r w:rsidRPr="00D42DC9">
              <w:rPr>
                <w:rFonts w:hint="eastAsia"/>
                <w:color w:val="000000"/>
                <w:w w:val="27"/>
                <w:szCs w:val="20"/>
                <w:shd w:val="solid" w:color="000000" w:fill="000000"/>
                <w:fitText w:val="120" w:id="-1168359410"/>
                <w14:textFill>
                  <w14:solidFill>
                    <w14:srgbClr w14:val="000000">
                      <w14:alpha w14:val="100000"/>
                    </w14:srgbClr>
                  </w14:solidFill>
                </w14:textFill>
              </w:rPr>
              <w:t xml:space="preserve">　</w:t>
            </w:r>
            <w:r w:rsidRPr="00D42DC9">
              <w:rPr>
                <w:color w:val="000000"/>
                <w:w w:val="27"/>
                <w:szCs w:val="20"/>
                <w:shd w:val="solid" w:color="000000" w:fill="000000"/>
                <w:fitText w:val="120" w:id="-1168359410"/>
                <w14:textFill>
                  <w14:solidFill>
                    <w14:srgbClr w14:val="000000">
                      <w14:alpha w14:val="100000"/>
                    </w14:srgbClr>
                  </w14:solidFill>
                </w14:textFill>
              </w:rPr>
              <w:t>|</w:t>
            </w:r>
            <w:r w:rsidRPr="00D42DC9">
              <w:rPr>
                <w:rFonts w:hint="eastAsia"/>
                <w:color w:val="000000"/>
                <w:spacing w:val="2"/>
                <w:w w:val="27"/>
                <w:szCs w:val="20"/>
                <w:shd w:val="solid" w:color="000000" w:fill="000000"/>
                <w:fitText w:val="120" w:id="-1168359410"/>
                <w14:textFill>
                  <w14:solidFill>
                    <w14:srgbClr w14:val="000000">
                      <w14:alpha w14:val="100000"/>
                    </w14:srgbClr>
                  </w14:solidFill>
                </w14:textFill>
              </w:rPr>
              <w:t xml:space="preserve">　</w:t>
            </w:r>
            <w:r w:rsidR="00BF4F48" w:rsidRPr="00BF4F48">
              <w:rPr>
                <w:szCs w:val="20"/>
                <w:vertAlign w:val="superscript"/>
              </w:rPr>
              <w:t>5</w:t>
            </w:r>
          </w:p>
        </w:tc>
        <w:tc>
          <w:tcPr>
            <w:tcW w:w="1023" w:type="dxa"/>
            <w:noWrap/>
            <w:tcMar>
              <w:left w:w="20" w:type="dxa"/>
              <w:right w:w="20" w:type="dxa"/>
            </w:tcMar>
            <w:vAlign w:val="center"/>
          </w:tcPr>
          <w:p w14:paraId="23984FBD" w14:textId="0781143D" w:rsidR="00980351" w:rsidRPr="00DD1C46" w:rsidRDefault="00D42DC9" w:rsidP="009402F2">
            <w:pPr>
              <w:pStyle w:val="TableText0"/>
              <w:jc w:val="center"/>
              <w:rPr>
                <w:szCs w:val="20"/>
                <w:vertAlign w:val="superscript"/>
              </w:rPr>
            </w:pPr>
            <w:r w:rsidRPr="00D42DC9">
              <w:rPr>
                <w:rFonts w:hint="eastAsia"/>
                <w:color w:val="000000"/>
                <w:w w:val="23"/>
                <w:szCs w:val="20"/>
                <w:shd w:val="solid" w:color="000000" w:fill="000000"/>
                <w:fitText w:val="105" w:id="-1168359409"/>
                <w14:textFill>
                  <w14:solidFill>
                    <w14:srgbClr w14:val="000000">
                      <w14:alpha w14:val="100000"/>
                    </w14:srgbClr>
                  </w14:solidFill>
                </w14:textFill>
              </w:rPr>
              <w:t xml:space="preserve">　</w:t>
            </w:r>
            <w:r w:rsidRPr="00D42DC9">
              <w:rPr>
                <w:color w:val="000000"/>
                <w:w w:val="23"/>
                <w:szCs w:val="20"/>
                <w:shd w:val="solid" w:color="000000" w:fill="000000"/>
                <w:fitText w:val="105" w:id="-1168359409"/>
                <w14:textFill>
                  <w14:solidFill>
                    <w14:srgbClr w14:val="000000">
                      <w14:alpha w14:val="100000"/>
                    </w14:srgbClr>
                  </w14:solidFill>
                </w14:textFill>
              </w:rPr>
              <w:t>|</w:t>
            </w:r>
            <w:r w:rsidRPr="00D42DC9">
              <w:rPr>
                <w:rFonts w:hint="eastAsia"/>
                <w:color w:val="000000"/>
                <w:spacing w:val="4"/>
                <w:w w:val="23"/>
                <w:szCs w:val="20"/>
                <w:shd w:val="solid" w:color="000000" w:fill="000000"/>
                <w:fitText w:val="105" w:id="-1168359409"/>
                <w14:textFill>
                  <w14:solidFill>
                    <w14:srgbClr w14:val="000000">
                      <w14:alpha w14:val="100000"/>
                    </w14:srgbClr>
                  </w14:solidFill>
                </w14:textFill>
              </w:rPr>
              <w:t xml:space="preserve">　</w:t>
            </w:r>
            <w:r w:rsidR="00DD1C46">
              <w:rPr>
                <w:szCs w:val="20"/>
                <w:vertAlign w:val="superscript"/>
              </w:rPr>
              <w:t>10</w:t>
            </w:r>
          </w:p>
        </w:tc>
        <w:tc>
          <w:tcPr>
            <w:tcW w:w="1134" w:type="dxa"/>
            <w:noWrap/>
            <w:tcMar>
              <w:left w:w="20" w:type="dxa"/>
              <w:right w:w="20" w:type="dxa"/>
            </w:tcMar>
            <w:vAlign w:val="center"/>
          </w:tcPr>
          <w:p w14:paraId="2537B9E3" w14:textId="25808421" w:rsidR="00980351" w:rsidRPr="00DD1C46" w:rsidRDefault="00D42DC9" w:rsidP="009402F2">
            <w:pPr>
              <w:pStyle w:val="TableText0"/>
              <w:jc w:val="center"/>
              <w:rPr>
                <w:szCs w:val="20"/>
                <w:vertAlign w:val="superscript"/>
              </w:rPr>
            </w:pPr>
            <w:r w:rsidRPr="00D42DC9">
              <w:rPr>
                <w:rFonts w:hint="eastAsia"/>
                <w:color w:val="000000"/>
                <w:w w:val="15"/>
                <w:szCs w:val="20"/>
                <w:shd w:val="solid" w:color="000000" w:fill="000000"/>
                <w:fitText w:val="60" w:id="-1168359408"/>
                <w14:textFill>
                  <w14:solidFill>
                    <w14:srgbClr w14:val="000000">
                      <w14:alpha w14:val="100000"/>
                    </w14:srgbClr>
                  </w14:solidFill>
                </w14:textFill>
              </w:rPr>
              <w:t xml:space="preserve">　</w:t>
            </w:r>
            <w:r w:rsidRPr="00D42DC9">
              <w:rPr>
                <w:color w:val="000000"/>
                <w:w w:val="15"/>
                <w:szCs w:val="20"/>
                <w:shd w:val="solid" w:color="000000" w:fill="000000"/>
                <w:fitText w:val="60" w:id="-1168359408"/>
                <w14:textFill>
                  <w14:solidFill>
                    <w14:srgbClr w14:val="000000">
                      <w14:alpha w14:val="100000"/>
                    </w14:srgbClr>
                  </w14:solidFill>
                </w14:textFill>
              </w:rPr>
              <w:t>|</w:t>
            </w:r>
            <w:r w:rsidRPr="00D42DC9">
              <w:rPr>
                <w:rFonts w:hint="eastAsia"/>
                <w:color w:val="000000"/>
                <w:spacing w:val="-5"/>
                <w:w w:val="15"/>
                <w:szCs w:val="20"/>
                <w:shd w:val="solid" w:color="000000" w:fill="000000"/>
                <w:fitText w:val="60" w:id="-1168359408"/>
                <w14:textFill>
                  <w14:solidFill>
                    <w14:srgbClr w14:val="000000">
                      <w14:alpha w14:val="100000"/>
                    </w14:srgbClr>
                  </w14:solidFill>
                </w14:textFill>
              </w:rPr>
              <w:t xml:space="preserve">　</w:t>
            </w:r>
            <w:r w:rsidR="00DD1C46">
              <w:rPr>
                <w:szCs w:val="20"/>
                <w:vertAlign w:val="superscript"/>
              </w:rPr>
              <w:t>11</w:t>
            </w:r>
          </w:p>
        </w:tc>
        <w:tc>
          <w:tcPr>
            <w:tcW w:w="658" w:type="dxa"/>
            <w:noWrap/>
            <w:tcMar>
              <w:left w:w="20" w:type="dxa"/>
              <w:right w:w="20" w:type="dxa"/>
            </w:tcMar>
            <w:vAlign w:val="center"/>
          </w:tcPr>
          <w:p w14:paraId="65E30417" w14:textId="77777777" w:rsidR="00980351" w:rsidRPr="001677F9" w:rsidRDefault="00980351" w:rsidP="009402F2">
            <w:pPr>
              <w:keepNext/>
              <w:keepLines/>
              <w:jc w:val="center"/>
              <w:rPr>
                <w:rFonts w:ascii="Arial Narrow" w:hAnsi="Arial Narrow"/>
                <w:sz w:val="20"/>
                <w:szCs w:val="20"/>
              </w:rPr>
            </w:pPr>
            <w:r w:rsidRPr="001677F9">
              <w:rPr>
                <w:rFonts w:ascii="Arial Narrow" w:hAnsi="Arial Narrow"/>
                <w:sz w:val="20"/>
                <w:szCs w:val="20"/>
              </w:rPr>
              <w:t>22%</w:t>
            </w:r>
          </w:p>
        </w:tc>
      </w:tr>
      <w:tr w:rsidR="0072088C" w:rsidRPr="001677F9" w14:paraId="11E52AFF" w14:textId="77777777" w:rsidTr="0072088C">
        <w:trPr>
          <w:trHeight w:val="250"/>
        </w:trPr>
        <w:tc>
          <w:tcPr>
            <w:tcW w:w="2263" w:type="dxa"/>
            <w:noWrap/>
            <w:tcMar>
              <w:left w:w="20" w:type="dxa"/>
              <w:right w:w="20" w:type="dxa"/>
            </w:tcMar>
          </w:tcPr>
          <w:p w14:paraId="6D508429" w14:textId="5FD6D45B" w:rsidR="00980351" w:rsidRPr="001677F9" w:rsidRDefault="00980351" w:rsidP="00AD1DC3">
            <w:pPr>
              <w:pStyle w:val="TableText0"/>
              <w:rPr>
                <w:szCs w:val="20"/>
              </w:rPr>
            </w:pPr>
            <w:r w:rsidRPr="001677F9">
              <w:rPr>
                <w:szCs w:val="20"/>
              </w:rPr>
              <w:t xml:space="preserve">Eligible patients who do not already qualify for PBS-funded SGLT2 inhibitors </w:t>
            </w:r>
            <w:r w:rsidR="0099324A" w:rsidRPr="001677F9">
              <w:rPr>
                <w:szCs w:val="20"/>
              </w:rPr>
              <w:t>(6</w:t>
            </w:r>
            <w:r w:rsidRPr="001677F9">
              <w:rPr>
                <w:szCs w:val="20"/>
              </w:rPr>
              <w:t>8.9%</w:t>
            </w:r>
            <w:r w:rsidR="0099324A" w:rsidRPr="001677F9">
              <w:rPr>
                <w:szCs w:val="20"/>
              </w:rPr>
              <w:t xml:space="preserve">; </w:t>
            </w:r>
            <w:r w:rsidRPr="001677F9">
              <w:rPr>
                <w:szCs w:val="20"/>
              </w:rPr>
              <w:t>+20%)</w:t>
            </w:r>
            <w:r w:rsidR="00D736CE">
              <w:rPr>
                <w:szCs w:val="20"/>
              </w:rPr>
              <w:t xml:space="preserve"> ($)</w:t>
            </w:r>
          </w:p>
        </w:tc>
        <w:tc>
          <w:tcPr>
            <w:tcW w:w="956" w:type="dxa"/>
            <w:noWrap/>
            <w:tcMar>
              <w:left w:w="20" w:type="dxa"/>
              <w:right w:w="20" w:type="dxa"/>
            </w:tcMar>
            <w:vAlign w:val="center"/>
          </w:tcPr>
          <w:p w14:paraId="44EB0C0F" w14:textId="1C631CC5" w:rsidR="00980351" w:rsidRPr="00DD1C46" w:rsidRDefault="00D42DC9" w:rsidP="009402F2">
            <w:pPr>
              <w:pStyle w:val="TableText0"/>
              <w:jc w:val="center"/>
              <w:rPr>
                <w:szCs w:val="20"/>
                <w:vertAlign w:val="superscript"/>
              </w:rPr>
            </w:pPr>
            <w:r w:rsidRPr="00D42DC9">
              <w:rPr>
                <w:rFonts w:hint="eastAsia"/>
                <w:color w:val="000000"/>
                <w:w w:val="27"/>
                <w:szCs w:val="20"/>
                <w:shd w:val="solid" w:color="000000" w:fill="000000"/>
                <w:fitText w:val="120" w:id="-1168359424"/>
                <w14:textFill>
                  <w14:solidFill>
                    <w14:srgbClr w14:val="000000">
                      <w14:alpha w14:val="100000"/>
                    </w14:srgbClr>
                  </w14:solidFill>
                </w14:textFill>
              </w:rPr>
              <w:t xml:space="preserve">　</w:t>
            </w:r>
            <w:r w:rsidRPr="00D42DC9">
              <w:rPr>
                <w:color w:val="000000"/>
                <w:w w:val="27"/>
                <w:szCs w:val="20"/>
                <w:shd w:val="solid" w:color="000000" w:fill="000000"/>
                <w:fitText w:val="120" w:id="-1168359424"/>
                <w14:textFill>
                  <w14:solidFill>
                    <w14:srgbClr w14:val="000000">
                      <w14:alpha w14:val="100000"/>
                    </w14:srgbClr>
                  </w14:solidFill>
                </w14:textFill>
              </w:rPr>
              <w:t>|</w:t>
            </w:r>
            <w:r w:rsidRPr="00D42DC9">
              <w:rPr>
                <w:rFonts w:hint="eastAsia"/>
                <w:color w:val="000000"/>
                <w:spacing w:val="2"/>
                <w:w w:val="27"/>
                <w:szCs w:val="20"/>
                <w:shd w:val="solid" w:color="000000" w:fill="000000"/>
                <w:fitText w:val="120" w:id="-1168359424"/>
                <w14:textFill>
                  <w14:solidFill>
                    <w14:srgbClr w14:val="000000">
                      <w14:alpha w14:val="100000"/>
                    </w14:srgbClr>
                  </w14:solidFill>
                </w14:textFill>
              </w:rPr>
              <w:t xml:space="preserve">　</w:t>
            </w:r>
            <w:r w:rsidR="00DD1C46">
              <w:rPr>
                <w:szCs w:val="20"/>
                <w:vertAlign w:val="superscript"/>
              </w:rPr>
              <w:t>2</w:t>
            </w:r>
          </w:p>
        </w:tc>
        <w:tc>
          <w:tcPr>
            <w:tcW w:w="1011" w:type="dxa"/>
            <w:noWrap/>
            <w:tcMar>
              <w:left w:w="20" w:type="dxa"/>
              <w:right w:w="20" w:type="dxa"/>
            </w:tcMar>
            <w:vAlign w:val="center"/>
          </w:tcPr>
          <w:p w14:paraId="083A7C56" w14:textId="2237C016" w:rsidR="00980351" w:rsidRPr="00DD1C46" w:rsidRDefault="00D42DC9" w:rsidP="009402F2">
            <w:pPr>
              <w:pStyle w:val="TableText0"/>
              <w:jc w:val="center"/>
              <w:rPr>
                <w:szCs w:val="20"/>
                <w:vertAlign w:val="superscript"/>
              </w:rPr>
            </w:pPr>
            <w:r w:rsidRPr="00D42DC9">
              <w:rPr>
                <w:rFonts w:hint="eastAsia"/>
                <w:color w:val="000000"/>
                <w:w w:val="20"/>
                <w:szCs w:val="20"/>
                <w:shd w:val="solid" w:color="000000" w:fill="000000"/>
                <w:fitText w:val="90" w:id="-1168359423"/>
                <w14:textFill>
                  <w14:solidFill>
                    <w14:srgbClr w14:val="000000">
                      <w14:alpha w14:val="100000"/>
                    </w14:srgbClr>
                  </w14:solidFill>
                </w14:textFill>
              </w:rPr>
              <w:t xml:space="preserve">　</w:t>
            </w:r>
            <w:r w:rsidRPr="00D42DC9">
              <w:rPr>
                <w:color w:val="000000"/>
                <w:w w:val="20"/>
                <w:szCs w:val="20"/>
                <w:shd w:val="solid" w:color="000000" w:fill="000000"/>
                <w:fitText w:val="90" w:id="-1168359423"/>
                <w14:textFill>
                  <w14:solidFill>
                    <w14:srgbClr w14:val="000000">
                      <w14:alpha w14:val="100000"/>
                    </w14:srgbClr>
                  </w14:solidFill>
                </w14:textFill>
              </w:rPr>
              <w:t>|</w:t>
            </w:r>
            <w:r w:rsidRPr="00D42DC9">
              <w:rPr>
                <w:rFonts w:hint="eastAsia"/>
                <w:color w:val="000000"/>
                <w:spacing w:val="3"/>
                <w:w w:val="20"/>
                <w:szCs w:val="20"/>
                <w:shd w:val="solid" w:color="000000" w:fill="000000"/>
                <w:fitText w:val="90" w:id="-1168359423"/>
                <w14:textFill>
                  <w14:solidFill>
                    <w14:srgbClr w14:val="000000">
                      <w14:alpha w14:val="100000"/>
                    </w14:srgbClr>
                  </w14:solidFill>
                </w14:textFill>
              </w:rPr>
              <w:t xml:space="preserve">　</w:t>
            </w:r>
            <w:r w:rsidR="00DD1C46">
              <w:rPr>
                <w:szCs w:val="20"/>
                <w:vertAlign w:val="superscript"/>
              </w:rPr>
              <w:t>7</w:t>
            </w:r>
          </w:p>
        </w:tc>
        <w:tc>
          <w:tcPr>
            <w:tcW w:w="1010" w:type="dxa"/>
            <w:noWrap/>
            <w:tcMar>
              <w:left w:w="20" w:type="dxa"/>
              <w:right w:w="20" w:type="dxa"/>
            </w:tcMar>
            <w:vAlign w:val="center"/>
          </w:tcPr>
          <w:p w14:paraId="46C09D66" w14:textId="5DB66B12" w:rsidR="00980351" w:rsidRPr="00DD1C46" w:rsidRDefault="00D42DC9" w:rsidP="009402F2">
            <w:pPr>
              <w:pStyle w:val="TableText0"/>
              <w:jc w:val="center"/>
              <w:rPr>
                <w:szCs w:val="20"/>
                <w:vertAlign w:val="superscript"/>
              </w:rPr>
            </w:pPr>
            <w:r w:rsidRPr="00D42DC9">
              <w:rPr>
                <w:rFonts w:hint="eastAsia"/>
                <w:color w:val="000000"/>
                <w:w w:val="20"/>
                <w:szCs w:val="20"/>
                <w:shd w:val="solid" w:color="000000" w:fill="000000"/>
                <w:fitText w:val="90" w:id="-1168359422"/>
                <w14:textFill>
                  <w14:solidFill>
                    <w14:srgbClr w14:val="000000">
                      <w14:alpha w14:val="100000"/>
                    </w14:srgbClr>
                  </w14:solidFill>
                </w14:textFill>
              </w:rPr>
              <w:t xml:space="preserve">　</w:t>
            </w:r>
            <w:r w:rsidRPr="00D42DC9">
              <w:rPr>
                <w:color w:val="000000"/>
                <w:w w:val="20"/>
                <w:szCs w:val="20"/>
                <w:shd w:val="solid" w:color="000000" w:fill="000000"/>
                <w:fitText w:val="90" w:id="-1168359422"/>
                <w14:textFill>
                  <w14:solidFill>
                    <w14:srgbClr w14:val="000000">
                      <w14:alpha w14:val="100000"/>
                    </w14:srgbClr>
                  </w14:solidFill>
                </w14:textFill>
              </w:rPr>
              <w:t>|</w:t>
            </w:r>
            <w:r w:rsidRPr="00D42DC9">
              <w:rPr>
                <w:rFonts w:hint="eastAsia"/>
                <w:color w:val="000000"/>
                <w:spacing w:val="3"/>
                <w:w w:val="20"/>
                <w:szCs w:val="20"/>
                <w:shd w:val="solid" w:color="000000" w:fill="000000"/>
                <w:fitText w:val="90" w:id="-1168359422"/>
                <w14:textFill>
                  <w14:solidFill>
                    <w14:srgbClr w14:val="000000">
                      <w14:alpha w14:val="100000"/>
                    </w14:srgbClr>
                  </w14:solidFill>
                </w14:textFill>
              </w:rPr>
              <w:t xml:space="preserve">　</w:t>
            </w:r>
            <w:r w:rsidR="00DD1C46">
              <w:rPr>
                <w:szCs w:val="20"/>
                <w:vertAlign w:val="superscript"/>
              </w:rPr>
              <w:t>4</w:t>
            </w:r>
          </w:p>
        </w:tc>
        <w:tc>
          <w:tcPr>
            <w:tcW w:w="962" w:type="dxa"/>
            <w:noWrap/>
            <w:tcMar>
              <w:left w:w="20" w:type="dxa"/>
              <w:right w:w="20" w:type="dxa"/>
            </w:tcMar>
            <w:vAlign w:val="center"/>
          </w:tcPr>
          <w:p w14:paraId="666327B2" w14:textId="234FA4DF" w:rsidR="00980351" w:rsidRPr="00DD1C46" w:rsidRDefault="00D42DC9" w:rsidP="009402F2">
            <w:pPr>
              <w:pStyle w:val="TableText0"/>
              <w:jc w:val="center"/>
              <w:rPr>
                <w:szCs w:val="20"/>
                <w:vertAlign w:val="superscript"/>
              </w:rPr>
            </w:pPr>
            <w:r w:rsidRPr="00D42DC9">
              <w:rPr>
                <w:rFonts w:hint="eastAsia"/>
                <w:color w:val="000000"/>
                <w:w w:val="27"/>
                <w:szCs w:val="20"/>
                <w:shd w:val="solid" w:color="000000" w:fill="000000"/>
                <w:fitText w:val="120" w:id="-1168359421"/>
                <w14:textFill>
                  <w14:solidFill>
                    <w14:srgbClr w14:val="000000">
                      <w14:alpha w14:val="100000"/>
                    </w14:srgbClr>
                  </w14:solidFill>
                </w14:textFill>
              </w:rPr>
              <w:t xml:space="preserve">　</w:t>
            </w:r>
            <w:r w:rsidRPr="00D42DC9">
              <w:rPr>
                <w:color w:val="000000"/>
                <w:w w:val="27"/>
                <w:szCs w:val="20"/>
                <w:shd w:val="solid" w:color="000000" w:fill="000000"/>
                <w:fitText w:val="120" w:id="-1168359421"/>
                <w14:textFill>
                  <w14:solidFill>
                    <w14:srgbClr w14:val="000000">
                      <w14:alpha w14:val="100000"/>
                    </w14:srgbClr>
                  </w14:solidFill>
                </w14:textFill>
              </w:rPr>
              <w:t>|</w:t>
            </w:r>
            <w:r w:rsidRPr="00D42DC9">
              <w:rPr>
                <w:rFonts w:hint="eastAsia"/>
                <w:color w:val="000000"/>
                <w:spacing w:val="2"/>
                <w:w w:val="27"/>
                <w:szCs w:val="20"/>
                <w:shd w:val="solid" w:color="000000" w:fill="000000"/>
                <w:fitText w:val="120" w:id="-1168359421"/>
                <w14:textFill>
                  <w14:solidFill>
                    <w14:srgbClr w14:val="000000">
                      <w14:alpha w14:val="100000"/>
                    </w14:srgbClr>
                  </w14:solidFill>
                </w14:textFill>
              </w:rPr>
              <w:t xml:space="preserve">　</w:t>
            </w:r>
            <w:r w:rsidR="00DD1C46">
              <w:rPr>
                <w:szCs w:val="20"/>
                <w:vertAlign w:val="superscript"/>
              </w:rPr>
              <w:t>5</w:t>
            </w:r>
          </w:p>
        </w:tc>
        <w:tc>
          <w:tcPr>
            <w:tcW w:w="1023" w:type="dxa"/>
            <w:noWrap/>
            <w:tcMar>
              <w:left w:w="20" w:type="dxa"/>
              <w:right w:w="20" w:type="dxa"/>
            </w:tcMar>
            <w:vAlign w:val="center"/>
          </w:tcPr>
          <w:p w14:paraId="04F6C91C" w14:textId="5B640B4E" w:rsidR="00980351" w:rsidRPr="00DD1C46" w:rsidRDefault="00D42DC9" w:rsidP="009402F2">
            <w:pPr>
              <w:pStyle w:val="TableText0"/>
              <w:jc w:val="center"/>
              <w:rPr>
                <w:szCs w:val="20"/>
                <w:vertAlign w:val="superscript"/>
              </w:rPr>
            </w:pPr>
            <w:r w:rsidRPr="00D42DC9">
              <w:rPr>
                <w:rFonts w:hint="eastAsia"/>
                <w:color w:val="000000"/>
                <w:w w:val="20"/>
                <w:szCs w:val="20"/>
                <w:shd w:val="solid" w:color="000000" w:fill="000000"/>
                <w:fitText w:val="90" w:id="-1168359420"/>
                <w14:textFill>
                  <w14:solidFill>
                    <w14:srgbClr w14:val="000000">
                      <w14:alpha w14:val="100000"/>
                    </w14:srgbClr>
                  </w14:solidFill>
                </w14:textFill>
              </w:rPr>
              <w:t xml:space="preserve">　</w:t>
            </w:r>
            <w:r w:rsidRPr="00D42DC9">
              <w:rPr>
                <w:color w:val="000000"/>
                <w:w w:val="20"/>
                <w:szCs w:val="20"/>
                <w:shd w:val="solid" w:color="000000" w:fill="000000"/>
                <w:fitText w:val="90" w:id="-1168359420"/>
                <w14:textFill>
                  <w14:solidFill>
                    <w14:srgbClr w14:val="000000">
                      <w14:alpha w14:val="100000"/>
                    </w14:srgbClr>
                  </w14:solidFill>
                </w14:textFill>
              </w:rPr>
              <w:t>|</w:t>
            </w:r>
            <w:r w:rsidRPr="00D42DC9">
              <w:rPr>
                <w:rFonts w:hint="eastAsia"/>
                <w:color w:val="000000"/>
                <w:spacing w:val="3"/>
                <w:w w:val="20"/>
                <w:szCs w:val="20"/>
                <w:shd w:val="solid" w:color="000000" w:fill="000000"/>
                <w:fitText w:val="90" w:id="-1168359420"/>
                <w14:textFill>
                  <w14:solidFill>
                    <w14:srgbClr w14:val="000000">
                      <w14:alpha w14:val="100000"/>
                    </w14:srgbClr>
                  </w14:solidFill>
                </w14:textFill>
              </w:rPr>
              <w:t xml:space="preserve">　</w:t>
            </w:r>
            <w:r w:rsidR="00DD1C46">
              <w:rPr>
                <w:szCs w:val="20"/>
                <w:vertAlign w:val="superscript"/>
              </w:rPr>
              <w:t>6</w:t>
            </w:r>
          </w:p>
        </w:tc>
        <w:tc>
          <w:tcPr>
            <w:tcW w:w="1134" w:type="dxa"/>
            <w:noWrap/>
            <w:tcMar>
              <w:left w:w="20" w:type="dxa"/>
              <w:right w:w="20" w:type="dxa"/>
            </w:tcMar>
            <w:vAlign w:val="center"/>
          </w:tcPr>
          <w:p w14:paraId="0A8DEACD" w14:textId="2C20438E" w:rsidR="00980351" w:rsidRPr="00DD1C46" w:rsidRDefault="00D42DC9" w:rsidP="009402F2">
            <w:pPr>
              <w:pStyle w:val="TableText0"/>
              <w:jc w:val="center"/>
              <w:rPr>
                <w:szCs w:val="20"/>
                <w:vertAlign w:val="superscript"/>
              </w:rPr>
            </w:pPr>
            <w:r w:rsidRPr="00D42DC9">
              <w:rPr>
                <w:rFonts w:hint="eastAsia"/>
                <w:color w:val="000000"/>
                <w:w w:val="15"/>
                <w:szCs w:val="20"/>
                <w:shd w:val="solid" w:color="000000" w:fill="000000"/>
                <w:fitText w:val="60" w:id="-1168359419"/>
                <w14:textFill>
                  <w14:solidFill>
                    <w14:srgbClr w14:val="000000">
                      <w14:alpha w14:val="100000"/>
                    </w14:srgbClr>
                  </w14:solidFill>
                </w14:textFill>
              </w:rPr>
              <w:t xml:space="preserve">　</w:t>
            </w:r>
            <w:r w:rsidRPr="00D42DC9">
              <w:rPr>
                <w:color w:val="000000"/>
                <w:w w:val="15"/>
                <w:szCs w:val="20"/>
                <w:shd w:val="solid" w:color="000000" w:fill="000000"/>
                <w:fitText w:val="60" w:id="-1168359419"/>
                <w14:textFill>
                  <w14:solidFill>
                    <w14:srgbClr w14:val="000000">
                      <w14:alpha w14:val="100000"/>
                    </w14:srgbClr>
                  </w14:solidFill>
                </w14:textFill>
              </w:rPr>
              <w:t>|</w:t>
            </w:r>
            <w:r w:rsidRPr="00D42DC9">
              <w:rPr>
                <w:rFonts w:hint="eastAsia"/>
                <w:color w:val="000000"/>
                <w:spacing w:val="-5"/>
                <w:w w:val="15"/>
                <w:szCs w:val="20"/>
                <w:shd w:val="solid" w:color="000000" w:fill="000000"/>
                <w:fitText w:val="60" w:id="-1168359419"/>
                <w14:textFill>
                  <w14:solidFill>
                    <w14:srgbClr w14:val="000000">
                      <w14:alpha w14:val="100000"/>
                    </w14:srgbClr>
                  </w14:solidFill>
                </w14:textFill>
              </w:rPr>
              <w:t xml:space="preserve">　</w:t>
            </w:r>
            <w:r w:rsidR="00DD1C46">
              <w:rPr>
                <w:szCs w:val="20"/>
                <w:vertAlign w:val="superscript"/>
              </w:rPr>
              <w:t>11</w:t>
            </w:r>
          </w:p>
        </w:tc>
        <w:tc>
          <w:tcPr>
            <w:tcW w:w="658" w:type="dxa"/>
            <w:noWrap/>
            <w:tcMar>
              <w:left w:w="20" w:type="dxa"/>
              <w:right w:w="20" w:type="dxa"/>
            </w:tcMar>
            <w:vAlign w:val="center"/>
          </w:tcPr>
          <w:p w14:paraId="017573B9" w14:textId="77777777" w:rsidR="00980351" w:rsidRPr="001677F9" w:rsidRDefault="00980351" w:rsidP="009402F2">
            <w:pPr>
              <w:keepNext/>
              <w:keepLines/>
              <w:jc w:val="center"/>
              <w:rPr>
                <w:rFonts w:ascii="Arial Narrow" w:hAnsi="Arial Narrow"/>
                <w:sz w:val="20"/>
                <w:szCs w:val="20"/>
              </w:rPr>
            </w:pPr>
            <w:r w:rsidRPr="001677F9">
              <w:rPr>
                <w:rFonts w:ascii="Arial Narrow" w:hAnsi="Arial Narrow"/>
                <w:sz w:val="20"/>
                <w:szCs w:val="20"/>
              </w:rPr>
              <w:t>41%</w:t>
            </w:r>
          </w:p>
        </w:tc>
      </w:tr>
      <w:tr w:rsidR="0072088C" w:rsidRPr="001677F9" w14:paraId="3524D993" w14:textId="77777777" w:rsidTr="0072088C">
        <w:trPr>
          <w:trHeight w:val="250"/>
        </w:trPr>
        <w:tc>
          <w:tcPr>
            <w:tcW w:w="2263" w:type="dxa"/>
            <w:noWrap/>
            <w:tcMar>
              <w:left w:w="20" w:type="dxa"/>
              <w:right w:w="20" w:type="dxa"/>
            </w:tcMar>
          </w:tcPr>
          <w:p w14:paraId="1FAF2140" w14:textId="76246CF4" w:rsidR="00980351" w:rsidRPr="001677F9" w:rsidRDefault="00980351" w:rsidP="00AD1DC3">
            <w:pPr>
              <w:pStyle w:val="TableText0"/>
              <w:rPr>
                <w:szCs w:val="20"/>
              </w:rPr>
            </w:pPr>
            <w:r w:rsidRPr="001677F9">
              <w:rPr>
                <w:szCs w:val="20"/>
              </w:rPr>
              <w:t>Treatment compliance (90%)</w:t>
            </w:r>
            <w:r w:rsidR="00E279EB">
              <w:rPr>
                <w:szCs w:val="20"/>
              </w:rPr>
              <w:t xml:space="preserve"> ($)</w:t>
            </w:r>
          </w:p>
        </w:tc>
        <w:tc>
          <w:tcPr>
            <w:tcW w:w="956" w:type="dxa"/>
            <w:noWrap/>
            <w:tcMar>
              <w:left w:w="20" w:type="dxa"/>
              <w:right w:w="20" w:type="dxa"/>
            </w:tcMar>
            <w:vAlign w:val="center"/>
          </w:tcPr>
          <w:p w14:paraId="1C9B6477" w14:textId="4380DB02" w:rsidR="00980351" w:rsidRPr="00DD1C46" w:rsidRDefault="00D42DC9" w:rsidP="009402F2">
            <w:pPr>
              <w:pStyle w:val="TableText0"/>
              <w:jc w:val="center"/>
              <w:rPr>
                <w:szCs w:val="20"/>
                <w:vertAlign w:val="superscript"/>
              </w:rPr>
            </w:pPr>
            <w:r w:rsidRPr="00D42DC9">
              <w:rPr>
                <w:rFonts w:hint="eastAsia"/>
                <w:color w:val="000000"/>
                <w:w w:val="27"/>
                <w:szCs w:val="20"/>
                <w:shd w:val="solid" w:color="000000" w:fill="000000"/>
                <w:fitText w:val="120" w:id="-1168359418"/>
                <w14:textFill>
                  <w14:solidFill>
                    <w14:srgbClr w14:val="000000">
                      <w14:alpha w14:val="100000"/>
                    </w14:srgbClr>
                  </w14:solidFill>
                </w14:textFill>
              </w:rPr>
              <w:t xml:space="preserve">　</w:t>
            </w:r>
            <w:r w:rsidRPr="00D42DC9">
              <w:rPr>
                <w:color w:val="000000"/>
                <w:w w:val="27"/>
                <w:szCs w:val="20"/>
                <w:shd w:val="solid" w:color="000000" w:fill="000000"/>
                <w:fitText w:val="120" w:id="-1168359418"/>
                <w14:textFill>
                  <w14:solidFill>
                    <w14:srgbClr w14:val="000000">
                      <w14:alpha w14:val="100000"/>
                    </w14:srgbClr>
                  </w14:solidFill>
                </w14:textFill>
              </w:rPr>
              <w:t>|</w:t>
            </w:r>
            <w:r w:rsidRPr="00D42DC9">
              <w:rPr>
                <w:rFonts w:hint="eastAsia"/>
                <w:color w:val="000000"/>
                <w:spacing w:val="2"/>
                <w:w w:val="27"/>
                <w:szCs w:val="20"/>
                <w:shd w:val="solid" w:color="000000" w:fill="000000"/>
                <w:fitText w:val="120" w:id="-1168359418"/>
                <w14:textFill>
                  <w14:solidFill>
                    <w14:srgbClr w14:val="000000">
                      <w14:alpha w14:val="100000"/>
                    </w14:srgbClr>
                  </w14:solidFill>
                </w14:textFill>
              </w:rPr>
              <w:t xml:space="preserve">　</w:t>
            </w:r>
            <w:r w:rsidR="00DD1C46">
              <w:rPr>
                <w:szCs w:val="20"/>
                <w:vertAlign w:val="superscript"/>
              </w:rPr>
              <w:t>1</w:t>
            </w:r>
          </w:p>
        </w:tc>
        <w:tc>
          <w:tcPr>
            <w:tcW w:w="1011" w:type="dxa"/>
            <w:noWrap/>
            <w:tcMar>
              <w:left w:w="20" w:type="dxa"/>
              <w:right w:w="20" w:type="dxa"/>
            </w:tcMar>
            <w:vAlign w:val="center"/>
          </w:tcPr>
          <w:p w14:paraId="1069DAA6" w14:textId="5775EED5" w:rsidR="00980351" w:rsidRPr="00DD1C46" w:rsidRDefault="00D42DC9" w:rsidP="009402F2">
            <w:pPr>
              <w:pStyle w:val="TableText0"/>
              <w:jc w:val="center"/>
              <w:rPr>
                <w:szCs w:val="20"/>
                <w:vertAlign w:val="superscript"/>
              </w:rPr>
            </w:pPr>
            <w:r w:rsidRPr="00D42DC9">
              <w:rPr>
                <w:rFonts w:hint="eastAsia"/>
                <w:color w:val="000000"/>
                <w:w w:val="20"/>
                <w:szCs w:val="20"/>
                <w:shd w:val="solid" w:color="000000" w:fill="000000"/>
                <w:fitText w:val="90" w:id="-1168359417"/>
                <w14:textFill>
                  <w14:solidFill>
                    <w14:srgbClr w14:val="000000">
                      <w14:alpha w14:val="100000"/>
                    </w14:srgbClr>
                  </w14:solidFill>
                </w14:textFill>
              </w:rPr>
              <w:t xml:space="preserve">　</w:t>
            </w:r>
            <w:r w:rsidRPr="00D42DC9">
              <w:rPr>
                <w:color w:val="000000"/>
                <w:w w:val="20"/>
                <w:szCs w:val="20"/>
                <w:shd w:val="solid" w:color="000000" w:fill="000000"/>
                <w:fitText w:val="90" w:id="-1168359417"/>
                <w14:textFill>
                  <w14:solidFill>
                    <w14:srgbClr w14:val="000000">
                      <w14:alpha w14:val="100000"/>
                    </w14:srgbClr>
                  </w14:solidFill>
                </w14:textFill>
              </w:rPr>
              <w:t>|</w:t>
            </w:r>
            <w:r w:rsidRPr="00D42DC9">
              <w:rPr>
                <w:rFonts w:hint="eastAsia"/>
                <w:color w:val="000000"/>
                <w:spacing w:val="3"/>
                <w:w w:val="20"/>
                <w:szCs w:val="20"/>
                <w:shd w:val="solid" w:color="000000" w:fill="000000"/>
                <w:fitText w:val="90" w:id="-1168359417"/>
                <w14:textFill>
                  <w14:solidFill>
                    <w14:srgbClr w14:val="000000">
                      <w14:alpha w14:val="100000"/>
                    </w14:srgbClr>
                  </w14:solidFill>
                </w14:textFill>
              </w:rPr>
              <w:t xml:space="preserve">　</w:t>
            </w:r>
            <w:r w:rsidR="00DD1C46">
              <w:rPr>
                <w:szCs w:val="20"/>
                <w:vertAlign w:val="superscript"/>
              </w:rPr>
              <w:t>2</w:t>
            </w:r>
          </w:p>
        </w:tc>
        <w:tc>
          <w:tcPr>
            <w:tcW w:w="1010" w:type="dxa"/>
            <w:noWrap/>
            <w:tcMar>
              <w:left w:w="20" w:type="dxa"/>
              <w:right w:w="20" w:type="dxa"/>
            </w:tcMar>
            <w:vAlign w:val="center"/>
          </w:tcPr>
          <w:p w14:paraId="47F5D0FB" w14:textId="593C2AB5" w:rsidR="00980351" w:rsidRPr="001677F9" w:rsidRDefault="00D42DC9" w:rsidP="009402F2">
            <w:pPr>
              <w:pStyle w:val="TableText0"/>
              <w:jc w:val="center"/>
              <w:rPr>
                <w:szCs w:val="20"/>
              </w:rPr>
            </w:pPr>
            <w:r w:rsidRPr="00D42DC9">
              <w:rPr>
                <w:rFonts w:hint="eastAsia"/>
                <w:color w:val="000000"/>
                <w:w w:val="20"/>
                <w:szCs w:val="20"/>
                <w:shd w:val="solid" w:color="000000" w:fill="000000"/>
                <w:fitText w:val="90" w:id="-1168359416"/>
                <w14:textFill>
                  <w14:solidFill>
                    <w14:srgbClr w14:val="000000">
                      <w14:alpha w14:val="100000"/>
                    </w14:srgbClr>
                  </w14:solidFill>
                </w14:textFill>
              </w:rPr>
              <w:t xml:space="preserve">　</w:t>
            </w:r>
            <w:r w:rsidRPr="00D42DC9">
              <w:rPr>
                <w:color w:val="000000"/>
                <w:w w:val="20"/>
                <w:szCs w:val="20"/>
                <w:shd w:val="solid" w:color="000000" w:fill="000000"/>
                <w:fitText w:val="90" w:id="-1168359416"/>
                <w14:textFill>
                  <w14:solidFill>
                    <w14:srgbClr w14:val="000000">
                      <w14:alpha w14:val="100000"/>
                    </w14:srgbClr>
                  </w14:solidFill>
                </w14:textFill>
              </w:rPr>
              <w:t>|</w:t>
            </w:r>
            <w:r w:rsidRPr="00D42DC9">
              <w:rPr>
                <w:rFonts w:hint="eastAsia"/>
                <w:color w:val="000000"/>
                <w:spacing w:val="3"/>
                <w:w w:val="20"/>
                <w:szCs w:val="20"/>
                <w:shd w:val="solid" w:color="000000" w:fill="000000"/>
                <w:fitText w:val="90" w:id="-1168359416"/>
                <w14:textFill>
                  <w14:solidFill>
                    <w14:srgbClr w14:val="000000">
                      <w14:alpha w14:val="100000"/>
                    </w14:srgbClr>
                  </w14:solidFill>
                </w14:textFill>
              </w:rPr>
              <w:t xml:space="preserve">　</w:t>
            </w:r>
            <w:r w:rsidR="00B17538" w:rsidRPr="00B17538">
              <w:rPr>
                <w:szCs w:val="20"/>
                <w:vertAlign w:val="superscript"/>
              </w:rPr>
              <w:t>3</w:t>
            </w:r>
          </w:p>
        </w:tc>
        <w:tc>
          <w:tcPr>
            <w:tcW w:w="962" w:type="dxa"/>
            <w:noWrap/>
            <w:tcMar>
              <w:left w:w="20" w:type="dxa"/>
              <w:right w:w="20" w:type="dxa"/>
            </w:tcMar>
            <w:vAlign w:val="center"/>
          </w:tcPr>
          <w:p w14:paraId="3C5F17FF" w14:textId="2C9F2B00" w:rsidR="00980351" w:rsidRPr="00B17538" w:rsidRDefault="00D42DC9" w:rsidP="009402F2">
            <w:pPr>
              <w:pStyle w:val="TableText0"/>
              <w:jc w:val="center"/>
              <w:rPr>
                <w:szCs w:val="20"/>
                <w:vertAlign w:val="superscript"/>
              </w:rPr>
            </w:pPr>
            <w:r w:rsidRPr="00D42DC9">
              <w:rPr>
                <w:rFonts w:hint="eastAsia"/>
                <w:color w:val="000000"/>
                <w:w w:val="27"/>
                <w:szCs w:val="20"/>
                <w:shd w:val="solid" w:color="000000" w:fill="000000"/>
                <w:fitText w:val="120" w:id="-1168359415"/>
                <w14:textFill>
                  <w14:solidFill>
                    <w14:srgbClr w14:val="000000">
                      <w14:alpha w14:val="100000"/>
                    </w14:srgbClr>
                  </w14:solidFill>
                </w14:textFill>
              </w:rPr>
              <w:t xml:space="preserve">　</w:t>
            </w:r>
            <w:r w:rsidRPr="00D42DC9">
              <w:rPr>
                <w:color w:val="000000"/>
                <w:w w:val="27"/>
                <w:szCs w:val="20"/>
                <w:shd w:val="solid" w:color="000000" w:fill="000000"/>
                <w:fitText w:val="120" w:id="-1168359415"/>
                <w14:textFill>
                  <w14:solidFill>
                    <w14:srgbClr w14:val="000000">
                      <w14:alpha w14:val="100000"/>
                    </w14:srgbClr>
                  </w14:solidFill>
                </w14:textFill>
              </w:rPr>
              <w:t>|</w:t>
            </w:r>
            <w:r w:rsidRPr="00D42DC9">
              <w:rPr>
                <w:rFonts w:hint="eastAsia"/>
                <w:color w:val="000000"/>
                <w:spacing w:val="2"/>
                <w:w w:val="27"/>
                <w:szCs w:val="20"/>
                <w:shd w:val="solid" w:color="000000" w:fill="000000"/>
                <w:fitText w:val="120" w:id="-1168359415"/>
                <w14:textFill>
                  <w14:solidFill>
                    <w14:srgbClr w14:val="000000">
                      <w14:alpha w14:val="100000"/>
                    </w14:srgbClr>
                  </w14:solidFill>
                </w14:textFill>
              </w:rPr>
              <w:t xml:space="preserve">　</w:t>
            </w:r>
            <w:r w:rsidR="00B17538">
              <w:rPr>
                <w:szCs w:val="20"/>
                <w:vertAlign w:val="superscript"/>
              </w:rPr>
              <w:t>4</w:t>
            </w:r>
          </w:p>
        </w:tc>
        <w:tc>
          <w:tcPr>
            <w:tcW w:w="1023" w:type="dxa"/>
            <w:noWrap/>
            <w:tcMar>
              <w:left w:w="20" w:type="dxa"/>
              <w:right w:w="20" w:type="dxa"/>
            </w:tcMar>
            <w:vAlign w:val="center"/>
          </w:tcPr>
          <w:p w14:paraId="27285586" w14:textId="558ACDA7" w:rsidR="00980351" w:rsidRPr="00B17538" w:rsidRDefault="00D42DC9" w:rsidP="009402F2">
            <w:pPr>
              <w:pStyle w:val="TableText0"/>
              <w:jc w:val="center"/>
              <w:rPr>
                <w:szCs w:val="20"/>
                <w:vertAlign w:val="superscript"/>
              </w:rPr>
            </w:pPr>
            <w:r w:rsidRPr="00D42DC9">
              <w:rPr>
                <w:rFonts w:hint="eastAsia"/>
                <w:color w:val="000000"/>
                <w:w w:val="20"/>
                <w:szCs w:val="20"/>
                <w:shd w:val="solid" w:color="000000" w:fill="000000"/>
                <w:fitText w:val="90" w:id="-1168359414"/>
                <w14:textFill>
                  <w14:solidFill>
                    <w14:srgbClr w14:val="000000">
                      <w14:alpha w14:val="100000"/>
                    </w14:srgbClr>
                  </w14:solidFill>
                </w14:textFill>
              </w:rPr>
              <w:t xml:space="preserve">　</w:t>
            </w:r>
            <w:r w:rsidRPr="00D42DC9">
              <w:rPr>
                <w:color w:val="000000"/>
                <w:w w:val="20"/>
                <w:szCs w:val="20"/>
                <w:shd w:val="solid" w:color="000000" w:fill="000000"/>
                <w:fitText w:val="90" w:id="-1168359414"/>
                <w14:textFill>
                  <w14:solidFill>
                    <w14:srgbClr w14:val="000000">
                      <w14:alpha w14:val="100000"/>
                    </w14:srgbClr>
                  </w14:solidFill>
                </w14:textFill>
              </w:rPr>
              <w:t>|</w:t>
            </w:r>
            <w:r w:rsidRPr="00D42DC9">
              <w:rPr>
                <w:rFonts w:hint="eastAsia"/>
                <w:color w:val="000000"/>
                <w:spacing w:val="3"/>
                <w:w w:val="20"/>
                <w:szCs w:val="20"/>
                <w:shd w:val="solid" w:color="000000" w:fill="000000"/>
                <w:fitText w:val="90" w:id="-1168359414"/>
                <w14:textFill>
                  <w14:solidFill>
                    <w14:srgbClr w14:val="000000">
                      <w14:alpha w14:val="100000"/>
                    </w14:srgbClr>
                  </w14:solidFill>
                </w14:textFill>
              </w:rPr>
              <w:t xml:space="preserve">　</w:t>
            </w:r>
            <w:r w:rsidR="00B17538">
              <w:rPr>
                <w:szCs w:val="20"/>
                <w:vertAlign w:val="superscript"/>
              </w:rPr>
              <w:t>5</w:t>
            </w:r>
          </w:p>
        </w:tc>
        <w:tc>
          <w:tcPr>
            <w:tcW w:w="1134" w:type="dxa"/>
            <w:noWrap/>
            <w:tcMar>
              <w:left w:w="20" w:type="dxa"/>
              <w:right w:w="20" w:type="dxa"/>
            </w:tcMar>
            <w:vAlign w:val="center"/>
          </w:tcPr>
          <w:p w14:paraId="5165BEE2" w14:textId="79CAA89A" w:rsidR="00980351" w:rsidRPr="00B17538" w:rsidRDefault="00D42DC9" w:rsidP="009402F2">
            <w:pPr>
              <w:pStyle w:val="TableText0"/>
              <w:jc w:val="center"/>
              <w:rPr>
                <w:szCs w:val="20"/>
                <w:vertAlign w:val="superscript"/>
              </w:rPr>
            </w:pPr>
            <w:r w:rsidRPr="00D42DC9">
              <w:rPr>
                <w:rFonts w:hint="eastAsia"/>
                <w:color w:val="000000"/>
                <w:w w:val="15"/>
                <w:szCs w:val="20"/>
                <w:shd w:val="solid" w:color="000000" w:fill="000000"/>
                <w:fitText w:val="60" w:id="-1168359413"/>
                <w14:textFill>
                  <w14:solidFill>
                    <w14:srgbClr w14:val="000000">
                      <w14:alpha w14:val="100000"/>
                    </w14:srgbClr>
                  </w14:solidFill>
                </w14:textFill>
              </w:rPr>
              <w:t xml:space="preserve">　</w:t>
            </w:r>
            <w:r w:rsidRPr="00D42DC9">
              <w:rPr>
                <w:color w:val="000000"/>
                <w:w w:val="15"/>
                <w:szCs w:val="20"/>
                <w:shd w:val="solid" w:color="000000" w:fill="000000"/>
                <w:fitText w:val="60" w:id="-1168359413"/>
                <w14:textFill>
                  <w14:solidFill>
                    <w14:srgbClr w14:val="000000">
                      <w14:alpha w14:val="100000"/>
                    </w14:srgbClr>
                  </w14:solidFill>
                </w14:textFill>
              </w:rPr>
              <w:t>|</w:t>
            </w:r>
            <w:r w:rsidRPr="00D42DC9">
              <w:rPr>
                <w:rFonts w:hint="eastAsia"/>
                <w:color w:val="000000"/>
                <w:spacing w:val="-5"/>
                <w:w w:val="15"/>
                <w:szCs w:val="20"/>
                <w:shd w:val="solid" w:color="000000" w:fill="000000"/>
                <w:fitText w:val="60" w:id="-1168359413"/>
                <w14:textFill>
                  <w14:solidFill>
                    <w14:srgbClr w14:val="000000">
                      <w14:alpha w14:val="100000"/>
                    </w14:srgbClr>
                  </w14:solidFill>
                </w14:textFill>
              </w:rPr>
              <w:t xml:space="preserve">　</w:t>
            </w:r>
            <w:r w:rsidR="00B17538">
              <w:rPr>
                <w:szCs w:val="20"/>
                <w:vertAlign w:val="superscript"/>
              </w:rPr>
              <w:t>10</w:t>
            </w:r>
          </w:p>
        </w:tc>
        <w:tc>
          <w:tcPr>
            <w:tcW w:w="658" w:type="dxa"/>
            <w:noWrap/>
            <w:tcMar>
              <w:left w:w="20" w:type="dxa"/>
              <w:right w:w="20" w:type="dxa"/>
            </w:tcMar>
            <w:vAlign w:val="center"/>
          </w:tcPr>
          <w:p w14:paraId="4758CFB3" w14:textId="77777777" w:rsidR="00980351" w:rsidRPr="001677F9" w:rsidRDefault="00980351" w:rsidP="009402F2">
            <w:pPr>
              <w:keepNext/>
              <w:keepLines/>
              <w:jc w:val="center"/>
              <w:rPr>
                <w:rFonts w:ascii="Arial Narrow" w:hAnsi="Arial Narrow"/>
                <w:sz w:val="20"/>
                <w:szCs w:val="20"/>
              </w:rPr>
            </w:pPr>
            <w:r w:rsidRPr="001677F9">
              <w:rPr>
                <w:rFonts w:ascii="Arial Narrow" w:hAnsi="Arial Narrow"/>
                <w:sz w:val="20"/>
                <w:szCs w:val="20"/>
              </w:rPr>
              <w:t>-7%</w:t>
            </w:r>
          </w:p>
        </w:tc>
      </w:tr>
      <w:tr w:rsidR="0072088C" w:rsidRPr="001677F9" w14:paraId="34F65C37" w14:textId="77777777" w:rsidTr="0072088C">
        <w:trPr>
          <w:trHeight w:val="250"/>
        </w:trPr>
        <w:tc>
          <w:tcPr>
            <w:tcW w:w="2263" w:type="dxa"/>
            <w:noWrap/>
            <w:tcMar>
              <w:left w:w="20" w:type="dxa"/>
              <w:right w:w="20" w:type="dxa"/>
            </w:tcMar>
          </w:tcPr>
          <w:p w14:paraId="61BBA42F" w14:textId="354B4B84" w:rsidR="00980351" w:rsidRPr="001677F9" w:rsidRDefault="00980351" w:rsidP="00AD1DC3">
            <w:pPr>
              <w:pStyle w:val="TableText0"/>
              <w:rPr>
                <w:szCs w:val="20"/>
              </w:rPr>
            </w:pPr>
            <w:r w:rsidRPr="001677F9">
              <w:rPr>
                <w:szCs w:val="20"/>
              </w:rPr>
              <w:t>Patients with LVEF&gt;40%, NYHA II-IV receiving SOC (-</w:t>
            </w:r>
            <w:r w:rsidR="007C356C">
              <w:rPr>
                <w:szCs w:val="20"/>
              </w:rPr>
              <w:t> </w:t>
            </w:r>
            <w:r w:rsidRPr="001677F9">
              <w:rPr>
                <w:szCs w:val="20"/>
              </w:rPr>
              <w:t>10%)</w:t>
            </w:r>
            <w:r w:rsidR="00E279EB">
              <w:rPr>
                <w:szCs w:val="20"/>
              </w:rPr>
              <w:t xml:space="preserve"> ($)</w:t>
            </w:r>
          </w:p>
        </w:tc>
        <w:tc>
          <w:tcPr>
            <w:tcW w:w="956" w:type="dxa"/>
            <w:noWrap/>
            <w:tcMar>
              <w:left w:w="20" w:type="dxa"/>
              <w:right w:w="20" w:type="dxa"/>
            </w:tcMar>
            <w:vAlign w:val="center"/>
          </w:tcPr>
          <w:p w14:paraId="7696795C" w14:textId="1849BEF8" w:rsidR="00980351" w:rsidRPr="00B17538" w:rsidRDefault="00D42DC9" w:rsidP="009402F2">
            <w:pPr>
              <w:pStyle w:val="TableText0"/>
              <w:jc w:val="center"/>
              <w:rPr>
                <w:szCs w:val="20"/>
                <w:vertAlign w:val="superscript"/>
              </w:rPr>
            </w:pPr>
            <w:r w:rsidRPr="00D42DC9">
              <w:rPr>
                <w:rFonts w:hint="eastAsia"/>
                <w:color w:val="000000"/>
                <w:w w:val="27"/>
                <w:szCs w:val="20"/>
                <w:shd w:val="solid" w:color="000000" w:fill="000000"/>
                <w:fitText w:val="120" w:id="-1168359412"/>
                <w14:textFill>
                  <w14:solidFill>
                    <w14:srgbClr w14:val="000000">
                      <w14:alpha w14:val="100000"/>
                    </w14:srgbClr>
                  </w14:solidFill>
                </w14:textFill>
              </w:rPr>
              <w:t xml:space="preserve">　</w:t>
            </w:r>
            <w:r w:rsidRPr="00D42DC9">
              <w:rPr>
                <w:color w:val="000000"/>
                <w:w w:val="27"/>
                <w:szCs w:val="20"/>
                <w:shd w:val="solid" w:color="000000" w:fill="000000"/>
                <w:fitText w:val="120" w:id="-1168359412"/>
                <w14:textFill>
                  <w14:solidFill>
                    <w14:srgbClr w14:val="000000">
                      <w14:alpha w14:val="100000"/>
                    </w14:srgbClr>
                  </w14:solidFill>
                </w14:textFill>
              </w:rPr>
              <w:t>|</w:t>
            </w:r>
            <w:r w:rsidRPr="00D42DC9">
              <w:rPr>
                <w:rFonts w:hint="eastAsia"/>
                <w:color w:val="000000"/>
                <w:spacing w:val="2"/>
                <w:w w:val="27"/>
                <w:szCs w:val="20"/>
                <w:shd w:val="solid" w:color="000000" w:fill="000000"/>
                <w:fitText w:val="120" w:id="-1168359412"/>
                <w14:textFill>
                  <w14:solidFill>
                    <w14:srgbClr w14:val="000000">
                      <w14:alpha w14:val="100000"/>
                    </w14:srgbClr>
                  </w14:solidFill>
                </w14:textFill>
              </w:rPr>
              <w:t xml:space="preserve">　</w:t>
            </w:r>
            <w:r w:rsidR="00B17538">
              <w:rPr>
                <w:szCs w:val="20"/>
                <w:vertAlign w:val="superscript"/>
              </w:rPr>
              <w:t>1</w:t>
            </w:r>
          </w:p>
        </w:tc>
        <w:tc>
          <w:tcPr>
            <w:tcW w:w="1011" w:type="dxa"/>
            <w:noWrap/>
            <w:tcMar>
              <w:left w:w="20" w:type="dxa"/>
              <w:right w:w="20" w:type="dxa"/>
            </w:tcMar>
            <w:vAlign w:val="center"/>
          </w:tcPr>
          <w:p w14:paraId="05BAB9E8" w14:textId="053D3B52" w:rsidR="00980351" w:rsidRPr="00B17538" w:rsidRDefault="00D42DC9" w:rsidP="009402F2">
            <w:pPr>
              <w:pStyle w:val="TableText0"/>
              <w:jc w:val="center"/>
              <w:rPr>
                <w:szCs w:val="20"/>
                <w:vertAlign w:val="superscript"/>
              </w:rPr>
            </w:pPr>
            <w:r w:rsidRPr="00D42DC9">
              <w:rPr>
                <w:rFonts w:hint="eastAsia"/>
                <w:color w:val="000000"/>
                <w:w w:val="20"/>
                <w:szCs w:val="20"/>
                <w:shd w:val="solid" w:color="000000" w:fill="000000"/>
                <w:fitText w:val="90" w:id="-1168359411"/>
                <w14:textFill>
                  <w14:solidFill>
                    <w14:srgbClr w14:val="000000">
                      <w14:alpha w14:val="100000"/>
                    </w14:srgbClr>
                  </w14:solidFill>
                </w14:textFill>
              </w:rPr>
              <w:t xml:space="preserve">　</w:t>
            </w:r>
            <w:r w:rsidRPr="00D42DC9">
              <w:rPr>
                <w:color w:val="000000"/>
                <w:w w:val="20"/>
                <w:szCs w:val="20"/>
                <w:shd w:val="solid" w:color="000000" w:fill="000000"/>
                <w:fitText w:val="90" w:id="-1168359411"/>
                <w14:textFill>
                  <w14:solidFill>
                    <w14:srgbClr w14:val="000000">
                      <w14:alpha w14:val="100000"/>
                    </w14:srgbClr>
                  </w14:solidFill>
                </w14:textFill>
              </w:rPr>
              <w:t>|</w:t>
            </w:r>
            <w:r w:rsidRPr="00D42DC9">
              <w:rPr>
                <w:rFonts w:hint="eastAsia"/>
                <w:color w:val="000000"/>
                <w:spacing w:val="3"/>
                <w:w w:val="20"/>
                <w:szCs w:val="20"/>
                <w:shd w:val="solid" w:color="000000" w:fill="000000"/>
                <w:fitText w:val="90" w:id="-1168359411"/>
                <w14:textFill>
                  <w14:solidFill>
                    <w14:srgbClr w14:val="000000">
                      <w14:alpha w14:val="100000"/>
                    </w14:srgbClr>
                  </w14:solidFill>
                </w14:textFill>
              </w:rPr>
              <w:t xml:space="preserve">　</w:t>
            </w:r>
            <w:r w:rsidR="00B17538">
              <w:rPr>
                <w:szCs w:val="20"/>
                <w:vertAlign w:val="superscript"/>
              </w:rPr>
              <w:t>2</w:t>
            </w:r>
          </w:p>
        </w:tc>
        <w:tc>
          <w:tcPr>
            <w:tcW w:w="1010" w:type="dxa"/>
            <w:noWrap/>
            <w:tcMar>
              <w:left w:w="20" w:type="dxa"/>
              <w:right w:w="20" w:type="dxa"/>
            </w:tcMar>
            <w:vAlign w:val="center"/>
          </w:tcPr>
          <w:p w14:paraId="677AB9F1" w14:textId="38E599F9" w:rsidR="00980351" w:rsidRPr="00B17538" w:rsidRDefault="00D42DC9" w:rsidP="009402F2">
            <w:pPr>
              <w:pStyle w:val="TableText0"/>
              <w:jc w:val="center"/>
              <w:rPr>
                <w:szCs w:val="20"/>
                <w:vertAlign w:val="superscript"/>
              </w:rPr>
            </w:pPr>
            <w:r w:rsidRPr="00D42DC9">
              <w:rPr>
                <w:rFonts w:hint="eastAsia"/>
                <w:color w:val="000000"/>
                <w:w w:val="20"/>
                <w:szCs w:val="20"/>
                <w:shd w:val="solid" w:color="000000" w:fill="000000"/>
                <w:fitText w:val="90" w:id="-1168359410"/>
                <w14:textFill>
                  <w14:solidFill>
                    <w14:srgbClr w14:val="000000">
                      <w14:alpha w14:val="100000"/>
                    </w14:srgbClr>
                  </w14:solidFill>
                </w14:textFill>
              </w:rPr>
              <w:t xml:space="preserve">　</w:t>
            </w:r>
            <w:r w:rsidRPr="00D42DC9">
              <w:rPr>
                <w:color w:val="000000"/>
                <w:w w:val="20"/>
                <w:szCs w:val="20"/>
                <w:shd w:val="solid" w:color="000000" w:fill="000000"/>
                <w:fitText w:val="90" w:id="-1168359410"/>
                <w14:textFill>
                  <w14:solidFill>
                    <w14:srgbClr w14:val="000000">
                      <w14:alpha w14:val="100000"/>
                    </w14:srgbClr>
                  </w14:solidFill>
                </w14:textFill>
              </w:rPr>
              <w:t>|</w:t>
            </w:r>
            <w:r w:rsidRPr="00D42DC9">
              <w:rPr>
                <w:rFonts w:hint="eastAsia"/>
                <w:color w:val="000000"/>
                <w:spacing w:val="3"/>
                <w:w w:val="20"/>
                <w:szCs w:val="20"/>
                <w:shd w:val="solid" w:color="000000" w:fill="000000"/>
                <w:fitText w:val="90" w:id="-1168359410"/>
                <w14:textFill>
                  <w14:solidFill>
                    <w14:srgbClr w14:val="000000">
                      <w14:alpha w14:val="100000"/>
                    </w14:srgbClr>
                  </w14:solidFill>
                </w14:textFill>
              </w:rPr>
              <w:t xml:space="preserve">　</w:t>
            </w:r>
            <w:r w:rsidR="00B17538">
              <w:rPr>
                <w:szCs w:val="20"/>
                <w:vertAlign w:val="superscript"/>
              </w:rPr>
              <w:t>7</w:t>
            </w:r>
          </w:p>
        </w:tc>
        <w:tc>
          <w:tcPr>
            <w:tcW w:w="962" w:type="dxa"/>
            <w:noWrap/>
            <w:tcMar>
              <w:left w:w="20" w:type="dxa"/>
              <w:right w:w="20" w:type="dxa"/>
            </w:tcMar>
            <w:vAlign w:val="center"/>
          </w:tcPr>
          <w:p w14:paraId="6A3C4963" w14:textId="61352D1A" w:rsidR="00980351" w:rsidRPr="00B17538" w:rsidRDefault="00D42DC9" w:rsidP="009402F2">
            <w:pPr>
              <w:pStyle w:val="TableText0"/>
              <w:jc w:val="center"/>
              <w:rPr>
                <w:szCs w:val="20"/>
                <w:vertAlign w:val="superscript"/>
              </w:rPr>
            </w:pPr>
            <w:r w:rsidRPr="00D42DC9">
              <w:rPr>
                <w:rFonts w:hint="eastAsia"/>
                <w:color w:val="000000"/>
                <w:w w:val="27"/>
                <w:szCs w:val="20"/>
                <w:shd w:val="solid" w:color="000000" w:fill="000000"/>
                <w:fitText w:val="120" w:id="-1168359409"/>
                <w14:textFill>
                  <w14:solidFill>
                    <w14:srgbClr w14:val="000000">
                      <w14:alpha w14:val="100000"/>
                    </w14:srgbClr>
                  </w14:solidFill>
                </w14:textFill>
              </w:rPr>
              <w:t xml:space="preserve">　</w:t>
            </w:r>
            <w:r w:rsidRPr="00D42DC9">
              <w:rPr>
                <w:color w:val="000000"/>
                <w:w w:val="27"/>
                <w:szCs w:val="20"/>
                <w:shd w:val="solid" w:color="000000" w:fill="000000"/>
                <w:fitText w:val="120" w:id="-1168359409"/>
                <w14:textFill>
                  <w14:solidFill>
                    <w14:srgbClr w14:val="000000">
                      <w14:alpha w14:val="100000"/>
                    </w14:srgbClr>
                  </w14:solidFill>
                </w14:textFill>
              </w:rPr>
              <w:t>|</w:t>
            </w:r>
            <w:r w:rsidRPr="00D42DC9">
              <w:rPr>
                <w:rFonts w:hint="eastAsia"/>
                <w:color w:val="000000"/>
                <w:spacing w:val="2"/>
                <w:w w:val="27"/>
                <w:szCs w:val="20"/>
                <w:shd w:val="solid" w:color="000000" w:fill="000000"/>
                <w:fitText w:val="120" w:id="-1168359409"/>
                <w14:textFill>
                  <w14:solidFill>
                    <w14:srgbClr w14:val="000000">
                      <w14:alpha w14:val="100000"/>
                    </w14:srgbClr>
                  </w14:solidFill>
                </w14:textFill>
              </w:rPr>
              <w:t xml:space="preserve">　</w:t>
            </w:r>
            <w:r w:rsidR="00B17538">
              <w:rPr>
                <w:szCs w:val="20"/>
                <w:vertAlign w:val="superscript"/>
              </w:rPr>
              <w:t>4</w:t>
            </w:r>
          </w:p>
        </w:tc>
        <w:tc>
          <w:tcPr>
            <w:tcW w:w="1023" w:type="dxa"/>
            <w:noWrap/>
            <w:tcMar>
              <w:left w:w="20" w:type="dxa"/>
              <w:right w:w="20" w:type="dxa"/>
            </w:tcMar>
            <w:vAlign w:val="center"/>
          </w:tcPr>
          <w:p w14:paraId="25D837F4" w14:textId="67A217D6" w:rsidR="00980351" w:rsidRPr="00B17538" w:rsidRDefault="00D42DC9" w:rsidP="009402F2">
            <w:pPr>
              <w:pStyle w:val="TableText0"/>
              <w:jc w:val="center"/>
              <w:rPr>
                <w:szCs w:val="20"/>
                <w:vertAlign w:val="superscript"/>
              </w:rPr>
            </w:pPr>
            <w:r w:rsidRPr="00D42DC9">
              <w:rPr>
                <w:rFonts w:hint="eastAsia"/>
                <w:color w:val="000000"/>
                <w:w w:val="20"/>
                <w:szCs w:val="20"/>
                <w:shd w:val="solid" w:color="000000" w:fill="000000"/>
                <w:fitText w:val="90" w:id="-1168359408"/>
                <w14:textFill>
                  <w14:solidFill>
                    <w14:srgbClr w14:val="000000">
                      <w14:alpha w14:val="100000"/>
                    </w14:srgbClr>
                  </w14:solidFill>
                </w14:textFill>
              </w:rPr>
              <w:t xml:space="preserve">　</w:t>
            </w:r>
            <w:r w:rsidRPr="00D42DC9">
              <w:rPr>
                <w:color w:val="000000"/>
                <w:w w:val="20"/>
                <w:szCs w:val="20"/>
                <w:shd w:val="solid" w:color="000000" w:fill="000000"/>
                <w:fitText w:val="90" w:id="-1168359408"/>
                <w14:textFill>
                  <w14:solidFill>
                    <w14:srgbClr w14:val="000000">
                      <w14:alpha w14:val="100000"/>
                    </w14:srgbClr>
                  </w14:solidFill>
                </w14:textFill>
              </w:rPr>
              <w:t>|</w:t>
            </w:r>
            <w:r w:rsidRPr="00D42DC9">
              <w:rPr>
                <w:rFonts w:hint="eastAsia"/>
                <w:color w:val="000000"/>
                <w:spacing w:val="3"/>
                <w:w w:val="20"/>
                <w:szCs w:val="20"/>
                <w:shd w:val="solid" w:color="000000" w:fill="000000"/>
                <w:fitText w:val="90" w:id="-1168359408"/>
                <w14:textFill>
                  <w14:solidFill>
                    <w14:srgbClr w14:val="000000">
                      <w14:alpha w14:val="100000"/>
                    </w14:srgbClr>
                  </w14:solidFill>
                </w14:textFill>
              </w:rPr>
              <w:t xml:space="preserve">　</w:t>
            </w:r>
            <w:r w:rsidR="00B17538">
              <w:rPr>
                <w:szCs w:val="20"/>
                <w:vertAlign w:val="superscript"/>
              </w:rPr>
              <w:t>5</w:t>
            </w:r>
          </w:p>
        </w:tc>
        <w:tc>
          <w:tcPr>
            <w:tcW w:w="1134" w:type="dxa"/>
            <w:noWrap/>
            <w:tcMar>
              <w:left w:w="20" w:type="dxa"/>
              <w:right w:w="20" w:type="dxa"/>
            </w:tcMar>
            <w:vAlign w:val="center"/>
          </w:tcPr>
          <w:p w14:paraId="72E74F13" w14:textId="4681C946" w:rsidR="00980351" w:rsidRPr="00B17538" w:rsidRDefault="00D42DC9" w:rsidP="009402F2">
            <w:pPr>
              <w:pStyle w:val="TableText0"/>
              <w:jc w:val="center"/>
              <w:rPr>
                <w:szCs w:val="20"/>
                <w:vertAlign w:val="superscript"/>
              </w:rPr>
            </w:pPr>
            <w:r w:rsidRPr="00D42DC9">
              <w:rPr>
                <w:rFonts w:hint="eastAsia"/>
                <w:color w:val="000000"/>
                <w:w w:val="15"/>
                <w:szCs w:val="20"/>
                <w:shd w:val="solid" w:color="000000" w:fill="000000"/>
                <w:fitText w:val="60" w:id="-1168359424"/>
                <w14:textFill>
                  <w14:solidFill>
                    <w14:srgbClr w14:val="000000">
                      <w14:alpha w14:val="100000"/>
                    </w14:srgbClr>
                  </w14:solidFill>
                </w14:textFill>
              </w:rPr>
              <w:t xml:space="preserve">　</w:t>
            </w:r>
            <w:r w:rsidRPr="00D42DC9">
              <w:rPr>
                <w:color w:val="000000"/>
                <w:w w:val="15"/>
                <w:szCs w:val="20"/>
                <w:shd w:val="solid" w:color="000000" w:fill="000000"/>
                <w:fitText w:val="60" w:id="-1168359424"/>
                <w14:textFill>
                  <w14:solidFill>
                    <w14:srgbClr w14:val="000000">
                      <w14:alpha w14:val="100000"/>
                    </w14:srgbClr>
                  </w14:solidFill>
                </w14:textFill>
              </w:rPr>
              <w:t>|</w:t>
            </w:r>
            <w:r w:rsidRPr="00D42DC9">
              <w:rPr>
                <w:rFonts w:hint="eastAsia"/>
                <w:color w:val="000000"/>
                <w:spacing w:val="-5"/>
                <w:w w:val="15"/>
                <w:szCs w:val="20"/>
                <w:shd w:val="solid" w:color="000000" w:fill="000000"/>
                <w:fitText w:val="60" w:id="-1168359424"/>
                <w14:textFill>
                  <w14:solidFill>
                    <w14:srgbClr w14:val="000000">
                      <w14:alpha w14:val="100000"/>
                    </w14:srgbClr>
                  </w14:solidFill>
                </w14:textFill>
              </w:rPr>
              <w:t xml:space="preserve">　</w:t>
            </w:r>
            <w:r w:rsidR="00B17538">
              <w:rPr>
                <w:szCs w:val="20"/>
                <w:vertAlign w:val="superscript"/>
              </w:rPr>
              <w:t>10</w:t>
            </w:r>
          </w:p>
        </w:tc>
        <w:tc>
          <w:tcPr>
            <w:tcW w:w="658" w:type="dxa"/>
            <w:noWrap/>
            <w:tcMar>
              <w:left w:w="20" w:type="dxa"/>
              <w:right w:w="20" w:type="dxa"/>
            </w:tcMar>
            <w:vAlign w:val="center"/>
          </w:tcPr>
          <w:p w14:paraId="2ED17806" w14:textId="77777777" w:rsidR="00980351" w:rsidRPr="001677F9" w:rsidRDefault="00980351" w:rsidP="009402F2">
            <w:pPr>
              <w:keepNext/>
              <w:keepLines/>
              <w:jc w:val="center"/>
              <w:rPr>
                <w:rFonts w:ascii="Arial Narrow" w:hAnsi="Arial Narrow"/>
                <w:sz w:val="20"/>
                <w:szCs w:val="20"/>
              </w:rPr>
            </w:pPr>
            <w:r w:rsidRPr="001677F9">
              <w:rPr>
                <w:rFonts w:ascii="Arial Narrow" w:hAnsi="Arial Narrow"/>
                <w:sz w:val="20"/>
                <w:szCs w:val="20"/>
              </w:rPr>
              <w:t>-10%</w:t>
            </w:r>
          </w:p>
        </w:tc>
      </w:tr>
    </w:tbl>
    <w:p w14:paraId="6A3C823E" w14:textId="26664AC1" w:rsidR="00980351" w:rsidRPr="001677F9" w:rsidRDefault="00980351" w:rsidP="00980351">
      <w:pPr>
        <w:pStyle w:val="FooterTableFigure"/>
        <w:keepNext/>
      </w:pPr>
      <w:r w:rsidRPr="001677F9">
        <w:t xml:space="preserve">Source: Compiled during the evaluation based on </w:t>
      </w:r>
      <w:r w:rsidR="00C20FE3" w:rsidRPr="001677F9">
        <w:t>Table 4.6.1 p122</w:t>
      </w:r>
      <w:r w:rsidR="007D6F7C" w:rsidRPr="001677F9">
        <w:t xml:space="preserve">, </w:t>
      </w:r>
      <w:r w:rsidRPr="001677F9">
        <w:t>Table 4.2.1 p117, Figure 4.1.1 p116 of the submission, Section 4 workbook, sheet 2e. Scripts-market, sheet 3a. Scripts-proposed, sheet 3b. Impact-proposed, Table 4.6.1 p122 of the submission</w:t>
      </w:r>
    </w:p>
    <w:p w14:paraId="2E5D83AE" w14:textId="0A582481" w:rsidR="00980351" w:rsidRPr="001677F9" w:rsidRDefault="00980351" w:rsidP="00980351">
      <w:pPr>
        <w:pStyle w:val="FooterTableFigure"/>
        <w:keepNext/>
      </w:pPr>
      <w:r w:rsidRPr="001677F9">
        <w:t>CKD = chronic kidney disease; HF = heart failure; LVEF = left ventricular ejection fraction; NYHA = New York Heart Association; PBS = Pharmaceutical Benefits Scheme; SGLT = Sodium-glucose transport protein; SOC = standard of care</w:t>
      </w:r>
      <w:r w:rsidR="00C40B88" w:rsidRPr="001677F9">
        <w:t>.</w:t>
      </w:r>
      <w:r w:rsidRPr="001677F9">
        <w:t xml:space="preserve"> </w:t>
      </w:r>
    </w:p>
    <w:p w14:paraId="3142A889" w14:textId="77777777" w:rsidR="00AF3857" w:rsidRDefault="00980351" w:rsidP="00AF3857">
      <w:pPr>
        <w:pStyle w:val="FooterTableFigure"/>
        <w:keepNext/>
      </w:pPr>
      <w:r w:rsidRPr="00AF3857">
        <w:rPr>
          <w:vertAlign w:val="superscript"/>
        </w:rPr>
        <w:t>a</w:t>
      </w:r>
      <w:r w:rsidRPr="00AF3857">
        <w:t xml:space="preserve"> Table 14.1.6.1, DELIVER CSR; b proportion of change between base case and scenarios based on estimates applied in the SA in </w:t>
      </w:r>
      <w:r w:rsidR="004A28D8" w:rsidRPr="00AF3857">
        <w:t>Year 6.</w:t>
      </w:r>
      <w:r w:rsidRPr="001677F9">
        <w:t xml:space="preserve"> </w:t>
      </w:r>
    </w:p>
    <w:p w14:paraId="156DCEB3" w14:textId="23633DB2" w:rsidR="00E279EB" w:rsidRPr="00B17538" w:rsidRDefault="00E279EB" w:rsidP="00E279EB">
      <w:pPr>
        <w:rPr>
          <w:rFonts w:ascii="Arial Narrow" w:hAnsi="Arial Narrow"/>
          <w:i/>
          <w:sz w:val="18"/>
          <w:szCs w:val="18"/>
        </w:rPr>
      </w:pPr>
      <w:r w:rsidRPr="00B17538">
        <w:rPr>
          <w:rFonts w:ascii="Arial Narrow" w:hAnsi="Arial Narrow"/>
          <w:i/>
          <w:sz w:val="18"/>
          <w:szCs w:val="18"/>
        </w:rPr>
        <w:t xml:space="preserve">The redacted values correspond to the following ranges: </w:t>
      </w:r>
    </w:p>
    <w:p w14:paraId="38A3E74D" w14:textId="77777777" w:rsidR="002A355D" w:rsidRDefault="002A355D" w:rsidP="00ED1B25">
      <w:pPr>
        <w:ind w:right="150"/>
        <w:rPr>
          <w:rFonts w:ascii="Arial Narrow" w:hAnsi="Arial Narrow"/>
          <w:i/>
          <w:color w:val="333333"/>
          <w:sz w:val="18"/>
          <w:szCs w:val="18"/>
          <w:vertAlign w:val="superscript"/>
        </w:rPr>
        <w:sectPr w:rsidR="002A355D" w:rsidSect="00974D36">
          <w:type w:val="continuous"/>
          <w:pgSz w:w="11907" w:h="16840" w:code="9"/>
          <w:pgMar w:top="1440" w:right="1440" w:bottom="1440" w:left="1440" w:header="1440" w:footer="1440" w:gutter="0"/>
          <w:pgNumType w:start="1"/>
          <w:cols w:space="708"/>
          <w:docGrid w:linePitch="360"/>
        </w:sectPr>
      </w:pPr>
    </w:p>
    <w:p w14:paraId="672A3E51" w14:textId="23A6C5BB" w:rsidR="00ED1B25" w:rsidRPr="00B17538" w:rsidRDefault="00ED1B25" w:rsidP="00ED1B25">
      <w:pPr>
        <w:ind w:right="150"/>
        <w:rPr>
          <w:rFonts w:ascii="Arial Narrow" w:hAnsi="Arial Narrow"/>
          <w:i/>
          <w:color w:val="333333"/>
          <w:sz w:val="18"/>
          <w:szCs w:val="18"/>
        </w:rPr>
      </w:pPr>
      <w:r w:rsidRPr="00B17538">
        <w:rPr>
          <w:rFonts w:ascii="Arial Narrow" w:hAnsi="Arial Narrow"/>
          <w:i/>
          <w:color w:val="333333"/>
          <w:sz w:val="18"/>
          <w:szCs w:val="18"/>
          <w:vertAlign w:val="superscript"/>
        </w:rPr>
        <w:t>1</w:t>
      </w:r>
      <w:r w:rsidRPr="00B17538">
        <w:rPr>
          <w:rFonts w:ascii="Arial Narrow" w:hAnsi="Arial Narrow"/>
          <w:i/>
          <w:color w:val="333333"/>
          <w:sz w:val="18"/>
          <w:szCs w:val="18"/>
        </w:rPr>
        <w:t>$0 to &lt; $10 million</w:t>
      </w:r>
    </w:p>
    <w:p w14:paraId="23E78CBE" w14:textId="41BD4F74" w:rsidR="00ED1B25" w:rsidRPr="00B17538" w:rsidRDefault="00ED1B25" w:rsidP="00ED1B25">
      <w:pPr>
        <w:ind w:right="150"/>
        <w:rPr>
          <w:rFonts w:ascii="Arial Narrow" w:hAnsi="Arial Narrow"/>
          <w:i/>
          <w:color w:val="333333"/>
          <w:sz w:val="18"/>
          <w:szCs w:val="18"/>
        </w:rPr>
      </w:pPr>
      <w:r w:rsidRPr="00B17538">
        <w:rPr>
          <w:rFonts w:ascii="Arial Narrow" w:hAnsi="Arial Narrow"/>
          <w:i/>
          <w:color w:val="333333"/>
          <w:sz w:val="18"/>
          <w:szCs w:val="18"/>
          <w:vertAlign w:val="superscript"/>
        </w:rPr>
        <w:t>2</w:t>
      </w:r>
      <w:r w:rsidRPr="00B17538">
        <w:rPr>
          <w:rFonts w:ascii="Arial Narrow" w:hAnsi="Arial Narrow"/>
          <w:i/>
          <w:color w:val="333333"/>
          <w:sz w:val="18"/>
          <w:szCs w:val="18"/>
        </w:rPr>
        <w:t>$10 million to &lt; $20 million</w:t>
      </w:r>
    </w:p>
    <w:p w14:paraId="1838B876" w14:textId="383E09F4" w:rsidR="00ED1B25" w:rsidRPr="00B17538" w:rsidRDefault="00ED1B25" w:rsidP="00ED1B25">
      <w:pPr>
        <w:ind w:right="150"/>
        <w:rPr>
          <w:rFonts w:ascii="Arial Narrow" w:hAnsi="Arial Narrow"/>
          <w:i/>
          <w:color w:val="333333"/>
          <w:sz w:val="18"/>
          <w:szCs w:val="18"/>
        </w:rPr>
      </w:pPr>
      <w:r w:rsidRPr="00B17538">
        <w:rPr>
          <w:rFonts w:ascii="Arial Narrow" w:hAnsi="Arial Narrow"/>
          <w:i/>
          <w:color w:val="333333"/>
          <w:sz w:val="18"/>
          <w:szCs w:val="18"/>
          <w:vertAlign w:val="superscript"/>
        </w:rPr>
        <w:t>3</w:t>
      </w:r>
      <w:r w:rsidRPr="00B17538">
        <w:rPr>
          <w:rFonts w:ascii="Arial Narrow" w:hAnsi="Arial Narrow"/>
          <w:i/>
          <w:color w:val="333333"/>
          <w:sz w:val="18"/>
          <w:szCs w:val="18"/>
        </w:rPr>
        <w:t>$30 million to &lt; $40 million</w:t>
      </w:r>
    </w:p>
    <w:p w14:paraId="231E8700" w14:textId="26AF1C70" w:rsidR="001A0CA4" w:rsidRPr="00B17538" w:rsidRDefault="001A0CA4" w:rsidP="001A0CA4">
      <w:pPr>
        <w:ind w:right="150"/>
        <w:rPr>
          <w:rFonts w:ascii="Arial Narrow" w:hAnsi="Arial Narrow"/>
          <w:i/>
          <w:color w:val="333333"/>
          <w:sz w:val="18"/>
          <w:szCs w:val="18"/>
        </w:rPr>
      </w:pPr>
      <w:r w:rsidRPr="00B17538">
        <w:rPr>
          <w:rFonts w:ascii="Arial Narrow" w:hAnsi="Arial Narrow"/>
          <w:i/>
          <w:color w:val="333333"/>
          <w:sz w:val="18"/>
          <w:szCs w:val="18"/>
          <w:vertAlign w:val="superscript"/>
        </w:rPr>
        <w:t>4</w:t>
      </w:r>
      <w:r w:rsidRPr="00B17538">
        <w:rPr>
          <w:rFonts w:ascii="Arial Narrow" w:hAnsi="Arial Narrow"/>
          <w:i/>
          <w:color w:val="333333"/>
          <w:sz w:val="18"/>
          <w:szCs w:val="18"/>
        </w:rPr>
        <w:t>$40 million to &lt; $50 million</w:t>
      </w:r>
    </w:p>
    <w:p w14:paraId="674C6AB7" w14:textId="4A0487A0" w:rsidR="001A0CA4" w:rsidRPr="00B17538" w:rsidRDefault="001A0CA4" w:rsidP="001A0CA4">
      <w:pPr>
        <w:ind w:right="150"/>
        <w:rPr>
          <w:rFonts w:ascii="Arial Narrow" w:hAnsi="Arial Narrow"/>
          <w:i/>
          <w:color w:val="333333"/>
          <w:sz w:val="18"/>
          <w:szCs w:val="18"/>
        </w:rPr>
      </w:pPr>
      <w:r w:rsidRPr="00B17538">
        <w:rPr>
          <w:rFonts w:ascii="Arial Narrow" w:hAnsi="Arial Narrow"/>
          <w:i/>
          <w:color w:val="333333"/>
          <w:sz w:val="18"/>
          <w:szCs w:val="18"/>
          <w:vertAlign w:val="superscript"/>
        </w:rPr>
        <w:t>5</w:t>
      </w:r>
      <w:r w:rsidRPr="00B17538">
        <w:rPr>
          <w:rFonts w:ascii="Arial Narrow" w:hAnsi="Arial Narrow"/>
          <w:i/>
          <w:color w:val="333333"/>
          <w:sz w:val="18"/>
          <w:szCs w:val="18"/>
        </w:rPr>
        <w:t>$60 million to &lt; $70 million</w:t>
      </w:r>
    </w:p>
    <w:p w14:paraId="3338E7FC" w14:textId="59DB5B9E" w:rsidR="001A0CA4" w:rsidRPr="00B17538" w:rsidRDefault="001A0CA4" w:rsidP="001A0CA4">
      <w:pPr>
        <w:ind w:right="150"/>
        <w:rPr>
          <w:rFonts w:ascii="Arial Narrow" w:hAnsi="Arial Narrow"/>
          <w:i/>
          <w:color w:val="333333"/>
          <w:sz w:val="18"/>
          <w:szCs w:val="18"/>
        </w:rPr>
      </w:pPr>
      <w:r w:rsidRPr="00B17538">
        <w:rPr>
          <w:rFonts w:ascii="Arial Narrow" w:hAnsi="Arial Narrow"/>
          <w:i/>
          <w:color w:val="333333"/>
          <w:sz w:val="18"/>
          <w:szCs w:val="18"/>
          <w:vertAlign w:val="superscript"/>
        </w:rPr>
        <w:t>6</w:t>
      </w:r>
      <w:r w:rsidRPr="00B17538">
        <w:rPr>
          <w:rFonts w:ascii="Arial Narrow" w:hAnsi="Arial Narrow"/>
          <w:i/>
          <w:color w:val="333333"/>
          <w:sz w:val="18"/>
          <w:szCs w:val="18"/>
        </w:rPr>
        <w:t>$90 million to &lt; $100 million</w:t>
      </w:r>
    </w:p>
    <w:p w14:paraId="198A5113" w14:textId="502DC210" w:rsidR="00B97A72" w:rsidRPr="00B17538" w:rsidRDefault="00B97A72" w:rsidP="00B97A72">
      <w:pPr>
        <w:ind w:right="150"/>
        <w:rPr>
          <w:rFonts w:ascii="Arial Narrow" w:hAnsi="Arial Narrow"/>
          <w:i/>
          <w:color w:val="333333"/>
          <w:sz w:val="18"/>
          <w:szCs w:val="18"/>
        </w:rPr>
      </w:pPr>
      <w:r w:rsidRPr="00B17538">
        <w:rPr>
          <w:rFonts w:ascii="Arial Narrow" w:hAnsi="Arial Narrow"/>
          <w:i/>
          <w:color w:val="333333"/>
          <w:sz w:val="18"/>
          <w:szCs w:val="18"/>
          <w:vertAlign w:val="superscript"/>
        </w:rPr>
        <w:t>7</w:t>
      </w:r>
      <w:r w:rsidRPr="00B17538">
        <w:rPr>
          <w:rFonts w:ascii="Arial Narrow" w:hAnsi="Arial Narrow"/>
          <w:i/>
          <w:color w:val="333333"/>
          <w:sz w:val="18"/>
          <w:szCs w:val="18"/>
        </w:rPr>
        <w:t>$20 million to &lt; $30 million</w:t>
      </w:r>
    </w:p>
    <w:p w14:paraId="2C4B613E" w14:textId="0D6222C1" w:rsidR="00254E64" w:rsidRPr="00B17538" w:rsidRDefault="00254E64" w:rsidP="00254E64">
      <w:pPr>
        <w:ind w:right="150"/>
        <w:rPr>
          <w:rFonts w:ascii="Arial Narrow" w:hAnsi="Arial Narrow"/>
          <w:i/>
          <w:color w:val="333333"/>
          <w:sz w:val="18"/>
          <w:szCs w:val="18"/>
        </w:rPr>
      </w:pPr>
      <w:r w:rsidRPr="00B17538">
        <w:rPr>
          <w:rFonts w:ascii="Arial Narrow" w:hAnsi="Arial Narrow"/>
          <w:i/>
          <w:color w:val="333333"/>
          <w:sz w:val="18"/>
          <w:szCs w:val="18"/>
          <w:vertAlign w:val="superscript"/>
        </w:rPr>
        <w:t>8</w:t>
      </w:r>
      <w:r w:rsidRPr="00B17538">
        <w:rPr>
          <w:rFonts w:ascii="Arial Narrow" w:hAnsi="Arial Narrow"/>
          <w:i/>
          <w:color w:val="333333"/>
          <w:sz w:val="18"/>
          <w:szCs w:val="18"/>
        </w:rPr>
        <w:t>$50 million to &lt; $60 million</w:t>
      </w:r>
    </w:p>
    <w:p w14:paraId="388F4979" w14:textId="6CB86EAB" w:rsidR="00254E64" w:rsidRPr="00B17538" w:rsidRDefault="00254E64" w:rsidP="00254E64">
      <w:pPr>
        <w:ind w:right="150"/>
        <w:rPr>
          <w:rFonts w:ascii="Arial Narrow" w:hAnsi="Arial Narrow"/>
          <w:i/>
          <w:color w:val="333333"/>
          <w:sz w:val="18"/>
          <w:szCs w:val="18"/>
        </w:rPr>
      </w:pPr>
      <w:r w:rsidRPr="00B17538">
        <w:rPr>
          <w:rFonts w:ascii="Arial Narrow" w:hAnsi="Arial Narrow"/>
          <w:i/>
          <w:color w:val="333333"/>
          <w:sz w:val="18"/>
          <w:szCs w:val="18"/>
          <w:vertAlign w:val="superscript"/>
        </w:rPr>
        <w:t>9</w:t>
      </w:r>
      <w:r w:rsidRPr="00B17538">
        <w:rPr>
          <w:rFonts w:ascii="Arial Narrow" w:hAnsi="Arial Narrow"/>
          <w:i/>
          <w:color w:val="333333"/>
          <w:sz w:val="18"/>
          <w:szCs w:val="18"/>
        </w:rPr>
        <w:t>$70 million to &lt; $80 million</w:t>
      </w:r>
    </w:p>
    <w:p w14:paraId="6AC5E868" w14:textId="14F89A84" w:rsidR="00064975" w:rsidRPr="00B17538" w:rsidRDefault="00064975" w:rsidP="00064975">
      <w:pPr>
        <w:ind w:right="150"/>
        <w:rPr>
          <w:rFonts w:ascii="Arial Narrow" w:hAnsi="Arial Narrow"/>
          <w:i/>
          <w:color w:val="333333"/>
          <w:sz w:val="18"/>
          <w:szCs w:val="18"/>
        </w:rPr>
      </w:pPr>
      <w:r w:rsidRPr="00B17538">
        <w:rPr>
          <w:rFonts w:ascii="Arial Narrow" w:hAnsi="Arial Narrow"/>
          <w:i/>
          <w:color w:val="333333"/>
          <w:sz w:val="18"/>
          <w:szCs w:val="18"/>
          <w:vertAlign w:val="superscript"/>
        </w:rPr>
        <w:t>10</w:t>
      </w:r>
      <w:r w:rsidRPr="00B17538">
        <w:rPr>
          <w:rFonts w:ascii="Arial Narrow" w:hAnsi="Arial Narrow"/>
          <w:i/>
          <w:color w:val="333333"/>
          <w:sz w:val="18"/>
          <w:szCs w:val="18"/>
        </w:rPr>
        <w:t>$80 million to &lt; $90 million</w:t>
      </w:r>
    </w:p>
    <w:p w14:paraId="02ED59E8" w14:textId="00F3C7D4" w:rsidR="002A355D" w:rsidRPr="00AF3857" w:rsidRDefault="00B83DBA" w:rsidP="00AF3857">
      <w:pPr>
        <w:ind w:right="150"/>
        <w:rPr>
          <w:rFonts w:ascii="Arial Narrow" w:hAnsi="Arial Narrow"/>
          <w:i/>
          <w:color w:val="333333"/>
          <w:sz w:val="18"/>
          <w:szCs w:val="18"/>
        </w:rPr>
        <w:sectPr w:rsidR="002A355D" w:rsidRPr="00AF3857" w:rsidSect="002A355D">
          <w:type w:val="continuous"/>
          <w:pgSz w:w="11907" w:h="16840" w:code="9"/>
          <w:pgMar w:top="1440" w:right="1440" w:bottom="1440" w:left="1440" w:header="1440" w:footer="1440" w:gutter="0"/>
          <w:pgNumType w:start="1"/>
          <w:cols w:num="2" w:space="708"/>
          <w:docGrid w:linePitch="360"/>
        </w:sectPr>
      </w:pPr>
      <w:r w:rsidRPr="00B17538">
        <w:rPr>
          <w:rFonts w:ascii="Arial Narrow" w:hAnsi="Arial Narrow"/>
          <w:i/>
          <w:color w:val="333333"/>
          <w:sz w:val="18"/>
          <w:szCs w:val="18"/>
          <w:vertAlign w:val="superscript"/>
        </w:rPr>
        <w:t>11</w:t>
      </w:r>
      <w:r w:rsidRPr="00B17538">
        <w:rPr>
          <w:rFonts w:ascii="Arial Narrow" w:hAnsi="Arial Narrow"/>
          <w:i/>
          <w:color w:val="333333"/>
          <w:sz w:val="18"/>
          <w:szCs w:val="18"/>
        </w:rPr>
        <w:t>$100 million to &lt; $200 million</w:t>
      </w:r>
      <w:bookmarkStart w:id="85" w:name="_Toc22897648"/>
      <w:bookmarkStart w:id="86" w:name="_Toc135217180"/>
    </w:p>
    <w:p w14:paraId="692B4A71" w14:textId="3FE4D15F" w:rsidR="00980351" w:rsidRPr="001677F9" w:rsidRDefault="00980351" w:rsidP="00980351">
      <w:pPr>
        <w:pStyle w:val="4-SubsectionHeading"/>
      </w:pPr>
      <w:r w:rsidRPr="001677F9">
        <w:t>Quality Use of Medicines</w:t>
      </w:r>
      <w:bookmarkEnd w:id="85"/>
      <w:bookmarkEnd w:id="86"/>
    </w:p>
    <w:p w14:paraId="3CD3C065" w14:textId="45B7135B" w:rsidR="00980351" w:rsidRPr="001677F9" w:rsidRDefault="00980351" w:rsidP="00980351">
      <w:pPr>
        <w:pStyle w:val="3-BodyText"/>
      </w:pPr>
      <w:bookmarkStart w:id="87" w:name="_Toc22897649"/>
      <w:r w:rsidRPr="001677F9">
        <w:t xml:space="preserve">No quality use of medicines issues </w:t>
      </w:r>
      <w:proofErr w:type="gramStart"/>
      <w:r w:rsidRPr="001677F9">
        <w:t>were</w:t>
      </w:r>
      <w:proofErr w:type="gramEnd"/>
      <w:r w:rsidRPr="001677F9">
        <w:t xml:space="preserve"> identified in the submission, and no activities to support the quality use of medicines were proposed. Based on the previous PBAC considerations of empagliflozin in HF </w:t>
      </w:r>
      <w:r w:rsidRPr="001677F9">
        <w:rPr>
          <w:color w:val="000000"/>
        </w:rPr>
        <w:t>with LVEF ≤40%</w:t>
      </w:r>
      <w:r w:rsidRPr="001677F9">
        <w:t xml:space="preserve"> (paragraph 6.66, empagliflozin</w:t>
      </w:r>
      <w:r w:rsidR="00472465">
        <w:t xml:space="preserve"> PSD</w:t>
      </w:r>
      <w:r w:rsidRPr="001677F9">
        <w:t xml:space="preserve">, November 2022) and dapagliflozin PI the following quality use of medicines issues apply to dapagliflozin in HF patients with LVEF &gt;40%: </w:t>
      </w:r>
    </w:p>
    <w:p w14:paraId="2288B963" w14:textId="77777777" w:rsidR="00980351" w:rsidRPr="001677F9" w:rsidRDefault="00980351" w:rsidP="00AA7422">
      <w:pPr>
        <w:pStyle w:val="3-BodyText"/>
        <w:numPr>
          <w:ilvl w:val="0"/>
          <w:numId w:val="12"/>
        </w:numPr>
        <w:ind w:left="1134"/>
      </w:pPr>
      <w:r w:rsidRPr="001677F9">
        <w:t>Inadvertent co-prescribing of dapagliflozin with other SGLT2 inhibitors used for the treatment of diabetes.</w:t>
      </w:r>
    </w:p>
    <w:p w14:paraId="723CC482" w14:textId="77777777" w:rsidR="00980351" w:rsidRPr="001677F9" w:rsidRDefault="00980351" w:rsidP="00AA7422">
      <w:pPr>
        <w:pStyle w:val="3-BodyText"/>
        <w:numPr>
          <w:ilvl w:val="0"/>
          <w:numId w:val="12"/>
        </w:numPr>
        <w:ind w:left="1134"/>
      </w:pPr>
      <w:r w:rsidRPr="001677F9">
        <w:t>Caution in initiating treatment in patients with renal impairment; there is limited experience with initiating treatment with dapagliflozin in patients with eGFR &lt;25 mL/min/1.73 m</w:t>
      </w:r>
      <w:r w:rsidRPr="001677F9">
        <w:rPr>
          <w:vertAlign w:val="superscript"/>
        </w:rPr>
        <w:t>2</w:t>
      </w:r>
      <w:r w:rsidRPr="001677F9">
        <w:t>. The glucose lowering efficacy of dapagliflozin is dependent on renal function and is reduced where eGFR is &lt;45 mL/min/1.73 m</w:t>
      </w:r>
      <w:r w:rsidRPr="001677F9">
        <w:rPr>
          <w:vertAlign w:val="superscript"/>
        </w:rPr>
        <w:t>2</w:t>
      </w:r>
      <w:r w:rsidRPr="001677F9">
        <w:t>.</w:t>
      </w:r>
    </w:p>
    <w:p w14:paraId="204B9C40" w14:textId="18AAEA67" w:rsidR="00980351" w:rsidRPr="001677F9" w:rsidRDefault="00980351" w:rsidP="00AA7422">
      <w:pPr>
        <w:pStyle w:val="3-BodyText"/>
        <w:numPr>
          <w:ilvl w:val="0"/>
          <w:numId w:val="12"/>
        </w:numPr>
        <w:ind w:left="1134"/>
      </w:pPr>
      <w:r w:rsidRPr="001677F9">
        <w:lastRenderedPageBreak/>
        <w:t>The management of adverse events (i.e., risk of volume depletion, urinary tract infections, diabetic ketoacidosis when SGLT2 inhibitors are taken by patients undergoing surgical procedures causing unexpected delays in surgeries).</w:t>
      </w:r>
    </w:p>
    <w:p w14:paraId="37BEEE77" w14:textId="77777777" w:rsidR="007A038B" w:rsidRPr="00D33A17" w:rsidRDefault="007A038B" w:rsidP="007A038B">
      <w:pPr>
        <w:pStyle w:val="3-BodyText"/>
        <w:numPr>
          <w:ilvl w:val="0"/>
          <w:numId w:val="0"/>
        </w:numPr>
        <w:ind w:left="720"/>
        <w:rPr>
          <w:iCs/>
        </w:rPr>
      </w:pPr>
      <w:r w:rsidRPr="001677F9">
        <w:rPr>
          <w:i/>
        </w:rPr>
        <w:t>For more detail on PBAC’s view, see section 7 PBAC outcome.</w:t>
      </w:r>
    </w:p>
    <w:p w14:paraId="382F0553" w14:textId="77777777" w:rsidR="00AA7422" w:rsidRPr="001677F9" w:rsidRDefault="00AA7422" w:rsidP="00802F45">
      <w:pPr>
        <w:pStyle w:val="2-SectionHeading"/>
        <w:numPr>
          <w:ilvl w:val="0"/>
          <w:numId w:val="1"/>
        </w:numPr>
      </w:pPr>
      <w:bookmarkStart w:id="88" w:name="_Hlk76381249"/>
      <w:bookmarkStart w:id="89" w:name="_Hlk76377955"/>
      <w:r w:rsidRPr="001677F9">
        <w:t>PBAC Outcome</w:t>
      </w:r>
    </w:p>
    <w:p w14:paraId="37C4767F" w14:textId="6D660DD4" w:rsidR="00B70166" w:rsidRPr="001677F9" w:rsidRDefault="00B70166" w:rsidP="001F551A">
      <w:pPr>
        <w:pStyle w:val="3-BodyText"/>
        <w:numPr>
          <w:ilvl w:val="1"/>
          <w:numId w:val="18"/>
        </w:numPr>
      </w:pPr>
      <w:bookmarkStart w:id="90" w:name="_Hlk111543188"/>
      <w:r w:rsidRPr="001677F9">
        <w:t>The PBAC recommended</w:t>
      </w:r>
      <w:r w:rsidRPr="001677F9">
        <w:rPr>
          <w:b/>
          <w:bCs/>
        </w:rPr>
        <w:t xml:space="preserve"> </w:t>
      </w:r>
      <w:r w:rsidR="004275B0" w:rsidRPr="001677F9">
        <w:t xml:space="preserve">extending </w:t>
      </w:r>
      <w:r w:rsidRPr="001677F9">
        <w:t xml:space="preserve">the listing of dapagliflozin </w:t>
      </w:r>
      <w:r w:rsidR="004275B0" w:rsidRPr="001677F9">
        <w:t xml:space="preserve">to include </w:t>
      </w:r>
      <w:r w:rsidRPr="001677F9">
        <w:t xml:space="preserve">the treatment of patients with chronic heart failure (HF) with a left ventricular ejection fraction (LVEF) greater than 40%.  </w:t>
      </w:r>
      <w:r w:rsidR="00F6072E" w:rsidRPr="001677F9">
        <w:t>The PBAC considered that dapagliflozin was non-inferior to the main comparator, empagliflozin in terms of comparative effectiveness and safety.</w:t>
      </w:r>
      <w:r w:rsidR="00F6072E" w:rsidRPr="00D33A17">
        <w:t xml:space="preserve"> </w:t>
      </w:r>
      <w:r w:rsidRPr="001677F9">
        <w:t>The PBAC’s recommendation for listing was based on its assessment that the cost-effectiveness of dapagliflozin would be acceptable if it w</w:t>
      </w:r>
      <w:r w:rsidR="00F71B3B" w:rsidRPr="001677F9">
        <w:t>as</w:t>
      </w:r>
      <w:r w:rsidRPr="001677F9">
        <w:t xml:space="preserve"> cost-minimised against empagliflozin, which was recommended for listing </w:t>
      </w:r>
      <w:r w:rsidR="000B2C7D" w:rsidRPr="001677F9">
        <w:t xml:space="preserve">for </w:t>
      </w:r>
      <w:r w:rsidRPr="001677F9">
        <w:t>this indication</w:t>
      </w:r>
      <w:r w:rsidRPr="001677F9">
        <w:rPr>
          <w:rFonts w:cstheme="minorHAnsi"/>
        </w:rPr>
        <w:t xml:space="preserve"> in December 2022.</w:t>
      </w:r>
    </w:p>
    <w:p w14:paraId="5B717C7B" w14:textId="045B86B9" w:rsidR="002D1F0F" w:rsidRPr="001677F9" w:rsidRDefault="00F71B3B" w:rsidP="00856349">
      <w:pPr>
        <w:pStyle w:val="3-BodyText"/>
        <w:numPr>
          <w:ilvl w:val="1"/>
          <w:numId w:val="18"/>
        </w:numPr>
      </w:pPr>
      <w:r w:rsidRPr="001677F9">
        <w:t xml:space="preserve">The PBAC considered that the PBS listing should align with the recommended listing for empagliflozin </w:t>
      </w:r>
      <w:r w:rsidR="00724525" w:rsidRPr="001677F9">
        <w:t xml:space="preserve">see </w:t>
      </w:r>
      <w:r w:rsidRPr="001677F9">
        <w:t xml:space="preserve">(wording shown in Section 8 below). </w:t>
      </w:r>
      <w:r w:rsidR="003A1A32" w:rsidRPr="001677F9">
        <w:t xml:space="preserve">The PBAC noted that application of the proposed empagliflozin restriction may lead to slight differences between the PBS population for dapagliflozin and the DELIVER trial population however considered that any differences would be minor given the similarity of the dapagliflozin and empagliflozin clinical trial designs.  </w:t>
      </w:r>
      <w:r w:rsidR="002D1F0F" w:rsidRPr="001677F9">
        <w:t>The PBAC considered that a separate grandfather restriction was not required as the recommended restriction would provide access for patients commencing dapagliflozin before the effective date of the PBS listing.</w:t>
      </w:r>
      <w:r w:rsidR="00FA6010">
        <w:t xml:space="preserve">  The PBAC recommended that the restriction should </w:t>
      </w:r>
      <w:r w:rsidR="003C297E">
        <w:t xml:space="preserve">be updated to </w:t>
      </w:r>
      <w:r w:rsidR="00FA6010">
        <w:t>state “</w:t>
      </w:r>
      <w:r w:rsidR="00FA6010" w:rsidRPr="00FA6010">
        <w:t>Patient must be symptomatic with NYHA classes II, III or IV prior to initiating treatment with this drug</w:t>
      </w:r>
      <w:r w:rsidR="00FA6010">
        <w:t>”, as this would account for patients</w:t>
      </w:r>
      <w:r w:rsidR="00FA6010" w:rsidRPr="00FA6010">
        <w:t xml:space="preserve"> </w:t>
      </w:r>
      <w:r w:rsidR="00FA6010">
        <w:t>that</w:t>
      </w:r>
      <w:r w:rsidR="00FA6010" w:rsidRPr="00FA6010">
        <w:t xml:space="preserve"> respond and become NYHA Class I whilst receiving </w:t>
      </w:r>
      <w:r w:rsidR="00FA6010">
        <w:t>treatment.  The PBAC considered th</w:t>
      </w:r>
      <w:r w:rsidR="003C297E">
        <w:t>is</w:t>
      </w:r>
      <w:r w:rsidR="00FA6010">
        <w:t xml:space="preserve"> </w:t>
      </w:r>
      <w:r w:rsidR="003C297E">
        <w:t>updated criterion</w:t>
      </w:r>
      <w:r w:rsidR="00FA6010">
        <w:t xml:space="preserve"> should also be flowed-on to the listing of empagliflozin for this indication.</w:t>
      </w:r>
    </w:p>
    <w:p w14:paraId="7E1E1A3C" w14:textId="582F392A" w:rsidR="004275B0" w:rsidRPr="001677F9" w:rsidRDefault="004275B0" w:rsidP="00F71B3B">
      <w:pPr>
        <w:pStyle w:val="3-BodyText"/>
        <w:numPr>
          <w:ilvl w:val="1"/>
          <w:numId w:val="18"/>
        </w:numPr>
      </w:pPr>
      <w:r w:rsidRPr="001677F9">
        <w:rPr>
          <w:iCs/>
        </w:rPr>
        <w:t xml:space="preserve">The PBAC </w:t>
      </w:r>
      <w:r w:rsidRPr="001677F9">
        <w:rPr>
          <w:rFonts w:cstheme="minorHAnsi"/>
        </w:rPr>
        <w:t>considered that empagliflozin was the appropriate main comparator, noting that agreement to listing arrangements for empagliflozin had been finalised.</w:t>
      </w:r>
    </w:p>
    <w:bookmarkEnd w:id="90"/>
    <w:p w14:paraId="0ED7CA6A" w14:textId="6B1032B7" w:rsidR="003C0F39" w:rsidRPr="001677F9" w:rsidRDefault="003C0F39" w:rsidP="003C0F39">
      <w:pPr>
        <w:pStyle w:val="3-BodyText"/>
        <w:numPr>
          <w:ilvl w:val="1"/>
          <w:numId w:val="18"/>
        </w:numPr>
      </w:pPr>
      <w:r w:rsidRPr="001677F9">
        <w:t xml:space="preserve">The PBAC noted that the primary clinical evidence supporting dapagliflozin in the proposed population was the DELIVER trial.  The trial demonstrated that dapagliflozin when added to standard of care (SOC) provided an improvement in efficacy over SOC alone based on </w:t>
      </w:r>
      <w:r w:rsidRPr="001677F9">
        <w:rPr>
          <w:rFonts w:eastAsia="Calibri"/>
          <w:iCs/>
        </w:rPr>
        <w:t xml:space="preserve">the primary composite outcome (time to first occurrence of CV death, </w:t>
      </w:r>
      <w:r w:rsidR="000B2C7D" w:rsidRPr="001677F9">
        <w:rPr>
          <w:rFonts w:eastAsia="Calibri"/>
          <w:iCs/>
        </w:rPr>
        <w:t xml:space="preserve">hospitalisation for </w:t>
      </w:r>
      <w:r w:rsidRPr="001677F9">
        <w:rPr>
          <w:rFonts w:eastAsia="Calibri"/>
          <w:iCs/>
        </w:rPr>
        <w:t>HF or urgent HF visit)</w:t>
      </w:r>
      <w:r w:rsidRPr="001677F9">
        <w:t xml:space="preserve">.  The PBAC considered that the claim </w:t>
      </w:r>
      <w:r w:rsidRPr="001677F9">
        <w:rPr>
          <w:rFonts w:eastAsia="Calibri"/>
        </w:rPr>
        <w:t xml:space="preserve">of non-inferior comparative safety </w:t>
      </w:r>
      <w:r w:rsidR="000B2C7D" w:rsidRPr="001677F9">
        <w:rPr>
          <w:rFonts w:eastAsia="Calibri"/>
        </w:rPr>
        <w:t xml:space="preserve">compared with SOC </w:t>
      </w:r>
      <w:r w:rsidRPr="001677F9">
        <w:rPr>
          <w:rFonts w:eastAsia="Calibri"/>
        </w:rPr>
        <w:t>was supported, noting that t</w:t>
      </w:r>
      <w:r w:rsidRPr="001677F9">
        <w:rPr>
          <w:rFonts w:cstheme="minorHAnsi"/>
        </w:rPr>
        <w:t>he proportion of SAEs was balanced between the treatment and placebo groups, and the proportions of patients with AEs leading to discontinuation of treatment were low in both groups.</w:t>
      </w:r>
    </w:p>
    <w:p w14:paraId="0AC7FA55" w14:textId="610565B5" w:rsidR="007E5FB9" w:rsidRPr="004233D5" w:rsidRDefault="007E5FB9" w:rsidP="007E5FB9">
      <w:pPr>
        <w:pStyle w:val="3-BodyText"/>
        <w:numPr>
          <w:ilvl w:val="1"/>
          <w:numId w:val="18"/>
        </w:numPr>
      </w:pPr>
      <w:bookmarkStart w:id="91" w:name="_Hlk140842293"/>
      <w:r w:rsidRPr="001677F9">
        <w:rPr>
          <w:iCs/>
        </w:rPr>
        <w:t xml:space="preserve">The PBAC considered that the submission’s claim of </w:t>
      </w:r>
      <w:r w:rsidRPr="001677F9">
        <w:t xml:space="preserve">non-inferior comparative effectiveness and safety for dapagliflozin compared to empagliflozin was supported </w:t>
      </w:r>
      <w:r w:rsidRPr="001677F9">
        <w:lastRenderedPageBreak/>
        <w:t xml:space="preserve">by the submission. </w:t>
      </w:r>
      <w:r w:rsidR="003C0F39" w:rsidRPr="001677F9">
        <w:rPr>
          <w:snapToGrid/>
        </w:rPr>
        <w:t>The submission presented an indirect treatment comparison (ITC) of dapagliflozin (DELIVER trial, N=6263) and empagliflozin (EMPEROR-Preserved trial, N=5988), using placebo as a common comparator.</w:t>
      </w:r>
      <w:r w:rsidR="003C0F39" w:rsidRPr="001677F9">
        <w:rPr>
          <w:iCs/>
        </w:rPr>
        <w:t xml:space="preserve"> </w:t>
      </w:r>
      <w:r w:rsidR="003C0F39" w:rsidRPr="001677F9">
        <w:t xml:space="preserve">For the primary composite outcome of CV death or </w:t>
      </w:r>
      <w:r w:rsidR="000B2C7D" w:rsidRPr="001677F9">
        <w:t>hospitalisation for</w:t>
      </w:r>
      <w:r w:rsidR="00812F0C" w:rsidRPr="001677F9">
        <w:t xml:space="preserve"> </w:t>
      </w:r>
      <w:r w:rsidR="003C0F39" w:rsidRPr="001677F9">
        <w:t xml:space="preserve">HF, there was no significant difference between dapagliflozin and empagliflozin, with </w:t>
      </w:r>
      <w:r w:rsidR="0073463F" w:rsidRPr="001677F9">
        <w:t xml:space="preserve">the </w:t>
      </w:r>
      <w:r w:rsidR="003C0F39" w:rsidRPr="001677F9">
        <w:t>estimate</w:t>
      </w:r>
      <w:r w:rsidR="0073463F" w:rsidRPr="001677F9">
        <w:t>d hazard ratio</w:t>
      </w:r>
      <w:r w:rsidR="00267E32" w:rsidRPr="001677F9">
        <w:t xml:space="preserve"> and 95% confidence interval</w:t>
      </w:r>
      <w:r w:rsidR="003C0F39" w:rsidRPr="001677F9">
        <w:t xml:space="preserve"> suggesting non-inferior efficacy (HR 1.01, 95% CI 0.84, 1.22)</w:t>
      </w:r>
      <w:r w:rsidR="002570BC" w:rsidRPr="001677F9">
        <w:t xml:space="preserve">.  </w:t>
      </w:r>
      <w:r w:rsidR="00B84DC7" w:rsidRPr="001677F9">
        <w:t>Similarly, for the individual components of the composite outcome and all-cause death, there was no significant difference between dapagliflozin and empagliflozin.</w:t>
      </w:r>
      <w:r w:rsidR="00B84DC7" w:rsidRPr="001677F9">
        <w:rPr>
          <w:iCs/>
        </w:rPr>
        <w:t xml:space="preserve"> </w:t>
      </w:r>
      <w:r w:rsidR="002570BC" w:rsidRPr="001677F9">
        <w:t xml:space="preserve">The PBAC also noted </w:t>
      </w:r>
      <w:r w:rsidR="003C0F39" w:rsidRPr="001677F9">
        <w:t xml:space="preserve">similar outcome rates in the placebo groups of both the DELIVER and EMPEROR-Preserved trials </w:t>
      </w:r>
      <w:r w:rsidR="00812F0C" w:rsidRPr="001677F9">
        <w:t>for the composite outcome and the individual components (</w:t>
      </w:r>
      <w:r w:rsidR="00812F0C" w:rsidRPr="001677F9">
        <w:fldChar w:fldCharType="begin" w:fldLock="1"/>
      </w:r>
      <w:r w:rsidR="00812F0C" w:rsidRPr="001677F9">
        <w:instrText xml:space="preserve"> REF _Ref132365339 \h </w:instrText>
      </w:r>
      <w:r w:rsidR="00812F0C" w:rsidRPr="001677F9">
        <w:fldChar w:fldCharType="separate"/>
      </w:r>
      <w:r w:rsidR="002C43D4" w:rsidRPr="001677F9">
        <w:t>Table 5</w:t>
      </w:r>
      <w:r w:rsidR="00812F0C" w:rsidRPr="001677F9">
        <w:fldChar w:fldCharType="end"/>
      </w:r>
      <w:r w:rsidR="00812F0C" w:rsidRPr="001677F9">
        <w:t>)</w:t>
      </w:r>
      <w:r w:rsidR="003C0F39" w:rsidRPr="001677F9">
        <w:t xml:space="preserve">. </w:t>
      </w:r>
    </w:p>
    <w:bookmarkEnd w:id="91"/>
    <w:p w14:paraId="46833357" w14:textId="03A87116" w:rsidR="00315603" w:rsidRPr="001677F9" w:rsidRDefault="00315603" w:rsidP="00315603">
      <w:pPr>
        <w:pStyle w:val="3-BodyText"/>
        <w:numPr>
          <w:ilvl w:val="1"/>
          <w:numId w:val="18"/>
        </w:numPr>
      </w:pPr>
      <w:r w:rsidRPr="001677F9">
        <w:t xml:space="preserve">The submission presented a cost-minimisation approach which assumed equivalence </w:t>
      </w:r>
      <w:r w:rsidR="0073463F" w:rsidRPr="001677F9">
        <w:t xml:space="preserve">in terms of efficacy and safety </w:t>
      </w:r>
      <w:r w:rsidRPr="001677F9">
        <w:t xml:space="preserve">of dapagliflozin 10 mg once daily and empagliflozin 10 mg once daily, consistent with the dosing schedules used in the key clinical trials. </w:t>
      </w:r>
      <w:bookmarkStart w:id="92" w:name="_Ref88035777"/>
      <w:r w:rsidRPr="001677F9">
        <w:t>The PBAC noted that the cost minimisation approach would need to be estimated based on the effective price of empagliflozin which was not known to the sponsor of dapagliflozin.</w:t>
      </w:r>
    </w:p>
    <w:p w14:paraId="222623C2" w14:textId="77777777" w:rsidR="00315603" w:rsidRPr="001677F9" w:rsidRDefault="00315603" w:rsidP="00E05DB9">
      <w:pPr>
        <w:pStyle w:val="3-BodyText"/>
        <w:numPr>
          <w:ilvl w:val="1"/>
          <w:numId w:val="18"/>
        </w:numPr>
      </w:pPr>
      <w:r w:rsidRPr="001677F9">
        <w:t>The PBAC considered that the equi-effective doses were empagliflozin 10 mg per day and dapagliflozin 10 mg per day.</w:t>
      </w:r>
      <w:bookmarkEnd w:id="92"/>
      <w:r w:rsidRPr="001677F9">
        <w:t xml:space="preserve"> The PBAC considered there was no reason to expect differential persistence or duration of therapy for these medicines.  </w:t>
      </w:r>
    </w:p>
    <w:p w14:paraId="19B84836" w14:textId="4DBB94DA" w:rsidR="00D32E65" w:rsidRPr="001677F9" w:rsidRDefault="003B1EE7" w:rsidP="00EE5BD9">
      <w:pPr>
        <w:pStyle w:val="3-BodyText"/>
        <w:numPr>
          <w:ilvl w:val="1"/>
          <w:numId w:val="18"/>
        </w:numPr>
      </w:pPr>
      <w:r w:rsidRPr="001677F9">
        <w:rPr>
          <w:snapToGrid/>
        </w:rPr>
        <w:t xml:space="preserve">The PBAC advised it would be appropriate for dapagliflozin to be subject to the same Risk-Sharing Arrangement (RSA) as empagliflozin for HF with </w:t>
      </w:r>
      <w:r w:rsidRPr="001677F9">
        <w:t>left ventricular ejection fraction (LVEF) greater than 40%</w:t>
      </w:r>
      <w:r w:rsidRPr="001677F9">
        <w:rPr>
          <w:snapToGrid/>
        </w:rPr>
        <w:t xml:space="preserve">. The PBAC </w:t>
      </w:r>
      <w:r w:rsidR="00D32E65" w:rsidRPr="001677F9">
        <w:rPr>
          <w:snapToGrid/>
        </w:rPr>
        <w:t>noted that utilisation assumptions had been agreed for empagliflozin</w:t>
      </w:r>
      <w:r w:rsidR="00EE5BD9" w:rsidRPr="001677F9">
        <w:rPr>
          <w:snapToGrid/>
        </w:rPr>
        <w:t xml:space="preserve">, and considered there should be no change to cap thresholds associated with </w:t>
      </w:r>
      <w:r w:rsidR="0073463F" w:rsidRPr="001677F9">
        <w:rPr>
          <w:snapToGrid/>
        </w:rPr>
        <w:t xml:space="preserve">the </w:t>
      </w:r>
      <w:r w:rsidR="00EE5BD9" w:rsidRPr="001677F9">
        <w:rPr>
          <w:snapToGrid/>
        </w:rPr>
        <w:t>listing of dapagliflozin in the same patient population</w:t>
      </w:r>
      <w:r w:rsidR="00445D66" w:rsidRPr="001677F9">
        <w:rPr>
          <w:snapToGrid/>
        </w:rPr>
        <w:t>.</w:t>
      </w:r>
      <w:r w:rsidR="00D32E65" w:rsidRPr="001677F9">
        <w:rPr>
          <w:snapToGrid/>
        </w:rPr>
        <w:t xml:space="preserve"> </w:t>
      </w:r>
    </w:p>
    <w:p w14:paraId="5A830D33" w14:textId="6E96AEB6" w:rsidR="003B1EE7" w:rsidRPr="001677F9" w:rsidRDefault="003B1EE7" w:rsidP="003B1EE7">
      <w:pPr>
        <w:pStyle w:val="3-BodyText"/>
        <w:numPr>
          <w:ilvl w:val="1"/>
          <w:numId w:val="18"/>
        </w:numPr>
      </w:pPr>
      <w:r w:rsidRPr="001677F9">
        <w:t xml:space="preserve">The PBAC advised that dapagliflozin is suitable for prescribing by nurse practitioners for continuing therapy only. </w:t>
      </w:r>
      <w:r w:rsidR="003A1A32" w:rsidRPr="001677F9">
        <w:t xml:space="preserve"> This would be consistent with recommended arrangements for empagliflozin for LVEF &gt;40%.</w:t>
      </w:r>
    </w:p>
    <w:p w14:paraId="709E4FF1" w14:textId="16C5D43A" w:rsidR="003B1EE7" w:rsidRPr="001677F9" w:rsidRDefault="003B1EE7" w:rsidP="00BB43CB">
      <w:pPr>
        <w:pStyle w:val="3-BodyText"/>
        <w:numPr>
          <w:ilvl w:val="1"/>
          <w:numId w:val="18"/>
        </w:numPr>
        <w:rPr>
          <w:b/>
          <w:bCs/>
        </w:rPr>
      </w:pPr>
      <w:r w:rsidRPr="001677F9">
        <w:t>The PBAC recommended that the Early Supply Rule should apply</w:t>
      </w:r>
      <w:r w:rsidR="003A1A32" w:rsidRPr="001677F9">
        <w:t>, which would be consistent with the recommended arrangements for empagliflozin for LVEF &gt;40%</w:t>
      </w:r>
      <w:r w:rsidRPr="001677F9">
        <w:t>.</w:t>
      </w:r>
    </w:p>
    <w:p w14:paraId="046DB868" w14:textId="3B23E01C" w:rsidR="003B1EE7" w:rsidRPr="001677F9" w:rsidRDefault="003B1EE7" w:rsidP="003B1EE7">
      <w:pPr>
        <w:pStyle w:val="3-BodyText"/>
        <w:numPr>
          <w:ilvl w:val="1"/>
          <w:numId w:val="18"/>
        </w:numPr>
        <w:rPr>
          <w:b/>
          <w:bCs/>
        </w:rPr>
      </w:pPr>
      <w:r w:rsidRPr="001677F9">
        <w:t>The PBAC noted that its recommendation was on a cost-minimisation basis and advised that, because dapagliflozin is not expected to provide a substantial</w:t>
      </w:r>
      <w:r w:rsidRPr="001677F9">
        <w:rPr>
          <w:bCs/>
        </w:rPr>
        <w:t xml:space="preserve"> and clinically relevant improvement in efficacy, or reduction of toxicity, over empagliflozin, or not expected to address a high and urgent unmet clinical need given the presence of an alternative therapy, the criteria prescribed by the </w:t>
      </w:r>
      <w:r w:rsidRPr="001677F9">
        <w:rPr>
          <w:bCs/>
          <w:i/>
        </w:rPr>
        <w:t>National Health (Pharmaceuticals and Vaccines – Cost Recovery) Regulations 2009</w:t>
      </w:r>
      <w:r w:rsidRPr="001677F9">
        <w:rPr>
          <w:bCs/>
        </w:rPr>
        <w:t xml:space="preserve"> for Pricing Pathway A were not met.</w:t>
      </w:r>
    </w:p>
    <w:p w14:paraId="004817F8" w14:textId="77777777" w:rsidR="003B1EE7" w:rsidRPr="001677F9" w:rsidRDefault="003B1EE7" w:rsidP="003B1EE7">
      <w:pPr>
        <w:pStyle w:val="3-BodyText"/>
        <w:numPr>
          <w:ilvl w:val="1"/>
          <w:numId w:val="18"/>
        </w:numPr>
      </w:pPr>
      <w:r w:rsidRPr="001677F9">
        <w:t xml:space="preserve">The PBAC noted that this submission is not eligible for an Independent Review as it received a positive recommendation. </w:t>
      </w:r>
    </w:p>
    <w:p w14:paraId="601F1077" w14:textId="77777777" w:rsidR="00AA7422" w:rsidRPr="001677F9" w:rsidRDefault="00AA7422" w:rsidP="00AA7422">
      <w:pPr>
        <w:spacing w:before="240"/>
        <w:rPr>
          <w:rFonts w:asciiTheme="minorHAnsi" w:hAnsiTheme="minorHAnsi"/>
          <w:b/>
          <w:bCs/>
          <w:snapToGrid w:val="0"/>
        </w:rPr>
      </w:pPr>
      <w:r w:rsidRPr="001677F9">
        <w:rPr>
          <w:rFonts w:asciiTheme="minorHAnsi" w:hAnsiTheme="minorHAnsi"/>
          <w:b/>
          <w:bCs/>
          <w:snapToGrid w:val="0"/>
        </w:rPr>
        <w:lastRenderedPageBreak/>
        <w:t>Outcome:</w:t>
      </w:r>
    </w:p>
    <w:p w14:paraId="22C78B23" w14:textId="2F7DA85E" w:rsidR="00AA7422" w:rsidRPr="001677F9" w:rsidRDefault="00AA7422" w:rsidP="00AA7422">
      <w:pPr>
        <w:rPr>
          <w:rFonts w:asciiTheme="minorHAnsi" w:hAnsiTheme="minorHAnsi"/>
          <w:bCs/>
          <w:snapToGrid w:val="0"/>
        </w:rPr>
      </w:pPr>
      <w:r w:rsidRPr="001677F9">
        <w:rPr>
          <w:rFonts w:asciiTheme="minorHAnsi" w:hAnsiTheme="minorHAnsi"/>
          <w:bCs/>
          <w:snapToGrid w:val="0"/>
        </w:rPr>
        <w:t xml:space="preserve">Recommended </w:t>
      </w:r>
    </w:p>
    <w:p w14:paraId="3BD7D994" w14:textId="77777777" w:rsidR="00812F0C" w:rsidRPr="001677F9" w:rsidRDefault="00812F0C" w:rsidP="00AA7422">
      <w:pPr>
        <w:widowControl w:val="0"/>
        <w:rPr>
          <w:rFonts w:asciiTheme="minorHAnsi" w:hAnsiTheme="minorHAnsi"/>
          <w:snapToGrid w:val="0"/>
        </w:rPr>
      </w:pPr>
      <w:bookmarkStart w:id="93" w:name="_Hlk111543254"/>
    </w:p>
    <w:bookmarkEnd w:id="88"/>
    <w:bookmarkEnd w:id="93"/>
    <w:p w14:paraId="269D5F1B" w14:textId="77777777" w:rsidR="00AA7422" w:rsidRPr="001677F9" w:rsidRDefault="00AA7422" w:rsidP="00802F45">
      <w:pPr>
        <w:pStyle w:val="2-SectionHeading"/>
        <w:numPr>
          <w:ilvl w:val="0"/>
          <w:numId w:val="1"/>
        </w:numPr>
      </w:pPr>
      <w:r w:rsidRPr="001677F9">
        <w:t xml:space="preserve">Recommended </w:t>
      </w:r>
      <w:proofErr w:type="gramStart"/>
      <w:r w:rsidRPr="001677F9">
        <w:t>listing</w:t>
      </w:r>
      <w:proofErr w:type="gramEnd"/>
    </w:p>
    <w:p w14:paraId="7E565D1B" w14:textId="26BFA972" w:rsidR="00AA7422" w:rsidRPr="001677F9" w:rsidRDefault="00454E80" w:rsidP="00AA7422">
      <w:pPr>
        <w:widowControl w:val="0"/>
        <w:numPr>
          <w:ilvl w:val="1"/>
          <w:numId w:val="18"/>
        </w:numPr>
        <w:spacing w:after="120"/>
        <w:rPr>
          <w:rFonts w:asciiTheme="minorHAnsi" w:hAnsiTheme="minorHAnsi"/>
          <w:b/>
          <w:bCs/>
          <w:snapToGrid w:val="0"/>
        </w:rPr>
      </w:pPr>
      <w:r w:rsidRPr="001677F9">
        <w:rPr>
          <w:rFonts w:asciiTheme="minorHAnsi" w:hAnsiTheme="minorHAnsi"/>
          <w:bCs/>
          <w:snapToGrid w:val="0"/>
        </w:rPr>
        <w:t>Add new item:</w:t>
      </w:r>
    </w:p>
    <w:tbl>
      <w:tblPr>
        <w:tblStyle w:val="TableGrid3"/>
        <w:tblW w:w="5000" w:type="pct"/>
        <w:tblLook w:val="0000" w:firstRow="0" w:lastRow="0" w:firstColumn="0" w:lastColumn="0" w:noHBand="0" w:noVBand="0"/>
      </w:tblPr>
      <w:tblGrid>
        <w:gridCol w:w="3002"/>
        <w:gridCol w:w="1252"/>
        <w:gridCol w:w="1275"/>
        <w:gridCol w:w="992"/>
        <w:gridCol w:w="1134"/>
        <w:gridCol w:w="1362"/>
      </w:tblGrid>
      <w:tr w:rsidR="00454E80" w:rsidRPr="001677F9" w14:paraId="227DD9DE" w14:textId="77777777" w:rsidTr="00935ACF">
        <w:trPr>
          <w:trHeight w:val="20"/>
        </w:trPr>
        <w:tc>
          <w:tcPr>
            <w:tcW w:w="1665" w:type="pct"/>
          </w:tcPr>
          <w:p w14:paraId="4AD41055" w14:textId="77777777" w:rsidR="00454E80" w:rsidRPr="001677F9" w:rsidRDefault="00454E80" w:rsidP="00935ACF">
            <w:pPr>
              <w:keepNext/>
              <w:keepLines/>
              <w:jc w:val="left"/>
              <w:rPr>
                <w:rFonts w:ascii="Arial Narrow" w:hAnsi="Arial Narrow" w:cs="Times New Roman"/>
                <w:b/>
                <w:bCs/>
                <w:sz w:val="20"/>
                <w:szCs w:val="20"/>
              </w:rPr>
            </w:pPr>
            <w:r w:rsidRPr="001677F9">
              <w:rPr>
                <w:rFonts w:ascii="Arial Narrow" w:hAnsi="Arial Narrow" w:cs="Times New Roman"/>
                <w:b/>
                <w:bCs/>
                <w:sz w:val="20"/>
                <w:szCs w:val="20"/>
              </w:rPr>
              <w:t>MEDICINAL PRODUCT</w:t>
            </w:r>
          </w:p>
          <w:p w14:paraId="44835B07" w14:textId="77777777" w:rsidR="00454E80" w:rsidRPr="001677F9" w:rsidRDefault="00454E80" w:rsidP="00935ACF">
            <w:pPr>
              <w:keepNext/>
              <w:keepLines/>
              <w:jc w:val="left"/>
              <w:rPr>
                <w:rFonts w:ascii="Arial Narrow" w:hAnsi="Arial Narrow" w:cs="Times New Roman"/>
                <w:b/>
                <w:sz w:val="20"/>
                <w:szCs w:val="20"/>
              </w:rPr>
            </w:pPr>
            <w:r w:rsidRPr="001677F9">
              <w:rPr>
                <w:rFonts w:ascii="Arial Narrow" w:hAnsi="Arial Narrow" w:cs="Times New Roman"/>
                <w:b/>
                <w:bCs/>
                <w:sz w:val="20"/>
                <w:szCs w:val="20"/>
              </w:rPr>
              <w:t>medicinal product pack</w:t>
            </w:r>
          </w:p>
        </w:tc>
        <w:tc>
          <w:tcPr>
            <w:tcW w:w="694" w:type="pct"/>
          </w:tcPr>
          <w:p w14:paraId="7E4806B0" w14:textId="77777777" w:rsidR="00454E80" w:rsidRPr="001677F9" w:rsidRDefault="00454E80" w:rsidP="00935ACF">
            <w:pPr>
              <w:keepNext/>
              <w:keepLines/>
              <w:jc w:val="center"/>
              <w:rPr>
                <w:rFonts w:ascii="Arial Narrow" w:hAnsi="Arial Narrow" w:cs="Times New Roman"/>
                <w:b/>
                <w:sz w:val="20"/>
                <w:szCs w:val="20"/>
              </w:rPr>
            </w:pPr>
            <w:r w:rsidRPr="001677F9">
              <w:rPr>
                <w:rFonts w:ascii="Arial Narrow" w:hAnsi="Arial Narrow" w:cs="Times New Roman"/>
                <w:b/>
                <w:sz w:val="20"/>
                <w:szCs w:val="20"/>
              </w:rPr>
              <w:t>PBS item code</w:t>
            </w:r>
          </w:p>
        </w:tc>
        <w:tc>
          <w:tcPr>
            <w:tcW w:w="707" w:type="pct"/>
          </w:tcPr>
          <w:p w14:paraId="2C358467" w14:textId="77777777" w:rsidR="00454E80" w:rsidRPr="001677F9" w:rsidRDefault="00454E80" w:rsidP="00935ACF">
            <w:pPr>
              <w:keepNext/>
              <w:keepLines/>
              <w:jc w:val="center"/>
              <w:rPr>
                <w:rFonts w:ascii="Arial Narrow" w:hAnsi="Arial Narrow" w:cs="Times New Roman"/>
                <w:b/>
                <w:sz w:val="20"/>
                <w:szCs w:val="20"/>
              </w:rPr>
            </w:pPr>
            <w:r w:rsidRPr="001677F9">
              <w:rPr>
                <w:rFonts w:ascii="Arial Narrow" w:hAnsi="Arial Narrow" w:cs="Times New Roman"/>
                <w:b/>
                <w:sz w:val="20"/>
                <w:szCs w:val="20"/>
              </w:rPr>
              <w:t>Max. qty packs</w:t>
            </w:r>
          </w:p>
        </w:tc>
        <w:tc>
          <w:tcPr>
            <w:tcW w:w="550" w:type="pct"/>
          </w:tcPr>
          <w:p w14:paraId="1C251DA4" w14:textId="77777777" w:rsidR="00454E80" w:rsidRPr="001677F9" w:rsidRDefault="00454E80" w:rsidP="00935ACF">
            <w:pPr>
              <w:keepNext/>
              <w:keepLines/>
              <w:jc w:val="center"/>
              <w:rPr>
                <w:rFonts w:ascii="Arial Narrow" w:hAnsi="Arial Narrow" w:cs="Times New Roman"/>
                <w:b/>
                <w:sz w:val="20"/>
                <w:szCs w:val="20"/>
              </w:rPr>
            </w:pPr>
            <w:r w:rsidRPr="001677F9">
              <w:rPr>
                <w:rFonts w:ascii="Arial Narrow" w:hAnsi="Arial Narrow" w:cs="Times New Roman"/>
                <w:b/>
                <w:sz w:val="20"/>
                <w:szCs w:val="20"/>
              </w:rPr>
              <w:t>Max. qty units</w:t>
            </w:r>
          </w:p>
        </w:tc>
        <w:tc>
          <w:tcPr>
            <w:tcW w:w="629" w:type="pct"/>
          </w:tcPr>
          <w:p w14:paraId="56EED539" w14:textId="77777777" w:rsidR="00454E80" w:rsidRPr="001677F9" w:rsidRDefault="00454E80" w:rsidP="00935ACF">
            <w:pPr>
              <w:keepNext/>
              <w:keepLines/>
              <w:jc w:val="center"/>
              <w:rPr>
                <w:rFonts w:ascii="Arial Narrow" w:hAnsi="Arial Narrow" w:cs="Times New Roman"/>
                <w:b/>
                <w:sz w:val="20"/>
                <w:szCs w:val="20"/>
              </w:rPr>
            </w:pPr>
            <w:proofErr w:type="gramStart"/>
            <w:r w:rsidRPr="001677F9">
              <w:rPr>
                <w:rFonts w:ascii="Arial Narrow" w:hAnsi="Arial Narrow" w:cs="Times New Roman"/>
                <w:b/>
                <w:sz w:val="20"/>
                <w:szCs w:val="20"/>
              </w:rPr>
              <w:t>№.of</w:t>
            </w:r>
            <w:proofErr w:type="gramEnd"/>
          </w:p>
          <w:p w14:paraId="2376D1D6" w14:textId="77777777" w:rsidR="00454E80" w:rsidRPr="001677F9" w:rsidRDefault="00454E80" w:rsidP="00935ACF">
            <w:pPr>
              <w:keepNext/>
              <w:keepLines/>
              <w:jc w:val="center"/>
              <w:rPr>
                <w:rFonts w:ascii="Arial Narrow" w:hAnsi="Arial Narrow" w:cs="Times New Roman"/>
                <w:b/>
                <w:sz w:val="20"/>
                <w:szCs w:val="20"/>
              </w:rPr>
            </w:pPr>
            <w:r w:rsidRPr="001677F9">
              <w:rPr>
                <w:rFonts w:ascii="Arial Narrow" w:hAnsi="Arial Narrow" w:cs="Times New Roman"/>
                <w:b/>
                <w:sz w:val="20"/>
                <w:szCs w:val="20"/>
              </w:rPr>
              <w:t>Rpts</w:t>
            </w:r>
          </w:p>
        </w:tc>
        <w:tc>
          <w:tcPr>
            <w:tcW w:w="755" w:type="pct"/>
          </w:tcPr>
          <w:p w14:paraId="205CC853" w14:textId="77777777" w:rsidR="00454E80" w:rsidRPr="001677F9" w:rsidRDefault="00454E80" w:rsidP="00935ACF">
            <w:pPr>
              <w:keepNext/>
              <w:keepLines/>
              <w:jc w:val="left"/>
              <w:rPr>
                <w:rFonts w:ascii="Arial Narrow" w:hAnsi="Arial Narrow" w:cs="Times New Roman"/>
                <w:b/>
                <w:sz w:val="20"/>
                <w:szCs w:val="20"/>
              </w:rPr>
            </w:pPr>
            <w:r w:rsidRPr="001677F9">
              <w:rPr>
                <w:rFonts w:ascii="Arial Narrow" w:hAnsi="Arial Narrow" w:cs="Times New Roman"/>
                <w:b/>
                <w:sz w:val="20"/>
                <w:szCs w:val="20"/>
              </w:rPr>
              <w:t>Available brands</w:t>
            </w:r>
          </w:p>
        </w:tc>
      </w:tr>
      <w:tr w:rsidR="00454E80" w:rsidRPr="001677F9" w14:paraId="3450E283" w14:textId="77777777" w:rsidTr="00935ACF">
        <w:trPr>
          <w:trHeight w:val="20"/>
        </w:trPr>
        <w:tc>
          <w:tcPr>
            <w:tcW w:w="5000" w:type="pct"/>
            <w:gridSpan w:val="6"/>
          </w:tcPr>
          <w:p w14:paraId="511BD896" w14:textId="77777777" w:rsidR="00454E80" w:rsidRPr="001677F9" w:rsidRDefault="00454E80" w:rsidP="00935ACF">
            <w:pPr>
              <w:keepNext/>
              <w:keepLines/>
              <w:jc w:val="left"/>
              <w:rPr>
                <w:rFonts w:ascii="Arial Narrow" w:hAnsi="Arial Narrow" w:cs="Times New Roman"/>
                <w:sz w:val="20"/>
                <w:szCs w:val="20"/>
              </w:rPr>
            </w:pPr>
            <w:r w:rsidRPr="001677F9">
              <w:rPr>
                <w:rFonts w:ascii="Arial Narrow" w:hAnsi="Arial Narrow" w:cs="Times New Roman"/>
                <w:sz w:val="20"/>
                <w:szCs w:val="20"/>
              </w:rPr>
              <w:t>DAPAGLIFLOZIN</w:t>
            </w:r>
          </w:p>
        </w:tc>
      </w:tr>
      <w:tr w:rsidR="00454E80" w:rsidRPr="001677F9" w14:paraId="0139B20B" w14:textId="77777777" w:rsidTr="00935ACF">
        <w:trPr>
          <w:trHeight w:val="20"/>
        </w:trPr>
        <w:tc>
          <w:tcPr>
            <w:tcW w:w="1665" w:type="pct"/>
          </w:tcPr>
          <w:p w14:paraId="1E0E8446" w14:textId="77777777" w:rsidR="00454E80" w:rsidRPr="001677F9" w:rsidRDefault="00454E80" w:rsidP="00935ACF">
            <w:pPr>
              <w:keepNext/>
              <w:keepLines/>
              <w:jc w:val="left"/>
              <w:rPr>
                <w:rFonts w:ascii="Arial Narrow" w:hAnsi="Arial Narrow" w:cs="Times New Roman"/>
                <w:sz w:val="20"/>
                <w:szCs w:val="20"/>
              </w:rPr>
            </w:pPr>
            <w:r w:rsidRPr="001677F9">
              <w:rPr>
                <w:rFonts w:ascii="Arial Narrow" w:hAnsi="Arial Narrow" w:cs="Times New Roman"/>
                <w:sz w:val="20"/>
                <w:szCs w:val="20"/>
              </w:rPr>
              <w:t xml:space="preserve">dapagliflozin 10 mg tablet, 28 </w:t>
            </w:r>
          </w:p>
        </w:tc>
        <w:tc>
          <w:tcPr>
            <w:tcW w:w="694" w:type="pct"/>
          </w:tcPr>
          <w:p w14:paraId="2DF52C40" w14:textId="77777777" w:rsidR="00454E80" w:rsidRPr="001677F9" w:rsidRDefault="00454E80" w:rsidP="00935ACF">
            <w:pPr>
              <w:keepNext/>
              <w:jc w:val="center"/>
              <w:rPr>
                <w:rFonts w:ascii="Arial Narrow" w:hAnsi="Arial Narrow" w:cs="Times New Roman"/>
                <w:sz w:val="20"/>
                <w:szCs w:val="20"/>
              </w:rPr>
            </w:pPr>
            <w:r w:rsidRPr="001677F9">
              <w:rPr>
                <w:rFonts w:ascii="Arial Narrow" w:hAnsi="Arial Narrow" w:cs="Times New Roman"/>
                <w:sz w:val="20"/>
                <w:szCs w:val="20"/>
              </w:rPr>
              <w:t>NEW</w:t>
            </w:r>
          </w:p>
          <w:p w14:paraId="31AF5D48" w14:textId="77777777" w:rsidR="00454E80" w:rsidRPr="001677F9" w:rsidRDefault="00454E80" w:rsidP="00935ACF">
            <w:pPr>
              <w:keepNext/>
              <w:jc w:val="center"/>
              <w:rPr>
                <w:rFonts w:ascii="Arial Narrow" w:hAnsi="Arial Narrow" w:cs="Times New Roman"/>
                <w:sz w:val="20"/>
                <w:szCs w:val="20"/>
                <w:highlight w:val="yellow"/>
                <w:vertAlign w:val="subscript"/>
              </w:rPr>
            </w:pPr>
            <w:proofErr w:type="gramStart"/>
            <w:r w:rsidRPr="001677F9">
              <w:rPr>
                <w:rFonts w:ascii="Arial Narrow" w:hAnsi="Arial Narrow" w:cs="Times New Roman"/>
                <w:sz w:val="20"/>
                <w:szCs w:val="20"/>
                <w:vertAlign w:val="subscript"/>
              </w:rPr>
              <w:t>MP  NP</w:t>
            </w:r>
            <w:proofErr w:type="gramEnd"/>
          </w:p>
        </w:tc>
        <w:tc>
          <w:tcPr>
            <w:tcW w:w="707" w:type="pct"/>
          </w:tcPr>
          <w:p w14:paraId="2F9A5851" w14:textId="77777777" w:rsidR="00454E80" w:rsidRPr="001677F9" w:rsidRDefault="00454E80" w:rsidP="00935ACF">
            <w:pPr>
              <w:keepNext/>
              <w:keepLines/>
              <w:jc w:val="center"/>
              <w:rPr>
                <w:rFonts w:ascii="Arial Narrow" w:hAnsi="Arial Narrow" w:cs="Times New Roman"/>
                <w:sz w:val="20"/>
                <w:szCs w:val="20"/>
              </w:rPr>
            </w:pPr>
            <w:r w:rsidRPr="001677F9">
              <w:rPr>
                <w:rFonts w:ascii="Arial Narrow" w:hAnsi="Arial Narrow" w:cs="Times New Roman"/>
                <w:sz w:val="20"/>
                <w:szCs w:val="20"/>
              </w:rPr>
              <w:t>1</w:t>
            </w:r>
          </w:p>
        </w:tc>
        <w:tc>
          <w:tcPr>
            <w:tcW w:w="550" w:type="pct"/>
          </w:tcPr>
          <w:p w14:paraId="4F3AE800" w14:textId="77777777" w:rsidR="00454E80" w:rsidRPr="001677F9" w:rsidRDefault="00454E80" w:rsidP="00935ACF">
            <w:pPr>
              <w:keepNext/>
              <w:keepLines/>
              <w:jc w:val="center"/>
              <w:rPr>
                <w:rFonts w:ascii="Arial Narrow" w:hAnsi="Arial Narrow" w:cs="Times New Roman"/>
                <w:sz w:val="20"/>
                <w:szCs w:val="20"/>
              </w:rPr>
            </w:pPr>
            <w:r w:rsidRPr="001677F9">
              <w:rPr>
                <w:rFonts w:ascii="Arial Narrow" w:hAnsi="Arial Narrow" w:cs="Times New Roman"/>
                <w:sz w:val="20"/>
                <w:szCs w:val="20"/>
              </w:rPr>
              <w:t>28</w:t>
            </w:r>
          </w:p>
        </w:tc>
        <w:tc>
          <w:tcPr>
            <w:tcW w:w="629" w:type="pct"/>
          </w:tcPr>
          <w:p w14:paraId="21E33A45" w14:textId="77777777" w:rsidR="00454E80" w:rsidRPr="001677F9" w:rsidRDefault="00454E80" w:rsidP="00935ACF">
            <w:pPr>
              <w:keepNext/>
              <w:keepLines/>
              <w:jc w:val="center"/>
              <w:rPr>
                <w:rFonts w:ascii="Arial Narrow" w:hAnsi="Arial Narrow" w:cs="Times New Roman"/>
                <w:sz w:val="20"/>
                <w:szCs w:val="20"/>
              </w:rPr>
            </w:pPr>
            <w:r w:rsidRPr="001677F9">
              <w:rPr>
                <w:rFonts w:ascii="Arial Narrow" w:hAnsi="Arial Narrow" w:cs="Times New Roman"/>
                <w:sz w:val="20"/>
                <w:szCs w:val="20"/>
              </w:rPr>
              <w:t>5</w:t>
            </w:r>
          </w:p>
        </w:tc>
        <w:tc>
          <w:tcPr>
            <w:tcW w:w="755" w:type="pct"/>
          </w:tcPr>
          <w:p w14:paraId="253F1C9E" w14:textId="77777777" w:rsidR="00454E80" w:rsidRPr="001677F9" w:rsidRDefault="00454E80" w:rsidP="00935ACF">
            <w:pPr>
              <w:keepNext/>
              <w:keepLines/>
              <w:jc w:val="left"/>
              <w:rPr>
                <w:rFonts w:ascii="Arial Narrow" w:hAnsi="Arial Narrow" w:cs="Times New Roman"/>
                <w:sz w:val="20"/>
                <w:szCs w:val="20"/>
              </w:rPr>
            </w:pPr>
            <w:r w:rsidRPr="001677F9">
              <w:rPr>
                <w:rFonts w:ascii="Arial Narrow" w:hAnsi="Arial Narrow" w:cs="Times New Roman"/>
                <w:sz w:val="20"/>
                <w:szCs w:val="20"/>
              </w:rPr>
              <w:t>Forxiga</w:t>
            </w:r>
          </w:p>
        </w:tc>
      </w:tr>
      <w:tr w:rsidR="00454E80" w:rsidRPr="001677F9" w14:paraId="2D58F4C8" w14:textId="77777777" w:rsidTr="00935ACF">
        <w:trPr>
          <w:trHeight w:val="20"/>
        </w:trPr>
        <w:tc>
          <w:tcPr>
            <w:tcW w:w="5000" w:type="pct"/>
            <w:gridSpan w:val="6"/>
          </w:tcPr>
          <w:p w14:paraId="52D76C0C" w14:textId="5C203163" w:rsidR="00454E80" w:rsidRPr="001677F9" w:rsidRDefault="00454E80" w:rsidP="00935ACF">
            <w:pPr>
              <w:keepLines/>
              <w:jc w:val="left"/>
              <w:rPr>
                <w:rFonts w:ascii="Arial Narrow" w:hAnsi="Arial Narrow" w:cs="Times New Roman"/>
                <w:b/>
                <w:sz w:val="20"/>
                <w:szCs w:val="20"/>
              </w:rPr>
            </w:pPr>
            <w:r w:rsidRPr="001677F9">
              <w:rPr>
                <w:rFonts w:ascii="Arial Narrow" w:hAnsi="Arial Narrow" w:cs="Times New Roman"/>
                <w:b/>
                <w:sz w:val="20"/>
                <w:szCs w:val="20"/>
              </w:rPr>
              <w:t>Restriction Summary</w:t>
            </w:r>
            <w:r w:rsidR="00E068CE">
              <w:rPr>
                <w:rFonts w:ascii="Arial Narrow" w:hAnsi="Arial Narrow" w:cs="Times New Roman"/>
                <w:b/>
                <w:sz w:val="20"/>
                <w:szCs w:val="20"/>
              </w:rPr>
              <w:t xml:space="preserve"> </w:t>
            </w:r>
            <w:r w:rsidRPr="001677F9">
              <w:rPr>
                <w:rFonts w:ascii="Arial Narrow" w:hAnsi="Arial Narrow" w:cs="Times New Roman"/>
                <w:b/>
                <w:sz w:val="20"/>
                <w:szCs w:val="20"/>
              </w:rPr>
              <w:t xml:space="preserve">/ Treatment of Concept: </w:t>
            </w:r>
          </w:p>
        </w:tc>
      </w:tr>
      <w:tr w:rsidR="0052343E" w:rsidRPr="001677F9" w14:paraId="2BAA49BA" w14:textId="77777777" w:rsidTr="00935ACF">
        <w:trPr>
          <w:trHeight w:val="20"/>
        </w:trPr>
        <w:tc>
          <w:tcPr>
            <w:tcW w:w="5000" w:type="pct"/>
            <w:gridSpan w:val="6"/>
          </w:tcPr>
          <w:p w14:paraId="2AB638B5" w14:textId="2056D2F1" w:rsidR="0052343E" w:rsidRPr="001677F9" w:rsidRDefault="0052343E" w:rsidP="00935ACF">
            <w:pPr>
              <w:keepLines/>
              <w:jc w:val="left"/>
              <w:rPr>
                <w:rFonts w:ascii="Arial Narrow" w:hAnsi="Arial Narrow" w:cs="Times New Roman"/>
                <w:b/>
                <w:sz w:val="20"/>
                <w:szCs w:val="20"/>
              </w:rPr>
            </w:pPr>
            <w:r w:rsidRPr="001677F9">
              <w:rPr>
                <w:rFonts w:ascii="Arial Narrow" w:hAnsi="Arial Narrow" w:cs="Times New Roman"/>
                <w:b/>
                <w:sz w:val="20"/>
                <w:szCs w:val="20"/>
              </w:rPr>
              <w:t xml:space="preserve">Category / Program: </w:t>
            </w:r>
            <w:r w:rsidRPr="001677F9">
              <w:rPr>
                <w:rFonts w:ascii="Arial Narrow" w:hAnsi="Arial Narrow" w:cs="Times New Roman"/>
                <w:bCs/>
                <w:sz w:val="20"/>
                <w:szCs w:val="20"/>
              </w:rPr>
              <w:t>GENERAL – General Schedule (Code GE)</w:t>
            </w:r>
          </w:p>
        </w:tc>
      </w:tr>
      <w:tr w:rsidR="0052343E" w:rsidRPr="001677F9" w14:paraId="463AAE47" w14:textId="77777777" w:rsidTr="00935ACF">
        <w:trPr>
          <w:trHeight w:val="20"/>
        </w:trPr>
        <w:tc>
          <w:tcPr>
            <w:tcW w:w="5000" w:type="pct"/>
            <w:gridSpan w:val="6"/>
          </w:tcPr>
          <w:p w14:paraId="7A5266B2" w14:textId="217564BF" w:rsidR="0052343E" w:rsidRPr="001677F9" w:rsidRDefault="0052343E" w:rsidP="00935ACF">
            <w:pPr>
              <w:keepLines/>
              <w:jc w:val="left"/>
              <w:rPr>
                <w:rFonts w:ascii="Arial Narrow" w:hAnsi="Arial Narrow" w:cs="Times New Roman"/>
                <w:b/>
                <w:sz w:val="20"/>
                <w:szCs w:val="20"/>
              </w:rPr>
            </w:pPr>
            <w:r w:rsidRPr="001677F9">
              <w:rPr>
                <w:rFonts w:ascii="Arial Narrow" w:hAnsi="Arial Narrow"/>
                <w:b/>
                <w:sz w:val="20"/>
                <w:szCs w:val="20"/>
              </w:rPr>
              <w:t xml:space="preserve">Prescriber type: </w:t>
            </w:r>
            <w:r w:rsidRPr="001677F9">
              <w:rPr>
                <w:rFonts w:ascii="Arial Narrow" w:hAnsi="Arial Narrow"/>
                <w:sz w:val="20"/>
                <w:szCs w:val="20"/>
              </w:rPr>
              <w:fldChar w:fldCharType="begin" w:fldLock="1">
                <w:ffData>
                  <w:name w:val=""/>
                  <w:enabled/>
                  <w:calcOnExit w:val="0"/>
                  <w:checkBox>
                    <w:sizeAuto/>
                    <w:default w:val="1"/>
                  </w:checkBox>
                </w:ffData>
              </w:fldChar>
            </w:r>
            <w:r w:rsidRPr="001677F9">
              <w:rPr>
                <w:rFonts w:ascii="Arial Narrow" w:hAnsi="Arial Narrow"/>
                <w:sz w:val="20"/>
                <w:szCs w:val="20"/>
              </w:rPr>
              <w:instrText xml:space="preserve"> FORMCHECKBOX </w:instrText>
            </w:r>
            <w:r w:rsidR="00D06FC9">
              <w:rPr>
                <w:rFonts w:ascii="Arial Narrow" w:hAnsi="Arial Narrow"/>
                <w:sz w:val="20"/>
                <w:szCs w:val="20"/>
              </w:rPr>
            </w:r>
            <w:r w:rsidR="00D06FC9">
              <w:rPr>
                <w:rFonts w:ascii="Arial Narrow" w:hAnsi="Arial Narrow"/>
                <w:sz w:val="20"/>
                <w:szCs w:val="20"/>
              </w:rPr>
              <w:fldChar w:fldCharType="separate"/>
            </w:r>
            <w:r w:rsidRPr="001677F9">
              <w:rPr>
                <w:rFonts w:ascii="Arial Narrow" w:hAnsi="Arial Narrow"/>
                <w:sz w:val="20"/>
                <w:szCs w:val="20"/>
              </w:rPr>
              <w:fldChar w:fldCharType="end"/>
            </w:r>
            <w:r w:rsidRPr="001677F9">
              <w:rPr>
                <w:rFonts w:ascii="Arial Narrow" w:hAnsi="Arial Narrow"/>
                <w:sz w:val="20"/>
                <w:szCs w:val="20"/>
              </w:rPr>
              <w:t xml:space="preserve">Medical Practitioners </w:t>
            </w:r>
            <w:r w:rsidRPr="001677F9">
              <w:rPr>
                <w:rFonts w:ascii="Arial Narrow" w:hAnsi="Arial Narrow"/>
                <w:sz w:val="20"/>
                <w:szCs w:val="20"/>
              </w:rPr>
              <w:fldChar w:fldCharType="begin" w:fldLock="1">
                <w:ffData>
                  <w:name w:val="Check3"/>
                  <w:enabled/>
                  <w:calcOnExit w:val="0"/>
                  <w:checkBox>
                    <w:sizeAuto/>
                    <w:default w:val="1"/>
                  </w:checkBox>
                </w:ffData>
              </w:fldChar>
            </w:r>
            <w:r w:rsidRPr="001677F9">
              <w:rPr>
                <w:rFonts w:ascii="Arial Narrow" w:hAnsi="Arial Narrow"/>
                <w:sz w:val="20"/>
                <w:szCs w:val="20"/>
              </w:rPr>
              <w:instrText xml:space="preserve"> FORMCHECKBOX </w:instrText>
            </w:r>
            <w:r w:rsidR="00D06FC9">
              <w:rPr>
                <w:rFonts w:ascii="Arial Narrow" w:hAnsi="Arial Narrow"/>
                <w:sz w:val="20"/>
                <w:szCs w:val="20"/>
              </w:rPr>
            </w:r>
            <w:r w:rsidR="00D06FC9">
              <w:rPr>
                <w:rFonts w:ascii="Arial Narrow" w:hAnsi="Arial Narrow"/>
                <w:sz w:val="20"/>
                <w:szCs w:val="20"/>
              </w:rPr>
              <w:fldChar w:fldCharType="separate"/>
            </w:r>
            <w:r w:rsidRPr="001677F9">
              <w:rPr>
                <w:rFonts w:ascii="Arial Narrow" w:hAnsi="Arial Narrow"/>
                <w:sz w:val="20"/>
                <w:szCs w:val="20"/>
              </w:rPr>
              <w:fldChar w:fldCharType="end"/>
            </w:r>
            <w:r w:rsidRPr="001677F9">
              <w:rPr>
                <w:rFonts w:ascii="Arial Narrow" w:hAnsi="Arial Narrow"/>
                <w:sz w:val="20"/>
                <w:szCs w:val="20"/>
              </w:rPr>
              <w:t>Nurse practitioners</w:t>
            </w:r>
          </w:p>
        </w:tc>
      </w:tr>
      <w:tr w:rsidR="0052343E" w:rsidRPr="001677F9" w14:paraId="487C19C3" w14:textId="77777777" w:rsidTr="00935ACF">
        <w:trPr>
          <w:trHeight w:val="20"/>
        </w:trPr>
        <w:tc>
          <w:tcPr>
            <w:tcW w:w="5000" w:type="pct"/>
            <w:gridSpan w:val="6"/>
          </w:tcPr>
          <w:p w14:paraId="39568D6B" w14:textId="7C6227DE" w:rsidR="0052343E" w:rsidRPr="001677F9" w:rsidRDefault="0052343E" w:rsidP="00935ACF">
            <w:pPr>
              <w:keepLines/>
              <w:jc w:val="left"/>
              <w:rPr>
                <w:rFonts w:ascii="Arial Narrow" w:hAnsi="Arial Narrow" w:cs="Times New Roman"/>
                <w:b/>
                <w:sz w:val="20"/>
                <w:szCs w:val="20"/>
              </w:rPr>
            </w:pPr>
            <w:r w:rsidRPr="001677F9">
              <w:rPr>
                <w:rFonts w:ascii="Arial Narrow" w:hAnsi="Arial Narrow"/>
                <w:b/>
                <w:sz w:val="20"/>
                <w:szCs w:val="20"/>
              </w:rPr>
              <w:t xml:space="preserve">Restriction type: </w:t>
            </w:r>
            <w:r w:rsidRPr="001677F9">
              <w:rPr>
                <w:rFonts w:ascii="Arial Narrow" w:hAnsi="Arial Narrow"/>
                <w:sz w:val="20"/>
                <w:szCs w:val="20"/>
              </w:rPr>
              <w:fldChar w:fldCharType="begin" w:fldLock="1">
                <w:ffData>
                  <w:name w:val=""/>
                  <w:enabled/>
                  <w:calcOnExit w:val="0"/>
                  <w:checkBox>
                    <w:sizeAuto/>
                    <w:default w:val="1"/>
                  </w:checkBox>
                </w:ffData>
              </w:fldChar>
            </w:r>
            <w:r w:rsidRPr="001677F9">
              <w:rPr>
                <w:rFonts w:ascii="Arial Narrow" w:hAnsi="Arial Narrow"/>
                <w:sz w:val="20"/>
                <w:szCs w:val="20"/>
              </w:rPr>
              <w:instrText xml:space="preserve"> FORMCHECKBOX </w:instrText>
            </w:r>
            <w:r w:rsidR="00D06FC9">
              <w:rPr>
                <w:rFonts w:ascii="Arial Narrow" w:hAnsi="Arial Narrow"/>
                <w:sz w:val="20"/>
                <w:szCs w:val="20"/>
              </w:rPr>
            </w:r>
            <w:r w:rsidR="00D06FC9">
              <w:rPr>
                <w:rFonts w:ascii="Arial Narrow" w:hAnsi="Arial Narrow"/>
                <w:sz w:val="20"/>
                <w:szCs w:val="20"/>
              </w:rPr>
              <w:fldChar w:fldCharType="separate"/>
            </w:r>
            <w:r w:rsidRPr="001677F9">
              <w:rPr>
                <w:rFonts w:ascii="Arial Narrow" w:hAnsi="Arial Narrow"/>
                <w:sz w:val="20"/>
                <w:szCs w:val="20"/>
              </w:rPr>
              <w:fldChar w:fldCharType="end"/>
            </w:r>
            <w:r w:rsidRPr="001677F9">
              <w:rPr>
                <w:rFonts w:ascii="Arial Narrow" w:hAnsi="Arial Narrow"/>
                <w:sz w:val="20"/>
                <w:szCs w:val="20"/>
              </w:rPr>
              <w:t xml:space="preserve">Authority Required (Streamlined) – </w:t>
            </w:r>
            <w:r w:rsidR="00E42C95" w:rsidRPr="001677F9">
              <w:rPr>
                <w:rFonts w:ascii="Arial Narrow" w:hAnsi="Arial Narrow"/>
                <w:sz w:val="20"/>
                <w:szCs w:val="20"/>
              </w:rPr>
              <w:t>[</w:t>
            </w:r>
            <w:r w:rsidRPr="001677F9">
              <w:rPr>
                <w:rFonts w:ascii="Arial Narrow" w:hAnsi="Arial Narrow"/>
                <w:b/>
                <w:bCs/>
                <w:sz w:val="20"/>
                <w:szCs w:val="20"/>
              </w:rPr>
              <w:t>New 2</w:t>
            </w:r>
            <w:r w:rsidR="00E42C95" w:rsidRPr="001677F9">
              <w:rPr>
                <w:rFonts w:ascii="Arial Narrow" w:hAnsi="Arial Narrow"/>
                <w:b/>
                <w:bCs/>
                <w:sz w:val="20"/>
                <w:szCs w:val="20"/>
              </w:rPr>
              <w:t>]</w:t>
            </w:r>
          </w:p>
        </w:tc>
      </w:tr>
    </w:tbl>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90"/>
        <w:gridCol w:w="581"/>
        <w:gridCol w:w="7744"/>
      </w:tblGrid>
      <w:tr w:rsidR="0052343E" w:rsidRPr="001677F9" w14:paraId="2832A458" w14:textId="77777777" w:rsidTr="0052343E">
        <w:trPr>
          <w:trHeight w:val="20"/>
        </w:trPr>
        <w:tc>
          <w:tcPr>
            <w:tcW w:w="383" w:type="pct"/>
            <w:vMerge w:val="restart"/>
            <w:textDirection w:val="btLr"/>
            <w:vAlign w:val="center"/>
          </w:tcPr>
          <w:p w14:paraId="52056B21" w14:textId="5A1378FB" w:rsidR="0052343E" w:rsidRPr="001677F9" w:rsidRDefault="0052343E" w:rsidP="00E42C95">
            <w:pPr>
              <w:jc w:val="center"/>
              <w:rPr>
                <w:rFonts w:ascii="Arial Narrow" w:hAnsi="Arial Narrow"/>
                <w:b/>
                <w:bCs/>
                <w:sz w:val="20"/>
                <w:szCs w:val="20"/>
              </w:rPr>
            </w:pPr>
          </w:p>
        </w:tc>
        <w:tc>
          <w:tcPr>
            <w:tcW w:w="322" w:type="pct"/>
            <w:vAlign w:val="center"/>
          </w:tcPr>
          <w:p w14:paraId="34EBB039" w14:textId="3815231B" w:rsidR="0052343E" w:rsidRPr="001677F9" w:rsidRDefault="0052343E" w:rsidP="008D46EE">
            <w:pPr>
              <w:rPr>
                <w:rFonts w:ascii="Arial Narrow" w:hAnsi="Arial Narrow"/>
                <w:b/>
                <w:bCs/>
                <w:sz w:val="20"/>
                <w:szCs w:val="20"/>
              </w:rPr>
            </w:pPr>
          </w:p>
        </w:tc>
        <w:tc>
          <w:tcPr>
            <w:tcW w:w="4295" w:type="pct"/>
            <w:vAlign w:val="center"/>
          </w:tcPr>
          <w:p w14:paraId="50D44F60" w14:textId="4AB2A34B" w:rsidR="0052343E" w:rsidRPr="001677F9" w:rsidRDefault="0052343E" w:rsidP="008D46EE">
            <w:pPr>
              <w:rPr>
                <w:rFonts w:ascii="Arial Narrow" w:hAnsi="Arial Narrow"/>
                <w:b/>
                <w:bCs/>
                <w:sz w:val="20"/>
                <w:szCs w:val="20"/>
              </w:rPr>
            </w:pPr>
            <w:r w:rsidRPr="001677F9">
              <w:rPr>
                <w:rFonts w:ascii="Arial Narrow" w:hAnsi="Arial Narrow"/>
                <w:b/>
                <w:bCs/>
                <w:sz w:val="20"/>
                <w:szCs w:val="20"/>
              </w:rPr>
              <w:t>Administrative Advice:</w:t>
            </w:r>
          </w:p>
          <w:p w14:paraId="7BF5F974" w14:textId="2CD06849" w:rsidR="0052343E" w:rsidRPr="001677F9" w:rsidRDefault="0052343E" w:rsidP="008D46EE">
            <w:pPr>
              <w:rPr>
                <w:rFonts w:ascii="Arial Narrow" w:hAnsi="Arial Narrow"/>
                <w:b/>
                <w:bCs/>
                <w:sz w:val="20"/>
                <w:szCs w:val="20"/>
              </w:rPr>
            </w:pPr>
            <w:r w:rsidRPr="001677F9">
              <w:rPr>
                <w:rFonts w:ascii="Arial Narrow" w:hAnsi="Arial Narrow"/>
                <w:b/>
                <w:bCs/>
                <w:sz w:val="20"/>
                <w:szCs w:val="20"/>
              </w:rPr>
              <w:t>Continuing Therapy Only:</w:t>
            </w:r>
          </w:p>
          <w:p w14:paraId="266FC058" w14:textId="77777777" w:rsidR="0052343E" w:rsidRPr="001677F9" w:rsidRDefault="0052343E" w:rsidP="008D46EE">
            <w:pPr>
              <w:rPr>
                <w:rFonts w:ascii="Arial Narrow" w:hAnsi="Arial Narrow"/>
                <w:sz w:val="20"/>
                <w:szCs w:val="20"/>
              </w:rPr>
            </w:pPr>
            <w:r w:rsidRPr="001677F9">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52343E" w:rsidRPr="001677F9" w14:paraId="7838B531" w14:textId="77777777" w:rsidTr="0052343E">
        <w:trPr>
          <w:trHeight w:val="20"/>
        </w:trPr>
        <w:tc>
          <w:tcPr>
            <w:tcW w:w="383" w:type="pct"/>
            <w:vMerge/>
          </w:tcPr>
          <w:p w14:paraId="39D79C89" w14:textId="77777777" w:rsidR="0052343E" w:rsidRPr="001677F9" w:rsidRDefault="0052343E" w:rsidP="008D46EE">
            <w:pPr>
              <w:rPr>
                <w:rFonts w:ascii="Arial Narrow" w:hAnsi="Arial Narrow"/>
                <w:b/>
                <w:bCs/>
                <w:sz w:val="20"/>
                <w:szCs w:val="20"/>
              </w:rPr>
            </w:pPr>
          </w:p>
        </w:tc>
        <w:tc>
          <w:tcPr>
            <w:tcW w:w="322" w:type="pct"/>
            <w:vAlign w:val="center"/>
          </w:tcPr>
          <w:p w14:paraId="1F9D0212" w14:textId="1DF08832" w:rsidR="0052343E" w:rsidRPr="001677F9" w:rsidRDefault="0052343E" w:rsidP="008D46EE">
            <w:pPr>
              <w:rPr>
                <w:rFonts w:ascii="Arial Narrow" w:hAnsi="Arial Narrow"/>
                <w:b/>
                <w:bCs/>
                <w:sz w:val="20"/>
                <w:szCs w:val="20"/>
              </w:rPr>
            </w:pPr>
          </w:p>
        </w:tc>
        <w:tc>
          <w:tcPr>
            <w:tcW w:w="4295" w:type="pct"/>
            <w:vAlign w:val="center"/>
          </w:tcPr>
          <w:p w14:paraId="65653F42" w14:textId="77777777" w:rsidR="0052343E" w:rsidRPr="001677F9" w:rsidRDefault="0052343E" w:rsidP="008D46EE">
            <w:pPr>
              <w:rPr>
                <w:rFonts w:ascii="Arial Narrow" w:hAnsi="Arial Narrow"/>
                <w:b/>
                <w:bCs/>
                <w:sz w:val="20"/>
                <w:szCs w:val="20"/>
              </w:rPr>
            </w:pPr>
            <w:r w:rsidRPr="001677F9">
              <w:rPr>
                <w:rFonts w:ascii="Arial Narrow" w:hAnsi="Arial Narrow"/>
                <w:b/>
                <w:bCs/>
                <w:sz w:val="20"/>
                <w:szCs w:val="20"/>
              </w:rPr>
              <w:t xml:space="preserve">Administrative Advice: </w:t>
            </w:r>
            <w:r w:rsidRPr="001677F9">
              <w:rPr>
                <w:rFonts w:ascii="Arial Narrow" w:hAnsi="Arial Narrow"/>
                <w:sz w:val="20"/>
                <w:szCs w:val="20"/>
              </w:rPr>
              <w:t>No increase in the maximum quantity or number of units may be authorised.</w:t>
            </w:r>
          </w:p>
        </w:tc>
      </w:tr>
      <w:tr w:rsidR="0052343E" w:rsidRPr="001677F9" w14:paraId="1155587A" w14:textId="77777777" w:rsidTr="0052343E">
        <w:trPr>
          <w:trHeight w:val="20"/>
        </w:trPr>
        <w:tc>
          <w:tcPr>
            <w:tcW w:w="383" w:type="pct"/>
            <w:vMerge/>
          </w:tcPr>
          <w:p w14:paraId="328C206C" w14:textId="77777777" w:rsidR="0052343E" w:rsidRPr="001677F9" w:rsidRDefault="0052343E" w:rsidP="008D46EE">
            <w:pPr>
              <w:rPr>
                <w:rFonts w:ascii="Arial Narrow" w:hAnsi="Arial Narrow"/>
                <w:b/>
                <w:bCs/>
                <w:sz w:val="20"/>
                <w:szCs w:val="20"/>
              </w:rPr>
            </w:pPr>
          </w:p>
        </w:tc>
        <w:tc>
          <w:tcPr>
            <w:tcW w:w="322" w:type="pct"/>
            <w:vAlign w:val="center"/>
          </w:tcPr>
          <w:p w14:paraId="44C4A062" w14:textId="2FA5A149" w:rsidR="0052343E" w:rsidRPr="001677F9" w:rsidRDefault="0052343E" w:rsidP="008D46EE">
            <w:pPr>
              <w:rPr>
                <w:rFonts w:ascii="Arial Narrow" w:hAnsi="Arial Narrow"/>
                <w:b/>
                <w:bCs/>
                <w:sz w:val="20"/>
                <w:szCs w:val="20"/>
              </w:rPr>
            </w:pPr>
          </w:p>
        </w:tc>
        <w:tc>
          <w:tcPr>
            <w:tcW w:w="4295" w:type="pct"/>
            <w:vAlign w:val="center"/>
          </w:tcPr>
          <w:p w14:paraId="46499E93" w14:textId="77777777" w:rsidR="0052343E" w:rsidRPr="001677F9" w:rsidRDefault="0052343E" w:rsidP="008D46EE">
            <w:pPr>
              <w:rPr>
                <w:rFonts w:ascii="Arial Narrow" w:hAnsi="Arial Narrow"/>
                <w:b/>
                <w:bCs/>
                <w:sz w:val="20"/>
                <w:szCs w:val="20"/>
              </w:rPr>
            </w:pPr>
            <w:r w:rsidRPr="001677F9">
              <w:rPr>
                <w:rFonts w:ascii="Arial Narrow" w:hAnsi="Arial Narrow"/>
                <w:b/>
                <w:bCs/>
                <w:sz w:val="20"/>
                <w:szCs w:val="20"/>
              </w:rPr>
              <w:t xml:space="preserve">Administrative Advice: </w:t>
            </w:r>
            <w:r w:rsidRPr="001677F9">
              <w:rPr>
                <w:rFonts w:ascii="Arial Narrow" w:hAnsi="Arial Narrow"/>
                <w:sz w:val="20"/>
                <w:szCs w:val="20"/>
              </w:rPr>
              <w:t>No increase in the maximum number of repeats may be authorised.</w:t>
            </w:r>
          </w:p>
        </w:tc>
      </w:tr>
    </w:tbl>
    <w:tbl>
      <w:tblPr>
        <w:tblStyle w:val="TableGrid3"/>
        <w:tblW w:w="5000" w:type="pct"/>
        <w:tblLook w:val="0000" w:firstRow="0" w:lastRow="0" w:firstColumn="0" w:lastColumn="0" w:noHBand="0" w:noVBand="0"/>
      </w:tblPr>
      <w:tblGrid>
        <w:gridCol w:w="1279"/>
        <w:gridCol w:w="7738"/>
      </w:tblGrid>
      <w:tr w:rsidR="00454E80" w:rsidRPr="001677F9" w14:paraId="2F9830E2" w14:textId="77777777" w:rsidTr="00935ACF">
        <w:trPr>
          <w:trHeight w:val="20"/>
        </w:trPr>
        <w:tc>
          <w:tcPr>
            <w:tcW w:w="709" w:type="pct"/>
          </w:tcPr>
          <w:p w14:paraId="48B37020" w14:textId="00292D10" w:rsidR="00454E80" w:rsidRPr="001677F9" w:rsidRDefault="00454E80" w:rsidP="00935ACF">
            <w:pPr>
              <w:keepLines/>
              <w:jc w:val="center"/>
              <w:rPr>
                <w:rFonts w:ascii="Arial Narrow" w:hAnsi="Arial Narrow" w:cs="Times New Roman"/>
                <w:b/>
                <w:bCs/>
                <w:sz w:val="20"/>
                <w:szCs w:val="20"/>
              </w:rPr>
            </w:pPr>
          </w:p>
        </w:tc>
        <w:tc>
          <w:tcPr>
            <w:tcW w:w="4291" w:type="pct"/>
            <w:hideMark/>
          </w:tcPr>
          <w:p w14:paraId="26E162CE" w14:textId="77777777" w:rsidR="00454E80" w:rsidRPr="001677F9" w:rsidRDefault="00454E80" w:rsidP="00935ACF">
            <w:pPr>
              <w:keepLines/>
              <w:jc w:val="left"/>
              <w:rPr>
                <w:rFonts w:ascii="Arial Narrow" w:hAnsi="Arial Narrow" w:cs="Times New Roman"/>
                <w:sz w:val="20"/>
                <w:szCs w:val="20"/>
              </w:rPr>
            </w:pPr>
            <w:r w:rsidRPr="001677F9">
              <w:rPr>
                <w:rFonts w:ascii="Arial Narrow" w:hAnsi="Arial Narrow" w:cs="Times New Roman"/>
                <w:b/>
                <w:bCs/>
                <w:sz w:val="20"/>
                <w:szCs w:val="20"/>
              </w:rPr>
              <w:t>Indication:</w:t>
            </w:r>
            <w:r w:rsidRPr="001677F9">
              <w:rPr>
                <w:rFonts w:ascii="Arial Narrow" w:hAnsi="Arial Narrow" w:cs="Times New Roman"/>
                <w:sz w:val="20"/>
                <w:szCs w:val="20"/>
              </w:rPr>
              <w:t xml:space="preserve"> Chronic heart failure</w:t>
            </w:r>
          </w:p>
        </w:tc>
      </w:tr>
      <w:tr w:rsidR="00454E80" w:rsidRPr="001677F9" w14:paraId="35E3B5AF" w14:textId="77777777" w:rsidTr="00935ACF">
        <w:trPr>
          <w:trHeight w:val="20"/>
        </w:trPr>
        <w:tc>
          <w:tcPr>
            <w:tcW w:w="709" w:type="pct"/>
          </w:tcPr>
          <w:p w14:paraId="7C9822D8" w14:textId="77777777" w:rsidR="00454E80" w:rsidRPr="001677F9" w:rsidRDefault="00454E80" w:rsidP="00935ACF">
            <w:pPr>
              <w:keepLines/>
              <w:jc w:val="center"/>
              <w:rPr>
                <w:rFonts w:ascii="Arial Narrow" w:hAnsi="Arial Narrow" w:cs="Times New Roman"/>
                <w:sz w:val="20"/>
                <w:szCs w:val="20"/>
              </w:rPr>
            </w:pPr>
          </w:p>
        </w:tc>
        <w:tc>
          <w:tcPr>
            <w:tcW w:w="4291" w:type="pct"/>
          </w:tcPr>
          <w:p w14:paraId="737DA304" w14:textId="77777777" w:rsidR="00454E80" w:rsidRPr="001677F9" w:rsidRDefault="00454E80" w:rsidP="00935ACF">
            <w:pPr>
              <w:keepLines/>
              <w:jc w:val="left"/>
              <w:rPr>
                <w:rFonts w:ascii="Arial Narrow" w:hAnsi="Arial Narrow" w:cs="Times New Roman"/>
                <w:b/>
                <w:bCs/>
                <w:sz w:val="20"/>
                <w:szCs w:val="20"/>
              </w:rPr>
            </w:pPr>
          </w:p>
        </w:tc>
      </w:tr>
      <w:tr w:rsidR="00454E80" w:rsidRPr="001677F9" w14:paraId="04112FEE" w14:textId="77777777" w:rsidTr="00935ACF">
        <w:trPr>
          <w:trHeight w:val="20"/>
        </w:trPr>
        <w:tc>
          <w:tcPr>
            <w:tcW w:w="709" w:type="pct"/>
          </w:tcPr>
          <w:p w14:paraId="7BBDBD55" w14:textId="46B2737D" w:rsidR="00454E80" w:rsidRPr="001677F9" w:rsidRDefault="00454E80" w:rsidP="00935ACF">
            <w:pPr>
              <w:jc w:val="center"/>
              <w:rPr>
                <w:rFonts w:ascii="Arial Narrow" w:hAnsi="Arial Narrow" w:cs="Times New Roman"/>
                <w:b/>
                <w:bCs/>
                <w:sz w:val="20"/>
                <w:szCs w:val="20"/>
              </w:rPr>
            </w:pPr>
          </w:p>
        </w:tc>
        <w:tc>
          <w:tcPr>
            <w:tcW w:w="4291" w:type="pct"/>
            <w:hideMark/>
          </w:tcPr>
          <w:p w14:paraId="39156003" w14:textId="77777777" w:rsidR="00454E80" w:rsidRPr="001677F9" w:rsidRDefault="00454E80" w:rsidP="00935ACF">
            <w:pPr>
              <w:jc w:val="left"/>
              <w:rPr>
                <w:rFonts w:ascii="Arial Narrow" w:hAnsi="Arial Narrow" w:cs="Times New Roman"/>
                <w:sz w:val="20"/>
                <w:szCs w:val="20"/>
              </w:rPr>
            </w:pPr>
            <w:r w:rsidRPr="001677F9">
              <w:rPr>
                <w:rFonts w:ascii="Arial Narrow" w:hAnsi="Arial Narrow" w:cs="Times New Roman"/>
                <w:b/>
                <w:bCs/>
                <w:sz w:val="20"/>
                <w:szCs w:val="20"/>
              </w:rPr>
              <w:t xml:space="preserve">Clinical criteria: </w:t>
            </w:r>
          </w:p>
        </w:tc>
      </w:tr>
      <w:tr w:rsidR="00454E80" w:rsidRPr="001677F9" w14:paraId="09B3945D" w14:textId="77777777" w:rsidTr="00D10A83">
        <w:trPr>
          <w:trHeight w:val="103"/>
        </w:trPr>
        <w:tc>
          <w:tcPr>
            <w:tcW w:w="709" w:type="pct"/>
          </w:tcPr>
          <w:p w14:paraId="226872F6" w14:textId="02DE3177" w:rsidR="00454E80" w:rsidRPr="001677F9" w:rsidRDefault="00454E80" w:rsidP="00935ACF">
            <w:pPr>
              <w:jc w:val="center"/>
              <w:rPr>
                <w:rFonts w:ascii="Arial Narrow" w:hAnsi="Arial Narrow" w:cs="Times New Roman"/>
                <w:sz w:val="20"/>
                <w:szCs w:val="20"/>
              </w:rPr>
            </w:pPr>
          </w:p>
        </w:tc>
        <w:tc>
          <w:tcPr>
            <w:tcW w:w="4291" w:type="pct"/>
            <w:hideMark/>
          </w:tcPr>
          <w:p w14:paraId="1C0F155F" w14:textId="362AD1B0" w:rsidR="00D10A83" w:rsidRPr="001677F9" w:rsidRDefault="00454E80" w:rsidP="00D10A83">
            <w:pPr>
              <w:jc w:val="left"/>
              <w:rPr>
                <w:rFonts w:ascii="Arial Narrow" w:hAnsi="Arial Narrow" w:cs="Times New Roman"/>
                <w:sz w:val="20"/>
                <w:szCs w:val="20"/>
              </w:rPr>
            </w:pPr>
            <w:r w:rsidRPr="001677F9">
              <w:rPr>
                <w:rFonts w:ascii="Arial Narrow" w:hAnsi="Arial Narrow" w:cs="Times New Roman"/>
                <w:sz w:val="20"/>
                <w:szCs w:val="20"/>
              </w:rPr>
              <w:t>Patient must be symptomatic with NYHA</w:t>
            </w:r>
            <w:r w:rsidRPr="001677F9">
              <w:rPr>
                <w:rFonts w:ascii="Arial Narrow" w:hAnsi="Arial Narrow" w:cs="Times New Roman"/>
                <w:iCs/>
                <w:sz w:val="20"/>
                <w:szCs w:val="20"/>
              </w:rPr>
              <w:t xml:space="preserve"> </w:t>
            </w:r>
            <w:r w:rsidRPr="001677F9">
              <w:rPr>
                <w:rFonts w:ascii="Arial Narrow" w:hAnsi="Arial Narrow" w:cs="Times New Roman"/>
                <w:sz w:val="20"/>
                <w:szCs w:val="20"/>
              </w:rPr>
              <w:t xml:space="preserve">classes II, III or IV </w:t>
            </w:r>
            <w:r w:rsidR="00D10A83" w:rsidRPr="00FA6010">
              <w:rPr>
                <w:rFonts w:ascii="Arial Narrow" w:hAnsi="Arial Narrow" w:cs="Times New Roman"/>
                <w:i/>
                <w:iCs/>
                <w:sz w:val="20"/>
                <w:szCs w:val="20"/>
              </w:rPr>
              <w:t>prior to initiating treatment with this drug</w:t>
            </w:r>
          </w:p>
        </w:tc>
      </w:tr>
      <w:tr w:rsidR="00454E80" w:rsidRPr="001677F9" w14:paraId="40E5D1AB" w14:textId="77777777" w:rsidTr="00935ACF">
        <w:trPr>
          <w:trHeight w:val="20"/>
        </w:trPr>
        <w:tc>
          <w:tcPr>
            <w:tcW w:w="709" w:type="pct"/>
          </w:tcPr>
          <w:p w14:paraId="494F65C3" w14:textId="77777777" w:rsidR="00454E80" w:rsidRPr="001677F9" w:rsidRDefault="00454E80" w:rsidP="00935ACF">
            <w:pPr>
              <w:jc w:val="center"/>
              <w:rPr>
                <w:rFonts w:ascii="Arial Narrow" w:hAnsi="Arial Narrow" w:cs="Times New Roman"/>
                <w:b/>
                <w:bCs/>
                <w:sz w:val="20"/>
                <w:szCs w:val="20"/>
              </w:rPr>
            </w:pPr>
          </w:p>
        </w:tc>
        <w:tc>
          <w:tcPr>
            <w:tcW w:w="4291" w:type="pct"/>
            <w:hideMark/>
          </w:tcPr>
          <w:p w14:paraId="05FFC99A" w14:textId="77777777" w:rsidR="00454E80" w:rsidRPr="001677F9" w:rsidRDefault="00454E80" w:rsidP="00935ACF">
            <w:pPr>
              <w:jc w:val="left"/>
              <w:rPr>
                <w:rFonts w:ascii="Arial Narrow" w:hAnsi="Arial Narrow" w:cs="Times New Roman"/>
                <w:sz w:val="20"/>
                <w:szCs w:val="20"/>
              </w:rPr>
            </w:pPr>
            <w:r w:rsidRPr="001677F9">
              <w:rPr>
                <w:rFonts w:ascii="Arial Narrow" w:hAnsi="Arial Narrow" w:cs="Times New Roman"/>
                <w:b/>
                <w:bCs/>
                <w:sz w:val="20"/>
                <w:szCs w:val="20"/>
              </w:rPr>
              <w:t>AND</w:t>
            </w:r>
          </w:p>
        </w:tc>
      </w:tr>
      <w:tr w:rsidR="00454E80" w:rsidRPr="001677F9" w14:paraId="164087E8" w14:textId="77777777" w:rsidTr="00935ACF">
        <w:trPr>
          <w:trHeight w:val="20"/>
        </w:trPr>
        <w:tc>
          <w:tcPr>
            <w:tcW w:w="709" w:type="pct"/>
          </w:tcPr>
          <w:p w14:paraId="4BA953DA" w14:textId="211C4406" w:rsidR="00454E80" w:rsidRPr="001677F9" w:rsidRDefault="00454E80" w:rsidP="00935ACF">
            <w:pPr>
              <w:jc w:val="center"/>
              <w:rPr>
                <w:rFonts w:ascii="Arial Narrow" w:hAnsi="Arial Narrow" w:cs="Times New Roman"/>
                <w:sz w:val="20"/>
                <w:szCs w:val="20"/>
              </w:rPr>
            </w:pPr>
          </w:p>
        </w:tc>
        <w:tc>
          <w:tcPr>
            <w:tcW w:w="4291" w:type="pct"/>
            <w:hideMark/>
          </w:tcPr>
          <w:p w14:paraId="3A02BE05" w14:textId="77777777" w:rsidR="00454E80" w:rsidRPr="001677F9" w:rsidRDefault="00454E80" w:rsidP="00935ACF">
            <w:pPr>
              <w:jc w:val="left"/>
              <w:rPr>
                <w:rFonts w:ascii="Arial Narrow" w:hAnsi="Arial Narrow" w:cs="Times New Roman"/>
                <w:sz w:val="20"/>
                <w:szCs w:val="20"/>
              </w:rPr>
            </w:pPr>
            <w:r w:rsidRPr="001677F9">
              <w:rPr>
                <w:rFonts w:ascii="Arial Narrow" w:hAnsi="Arial Narrow" w:cs="Times New Roman"/>
                <w:b/>
                <w:bCs/>
                <w:sz w:val="20"/>
                <w:szCs w:val="20"/>
              </w:rPr>
              <w:t>Clinical criteria:</w:t>
            </w:r>
          </w:p>
        </w:tc>
      </w:tr>
      <w:tr w:rsidR="00454E80" w:rsidRPr="001677F9" w14:paraId="2424499B" w14:textId="77777777" w:rsidTr="00935ACF">
        <w:trPr>
          <w:trHeight w:val="20"/>
        </w:trPr>
        <w:tc>
          <w:tcPr>
            <w:tcW w:w="709" w:type="pct"/>
          </w:tcPr>
          <w:p w14:paraId="44AA8AB3" w14:textId="546A70F3" w:rsidR="00454E80" w:rsidRPr="001677F9" w:rsidRDefault="00454E80" w:rsidP="00935ACF">
            <w:pPr>
              <w:jc w:val="center"/>
              <w:rPr>
                <w:rFonts w:ascii="Arial Narrow" w:hAnsi="Arial Narrow" w:cs="Times New Roman"/>
                <w:sz w:val="20"/>
                <w:szCs w:val="20"/>
              </w:rPr>
            </w:pPr>
          </w:p>
        </w:tc>
        <w:tc>
          <w:tcPr>
            <w:tcW w:w="4291" w:type="pct"/>
            <w:hideMark/>
          </w:tcPr>
          <w:p w14:paraId="5D97D070" w14:textId="77777777" w:rsidR="00454E80" w:rsidRPr="001677F9" w:rsidRDefault="00454E80" w:rsidP="00935ACF">
            <w:pPr>
              <w:spacing w:before="20" w:after="20" w:line="276" w:lineRule="auto"/>
              <w:jc w:val="left"/>
              <w:rPr>
                <w:rFonts w:ascii="Arial Narrow" w:hAnsi="Arial Narrow"/>
                <w:sz w:val="20"/>
                <w:szCs w:val="20"/>
                <w:lang w:bidi="en-US"/>
              </w:rPr>
            </w:pPr>
            <w:r w:rsidRPr="001677F9">
              <w:rPr>
                <w:rFonts w:ascii="Arial Narrow" w:hAnsi="Arial Narrow"/>
                <w:sz w:val="20"/>
                <w:szCs w:val="20"/>
                <w:lang w:bidi="en-US"/>
              </w:rPr>
              <w:t>Patient must have a documented left ventricular ejection fraction (LVEF) of greater than 40%</w:t>
            </w:r>
          </w:p>
        </w:tc>
      </w:tr>
      <w:tr w:rsidR="00454E80" w:rsidRPr="001677F9" w14:paraId="43712EB0" w14:textId="77777777" w:rsidTr="00935ACF">
        <w:trPr>
          <w:trHeight w:val="20"/>
        </w:trPr>
        <w:tc>
          <w:tcPr>
            <w:tcW w:w="709" w:type="pct"/>
          </w:tcPr>
          <w:p w14:paraId="1F288EE3" w14:textId="77777777" w:rsidR="00454E80" w:rsidRPr="001677F9" w:rsidRDefault="00454E80" w:rsidP="00935ACF">
            <w:pPr>
              <w:jc w:val="center"/>
              <w:rPr>
                <w:rFonts w:ascii="Arial Narrow" w:hAnsi="Arial Narrow" w:cs="Times New Roman"/>
                <w:b/>
                <w:bCs/>
                <w:sz w:val="20"/>
                <w:szCs w:val="20"/>
              </w:rPr>
            </w:pPr>
          </w:p>
        </w:tc>
        <w:tc>
          <w:tcPr>
            <w:tcW w:w="4291" w:type="pct"/>
            <w:hideMark/>
          </w:tcPr>
          <w:p w14:paraId="71FE4A31" w14:textId="77777777" w:rsidR="00454E80" w:rsidRPr="001677F9" w:rsidRDefault="00454E80" w:rsidP="00935ACF">
            <w:pPr>
              <w:jc w:val="left"/>
              <w:rPr>
                <w:rFonts w:ascii="Arial Narrow" w:hAnsi="Arial Narrow" w:cs="Times New Roman"/>
                <w:sz w:val="20"/>
                <w:szCs w:val="20"/>
              </w:rPr>
            </w:pPr>
            <w:r w:rsidRPr="001677F9">
              <w:rPr>
                <w:rFonts w:ascii="Arial Narrow" w:hAnsi="Arial Narrow" w:cs="Times New Roman"/>
                <w:b/>
                <w:bCs/>
                <w:sz w:val="20"/>
                <w:szCs w:val="20"/>
              </w:rPr>
              <w:t>AND</w:t>
            </w:r>
          </w:p>
        </w:tc>
      </w:tr>
      <w:tr w:rsidR="00454E80" w:rsidRPr="001677F9" w14:paraId="0583D701" w14:textId="77777777" w:rsidTr="00935ACF">
        <w:trPr>
          <w:trHeight w:val="20"/>
        </w:trPr>
        <w:tc>
          <w:tcPr>
            <w:tcW w:w="709" w:type="pct"/>
          </w:tcPr>
          <w:p w14:paraId="6818FD90" w14:textId="127BF1CC" w:rsidR="00454E80" w:rsidRPr="001677F9" w:rsidRDefault="00454E80" w:rsidP="00935ACF">
            <w:pPr>
              <w:jc w:val="center"/>
              <w:rPr>
                <w:rFonts w:ascii="Arial Narrow" w:hAnsi="Arial Narrow" w:cs="Times New Roman"/>
                <w:sz w:val="20"/>
                <w:szCs w:val="20"/>
              </w:rPr>
            </w:pPr>
          </w:p>
        </w:tc>
        <w:tc>
          <w:tcPr>
            <w:tcW w:w="4291" w:type="pct"/>
            <w:hideMark/>
          </w:tcPr>
          <w:p w14:paraId="21C45F2C" w14:textId="77777777" w:rsidR="00454E80" w:rsidRPr="001677F9" w:rsidRDefault="00454E80" w:rsidP="00935ACF">
            <w:pPr>
              <w:jc w:val="left"/>
              <w:rPr>
                <w:rFonts w:ascii="Arial Narrow" w:hAnsi="Arial Narrow" w:cs="Times New Roman"/>
                <w:sz w:val="20"/>
                <w:szCs w:val="20"/>
              </w:rPr>
            </w:pPr>
            <w:r w:rsidRPr="001677F9">
              <w:rPr>
                <w:rFonts w:ascii="Arial Narrow" w:hAnsi="Arial Narrow" w:cs="Times New Roman"/>
                <w:b/>
                <w:bCs/>
                <w:sz w:val="20"/>
                <w:szCs w:val="20"/>
              </w:rPr>
              <w:t>Clinical criteria:</w:t>
            </w:r>
          </w:p>
        </w:tc>
      </w:tr>
      <w:tr w:rsidR="00454E80" w:rsidRPr="001677F9" w14:paraId="36613F40" w14:textId="77777777" w:rsidTr="00935ACF">
        <w:trPr>
          <w:trHeight w:val="20"/>
        </w:trPr>
        <w:tc>
          <w:tcPr>
            <w:tcW w:w="709" w:type="pct"/>
          </w:tcPr>
          <w:p w14:paraId="2DDC07CC" w14:textId="37F7D895" w:rsidR="00454E80" w:rsidRPr="001677F9" w:rsidRDefault="00454E80" w:rsidP="00935ACF">
            <w:pPr>
              <w:spacing w:before="240"/>
              <w:jc w:val="center"/>
              <w:rPr>
                <w:rFonts w:ascii="Arial Narrow" w:hAnsi="Arial Narrow" w:cs="Times New Roman"/>
                <w:sz w:val="20"/>
                <w:szCs w:val="20"/>
              </w:rPr>
            </w:pPr>
          </w:p>
        </w:tc>
        <w:tc>
          <w:tcPr>
            <w:tcW w:w="4291" w:type="pct"/>
            <w:hideMark/>
          </w:tcPr>
          <w:p w14:paraId="164A2B06" w14:textId="58D81103" w:rsidR="00454E80" w:rsidRPr="001677F9" w:rsidRDefault="00454E80" w:rsidP="00935ACF">
            <w:pPr>
              <w:keepNext/>
              <w:keepLines/>
              <w:numPr>
                <w:ilvl w:val="0"/>
                <w:numId w:val="3"/>
              </w:numPr>
              <w:snapToGrid w:val="0"/>
              <w:ind w:left="0" w:hanging="357"/>
              <w:contextualSpacing/>
              <w:jc w:val="left"/>
              <w:rPr>
                <w:rFonts w:ascii="Arial Narrow" w:hAnsi="Arial Narrow" w:cs="Times New Roman"/>
                <w:sz w:val="20"/>
                <w:szCs w:val="20"/>
              </w:rPr>
            </w:pPr>
            <w:r w:rsidRPr="001677F9">
              <w:rPr>
                <w:rFonts w:ascii="Arial Narrow" w:hAnsi="Arial Narrow" w:cs="Times New Roman"/>
                <w:sz w:val="20"/>
                <w:szCs w:val="20"/>
              </w:rPr>
              <w:t>Patient must have documented evidence of s</w:t>
            </w:r>
            <w:r w:rsidRPr="001677F9">
              <w:rPr>
                <w:rFonts w:ascii="Arial Narrow" w:hAnsi="Arial Narrow" w:cs="Times New Roman"/>
                <w:sz w:val="20"/>
                <w:szCs w:val="22"/>
              </w:rPr>
              <w:t>tructural changes in the heart on echocardiography that would be expected to cause diastolic dysfunction (</w:t>
            </w:r>
            <w:proofErr w:type="gramStart"/>
            <w:r w:rsidRPr="001677F9">
              <w:rPr>
                <w:rFonts w:ascii="Arial Narrow" w:hAnsi="Arial Narrow" w:cs="Times New Roman"/>
                <w:sz w:val="20"/>
                <w:szCs w:val="22"/>
              </w:rPr>
              <w:t>e.g.</w:t>
            </w:r>
            <w:proofErr w:type="gramEnd"/>
            <w:r w:rsidRPr="001677F9">
              <w:rPr>
                <w:rFonts w:ascii="Arial Narrow" w:hAnsi="Arial Narrow" w:cs="Times New Roman"/>
                <w:sz w:val="20"/>
                <w:szCs w:val="22"/>
              </w:rPr>
              <w:t xml:space="preserve"> left ventricular hypertrophy)</w:t>
            </w:r>
          </w:p>
        </w:tc>
      </w:tr>
      <w:tr w:rsidR="00454E80" w:rsidRPr="001677F9" w14:paraId="0F0A28BA" w14:textId="77777777" w:rsidTr="00935ACF">
        <w:trPr>
          <w:trHeight w:val="20"/>
        </w:trPr>
        <w:tc>
          <w:tcPr>
            <w:tcW w:w="709" w:type="pct"/>
          </w:tcPr>
          <w:p w14:paraId="4BC44B52" w14:textId="77777777" w:rsidR="00454E80" w:rsidRPr="001677F9" w:rsidRDefault="00454E80" w:rsidP="00935ACF">
            <w:pPr>
              <w:jc w:val="center"/>
              <w:rPr>
                <w:rFonts w:ascii="Arial Narrow" w:hAnsi="Arial Narrow" w:cs="Times New Roman"/>
                <w:strike/>
                <w:sz w:val="20"/>
                <w:szCs w:val="20"/>
              </w:rPr>
            </w:pPr>
          </w:p>
        </w:tc>
        <w:tc>
          <w:tcPr>
            <w:tcW w:w="4291" w:type="pct"/>
          </w:tcPr>
          <w:p w14:paraId="448A7729" w14:textId="77777777" w:rsidR="00454E80" w:rsidRPr="001677F9" w:rsidRDefault="00454E80" w:rsidP="00935ACF">
            <w:pPr>
              <w:keepNext/>
              <w:keepLines/>
              <w:rPr>
                <w:rFonts w:ascii="Arial Narrow" w:hAnsi="Arial Narrow" w:cs="Times New Roman"/>
                <w:b/>
                <w:bCs/>
                <w:sz w:val="20"/>
                <w:szCs w:val="20"/>
              </w:rPr>
            </w:pPr>
            <w:r w:rsidRPr="001677F9">
              <w:rPr>
                <w:rFonts w:ascii="Arial Narrow" w:hAnsi="Arial Narrow" w:cs="Times New Roman"/>
                <w:b/>
                <w:bCs/>
                <w:sz w:val="20"/>
                <w:szCs w:val="20"/>
              </w:rPr>
              <w:t>AND</w:t>
            </w:r>
          </w:p>
        </w:tc>
      </w:tr>
      <w:tr w:rsidR="00454E80" w:rsidRPr="001677F9" w14:paraId="17C41E3F" w14:textId="77777777" w:rsidTr="00935ACF">
        <w:trPr>
          <w:trHeight w:val="20"/>
        </w:trPr>
        <w:tc>
          <w:tcPr>
            <w:tcW w:w="709" w:type="pct"/>
          </w:tcPr>
          <w:p w14:paraId="13C93054" w14:textId="3A3C8BD2" w:rsidR="00454E80" w:rsidRPr="001677F9" w:rsidRDefault="00454E80" w:rsidP="00935ACF">
            <w:pPr>
              <w:jc w:val="center"/>
              <w:rPr>
                <w:rFonts w:ascii="Arial Narrow" w:hAnsi="Arial Narrow" w:cs="Times New Roman"/>
                <w:sz w:val="20"/>
                <w:szCs w:val="20"/>
              </w:rPr>
            </w:pPr>
          </w:p>
        </w:tc>
        <w:tc>
          <w:tcPr>
            <w:tcW w:w="4291" w:type="pct"/>
          </w:tcPr>
          <w:p w14:paraId="284FC84E" w14:textId="77777777" w:rsidR="00454E80" w:rsidRPr="001677F9" w:rsidRDefault="00454E80" w:rsidP="00935ACF">
            <w:pPr>
              <w:keepNext/>
              <w:keepLines/>
              <w:rPr>
                <w:rFonts w:ascii="Arial Narrow" w:hAnsi="Arial Narrow" w:cs="Times New Roman"/>
                <w:b/>
                <w:bCs/>
                <w:sz w:val="20"/>
                <w:szCs w:val="20"/>
              </w:rPr>
            </w:pPr>
            <w:r w:rsidRPr="001677F9">
              <w:rPr>
                <w:rFonts w:ascii="Arial Narrow" w:hAnsi="Arial Narrow" w:cs="Times New Roman"/>
                <w:b/>
                <w:bCs/>
                <w:sz w:val="20"/>
                <w:szCs w:val="20"/>
              </w:rPr>
              <w:t>Clinical criteria:</w:t>
            </w:r>
          </w:p>
        </w:tc>
      </w:tr>
      <w:tr w:rsidR="00454E80" w:rsidRPr="001677F9" w14:paraId="6EA6EE97" w14:textId="77777777" w:rsidTr="00935ACF">
        <w:trPr>
          <w:trHeight w:val="20"/>
        </w:trPr>
        <w:tc>
          <w:tcPr>
            <w:tcW w:w="709" w:type="pct"/>
          </w:tcPr>
          <w:p w14:paraId="59C91C6B" w14:textId="77777777" w:rsidR="00454E80" w:rsidRPr="001677F9" w:rsidRDefault="00454E80" w:rsidP="00935ACF">
            <w:pPr>
              <w:jc w:val="center"/>
              <w:rPr>
                <w:rFonts w:ascii="Arial Narrow" w:hAnsi="Arial Narrow" w:cs="Times New Roman"/>
                <w:sz w:val="20"/>
                <w:szCs w:val="20"/>
              </w:rPr>
            </w:pPr>
          </w:p>
          <w:p w14:paraId="1354244B" w14:textId="3FCCB9E7" w:rsidR="00454E80" w:rsidRPr="001677F9" w:rsidRDefault="00454E80" w:rsidP="00935ACF">
            <w:pPr>
              <w:jc w:val="center"/>
              <w:rPr>
                <w:rFonts w:ascii="Arial Narrow" w:hAnsi="Arial Narrow" w:cs="Times New Roman"/>
                <w:sz w:val="20"/>
                <w:szCs w:val="20"/>
              </w:rPr>
            </w:pPr>
          </w:p>
        </w:tc>
        <w:tc>
          <w:tcPr>
            <w:tcW w:w="4291" w:type="pct"/>
          </w:tcPr>
          <w:p w14:paraId="28B19849" w14:textId="4C368273" w:rsidR="00454E80" w:rsidRPr="001677F9" w:rsidRDefault="00454E80" w:rsidP="00935ACF">
            <w:pPr>
              <w:keepNext/>
              <w:keepLines/>
              <w:numPr>
                <w:ilvl w:val="0"/>
                <w:numId w:val="3"/>
              </w:numPr>
              <w:snapToGrid w:val="0"/>
              <w:ind w:left="0" w:hanging="357"/>
              <w:contextualSpacing/>
              <w:jc w:val="left"/>
              <w:rPr>
                <w:rFonts w:ascii="Arial Narrow" w:hAnsi="Arial Narrow" w:cs="Times New Roman"/>
                <w:sz w:val="20"/>
                <w:szCs w:val="20"/>
              </w:rPr>
            </w:pPr>
            <w:r w:rsidRPr="001677F9">
              <w:rPr>
                <w:rFonts w:ascii="Arial Narrow" w:hAnsi="Arial Narrow" w:cs="Times New Roman"/>
                <w:sz w:val="20"/>
                <w:szCs w:val="20"/>
              </w:rPr>
              <w:t>Patient must have documented evidence of at least one of</w:t>
            </w:r>
            <w:r w:rsidR="00E42C95" w:rsidRPr="001677F9">
              <w:rPr>
                <w:rFonts w:ascii="Arial Narrow" w:hAnsi="Arial Narrow" w:cs="Times New Roman"/>
                <w:sz w:val="20"/>
                <w:szCs w:val="20"/>
              </w:rPr>
              <w:t xml:space="preserve"> the following</w:t>
            </w:r>
            <w:r w:rsidRPr="001677F9">
              <w:rPr>
                <w:rFonts w:ascii="Arial Narrow" w:hAnsi="Arial Narrow" w:cs="Times New Roman"/>
                <w:sz w:val="20"/>
                <w:szCs w:val="20"/>
              </w:rPr>
              <w:t>:</w:t>
            </w:r>
          </w:p>
          <w:p w14:paraId="402BEF8D" w14:textId="39394AA5" w:rsidR="00454E80" w:rsidRPr="001677F9" w:rsidRDefault="00454E80" w:rsidP="00935ACF">
            <w:pPr>
              <w:keepNext/>
              <w:keepLines/>
              <w:numPr>
                <w:ilvl w:val="0"/>
                <w:numId w:val="3"/>
              </w:numPr>
              <w:snapToGrid w:val="0"/>
              <w:ind w:left="0" w:hanging="357"/>
              <w:contextualSpacing/>
              <w:jc w:val="left"/>
              <w:rPr>
                <w:rFonts w:ascii="Arial Narrow" w:hAnsi="Arial Narrow" w:cs="Times New Roman"/>
                <w:sz w:val="20"/>
                <w:szCs w:val="20"/>
              </w:rPr>
            </w:pPr>
            <w:r w:rsidRPr="001677F9">
              <w:rPr>
                <w:rFonts w:ascii="Arial Narrow" w:hAnsi="Arial Narrow" w:cs="Times New Roman"/>
                <w:sz w:val="20"/>
                <w:szCs w:val="20"/>
              </w:rPr>
              <w:t>(i) diastolic dysfunction with high filling pressure on echocardiography, stress echocardiography or cardiac catheterisation</w:t>
            </w:r>
          </w:p>
          <w:p w14:paraId="7091D58D" w14:textId="77777777" w:rsidR="00454E80" w:rsidRPr="001677F9" w:rsidRDefault="00454E80" w:rsidP="00935ACF">
            <w:pPr>
              <w:keepNext/>
              <w:keepLines/>
              <w:numPr>
                <w:ilvl w:val="0"/>
                <w:numId w:val="3"/>
              </w:numPr>
              <w:snapToGrid w:val="0"/>
              <w:ind w:left="0" w:hanging="357"/>
              <w:contextualSpacing/>
              <w:jc w:val="left"/>
              <w:rPr>
                <w:rFonts w:ascii="Arial Narrow" w:hAnsi="Arial Narrow" w:cs="Times New Roman"/>
                <w:sz w:val="20"/>
                <w:szCs w:val="20"/>
              </w:rPr>
            </w:pPr>
            <w:r w:rsidRPr="001677F9">
              <w:rPr>
                <w:rFonts w:ascii="Arial Narrow" w:hAnsi="Arial Narrow" w:cs="Times New Roman"/>
                <w:sz w:val="20"/>
                <w:szCs w:val="20"/>
              </w:rPr>
              <w:t>(ii) hospitalisation for heart failure in the 12 months prior to initiating treatment with this drug</w:t>
            </w:r>
          </w:p>
          <w:p w14:paraId="25BA808E" w14:textId="77777777" w:rsidR="00454E80" w:rsidRPr="001677F9" w:rsidRDefault="00454E80" w:rsidP="00935ACF">
            <w:pPr>
              <w:keepNext/>
              <w:keepLines/>
              <w:numPr>
                <w:ilvl w:val="0"/>
                <w:numId w:val="3"/>
              </w:numPr>
              <w:snapToGrid w:val="0"/>
              <w:ind w:left="0" w:hanging="357"/>
              <w:contextualSpacing/>
              <w:jc w:val="left"/>
              <w:rPr>
                <w:rFonts w:ascii="Arial Narrow" w:hAnsi="Arial Narrow" w:cs="Times New Roman"/>
                <w:sz w:val="20"/>
                <w:szCs w:val="20"/>
              </w:rPr>
            </w:pPr>
            <w:r w:rsidRPr="001677F9">
              <w:rPr>
                <w:rFonts w:ascii="Arial Narrow" w:hAnsi="Arial Narrow" w:cs="Times New Roman"/>
                <w:sz w:val="20"/>
                <w:szCs w:val="20"/>
              </w:rPr>
              <w:t>(iii) requirement for intravenous diuretic therapy in the 12 months prior to initiating treatment with this drug</w:t>
            </w:r>
          </w:p>
          <w:p w14:paraId="5307D5EE" w14:textId="7036D408" w:rsidR="00454E80" w:rsidRPr="001677F9" w:rsidRDefault="00454E80" w:rsidP="00B84DC7">
            <w:pPr>
              <w:spacing w:before="20" w:after="20" w:line="276" w:lineRule="auto"/>
              <w:jc w:val="left"/>
              <w:rPr>
                <w:rFonts w:ascii="Arial" w:hAnsi="Arial"/>
                <w:strike/>
                <w:sz w:val="18"/>
                <w:szCs w:val="20"/>
                <w:lang w:bidi="en-US"/>
              </w:rPr>
            </w:pPr>
            <w:r w:rsidRPr="001677F9">
              <w:rPr>
                <w:rFonts w:ascii="Arial Narrow" w:hAnsi="Arial Narrow" w:cs="SimSun"/>
                <w:sz w:val="20"/>
                <w:szCs w:val="20"/>
                <w:lang w:bidi="en-US"/>
              </w:rPr>
              <w:t>(iv) elevated N-terminal pro brain natriuretic peptide (NT-proBNP) levels in the absence of another cause</w:t>
            </w:r>
          </w:p>
        </w:tc>
      </w:tr>
      <w:tr w:rsidR="00454E80" w:rsidRPr="001677F9" w14:paraId="160776FE" w14:textId="77777777" w:rsidTr="00935ACF">
        <w:trPr>
          <w:trHeight w:val="20"/>
        </w:trPr>
        <w:tc>
          <w:tcPr>
            <w:tcW w:w="709" w:type="pct"/>
          </w:tcPr>
          <w:p w14:paraId="151BFC9C" w14:textId="77777777" w:rsidR="00454E80" w:rsidRPr="001677F9" w:rsidRDefault="00454E80" w:rsidP="00935ACF">
            <w:pPr>
              <w:jc w:val="center"/>
              <w:rPr>
                <w:rFonts w:ascii="Arial Narrow" w:hAnsi="Arial Narrow" w:cs="Times New Roman"/>
                <w:b/>
                <w:bCs/>
                <w:sz w:val="20"/>
                <w:szCs w:val="20"/>
              </w:rPr>
            </w:pPr>
          </w:p>
        </w:tc>
        <w:tc>
          <w:tcPr>
            <w:tcW w:w="4291" w:type="pct"/>
            <w:hideMark/>
          </w:tcPr>
          <w:p w14:paraId="6DB6B9EC" w14:textId="77777777" w:rsidR="00454E80" w:rsidRPr="001677F9" w:rsidRDefault="00454E80" w:rsidP="00935ACF">
            <w:pPr>
              <w:jc w:val="left"/>
              <w:rPr>
                <w:rFonts w:ascii="Arial Narrow" w:hAnsi="Arial Narrow" w:cs="Times New Roman"/>
                <w:sz w:val="20"/>
                <w:szCs w:val="20"/>
              </w:rPr>
            </w:pPr>
            <w:r w:rsidRPr="001677F9">
              <w:rPr>
                <w:rFonts w:ascii="Arial Narrow" w:hAnsi="Arial Narrow" w:cs="Times New Roman"/>
                <w:b/>
                <w:bCs/>
                <w:sz w:val="20"/>
                <w:szCs w:val="20"/>
              </w:rPr>
              <w:t>AND</w:t>
            </w:r>
          </w:p>
        </w:tc>
      </w:tr>
      <w:tr w:rsidR="00454E80" w:rsidRPr="001677F9" w14:paraId="194A9271" w14:textId="77777777" w:rsidTr="00935ACF">
        <w:trPr>
          <w:trHeight w:val="20"/>
        </w:trPr>
        <w:tc>
          <w:tcPr>
            <w:tcW w:w="709" w:type="pct"/>
          </w:tcPr>
          <w:p w14:paraId="376CA340" w14:textId="2C0498C1" w:rsidR="00454E80" w:rsidRPr="001677F9" w:rsidRDefault="00454E80" w:rsidP="00935ACF">
            <w:pPr>
              <w:jc w:val="center"/>
              <w:rPr>
                <w:rFonts w:ascii="Arial Narrow" w:hAnsi="Arial Narrow" w:cs="Times New Roman"/>
                <w:b/>
                <w:bCs/>
                <w:sz w:val="20"/>
                <w:szCs w:val="20"/>
              </w:rPr>
            </w:pPr>
          </w:p>
        </w:tc>
        <w:tc>
          <w:tcPr>
            <w:tcW w:w="4291" w:type="pct"/>
            <w:hideMark/>
          </w:tcPr>
          <w:p w14:paraId="5DBF91D5" w14:textId="77777777" w:rsidR="00454E80" w:rsidRPr="001677F9" w:rsidRDefault="00454E80" w:rsidP="00935ACF">
            <w:pPr>
              <w:jc w:val="left"/>
              <w:rPr>
                <w:rFonts w:ascii="Arial Narrow" w:hAnsi="Arial Narrow" w:cs="Times New Roman"/>
                <w:sz w:val="20"/>
                <w:szCs w:val="20"/>
              </w:rPr>
            </w:pPr>
            <w:r w:rsidRPr="001677F9">
              <w:rPr>
                <w:rFonts w:ascii="Arial Narrow" w:hAnsi="Arial Narrow" w:cs="Times New Roman"/>
                <w:b/>
                <w:bCs/>
                <w:sz w:val="20"/>
                <w:szCs w:val="20"/>
              </w:rPr>
              <w:t>Clinical criteria:</w:t>
            </w:r>
          </w:p>
        </w:tc>
      </w:tr>
      <w:tr w:rsidR="00454E80" w:rsidRPr="001677F9" w14:paraId="4C33EDE2" w14:textId="77777777" w:rsidTr="00935ACF">
        <w:trPr>
          <w:trHeight w:val="20"/>
        </w:trPr>
        <w:tc>
          <w:tcPr>
            <w:tcW w:w="709" w:type="pct"/>
          </w:tcPr>
          <w:p w14:paraId="5CE0A867" w14:textId="4764E2AE" w:rsidR="00454E80" w:rsidRPr="001677F9" w:rsidRDefault="00454E80" w:rsidP="00935ACF">
            <w:pPr>
              <w:jc w:val="center"/>
              <w:rPr>
                <w:rFonts w:ascii="Arial Narrow" w:hAnsi="Arial Narrow" w:cs="Times New Roman"/>
                <w:sz w:val="20"/>
                <w:szCs w:val="20"/>
              </w:rPr>
            </w:pPr>
          </w:p>
        </w:tc>
        <w:tc>
          <w:tcPr>
            <w:tcW w:w="4291" w:type="pct"/>
            <w:hideMark/>
          </w:tcPr>
          <w:p w14:paraId="31A96FD4" w14:textId="77777777" w:rsidR="00454E80" w:rsidRPr="001677F9" w:rsidRDefault="00454E80" w:rsidP="00935ACF">
            <w:pPr>
              <w:jc w:val="left"/>
              <w:rPr>
                <w:rFonts w:ascii="Arial Narrow" w:hAnsi="Arial Narrow" w:cs="Times New Roman"/>
                <w:sz w:val="20"/>
                <w:szCs w:val="20"/>
              </w:rPr>
            </w:pPr>
            <w:r w:rsidRPr="001677F9">
              <w:rPr>
                <w:rFonts w:ascii="Arial Narrow" w:hAnsi="Arial Narrow" w:cs="Times New Roman"/>
                <w:sz w:val="20"/>
                <w:szCs w:val="20"/>
              </w:rPr>
              <w:t>Patient must not be receiving treatment with another sodium-glucose co-transporter 2 (SGLT2) inhibitor</w:t>
            </w:r>
          </w:p>
        </w:tc>
      </w:tr>
    </w:tbl>
    <w:p w14:paraId="07403283" w14:textId="77777777" w:rsidR="006B78F8" w:rsidRDefault="006B78F8" w:rsidP="006B78F8">
      <w:pPr>
        <w:jc w:val="left"/>
        <w:rPr>
          <w:b/>
          <w:i/>
        </w:rPr>
      </w:pPr>
    </w:p>
    <w:p w14:paraId="4A79821F" w14:textId="4AF13F7C" w:rsidR="0025179D" w:rsidRDefault="0025179D">
      <w:pPr>
        <w:jc w:val="left"/>
        <w:rPr>
          <w:b/>
          <w:i/>
        </w:rPr>
      </w:pPr>
    </w:p>
    <w:p w14:paraId="6FF31C43" w14:textId="1DBBD8D1" w:rsidR="006B78F8" w:rsidRDefault="006B78F8" w:rsidP="006B78F8">
      <w:pPr>
        <w:jc w:val="left"/>
        <w:rPr>
          <w:b/>
          <w:i/>
        </w:rPr>
      </w:pPr>
      <w:r>
        <w:rPr>
          <w:b/>
          <w:i/>
        </w:rPr>
        <w:t>Flow ons:</w:t>
      </w:r>
    </w:p>
    <w:p w14:paraId="5C9024A2" w14:textId="1B89E9D4" w:rsidR="006B78F8" w:rsidRPr="00AF3857" w:rsidRDefault="006B78F8" w:rsidP="0072088C">
      <w:pPr>
        <w:spacing w:after="240"/>
        <w:jc w:val="left"/>
        <w:rPr>
          <w:rFonts w:asciiTheme="minorHAnsi" w:hAnsiTheme="minorHAnsi" w:cstheme="minorHAnsi"/>
          <w:b/>
          <w:i/>
        </w:rPr>
      </w:pPr>
      <w:r w:rsidRPr="00AF3857">
        <w:rPr>
          <w:rFonts w:asciiTheme="minorHAnsi" w:hAnsiTheme="minorHAnsi" w:cstheme="minorHAnsi"/>
          <w:b/>
          <w:i/>
        </w:rPr>
        <w:lastRenderedPageBreak/>
        <w:t>1-Amend clinical criterion for empaglifozin listing for the same indication with LVEF greater than 40% (recommended but not yet listed</w:t>
      </w:r>
      <w:r w:rsidR="00D06412" w:rsidRPr="00AF3857">
        <w:rPr>
          <w:rFonts w:asciiTheme="minorHAnsi" w:hAnsiTheme="minorHAnsi" w:cstheme="minorHAnsi"/>
          <w:b/>
          <w:i/>
        </w:rPr>
        <w:t>):</w:t>
      </w:r>
    </w:p>
    <w:tbl>
      <w:tblPr>
        <w:tblStyle w:val="TableGrid3"/>
        <w:tblW w:w="5000" w:type="pct"/>
        <w:tblLook w:val="0000" w:firstRow="0" w:lastRow="0" w:firstColumn="0" w:lastColumn="0" w:noHBand="0" w:noVBand="0"/>
      </w:tblPr>
      <w:tblGrid>
        <w:gridCol w:w="1279"/>
        <w:gridCol w:w="7738"/>
      </w:tblGrid>
      <w:tr w:rsidR="006B78F8" w:rsidRPr="001677F9" w14:paraId="26B9B211" w14:textId="77777777" w:rsidTr="004E4E67">
        <w:trPr>
          <w:trHeight w:val="535"/>
        </w:trPr>
        <w:tc>
          <w:tcPr>
            <w:tcW w:w="709" w:type="pct"/>
          </w:tcPr>
          <w:p w14:paraId="704C2324" w14:textId="5E5B1A4D" w:rsidR="006B78F8" w:rsidRPr="00D114DA" w:rsidRDefault="006B78F8" w:rsidP="004E4E67">
            <w:pPr>
              <w:jc w:val="center"/>
              <w:rPr>
                <w:rFonts w:ascii="Arial Narrow" w:hAnsi="Arial Narrow" w:cs="Times New Roman"/>
                <w:sz w:val="20"/>
                <w:szCs w:val="20"/>
              </w:rPr>
            </w:pPr>
          </w:p>
        </w:tc>
        <w:tc>
          <w:tcPr>
            <w:tcW w:w="4291" w:type="pct"/>
            <w:hideMark/>
          </w:tcPr>
          <w:p w14:paraId="33ED03DB" w14:textId="77777777" w:rsidR="006B78F8" w:rsidRPr="001677F9" w:rsidRDefault="006B78F8" w:rsidP="004E4E67">
            <w:pPr>
              <w:jc w:val="left"/>
              <w:rPr>
                <w:rFonts w:ascii="Arial Narrow" w:hAnsi="Arial Narrow" w:cs="Times New Roman"/>
                <w:sz w:val="20"/>
                <w:szCs w:val="20"/>
              </w:rPr>
            </w:pPr>
            <w:r w:rsidRPr="001677F9">
              <w:rPr>
                <w:rFonts w:ascii="Arial Narrow" w:hAnsi="Arial Narrow" w:cs="Times New Roman"/>
                <w:sz w:val="20"/>
                <w:szCs w:val="20"/>
              </w:rPr>
              <w:t>Patient must be symptomatic with NYHA</w:t>
            </w:r>
            <w:r w:rsidRPr="001677F9">
              <w:rPr>
                <w:rFonts w:ascii="Arial Narrow" w:hAnsi="Arial Narrow" w:cs="Times New Roman"/>
                <w:iCs/>
                <w:sz w:val="20"/>
                <w:szCs w:val="20"/>
              </w:rPr>
              <w:t xml:space="preserve"> </w:t>
            </w:r>
            <w:r w:rsidRPr="001677F9">
              <w:rPr>
                <w:rFonts w:ascii="Arial Narrow" w:hAnsi="Arial Narrow" w:cs="Times New Roman"/>
                <w:sz w:val="20"/>
                <w:szCs w:val="20"/>
              </w:rPr>
              <w:t xml:space="preserve">classes II, III or IV </w:t>
            </w:r>
            <w:r w:rsidRPr="00FA6010">
              <w:rPr>
                <w:rFonts w:ascii="Arial Narrow" w:hAnsi="Arial Narrow" w:cs="Times New Roman"/>
                <w:i/>
                <w:iCs/>
                <w:sz w:val="20"/>
                <w:szCs w:val="20"/>
              </w:rPr>
              <w:t>prior to initiating treatment with this drug</w:t>
            </w:r>
          </w:p>
        </w:tc>
      </w:tr>
    </w:tbl>
    <w:p w14:paraId="3CF0F0EC" w14:textId="77777777" w:rsidR="006B78F8" w:rsidRDefault="006B78F8" w:rsidP="006B78F8">
      <w:pPr>
        <w:jc w:val="left"/>
        <w:rPr>
          <w:b/>
          <w:i/>
        </w:rPr>
      </w:pPr>
    </w:p>
    <w:p w14:paraId="025750CD" w14:textId="5534C3C3" w:rsidR="006B78F8" w:rsidRPr="00AF3857" w:rsidRDefault="006B78F8" w:rsidP="0025179D">
      <w:pPr>
        <w:spacing w:after="240"/>
        <w:jc w:val="left"/>
        <w:rPr>
          <w:rFonts w:asciiTheme="minorHAnsi" w:hAnsiTheme="minorHAnsi" w:cstheme="minorHAnsi"/>
          <w:b/>
          <w:i/>
        </w:rPr>
      </w:pPr>
      <w:r w:rsidRPr="00AF3857">
        <w:rPr>
          <w:rFonts w:asciiTheme="minorHAnsi" w:hAnsiTheme="minorHAnsi" w:cstheme="minorHAnsi"/>
          <w:b/>
          <w:i/>
        </w:rPr>
        <w:t xml:space="preserve">2-Amend the same clinical criterion for the existing PBS listings for empagliflozin and dapagliflozin for chronic heart failure with LVEF of less than or equal to 40%: </w:t>
      </w:r>
    </w:p>
    <w:tbl>
      <w:tblPr>
        <w:tblStyle w:val="TableGrid3"/>
        <w:tblW w:w="5000" w:type="pct"/>
        <w:tblLook w:val="0000" w:firstRow="0" w:lastRow="0" w:firstColumn="0" w:lastColumn="0" w:noHBand="0" w:noVBand="0"/>
      </w:tblPr>
      <w:tblGrid>
        <w:gridCol w:w="1279"/>
        <w:gridCol w:w="7738"/>
      </w:tblGrid>
      <w:tr w:rsidR="006B78F8" w:rsidRPr="001677F9" w14:paraId="5CAEBAD5" w14:textId="77777777" w:rsidTr="004E4E67">
        <w:trPr>
          <w:trHeight w:val="535"/>
        </w:trPr>
        <w:tc>
          <w:tcPr>
            <w:tcW w:w="709" w:type="pct"/>
          </w:tcPr>
          <w:p w14:paraId="65FBA788" w14:textId="5310F497" w:rsidR="006B78F8" w:rsidRPr="00D114DA" w:rsidRDefault="006B78F8" w:rsidP="004E4E67">
            <w:pPr>
              <w:jc w:val="center"/>
              <w:rPr>
                <w:rFonts w:ascii="Arial Narrow" w:hAnsi="Arial Narrow" w:cs="Times New Roman"/>
                <w:sz w:val="20"/>
                <w:szCs w:val="20"/>
              </w:rPr>
            </w:pPr>
          </w:p>
        </w:tc>
        <w:tc>
          <w:tcPr>
            <w:tcW w:w="4291" w:type="pct"/>
            <w:hideMark/>
          </w:tcPr>
          <w:p w14:paraId="0256F2D6" w14:textId="77777777" w:rsidR="006B78F8" w:rsidRPr="001677F9" w:rsidRDefault="006B78F8" w:rsidP="004E4E67">
            <w:pPr>
              <w:jc w:val="left"/>
              <w:rPr>
                <w:rFonts w:ascii="Arial Narrow" w:hAnsi="Arial Narrow" w:cs="Times New Roman"/>
                <w:sz w:val="20"/>
                <w:szCs w:val="20"/>
              </w:rPr>
            </w:pPr>
            <w:r w:rsidRPr="001677F9">
              <w:rPr>
                <w:rFonts w:ascii="Arial Narrow" w:hAnsi="Arial Narrow" w:cs="Times New Roman"/>
                <w:sz w:val="20"/>
                <w:szCs w:val="20"/>
              </w:rPr>
              <w:t>Patient must be symptomatic with NYHA</w:t>
            </w:r>
            <w:r w:rsidRPr="001677F9">
              <w:rPr>
                <w:rFonts w:ascii="Arial Narrow" w:hAnsi="Arial Narrow" w:cs="Times New Roman"/>
                <w:iCs/>
                <w:sz w:val="20"/>
                <w:szCs w:val="20"/>
              </w:rPr>
              <w:t xml:space="preserve"> </w:t>
            </w:r>
            <w:r w:rsidRPr="001677F9">
              <w:rPr>
                <w:rFonts w:ascii="Arial Narrow" w:hAnsi="Arial Narrow" w:cs="Times New Roman"/>
                <w:sz w:val="20"/>
                <w:szCs w:val="20"/>
              </w:rPr>
              <w:t xml:space="preserve">classes II, III or IV </w:t>
            </w:r>
            <w:r w:rsidRPr="00FA6010">
              <w:rPr>
                <w:rFonts w:ascii="Arial Narrow" w:hAnsi="Arial Narrow" w:cs="Times New Roman"/>
                <w:i/>
                <w:iCs/>
                <w:sz w:val="20"/>
                <w:szCs w:val="20"/>
              </w:rPr>
              <w:t>prior to initiating treatment with this drug</w:t>
            </w:r>
          </w:p>
        </w:tc>
      </w:tr>
    </w:tbl>
    <w:p w14:paraId="55B0A266" w14:textId="22527C08" w:rsidR="00454E80" w:rsidRDefault="00454E80" w:rsidP="00454E80"/>
    <w:p w14:paraId="15D29B3A" w14:textId="2C67052C" w:rsidR="00184CA9" w:rsidRPr="00AF3857" w:rsidRDefault="00454E80" w:rsidP="00AF3857">
      <w:pPr>
        <w:spacing w:after="240"/>
        <w:jc w:val="left"/>
        <w:rPr>
          <w:rFonts w:asciiTheme="minorHAnsi" w:hAnsiTheme="minorHAnsi" w:cstheme="minorHAnsi"/>
          <w:b/>
          <w:i/>
        </w:rPr>
      </w:pPr>
      <w:r w:rsidRPr="00AF3857">
        <w:rPr>
          <w:rFonts w:asciiTheme="minorHAnsi" w:hAnsiTheme="minorHAnsi" w:cstheme="minorHAnsi"/>
          <w:b/>
          <w:i/>
        </w:rPr>
        <w:t>This restriction may be subject to further review. Should there be any changes made to the restriction the sponsor will be informed.</w:t>
      </w:r>
      <w:bookmarkEnd w:id="87"/>
      <w:bookmarkEnd w:id="89"/>
    </w:p>
    <w:p w14:paraId="7D7D0B9C" w14:textId="68CBE025" w:rsidR="00184CA9" w:rsidRDefault="00184CA9" w:rsidP="00184CA9">
      <w:pPr>
        <w:pStyle w:val="2-SectionHeading"/>
        <w:rPr>
          <w:bCs/>
          <w:lang w:val="en-GB"/>
        </w:rPr>
      </w:pPr>
      <w:r w:rsidRPr="00C07617">
        <w:t>Context for Decision</w:t>
      </w:r>
    </w:p>
    <w:p w14:paraId="41334A38" w14:textId="77777777" w:rsidR="00184CA9" w:rsidRPr="007129F2" w:rsidRDefault="00184CA9" w:rsidP="00184CA9">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7B32B92" w14:textId="1E8B18C8" w:rsidR="00184CA9" w:rsidRPr="00C07617" w:rsidRDefault="00184CA9" w:rsidP="00184CA9">
      <w:pPr>
        <w:pStyle w:val="2-SectionHeading"/>
      </w:pPr>
      <w:r>
        <w:t>Sponsor’s Comment</w:t>
      </w:r>
    </w:p>
    <w:p w14:paraId="681B6428" w14:textId="77777777" w:rsidR="00184CA9" w:rsidRPr="001179AC" w:rsidRDefault="00184CA9" w:rsidP="00184CA9">
      <w:pPr>
        <w:spacing w:after="120"/>
        <w:ind w:left="426" w:firstLine="294"/>
        <w:rPr>
          <w:rFonts w:asciiTheme="minorHAnsi" w:hAnsiTheme="minorHAnsi"/>
          <w:bCs/>
        </w:rPr>
      </w:pPr>
      <w:r w:rsidRPr="00C07617">
        <w:rPr>
          <w:rFonts w:asciiTheme="minorHAnsi" w:hAnsiTheme="minorHAnsi"/>
          <w:bCs/>
        </w:rPr>
        <w:t>The sponsor had no comment.</w:t>
      </w:r>
    </w:p>
    <w:p w14:paraId="79D55B6A" w14:textId="77777777" w:rsidR="00184CA9" w:rsidRPr="001677F9" w:rsidRDefault="00184CA9" w:rsidP="00454E80">
      <w:pPr>
        <w:jc w:val="left"/>
        <w:rPr>
          <w:b/>
        </w:rPr>
      </w:pPr>
    </w:p>
    <w:sectPr w:rsidR="00184CA9" w:rsidRPr="001677F9" w:rsidSect="00974D36">
      <w:type w:val="continuous"/>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4291C" w14:textId="77777777" w:rsidR="00A20BA7" w:rsidRDefault="00A20BA7" w:rsidP="00124A51">
      <w:r>
        <w:separator/>
      </w:r>
    </w:p>
    <w:p w14:paraId="472A192C" w14:textId="77777777" w:rsidR="00A20BA7" w:rsidRDefault="00A20BA7"/>
  </w:endnote>
  <w:endnote w:type="continuationSeparator" w:id="0">
    <w:p w14:paraId="705F947E" w14:textId="77777777" w:rsidR="00A20BA7" w:rsidRDefault="00A20BA7" w:rsidP="00124A51">
      <w:r>
        <w:continuationSeparator/>
      </w:r>
    </w:p>
    <w:p w14:paraId="1DD09F3C" w14:textId="77777777" w:rsidR="00A20BA7" w:rsidRDefault="00A20B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Narrow">
    <w:altName w:val="Arial"/>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TimesNewRomanPS-BoldMT">
    <w:altName w:val="Times New Roman"/>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AA78" w14:textId="77777777" w:rsidR="00A3315D" w:rsidRDefault="00A3315D" w:rsidP="00330538">
    <w:pPr>
      <w:pStyle w:val="Footer"/>
      <w:jc w:val="center"/>
      <w:rPr>
        <w:b/>
      </w:rPr>
    </w:pPr>
    <w:bookmarkStart w:id="80" w:name="_Hlk76375156"/>
  </w:p>
  <w:p w14:paraId="37484CD3" w14:textId="75BA5D92" w:rsidR="00836440" w:rsidRPr="007C1CD9" w:rsidRDefault="00CE6AC7" w:rsidP="00330538">
    <w:pPr>
      <w:pStyle w:val="Footer"/>
      <w:jc w:val="center"/>
    </w:pPr>
    <w:r>
      <w:rPr>
        <w:b/>
      </w:rPr>
      <w:fldChar w:fldCharType="begin"/>
    </w:r>
    <w:r>
      <w:rPr>
        <w:b/>
      </w:rPr>
      <w:instrText xml:space="preserve"> PAGE   \* MERGEFORMAT </w:instrText>
    </w:r>
    <w:r>
      <w:rPr>
        <w:b/>
      </w:rPr>
      <w:fldChar w:fldCharType="separate"/>
    </w:r>
    <w:r>
      <w:rPr>
        <w:b/>
        <w:noProof/>
      </w:rPr>
      <w:t>1</w:t>
    </w:r>
    <w:r>
      <w:rPr>
        <w:b/>
        <w:noProof/>
      </w:rPr>
      <w:fldChar w:fldCharType="end"/>
    </w:r>
    <w:r>
      <w:rPr>
        <w:b/>
        <w:noProof/>
      </w:rPr>
      <w:t xml:space="preserve"> </w:t>
    </w:r>
    <w:bookmarkEnd w:id="8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2D390" w14:textId="77777777" w:rsidR="00A20BA7" w:rsidRDefault="00A20BA7" w:rsidP="00124A51">
      <w:r>
        <w:separator/>
      </w:r>
    </w:p>
    <w:p w14:paraId="487AFDEC" w14:textId="77777777" w:rsidR="00A20BA7" w:rsidRDefault="00A20BA7"/>
  </w:footnote>
  <w:footnote w:type="continuationSeparator" w:id="0">
    <w:p w14:paraId="1EEAB964" w14:textId="77777777" w:rsidR="00A20BA7" w:rsidRDefault="00A20BA7" w:rsidP="00124A51">
      <w:r>
        <w:continuationSeparator/>
      </w:r>
    </w:p>
    <w:p w14:paraId="2DD6FE81" w14:textId="77777777" w:rsidR="00A20BA7" w:rsidRDefault="00A20BA7"/>
  </w:footnote>
  <w:footnote w:id="1">
    <w:p w14:paraId="3BD9D3FA" w14:textId="369F9CD4" w:rsidR="006A0422" w:rsidRPr="006A0422" w:rsidRDefault="006A0422" w:rsidP="006A0422">
      <w:pPr>
        <w:pStyle w:val="EndNoteBibliography"/>
        <w:spacing w:after="0"/>
        <w:rPr>
          <w:rFonts w:ascii="Arial Narrow" w:hAnsi="Arial Narrow"/>
          <w:sz w:val="18"/>
          <w:szCs w:val="18"/>
        </w:rPr>
      </w:pPr>
      <w:r w:rsidRPr="006A0422">
        <w:rPr>
          <w:rStyle w:val="FootnoteReference"/>
          <w:rFonts w:ascii="Arial Narrow" w:hAnsi="Arial Narrow"/>
          <w:sz w:val="18"/>
          <w:szCs w:val="18"/>
        </w:rPr>
        <w:footnoteRef/>
      </w:r>
      <w:r w:rsidRPr="00980351">
        <w:rPr>
          <w:rFonts w:ascii="Arial Narrow" w:hAnsi="Arial Narrow"/>
          <w:sz w:val="18"/>
          <w:szCs w:val="18"/>
          <w:lang w:val="nb-NO"/>
        </w:rPr>
        <w:t xml:space="preserve"> Heidenreich, P. A., Bozkurt, B., </w:t>
      </w:r>
      <w:r w:rsidRPr="00980351">
        <w:rPr>
          <w:rFonts w:ascii="Arial Narrow" w:hAnsi="Arial Narrow"/>
          <w:i/>
          <w:iCs/>
          <w:sz w:val="18"/>
          <w:szCs w:val="18"/>
          <w:lang w:val="nb-NO"/>
        </w:rPr>
        <w:t xml:space="preserve">et al. </w:t>
      </w:r>
      <w:r w:rsidRPr="006A0422">
        <w:rPr>
          <w:rFonts w:ascii="Arial Narrow" w:hAnsi="Arial Narrow"/>
          <w:sz w:val="18"/>
          <w:szCs w:val="18"/>
        </w:rPr>
        <w:t>(2022)</w:t>
      </w:r>
      <w:r w:rsidR="00F2624F">
        <w:rPr>
          <w:rFonts w:ascii="Arial Narrow" w:hAnsi="Arial Narrow"/>
          <w:sz w:val="18"/>
          <w:szCs w:val="18"/>
        </w:rPr>
        <w:t>.</w:t>
      </w:r>
      <w:r w:rsidRPr="006A0422">
        <w:rPr>
          <w:rFonts w:ascii="Arial Narrow" w:hAnsi="Arial Narrow"/>
          <w:sz w:val="18"/>
          <w:szCs w:val="18"/>
        </w:rPr>
        <w:t xml:space="preserve"> 2022 AHA/ACC/HFSA Guideline for the Management of Heart Failure: A Report of the American College of Cardiology/American Heart Association Joint Committee on Clinical Practice Guidelines. </w:t>
      </w:r>
      <w:r w:rsidRPr="006A0422">
        <w:rPr>
          <w:rFonts w:ascii="Arial Narrow" w:hAnsi="Arial Narrow"/>
          <w:i/>
          <w:iCs/>
          <w:sz w:val="18"/>
          <w:szCs w:val="18"/>
        </w:rPr>
        <w:t>Circulation</w:t>
      </w:r>
      <w:r w:rsidRPr="006A0422">
        <w:rPr>
          <w:rFonts w:ascii="Arial Narrow" w:hAnsi="Arial Narrow"/>
          <w:sz w:val="18"/>
          <w:szCs w:val="18"/>
        </w:rPr>
        <w:t xml:space="preserve">, 145(18), e895-e1032. </w:t>
      </w:r>
    </w:p>
  </w:footnote>
  <w:footnote w:id="2">
    <w:p w14:paraId="165C1B7D" w14:textId="3438490E" w:rsidR="006A0422" w:rsidRPr="006A0422" w:rsidRDefault="006A0422">
      <w:pPr>
        <w:pStyle w:val="FootnoteText"/>
        <w:rPr>
          <w:rFonts w:ascii="Arial Narrow" w:hAnsi="Arial Narrow"/>
          <w:sz w:val="18"/>
          <w:szCs w:val="18"/>
          <w:lang w:val="en-US"/>
        </w:rPr>
      </w:pPr>
      <w:r w:rsidRPr="006A0422">
        <w:rPr>
          <w:rStyle w:val="FootnoteReference"/>
          <w:rFonts w:ascii="Arial Narrow" w:hAnsi="Arial Narrow"/>
          <w:sz w:val="18"/>
          <w:szCs w:val="18"/>
        </w:rPr>
        <w:footnoteRef/>
      </w:r>
      <w:r w:rsidRPr="006A0422">
        <w:rPr>
          <w:rFonts w:ascii="Arial Narrow" w:hAnsi="Arial Narrow"/>
          <w:sz w:val="18"/>
          <w:szCs w:val="18"/>
        </w:rPr>
        <w:t xml:space="preserve"> </w:t>
      </w:r>
      <w:r>
        <w:rPr>
          <w:rFonts w:ascii="Arial Narrow" w:hAnsi="Arial Narrow"/>
          <w:sz w:val="18"/>
          <w:szCs w:val="18"/>
        </w:rPr>
        <w:t xml:space="preserve">Visseren, F.L.J., Mach, F. </w:t>
      </w:r>
      <w:r>
        <w:rPr>
          <w:rFonts w:ascii="Arial Narrow" w:hAnsi="Arial Narrow"/>
          <w:i/>
          <w:iCs/>
          <w:sz w:val="18"/>
          <w:szCs w:val="18"/>
        </w:rPr>
        <w:t xml:space="preserve">et al. </w:t>
      </w:r>
      <w:r>
        <w:rPr>
          <w:rFonts w:ascii="Arial Narrow" w:hAnsi="Arial Narrow"/>
          <w:sz w:val="18"/>
          <w:szCs w:val="18"/>
        </w:rPr>
        <w:t>(2021)</w:t>
      </w:r>
      <w:r w:rsidR="00F2624F">
        <w:rPr>
          <w:rFonts w:ascii="Arial Narrow" w:hAnsi="Arial Narrow"/>
          <w:sz w:val="18"/>
          <w:szCs w:val="18"/>
        </w:rPr>
        <w:t>.</w:t>
      </w:r>
      <w:r>
        <w:rPr>
          <w:rFonts w:ascii="Arial Narrow" w:hAnsi="Arial Narrow"/>
          <w:sz w:val="18"/>
          <w:szCs w:val="18"/>
        </w:rPr>
        <w:t xml:space="preserve"> </w:t>
      </w:r>
      <w:r w:rsidRPr="006A0422">
        <w:rPr>
          <w:rFonts w:ascii="Arial Narrow" w:hAnsi="Arial Narrow"/>
          <w:color w:val="2A2A2A"/>
          <w:sz w:val="18"/>
          <w:szCs w:val="18"/>
          <w:shd w:val="clear" w:color="auto" w:fill="FFFFFF"/>
        </w:rPr>
        <w:t xml:space="preserve">2021 ESC Guidelines on cardiovascular disease prevention in clinical practice: Developed by the Task Force for cardiovascular disease prevention in clinical practice with representatives of the European Society of Cardiology and 12 medical societies </w:t>
      </w:r>
      <w:proofErr w:type="gramStart"/>
      <w:r w:rsidRPr="006A0422">
        <w:rPr>
          <w:rFonts w:ascii="Arial Narrow" w:hAnsi="Arial Narrow"/>
          <w:color w:val="2A2A2A"/>
          <w:sz w:val="18"/>
          <w:szCs w:val="18"/>
          <w:shd w:val="clear" w:color="auto" w:fill="FFFFFF"/>
        </w:rPr>
        <w:t>With</w:t>
      </w:r>
      <w:proofErr w:type="gramEnd"/>
      <w:r w:rsidRPr="006A0422">
        <w:rPr>
          <w:rFonts w:ascii="Arial Narrow" w:hAnsi="Arial Narrow"/>
          <w:color w:val="2A2A2A"/>
          <w:sz w:val="18"/>
          <w:szCs w:val="18"/>
          <w:shd w:val="clear" w:color="auto" w:fill="FFFFFF"/>
        </w:rPr>
        <w:t xml:space="preserve"> the special contribution of the European Association of Preventive Cardiology (EAPC)</w:t>
      </w:r>
      <w:r>
        <w:rPr>
          <w:rFonts w:ascii="Arial Narrow" w:hAnsi="Arial Narrow"/>
          <w:color w:val="2A2A2A"/>
          <w:sz w:val="18"/>
          <w:szCs w:val="18"/>
          <w:shd w:val="clear" w:color="auto" w:fill="FFFFFF"/>
        </w:rPr>
        <w:t xml:space="preserve">. </w:t>
      </w:r>
      <w:r w:rsidRPr="006A0422">
        <w:rPr>
          <w:rFonts w:ascii="Arial Narrow" w:hAnsi="Arial Narrow"/>
          <w:sz w:val="18"/>
          <w:szCs w:val="18"/>
        </w:rPr>
        <w:t xml:space="preserve"> </w:t>
      </w:r>
      <w:r>
        <w:rPr>
          <w:rFonts w:ascii="Arial Narrow" w:hAnsi="Arial Narrow"/>
          <w:i/>
          <w:iCs/>
          <w:sz w:val="18"/>
          <w:szCs w:val="18"/>
        </w:rPr>
        <w:t>European Heart Journal,</w:t>
      </w:r>
      <w:r>
        <w:rPr>
          <w:rFonts w:ascii="Arial Narrow" w:hAnsi="Arial Narrow"/>
          <w:sz w:val="18"/>
          <w:szCs w:val="18"/>
        </w:rPr>
        <w:t xml:space="preserve"> 42(34), 3227-3337</w:t>
      </w:r>
    </w:p>
  </w:footnote>
  <w:footnote w:id="3">
    <w:p w14:paraId="26CA5894" w14:textId="2B2801B6" w:rsidR="00412957" w:rsidRPr="00412957" w:rsidRDefault="00412957">
      <w:pPr>
        <w:pStyle w:val="FootnoteText"/>
        <w:rPr>
          <w:lang w:val="en-US"/>
        </w:rPr>
      </w:pPr>
      <w:r w:rsidRPr="00412957">
        <w:rPr>
          <w:rStyle w:val="FootnoteReference"/>
          <w:rFonts w:ascii="Arial Narrow" w:hAnsi="Arial Narrow"/>
          <w:sz w:val="18"/>
          <w:szCs w:val="18"/>
        </w:rPr>
        <w:footnoteRef/>
      </w:r>
      <w:r>
        <w:t xml:space="preserve"> </w:t>
      </w:r>
      <w:r w:rsidRPr="00412957">
        <w:rPr>
          <w:rFonts w:ascii="Arial Narrow" w:eastAsia="Times New Roman" w:hAnsi="Arial Narrow" w:cs="Segoe UI"/>
          <w:sz w:val="18"/>
          <w:szCs w:val="18"/>
          <w:lang w:eastAsia="en-AU"/>
        </w:rPr>
        <w:t xml:space="preserve">Chan, YK., Tuttle, C. </w:t>
      </w:r>
      <w:r w:rsidRPr="00412957">
        <w:rPr>
          <w:rFonts w:ascii="Arial Narrow" w:eastAsia="Times New Roman" w:hAnsi="Arial Narrow" w:cs="Segoe UI"/>
          <w:i/>
          <w:iCs/>
          <w:sz w:val="18"/>
          <w:szCs w:val="18"/>
          <w:lang w:eastAsia="en-AU"/>
        </w:rPr>
        <w:t>et al.</w:t>
      </w:r>
      <w:r w:rsidRPr="00412957">
        <w:rPr>
          <w:rFonts w:ascii="Arial Narrow" w:eastAsia="Times New Roman" w:hAnsi="Arial Narrow" w:cs="Segoe UI"/>
          <w:sz w:val="18"/>
          <w:szCs w:val="18"/>
          <w:lang w:eastAsia="en-AU"/>
        </w:rPr>
        <w:t xml:space="preserve"> (2016)</w:t>
      </w:r>
      <w:r w:rsidR="00F2624F">
        <w:rPr>
          <w:rFonts w:ascii="Arial Narrow" w:eastAsia="Times New Roman" w:hAnsi="Arial Narrow" w:cs="Segoe UI"/>
          <w:sz w:val="18"/>
          <w:szCs w:val="18"/>
          <w:lang w:eastAsia="en-AU"/>
        </w:rPr>
        <w:t>.</w:t>
      </w:r>
      <w:r w:rsidRPr="00412957">
        <w:rPr>
          <w:rFonts w:ascii="Arial Narrow" w:eastAsia="Times New Roman" w:hAnsi="Arial Narrow" w:cs="Segoe UI"/>
          <w:sz w:val="18"/>
          <w:szCs w:val="18"/>
          <w:lang w:eastAsia="en-AU"/>
        </w:rPr>
        <w:t xml:space="preserve"> Current and projected burden of heart failure in the Australian adult population: a substantive but still ill-defined major health issue. </w:t>
      </w:r>
      <w:r w:rsidRPr="00412957">
        <w:rPr>
          <w:rFonts w:ascii="Arial Narrow" w:eastAsia="Times New Roman" w:hAnsi="Arial Narrow" w:cs="Segoe UI"/>
          <w:i/>
          <w:iCs/>
          <w:sz w:val="18"/>
          <w:szCs w:val="18"/>
          <w:lang w:eastAsia="en-AU"/>
        </w:rPr>
        <w:t xml:space="preserve">BMC Health Serv Res </w:t>
      </w:r>
      <w:r w:rsidRPr="00412957">
        <w:rPr>
          <w:rFonts w:ascii="Arial Narrow" w:eastAsia="Times New Roman" w:hAnsi="Arial Narrow" w:cs="Segoe UI"/>
          <w:sz w:val="18"/>
          <w:szCs w:val="18"/>
          <w:lang w:eastAsia="en-AU"/>
        </w:rPr>
        <w:t>16, 501</w:t>
      </w:r>
    </w:p>
  </w:footnote>
  <w:footnote w:id="4">
    <w:p w14:paraId="27398C61" w14:textId="77777777" w:rsidR="00DB6B4D" w:rsidRDefault="00DB6B4D" w:rsidP="00DB6B4D">
      <w:pPr>
        <w:pStyle w:val="FootnoteText"/>
      </w:pPr>
      <w:r>
        <w:rPr>
          <w:rStyle w:val="FootnoteReference"/>
        </w:rPr>
        <w:footnoteRef/>
      </w:r>
      <w:r w:rsidRPr="00DB6B4D">
        <w:rPr>
          <w:rFonts w:ascii="Arial Narrow" w:hAnsi="Arial Narrow"/>
          <w:sz w:val="18"/>
          <w:szCs w:val="18"/>
        </w:rPr>
        <w:t>Vaduganathan M, et al. SGLT-2 inhibitors in patients with heart failure: a comprehensive meta-analysis of five randomised controlled trials. Lancet. 2022 Sep 3;400(10354):757-767.</w:t>
      </w:r>
    </w:p>
  </w:footnote>
  <w:footnote w:id="5">
    <w:p w14:paraId="4C4C2C64" w14:textId="7F39FD4C" w:rsidR="00F2624F" w:rsidRPr="00F2624F" w:rsidRDefault="00F2624F">
      <w:pPr>
        <w:pStyle w:val="FootnoteText"/>
        <w:rPr>
          <w:rFonts w:ascii="Arial Narrow" w:hAnsi="Arial Narrow"/>
          <w:sz w:val="18"/>
          <w:szCs w:val="18"/>
          <w:lang w:val="en-US"/>
        </w:rPr>
      </w:pPr>
      <w:r w:rsidRPr="00F2624F">
        <w:rPr>
          <w:rStyle w:val="FootnoteReference"/>
          <w:rFonts w:ascii="Arial Narrow" w:hAnsi="Arial Narrow"/>
          <w:sz w:val="18"/>
          <w:szCs w:val="18"/>
        </w:rPr>
        <w:footnoteRef/>
      </w:r>
      <w:r w:rsidRPr="00F2624F">
        <w:rPr>
          <w:rFonts w:ascii="Arial Narrow" w:hAnsi="Arial Narrow"/>
          <w:sz w:val="18"/>
          <w:szCs w:val="18"/>
        </w:rPr>
        <w:t xml:space="preserve"> </w:t>
      </w:r>
      <w:r>
        <w:rPr>
          <w:rFonts w:ascii="Arial Narrow" w:hAnsi="Arial Narrow"/>
          <w:sz w:val="18"/>
          <w:szCs w:val="18"/>
        </w:rPr>
        <w:t xml:space="preserve">Vaduganathan, M., Docherty, K.F., </w:t>
      </w:r>
      <w:r>
        <w:rPr>
          <w:rFonts w:ascii="Arial Narrow" w:hAnsi="Arial Narrow"/>
          <w:i/>
          <w:iCs/>
          <w:sz w:val="18"/>
          <w:szCs w:val="18"/>
        </w:rPr>
        <w:t>et al.</w:t>
      </w:r>
      <w:r>
        <w:rPr>
          <w:rFonts w:ascii="Arial Narrow" w:hAnsi="Arial Narrow"/>
          <w:sz w:val="18"/>
          <w:szCs w:val="18"/>
        </w:rPr>
        <w:t xml:space="preserve"> </w:t>
      </w:r>
      <w:r w:rsidRPr="00F2624F">
        <w:rPr>
          <w:rFonts w:ascii="Arial Narrow" w:hAnsi="Arial Narrow"/>
          <w:sz w:val="18"/>
          <w:szCs w:val="18"/>
        </w:rPr>
        <w:t>(2022). SGLT-2 inhibitors in patients with heart failure: a comprehensive meta-analysis of five randomised controlled trials. The</w:t>
      </w:r>
      <w:r w:rsidR="00AF5379">
        <w:rPr>
          <w:rFonts w:ascii="Arial Narrow" w:hAnsi="Arial Narrow"/>
          <w:sz w:val="18"/>
          <w:szCs w:val="18"/>
        </w:rPr>
        <w:t xml:space="preserve"> </w:t>
      </w:r>
      <w:r w:rsidRPr="00F2624F">
        <w:rPr>
          <w:rFonts w:ascii="Arial Narrow" w:hAnsi="Arial Narrow"/>
          <w:sz w:val="18"/>
          <w:szCs w:val="18"/>
        </w:rPr>
        <w:t>Lancet, 400(10354), 757-767</w:t>
      </w:r>
    </w:p>
  </w:footnote>
  <w:footnote w:id="6">
    <w:p w14:paraId="5F954462" w14:textId="77777777" w:rsidR="005C655F" w:rsidRDefault="005C655F" w:rsidP="005C655F">
      <w:pPr>
        <w:pStyle w:val="FootnoteText"/>
      </w:pPr>
      <w:r>
        <w:rPr>
          <w:rStyle w:val="FootnoteReference"/>
        </w:rPr>
        <w:footnoteRef/>
      </w:r>
      <w:r w:rsidRPr="00DB6B4D">
        <w:rPr>
          <w:rFonts w:ascii="Arial Narrow" w:hAnsi="Arial Narrow"/>
          <w:sz w:val="18"/>
          <w:szCs w:val="18"/>
        </w:rPr>
        <w:t>Vaduganathan M, et al. SGLT-2 inhibitors in patients with heart failure: a comprehensive meta-analysis of five randomised controlled trials. Lancet. 2022 Sep 3;400(10354):757-767.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BCED" w14:textId="1BE1F5CF" w:rsidR="00836440" w:rsidRPr="0022204F" w:rsidRDefault="005450B9">
    <w:pPr>
      <w:pStyle w:val="Header"/>
      <w:rPr>
        <w:i/>
      </w:rPr>
    </w:pPr>
    <w:r>
      <w:rPr>
        <w:i/>
      </w:rPr>
      <w:t>Public Summary Document</w:t>
    </w:r>
    <w:r w:rsidR="00CE6AC7">
      <w:rPr>
        <w:i/>
      </w:rPr>
      <w:t xml:space="preserve"> </w:t>
    </w:r>
    <w:r>
      <w:rPr>
        <w:i/>
      </w:rPr>
      <w:t>–</w:t>
    </w:r>
    <w:r w:rsidR="00CE6AC7">
      <w:rPr>
        <w:i/>
      </w:rPr>
      <w:t xml:space="preserve"> </w:t>
    </w:r>
    <w:r w:rsidR="00836440" w:rsidRPr="0022204F">
      <w:rPr>
        <w:i/>
      </w:rPr>
      <w:t xml:space="preserve">July 2023 PBAC Meeting </w:t>
    </w:r>
  </w:p>
  <w:p w14:paraId="03AF943B" w14:textId="77777777" w:rsidR="00836440" w:rsidRPr="008C7ECB" w:rsidRDefault="00836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7EB2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3986CC5"/>
    <w:multiLevelType w:val="multilevel"/>
    <w:tmpl w:val="42260E50"/>
    <w:styleLink w:val="HeadingListStyle"/>
    <w:lvl w:ilvl="0">
      <w:start w:val="1"/>
      <w:numFmt w:val="decimal"/>
      <w:lvlText w:val="Section %1"/>
      <w:lvlJc w:val="left"/>
      <w:pPr>
        <w:ind w:left="2268" w:hanging="2268"/>
      </w:pPr>
      <w:rPr>
        <w:rFonts w:hint="default"/>
      </w:rPr>
    </w:lvl>
    <w:lvl w:ilvl="1">
      <w:start w:val="1"/>
      <w:numFmt w:val="upperLetter"/>
      <w:lvlText w:val="Section %1%2"/>
      <w:lvlJc w:val="left"/>
      <w:pPr>
        <w:ind w:left="2268" w:hanging="2268"/>
      </w:pPr>
      <w:rPr>
        <w:rFonts w:hint="default"/>
      </w:rPr>
    </w:lvl>
    <w:lvl w:ilvl="2">
      <w:start w:val="1"/>
      <w:numFmt w:val="decimal"/>
      <w:lvlRestart w:val="1"/>
      <w:lvlText w:val="%1.%3"/>
      <w:lvlJc w:val="left"/>
      <w:pPr>
        <w:ind w:left="1134" w:hanging="1134"/>
      </w:pPr>
      <w:rPr>
        <w:rFonts w:hint="default"/>
      </w:rPr>
    </w:lvl>
    <w:lvl w:ilvl="3">
      <w:start w:val="1"/>
      <w:numFmt w:val="decimal"/>
      <w:lvlRestart w:val="2"/>
      <w:lvlText w:val="%1%2.%4"/>
      <w:lvlJc w:val="left"/>
      <w:pPr>
        <w:ind w:left="1134" w:hanging="1134"/>
      </w:pPr>
      <w:rPr>
        <w:rFonts w:hint="default"/>
      </w:rPr>
    </w:lvl>
    <w:lvl w:ilvl="4">
      <w:start w:val="1"/>
      <w:numFmt w:val="decimal"/>
      <w:lvlRestart w:val="3"/>
      <w:lvlText w:val="%1.%3.%5"/>
      <w:lvlJc w:val="left"/>
      <w:pPr>
        <w:ind w:left="1134" w:hanging="1134"/>
      </w:pPr>
      <w:rPr>
        <w:rFonts w:hint="default"/>
      </w:rPr>
    </w:lvl>
    <w:lvl w:ilvl="5">
      <w:start w:val="1"/>
      <w:numFmt w:val="decimal"/>
      <w:lvlRestart w:val="4"/>
      <w:lvlText w:val="%1%2.%4.%6"/>
      <w:lvlJc w:val="left"/>
      <w:pPr>
        <w:ind w:left="1134" w:hanging="1134"/>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6C83431"/>
    <w:multiLevelType w:val="hybridMultilevel"/>
    <w:tmpl w:val="52BC4DA8"/>
    <w:lvl w:ilvl="0" w:tplc="FFFFFFFF">
      <w:start w:val="1"/>
      <w:numFmt w:val="bullet"/>
      <w:lvlText w:val=""/>
      <w:lvlJc w:val="left"/>
      <w:pPr>
        <w:ind w:left="720" w:hanging="360"/>
      </w:pPr>
      <w:rPr>
        <w:rFonts w:ascii="Symbol" w:hAnsi="Symbol" w:hint="default"/>
      </w:rPr>
    </w:lvl>
    <w:lvl w:ilvl="1" w:tplc="BDBEC012">
      <w:start w:val="1"/>
      <w:numFmt w:val="bullet"/>
      <w:lvlText w:val="o"/>
      <w:lvlJc w:val="left"/>
      <w:pPr>
        <w:ind w:left="1440" w:hanging="360"/>
      </w:pPr>
      <w:rPr>
        <w:rFonts w:ascii="Courier New" w:hAnsi="Courier New" w:hint="default"/>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7508E9"/>
    <w:multiLevelType w:val="hybridMultilevel"/>
    <w:tmpl w:val="854ADBDA"/>
    <w:lvl w:ilvl="0" w:tplc="56682988">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A3438B"/>
    <w:multiLevelType w:val="hybridMultilevel"/>
    <w:tmpl w:val="F344F7F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2714412"/>
    <w:multiLevelType w:val="hybridMultilevel"/>
    <w:tmpl w:val="BBBCA0EE"/>
    <w:lvl w:ilvl="0" w:tplc="470AAAD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43351A3E"/>
    <w:multiLevelType w:val="multilevel"/>
    <w:tmpl w:val="FF6EC1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945661A"/>
    <w:multiLevelType w:val="hybridMultilevel"/>
    <w:tmpl w:val="6870E8FC"/>
    <w:lvl w:ilvl="0" w:tplc="9A646292">
      <w:start w:val="1"/>
      <w:numFmt w:val="bullet"/>
      <w:lvlText w:val=""/>
      <w:lvlJc w:val="left"/>
      <w:pPr>
        <w:tabs>
          <w:tab w:val="num" w:pos="720"/>
        </w:tabs>
        <w:ind w:left="720" w:hanging="360"/>
      </w:pPr>
      <w:rPr>
        <w:rFonts w:ascii="Wingdings" w:hAnsi="Wingdings" w:hint="default"/>
      </w:rPr>
    </w:lvl>
    <w:lvl w:ilvl="1" w:tplc="E1CE4146" w:tentative="1">
      <w:start w:val="1"/>
      <w:numFmt w:val="bullet"/>
      <w:lvlText w:val=""/>
      <w:lvlJc w:val="left"/>
      <w:pPr>
        <w:tabs>
          <w:tab w:val="num" w:pos="1440"/>
        </w:tabs>
        <w:ind w:left="1440" w:hanging="360"/>
      </w:pPr>
      <w:rPr>
        <w:rFonts w:ascii="Wingdings" w:hAnsi="Wingdings" w:hint="default"/>
      </w:rPr>
    </w:lvl>
    <w:lvl w:ilvl="2" w:tplc="9DE4B3DA" w:tentative="1">
      <w:start w:val="1"/>
      <w:numFmt w:val="bullet"/>
      <w:lvlText w:val=""/>
      <w:lvlJc w:val="left"/>
      <w:pPr>
        <w:tabs>
          <w:tab w:val="num" w:pos="2160"/>
        </w:tabs>
        <w:ind w:left="2160" w:hanging="360"/>
      </w:pPr>
      <w:rPr>
        <w:rFonts w:ascii="Wingdings" w:hAnsi="Wingdings" w:hint="default"/>
      </w:rPr>
    </w:lvl>
    <w:lvl w:ilvl="3" w:tplc="2CE6FC44" w:tentative="1">
      <w:start w:val="1"/>
      <w:numFmt w:val="bullet"/>
      <w:lvlText w:val=""/>
      <w:lvlJc w:val="left"/>
      <w:pPr>
        <w:tabs>
          <w:tab w:val="num" w:pos="2880"/>
        </w:tabs>
        <w:ind w:left="2880" w:hanging="360"/>
      </w:pPr>
      <w:rPr>
        <w:rFonts w:ascii="Wingdings" w:hAnsi="Wingdings" w:hint="default"/>
      </w:rPr>
    </w:lvl>
    <w:lvl w:ilvl="4" w:tplc="55BC83AC" w:tentative="1">
      <w:start w:val="1"/>
      <w:numFmt w:val="bullet"/>
      <w:lvlText w:val=""/>
      <w:lvlJc w:val="left"/>
      <w:pPr>
        <w:tabs>
          <w:tab w:val="num" w:pos="3600"/>
        </w:tabs>
        <w:ind w:left="3600" w:hanging="360"/>
      </w:pPr>
      <w:rPr>
        <w:rFonts w:ascii="Wingdings" w:hAnsi="Wingdings" w:hint="default"/>
      </w:rPr>
    </w:lvl>
    <w:lvl w:ilvl="5" w:tplc="EAEC133E" w:tentative="1">
      <w:start w:val="1"/>
      <w:numFmt w:val="bullet"/>
      <w:lvlText w:val=""/>
      <w:lvlJc w:val="left"/>
      <w:pPr>
        <w:tabs>
          <w:tab w:val="num" w:pos="4320"/>
        </w:tabs>
        <w:ind w:left="4320" w:hanging="360"/>
      </w:pPr>
      <w:rPr>
        <w:rFonts w:ascii="Wingdings" w:hAnsi="Wingdings" w:hint="default"/>
      </w:rPr>
    </w:lvl>
    <w:lvl w:ilvl="6" w:tplc="7BF60D90" w:tentative="1">
      <w:start w:val="1"/>
      <w:numFmt w:val="bullet"/>
      <w:lvlText w:val=""/>
      <w:lvlJc w:val="left"/>
      <w:pPr>
        <w:tabs>
          <w:tab w:val="num" w:pos="5040"/>
        </w:tabs>
        <w:ind w:left="5040" w:hanging="360"/>
      </w:pPr>
      <w:rPr>
        <w:rFonts w:ascii="Wingdings" w:hAnsi="Wingdings" w:hint="default"/>
      </w:rPr>
    </w:lvl>
    <w:lvl w:ilvl="7" w:tplc="8F8426A6" w:tentative="1">
      <w:start w:val="1"/>
      <w:numFmt w:val="bullet"/>
      <w:lvlText w:val=""/>
      <w:lvlJc w:val="left"/>
      <w:pPr>
        <w:tabs>
          <w:tab w:val="num" w:pos="5760"/>
        </w:tabs>
        <w:ind w:left="5760" w:hanging="360"/>
      </w:pPr>
      <w:rPr>
        <w:rFonts w:ascii="Wingdings" w:hAnsi="Wingdings" w:hint="default"/>
      </w:rPr>
    </w:lvl>
    <w:lvl w:ilvl="8" w:tplc="11B48DA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42C3799"/>
    <w:multiLevelType w:val="hybridMultilevel"/>
    <w:tmpl w:val="634A97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7C3499"/>
    <w:multiLevelType w:val="hybridMultilevel"/>
    <w:tmpl w:val="4496B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5CC5D71"/>
    <w:multiLevelType w:val="hybridMultilevel"/>
    <w:tmpl w:val="1032C036"/>
    <w:lvl w:ilvl="0" w:tplc="68B0B4AC">
      <w:start w:val="1"/>
      <w:numFmt w:val="bullet"/>
      <w:lvlText w:val=""/>
      <w:lvlJc w:val="left"/>
      <w:pPr>
        <w:tabs>
          <w:tab w:val="num" w:pos="720"/>
        </w:tabs>
        <w:ind w:left="720" w:hanging="360"/>
      </w:pPr>
      <w:rPr>
        <w:rFonts w:ascii="Wingdings" w:hAnsi="Wingdings" w:hint="default"/>
      </w:rPr>
    </w:lvl>
    <w:lvl w:ilvl="1" w:tplc="CDDC179C" w:tentative="1">
      <w:start w:val="1"/>
      <w:numFmt w:val="bullet"/>
      <w:lvlText w:val=""/>
      <w:lvlJc w:val="left"/>
      <w:pPr>
        <w:tabs>
          <w:tab w:val="num" w:pos="1440"/>
        </w:tabs>
        <w:ind w:left="1440" w:hanging="360"/>
      </w:pPr>
      <w:rPr>
        <w:rFonts w:ascii="Wingdings" w:hAnsi="Wingdings" w:hint="default"/>
      </w:rPr>
    </w:lvl>
    <w:lvl w:ilvl="2" w:tplc="1E8C5CEE" w:tentative="1">
      <w:start w:val="1"/>
      <w:numFmt w:val="bullet"/>
      <w:lvlText w:val=""/>
      <w:lvlJc w:val="left"/>
      <w:pPr>
        <w:tabs>
          <w:tab w:val="num" w:pos="2160"/>
        </w:tabs>
        <w:ind w:left="2160" w:hanging="360"/>
      </w:pPr>
      <w:rPr>
        <w:rFonts w:ascii="Wingdings" w:hAnsi="Wingdings" w:hint="default"/>
      </w:rPr>
    </w:lvl>
    <w:lvl w:ilvl="3" w:tplc="A1B06444" w:tentative="1">
      <w:start w:val="1"/>
      <w:numFmt w:val="bullet"/>
      <w:lvlText w:val=""/>
      <w:lvlJc w:val="left"/>
      <w:pPr>
        <w:tabs>
          <w:tab w:val="num" w:pos="2880"/>
        </w:tabs>
        <w:ind w:left="2880" w:hanging="360"/>
      </w:pPr>
      <w:rPr>
        <w:rFonts w:ascii="Wingdings" w:hAnsi="Wingdings" w:hint="default"/>
      </w:rPr>
    </w:lvl>
    <w:lvl w:ilvl="4" w:tplc="FB4AD16E" w:tentative="1">
      <w:start w:val="1"/>
      <w:numFmt w:val="bullet"/>
      <w:lvlText w:val=""/>
      <w:lvlJc w:val="left"/>
      <w:pPr>
        <w:tabs>
          <w:tab w:val="num" w:pos="3600"/>
        </w:tabs>
        <w:ind w:left="3600" w:hanging="360"/>
      </w:pPr>
      <w:rPr>
        <w:rFonts w:ascii="Wingdings" w:hAnsi="Wingdings" w:hint="default"/>
      </w:rPr>
    </w:lvl>
    <w:lvl w:ilvl="5" w:tplc="17EACCF2" w:tentative="1">
      <w:start w:val="1"/>
      <w:numFmt w:val="bullet"/>
      <w:lvlText w:val=""/>
      <w:lvlJc w:val="left"/>
      <w:pPr>
        <w:tabs>
          <w:tab w:val="num" w:pos="4320"/>
        </w:tabs>
        <w:ind w:left="4320" w:hanging="360"/>
      </w:pPr>
      <w:rPr>
        <w:rFonts w:ascii="Wingdings" w:hAnsi="Wingdings" w:hint="default"/>
      </w:rPr>
    </w:lvl>
    <w:lvl w:ilvl="6" w:tplc="F4307D9E" w:tentative="1">
      <w:start w:val="1"/>
      <w:numFmt w:val="bullet"/>
      <w:lvlText w:val=""/>
      <w:lvlJc w:val="left"/>
      <w:pPr>
        <w:tabs>
          <w:tab w:val="num" w:pos="5040"/>
        </w:tabs>
        <w:ind w:left="5040" w:hanging="360"/>
      </w:pPr>
      <w:rPr>
        <w:rFonts w:ascii="Wingdings" w:hAnsi="Wingdings" w:hint="default"/>
      </w:rPr>
    </w:lvl>
    <w:lvl w:ilvl="7" w:tplc="7E4A56D0" w:tentative="1">
      <w:start w:val="1"/>
      <w:numFmt w:val="bullet"/>
      <w:lvlText w:val=""/>
      <w:lvlJc w:val="left"/>
      <w:pPr>
        <w:tabs>
          <w:tab w:val="num" w:pos="5760"/>
        </w:tabs>
        <w:ind w:left="5760" w:hanging="360"/>
      </w:pPr>
      <w:rPr>
        <w:rFonts w:ascii="Wingdings" w:hAnsi="Wingdings" w:hint="default"/>
      </w:rPr>
    </w:lvl>
    <w:lvl w:ilvl="8" w:tplc="DE7A830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8562DD"/>
    <w:multiLevelType w:val="hybridMultilevel"/>
    <w:tmpl w:val="116CAB1C"/>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num w:numId="1" w16cid:durableId="1345203602">
    <w:abstractNumId w:val="25"/>
  </w:num>
  <w:num w:numId="2" w16cid:durableId="1340349846">
    <w:abstractNumId w:val="13"/>
  </w:num>
  <w:num w:numId="3" w16cid:durableId="557908599">
    <w:abstractNumId w:val="14"/>
  </w:num>
  <w:num w:numId="4" w16cid:durableId="1734233681">
    <w:abstractNumId w:val="0"/>
  </w:num>
  <w:num w:numId="5" w16cid:durableId="1418406060">
    <w:abstractNumId w:val="25"/>
  </w:num>
  <w:num w:numId="6" w16cid:durableId="643118456">
    <w:abstractNumId w:val="20"/>
  </w:num>
  <w:num w:numId="7" w16cid:durableId="1206212093">
    <w:abstractNumId w:val="11"/>
  </w:num>
  <w:num w:numId="8" w16cid:durableId="519661121">
    <w:abstractNumId w:val="26"/>
  </w:num>
  <w:num w:numId="9" w16cid:durableId="879823170">
    <w:abstractNumId w:val="9"/>
  </w:num>
  <w:num w:numId="10" w16cid:durableId="1241065313">
    <w:abstractNumId w:val="6"/>
  </w:num>
  <w:num w:numId="11" w16cid:durableId="1568759804">
    <w:abstractNumId w:val="19"/>
  </w:num>
  <w:num w:numId="12" w16cid:durableId="1784762124">
    <w:abstractNumId w:val="22"/>
  </w:num>
  <w:num w:numId="13" w16cid:durableId="1013146556">
    <w:abstractNumId w:val="5"/>
  </w:num>
  <w:num w:numId="14" w16cid:durableId="296374963">
    <w:abstractNumId w:val="4"/>
  </w:num>
  <w:num w:numId="15" w16cid:durableId="1728727673">
    <w:abstractNumId w:val="12"/>
  </w:num>
  <w:num w:numId="16" w16cid:durableId="1588421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7776470">
    <w:abstractNumId w:val="21"/>
  </w:num>
  <w:num w:numId="18" w16cid:durableId="2128310385">
    <w:abstractNumId w:val="2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6749551">
    <w:abstractNumId w:val="2"/>
  </w:num>
  <w:num w:numId="20" w16cid:durableId="1843548293">
    <w:abstractNumId w:val="10"/>
  </w:num>
  <w:num w:numId="21" w16cid:durableId="18046125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59970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7328254">
    <w:abstractNumId w:val="7"/>
  </w:num>
  <w:num w:numId="24" w16cid:durableId="16171741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365714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9610534">
    <w:abstractNumId w:val="16"/>
  </w:num>
  <w:num w:numId="27" w16cid:durableId="10874269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41472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4479552">
    <w:abstractNumId w:val="17"/>
  </w:num>
  <w:num w:numId="30" w16cid:durableId="1311443360">
    <w:abstractNumId w:val="24"/>
  </w:num>
  <w:num w:numId="31" w16cid:durableId="220408556">
    <w:abstractNumId w:val="25"/>
  </w:num>
  <w:num w:numId="32" w16cid:durableId="183834519">
    <w:abstractNumId w:val="25"/>
  </w:num>
  <w:num w:numId="33" w16cid:durableId="2700171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37360193">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E75"/>
    <w:rsid w:val="0000110B"/>
    <w:rsid w:val="000031D3"/>
    <w:rsid w:val="00003499"/>
    <w:rsid w:val="000037F7"/>
    <w:rsid w:val="000039B7"/>
    <w:rsid w:val="000056B9"/>
    <w:rsid w:val="00005F27"/>
    <w:rsid w:val="0000639A"/>
    <w:rsid w:val="0000675F"/>
    <w:rsid w:val="00011114"/>
    <w:rsid w:val="00013247"/>
    <w:rsid w:val="00015886"/>
    <w:rsid w:val="000162EF"/>
    <w:rsid w:val="000207C9"/>
    <w:rsid w:val="00021AD7"/>
    <w:rsid w:val="0002225F"/>
    <w:rsid w:val="00023763"/>
    <w:rsid w:val="00024EB5"/>
    <w:rsid w:val="00025AF3"/>
    <w:rsid w:val="000274B8"/>
    <w:rsid w:val="00030344"/>
    <w:rsid w:val="00033863"/>
    <w:rsid w:val="00035DC0"/>
    <w:rsid w:val="00036829"/>
    <w:rsid w:val="00037E42"/>
    <w:rsid w:val="000401BA"/>
    <w:rsid w:val="00040895"/>
    <w:rsid w:val="000410A0"/>
    <w:rsid w:val="00042D78"/>
    <w:rsid w:val="000435EE"/>
    <w:rsid w:val="00043C37"/>
    <w:rsid w:val="00045017"/>
    <w:rsid w:val="00045A2B"/>
    <w:rsid w:val="0004698F"/>
    <w:rsid w:val="00046D64"/>
    <w:rsid w:val="000477F1"/>
    <w:rsid w:val="000479EF"/>
    <w:rsid w:val="00050175"/>
    <w:rsid w:val="000508C2"/>
    <w:rsid w:val="000539D0"/>
    <w:rsid w:val="00054621"/>
    <w:rsid w:val="000546D7"/>
    <w:rsid w:val="00054A8D"/>
    <w:rsid w:val="00055D46"/>
    <w:rsid w:val="00056ECF"/>
    <w:rsid w:val="00057FB9"/>
    <w:rsid w:val="000604DF"/>
    <w:rsid w:val="00062324"/>
    <w:rsid w:val="00062410"/>
    <w:rsid w:val="00064975"/>
    <w:rsid w:val="0006511F"/>
    <w:rsid w:val="000653B5"/>
    <w:rsid w:val="00066360"/>
    <w:rsid w:val="00066AF8"/>
    <w:rsid w:val="00071248"/>
    <w:rsid w:val="000720B9"/>
    <w:rsid w:val="00072288"/>
    <w:rsid w:val="00072374"/>
    <w:rsid w:val="000737F7"/>
    <w:rsid w:val="00074F0D"/>
    <w:rsid w:val="0007672F"/>
    <w:rsid w:val="00076B54"/>
    <w:rsid w:val="000774F0"/>
    <w:rsid w:val="00080909"/>
    <w:rsid w:val="000812CA"/>
    <w:rsid w:val="00081A07"/>
    <w:rsid w:val="00081E63"/>
    <w:rsid w:val="0008258D"/>
    <w:rsid w:val="000832E4"/>
    <w:rsid w:val="0008379B"/>
    <w:rsid w:val="00083E99"/>
    <w:rsid w:val="00084FA8"/>
    <w:rsid w:val="000856C5"/>
    <w:rsid w:val="00085C31"/>
    <w:rsid w:val="00086EF0"/>
    <w:rsid w:val="000902D9"/>
    <w:rsid w:val="000906CB"/>
    <w:rsid w:val="00090C7E"/>
    <w:rsid w:val="000911AC"/>
    <w:rsid w:val="0009244F"/>
    <w:rsid w:val="00092600"/>
    <w:rsid w:val="0009262B"/>
    <w:rsid w:val="00093310"/>
    <w:rsid w:val="0009445C"/>
    <w:rsid w:val="00095200"/>
    <w:rsid w:val="00095FE5"/>
    <w:rsid w:val="00096284"/>
    <w:rsid w:val="0009793B"/>
    <w:rsid w:val="000A1050"/>
    <w:rsid w:val="000A1BC0"/>
    <w:rsid w:val="000A2F9E"/>
    <w:rsid w:val="000A3E47"/>
    <w:rsid w:val="000A522B"/>
    <w:rsid w:val="000A549C"/>
    <w:rsid w:val="000A6039"/>
    <w:rsid w:val="000A7453"/>
    <w:rsid w:val="000A7D08"/>
    <w:rsid w:val="000B0121"/>
    <w:rsid w:val="000B0670"/>
    <w:rsid w:val="000B0E75"/>
    <w:rsid w:val="000B2C7D"/>
    <w:rsid w:val="000B2DCB"/>
    <w:rsid w:val="000B4BD5"/>
    <w:rsid w:val="000B4D6E"/>
    <w:rsid w:val="000B5CE0"/>
    <w:rsid w:val="000B6CAC"/>
    <w:rsid w:val="000B7612"/>
    <w:rsid w:val="000B78AE"/>
    <w:rsid w:val="000B7FFA"/>
    <w:rsid w:val="000C1D98"/>
    <w:rsid w:val="000C22ED"/>
    <w:rsid w:val="000C3DF9"/>
    <w:rsid w:val="000C4CF2"/>
    <w:rsid w:val="000C537A"/>
    <w:rsid w:val="000C6713"/>
    <w:rsid w:val="000D1BFC"/>
    <w:rsid w:val="000D1D5D"/>
    <w:rsid w:val="000D281A"/>
    <w:rsid w:val="000D2848"/>
    <w:rsid w:val="000D326A"/>
    <w:rsid w:val="000D3F3F"/>
    <w:rsid w:val="000D51FB"/>
    <w:rsid w:val="000D7DAE"/>
    <w:rsid w:val="000E01EF"/>
    <w:rsid w:val="000E0640"/>
    <w:rsid w:val="000E135D"/>
    <w:rsid w:val="000E14C6"/>
    <w:rsid w:val="000E1816"/>
    <w:rsid w:val="000E200A"/>
    <w:rsid w:val="000E2089"/>
    <w:rsid w:val="000F00BA"/>
    <w:rsid w:val="000F1809"/>
    <w:rsid w:val="000F22B0"/>
    <w:rsid w:val="000F316A"/>
    <w:rsid w:val="000F3C74"/>
    <w:rsid w:val="000F4BB8"/>
    <w:rsid w:val="000F4FA9"/>
    <w:rsid w:val="000F53FB"/>
    <w:rsid w:val="000F556E"/>
    <w:rsid w:val="000F7127"/>
    <w:rsid w:val="000F7B54"/>
    <w:rsid w:val="001000B3"/>
    <w:rsid w:val="00100F8A"/>
    <w:rsid w:val="001018C7"/>
    <w:rsid w:val="00102715"/>
    <w:rsid w:val="00102D25"/>
    <w:rsid w:val="0010452E"/>
    <w:rsid w:val="00105AE2"/>
    <w:rsid w:val="001060C6"/>
    <w:rsid w:val="00106B80"/>
    <w:rsid w:val="0010769E"/>
    <w:rsid w:val="0011032E"/>
    <w:rsid w:val="0011348B"/>
    <w:rsid w:val="00115982"/>
    <w:rsid w:val="00116C53"/>
    <w:rsid w:val="00116D6D"/>
    <w:rsid w:val="00117075"/>
    <w:rsid w:val="00121799"/>
    <w:rsid w:val="001222FC"/>
    <w:rsid w:val="00123902"/>
    <w:rsid w:val="00124A51"/>
    <w:rsid w:val="00126621"/>
    <w:rsid w:val="00126B1D"/>
    <w:rsid w:val="00127823"/>
    <w:rsid w:val="001301E9"/>
    <w:rsid w:val="00130A90"/>
    <w:rsid w:val="00131D82"/>
    <w:rsid w:val="00132B22"/>
    <w:rsid w:val="001332A0"/>
    <w:rsid w:val="00133D36"/>
    <w:rsid w:val="0013432F"/>
    <w:rsid w:val="001354F7"/>
    <w:rsid w:val="00137645"/>
    <w:rsid w:val="001378EE"/>
    <w:rsid w:val="0014015A"/>
    <w:rsid w:val="00140E99"/>
    <w:rsid w:val="00143F67"/>
    <w:rsid w:val="00145234"/>
    <w:rsid w:val="00145540"/>
    <w:rsid w:val="001456B0"/>
    <w:rsid w:val="001469BC"/>
    <w:rsid w:val="00147BEE"/>
    <w:rsid w:val="00152904"/>
    <w:rsid w:val="001547AB"/>
    <w:rsid w:val="001557D7"/>
    <w:rsid w:val="00155DD6"/>
    <w:rsid w:val="00155F7A"/>
    <w:rsid w:val="00156F8F"/>
    <w:rsid w:val="00157130"/>
    <w:rsid w:val="001576B1"/>
    <w:rsid w:val="0016047B"/>
    <w:rsid w:val="00160A4C"/>
    <w:rsid w:val="00162913"/>
    <w:rsid w:val="00162AF1"/>
    <w:rsid w:val="00162C5A"/>
    <w:rsid w:val="00163EFF"/>
    <w:rsid w:val="00163F66"/>
    <w:rsid w:val="0016478E"/>
    <w:rsid w:val="0016580D"/>
    <w:rsid w:val="00165EC4"/>
    <w:rsid w:val="00165F6B"/>
    <w:rsid w:val="001661FB"/>
    <w:rsid w:val="001671A0"/>
    <w:rsid w:val="001675DA"/>
    <w:rsid w:val="0016767F"/>
    <w:rsid w:val="001677F9"/>
    <w:rsid w:val="001710C9"/>
    <w:rsid w:val="00172653"/>
    <w:rsid w:val="00173565"/>
    <w:rsid w:val="00173B07"/>
    <w:rsid w:val="001751FA"/>
    <w:rsid w:val="0018045A"/>
    <w:rsid w:val="00181C10"/>
    <w:rsid w:val="00181D9C"/>
    <w:rsid w:val="001837FF"/>
    <w:rsid w:val="00184B0E"/>
    <w:rsid w:val="00184CA9"/>
    <w:rsid w:val="00187328"/>
    <w:rsid w:val="0018752F"/>
    <w:rsid w:val="00187D6B"/>
    <w:rsid w:val="00187EAF"/>
    <w:rsid w:val="001906EF"/>
    <w:rsid w:val="001909AB"/>
    <w:rsid w:val="00193838"/>
    <w:rsid w:val="00194AD8"/>
    <w:rsid w:val="00194AF8"/>
    <w:rsid w:val="00195222"/>
    <w:rsid w:val="00195452"/>
    <w:rsid w:val="001975D8"/>
    <w:rsid w:val="001A0CA4"/>
    <w:rsid w:val="001A178E"/>
    <w:rsid w:val="001A3D4B"/>
    <w:rsid w:val="001A43FA"/>
    <w:rsid w:val="001A47C5"/>
    <w:rsid w:val="001A59FB"/>
    <w:rsid w:val="001A5E9E"/>
    <w:rsid w:val="001A6354"/>
    <w:rsid w:val="001A6366"/>
    <w:rsid w:val="001A7AE8"/>
    <w:rsid w:val="001B204E"/>
    <w:rsid w:val="001B2372"/>
    <w:rsid w:val="001B3443"/>
    <w:rsid w:val="001B4D20"/>
    <w:rsid w:val="001B4EB2"/>
    <w:rsid w:val="001B7F84"/>
    <w:rsid w:val="001C1B17"/>
    <w:rsid w:val="001C2A9B"/>
    <w:rsid w:val="001C2D53"/>
    <w:rsid w:val="001C3DD6"/>
    <w:rsid w:val="001C4299"/>
    <w:rsid w:val="001C44E6"/>
    <w:rsid w:val="001C4874"/>
    <w:rsid w:val="001C5F94"/>
    <w:rsid w:val="001C6E66"/>
    <w:rsid w:val="001D00C5"/>
    <w:rsid w:val="001D1100"/>
    <w:rsid w:val="001D1391"/>
    <w:rsid w:val="001D209A"/>
    <w:rsid w:val="001D25D7"/>
    <w:rsid w:val="001D36F6"/>
    <w:rsid w:val="001D3DDE"/>
    <w:rsid w:val="001D50B2"/>
    <w:rsid w:val="001D71F4"/>
    <w:rsid w:val="001D7645"/>
    <w:rsid w:val="001E1699"/>
    <w:rsid w:val="001E17BB"/>
    <w:rsid w:val="001E1E86"/>
    <w:rsid w:val="001E238E"/>
    <w:rsid w:val="001E2483"/>
    <w:rsid w:val="001E2B1E"/>
    <w:rsid w:val="001E2CFF"/>
    <w:rsid w:val="001E2F24"/>
    <w:rsid w:val="001E30D4"/>
    <w:rsid w:val="001E34DF"/>
    <w:rsid w:val="001E52EB"/>
    <w:rsid w:val="001E61D2"/>
    <w:rsid w:val="001E740C"/>
    <w:rsid w:val="001E7AD3"/>
    <w:rsid w:val="001F1235"/>
    <w:rsid w:val="001F1CB3"/>
    <w:rsid w:val="001F288A"/>
    <w:rsid w:val="001F38B5"/>
    <w:rsid w:val="001F4081"/>
    <w:rsid w:val="001F5594"/>
    <w:rsid w:val="001F7361"/>
    <w:rsid w:val="002011B0"/>
    <w:rsid w:val="00201404"/>
    <w:rsid w:val="00201548"/>
    <w:rsid w:val="00202DD1"/>
    <w:rsid w:val="00203181"/>
    <w:rsid w:val="00203783"/>
    <w:rsid w:val="0020385F"/>
    <w:rsid w:val="00205BDB"/>
    <w:rsid w:val="0020665D"/>
    <w:rsid w:val="002068A0"/>
    <w:rsid w:val="00207021"/>
    <w:rsid w:val="0020732F"/>
    <w:rsid w:val="00207D00"/>
    <w:rsid w:val="002105C1"/>
    <w:rsid w:val="00211526"/>
    <w:rsid w:val="002116FD"/>
    <w:rsid w:val="00213EF5"/>
    <w:rsid w:val="00214FE2"/>
    <w:rsid w:val="00215694"/>
    <w:rsid w:val="00216BF5"/>
    <w:rsid w:val="00217155"/>
    <w:rsid w:val="0022204F"/>
    <w:rsid w:val="00223B49"/>
    <w:rsid w:val="00223D5A"/>
    <w:rsid w:val="00224DD4"/>
    <w:rsid w:val="002278A0"/>
    <w:rsid w:val="00230961"/>
    <w:rsid w:val="002309CC"/>
    <w:rsid w:val="00231BA9"/>
    <w:rsid w:val="0023209F"/>
    <w:rsid w:val="00233C01"/>
    <w:rsid w:val="0023413C"/>
    <w:rsid w:val="002346F0"/>
    <w:rsid w:val="00234708"/>
    <w:rsid w:val="0023506D"/>
    <w:rsid w:val="0023629D"/>
    <w:rsid w:val="00237255"/>
    <w:rsid w:val="002424AF"/>
    <w:rsid w:val="002439DC"/>
    <w:rsid w:val="002441D2"/>
    <w:rsid w:val="00244DC8"/>
    <w:rsid w:val="00245311"/>
    <w:rsid w:val="002458BA"/>
    <w:rsid w:val="00245CE9"/>
    <w:rsid w:val="0024636C"/>
    <w:rsid w:val="00247925"/>
    <w:rsid w:val="00251006"/>
    <w:rsid w:val="0025179D"/>
    <w:rsid w:val="002524D5"/>
    <w:rsid w:val="00253B1D"/>
    <w:rsid w:val="00254DCF"/>
    <w:rsid w:val="00254E64"/>
    <w:rsid w:val="0025534B"/>
    <w:rsid w:val="00255BB7"/>
    <w:rsid w:val="002570BC"/>
    <w:rsid w:val="00257541"/>
    <w:rsid w:val="00257A39"/>
    <w:rsid w:val="00257AC4"/>
    <w:rsid w:val="00257BBE"/>
    <w:rsid w:val="00257E00"/>
    <w:rsid w:val="00261EEF"/>
    <w:rsid w:val="00262A1A"/>
    <w:rsid w:val="00262A87"/>
    <w:rsid w:val="00264D26"/>
    <w:rsid w:val="00267642"/>
    <w:rsid w:val="00267AEA"/>
    <w:rsid w:val="00267E32"/>
    <w:rsid w:val="002700E6"/>
    <w:rsid w:val="00271A6A"/>
    <w:rsid w:val="0027294B"/>
    <w:rsid w:val="00273BF7"/>
    <w:rsid w:val="00273EB4"/>
    <w:rsid w:val="00274682"/>
    <w:rsid w:val="00275158"/>
    <w:rsid w:val="00275C5A"/>
    <w:rsid w:val="00276A2A"/>
    <w:rsid w:val="00276AB3"/>
    <w:rsid w:val="00281014"/>
    <w:rsid w:val="00285BCE"/>
    <w:rsid w:val="0028665D"/>
    <w:rsid w:val="002869B8"/>
    <w:rsid w:val="00287744"/>
    <w:rsid w:val="00290B28"/>
    <w:rsid w:val="00293A3E"/>
    <w:rsid w:val="002A0F05"/>
    <w:rsid w:val="002A14AB"/>
    <w:rsid w:val="002A245A"/>
    <w:rsid w:val="002A2ADE"/>
    <w:rsid w:val="002A2F50"/>
    <w:rsid w:val="002A355D"/>
    <w:rsid w:val="002A418D"/>
    <w:rsid w:val="002A4899"/>
    <w:rsid w:val="002A7165"/>
    <w:rsid w:val="002A768F"/>
    <w:rsid w:val="002A7943"/>
    <w:rsid w:val="002B05A1"/>
    <w:rsid w:val="002B09A4"/>
    <w:rsid w:val="002B16A2"/>
    <w:rsid w:val="002B1C1F"/>
    <w:rsid w:val="002B1D36"/>
    <w:rsid w:val="002B217A"/>
    <w:rsid w:val="002B3656"/>
    <w:rsid w:val="002B3910"/>
    <w:rsid w:val="002B3F93"/>
    <w:rsid w:val="002B432F"/>
    <w:rsid w:val="002B62B3"/>
    <w:rsid w:val="002B6754"/>
    <w:rsid w:val="002B6CCE"/>
    <w:rsid w:val="002B7210"/>
    <w:rsid w:val="002C20BE"/>
    <w:rsid w:val="002C2510"/>
    <w:rsid w:val="002C2775"/>
    <w:rsid w:val="002C27C1"/>
    <w:rsid w:val="002C36E3"/>
    <w:rsid w:val="002C3CD6"/>
    <w:rsid w:val="002C43D4"/>
    <w:rsid w:val="002C5099"/>
    <w:rsid w:val="002C5889"/>
    <w:rsid w:val="002C71CE"/>
    <w:rsid w:val="002D08F8"/>
    <w:rsid w:val="002D1F0F"/>
    <w:rsid w:val="002D4484"/>
    <w:rsid w:val="002D5232"/>
    <w:rsid w:val="002D577C"/>
    <w:rsid w:val="002D6E1E"/>
    <w:rsid w:val="002D7832"/>
    <w:rsid w:val="002E1071"/>
    <w:rsid w:val="002E15B9"/>
    <w:rsid w:val="002E2158"/>
    <w:rsid w:val="002E4F02"/>
    <w:rsid w:val="002E5D37"/>
    <w:rsid w:val="002E6C6B"/>
    <w:rsid w:val="002E7722"/>
    <w:rsid w:val="002F07BA"/>
    <w:rsid w:val="002F0DA9"/>
    <w:rsid w:val="002F1014"/>
    <w:rsid w:val="002F1E3B"/>
    <w:rsid w:val="002F2BB0"/>
    <w:rsid w:val="002F44D7"/>
    <w:rsid w:val="002F5624"/>
    <w:rsid w:val="002F6318"/>
    <w:rsid w:val="002F643C"/>
    <w:rsid w:val="002F71C0"/>
    <w:rsid w:val="002F74F1"/>
    <w:rsid w:val="002F75A3"/>
    <w:rsid w:val="00301017"/>
    <w:rsid w:val="0030155F"/>
    <w:rsid w:val="00303761"/>
    <w:rsid w:val="0030453C"/>
    <w:rsid w:val="0030467D"/>
    <w:rsid w:val="0030587B"/>
    <w:rsid w:val="00306D98"/>
    <w:rsid w:val="0030786C"/>
    <w:rsid w:val="0031031A"/>
    <w:rsid w:val="0031052D"/>
    <w:rsid w:val="00310981"/>
    <w:rsid w:val="00310B57"/>
    <w:rsid w:val="00310F54"/>
    <w:rsid w:val="00311D9B"/>
    <w:rsid w:val="003124D9"/>
    <w:rsid w:val="00312594"/>
    <w:rsid w:val="00315498"/>
    <w:rsid w:val="00315603"/>
    <w:rsid w:val="00316474"/>
    <w:rsid w:val="00317CC5"/>
    <w:rsid w:val="003205B9"/>
    <w:rsid w:val="00321ACB"/>
    <w:rsid w:val="00322107"/>
    <w:rsid w:val="00322355"/>
    <w:rsid w:val="00322846"/>
    <w:rsid w:val="00326DA7"/>
    <w:rsid w:val="00326F3E"/>
    <w:rsid w:val="003270E4"/>
    <w:rsid w:val="00330538"/>
    <w:rsid w:val="00330949"/>
    <w:rsid w:val="00330DAA"/>
    <w:rsid w:val="00330F5C"/>
    <w:rsid w:val="0033380E"/>
    <w:rsid w:val="003366C9"/>
    <w:rsid w:val="003371B0"/>
    <w:rsid w:val="00337911"/>
    <w:rsid w:val="0034038E"/>
    <w:rsid w:val="00340DF1"/>
    <w:rsid w:val="0034495F"/>
    <w:rsid w:val="0034624F"/>
    <w:rsid w:val="00347DF9"/>
    <w:rsid w:val="003517F9"/>
    <w:rsid w:val="00351BA9"/>
    <w:rsid w:val="00354F64"/>
    <w:rsid w:val="0035620E"/>
    <w:rsid w:val="003575BE"/>
    <w:rsid w:val="00360345"/>
    <w:rsid w:val="00361A05"/>
    <w:rsid w:val="003624C4"/>
    <w:rsid w:val="00363B00"/>
    <w:rsid w:val="00363DB3"/>
    <w:rsid w:val="003654AC"/>
    <w:rsid w:val="00365C37"/>
    <w:rsid w:val="00365FBF"/>
    <w:rsid w:val="0036627E"/>
    <w:rsid w:val="00367762"/>
    <w:rsid w:val="0037056F"/>
    <w:rsid w:val="003710CF"/>
    <w:rsid w:val="003711E1"/>
    <w:rsid w:val="0037358A"/>
    <w:rsid w:val="003750F6"/>
    <w:rsid w:val="003760FC"/>
    <w:rsid w:val="00380CE2"/>
    <w:rsid w:val="0038365C"/>
    <w:rsid w:val="0038369B"/>
    <w:rsid w:val="00383B78"/>
    <w:rsid w:val="00385071"/>
    <w:rsid w:val="00385A9D"/>
    <w:rsid w:val="00387121"/>
    <w:rsid w:val="003902B1"/>
    <w:rsid w:val="00390A60"/>
    <w:rsid w:val="0039179C"/>
    <w:rsid w:val="00391AAC"/>
    <w:rsid w:val="0039246A"/>
    <w:rsid w:val="00392F00"/>
    <w:rsid w:val="00393A04"/>
    <w:rsid w:val="00396896"/>
    <w:rsid w:val="00396FD0"/>
    <w:rsid w:val="0039700D"/>
    <w:rsid w:val="003A1A32"/>
    <w:rsid w:val="003A1A7A"/>
    <w:rsid w:val="003A1D46"/>
    <w:rsid w:val="003A2392"/>
    <w:rsid w:val="003A2831"/>
    <w:rsid w:val="003A3CB6"/>
    <w:rsid w:val="003A3ED1"/>
    <w:rsid w:val="003A44DB"/>
    <w:rsid w:val="003A492C"/>
    <w:rsid w:val="003A4C14"/>
    <w:rsid w:val="003B1B89"/>
    <w:rsid w:val="003B1EE7"/>
    <w:rsid w:val="003B21B4"/>
    <w:rsid w:val="003B3971"/>
    <w:rsid w:val="003B55D1"/>
    <w:rsid w:val="003B5B61"/>
    <w:rsid w:val="003C0F39"/>
    <w:rsid w:val="003C1654"/>
    <w:rsid w:val="003C297E"/>
    <w:rsid w:val="003C5542"/>
    <w:rsid w:val="003C65CB"/>
    <w:rsid w:val="003C7C15"/>
    <w:rsid w:val="003C7D19"/>
    <w:rsid w:val="003C7D2F"/>
    <w:rsid w:val="003C7E33"/>
    <w:rsid w:val="003D068C"/>
    <w:rsid w:val="003D0C5A"/>
    <w:rsid w:val="003D17DB"/>
    <w:rsid w:val="003D1828"/>
    <w:rsid w:val="003D1DE4"/>
    <w:rsid w:val="003D1E9A"/>
    <w:rsid w:val="003D2422"/>
    <w:rsid w:val="003D39A1"/>
    <w:rsid w:val="003D3FBF"/>
    <w:rsid w:val="003D4A30"/>
    <w:rsid w:val="003D7452"/>
    <w:rsid w:val="003D79BB"/>
    <w:rsid w:val="003D7C98"/>
    <w:rsid w:val="003D7D9D"/>
    <w:rsid w:val="003E0543"/>
    <w:rsid w:val="003E5603"/>
    <w:rsid w:val="003E6898"/>
    <w:rsid w:val="003E749E"/>
    <w:rsid w:val="003F4156"/>
    <w:rsid w:val="003F5ADF"/>
    <w:rsid w:val="00400B29"/>
    <w:rsid w:val="004013AB"/>
    <w:rsid w:val="00401BBB"/>
    <w:rsid w:val="00402812"/>
    <w:rsid w:val="0040504B"/>
    <w:rsid w:val="004059F4"/>
    <w:rsid w:val="00407FE5"/>
    <w:rsid w:val="004101B0"/>
    <w:rsid w:val="00410326"/>
    <w:rsid w:val="00410708"/>
    <w:rsid w:val="00410EC7"/>
    <w:rsid w:val="00411B39"/>
    <w:rsid w:val="004127A7"/>
    <w:rsid w:val="00412957"/>
    <w:rsid w:val="00413A1E"/>
    <w:rsid w:val="00414476"/>
    <w:rsid w:val="00414C2E"/>
    <w:rsid w:val="004151CF"/>
    <w:rsid w:val="004153E3"/>
    <w:rsid w:val="00416364"/>
    <w:rsid w:val="0042047F"/>
    <w:rsid w:val="00420AA6"/>
    <w:rsid w:val="00420B9F"/>
    <w:rsid w:val="0042149D"/>
    <w:rsid w:val="0042152A"/>
    <w:rsid w:val="0042181E"/>
    <w:rsid w:val="0042192C"/>
    <w:rsid w:val="00422260"/>
    <w:rsid w:val="004233D5"/>
    <w:rsid w:val="004238CE"/>
    <w:rsid w:val="0042413F"/>
    <w:rsid w:val="004275B0"/>
    <w:rsid w:val="004319F8"/>
    <w:rsid w:val="00431E55"/>
    <w:rsid w:val="004321F6"/>
    <w:rsid w:val="00433044"/>
    <w:rsid w:val="0043373D"/>
    <w:rsid w:val="00434088"/>
    <w:rsid w:val="00436CC9"/>
    <w:rsid w:val="004375B9"/>
    <w:rsid w:val="004428D0"/>
    <w:rsid w:val="00442E93"/>
    <w:rsid w:val="00444185"/>
    <w:rsid w:val="004443A7"/>
    <w:rsid w:val="0044442C"/>
    <w:rsid w:val="00445941"/>
    <w:rsid w:val="00445D66"/>
    <w:rsid w:val="004464EB"/>
    <w:rsid w:val="00446796"/>
    <w:rsid w:val="00447D26"/>
    <w:rsid w:val="00447DFC"/>
    <w:rsid w:val="00450409"/>
    <w:rsid w:val="00454E80"/>
    <w:rsid w:val="00455882"/>
    <w:rsid w:val="00455D45"/>
    <w:rsid w:val="00461DAA"/>
    <w:rsid w:val="00463E5C"/>
    <w:rsid w:val="00464595"/>
    <w:rsid w:val="00465601"/>
    <w:rsid w:val="004658B5"/>
    <w:rsid w:val="00471EA5"/>
    <w:rsid w:val="00472465"/>
    <w:rsid w:val="00472A79"/>
    <w:rsid w:val="00473F19"/>
    <w:rsid w:val="00475E22"/>
    <w:rsid w:val="0048088E"/>
    <w:rsid w:val="00480F2B"/>
    <w:rsid w:val="00482720"/>
    <w:rsid w:val="004835E7"/>
    <w:rsid w:val="00483ABE"/>
    <w:rsid w:val="004859E1"/>
    <w:rsid w:val="004867E2"/>
    <w:rsid w:val="00490B17"/>
    <w:rsid w:val="00491B3A"/>
    <w:rsid w:val="00492CFD"/>
    <w:rsid w:val="00494207"/>
    <w:rsid w:val="00494DD5"/>
    <w:rsid w:val="004962D2"/>
    <w:rsid w:val="00497087"/>
    <w:rsid w:val="00497D15"/>
    <w:rsid w:val="004A0DA1"/>
    <w:rsid w:val="004A13D6"/>
    <w:rsid w:val="004A28D8"/>
    <w:rsid w:val="004A52E9"/>
    <w:rsid w:val="004A6040"/>
    <w:rsid w:val="004A6597"/>
    <w:rsid w:val="004A7848"/>
    <w:rsid w:val="004A793B"/>
    <w:rsid w:val="004B1CB4"/>
    <w:rsid w:val="004B22C7"/>
    <w:rsid w:val="004B25EB"/>
    <w:rsid w:val="004B2F18"/>
    <w:rsid w:val="004B3044"/>
    <w:rsid w:val="004B3DDB"/>
    <w:rsid w:val="004B44FD"/>
    <w:rsid w:val="004B53FD"/>
    <w:rsid w:val="004B5CFC"/>
    <w:rsid w:val="004B6090"/>
    <w:rsid w:val="004B6F79"/>
    <w:rsid w:val="004B774D"/>
    <w:rsid w:val="004C1D77"/>
    <w:rsid w:val="004C2AC2"/>
    <w:rsid w:val="004C4AED"/>
    <w:rsid w:val="004C5706"/>
    <w:rsid w:val="004D2C2D"/>
    <w:rsid w:val="004D51BC"/>
    <w:rsid w:val="004D5C89"/>
    <w:rsid w:val="004D69B5"/>
    <w:rsid w:val="004D7227"/>
    <w:rsid w:val="004D76A8"/>
    <w:rsid w:val="004D7B5E"/>
    <w:rsid w:val="004D7D46"/>
    <w:rsid w:val="004E0E7F"/>
    <w:rsid w:val="004E0EB8"/>
    <w:rsid w:val="004E18E9"/>
    <w:rsid w:val="004E220D"/>
    <w:rsid w:val="004E2ADC"/>
    <w:rsid w:val="004E43B2"/>
    <w:rsid w:val="004F1381"/>
    <w:rsid w:val="004F1D02"/>
    <w:rsid w:val="004F2679"/>
    <w:rsid w:val="004F2EDD"/>
    <w:rsid w:val="004F2F21"/>
    <w:rsid w:val="004F3DE5"/>
    <w:rsid w:val="004F4E12"/>
    <w:rsid w:val="004F5112"/>
    <w:rsid w:val="004F57CE"/>
    <w:rsid w:val="004F6913"/>
    <w:rsid w:val="004F7865"/>
    <w:rsid w:val="005004D5"/>
    <w:rsid w:val="0050174E"/>
    <w:rsid w:val="00501854"/>
    <w:rsid w:val="0050219B"/>
    <w:rsid w:val="00503F17"/>
    <w:rsid w:val="00503F3A"/>
    <w:rsid w:val="00504EC0"/>
    <w:rsid w:val="0050627D"/>
    <w:rsid w:val="00506928"/>
    <w:rsid w:val="00507044"/>
    <w:rsid w:val="00507684"/>
    <w:rsid w:val="005077EF"/>
    <w:rsid w:val="00511AD5"/>
    <w:rsid w:val="00511DC7"/>
    <w:rsid w:val="005142C5"/>
    <w:rsid w:val="0051501B"/>
    <w:rsid w:val="005152B5"/>
    <w:rsid w:val="00515886"/>
    <w:rsid w:val="0052123C"/>
    <w:rsid w:val="00521319"/>
    <w:rsid w:val="00521A46"/>
    <w:rsid w:val="00522BC8"/>
    <w:rsid w:val="0052343E"/>
    <w:rsid w:val="00523C28"/>
    <w:rsid w:val="005255CA"/>
    <w:rsid w:val="00527664"/>
    <w:rsid w:val="0053176B"/>
    <w:rsid w:val="00531E59"/>
    <w:rsid w:val="005341B3"/>
    <w:rsid w:val="00536F42"/>
    <w:rsid w:val="00537182"/>
    <w:rsid w:val="00541EDD"/>
    <w:rsid w:val="0054203E"/>
    <w:rsid w:val="00542743"/>
    <w:rsid w:val="00542C2D"/>
    <w:rsid w:val="00543312"/>
    <w:rsid w:val="005450B9"/>
    <w:rsid w:val="00545A5C"/>
    <w:rsid w:val="005478BD"/>
    <w:rsid w:val="005479E3"/>
    <w:rsid w:val="005513A1"/>
    <w:rsid w:val="00551985"/>
    <w:rsid w:val="00552BD3"/>
    <w:rsid w:val="0055303E"/>
    <w:rsid w:val="005532A0"/>
    <w:rsid w:val="00555109"/>
    <w:rsid w:val="00556B35"/>
    <w:rsid w:val="0055741A"/>
    <w:rsid w:val="0056054F"/>
    <w:rsid w:val="005611B7"/>
    <w:rsid w:val="005618D4"/>
    <w:rsid w:val="00564867"/>
    <w:rsid w:val="00565742"/>
    <w:rsid w:val="00565C79"/>
    <w:rsid w:val="00565DF0"/>
    <w:rsid w:val="00566673"/>
    <w:rsid w:val="0056696F"/>
    <w:rsid w:val="0057126B"/>
    <w:rsid w:val="00572269"/>
    <w:rsid w:val="0057244A"/>
    <w:rsid w:val="00572F26"/>
    <w:rsid w:val="005750C5"/>
    <w:rsid w:val="005752DE"/>
    <w:rsid w:val="00575D60"/>
    <w:rsid w:val="00575D8D"/>
    <w:rsid w:val="00576972"/>
    <w:rsid w:val="00577248"/>
    <w:rsid w:val="005774CE"/>
    <w:rsid w:val="00577FD3"/>
    <w:rsid w:val="00580179"/>
    <w:rsid w:val="00582C6E"/>
    <w:rsid w:val="00583699"/>
    <w:rsid w:val="00583B6C"/>
    <w:rsid w:val="00583FAE"/>
    <w:rsid w:val="00585CDD"/>
    <w:rsid w:val="00587058"/>
    <w:rsid w:val="00591957"/>
    <w:rsid w:val="00597BF9"/>
    <w:rsid w:val="005A0C11"/>
    <w:rsid w:val="005A2266"/>
    <w:rsid w:val="005A309A"/>
    <w:rsid w:val="005A3183"/>
    <w:rsid w:val="005A373D"/>
    <w:rsid w:val="005A483B"/>
    <w:rsid w:val="005A4B17"/>
    <w:rsid w:val="005A62F9"/>
    <w:rsid w:val="005A65A5"/>
    <w:rsid w:val="005B0B58"/>
    <w:rsid w:val="005B44A2"/>
    <w:rsid w:val="005B4E53"/>
    <w:rsid w:val="005B5857"/>
    <w:rsid w:val="005C0932"/>
    <w:rsid w:val="005C19C4"/>
    <w:rsid w:val="005C1B83"/>
    <w:rsid w:val="005C25FF"/>
    <w:rsid w:val="005C2D55"/>
    <w:rsid w:val="005C346B"/>
    <w:rsid w:val="005C371A"/>
    <w:rsid w:val="005C5ABC"/>
    <w:rsid w:val="005C655F"/>
    <w:rsid w:val="005D004F"/>
    <w:rsid w:val="005D044D"/>
    <w:rsid w:val="005D0ABD"/>
    <w:rsid w:val="005D18AD"/>
    <w:rsid w:val="005D26B4"/>
    <w:rsid w:val="005D6D68"/>
    <w:rsid w:val="005D73DD"/>
    <w:rsid w:val="005E1995"/>
    <w:rsid w:val="005E1F37"/>
    <w:rsid w:val="005E6CBC"/>
    <w:rsid w:val="005E72FF"/>
    <w:rsid w:val="005E73C0"/>
    <w:rsid w:val="005F07ED"/>
    <w:rsid w:val="005F117A"/>
    <w:rsid w:val="005F2706"/>
    <w:rsid w:val="005F2E07"/>
    <w:rsid w:val="005F6A8F"/>
    <w:rsid w:val="005F6BB7"/>
    <w:rsid w:val="005F6F21"/>
    <w:rsid w:val="005F7588"/>
    <w:rsid w:val="00600451"/>
    <w:rsid w:val="00603254"/>
    <w:rsid w:val="00603DB9"/>
    <w:rsid w:val="00606FBA"/>
    <w:rsid w:val="00607669"/>
    <w:rsid w:val="00607681"/>
    <w:rsid w:val="006076F4"/>
    <w:rsid w:val="00607AFD"/>
    <w:rsid w:val="00611106"/>
    <w:rsid w:val="00611B12"/>
    <w:rsid w:val="00612F97"/>
    <w:rsid w:val="0061345D"/>
    <w:rsid w:val="0061549B"/>
    <w:rsid w:val="006163AB"/>
    <w:rsid w:val="00616802"/>
    <w:rsid w:val="00617E12"/>
    <w:rsid w:val="00620C25"/>
    <w:rsid w:val="00621362"/>
    <w:rsid w:val="00621477"/>
    <w:rsid w:val="00621ADA"/>
    <w:rsid w:val="0062257C"/>
    <w:rsid w:val="00623F7B"/>
    <w:rsid w:val="00624BD4"/>
    <w:rsid w:val="00626E9D"/>
    <w:rsid w:val="0063144A"/>
    <w:rsid w:val="0063158F"/>
    <w:rsid w:val="00631D6B"/>
    <w:rsid w:val="00632183"/>
    <w:rsid w:val="0063264A"/>
    <w:rsid w:val="006330A1"/>
    <w:rsid w:val="0063479F"/>
    <w:rsid w:val="006353F0"/>
    <w:rsid w:val="006357B5"/>
    <w:rsid w:val="006362E0"/>
    <w:rsid w:val="006364A1"/>
    <w:rsid w:val="0063678E"/>
    <w:rsid w:val="00637BFD"/>
    <w:rsid w:val="00637C5C"/>
    <w:rsid w:val="00640019"/>
    <w:rsid w:val="00641C4E"/>
    <w:rsid w:val="00641FB3"/>
    <w:rsid w:val="0064434C"/>
    <w:rsid w:val="00645E41"/>
    <w:rsid w:val="006463EB"/>
    <w:rsid w:val="006471CC"/>
    <w:rsid w:val="006472FE"/>
    <w:rsid w:val="00647A29"/>
    <w:rsid w:val="0065079F"/>
    <w:rsid w:val="00651F8E"/>
    <w:rsid w:val="00652A28"/>
    <w:rsid w:val="0065379F"/>
    <w:rsid w:val="00656188"/>
    <w:rsid w:val="0065715A"/>
    <w:rsid w:val="006603E2"/>
    <w:rsid w:val="006610F1"/>
    <w:rsid w:val="00661C6B"/>
    <w:rsid w:val="00662D3E"/>
    <w:rsid w:val="00662E24"/>
    <w:rsid w:val="00667BE3"/>
    <w:rsid w:val="0067098E"/>
    <w:rsid w:val="00671004"/>
    <w:rsid w:val="00671D13"/>
    <w:rsid w:val="00671E4C"/>
    <w:rsid w:val="00672646"/>
    <w:rsid w:val="0067404C"/>
    <w:rsid w:val="00674B2C"/>
    <w:rsid w:val="00674E42"/>
    <w:rsid w:val="00674F08"/>
    <w:rsid w:val="00676563"/>
    <w:rsid w:val="006813F8"/>
    <w:rsid w:val="00681929"/>
    <w:rsid w:val="00681B78"/>
    <w:rsid w:val="00682112"/>
    <w:rsid w:val="00682BA6"/>
    <w:rsid w:val="00685275"/>
    <w:rsid w:val="00686957"/>
    <w:rsid w:val="006872BA"/>
    <w:rsid w:val="00687771"/>
    <w:rsid w:val="00690795"/>
    <w:rsid w:val="00691648"/>
    <w:rsid w:val="006917D7"/>
    <w:rsid w:val="00691FE2"/>
    <w:rsid w:val="00693B68"/>
    <w:rsid w:val="0069434C"/>
    <w:rsid w:val="00694DB7"/>
    <w:rsid w:val="00694F44"/>
    <w:rsid w:val="00696EF9"/>
    <w:rsid w:val="00696F51"/>
    <w:rsid w:val="006979A5"/>
    <w:rsid w:val="00697B1E"/>
    <w:rsid w:val="006A016F"/>
    <w:rsid w:val="006A0352"/>
    <w:rsid w:val="006A0422"/>
    <w:rsid w:val="006A0DF7"/>
    <w:rsid w:val="006A4321"/>
    <w:rsid w:val="006A43D9"/>
    <w:rsid w:val="006A6B99"/>
    <w:rsid w:val="006A7E5F"/>
    <w:rsid w:val="006B1261"/>
    <w:rsid w:val="006B261B"/>
    <w:rsid w:val="006B2C90"/>
    <w:rsid w:val="006B35E6"/>
    <w:rsid w:val="006B465A"/>
    <w:rsid w:val="006B6910"/>
    <w:rsid w:val="006B6DD0"/>
    <w:rsid w:val="006B78F8"/>
    <w:rsid w:val="006C0399"/>
    <w:rsid w:val="006C2A8E"/>
    <w:rsid w:val="006C3255"/>
    <w:rsid w:val="006C369A"/>
    <w:rsid w:val="006C3F26"/>
    <w:rsid w:val="006C61F6"/>
    <w:rsid w:val="006C6D6E"/>
    <w:rsid w:val="006D0D17"/>
    <w:rsid w:val="006D3C7D"/>
    <w:rsid w:val="006D3F67"/>
    <w:rsid w:val="006D4659"/>
    <w:rsid w:val="006D4CA1"/>
    <w:rsid w:val="006D5D5F"/>
    <w:rsid w:val="006D68FB"/>
    <w:rsid w:val="006E0173"/>
    <w:rsid w:val="006E0BA8"/>
    <w:rsid w:val="006E1B80"/>
    <w:rsid w:val="006E1CFC"/>
    <w:rsid w:val="006E2868"/>
    <w:rsid w:val="006E6D53"/>
    <w:rsid w:val="006E7E26"/>
    <w:rsid w:val="006F2B56"/>
    <w:rsid w:val="006F306C"/>
    <w:rsid w:val="006F63A5"/>
    <w:rsid w:val="006F6BF2"/>
    <w:rsid w:val="006F77F7"/>
    <w:rsid w:val="0070142B"/>
    <w:rsid w:val="00701E47"/>
    <w:rsid w:val="0070276E"/>
    <w:rsid w:val="00702F8F"/>
    <w:rsid w:val="00703087"/>
    <w:rsid w:val="007031CD"/>
    <w:rsid w:val="0070374E"/>
    <w:rsid w:val="007079FC"/>
    <w:rsid w:val="00710AE6"/>
    <w:rsid w:val="00711A36"/>
    <w:rsid w:val="007125D3"/>
    <w:rsid w:val="0071363A"/>
    <w:rsid w:val="00713E61"/>
    <w:rsid w:val="00714C26"/>
    <w:rsid w:val="0071529C"/>
    <w:rsid w:val="007170DA"/>
    <w:rsid w:val="007172AD"/>
    <w:rsid w:val="00717546"/>
    <w:rsid w:val="007179B9"/>
    <w:rsid w:val="007202D9"/>
    <w:rsid w:val="00720801"/>
    <w:rsid w:val="0072088C"/>
    <w:rsid w:val="00722B1B"/>
    <w:rsid w:val="00722D2A"/>
    <w:rsid w:val="00723C44"/>
    <w:rsid w:val="0072416F"/>
    <w:rsid w:val="00724525"/>
    <w:rsid w:val="00727C94"/>
    <w:rsid w:val="00731B0A"/>
    <w:rsid w:val="00731EAE"/>
    <w:rsid w:val="00732FC2"/>
    <w:rsid w:val="00733073"/>
    <w:rsid w:val="007342A5"/>
    <w:rsid w:val="0073463F"/>
    <w:rsid w:val="00735033"/>
    <w:rsid w:val="00735328"/>
    <w:rsid w:val="00735CF8"/>
    <w:rsid w:val="0073685B"/>
    <w:rsid w:val="0073756F"/>
    <w:rsid w:val="007449BF"/>
    <w:rsid w:val="00744E5A"/>
    <w:rsid w:val="007463FE"/>
    <w:rsid w:val="007467B2"/>
    <w:rsid w:val="00746BC0"/>
    <w:rsid w:val="00746D1E"/>
    <w:rsid w:val="007500C1"/>
    <w:rsid w:val="007510B4"/>
    <w:rsid w:val="00751C51"/>
    <w:rsid w:val="00752142"/>
    <w:rsid w:val="007523F9"/>
    <w:rsid w:val="0075357E"/>
    <w:rsid w:val="00753B29"/>
    <w:rsid w:val="007542CC"/>
    <w:rsid w:val="007564C1"/>
    <w:rsid w:val="00756FBD"/>
    <w:rsid w:val="007573E8"/>
    <w:rsid w:val="00760C4E"/>
    <w:rsid w:val="00760F9E"/>
    <w:rsid w:val="007615EA"/>
    <w:rsid w:val="007616E6"/>
    <w:rsid w:val="007627BE"/>
    <w:rsid w:val="00762BB6"/>
    <w:rsid w:val="00763C5F"/>
    <w:rsid w:val="00764F03"/>
    <w:rsid w:val="00765B1A"/>
    <w:rsid w:val="00765DC1"/>
    <w:rsid w:val="007720AD"/>
    <w:rsid w:val="00773189"/>
    <w:rsid w:val="0077588E"/>
    <w:rsid w:val="00777335"/>
    <w:rsid w:val="00780351"/>
    <w:rsid w:val="007810E6"/>
    <w:rsid w:val="00783949"/>
    <w:rsid w:val="007843F2"/>
    <w:rsid w:val="007846FA"/>
    <w:rsid w:val="00784B91"/>
    <w:rsid w:val="00785A9F"/>
    <w:rsid w:val="00786C62"/>
    <w:rsid w:val="0079089F"/>
    <w:rsid w:val="007925DF"/>
    <w:rsid w:val="00797019"/>
    <w:rsid w:val="007A038B"/>
    <w:rsid w:val="007A08AA"/>
    <w:rsid w:val="007A0A12"/>
    <w:rsid w:val="007A132D"/>
    <w:rsid w:val="007A1345"/>
    <w:rsid w:val="007A2D31"/>
    <w:rsid w:val="007A2DDB"/>
    <w:rsid w:val="007A5775"/>
    <w:rsid w:val="007A70BA"/>
    <w:rsid w:val="007A74A1"/>
    <w:rsid w:val="007B0D68"/>
    <w:rsid w:val="007B251D"/>
    <w:rsid w:val="007B3533"/>
    <w:rsid w:val="007B4F58"/>
    <w:rsid w:val="007B528D"/>
    <w:rsid w:val="007B63CA"/>
    <w:rsid w:val="007B6F88"/>
    <w:rsid w:val="007B77D1"/>
    <w:rsid w:val="007B7C32"/>
    <w:rsid w:val="007C079D"/>
    <w:rsid w:val="007C07C7"/>
    <w:rsid w:val="007C0A5E"/>
    <w:rsid w:val="007C0E9E"/>
    <w:rsid w:val="007C1CD9"/>
    <w:rsid w:val="007C3191"/>
    <w:rsid w:val="007C32EF"/>
    <w:rsid w:val="007C356C"/>
    <w:rsid w:val="007C361D"/>
    <w:rsid w:val="007C4B84"/>
    <w:rsid w:val="007C6591"/>
    <w:rsid w:val="007C6C80"/>
    <w:rsid w:val="007C70FF"/>
    <w:rsid w:val="007C7C25"/>
    <w:rsid w:val="007D004F"/>
    <w:rsid w:val="007D035F"/>
    <w:rsid w:val="007D06B2"/>
    <w:rsid w:val="007D0B38"/>
    <w:rsid w:val="007D3DDC"/>
    <w:rsid w:val="007D5440"/>
    <w:rsid w:val="007D69EB"/>
    <w:rsid w:val="007D6F7C"/>
    <w:rsid w:val="007D7DB6"/>
    <w:rsid w:val="007E0D58"/>
    <w:rsid w:val="007E128F"/>
    <w:rsid w:val="007E2824"/>
    <w:rsid w:val="007E418E"/>
    <w:rsid w:val="007E5FB9"/>
    <w:rsid w:val="007F1017"/>
    <w:rsid w:val="007F4A3F"/>
    <w:rsid w:val="007F4A61"/>
    <w:rsid w:val="007F5255"/>
    <w:rsid w:val="007F56CC"/>
    <w:rsid w:val="007F61C2"/>
    <w:rsid w:val="00802A4D"/>
    <w:rsid w:val="00802F45"/>
    <w:rsid w:val="00805142"/>
    <w:rsid w:val="00805FCE"/>
    <w:rsid w:val="008061F9"/>
    <w:rsid w:val="00807A8B"/>
    <w:rsid w:val="00811383"/>
    <w:rsid w:val="00812149"/>
    <w:rsid w:val="00812CAC"/>
    <w:rsid w:val="00812F0C"/>
    <w:rsid w:val="00816361"/>
    <w:rsid w:val="008166EF"/>
    <w:rsid w:val="00816FEF"/>
    <w:rsid w:val="008178B8"/>
    <w:rsid w:val="00820A8C"/>
    <w:rsid w:val="008215FB"/>
    <w:rsid w:val="008220CC"/>
    <w:rsid w:val="00823174"/>
    <w:rsid w:val="008236BF"/>
    <w:rsid w:val="008256A2"/>
    <w:rsid w:val="00825751"/>
    <w:rsid w:val="008259C5"/>
    <w:rsid w:val="008264EB"/>
    <w:rsid w:val="008268CE"/>
    <w:rsid w:val="0082782D"/>
    <w:rsid w:val="00827C23"/>
    <w:rsid w:val="00833B05"/>
    <w:rsid w:val="008362B4"/>
    <w:rsid w:val="00836440"/>
    <w:rsid w:val="00836C86"/>
    <w:rsid w:val="008408FC"/>
    <w:rsid w:val="00840CA2"/>
    <w:rsid w:val="0084117A"/>
    <w:rsid w:val="0084292A"/>
    <w:rsid w:val="0084374F"/>
    <w:rsid w:val="00844A22"/>
    <w:rsid w:val="00845EF3"/>
    <w:rsid w:val="00847703"/>
    <w:rsid w:val="00847DF5"/>
    <w:rsid w:val="008507CE"/>
    <w:rsid w:val="00851332"/>
    <w:rsid w:val="00851399"/>
    <w:rsid w:val="0085309D"/>
    <w:rsid w:val="00856897"/>
    <w:rsid w:val="0085697B"/>
    <w:rsid w:val="00856CA2"/>
    <w:rsid w:val="00856E9A"/>
    <w:rsid w:val="0086075D"/>
    <w:rsid w:val="00862502"/>
    <w:rsid w:val="00862CC1"/>
    <w:rsid w:val="00863ABB"/>
    <w:rsid w:val="008642A7"/>
    <w:rsid w:val="00864EF7"/>
    <w:rsid w:val="008660D4"/>
    <w:rsid w:val="00866817"/>
    <w:rsid w:val="00870B0E"/>
    <w:rsid w:val="00871FA9"/>
    <w:rsid w:val="008728E9"/>
    <w:rsid w:val="00881B9F"/>
    <w:rsid w:val="00882874"/>
    <w:rsid w:val="00882E3C"/>
    <w:rsid w:val="0088308A"/>
    <w:rsid w:val="00883787"/>
    <w:rsid w:val="008855E4"/>
    <w:rsid w:val="00886CD2"/>
    <w:rsid w:val="008877F8"/>
    <w:rsid w:val="00891E6F"/>
    <w:rsid w:val="0089275D"/>
    <w:rsid w:val="00892A36"/>
    <w:rsid w:val="00893239"/>
    <w:rsid w:val="00894489"/>
    <w:rsid w:val="00894CD6"/>
    <w:rsid w:val="00895B29"/>
    <w:rsid w:val="008963A5"/>
    <w:rsid w:val="00896D5D"/>
    <w:rsid w:val="008A2105"/>
    <w:rsid w:val="008A22F9"/>
    <w:rsid w:val="008A3158"/>
    <w:rsid w:val="008A3363"/>
    <w:rsid w:val="008A3371"/>
    <w:rsid w:val="008A3C3E"/>
    <w:rsid w:val="008A4A43"/>
    <w:rsid w:val="008A79DE"/>
    <w:rsid w:val="008B1757"/>
    <w:rsid w:val="008B1C33"/>
    <w:rsid w:val="008B3537"/>
    <w:rsid w:val="008B3644"/>
    <w:rsid w:val="008B4B6F"/>
    <w:rsid w:val="008B584D"/>
    <w:rsid w:val="008B7992"/>
    <w:rsid w:val="008B7D7E"/>
    <w:rsid w:val="008C03C9"/>
    <w:rsid w:val="008C0692"/>
    <w:rsid w:val="008C5610"/>
    <w:rsid w:val="008C5739"/>
    <w:rsid w:val="008C5CA3"/>
    <w:rsid w:val="008C7282"/>
    <w:rsid w:val="008C7ECB"/>
    <w:rsid w:val="008D0058"/>
    <w:rsid w:val="008D0FA8"/>
    <w:rsid w:val="008D11C4"/>
    <w:rsid w:val="008D1B3B"/>
    <w:rsid w:val="008D3B86"/>
    <w:rsid w:val="008D43FD"/>
    <w:rsid w:val="008D4755"/>
    <w:rsid w:val="008D4C3D"/>
    <w:rsid w:val="008D563D"/>
    <w:rsid w:val="008D609A"/>
    <w:rsid w:val="008D743C"/>
    <w:rsid w:val="008E0D3C"/>
    <w:rsid w:val="008E1670"/>
    <w:rsid w:val="008E1B9E"/>
    <w:rsid w:val="008E55AB"/>
    <w:rsid w:val="008F120A"/>
    <w:rsid w:val="008F27E0"/>
    <w:rsid w:val="008F3DBF"/>
    <w:rsid w:val="008F4053"/>
    <w:rsid w:val="008F48EB"/>
    <w:rsid w:val="008F4F0B"/>
    <w:rsid w:val="008F529B"/>
    <w:rsid w:val="008F5671"/>
    <w:rsid w:val="008F7EF3"/>
    <w:rsid w:val="00900A2B"/>
    <w:rsid w:val="009046C4"/>
    <w:rsid w:val="00905A87"/>
    <w:rsid w:val="00906122"/>
    <w:rsid w:val="009062A5"/>
    <w:rsid w:val="00907699"/>
    <w:rsid w:val="00910FA7"/>
    <w:rsid w:val="00911272"/>
    <w:rsid w:val="00911339"/>
    <w:rsid w:val="0091161B"/>
    <w:rsid w:val="009135D6"/>
    <w:rsid w:val="00914B2B"/>
    <w:rsid w:val="00914C77"/>
    <w:rsid w:val="00921ACB"/>
    <w:rsid w:val="009222F5"/>
    <w:rsid w:val="00922F21"/>
    <w:rsid w:val="0092369B"/>
    <w:rsid w:val="00933F06"/>
    <w:rsid w:val="0093417D"/>
    <w:rsid w:val="00934988"/>
    <w:rsid w:val="0093526B"/>
    <w:rsid w:val="00937089"/>
    <w:rsid w:val="009402F2"/>
    <w:rsid w:val="00944629"/>
    <w:rsid w:val="00944F8A"/>
    <w:rsid w:val="009510A2"/>
    <w:rsid w:val="00951BAB"/>
    <w:rsid w:val="009524EA"/>
    <w:rsid w:val="00952A7D"/>
    <w:rsid w:val="00952DF6"/>
    <w:rsid w:val="00952EA9"/>
    <w:rsid w:val="00953257"/>
    <w:rsid w:val="00953ECC"/>
    <w:rsid w:val="0095474C"/>
    <w:rsid w:val="00957D92"/>
    <w:rsid w:val="00962845"/>
    <w:rsid w:val="00962CB9"/>
    <w:rsid w:val="00963B93"/>
    <w:rsid w:val="00963E38"/>
    <w:rsid w:val="00964312"/>
    <w:rsid w:val="00965B8A"/>
    <w:rsid w:val="00966B73"/>
    <w:rsid w:val="00970176"/>
    <w:rsid w:val="0097071F"/>
    <w:rsid w:val="009717AC"/>
    <w:rsid w:val="00974D36"/>
    <w:rsid w:val="009751C1"/>
    <w:rsid w:val="009766DA"/>
    <w:rsid w:val="00980351"/>
    <w:rsid w:val="009807D5"/>
    <w:rsid w:val="00980C31"/>
    <w:rsid w:val="009811F1"/>
    <w:rsid w:val="009823BA"/>
    <w:rsid w:val="009832B3"/>
    <w:rsid w:val="00983E57"/>
    <w:rsid w:val="00985DE2"/>
    <w:rsid w:val="0098675D"/>
    <w:rsid w:val="009876E4"/>
    <w:rsid w:val="00987BA4"/>
    <w:rsid w:val="00990624"/>
    <w:rsid w:val="00991AFA"/>
    <w:rsid w:val="009926E0"/>
    <w:rsid w:val="0099324A"/>
    <w:rsid w:val="0099451E"/>
    <w:rsid w:val="00996B1A"/>
    <w:rsid w:val="009A18F6"/>
    <w:rsid w:val="009A2DCC"/>
    <w:rsid w:val="009A3CF3"/>
    <w:rsid w:val="009A57AB"/>
    <w:rsid w:val="009A5ABC"/>
    <w:rsid w:val="009A6D22"/>
    <w:rsid w:val="009A7F10"/>
    <w:rsid w:val="009B3E26"/>
    <w:rsid w:val="009B47BE"/>
    <w:rsid w:val="009B59FA"/>
    <w:rsid w:val="009B6947"/>
    <w:rsid w:val="009C1271"/>
    <w:rsid w:val="009C3706"/>
    <w:rsid w:val="009C3A3A"/>
    <w:rsid w:val="009C49C3"/>
    <w:rsid w:val="009C6CEA"/>
    <w:rsid w:val="009C7B85"/>
    <w:rsid w:val="009D0254"/>
    <w:rsid w:val="009D140B"/>
    <w:rsid w:val="009D16F8"/>
    <w:rsid w:val="009D1A64"/>
    <w:rsid w:val="009D315C"/>
    <w:rsid w:val="009D5B91"/>
    <w:rsid w:val="009D792E"/>
    <w:rsid w:val="009E0DFE"/>
    <w:rsid w:val="009E16F7"/>
    <w:rsid w:val="009E31F6"/>
    <w:rsid w:val="009E4C07"/>
    <w:rsid w:val="009E71CD"/>
    <w:rsid w:val="009E777F"/>
    <w:rsid w:val="009F0FBA"/>
    <w:rsid w:val="009F6120"/>
    <w:rsid w:val="009F6640"/>
    <w:rsid w:val="00A00D76"/>
    <w:rsid w:val="00A01184"/>
    <w:rsid w:val="00A01449"/>
    <w:rsid w:val="00A037C2"/>
    <w:rsid w:val="00A03D43"/>
    <w:rsid w:val="00A03F88"/>
    <w:rsid w:val="00A04380"/>
    <w:rsid w:val="00A04786"/>
    <w:rsid w:val="00A05472"/>
    <w:rsid w:val="00A05C32"/>
    <w:rsid w:val="00A0613B"/>
    <w:rsid w:val="00A0653F"/>
    <w:rsid w:val="00A10A33"/>
    <w:rsid w:val="00A11CD0"/>
    <w:rsid w:val="00A13948"/>
    <w:rsid w:val="00A15013"/>
    <w:rsid w:val="00A1555B"/>
    <w:rsid w:val="00A155C5"/>
    <w:rsid w:val="00A16AD8"/>
    <w:rsid w:val="00A2021E"/>
    <w:rsid w:val="00A20BA7"/>
    <w:rsid w:val="00A21C95"/>
    <w:rsid w:val="00A21CF3"/>
    <w:rsid w:val="00A22110"/>
    <w:rsid w:val="00A22651"/>
    <w:rsid w:val="00A22F16"/>
    <w:rsid w:val="00A24813"/>
    <w:rsid w:val="00A27AEC"/>
    <w:rsid w:val="00A320DB"/>
    <w:rsid w:val="00A3315D"/>
    <w:rsid w:val="00A35D16"/>
    <w:rsid w:val="00A36162"/>
    <w:rsid w:val="00A36CF2"/>
    <w:rsid w:val="00A3754D"/>
    <w:rsid w:val="00A37BCD"/>
    <w:rsid w:val="00A40F74"/>
    <w:rsid w:val="00A41689"/>
    <w:rsid w:val="00A42592"/>
    <w:rsid w:val="00A43C59"/>
    <w:rsid w:val="00A44533"/>
    <w:rsid w:val="00A445AC"/>
    <w:rsid w:val="00A50ECD"/>
    <w:rsid w:val="00A518F3"/>
    <w:rsid w:val="00A522FB"/>
    <w:rsid w:val="00A52729"/>
    <w:rsid w:val="00A528AB"/>
    <w:rsid w:val="00A5303C"/>
    <w:rsid w:val="00A53675"/>
    <w:rsid w:val="00A55E5D"/>
    <w:rsid w:val="00A564D7"/>
    <w:rsid w:val="00A56850"/>
    <w:rsid w:val="00A5690A"/>
    <w:rsid w:val="00A56B6A"/>
    <w:rsid w:val="00A578DC"/>
    <w:rsid w:val="00A62ADE"/>
    <w:rsid w:val="00A62C19"/>
    <w:rsid w:val="00A640E2"/>
    <w:rsid w:val="00A64CF9"/>
    <w:rsid w:val="00A64D65"/>
    <w:rsid w:val="00A6725B"/>
    <w:rsid w:val="00A70605"/>
    <w:rsid w:val="00A73134"/>
    <w:rsid w:val="00A7365A"/>
    <w:rsid w:val="00A75278"/>
    <w:rsid w:val="00A76001"/>
    <w:rsid w:val="00A76C70"/>
    <w:rsid w:val="00A77445"/>
    <w:rsid w:val="00A777B2"/>
    <w:rsid w:val="00A8206D"/>
    <w:rsid w:val="00A825D4"/>
    <w:rsid w:val="00A828F6"/>
    <w:rsid w:val="00A82B73"/>
    <w:rsid w:val="00A8397F"/>
    <w:rsid w:val="00A86280"/>
    <w:rsid w:val="00A86E8B"/>
    <w:rsid w:val="00A87164"/>
    <w:rsid w:val="00A871A9"/>
    <w:rsid w:val="00A92C0B"/>
    <w:rsid w:val="00A93072"/>
    <w:rsid w:val="00A93126"/>
    <w:rsid w:val="00A938BD"/>
    <w:rsid w:val="00A938CD"/>
    <w:rsid w:val="00A93953"/>
    <w:rsid w:val="00A9444E"/>
    <w:rsid w:val="00A959D8"/>
    <w:rsid w:val="00A95E61"/>
    <w:rsid w:val="00AA113D"/>
    <w:rsid w:val="00AA11CE"/>
    <w:rsid w:val="00AA126F"/>
    <w:rsid w:val="00AA331E"/>
    <w:rsid w:val="00AA6BD5"/>
    <w:rsid w:val="00AA6BD8"/>
    <w:rsid w:val="00AA6C7D"/>
    <w:rsid w:val="00AA7422"/>
    <w:rsid w:val="00AA7FD6"/>
    <w:rsid w:val="00AB042A"/>
    <w:rsid w:val="00AB11AD"/>
    <w:rsid w:val="00AB19EF"/>
    <w:rsid w:val="00AB2495"/>
    <w:rsid w:val="00AB2D34"/>
    <w:rsid w:val="00AB3430"/>
    <w:rsid w:val="00AB37B9"/>
    <w:rsid w:val="00AB4AD1"/>
    <w:rsid w:val="00AB5E07"/>
    <w:rsid w:val="00AB74ED"/>
    <w:rsid w:val="00AB7CFA"/>
    <w:rsid w:val="00AC385D"/>
    <w:rsid w:val="00AC4456"/>
    <w:rsid w:val="00AC4551"/>
    <w:rsid w:val="00AC463A"/>
    <w:rsid w:val="00AC5933"/>
    <w:rsid w:val="00AC5B42"/>
    <w:rsid w:val="00AC5B48"/>
    <w:rsid w:val="00AD1450"/>
    <w:rsid w:val="00AD15E8"/>
    <w:rsid w:val="00AD1DC3"/>
    <w:rsid w:val="00AD356D"/>
    <w:rsid w:val="00AD6502"/>
    <w:rsid w:val="00AE0695"/>
    <w:rsid w:val="00AE3E7E"/>
    <w:rsid w:val="00AE4875"/>
    <w:rsid w:val="00AE492C"/>
    <w:rsid w:val="00AE67D8"/>
    <w:rsid w:val="00AE7E53"/>
    <w:rsid w:val="00AF1315"/>
    <w:rsid w:val="00AF19BF"/>
    <w:rsid w:val="00AF2DC3"/>
    <w:rsid w:val="00AF3857"/>
    <w:rsid w:val="00AF5379"/>
    <w:rsid w:val="00AF5F1E"/>
    <w:rsid w:val="00B00931"/>
    <w:rsid w:val="00B033D5"/>
    <w:rsid w:val="00B033E5"/>
    <w:rsid w:val="00B03A63"/>
    <w:rsid w:val="00B06D18"/>
    <w:rsid w:val="00B10E5D"/>
    <w:rsid w:val="00B129A4"/>
    <w:rsid w:val="00B13BAB"/>
    <w:rsid w:val="00B1637B"/>
    <w:rsid w:val="00B17538"/>
    <w:rsid w:val="00B201A4"/>
    <w:rsid w:val="00B201D1"/>
    <w:rsid w:val="00B213A6"/>
    <w:rsid w:val="00B235B0"/>
    <w:rsid w:val="00B24DF6"/>
    <w:rsid w:val="00B27A61"/>
    <w:rsid w:val="00B307AA"/>
    <w:rsid w:val="00B3333C"/>
    <w:rsid w:val="00B33AC6"/>
    <w:rsid w:val="00B34351"/>
    <w:rsid w:val="00B34FE2"/>
    <w:rsid w:val="00B35166"/>
    <w:rsid w:val="00B357D8"/>
    <w:rsid w:val="00B360F4"/>
    <w:rsid w:val="00B36A00"/>
    <w:rsid w:val="00B36CE4"/>
    <w:rsid w:val="00B36D85"/>
    <w:rsid w:val="00B377C7"/>
    <w:rsid w:val="00B3792B"/>
    <w:rsid w:val="00B37BFC"/>
    <w:rsid w:val="00B40358"/>
    <w:rsid w:val="00B41614"/>
    <w:rsid w:val="00B42851"/>
    <w:rsid w:val="00B42F80"/>
    <w:rsid w:val="00B435CB"/>
    <w:rsid w:val="00B465EC"/>
    <w:rsid w:val="00B478E5"/>
    <w:rsid w:val="00B4798A"/>
    <w:rsid w:val="00B505C8"/>
    <w:rsid w:val="00B50DB8"/>
    <w:rsid w:val="00B53654"/>
    <w:rsid w:val="00B53905"/>
    <w:rsid w:val="00B546DB"/>
    <w:rsid w:val="00B54B5B"/>
    <w:rsid w:val="00B5562E"/>
    <w:rsid w:val="00B55862"/>
    <w:rsid w:val="00B55D12"/>
    <w:rsid w:val="00B55D65"/>
    <w:rsid w:val="00B56305"/>
    <w:rsid w:val="00B57000"/>
    <w:rsid w:val="00B57790"/>
    <w:rsid w:val="00B60939"/>
    <w:rsid w:val="00B60AFD"/>
    <w:rsid w:val="00B62715"/>
    <w:rsid w:val="00B65611"/>
    <w:rsid w:val="00B70166"/>
    <w:rsid w:val="00B70E8E"/>
    <w:rsid w:val="00B75224"/>
    <w:rsid w:val="00B75A21"/>
    <w:rsid w:val="00B76C92"/>
    <w:rsid w:val="00B80EFD"/>
    <w:rsid w:val="00B818A4"/>
    <w:rsid w:val="00B82580"/>
    <w:rsid w:val="00B83739"/>
    <w:rsid w:val="00B83DBA"/>
    <w:rsid w:val="00B84117"/>
    <w:rsid w:val="00B84DC7"/>
    <w:rsid w:val="00B858F0"/>
    <w:rsid w:val="00B85AA2"/>
    <w:rsid w:val="00B8649C"/>
    <w:rsid w:val="00B8695D"/>
    <w:rsid w:val="00B87F0A"/>
    <w:rsid w:val="00B92D0B"/>
    <w:rsid w:val="00B94945"/>
    <w:rsid w:val="00B94DD6"/>
    <w:rsid w:val="00B9516F"/>
    <w:rsid w:val="00B95E61"/>
    <w:rsid w:val="00B97A72"/>
    <w:rsid w:val="00BA322D"/>
    <w:rsid w:val="00BA63FA"/>
    <w:rsid w:val="00BB00B3"/>
    <w:rsid w:val="00BB0BDD"/>
    <w:rsid w:val="00BB176C"/>
    <w:rsid w:val="00BB2A73"/>
    <w:rsid w:val="00BB313A"/>
    <w:rsid w:val="00BB3442"/>
    <w:rsid w:val="00BB3A45"/>
    <w:rsid w:val="00BB4ACC"/>
    <w:rsid w:val="00BB4BAF"/>
    <w:rsid w:val="00BB5B00"/>
    <w:rsid w:val="00BB5B8C"/>
    <w:rsid w:val="00BB61A5"/>
    <w:rsid w:val="00BB703E"/>
    <w:rsid w:val="00BB732D"/>
    <w:rsid w:val="00BB736E"/>
    <w:rsid w:val="00BB7405"/>
    <w:rsid w:val="00BC05A8"/>
    <w:rsid w:val="00BC3631"/>
    <w:rsid w:val="00BC3AE6"/>
    <w:rsid w:val="00BC47FF"/>
    <w:rsid w:val="00BC591F"/>
    <w:rsid w:val="00BC7D6D"/>
    <w:rsid w:val="00BD2108"/>
    <w:rsid w:val="00BD2F36"/>
    <w:rsid w:val="00BD3E3B"/>
    <w:rsid w:val="00BD4C0D"/>
    <w:rsid w:val="00BD68A3"/>
    <w:rsid w:val="00BD6938"/>
    <w:rsid w:val="00BD6CF3"/>
    <w:rsid w:val="00BD7F72"/>
    <w:rsid w:val="00BE0ECA"/>
    <w:rsid w:val="00BE11FC"/>
    <w:rsid w:val="00BE2180"/>
    <w:rsid w:val="00BE21F2"/>
    <w:rsid w:val="00BE4275"/>
    <w:rsid w:val="00BE759F"/>
    <w:rsid w:val="00BF06AE"/>
    <w:rsid w:val="00BF0F95"/>
    <w:rsid w:val="00BF16FB"/>
    <w:rsid w:val="00BF2433"/>
    <w:rsid w:val="00BF2E6E"/>
    <w:rsid w:val="00BF4D1A"/>
    <w:rsid w:val="00BF4F48"/>
    <w:rsid w:val="00BF601C"/>
    <w:rsid w:val="00BF61C9"/>
    <w:rsid w:val="00BF6C94"/>
    <w:rsid w:val="00C00424"/>
    <w:rsid w:val="00C00BB0"/>
    <w:rsid w:val="00C00CD1"/>
    <w:rsid w:val="00C00F66"/>
    <w:rsid w:val="00C064FB"/>
    <w:rsid w:val="00C1179F"/>
    <w:rsid w:val="00C127B9"/>
    <w:rsid w:val="00C128FA"/>
    <w:rsid w:val="00C12C14"/>
    <w:rsid w:val="00C14709"/>
    <w:rsid w:val="00C15F04"/>
    <w:rsid w:val="00C170FF"/>
    <w:rsid w:val="00C179B3"/>
    <w:rsid w:val="00C17E3F"/>
    <w:rsid w:val="00C200AA"/>
    <w:rsid w:val="00C20FE3"/>
    <w:rsid w:val="00C237ED"/>
    <w:rsid w:val="00C24632"/>
    <w:rsid w:val="00C2476C"/>
    <w:rsid w:val="00C25418"/>
    <w:rsid w:val="00C25D9C"/>
    <w:rsid w:val="00C26041"/>
    <w:rsid w:val="00C2778B"/>
    <w:rsid w:val="00C3137A"/>
    <w:rsid w:val="00C31649"/>
    <w:rsid w:val="00C31740"/>
    <w:rsid w:val="00C32F96"/>
    <w:rsid w:val="00C3434C"/>
    <w:rsid w:val="00C40385"/>
    <w:rsid w:val="00C40B88"/>
    <w:rsid w:val="00C41768"/>
    <w:rsid w:val="00C4474A"/>
    <w:rsid w:val="00C45F91"/>
    <w:rsid w:val="00C46023"/>
    <w:rsid w:val="00C46660"/>
    <w:rsid w:val="00C472B2"/>
    <w:rsid w:val="00C475AA"/>
    <w:rsid w:val="00C47979"/>
    <w:rsid w:val="00C527C7"/>
    <w:rsid w:val="00C53C98"/>
    <w:rsid w:val="00C53E9A"/>
    <w:rsid w:val="00C55962"/>
    <w:rsid w:val="00C56B33"/>
    <w:rsid w:val="00C56FCF"/>
    <w:rsid w:val="00C57365"/>
    <w:rsid w:val="00C5763C"/>
    <w:rsid w:val="00C57B6C"/>
    <w:rsid w:val="00C61A59"/>
    <w:rsid w:val="00C61B37"/>
    <w:rsid w:val="00C628A6"/>
    <w:rsid w:val="00C64344"/>
    <w:rsid w:val="00C65108"/>
    <w:rsid w:val="00C65576"/>
    <w:rsid w:val="00C66165"/>
    <w:rsid w:val="00C6687B"/>
    <w:rsid w:val="00C7060A"/>
    <w:rsid w:val="00C70C4D"/>
    <w:rsid w:val="00C7151A"/>
    <w:rsid w:val="00C717E3"/>
    <w:rsid w:val="00C71F60"/>
    <w:rsid w:val="00C72241"/>
    <w:rsid w:val="00C74253"/>
    <w:rsid w:val="00C750C8"/>
    <w:rsid w:val="00C7560F"/>
    <w:rsid w:val="00C80A0E"/>
    <w:rsid w:val="00C81522"/>
    <w:rsid w:val="00C8213F"/>
    <w:rsid w:val="00C8303F"/>
    <w:rsid w:val="00C85154"/>
    <w:rsid w:val="00C85964"/>
    <w:rsid w:val="00C85A70"/>
    <w:rsid w:val="00C85E96"/>
    <w:rsid w:val="00C8797A"/>
    <w:rsid w:val="00C900B8"/>
    <w:rsid w:val="00C90197"/>
    <w:rsid w:val="00C90C71"/>
    <w:rsid w:val="00C91766"/>
    <w:rsid w:val="00C91FD1"/>
    <w:rsid w:val="00C92339"/>
    <w:rsid w:val="00C92C47"/>
    <w:rsid w:val="00C931CF"/>
    <w:rsid w:val="00C93416"/>
    <w:rsid w:val="00C938CF"/>
    <w:rsid w:val="00C94053"/>
    <w:rsid w:val="00C96213"/>
    <w:rsid w:val="00C9624D"/>
    <w:rsid w:val="00C969DA"/>
    <w:rsid w:val="00CA0EAE"/>
    <w:rsid w:val="00CA188F"/>
    <w:rsid w:val="00CA2C77"/>
    <w:rsid w:val="00CA377E"/>
    <w:rsid w:val="00CA444F"/>
    <w:rsid w:val="00CA4A1B"/>
    <w:rsid w:val="00CA4A96"/>
    <w:rsid w:val="00CA5245"/>
    <w:rsid w:val="00CA71F4"/>
    <w:rsid w:val="00CA7B09"/>
    <w:rsid w:val="00CA7B7B"/>
    <w:rsid w:val="00CB12A5"/>
    <w:rsid w:val="00CB1CAC"/>
    <w:rsid w:val="00CB2929"/>
    <w:rsid w:val="00CB2F2A"/>
    <w:rsid w:val="00CB3830"/>
    <w:rsid w:val="00CB5B1A"/>
    <w:rsid w:val="00CB63E1"/>
    <w:rsid w:val="00CB6B22"/>
    <w:rsid w:val="00CB7BC1"/>
    <w:rsid w:val="00CB7F5F"/>
    <w:rsid w:val="00CC1B39"/>
    <w:rsid w:val="00CC1BFA"/>
    <w:rsid w:val="00CC2E9F"/>
    <w:rsid w:val="00CC35EA"/>
    <w:rsid w:val="00CC3848"/>
    <w:rsid w:val="00CC68A6"/>
    <w:rsid w:val="00CC6D5E"/>
    <w:rsid w:val="00CD0200"/>
    <w:rsid w:val="00CD1412"/>
    <w:rsid w:val="00CD16F0"/>
    <w:rsid w:val="00CD1DF2"/>
    <w:rsid w:val="00CD2722"/>
    <w:rsid w:val="00CD2762"/>
    <w:rsid w:val="00CD2CF2"/>
    <w:rsid w:val="00CD32CE"/>
    <w:rsid w:val="00CD3F77"/>
    <w:rsid w:val="00CD6ADC"/>
    <w:rsid w:val="00CD7193"/>
    <w:rsid w:val="00CE1428"/>
    <w:rsid w:val="00CE38C8"/>
    <w:rsid w:val="00CE4AA1"/>
    <w:rsid w:val="00CE524F"/>
    <w:rsid w:val="00CE56CE"/>
    <w:rsid w:val="00CE58CC"/>
    <w:rsid w:val="00CE6274"/>
    <w:rsid w:val="00CE6AC7"/>
    <w:rsid w:val="00CE77B6"/>
    <w:rsid w:val="00CF2B8D"/>
    <w:rsid w:val="00CF3A1B"/>
    <w:rsid w:val="00CF456B"/>
    <w:rsid w:val="00CF5A22"/>
    <w:rsid w:val="00D0262E"/>
    <w:rsid w:val="00D03679"/>
    <w:rsid w:val="00D03728"/>
    <w:rsid w:val="00D03884"/>
    <w:rsid w:val="00D05E3D"/>
    <w:rsid w:val="00D06139"/>
    <w:rsid w:val="00D06412"/>
    <w:rsid w:val="00D069D1"/>
    <w:rsid w:val="00D06D09"/>
    <w:rsid w:val="00D06FC9"/>
    <w:rsid w:val="00D10A83"/>
    <w:rsid w:val="00D110BD"/>
    <w:rsid w:val="00D13675"/>
    <w:rsid w:val="00D141E1"/>
    <w:rsid w:val="00D15314"/>
    <w:rsid w:val="00D15B48"/>
    <w:rsid w:val="00D17B42"/>
    <w:rsid w:val="00D17D6C"/>
    <w:rsid w:val="00D207C7"/>
    <w:rsid w:val="00D2155B"/>
    <w:rsid w:val="00D23095"/>
    <w:rsid w:val="00D23D11"/>
    <w:rsid w:val="00D244B6"/>
    <w:rsid w:val="00D2754D"/>
    <w:rsid w:val="00D27B27"/>
    <w:rsid w:val="00D30D5B"/>
    <w:rsid w:val="00D32E65"/>
    <w:rsid w:val="00D33A17"/>
    <w:rsid w:val="00D33BE9"/>
    <w:rsid w:val="00D33F93"/>
    <w:rsid w:val="00D34FBA"/>
    <w:rsid w:val="00D351BF"/>
    <w:rsid w:val="00D357FF"/>
    <w:rsid w:val="00D35EF6"/>
    <w:rsid w:val="00D363E3"/>
    <w:rsid w:val="00D36FD2"/>
    <w:rsid w:val="00D41316"/>
    <w:rsid w:val="00D424C7"/>
    <w:rsid w:val="00D42DC9"/>
    <w:rsid w:val="00D43B2A"/>
    <w:rsid w:val="00D43CF1"/>
    <w:rsid w:val="00D43D83"/>
    <w:rsid w:val="00D4735D"/>
    <w:rsid w:val="00D47575"/>
    <w:rsid w:val="00D5243B"/>
    <w:rsid w:val="00D533EC"/>
    <w:rsid w:val="00D56A95"/>
    <w:rsid w:val="00D6076E"/>
    <w:rsid w:val="00D64C60"/>
    <w:rsid w:val="00D64D73"/>
    <w:rsid w:val="00D6650D"/>
    <w:rsid w:val="00D70F16"/>
    <w:rsid w:val="00D72617"/>
    <w:rsid w:val="00D72F57"/>
    <w:rsid w:val="00D7312C"/>
    <w:rsid w:val="00D734FC"/>
    <w:rsid w:val="00D736CE"/>
    <w:rsid w:val="00D7471B"/>
    <w:rsid w:val="00D76A44"/>
    <w:rsid w:val="00D815EF"/>
    <w:rsid w:val="00D81949"/>
    <w:rsid w:val="00D81F26"/>
    <w:rsid w:val="00D822E2"/>
    <w:rsid w:val="00D843F2"/>
    <w:rsid w:val="00D86231"/>
    <w:rsid w:val="00D87E0F"/>
    <w:rsid w:val="00D912AB"/>
    <w:rsid w:val="00D91923"/>
    <w:rsid w:val="00D92D1F"/>
    <w:rsid w:val="00D93753"/>
    <w:rsid w:val="00D96AD8"/>
    <w:rsid w:val="00DA3167"/>
    <w:rsid w:val="00DA34EF"/>
    <w:rsid w:val="00DA4DC3"/>
    <w:rsid w:val="00DA77A5"/>
    <w:rsid w:val="00DA7C17"/>
    <w:rsid w:val="00DB068C"/>
    <w:rsid w:val="00DB0E36"/>
    <w:rsid w:val="00DB3DBF"/>
    <w:rsid w:val="00DB484F"/>
    <w:rsid w:val="00DB4BDE"/>
    <w:rsid w:val="00DB6B4D"/>
    <w:rsid w:val="00DC0074"/>
    <w:rsid w:val="00DC0079"/>
    <w:rsid w:val="00DC04F6"/>
    <w:rsid w:val="00DC0690"/>
    <w:rsid w:val="00DC1D65"/>
    <w:rsid w:val="00DC234D"/>
    <w:rsid w:val="00DC3C57"/>
    <w:rsid w:val="00DC5501"/>
    <w:rsid w:val="00DC5DE4"/>
    <w:rsid w:val="00DC7154"/>
    <w:rsid w:val="00DC7E8A"/>
    <w:rsid w:val="00DD0BC5"/>
    <w:rsid w:val="00DD0F78"/>
    <w:rsid w:val="00DD1C46"/>
    <w:rsid w:val="00DD22FB"/>
    <w:rsid w:val="00DD26F3"/>
    <w:rsid w:val="00DD273C"/>
    <w:rsid w:val="00DD32BD"/>
    <w:rsid w:val="00DD3F28"/>
    <w:rsid w:val="00DD4446"/>
    <w:rsid w:val="00DD4537"/>
    <w:rsid w:val="00DD45A0"/>
    <w:rsid w:val="00DD462A"/>
    <w:rsid w:val="00DD4E15"/>
    <w:rsid w:val="00DE2304"/>
    <w:rsid w:val="00DE3137"/>
    <w:rsid w:val="00DE3138"/>
    <w:rsid w:val="00DE37F8"/>
    <w:rsid w:val="00DE4273"/>
    <w:rsid w:val="00DE4FCB"/>
    <w:rsid w:val="00DE5D07"/>
    <w:rsid w:val="00DE7172"/>
    <w:rsid w:val="00DE72A7"/>
    <w:rsid w:val="00DE7832"/>
    <w:rsid w:val="00DF18FC"/>
    <w:rsid w:val="00DF2E37"/>
    <w:rsid w:val="00DF5D2B"/>
    <w:rsid w:val="00DF6341"/>
    <w:rsid w:val="00DF717A"/>
    <w:rsid w:val="00E00E8E"/>
    <w:rsid w:val="00E02A9D"/>
    <w:rsid w:val="00E030F7"/>
    <w:rsid w:val="00E05630"/>
    <w:rsid w:val="00E0674C"/>
    <w:rsid w:val="00E068CE"/>
    <w:rsid w:val="00E06DBB"/>
    <w:rsid w:val="00E10149"/>
    <w:rsid w:val="00E11340"/>
    <w:rsid w:val="00E122A1"/>
    <w:rsid w:val="00E16372"/>
    <w:rsid w:val="00E16AD8"/>
    <w:rsid w:val="00E17FFA"/>
    <w:rsid w:val="00E20E4D"/>
    <w:rsid w:val="00E20ED6"/>
    <w:rsid w:val="00E21358"/>
    <w:rsid w:val="00E22334"/>
    <w:rsid w:val="00E2249B"/>
    <w:rsid w:val="00E22A0D"/>
    <w:rsid w:val="00E244F6"/>
    <w:rsid w:val="00E24923"/>
    <w:rsid w:val="00E258DB"/>
    <w:rsid w:val="00E2771E"/>
    <w:rsid w:val="00E279EB"/>
    <w:rsid w:val="00E3012B"/>
    <w:rsid w:val="00E30C7D"/>
    <w:rsid w:val="00E311EF"/>
    <w:rsid w:val="00E31810"/>
    <w:rsid w:val="00E32180"/>
    <w:rsid w:val="00E33282"/>
    <w:rsid w:val="00E332A0"/>
    <w:rsid w:val="00E34948"/>
    <w:rsid w:val="00E37569"/>
    <w:rsid w:val="00E4009E"/>
    <w:rsid w:val="00E401B2"/>
    <w:rsid w:val="00E411FB"/>
    <w:rsid w:val="00E41E30"/>
    <w:rsid w:val="00E42325"/>
    <w:rsid w:val="00E42C95"/>
    <w:rsid w:val="00E42F73"/>
    <w:rsid w:val="00E43D70"/>
    <w:rsid w:val="00E466F3"/>
    <w:rsid w:val="00E47941"/>
    <w:rsid w:val="00E47B2C"/>
    <w:rsid w:val="00E51560"/>
    <w:rsid w:val="00E51821"/>
    <w:rsid w:val="00E53FC8"/>
    <w:rsid w:val="00E54347"/>
    <w:rsid w:val="00E55424"/>
    <w:rsid w:val="00E55915"/>
    <w:rsid w:val="00E55BB5"/>
    <w:rsid w:val="00E56F39"/>
    <w:rsid w:val="00E611DF"/>
    <w:rsid w:val="00E615F6"/>
    <w:rsid w:val="00E61F83"/>
    <w:rsid w:val="00E65167"/>
    <w:rsid w:val="00E652AE"/>
    <w:rsid w:val="00E65E79"/>
    <w:rsid w:val="00E66BA2"/>
    <w:rsid w:val="00E67416"/>
    <w:rsid w:val="00E718B6"/>
    <w:rsid w:val="00E723BA"/>
    <w:rsid w:val="00E73581"/>
    <w:rsid w:val="00E75956"/>
    <w:rsid w:val="00E77065"/>
    <w:rsid w:val="00E77405"/>
    <w:rsid w:val="00E833F7"/>
    <w:rsid w:val="00E83BDF"/>
    <w:rsid w:val="00E8540A"/>
    <w:rsid w:val="00E86758"/>
    <w:rsid w:val="00E86FCC"/>
    <w:rsid w:val="00E87A1D"/>
    <w:rsid w:val="00E9094A"/>
    <w:rsid w:val="00E91D35"/>
    <w:rsid w:val="00E926A5"/>
    <w:rsid w:val="00E928AD"/>
    <w:rsid w:val="00E9451A"/>
    <w:rsid w:val="00E962CC"/>
    <w:rsid w:val="00E96F90"/>
    <w:rsid w:val="00EA17C3"/>
    <w:rsid w:val="00EA1EB3"/>
    <w:rsid w:val="00EA2CAA"/>
    <w:rsid w:val="00EA3864"/>
    <w:rsid w:val="00EA575E"/>
    <w:rsid w:val="00EA7F1C"/>
    <w:rsid w:val="00EB0888"/>
    <w:rsid w:val="00EB15B6"/>
    <w:rsid w:val="00EB1C0D"/>
    <w:rsid w:val="00EB3D06"/>
    <w:rsid w:val="00EB4916"/>
    <w:rsid w:val="00EB49C0"/>
    <w:rsid w:val="00EB4E8A"/>
    <w:rsid w:val="00EC00C9"/>
    <w:rsid w:val="00EC06DD"/>
    <w:rsid w:val="00EC0DD9"/>
    <w:rsid w:val="00EC2649"/>
    <w:rsid w:val="00EC31ED"/>
    <w:rsid w:val="00EC4565"/>
    <w:rsid w:val="00EC5836"/>
    <w:rsid w:val="00EC5CE1"/>
    <w:rsid w:val="00EC688C"/>
    <w:rsid w:val="00EC7790"/>
    <w:rsid w:val="00ED07C5"/>
    <w:rsid w:val="00ED12E3"/>
    <w:rsid w:val="00ED1B08"/>
    <w:rsid w:val="00ED1B25"/>
    <w:rsid w:val="00ED1DE7"/>
    <w:rsid w:val="00ED33BD"/>
    <w:rsid w:val="00ED486E"/>
    <w:rsid w:val="00ED4B04"/>
    <w:rsid w:val="00ED57EA"/>
    <w:rsid w:val="00ED5BD4"/>
    <w:rsid w:val="00ED62D8"/>
    <w:rsid w:val="00EE07D3"/>
    <w:rsid w:val="00EE1996"/>
    <w:rsid w:val="00EE1C01"/>
    <w:rsid w:val="00EE22AF"/>
    <w:rsid w:val="00EE5BD9"/>
    <w:rsid w:val="00EE6598"/>
    <w:rsid w:val="00EF0171"/>
    <w:rsid w:val="00EF0E1E"/>
    <w:rsid w:val="00EF1B25"/>
    <w:rsid w:val="00EF1DA0"/>
    <w:rsid w:val="00EF203E"/>
    <w:rsid w:val="00EF33FA"/>
    <w:rsid w:val="00EF4747"/>
    <w:rsid w:val="00EF4BF8"/>
    <w:rsid w:val="00F010CB"/>
    <w:rsid w:val="00F02253"/>
    <w:rsid w:val="00F034E8"/>
    <w:rsid w:val="00F03C2E"/>
    <w:rsid w:val="00F04A66"/>
    <w:rsid w:val="00F04B4B"/>
    <w:rsid w:val="00F04EFD"/>
    <w:rsid w:val="00F0516C"/>
    <w:rsid w:val="00F067A2"/>
    <w:rsid w:val="00F07B9E"/>
    <w:rsid w:val="00F1116F"/>
    <w:rsid w:val="00F11AE3"/>
    <w:rsid w:val="00F1263A"/>
    <w:rsid w:val="00F12DBD"/>
    <w:rsid w:val="00F12FFF"/>
    <w:rsid w:val="00F139C5"/>
    <w:rsid w:val="00F1511E"/>
    <w:rsid w:val="00F152CE"/>
    <w:rsid w:val="00F15B77"/>
    <w:rsid w:val="00F15B7F"/>
    <w:rsid w:val="00F1666D"/>
    <w:rsid w:val="00F21236"/>
    <w:rsid w:val="00F2125A"/>
    <w:rsid w:val="00F239DF"/>
    <w:rsid w:val="00F24837"/>
    <w:rsid w:val="00F2575F"/>
    <w:rsid w:val="00F25D2F"/>
    <w:rsid w:val="00F2624F"/>
    <w:rsid w:val="00F27565"/>
    <w:rsid w:val="00F31092"/>
    <w:rsid w:val="00F3109A"/>
    <w:rsid w:val="00F310D4"/>
    <w:rsid w:val="00F31D5A"/>
    <w:rsid w:val="00F322A4"/>
    <w:rsid w:val="00F33975"/>
    <w:rsid w:val="00F33DE9"/>
    <w:rsid w:val="00F34963"/>
    <w:rsid w:val="00F3544B"/>
    <w:rsid w:val="00F35E6D"/>
    <w:rsid w:val="00F3619A"/>
    <w:rsid w:val="00F37889"/>
    <w:rsid w:val="00F40AAA"/>
    <w:rsid w:val="00F40BA7"/>
    <w:rsid w:val="00F40F9D"/>
    <w:rsid w:val="00F40FDC"/>
    <w:rsid w:val="00F41ACD"/>
    <w:rsid w:val="00F4311A"/>
    <w:rsid w:val="00F44160"/>
    <w:rsid w:val="00F46CB6"/>
    <w:rsid w:val="00F470DE"/>
    <w:rsid w:val="00F4756D"/>
    <w:rsid w:val="00F47DE8"/>
    <w:rsid w:val="00F50259"/>
    <w:rsid w:val="00F542C1"/>
    <w:rsid w:val="00F546CE"/>
    <w:rsid w:val="00F550E3"/>
    <w:rsid w:val="00F55E73"/>
    <w:rsid w:val="00F55EDA"/>
    <w:rsid w:val="00F56C80"/>
    <w:rsid w:val="00F60092"/>
    <w:rsid w:val="00F6072E"/>
    <w:rsid w:val="00F61B7F"/>
    <w:rsid w:val="00F61C18"/>
    <w:rsid w:val="00F653F0"/>
    <w:rsid w:val="00F65F4B"/>
    <w:rsid w:val="00F67A69"/>
    <w:rsid w:val="00F70BFF"/>
    <w:rsid w:val="00F70C9D"/>
    <w:rsid w:val="00F71B3B"/>
    <w:rsid w:val="00F73E08"/>
    <w:rsid w:val="00F74AE9"/>
    <w:rsid w:val="00F74CD9"/>
    <w:rsid w:val="00F75C56"/>
    <w:rsid w:val="00F80A7B"/>
    <w:rsid w:val="00F80E5D"/>
    <w:rsid w:val="00F81C1F"/>
    <w:rsid w:val="00F81E78"/>
    <w:rsid w:val="00F82088"/>
    <w:rsid w:val="00F83916"/>
    <w:rsid w:val="00F851CE"/>
    <w:rsid w:val="00F863F5"/>
    <w:rsid w:val="00F86F1A"/>
    <w:rsid w:val="00F90B3F"/>
    <w:rsid w:val="00F91219"/>
    <w:rsid w:val="00F92444"/>
    <w:rsid w:val="00F9393E"/>
    <w:rsid w:val="00F941CA"/>
    <w:rsid w:val="00F94DD3"/>
    <w:rsid w:val="00F966ED"/>
    <w:rsid w:val="00F96FD0"/>
    <w:rsid w:val="00F97A78"/>
    <w:rsid w:val="00FA0B20"/>
    <w:rsid w:val="00FA17EE"/>
    <w:rsid w:val="00FA24E7"/>
    <w:rsid w:val="00FA540E"/>
    <w:rsid w:val="00FA5EE6"/>
    <w:rsid w:val="00FA6010"/>
    <w:rsid w:val="00FA78AA"/>
    <w:rsid w:val="00FA7956"/>
    <w:rsid w:val="00FB0824"/>
    <w:rsid w:val="00FB2A96"/>
    <w:rsid w:val="00FB2FCB"/>
    <w:rsid w:val="00FB4C9C"/>
    <w:rsid w:val="00FB615C"/>
    <w:rsid w:val="00FB7C55"/>
    <w:rsid w:val="00FC1074"/>
    <w:rsid w:val="00FC1884"/>
    <w:rsid w:val="00FC371D"/>
    <w:rsid w:val="00FC575B"/>
    <w:rsid w:val="00FC5F0B"/>
    <w:rsid w:val="00FD2100"/>
    <w:rsid w:val="00FD3146"/>
    <w:rsid w:val="00FD436C"/>
    <w:rsid w:val="00FD446D"/>
    <w:rsid w:val="00FD4F2C"/>
    <w:rsid w:val="00FD6394"/>
    <w:rsid w:val="00FD7106"/>
    <w:rsid w:val="00FE024A"/>
    <w:rsid w:val="00FE0E6C"/>
    <w:rsid w:val="00FE1CDC"/>
    <w:rsid w:val="00FE3EE7"/>
    <w:rsid w:val="00FE6F34"/>
    <w:rsid w:val="00FE70C3"/>
    <w:rsid w:val="00FF1A8B"/>
    <w:rsid w:val="00FF2AD9"/>
    <w:rsid w:val="00FF359F"/>
    <w:rsid w:val="00FF3DCF"/>
    <w:rsid w:val="00FF492C"/>
    <w:rsid w:val="00FF4A21"/>
    <w:rsid w:val="00FF5AA3"/>
    <w:rsid w:val="00FF5AD8"/>
    <w:rsid w:val="00FF6E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Caption Char Char,Figure heading,legend,Lengende,表タイトル,Caption PRIMA,Caption SYNEVi,Bayer Caption,IB Caption,Medical Caption,Bayer,Bayer Caption1,IB Caption1,Medical Caption1,Bayer Caption2,IB Caption2,Medical Caption2,Bullet,- H17"/>
    <w:basedOn w:val="Normal"/>
    <w:next w:val="Normal"/>
    <w:link w:val="CaptionChar"/>
    <w:uiPriority w:val="99"/>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Caption Char Char Char,Figure heading Char,legend Char,Lengende Char,表タイトル Char,Caption PRIMA Char,Caption SYNEVi Char,Bayer Caption Char,IB Caption Char,Medical Caption Char,Bayer Char,Bayer Caption1 Char,Bullet Char"/>
    <w:link w:val="Caption"/>
    <w:uiPriority w:val="99"/>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Styl moj"/>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HTAtableplain,Lash Style Table,PBAC table,new style,MSD Table Grid"/>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aliases w:val="zz List Bullet"/>
    <w:basedOn w:val="Normal"/>
    <w:link w:val="ListBulletChar"/>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qFormat/>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notes">
    <w:name w:val="Tablenotes"/>
    <w:basedOn w:val="Normal"/>
    <w:link w:val="TablenotesChar"/>
    <w:qFormat/>
    <w:rsid w:val="00497087"/>
    <w:pPr>
      <w:widowControl w:val="0"/>
      <w:spacing w:before="20" w:after="360" w:line="269" w:lineRule="auto"/>
      <w:contextualSpacing/>
      <w:jc w:val="left"/>
    </w:pPr>
    <w:rPr>
      <w:rFonts w:ascii="Angsana New" w:eastAsia="Cordia New" w:hAnsi="Angsana New" w:cs="SimSun"/>
      <w:snapToGrid w:val="0"/>
      <w:sz w:val="18"/>
      <w:szCs w:val="20"/>
      <w:lang w:eastAsia="en-US"/>
    </w:rPr>
  </w:style>
  <w:style w:type="character" w:customStyle="1" w:styleId="TablenotesChar">
    <w:name w:val="Tablenotes Char"/>
    <w:basedOn w:val="DefaultParagraphFont"/>
    <w:link w:val="Tablenotes"/>
    <w:rsid w:val="00497087"/>
    <w:rPr>
      <w:rFonts w:ascii="Angsana New" w:eastAsia="Cordia New" w:hAnsi="Angsana New" w:cs="SimSun"/>
      <w:snapToGrid w:val="0"/>
      <w:sz w:val="18"/>
      <w:lang w:eastAsia="en-US"/>
    </w:rPr>
  </w:style>
  <w:style w:type="table" w:customStyle="1" w:styleId="TableGrid1">
    <w:name w:val="Table Grid1"/>
    <w:basedOn w:val="TableNormal"/>
    <w:next w:val="TableGrid"/>
    <w:uiPriority w:val="39"/>
    <w:rsid w:val="00401BBB"/>
    <w:pPr>
      <w:spacing w:line="360" w:lineRule="auto"/>
    </w:pPr>
    <w:rPr>
      <w:rFonts w:ascii="Cordia New" w:eastAsia="Wingdings" w:hAnsi="Cordia New"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B22C7"/>
    <w:pPr>
      <w:jc w:val="left"/>
    </w:pPr>
    <w:rPr>
      <w:rFonts w:ascii="SimSun" w:eastAsiaTheme="minorHAnsi" w:hAnsi="SimSun" w:cstheme="minorBidi"/>
      <w:sz w:val="16"/>
      <w:szCs w:val="20"/>
      <w:lang w:eastAsia="en-US"/>
    </w:rPr>
  </w:style>
  <w:style w:type="character" w:customStyle="1" w:styleId="FootnoteTextChar">
    <w:name w:val="Footnote Text Char"/>
    <w:basedOn w:val="DefaultParagraphFont"/>
    <w:link w:val="FootnoteText"/>
    <w:uiPriority w:val="99"/>
    <w:rsid w:val="004B22C7"/>
    <w:rPr>
      <w:rFonts w:ascii="SimSun" w:eastAsiaTheme="minorHAnsi" w:hAnsi="SimSun" w:cstheme="minorBidi"/>
      <w:sz w:val="16"/>
      <w:lang w:eastAsia="en-US"/>
    </w:rPr>
  </w:style>
  <w:style w:type="character" w:styleId="FootnoteReference">
    <w:name w:val="footnote reference"/>
    <w:basedOn w:val="DefaultParagraphFont"/>
    <w:uiPriority w:val="99"/>
    <w:semiHidden/>
    <w:unhideWhenUsed/>
    <w:rsid w:val="004B22C7"/>
    <w:rPr>
      <w:vertAlign w:val="superscript"/>
    </w:rPr>
  </w:style>
  <w:style w:type="paragraph" w:customStyle="1" w:styleId="COMH1numbered">
    <w:name w:val="COM H1 numbered"/>
    <w:next w:val="Normal"/>
    <w:qFormat/>
    <w:rsid w:val="00C6687B"/>
    <w:pPr>
      <w:keepNext/>
      <w:spacing w:before="240" w:after="120"/>
      <w:ind w:left="720" w:hanging="720"/>
      <w:outlineLvl w:val="0"/>
    </w:pPr>
    <w:rPr>
      <w:rFonts w:asciiTheme="minorHAnsi" w:hAnsiTheme="minorHAnsi" w:cs="Arial"/>
      <w:b/>
      <w:snapToGrid w:val="0"/>
      <w:sz w:val="32"/>
      <w:szCs w:val="32"/>
    </w:rPr>
  </w:style>
  <w:style w:type="paragraph" w:customStyle="1" w:styleId="COMexecsumnumberedpara">
    <w:name w:val="COM exec sum numbered para"/>
    <w:basedOn w:val="ListParagraph"/>
    <w:link w:val="COMexecsumnumberedparaChar"/>
    <w:qFormat/>
    <w:rsid w:val="00C6687B"/>
    <w:pPr>
      <w:numPr>
        <w:numId w:val="0"/>
      </w:numPr>
      <w:ind w:left="1440" w:hanging="360"/>
    </w:pPr>
  </w:style>
  <w:style w:type="character" w:styleId="UnresolvedMention">
    <w:name w:val="Unresolved Mention"/>
    <w:basedOn w:val="DefaultParagraphFont"/>
    <w:uiPriority w:val="99"/>
    <w:semiHidden/>
    <w:unhideWhenUsed/>
    <w:rsid w:val="0084117A"/>
    <w:rPr>
      <w:color w:val="605E5C"/>
      <w:shd w:val="clear" w:color="auto" w:fill="E1DFDD"/>
    </w:rPr>
  </w:style>
  <w:style w:type="paragraph" w:customStyle="1" w:styleId="Tableheadingrow">
    <w:name w:val="Table heading row"/>
    <w:qFormat/>
    <w:rsid w:val="006F6BF2"/>
    <w:pPr>
      <w:keepNext/>
    </w:pPr>
    <w:rPr>
      <w:rFonts w:ascii="Arial Narrow" w:eastAsiaTheme="majorEastAsia" w:hAnsi="Arial Narrow"/>
      <w:b/>
      <w:szCs w:val="24"/>
      <w:lang w:val="en-US"/>
    </w:rPr>
  </w:style>
  <w:style w:type="paragraph" w:customStyle="1" w:styleId="COMexecsummmainissuesbullets">
    <w:name w:val="COM exec summ main issues bullets"/>
    <w:basedOn w:val="ListParagraph"/>
    <w:link w:val="COMexecsummmainissuesbulletsChar"/>
    <w:qFormat/>
    <w:rsid w:val="00EB1C0D"/>
    <w:pPr>
      <w:numPr>
        <w:numId w:val="0"/>
      </w:numPr>
      <w:ind w:left="720" w:hanging="360"/>
    </w:pPr>
    <w:rPr>
      <w:color w:val="0066FF"/>
    </w:rPr>
  </w:style>
  <w:style w:type="character" w:customStyle="1" w:styleId="COMexecsummmainissuesbulletsChar">
    <w:name w:val="COM exec summ main issues bullets Char"/>
    <w:basedOn w:val="DefaultParagraphFont"/>
    <w:link w:val="COMexecsummmainissuesbullets"/>
    <w:rsid w:val="00EB1C0D"/>
    <w:rPr>
      <w:rFonts w:asciiTheme="minorHAnsi" w:hAnsiTheme="minorHAnsi" w:cs="Arial"/>
      <w:snapToGrid w:val="0"/>
      <w:color w:val="0066FF"/>
      <w:sz w:val="24"/>
      <w:szCs w:val="24"/>
    </w:rPr>
  </w:style>
  <w:style w:type="paragraph" w:customStyle="1" w:styleId="COMtablefigcaption">
    <w:name w:val="COM table/fig caption"/>
    <w:next w:val="Normal"/>
    <w:link w:val="COMtablefigcaptionChar"/>
    <w:qFormat/>
    <w:rsid w:val="00EB1C0D"/>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EB1C0D"/>
    <w:rPr>
      <w:rFonts w:ascii="Arial Narrow" w:eastAsiaTheme="majorEastAsia" w:hAnsi="Arial Narrow" w:cstheme="majorBidi"/>
      <w:b/>
      <w:bCs/>
      <w:szCs w:val="24"/>
    </w:rPr>
  </w:style>
  <w:style w:type="paragraph" w:customStyle="1" w:styleId="COMTabletext">
    <w:name w:val="COM Table text"/>
    <w:link w:val="COMTabletextChar"/>
    <w:qFormat/>
    <w:rsid w:val="00EB1C0D"/>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EB1C0D"/>
    <w:rPr>
      <w:rFonts w:ascii="Arial Narrow" w:eastAsiaTheme="majorEastAsia" w:hAnsi="Arial Narrow" w:cstheme="majorBidi"/>
      <w:bCs/>
      <w:szCs w:val="24"/>
    </w:rPr>
  </w:style>
  <w:style w:type="character" w:customStyle="1" w:styleId="COMexecsumnumberedparaChar">
    <w:name w:val="COM exec sum numbered para Char"/>
    <w:basedOn w:val="DefaultParagraphFont"/>
    <w:link w:val="COMexecsumnumberedpara"/>
    <w:rsid w:val="00EB1C0D"/>
    <w:rPr>
      <w:rFonts w:asciiTheme="minorHAnsi" w:hAnsiTheme="minorHAnsi" w:cs="Arial"/>
      <w:snapToGrid w:val="0"/>
      <w:sz w:val="24"/>
      <w:szCs w:val="24"/>
    </w:rPr>
  </w:style>
  <w:style w:type="character" w:customStyle="1" w:styleId="normaltextrun">
    <w:name w:val="normaltextrun"/>
    <w:basedOn w:val="DefaultParagraphFont"/>
    <w:rsid w:val="00EB1C0D"/>
  </w:style>
  <w:style w:type="paragraph" w:customStyle="1" w:styleId="COMTableheadingrow">
    <w:name w:val="COM Table heading row"/>
    <w:qFormat/>
    <w:rsid w:val="00EB1C0D"/>
    <w:pPr>
      <w:keepNext/>
    </w:pPr>
    <w:rPr>
      <w:rFonts w:ascii="Arial Narrow" w:eastAsiaTheme="majorEastAsia" w:hAnsi="Arial Narrow"/>
      <w:b/>
      <w:szCs w:val="24"/>
      <w:lang w:val="en-US"/>
    </w:rPr>
  </w:style>
  <w:style w:type="paragraph" w:customStyle="1" w:styleId="TableFigureFooter">
    <w:name w:val="Table/Figure Footer"/>
    <w:basedOn w:val="Normal"/>
    <w:link w:val="TableFigureFooterChar"/>
    <w:qFormat/>
    <w:rsid w:val="002B7210"/>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2B7210"/>
    <w:rPr>
      <w:rFonts w:ascii="Arial Narrow" w:hAnsi="Arial Narrow" w:cs="Arial"/>
      <w:snapToGrid w:val="0"/>
      <w:sz w:val="18"/>
      <w:szCs w:val="22"/>
    </w:rPr>
  </w:style>
  <w:style w:type="paragraph" w:customStyle="1" w:styleId="pf0">
    <w:name w:val="pf0"/>
    <w:basedOn w:val="Normal"/>
    <w:rsid w:val="00906122"/>
    <w:pPr>
      <w:spacing w:before="100" w:beforeAutospacing="1" w:after="100" w:afterAutospacing="1"/>
      <w:jc w:val="left"/>
    </w:pPr>
    <w:rPr>
      <w:rFonts w:ascii="Times New Roman" w:hAnsi="Times New Roman" w:cs="Times New Roman"/>
    </w:rPr>
  </w:style>
  <w:style w:type="character" w:customStyle="1" w:styleId="cf01">
    <w:name w:val="cf01"/>
    <w:basedOn w:val="DefaultParagraphFont"/>
    <w:rsid w:val="00906122"/>
    <w:rPr>
      <w:rFonts w:ascii="Segoe UI" w:hAnsi="Segoe UI" w:cs="Segoe UI" w:hint="default"/>
      <w:i/>
      <w:iCs/>
      <w:sz w:val="18"/>
      <w:szCs w:val="18"/>
    </w:rPr>
  </w:style>
  <w:style w:type="character" w:customStyle="1" w:styleId="cf11">
    <w:name w:val="cf11"/>
    <w:basedOn w:val="DefaultParagraphFont"/>
    <w:rsid w:val="00906122"/>
    <w:rPr>
      <w:rFonts w:ascii="Segoe UI" w:hAnsi="Segoe UI" w:cs="Segoe UI" w:hint="default"/>
      <w:sz w:val="18"/>
      <w:szCs w:val="18"/>
    </w:rPr>
  </w:style>
  <w:style w:type="paragraph" w:customStyle="1" w:styleId="EndNoteBibliography">
    <w:name w:val="EndNote Bibliography"/>
    <w:basedOn w:val="Normal"/>
    <w:link w:val="EndNoteBibliographyChar"/>
    <w:rsid w:val="006A0422"/>
    <w:pPr>
      <w:spacing w:after="120"/>
    </w:pPr>
    <w:rPr>
      <w:rFonts w:ascii="SimSun" w:eastAsiaTheme="minorHAnsi" w:hAnsi="SimSun"/>
      <w:noProof/>
      <w:sz w:val="22"/>
      <w:szCs w:val="22"/>
      <w:lang w:val="en-US" w:eastAsia="en-US"/>
    </w:rPr>
  </w:style>
  <w:style w:type="character" w:customStyle="1" w:styleId="EndNoteBibliographyChar">
    <w:name w:val="EndNote Bibliography Char"/>
    <w:basedOn w:val="DefaultParagraphFont"/>
    <w:link w:val="EndNoteBibliography"/>
    <w:rsid w:val="006A0422"/>
    <w:rPr>
      <w:rFonts w:ascii="SimSun" w:eastAsiaTheme="minorHAnsi" w:hAnsi="SimSun" w:cs="Arial"/>
      <w:noProof/>
      <w:sz w:val="22"/>
      <w:szCs w:val="22"/>
      <w:lang w:val="en-US" w:eastAsia="en-US"/>
    </w:rPr>
  </w:style>
  <w:style w:type="paragraph" w:customStyle="1" w:styleId="zzBulletpoints">
    <w:name w:val="zz Bullet points"/>
    <w:basedOn w:val="ListParagraph"/>
    <w:rsid w:val="009B47BE"/>
    <w:pPr>
      <w:numPr>
        <w:numId w:val="0"/>
      </w:numPr>
      <w:ind w:left="720" w:hanging="360"/>
      <w:contextualSpacing/>
    </w:pPr>
  </w:style>
  <w:style w:type="character" w:customStyle="1" w:styleId="ui-provider">
    <w:name w:val="ui-provider"/>
    <w:basedOn w:val="DefaultParagraphFont"/>
    <w:rsid w:val="00293A3E"/>
  </w:style>
  <w:style w:type="paragraph" w:customStyle="1" w:styleId="Sources">
    <w:name w:val="Sources"/>
    <w:basedOn w:val="Normal"/>
    <w:link w:val="SourcesChar"/>
    <w:qFormat/>
    <w:rsid w:val="004C5706"/>
    <w:pPr>
      <w:spacing w:before="120" w:after="120"/>
      <w:jc w:val="left"/>
    </w:pPr>
    <w:rPr>
      <w:rFonts w:ascii="Arial" w:eastAsiaTheme="minorHAnsi" w:hAnsi="Arial" w:cstheme="minorBidi"/>
      <w:sz w:val="16"/>
      <w:szCs w:val="22"/>
      <w:lang w:eastAsia="en-US"/>
    </w:rPr>
  </w:style>
  <w:style w:type="character" w:customStyle="1" w:styleId="SourcesChar">
    <w:name w:val="Sources Char"/>
    <w:basedOn w:val="DefaultParagraphFont"/>
    <w:link w:val="Sources"/>
    <w:locked/>
    <w:rsid w:val="004C5706"/>
    <w:rPr>
      <w:rFonts w:ascii="Arial" w:eastAsiaTheme="minorHAnsi" w:hAnsi="Arial" w:cstheme="minorBidi"/>
      <w:sz w:val="16"/>
      <w:szCs w:val="22"/>
      <w:lang w:eastAsia="en-US"/>
    </w:rPr>
  </w:style>
  <w:style w:type="paragraph" w:customStyle="1" w:styleId="TableFigureCaption">
    <w:name w:val="Table/Figure Caption"/>
    <w:next w:val="Tableheadingrow"/>
    <w:link w:val="TableFigureCaptionChar"/>
    <w:qFormat/>
    <w:rsid w:val="004C5706"/>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4C5706"/>
    <w:rPr>
      <w:rFonts w:ascii="Arial Narrow" w:eastAsiaTheme="majorEastAsia" w:hAnsi="Arial Narrow" w:cstheme="majorBidi"/>
      <w:b/>
      <w:bCs/>
      <w:szCs w:val="24"/>
    </w:rPr>
  </w:style>
  <w:style w:type="paragraph" w:customStyle="1" w:styleId="4-SubsectSubhead">
    <w:name w:val="4-Subsect Subhead"/>
    <w:basedOn w:val="Heading3"/>
    <w:next w:val="ExecSumBodyText"/>
    <w:link w:val="4-SubsectSubheadChar"/>
    <w:qFormat/>
    <w:rsid w:val="004C5706"/>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4C5706"/>
    <w:rPr>
      <w:rFonts w:asciiTheme="minorHAnsi" w:eastAsiaTheme="majorEastAsia" w:hAnsiTheme="minorHAnsi" w:cstheme="majorBidi"/>
      <w:b/>
      <w:color w:val="000000" w:themeColor="text1"/>
      <w:sz w:val="28"/>
      <w:szCs w:val="28"/>
    </w:rPr>
  </w:style>
  <w:style w:type="paragraph" w:customStyle="1" w:styleId="TableHeading0">
    <w:name w:val="Table Heading"/>
    <w:basedOn w:val="TableText0"/>
    <w:link w:val="TableHeadingChar"/>
    <w:qFormat/>
    <w:rsid w:val="004C5706"/>
    <w:pPr>
      <w:keepLines/>
    </w:pPr>
    <w:rPr>
      <w:rFonts w:cs="Arial"/>
      <w:b/>
      <w:bCs w:val="0"/>
      <w:szCs w:val="20"/>
      <w:lang w:bidi="en-US"/>
    </w:rPr>
  </w:style>
  <w:style w:type="character" w:customStyle="1" w:styleId="TableHeadingChar">
    <w:name w:val="Table Heading Char"/>
    <w:link w:val="TableHeading0"/>
    <w:rsid w:val="004C5706"/>
    <w:rPr>
      <w:rFonts w:ascii="Arial Narrow" w:eastAsiaTheme="majorEastAsia" w:hAnsi="Arial Narrow" w:cs="Arial"/>
      <w:b/>
      <w:lang w:bidi="en-US"/>
    </w:rPr>
  </w:style>
  <w:style w:type="paragraph" w:customStyle="1" w:styleId="COMTablefooter">
    <w:name w:val="COM Table footer"/>
    <w:basedOn w:val="Normal"/>
    <w:link w:val="COMTablefooterChar"/>
    <w:qFormat/>
    <w:rsid w:val="004C5706"/>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4C5706"/>
    <w:rPr>
      <w:rFonts w:ascii="Arial Narrow" w:hAnsi="Arial Narrow" w:cs="Arial"/>
      <w:snapToGrid w:val="0"/>
      <w:sz w:val="18"/>
      <w:szCs w:val="22"/>
    </w:rPr>
  </w:style>
  <w:style w:type="paragraph" w:customStyle="1" w:styleId="COMH3">
    <w:name w:val="COM H3"/>
    <w:basedOn w:val="Normal"/>
    <w:next w:val="Normal"/>
    <w:link w:val="COMH3Char"/>
    <w:qFormat/>
    <w:rsid w:val="004C5706"/>
    <w:pPr>
      <w:keepNext/>
      <w:spacing w:after="240"/>
      <w:outlineLvl w:val="2"/>
    </w:pPr>
    <w:rPr>
      <w:b/>
      <w:iCs/>
      <w:sz w:val="28"/>
    </w:rPr>
  </w:style>
  <w:style w:type="character" w:customStyle="1" w:styleId="COMH3Char">
    <w:name w:val="COM H3 Char"/>
    <w:basedOn w:val="DefaultParagraphFont"/>
    <w:link w:val="COMH3"/>
    <w:rsid w:val="004C5706"/>
    <w:rPr>
      <w:rFonts w:ascii="Calibri" w:hAnsi="Calibri" w:cs="Arial"/>
      <w:b/>
      <w:iCs/>
      <w:sz w:val="28"/>
      <w:szCs w:val="24"/>
    </w:rPr>
  </w:style>
  <w:style w:type="character" w:customStyle="1" w:styleId="ListBulletChar">
    <w:name w:val="List Bullet Char"/>
    <w:aliases w:val="zz List Bullet Char"/>
    <w:basedOn w:val="DefaultParagraphFont"/>
    <w:link w:val="ListBullet"/>
    <w:rsid w:val="004C5706"/>
    <w:rPr>
      <w:rFonts w:ascii="Calibri" w:hAnsi="Calibri" w:cs="Arial"/>
      <w:sz w:val="24"/>
      <w:szCs w:val="24"/>
    </w:rPr>
  </w:style>
  <w:style w:type="paragraph" w:customStyle="1" w:styleId="COMH4">
    <w:name w:val="COM H4"/>
    <w:basedOn w:val="Normal"/>
    <w:link w:val="COMH4Char"/>
    <w:qFormat/>
    <w:rsid w:val="004C5706"/>
    <w:pPr>
      <w:keepNext/>
      <w:spacing w:after="120"/>
    </w:pPr>
    <w:rPr>
      <w:b/>
      <w:i/>
    </w:rPr>
  </w:style>
  <w:style w:type="character" w:customStyle="1" w:styleId="COMH4Char">
    <w:name w:val="COM H4 Char"/>
    <w:basedOn w:val="DefaultParagraphFont"/>
    <w:link w:val="COMH4"/>
    <w:rsid w:val="004C5706"/>
    <w:rPr>
      <w:rFonts w:ascii="Calibri" w:hAnsi="Calibri" w:cs="Arial"/>
      <w:b/>
      <w:i/>
      <w:sz w:val="24"/>
      <w:szCs w:val="24"/>
    </w:rPr>
  </w:style>
  <w:style w:type="paragraph" w:customStyle="1" w:styleId="COMBody">
    <w:name w:val="COM Body"/>
    <w:basedOn w:val="Normal"/>
    <w:link w:val="COMBodyChar"/>
    <w:qFormat/>
    <w:rsid w:val="004C5706"/>
  </w:style>
  <w:style w:type="character" w:customStyle="1" w:styleId="COMBodyChar">
    <w:name w:val="COM Body Char"/>
    <w:basedOn w:val="DefaultParagraphFont"/>
    <w:link w:val="COMBody"/>
    <w:rsid w:val="004C5706"/>
    <w:rPr>
      <w:rFonts w:ascii="Calibri" w:hAnsi="Calibri" w:cs="Arial"/>
      <w:sz w:val="24"/>
      <w:szCs w:val="24"/>
    </w:rPr>
  </w:style>
  <w:style w:type="character" w:customStyle="1" w:styleId="fontstyle01">
    <w:name w:val="fontstyle01"/>
    <w:basedOn w:val="DefaultParagraphFont"/>
    <w:rsid w:val="004C5706"/>
    <w:rPr>
      <w:rFonts w:ascii="ArialNarrow" w:hAnsi="ArialNarrow" w:hint="default"/>
      <w:b w:val="0"/>
      <w:bCs w:val="0"/>
      <w:i w:val="0"/>
      <w:iCs w:val="0"/>
      <w:color w:val="000000"/>
      <w:sz w:val="20"/>
      <w:szCs w:val="20"/>
    </w:rPr>
  </w:style>
  <w:style w:type="character" w:customStyle="1" w:styleId="tabchar">
    <w:name w:val="tabchar"/>
    <w:basedOn w:val="DefaultParagraphFont"/>
    <w:rsid w:val="004C5706"/>
  </w:style>
  <w:style w:type="character" w:customStyle="1" w:styleId="eop">
    <w:name w:val="eop"/>
    <w:basedOn w:val="DefaultParagraphFont"/>
    <w:rsid w:val="004C5706"/>
  </w:style>
  <w:style w:type="character" w:customStyle="1" w:styleId="Heading1Char">
    <w:name w:val="Heading 1 Char"/>
    <w:basedOn w:val="DefaultParagraphFont"/>
    <w:link w:val="Heading1"/>
    <w:rsid w:val="004C5706"/>
    <w:rPr>
      <w:rFonts w:ascii="Calibri" w:hAnsi="Calibri" w:cs="Arial"/>
      <w:b/>
      <w:caps/>
      <w:sz w:val="32"/>
      <w:szCs w:val="24"/>
    </w:rPr>
  </w:style>
  <w:style w:type="character" w:customStyle="1" w:styleId="Heading3Char">
    <w:name w:val="Heading 3 Char"/>
    <w:basedOn w:val="DefaultParagraphFont"/>
    <w:link w:val="Heading3"/>
    <w:uiPriority w:val="9"/>
    <w:rsid w:val="004C5706"/>
    <w:rPr>
      <w:rFonts w:ascii="Calibri" w:hAnsi="Calibri" w:cs="Arial"/>
      <w:sz w:val="24"/>
      <w:szCs w:val="24"/>
      <w:u w:val="single"/>
    </w:rPr>
  </w:style>
  <w:style w:type="numbering" w:customStyle="1" w:styleId="HeadingListStyle">
    <w:name w:val="Heading List Style"/>
    <w:uiPriority w:val="99"/>
    <w:rsid w:val="004C5706"/>
    <w:pPr>
      <w:numPr>
        <w:numId w:val="14"/>
      </w:numPr>
    </w:pPr>
  </w:style>
  <w:style w:type="paragraph" w:customStyle="1" w:styleId="Heading1Alt">
    <w:name w:val="Heading 1 Alt"/>
    <w:basedOn w:val="Heading1"/>
    <w:qFormat/>
    <w:rsid w:val="004C5706"/>
    <w:pPr>
      <w:keepNext/>
      <w:keepLines/>
      <w:pageBreakBefore/>
      <w:tabs>
        <w:tab w:val="left" w:pos="1134"/>
      </w:tabs>
      <w:spacing w:before="240" w:after="240" w:line="360" w:lineRule="auto"/>
      <w:ind w:left="2268" w:hanging="2268"/>
      <w:jc w:val="left"/>
    </w:pPr>
    <w:rPr>
      <w:rFonts w:ascii="Courier New" w:eastAsiaTheme="majorEastAsia" w:hAnsi="Courier New" w:cstheme="majorBidi"/>
      <w:color w:val="000000" w:themeColor="text1"/>
      <w:sz w:val="36"/>
      <w:szCs w:val="32"/>
      <w:lang w:eastAsia="en-US"/>
    </w:rPr>
  </w:style>
  <w:style w:type="paragraph" w:customStyle="1" w:styleId="Heading2Alt">
    <w:name w:val="Heading 2 Alt"/>
    <w:basedOn w:val="Heading2"/>
    <w:qFormat/>
    <w:rsid w:val="004C5706"/>
    <w:pPr>
      <w:keepNext/>
      <w:keepLines/>
      <w:spacing w:line="360" w:lineRule="auto"/>
      <w:ind w:left="1134" w:hanging="1134"/>
      <w:jc w:val="left"/>
    </w:pPr>
    <w:rPr>
      <w:rFonts w:ascii="SimSun" w:eastAsiaTheme="majorEastAsia" w:hAnsi="SimSun" w:cstheme="majorBidi"/>
      <w:i w:val="0"/>
      <w:color w:val="000000" w:themeColor="text1"/>
      <w:sz w:val="32"/>
      <w:szCs w:val="26"/>
      <w:lang w:eastAsia="en-US"/>
    </w:rPr>
  </w:style>
  <w:style w:type="paragraph" w:customStyle="1" w:styleId="Heading3Alt">
    <w:name w:val="Heading 3 Alt"/>
    <w:basedOn w:val="Heading3"/>
    <w:qFormat/>
    <w:rsid w:val="004C5706"/>
    <w:pPr>
      <w:keepNext/>
      <w:keepLines/>
      <w:spacing w:before="40" w:line="360" w:lineRule="auto"/>
      <w:ind w:left="1134" w:hanging="1134"/>
      <w:jc w:val="left"/>
    </w:pPr>
    <w:rPr>
      <w:rFonts w:ascii="SimSun" w:eastAsiaTheme="majorEastAsia" w:hAnsi="SimSun" w:cstheme="majorBidi"/>
      <w:b/>
      <w:color w:val="000000" w:themeColor="text1"/>
      <w:sz w:val="28"/>
      <w:u w:val="none"/>
      <w:lang w:eastAsia="en-US"/>
    </w:rPr>
  </w:style>
  <w:style w:type="table" w:customStyle="1" w:styleId="TableGrid13">
    <w:name w:val="Table Grid13"/>
    <w:basedOn w:val="TableNormal"/>
    <w:next w:val="TableGrid"/>
    <w:uiPriority w:val="59"/>
    <w:rsid w:val="004C5706"/>
    <w:rPr>
      <w:rFonts w:ascii="Calibri Light" w:eastAsia="Calibri Light" w:hAnsi="Calibri Light" w:cs="Cordia New"/>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21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SubsectionHeadingChar">
    <w:name w:val="3-Subsection Heading Char"/>
    <w:basedOn w:val="DefaultParagraphFont"/>
    <w:link w:val="3-SubsectionHeading"/>
    <w:locked/>
    <w:rsid w:val="00E411FB"/>
    <w:rPr>
      <w:rFonts w:asciiTheme="minorHAnsi" w:eastAsiaTheme="majorEastAsia" w:hAnsiTheme="minorHAnsi" w:cstheme="majorBidi"/>
      <w:b/>
      <w:i/>
      <w:color w:val="365F91" w:themeColor="accent1" w:themeShade="BF"/>
      <w:spacing w:val="5"/>
      <w:kern w:val="28"/>
      <w:sz w:val="28"/>
      <w:szCs w:val="36"/>
      <w:lang w:eastAsia="en-US"/>
    </w:rPr>
  </w:style>
  <w:style w:type="paragraph" w:customStyle="1" w:styleId="3-SubsectionHeading">
    <w:name w:val="3-Subsection Heading"/>
    <w:basedOn w:val="Heading2"/>
    <w:next w:val="Normal"/>
    <w:link w:val="3-SubsectionHeadingChar"/>
    <w:qFormat/>
    <w:rsid w:val="00E411FB"/>
    <w:pPr>
      <w:keepNext/>
      <w:spacing w:before="120" w:after="120"/>
      <w:outlineLvl w:val="9"/>
    </w:pPr>
    <w:rPr>
      <w:rFonts w:asciiTheme="minorHAnsi" w:eastAsiaTheme="majorEastAsia" w:hAnsiTheme="minorHAnsi" w:cstheme="majorBidi"/>
      <w:color w:val="365F91" w:themeColor="accent1" w:themeShade="BF"/>
      <w:spacing w:val="5"/>
      <w:kern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4638">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35939564">
      <w:bodyDiv w:val="1"/>
      <w:marLeft w:val="0"/>
      <w:marRight w:val="0"/>
      <w:marTop w:val="0"/>
      <w:marBottom w:val="0"/>
      <w:divBdr>
        <w:top w:val="none" w:sz="0" w:space="0" w:color="auto"/>
        <w:left w:val="none" w:sz="0" w:space="0" w:color="auto"/>
        <w:bottom w:val="none" w:sz="0" w:space="0" w:color="auto"/>
        <w:right w:val="none" w:sz="0" w:space="0" w:color="auto"/>
      </w:divBdr>
    </w:div>
    <w:div w:id="256057601">
      <w:bodyDiv w:val="1"/>
      <w:marLeft w:val="0"/>
      <w:marRight w:val="0"/>
      <w:marTop w:val="0"/>
      <w:marBottom w:val="0"/>
      <w:divBdr>
        <w:top w:val="none" w:sz="0" w:space="0" w:color="auto"/>
        <w:left w:val="none" w:sz="0" w:space="0" w:color="auto"/>
        <w:bottom w:val="none" w:sz="0" w:space="0" w:color="auto"/>
        <w:right w:val="none" w:sz="0" w:space="0" w:color="auto"/>
      </w:divBdr>
      <w:divsChild>
        <w:div w:id="2026783729">
          <w:marLeft w:val="360"/>
          <w:marRight w:val="0"/>
          <w:marTop w:val="200"/>
          <w:marBottom w:val="0"/>
          <w:divBdr>
            <w:top w:val="none" w:sz="0" w:space="0" w:color="auto"/>
            <w:left w:val="none" w:sz="0" w:space="0" w:color="auto"/>
            <w:bottom w:val="none" w:sz="0" w:space="0" w:color="auto"/>
            <w:right w:val="none" w:sz="0" w:space="0" w:color="auto"/>
          </w:divBdr>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2510755">
      <w:bodyDiv w:val="1"/>
      <w:marLeft w:val="0"/>
      <w:marRight w:val="0"/>
      <w:marTop w:val="0"/>
      <w:marBottom w:val="0"/>
      <w:divBdr>
        <w:top w:val="none" w:sz="0" w:space="0" w:color="auto"/>
        <w:left w:val="none" w:sz="0" w:space="0" w:color="auto"/>
        <w:bottom w:val="none" w:sz="0" w:space="0" w:color="auto"/>
        <w:right w:val="none" w:sz="0" w:space="0" w:color="auto"/>
      </w:divBdr>
    </w:div>
    <w:div w:id="432897319">
      <w:bodyDiv w:val="1"/>
      <w:marLeft w:val="0"/>
      <w:marRight w:val="0"/>
      <w:marTop w:val="0"/>
      <w:marBottom w:val="0"/>
      <w:divBdr>
        <w:top w:val="none" w:sz="0" w:space="0" w:color="auto"/>
        <w:left w:val="none" w:sz="0" w:space="0" w:color="auto"/>
        <w:bottom w:val="none" w:sz="0" w:space="0" w:color="auto"/>
        <w:right w:val="none" w:sz="0" w:space="0" w:color="auto"/>
      </w:divBdr>
    </w:div>
    <w:div w:id="439839771">
      <w:bodyDiv w:val="1"/>
      <w:marLeft w:val="0"/>
      <w:marRight w:val="0"/>
      <w:marTop w:val="0"/>
      <w:marBottom w:val="0"/>
      <w:divBdr>
        <w:top w:val="none" w:sz="0" w:space="0" w:color="auto"/>
        <w:left w:val="none" w:sz="0" w:space="0" w:color="auto"/>
        <w:bottom w:val="none" w:sz="0" w:space="0" w:color="auto"/>
        <w:right w:val="none" w:sz="0" w:space="0" w:color="auto"/>
      </w:divBdr>
    </w:div>
    <w:div w:id="454181536">
      <w:bodyDiv w:val="1"/>
      <w:marLeft w:val="0"/>
      <w:marRight w:val="0"/>
      <w:marTop w:val="0"/>
      <w:marBottom w:val="0"/>
      <w:divBdr>
        <w:top w:val="none" w:sz="0" w:space="0" w:color="auto"/>
        <w:left w:val="none" w:sz="0" w:space="0" w:color="auto"/>
        <w:bottom w:val="none" w:sz="0" w:space="0" w:color="auto"/>
        <w:right w:val="none" w:sz="0" w:space="0" w:color="auto"/>
      </w:divBdr>
    </w:div>
    <w:div w:id="493031192">
      <w:bodyDiv w:val="1"/>
      <w:marLeft w:val="0"/>
      <w:marRight w:val="0"/>
      <w:marTop w:val="0"/>
      <w:marBottom w:val="0"/>
      <w:divBdr>
        <w:top w:val="none" w:sz="0" w:space="0" w:color="auto"/>
        <w:left w:val="none" w:sz="0" w:space="0" w:color="auto"/>
        <w:bottom w:val="none" w:sz="0" w:space="0" w:color="auto"/>
        <w:right w:val="none" w:sz="0" w:space="0" w:color="auto"/>
      </w:divBdr>
    </w:div>
    <w:div w:id="559052016">
      <w:bodyDiv w:val="1"/>
      <w:marLeft w:val="0"/>
      <w:marRight w:val="0"/>
      <w:marTop w:val="0"/>
      <w:marBottom w:val="0"/>
      <w:divBdr>
        <w:top w:val="none" w:sz="0" w:space="0" w:color="auto"/>
        <w:left w:val="none" w:sz="0" w:space="0" w:color="auto"/>
        <w:bottom w:val="none" w:sz="0" w:space="0" w:color="auto"/>
        <w:right w:val="none" w:sz="0" w:space="0" w:color="auto"/>
      </w:divBdr>
    </w:div>
    <w:div w:id="580483480">
      <w:bodyDiv w:val="1"/>
      <w:marLeft w:val="0"/>
      <w:marRight w:val="0"/>
      <w:marTop w:val="0"/>
      <w:marBottom w:val="0"/>
      <w:divBdr>
        <w:top w:val="none" w:sz="0" w:space="0" w:color="auto"/>
        <w:left w:val="none" w:sz="0" w:space="0" w:color="auto"/>
        <w:bottom w:val="none" w:sz="0" w:space="0" w:color="auto"/>
        <w:right w:val="none" w:sz="0" w:space="0" w:color="auto"/>
      </w:divBdr>
    </w:div>
    <w:div w:id="658340333">
      <w:bodyDiv w:val="1"/>
      <w:marLeft w:val="0"/>
      <w:marRight w:val="0"/>
      <w:marTop w:val="0"/>
      <w:marBottom w:val="0"/>
      <w:divBdr>
        <w:top w:val="none" w:sz="0" w:space="0" w:color="auto"/>
        <w:left w:val="none" w:sz="0" w:space="0" w:color="auto"/>
        <w:bottom w:val="none" w:sz="0" w:space="0" w:color="auto"/>
        <w:right w:val="none" w:sz="0" w:space="0" w:color="auto"/>
      </w:divBdr>
      <w:divsChild>
        <w:div w:id="60951230">
          <w:marLeft w:val="360"/>
          <w:marRight w:val="0"/>
          <w:marTop w:val="200"/>
          <w:marBottom w:val="0"/>
          <w:divBdr>
            <w:top w:val="none" w:sz="0" w:space="0" w:color="auto"/>
            <w:left w:val="none" w:sz="0" w:space="0" w:color="auto"/>
            <w:bottom w:val="none" w:sz="0" w:space="0" w:color="auto"/>
            <w:right w:val="none" w:sz="0" w:space="0" w:color="auto"/>
          </w:divBdr>
        </w:div>
      </w:divsChild>
    </w:div>
    <w:div w:id="666591988">
      <w:bodyDiv w:val="1"/>
      <w:marLeft w:val="0"/>
      <w:marRight w:val="0"/>
      <w:marTop w:val="0"/>
      <w:marBottom w:val="0"/>
      <w:divBdr>
        <w:top w:val="none" w:sz="0" w:space="0" w:color="auto"/>
        <w:left w:val="none" w:sz="0" w:space="0" w:color="auto"/>
        <w:bottom w:val="none" w:sz="0" w:space="0" w:color="auto"/>
        <w:right w:val="none" w:sz="0" w:space="0" w:color="auto"/>
      </w:divBdr>
    </w:div>
    <w:div w:id="798184224">
      <w:bodyDiv w:val="1"/>
      <w:marLeft w:val="0"/>
      <w:marRight w:val="0"/>
      <w:marTop w:val="0"/>
      <w:marBottom w:val="0"/>
      <w:divBdr>
        <w:top w:val="none" w:sz="0" w:space="0" w:color="auto"/>
        <w:left w:val="none" w:sz="0" w:space="0" w:color="auto"/>
        <w:bottom w:val="none" w:sz="0" w:space="0" w:color="auto"/>
        <w:right w:val="none" w:sz="0" w:space="0" w:color="auto"/>
      </w:divBdr>
    </w:div>
    <w:div w:id="79910610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10846376">
      <w:bodyDiv w:val="1"/>
      <w:marLeft w:val="0"/>
      <w:marRight w:val="0"/>
      <w:marTop w:val="0"/>
      <w:marBottom w:val="0"/>
      <w:divBdr>
        <w:top w:val="none" w:sz="0" w:space="0" w:color="auto"/>
        <w:left w:val="none" w:sz="0" w:space="0" w:color="auto"/>
        <w:bottom w:val="none" w:sz="0" w:space="0" w:color="auto"/>
        <w:right w:val="none" w:sz="0" w:space="0" w:color="auto"/>
      </w:divBdr>
    </w:div>
    <w:div w:id="969475443">
      <w:bodyDiv w:val="1"/>
      <w:marLeft w:val="0"/>
      <w:marRight w:val="0"/>
      <w:marTop w:val="0"/>
      <w:marBottom w:val="0"/>
      <w:divBdr>
        <w:top w:val="none" w:sz="0" w:space="0" w:color="auto"/>
        <w:left w:val="none" w:sz="0" w:space="0" w:color="auto"/>
        <w:bottom w:val="none" w:sz="0" w:space="0" w:color="auto"/>
        <w:right w:val="none" w:sz="0" w:space="0" w:color="auto"/>
      </w:divBdr>
    </w:div>
    <w:div w:id="1082751433">
      <w:bodyDiv w:val="1"/>
      <w:marLeft w:val="0"/>
      <w:marRight w:val="0"/>
      <w:marTop w:val="0"/>
      <w:marBottom w:val="0"/>
      <w:divBdr>
        <w:top w:val="none" w:sz="0" w:space="0" w:color="auto"/>
        <w:left w:val="none" w:sz="0" w:space="0" w:color="auto"/>
        <w:bottom w:val="none" w:sz="0" w:space="0" w:color="auto"/>
        <w:right w:val="none" w:sz="0" w:space="0" w:color="auto"/>
      </w:divBdr>
      <w:divsChild>
        <w:div w:id="431584099">
          <w:marLeft w:val="0"/>
          <w:marRight w:val="0"/>
          <w:marTop w:val="0"/>
          <w:marBottom w:val="0"/>
          <w:divBdr>
            <w:top w:val="none" w:sz="0" w:space="0" w:color="auto"/>
            <w:left w:val="none" w:sz="0" w:space="0" w:color="auto"/>
            <w:bottom w:val="none" w:sz="0" w:space="0" w:color="auto"/>
            <w:right w:val="none" w:sz="0" w:space="0" w:color="auto"/>
          </w:divBdr>
        </w:div>
      </w:divsChild>
    </w:div>
    <w:div w:id="1094398921">
      <w:bodyDiv w:val="1"/>
      <w:marLeft w:val="0"/>
      <w:marRight w:val="0"/>
      <w:marTop w:val="0"/>
      <w:marBottom w:val="0"/>
      <w:divBdr>
        <w:top w:val="none" w:sz="0" w:space="0" w:color="auto"/>
        <w:left w:val="none" w:sz="0" w:space="0" w:color="auto"/>
        <w:bottom w:val="none" w:sz="0" w:space="0" w:color="auto"/>
        <w:right w:val="none" w:sz="0" w:space="0" w:color="auto"/>
      </w:divBdr>
    </w:div>
    <w:div w:id="111452201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35436833">
      <w:bodyDiv w:val="1"/>
      <w:marLeft w:val="0"/>
      <w:marRight w:val="0"/>
      <w:marTop w:val="0"/>
      <w:marBottom w:val="0"/>
      <w:divBdr>
        <w:top w:val="none" w:sz="0" w:space="0" w:color="auto"/>
        <w:left w:val="none" w:sz="0" w:space="0" w:color="auto"/>
        <w:bottom w:val="none" w:sz="0" w:space="0" w:color="auto"/>
        <w:right w:val="none" w:sz="0" w:space="0" w:color="auto"/>
      </w:divBdr>
    </w:div>
    <w:div w:id="1241646473">
      <w:bodyDiv w:val="1"/>
      <w:marLeft w:val="0"/>
      <w:marRight w:val="0"/>
      <w:marTop w:val="0"/>
      <w:marBottom w:val="0"/>
      <w:divBdr>
        <w:top w:val="none" w:sz="0" w:space="0" w:color="auto"/>
        <w:left w:val="none" w:sz="0" w:space="0" w:color="auto"/>
        <w:bottom w:val="none" w:sz="0" w:space="0" w:color="auto"/>
        <w:right w:val="none" w:sz="0" w:space="0" w:color="auto"/>
      </w:divBdr>
    </w:div>
    <w:div w:id="1255167319">
      <w:bodyDiv w:val="1"/>
      <w:marLeft w:val="0"/>
      <w:marRight w:val="0"/>
      <w:marTop w:val="0"/>
      <w:marBottom w:val="0"/>
      <w:divBdr>
        <w:top w:val="none" w:sz="0" w:space="0" w:color="auto"/>
        <w:left w:val="none" w:sz="0" w:space="0" w:color="auto"/>
        <w:bottom w:val="none" w:sz="0" w:space="0" w:color="auto"/>
        <w:right w:val="none" w:sz="0" w:space="0" w:color="auto"/>
      </w:divBdr>
    </w:div>
    <w:div w:id="1295675261">
      <w:bodyDiv w:val="1"/>
      <w:marLeft w:val="0"/>
      <w:marRight w:val="0"/>
      <w:marTop w:val="0"/>
      <w:marBottom w:val="0"/>
      <w:divBdr>
        <w:top w:val="none" w:sz="0" w:space="0" w:color="auto"/>
        <w:left w:val="none" w:sz="0" w:space="0" w:color="auto"/>
        <w:bottom w:val="none" w:sz="0" w:space="0" w:color="auto"/>
        <w:right w:val="none" w:sz="0" w:space="0" w:color="auto"/>
      </w:divBdr>
    </w:div>
    <w:div w:id="1303853641">
      <w:bodyDiv w:val="1"/>
      <w:marLeft w:val="0"/>
      <w:marRight w:val="0"/>
      <w:marTop w:val="0"/>
      <w:marBottom w:val="0"/>
      <w:divBdr>
        <w:top w:val="none" w:sz="0" w:space="0" w:color="auto"/>
        <w:left w:val="none" w:sz="0" w:space="0" w:color="auto"/>
        <w:bottom w:val="none" w:sz="0" w:space="0" w:color="auto"/>
        <w:right w:val="none" w:sz="0" w:space="0" w:color="auto"/>
      </w:divBdr>
    </w:div>
    <w:div w:id="1339039106">
      <w:bodyDiv w:val="1"/>
      <w:marLeft w:val="0"/>
      <w:marRight w:val="0"/>
      <w:marTop w:val="0"/>
      <w:marBottom w:val="0"/>
      <w:divBdr>
        <w:top w:val="none" w:sz="0" w:space="0" w:color="auto"/>
        <w:left w:val="none" w:sz="0" w:space="0" w:color="auto"/>
        <w:bottom w:val="none" w:sz="0" w:space="0" w:color="auto"/>
        <w:right w:val="none" w:sz="0" w:space="0" w:color="auto"/>
      </w:divBdr>
    </w:div>
    <w:div w:id="1356689223">
      <w:bodyDiv w:val="1"/>
      <w:marLeft w:val="0"/>
      <w:marRight w:val="0"/>
      <w:marTop w:val="0"/>
      <w:marBottom w:val="0"/>
      <w:divBdr>
        <w:top w:val="none" w:sz="0" w:space="0" w:color="auto"/>
        <w:left w:val="none" w:sz="0" w:space="0" w:color="auto"/>
        <w:bottom w:val="none" w:sz="0" w:space="0" w:color="auto"/>
        <w:right w:val="none" w:sz="0" w:space="0" w:color="auto"/>
      </w:divBdr>
      <w:divsChild>
        <w:div w:id="2111778217">
          <w:marLeft w:val="1800"/>
          <w:marRight w:val="0"/>
          <w:marTop w:val="100"/>
          <w:marBottom w:val="0"/>
          <w:divBdr>
            <w:top w:val="none" w:sz="0" w:space="0" w:color="auto"/>
            <w:left w:val="none" w:sz="0" w:space="0" w:color="auto"/>
            <w:bottom w:val="none" w:sz="0" w:space="0" w:color="auto"/>
            <w:right w:val="none" w:sz="0" w:space="0" w:color="auto"/>
          </w:divBdr>
        </w:div>
      </w:divsChild>
    </w:div>
    <w:div w:id="1373647963">
      <w:bodyDiv w:val="1"/>
      <w:marLeft w:val="0"/>
      <w:marRight w:val="0"/>
      <w:marTop w:val="0"/>
      <w:marBottom w:val="0"/>
      <w:divBdr>
        <w:top w:val="none" w:sz="0" w:space="0" w:color="auto"/>
        <w:left w:val="none" w:sz="0" w:space="0" w:color="auto"/>
        <w:bottom w:val="none" w:sz="0" w:space="0" w:color="auto"/>
        <w:right w:val="none" w:sz="0" w:space="0" w:color="auto"/>
      </w:divBdr>
    </w:div>
    <w:div w:id="1386835167">
      <w:bodyDiv w:val="1"/>
      <w:marLeft w:val="0"/>
      <w:marRight w:val="0"/>
      <w:marTop w:val="0"/>
      <w:marBottom w:val="0"/>
      <w:divBdr>
        <w:top w:val="none" w:sz="0" w:space="0" w:color="auto"/>
        <w:left w:val="none" w:sz="0" w:space="0" w:color="auto"/>
        <w:bottom w:val="none" w:sz="0" w:space="0" w:color="auto"/>
        <w:right w:val="none" w:sz="0" w:space="0" w:color="auto"/>
      </w:divBdr>
    </w:div>
    <w:div w:id="1453792340">
      <w:bodyDiv w:val="1"/>
      <w:marLeft w:val="0"/>
      <w:marRight w:val="0"/>
      <w:marTop w:val="0"/>
      <w:marBottom w:val="0"/>
      <w:divBdr>
        <w:top w:val="none" w:sz="0" w:space="0" w:color="auto"/>
        <w:left w:val="none" w:sz="0" w:space="0" w:color="auto"/>
        <w:bottom w:val="none" w:sz="0" w:space="0" w:color="auto"/>
        <w:right w:val="none" w:sz="0" w:space="0" w:color="auto"/>
      </w:divBdr>
    </w:div>
    <w:div w:id="1559363784">
      <w:bodyDiv w:val="1"/>
      <w:marLeft w:val="0"/>
      <w:marRight w:val="0"/>
      <w:marTop w:val="0"/>
      <w:marBottom w:val="0"/>
      <w:divBdr>
        <w:top w:val="none" w:sz="0" w:space="0" w:color="auto"/>
        <w:left w:val="none" w:sz="0" w:space="0" w:color="auto"/>
        <w:bottom w:val="none" w:sz="0" w:space="0" w:color="auto"/>
        <w:right w:val="none" w:sz="0" w:space="0" w:color="auto"/>
      </w:divBdr>
    </w:div>
    <w:div w:id="1575355431">
      <w:bodyDiv w:val="1"/>
      <w:marLeft w:val="0"/>
      <w:marRight w:val="0"/>
      <w:marTop w:val="0"/>
      <w:marBottom w:val="0"/>
      <w:divBdr>
        <w:top w:val="none" w:sz="0" w:space="0" w:color="auto"/>
        <w:left w:val="none" w:sz="0" w:space="0" w:color="auto"/>
        <w:bottom w:val="none" w:sz="0" w:space="0" w:color="auto"/>
        <w:right w:val="none" w:sz="0" w:space="0" w:color="auto"/>
      </w:divBdr>
    </w:div>
    <w:div w:id="1714647034">
      <w:bodyDiv w:val="1"/>
      <w:marLeft w:val="0"/>
      <w:marRight w:val="0"/>
      <w:marTop w:val="0"/>
      <w:marBottom w:val="0"/>
      <w:divBdr>
        <w:top w:val="none" w:sz="0" w:space="0" w:color="auto"/>
        <w:left w:val="none" w:sz="0" w:space="0" w:color="auto"/>
        <w:bottom w:val="none" w:sz="0" w:space="0" w:color="auto"/>
        <w:right w:val="none" w:sz="0" w:space="0" w:color="auto"/>
      </w:divBdr>
    </w:div>
    <w:div w:id="1813791798">
      <w:bodyDiv w:val="1"/>
      <w:marLeft w:val="0"/>
      <w:marRight w:val="0"/>
      <w:marTop w:val="0"/>
      <w:marBottom w:val="0"/>
      <w:divBdr>
        <w:top w:val="none" w:sz="0" w:space="0" w:color="auto"/>
        <w:left w:val="none" w:sz="0" w:space="0" w:color="auto"/>
        <w:bottom w:val="none" w:sz="0" w:space="0" w:color="auto"/>
        <w:right w:val="none" w:sz="0" w:space="0" w:color="auto"/>
      </w:divBdr>
    </w:div>
    <w:div w:id="187892706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03580645">
      <w:bodyDiv w:val="1"/>
      <w:marLeft w:val="0"/>
      <w:marRight w:val="0"/>
      <w:marTop w:val="0"/>
      <w:marBottom w:val="0"/>
      <w:divBdr>
        <w:top w:val="none" w:sz="0" w:space="0" w:color="auto"/>
        <w:left w:val="none" w:sz="0" w:space="0" w:color="auto"/>
        <w:bottom w:val="none" w:sz="0" w:space="0" w:color="auto"/>
        <w:right w:val="none" w:sz="0" w:space="0" w:color="auto"/>
      </w:divBdr>
    </w:div>
    <w:div w:id="2007051435">
      <w:bodyDiv w:val="1"/>
      <w:marLeft w:val="0"/>
      <w:marRight w:val="0"/>
      <w:marTop w:val="0"/>
      <w:marBottom w:val="0"/>
      <w:divBdr>
        <w:top w:val="none" w:sz="0" w:space="0" w:color="auto"/>
        <w:left w:val="none" w:sz="0" w:space="0" w:color="auto"/>
        <w:bottom w:val="none" w:sz="0" w:space="0" w:color="auto"/>
        <w:right w:val="none" w:sz="0" w:space="0" w:color="auto"/>
      </w:divBdr>
    </w:div>
    <w:div w:id="2008749199">
      <w:bodyDiv w:val="1"/>
      <w:marLeft w:val="0"/>
      <w:marRight w:val="0"/>
      <w:marTop w:val="0"/>
      <w:marBottom w:val="0"/>
      <w:divBdr>
        <w:top w:val="none" w:sz="0" w:space="0" w:color="auto"/>
        <w:left w:val="none" w:sz="0" w:space="0" w:color="auto"/>
        <w:bottom w:val="none" w:sz="0" w:space="0" w:color="auto"/>
        <w:right w:val="none" w:sz="0" w:space="0" w:color="auto"/>
      </w:divBdr>
    </w:div>
    <w:div w:id="2032603130">
      <w:bodyDiv w:val="1"/>
      <w:marLeft w:val="0"/>
      <w:marRight w:val="0"/>
      <w:marTop w:val="0"/>
      <w:marBottom w:val="0"/>
      <w:divBdr>
        <w:top w:val="none" w:sz="0" w:space="0" w:color="auto"/>
        <w:left w:val="none" w:sz="0" w:space="0" w:color="auto"/>
        <w:bottom w:val="none" w:sz="0" w:space="0" w:color="auto"/>
        <w:right w:val="none" w:sz="0" w:space="0" w:color="auto"/>
      </w:divBdr>
    </w:div>
    <w:div w:id="2085834227">
      <w:bodyDiv w:val="1"/>
      <w:marLeft w:val="0"/>
      <w:marRight w:val="0"/>
      <w:marTop w:val="0"/>
      <w:marBottom w:val="0"/>
      <w:divBdr>
        <w:top w:val="none" w:sz="0" w:space="0" w:color="auto"/>
        <w:left w:val="none" w:sz="0" w:space="0" w:color="auto"/>
        <w:bottom w:val="none" w:sz="0" w:space="0" w:color="auto"/>
        <w:right w:val="none" w:sz="0" w:space="0" w:color="auto"/>
      </w:divBdr>
    </w:div>
    <w:div w:id="20961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DC014-8732-43C3-9245-71FCA5766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12431</Words>
  <Characters>70517</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2023-10-23T03:08:00Z</dcterms:created>
  <dcterms:modified xsi:type="dcterms:W3CDTF">2023-10-23T03:08:00Z</dcterms:modified>
</cp:coreProperties>
</file>