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46730022" w:rsidR="00872E8F" w:rsidRPr="007D4EB1" w:rsidRDefault="00035079" w:rsidP="00107E24">
      <w:pPr>
        <w:pStyle w:val="1MainTitle"/>
        <w:ind w:left="1134" w:hanging="1134"/>
        <w:jc w:val="left"/>
      </w:pPr>
      <w:r w:rsidRPr="007D4EB1">
        <w:t>11.0</w:t>
      </w:r>
      <w:r w:rsidR="00714D16" w:rsidRPr="007D4EB1">
        <w:t>2</w:t>
      </w:r>
      <w:r w:rsidR="00173FDF" w:rsidRPr="007D4EB1">
        <w:tab/>
      </w:r>
      <w:r w:rsidR="00714D16" w:rsidRPr="007D4EB1">
        <w:t>IXEKIZUMAB</w:t>
      </w:r>
      <w:r w:rsidR="70971A32" w:rsidRPr="007D4EB1">
        <w:t>,</w:t>
      </w:r>
      <w:r w:rsidR="00107E24" w:rsidRPr="007D4EB1">
        <w:br/>
      </w:r>
      <w:r w:rsidR="00714D16" w:rsidRPr="007D4EB1">
        <w:t>Injection 80 mg in 1 mL single dose pre-filled pen</w:t>
      </w:r>
      <w:r w:rsidR="00173FDF" w:rsidRPr="007D4EB1">
        <w:t>,</w:t>
      </w:r>
      <w:r w:rsidR="00107E24" w:rsidRPr="007D4EB1">
        <w:br/>
      </w:r>
      <w:r w:rsidR="00714D16" w:rsidRPr="007D4EB1">
        <w:t>Taltz</w:t>
      </w:r>
      <w:r w:rsidR="70971A32" w:rsidRPr="007D4EB1">
        <w:t>®,</w:t>
      </w:r>
      <w:r w:rsidR="00173FDF" w:rsidRPr="007D4EB1">
        <w:br/>
      </w:r>
      <w:r w:rsidR="00107E24" w:rsidRPr="007D4EB1">
        <w:t>Eli Lilly Australia Pty Ltd</w:t>
      </w:r>
    </w:p>
    <w:p w14:paraId="5F4D54C1" w14:textId="29C95DE9" w:rsidR="00E11F44" w:rsidRPr="007D4EB1" w:rsidRDefault="007E490F" w:rsidP="00CD6257">
      <w:pPr>
        <w:pStyle w:val="2-SectionHeading"/>
        <w:rPr>
          <w:rFonts w:cstheme="minorHAnsi"/>
          <w:color w:val="FF0000"/>
        </w:rPr>
      </w:pPr>
      <w:r w:rsidRPr="007D4EB1">
        <w:t xml:space="preserve">Purpose of </w:t>
      </w:r>
      <w:r w:rsidR="00FA0B04" w:rsidRPr="007D4EB1">
        <w:t>Submission</w:t>
      </w:r>
    </w:p>
    <w:p w14:paraId="50FAB4A3" w14:textId="0AC3A3D9" w:rsidR="007E490F" w:rsidRPr="007D4EB1" w:rsidRDefault="006C6C10" w:rsidP="007B249F">
      <w:pPr>
        <w:pStyle w:val="3Bodytext"/>
      </w:pPr>
      <w:r w:rsidRPr="007D4EB1">
        <w:t xml:space="preserve">The Category </w:t>
      </w:r>
      <w:r w:rsidR="00173FDF" w:rsidRPr="007D4EB1">
        <w:t>4</w:t>
      </w:r>
      <w:r w:rsidRPr="007D4EB1">
        <w:t xml:space="preserve"> submission </w:t>
      </w:r>
      <w:r w:rsidR="00244BEC" w:rsidRPr="007D4EB1">
        <w:t>requested</w:t>
      </w:r>
      <w:r w:rsidRPr="007D4EB1">
        <w:t xml:space="preserve"> </w:t>
      </w:r>
      <w:r w:rsidR="00173FDF" w:rsidRPr="007D4EB1">
        <w:t>the PBAC to re</w:t>
      </w:r>
      <w:r w:rsidR="00352DF5" w:rsidRPr="007D4EB1">
        <w:t>vise</w:t>
      </w:r>
      <w:r w:rsidR="00FE689B" w:rsidRPr="007D4EB1">
        <w:t xml:space="preserve"> </w:t>
      </w:r>
      <w:r w:rsidR="00BD4EC9" w:rsidRPr="007D4EB1">
        <w:t xml:space="preserve">the maximum quantity (units) of </w:t>
      </w:r>
      <w:r w:rsidR="00FE689B" w:rsidRPr="007D4EB1">
        <w:t xml:space="preserve">its </w:t>
      </w:r>
      <w:r w:rsidR="00352DF5" w:rsidRPr="007D4EB1">
        <w:t xml:space="preserve">November 2021 </w:t>
      </w:r>
      <w:r w:rsidR="00FE689B" w:rsidRPr="007D4EB1">
        <w:t>recommendation to</w:t>
      </w:r>
      <w:r w:rsidR="00173FDF" w:rsidRPr="007D4EB1">
        <w:t xml:space="preserve"> list ixekizumab (IXE) for </w:t>
      </w:r>
      <w:r w:rsidR="00086735" w:rsidRPr="007D4EB1">
        <w:t xml:space="preserve">the treatment of patients with </w:t>
      </w:r>
      <w:r w:rsidR="00173FDF" w:rsidRPr="007D4EB1">
        <w:t>non-radiographic ankylosing spondyloarthritis (</w:t>
      </w:r>
      <w:r w:rsidR="00630035" w:rsidRPr="007D4EB1">
        <w:t>nr-AxSpA</w:t>
      </w:r>
      <w:r w:rsidR="00173FDF" w:rsidRPr="007D4EB1">
        <w:t>)</w:t>
      </w:r>
      <w:r w:rsidR="00BD4EC9" w:rsidRPr="007D4EB1">
        <w:t xml:space="preserve"> from</w:t>
      </w:r>
      <w:r w:rsidR="00173FDF" w:rsidRPr="007D4EB1">
        <w:t xml:space="preserve"> 1 unit</w:t>
      </w:r>
      <w:r w:rsidR="001325EA">
        <w:t xml:space="preserve"> (pre-filled pen)</w:t>
      </w:r>
      <w:r w:rsidR="00173FDF" w:rsidRPr="007D4EB1">
        <w:t xml:space="preserve"> </w:t>
      </w:r>
      <w:r w:rsidR="00BD4EC9" w:rsidRPr="007D4EB1">
        <w:t>to</w:t>
      </w:r>
      <w:r w:rsidR="00173FDF" w:rsidRPr="007D4EB1">
        <w:t xml:space="preserve"> 2 units.</w:t>
      </w:r>
    </w:p>
    <w:p w14:paraId="3D1D4320" w14:textId="77777777" w:rsidR="007E490F" w:rsidRPr="007D4EB1" w:rsidRDefault="007E490F" w:rsidP="001F2311">
      <w:pPr>
        <w:pStyle w:val="2-SectionHeading"/>
        <w:numPr>
          <w:ilvl w:val="0"/>
          <w:numId w:val="2"/>
        </w:numPr>
      </w:pPr>
      <w:r w:rsidRPr="007D4EB1">
        <w:t xml:space="preserve">Background </w:t>
      </w:r>
    </w:p>
    <w:p w14:paraId="191017D9" w14:textId="43A34760" w:rsidR="001F2311" w:rsidRPr="007D4EB1" w:rsidRDefault="00143184" w:rsidP="007B249F">
      <w:pPr>
        <w:pStyle w:val="3Bodytext"/>
      </w:pPr>
      <w:r w:rsidRPr="007D4EB1">
        <w:t>IXE</w:t>
      </w:r>
      <w:r w:rsidR="001F2311" w:rsidRPr="007D4EB1">
        <w:t xml:space="preserve"> is listed on the PBS as an Authority Required (</w:t>
      </w:r>
      <w:r w:rsidRPr="007D4EB1">
        <w:t>Written</w:t>
      </w:r>
      <w:r w:rsidR="001F2311" w:rsidRPr="007D4EB1">
        <w:t xml:space="preserve">) listing for </w:t>
      </w:r>
      <w:r w:rsidRPr="007D4EB1">
        <w:t>severe chronic plaque psoriasis, severe psoriatic arthritis</w:t>
      </w:r>
      <w:r w:rsidR="00A80400" w:rsidRPr="007D4EB1">
        <w:t>,</w:t>
      </w:r>
      <w:r w:rsidRPr="007D4EB1">
        <w:t xml:space="preserve"> and ankylosing spondylitis</w:t>
      </w:r>
      <w:r w:rsidR="00B602FC" w:rsidRPr="007D4EB1">
        <w:t>.</w:t>
      </w:r>
    </w:p>
    <w:p w14:paraId="33C2C319" w14:textId="66DF215F" w:rsidR="007E490F" w:rsidRPr="007D4EB1" w:rsidRDefault="007E490F" w:rsidP="007E490F">
      <w:pPr>
        <w:pStyle w:val="4-SubsectionHeading"/>
      </w:pPr>
      <w:r w:rsidRPr="007D4EB1">
        <w:t>Registration status</w:t>
      </w:r>
    </w:p>
    <w:p w14:paraId="0F456A9E" w14:textId="79BC60A0" w:rsidR="00BC04B1" w:rsidRPr="007D4EB1" w:rsidRDefault="00160826" w:rsidP="007B249F">
      <w:pPr>
        <w:pStyle w:val="3Bodytext"/>
      </w:pPr>
      <w:r w:rsidRPr="007D4EB1">
        <w:t xml:space="preserve">IXE was TGA-approved on 28 May 2021 </w:t>
      </w:r>
      <w:r w:rsidR="004F32CF" w:rsidRPr="007D4EB1">
        <w:t xml:space="preserve">for the treatment of adult patients with active </w:t>
      </w:r>
      <w:r w:rsidR="00630035" w:rsidRPr="007D4EB1">
        <w:t>nr-AxSpA</w:t>
      </w:r>
      <w:r w:rsidR="004F32CF" w:rsidRPr="007D4EB1">
        <w:t xml:space="preserve"> with objective signs of inflammation as indicated by elevated CRP and/or MRI evidence, who have responded inadequately to, or are intolerant to, nonsteroidal anti-inflammatory drugs </w:t>
      </w:r>
      <w:r w:rsidRPr="007D4EB1">
        <w:t>and</w:t>
      </w:r>
      <w:r w:rsidR="00927FA1" w:rsidRPr="007D4EB1">
        <w:t xml:space="preserve"> was</w:t>
      </w:r>
      <w:r w:rsidRPr="007D4EB1">
        <w:t xml:space="preserve"> included in the Australian Register of Therapeutic Goods on 6 July 2021.</w:t>
      </w:r>
    </w:p>
    <w:p w14:paraId="0094486E" w14:textId="77777777" w:rsidR="007E490F" w:rsidRPr="007D4EB1" w:rsidRDefault="007E490F" w:rsidP="007E490F">
      <w:pPr>
        <w:pStyle w:val="4-SubsectionHeading"/>
      </w:pPr>
      <w:r w:rsidRPr="007D4EB1">
        <w:t xml:space="preserve">Previous PBAC consideration </w:t>
      </w:r>
    </w:p>
    <w:p w14:paraId="5C6809F1" w14:textId="1E8DDCAF" w:rsidR="007E490F" w:rsidRPr="007D4EB1" w:rsidRDefault="003B18D2" w:rsidP="007B249F">
      <w:pPr>
        <w:pStyle w:val="3Bodytext"/>
        <w:rPr>
          <w:i/>
        </w:rPr>
      </w:pPr>
      <w:r w:rsidRPr="007D4EB1">
        <w:t>IXE</w:t>
      </w:r>
      <w:r w:rsidR="007E490F" w:rsidRPr="007D4EB1">
        <w:t xml:space="preserve"> was </w:t>
      </w:r>
      <w:r w:rsidR="007B1B5D" w:rsidRPr="007D4EB1">
        <w:t xml:space="preserve">first </w:t>
      </w:r>
      <w:r w:rsidR="007E490F" w:rsidRPr="007D4EB1">
        <w:t>considered for this</w:t>
      </w:r>
      <w:r w:rsidRPr="007D4EB1">
        <w:t xml:space="preserve"> indication </w:t>
      </w:r>
      <w:r w:rsidR="007E490F" w:rsidRPr="007D4EB1">
        <w:t xml:space="preserve">by the PBAC at its </w:t>
      </w:r>
      <w:r w:rsidRPr="007D4EB1">
        <w:t>November 2021</w:t>
      </w:r>
      <w:r w:rsidR="007E490F" w:rsidRPr="007D4EB1">
        <w:t xml:space="preserve"> meeting.</w:t>
      </w:r>
    </w:p>
    <w:p w14:paraId="62A26A82" w14:textId="67E991EB" w:rsidR="0062406F" w:rsidRPr="007D4EB1" w:rsidRDefault="0062406F" w:rsidP="007B249F">
      <w:pPr>
        <w:pStyle w:val="3Bodytext"/>
        <w:rPr>
          <w:i/>
        </w:rPr>
      </w:pPr>
      <w:r w:rsidRPr="007D4EB1">
        <w:t xml:space="preserve">At its November 2021 meeting, the PBAC recommended the listing of IXE for the treatment of </w:t>
      </w:r>
      <w:r w:rsidR="00630035" w:rsidRPr="007D4EB1">
        <w:t>nr-AxSpA</w:t>
      </w:r>
      <w:r w:rsidRPr="007D4EB1">
        <w:t xml:space="preserve"> </w:t>
      </w:r>
      <w:r w:rsidR="00C83AB0" w:rsidRPr="007D4EB1">
        <w:t>“</w:t>
      </w:r>
      <w:r w:rsidRPr="007D4EB1">
        <w:t>based on, among other matters, its assessment that the cost-effectiveness of IXE would be acceptable if it were cost-minimised to the least costly biologic disease-modifying anti-rheumatic drug (bDMARD) for this indication</w:t>
      </w:r>
      <w:r w:rsidR="001A20BD" w:rsidRPr="007D4EB1">
        <w:t>” (</w:t>
      </w:r>
      <w:r w:rsidR="00E63455" w:rsidRPr="007D4EB1">
        <w:t>para</w:t>
      </w:r>
      <w:r w:rsidR="001A20BD" w:rsidRPr="007D4EB1">
        <w:t>graph 7.1, ixekizumab Public Summary Document [PSD], November 2021 PBAC Meeting)</w:t>
      </w:r>
      <w:r w:rsidRPr="007D4EB1">
        <w:t>.</w:t>
      </w:r>
    </w:p>
    <w:p w14:paraId="628D0D0A" w14:textId="265BB923" w:rsidR="00B42F08" w:rsidRPr="007D4EB1" w:rsidRDefault="001A20BD" w:rsidP="007B249F">
      <w:pPr>
        <w:pStyle w:val="3Bodytext"/>
      </w:pPr>
      <w:bookmarkStart w:id="0" w:name="_Hlk135397905"/>
      <w:r w:rsidRPr="007D4EB1">
        <w:t>The PBAC considered it reasonable to accept that IXE was non-inferior to secukinumab (SEC) and golimumab (GLM) in terms of comparative efficacy and safety, and that along with</w:t>
      </w:r>
      <w:r w:rsidR="00B42F08" w:rsidRPr="007D4EB1">
        <w:t xml:space="preserve"> certolizumab pegol</w:t>
      </w:r>
      <w:r w:rsidRPr="007D4EB1">
        <w:t xml:space="preserve"> </w:t>
      </w:r>
      <w:r w:rsidR="00B42F08" w:rsidRPr="007D4EB1">
        <w:t>(CZP) to be reasonable comparators (</w:t>
      </w:r>
      <w:r w:rsidR="00E63455" w:rsidRPr="007D4EB1">
        <w:t>paragraph</w:t>
      </w:r>
      <w:r w:rsidR="00B42F08" w:rsidRPr="007D4EB1">
        <w:t>s 7.2, 7.6 &amp; 7.7, ixekizumab PSD, November 2021 PBAC Meeting)</w:t>
      </w:r>
      <w:bookmarkEnd w:id="0"/>
      <w:r w:rsidR="00B42F08" w:rsidRPr="007D4EB1">
        <w:t xml:space="preserve">. As such, the “PBAC recommended listing IXE under the same circumstances as that of the other bDMARDs for </w:t>
      </w:r>
      <w:r w:rsidR="00630035" w:rsidRPr="007D4EB1">
        <w:t>nr-AxSpA</w:t>
      </w:r>
      <w:r w:rsidR="00B42F08" w:rsidRPr="007D4EB1">
        <w:t>” (</w:t>
      </w:r>
      <w:r w:rsidR="00E63455" w:rsidRPr="007D4EB1">
        <w:t xml:space="preserve">paragraph </w:t>
      </w:r>
      <w:r w:rsidR="00B42F08" w:rsidRPr="007D4EB1">
        <w:t>7.3) and that “IXE be included within the current risk sharing arrangements (RSA) for GLM, CZP and SEC with no increase to the expenditure cap levels” (</w:t>
      </w:r>
      <w:r w:rsidR="00E63455" w:rsidRPr="007D4EB1">
        <w:t xml:space="preserve">paragraph </w:t>
      </w:r>
      <w:r w:rsidR="00B42F08" w:rsidRPr="007D4EB1">
        <w:t>7.9) as listing IXE was not expected to “result in any additional cost to the PBS” (</w:t>
      </w:r>
      <w:r w:rsidR="00E63455" w:rsidRPr="007D4EB1">
        <w:t xml:space="preserve">paragraph </w:t>
      </w:r>
      <w:r w:rsidR="00B42F08" w:rsidRPr="007D4EB1">
        <w:t>7.8, ixekizumab PSD, November 2021 PBAC Meeting).</w:t>
      </w:r>
    </w:p>
    <w:p w14:paraId="46624093" w14:textId="3EDC23BF" w:rsidR="001A20BD" w:rsidRPr="007D4EB1" w:rsidRDefault="00AD10FA" w:rsidP="007B249F">
      <w:pPr>
        <w:pStyle w:val="3Bodytext"/>
        <w:rPr>
          <w:i/>
        </w:rPr>
      </w:pPr>
      <w:r w:rsidRPr="007D4EB1">
        <w:lastRenderedPageBreak/>
        <w:t>T</w:t>
      </w:r>
      <w:r w:rsidR="00AB1A78" w:rsidRPr="007D4EB1">
        <w:t>he PBAC noted that “IXE is currently listed as a pack containing 2 injections, equivalent to 2 months’ therapy per pack, which is inconsistent with the basis of most other bDMARD listings which typically provide for approximately a 1-month supply per pack (with some exceptions, such as some infusible therapies)” (</w:t>
      </w:r>
      <w:r w:rsidR="00E63455" w:rsidRPr="007D4EB1">
        <w:t xml:space="preserve">paragraph </w:t>
      </w:r>
      <w:r w:rsidR="00AB1A78" w:rsidRPr="007D4EB1">
        <w:t xml:space="preserve">3.5, ixekizumab PSD, November 2021 PBAC Meeting). </w:t>
      </w:r>
      <w:r w:rsidR="00B42F08" w:rsidRPr="007D4EB1">
        <w:t>The PBAC considered it appropriate that IXE should be listed as per CZP, GLM and SEC with “one month of treatment per script dispensing”</w:t>
      </w:r>
      <w:r w:rsidR="009F015B" w:rsidRPr="007D4EB1">
        <w:t xml:space="preserve"> and that “it was appropriate to list IXE with a medicinal product pack containing 1 injection per containered product with a maximum quantity of one injection unit/pack plus 3 repeats for the initial restriction treatment and one injection plus 5 repeats for the continuing restriction treatment, which would provide </w:t>
      </w:r>
      <w:r w:rsidR="00720A65">
        <w:t>…</w:t>
      </w:r>
      <w:r w:rsidR="009F015B" w:rsidRPr="007D4EB1">
        <w:t xml:space="preserve"> one month of treatment per script dispensing without need for broken packs” (</w:t>
      </w:r>
      <w:r w:rsidR="00E63455" w:rsidRPr="007D4EB1">
        <w:t xml:space="preserve">paragraph </w:t>
      </w:r>
      <w:r w:rsidR="009F015B" w:rsidRPr="007D4EB1">
        <w:t>7.4, ixekizumab PSD, November 2021 PBAC Meeting)</w:t>
      </w:r>
      <w:r w:rsidR="00B42F08" w:rsidRPr="007D4EB1">
        <w:t>.</w:t>
      </w:r>
    </w:p>
    <w:p w14:paraId="48B79B6F" w14:textId="3D9F0461" w:rsidR="00AB1A78" w:rsidRPr="007D4EB1" w:rsidRDefault="00AB1A78" w:rsidP="007B249F">
      <w:pPr>
        <w:pStyle w:val="3Bodytext"/>
        <w:rPr>
          <w:i/>
        </w:rPr>
      </w:pPr>
      <w:r w:rsidRPr="007D4EB1">
        <w:t>The PBAC has previously expressed a view (in July 2018 and again in 2021) that the sponsor should make a single injection pack available to align the treatment durations per pack of IXE with other bDMARD listings.</w:t>
      </w:r>
    </w:p>
    <w:p w14:paraId="1877D9C7" w14:textId="656F7BDA" w:rsidR="003D50A6" w:rsidRPr="007D4EB1" w:rsidRDefault="003D50A6" w:rsidP="007B249F">
      <w:pPr>
        <w:pStyle w:val="3Bodytext"/>
        <w:rPr>
          <w:i/>
        </w:rPr>
      </w:pPr>
      <w:r w:rsidRPr="007D4EB1">
        <w:t xml:space="preserve">At the March 2023 PBAC meeting, </w:t>
      </w:r>
      <w:r w:rsidR="001325EA">
        <w:t>u</w:t>
      </w:r>
      <w:r w:rsidRPr="007D4EB1">
        <w:t xml:space="preserve">padacitinib </w:t>
      </w:r>
      <w:r w:rsidR="00AC4EFE" w:rsidRPr="007D4EB1">
        <w:t xml:space="preserve">(UPA) </w:t>
      </w:r>
      <w:r w:rsidRPr="007D4EB1">
        <w:t>for nr-AxSpA was recommended by the PBAC. U</w:t>
      </w:r>
      <w:r w:rsidR="00AC4EFE" w:rsidRPr="007D4EB1">
        <w:t>PA</w:t>
      </w:r>
      <w:r w:rsidRPr="007D4EB1">
        <w:t xml:space="preserve"> was not yet listed on the PBS</w:t>
      </w:r>
      <w:r w:rsidR="004E67E6">
        <w:t xml:space="preserve"> for this indication</w:t>
      </w:r>
      <w:r w:rsidRPr="007D4EB1">
        <w:t xml:space="preserve"> at the</w:t>
      </w:r>
      <w:r w:rsidR="00D84FC2" w:rsidRPr="007D4EB1">
        <w:t xml:space="preserve"> </w:t>
      </w:r>
      <w:r w:rsidR="004E67E6">
        <w:t xml:space="preserve">time of </w:t>
      </w:r>
      <w:r w:rsidR="00D84FC2" w:rsidRPr="007D4EB1">
        <w:t>consideration of this submission</w:t>
      </w:r>
      <w:r w:rsidRPr="007D4EB1">
        <w:t>.</w:t>
      </w:r>
    </w:p>
    <w:p w14:paraId="1B8790B6" w14:textId="77777777" w:rsidR="00964A9F" w:rsidRPr="007D4EB1" w:rsidRDefault="00964A9F" w:rsidP="00964A9F">
      <w:pPr>
        <w:pStyle w:val="2-SectionHeading"/>
      </w:pPr>
      <w:r w:rsidRPr="007D4EB1">
        <w:t xml:space="preserve">Requested listing </w:t>
      </w:r>
    </w:p>
    <w:p w14:paraId="41A45AA2" w14:textId="19C5BE24" w:rsidR="00041C6C" w:rsidRPr="007D4EB1" w:rsidRDefault="00DA62B0" w:rsidP="00041C6C">
      <w:pPr>
        <w:pStyle w:val="3-BodyText"/>
        <w:numPr>
          <w:ilvl w:val="1"/>
          <w:numId w:val="2"/>
        </w:numPr>
      </w:pPr>
      <w:r w:rsidRPr="007D4EB1">
        <w:t>The submission requested the</w:t>
      </w:r>
      <w:r w:rsidR="004C797A" w:rsidRPr="007D4EB1">
        <w:t xml:space="preserve"> same</w:t>
      </w:r>
      <w:r w:rsidRPr="007D4EB1">
        <w:t xml:space="preserve"> listing that was recommended by the PBAC in its previous consideration with the exception of the maximum quantity. For brevity, only this </w:t>
      </w:r>
      <w:r w:rsidR="004C797A" w:rsidRPr="007D4EB1">
        <w:t xml:space="preserve">aspect </w:t>
      </w:r>
      <w:r w:rsidRPr="007D4EB1">
        <w:t>of the requested listing has been presented</w:t>
      </w:r>
      <w:r w:rsidR="00041C6C" w:rsidRPr="007D4EB1">
        <w:t>.</w:t>
      </w:r>
      <w:r w:rsidR="009C078D">
        <w:t xml:space="preserve"> Additions have been marked in italics and deletions with strikethrough.</w:t>
      </w:r>
    </w:p>
    <w:tbl>
      <w:tblPr>
        <w:tblW w:w="5000" w:type="pct"/>
        <w:tblInd w:w="28" w:type="dxa"/>
        <w:tblLayout w:type="fixed"/>
        <w:tblCellMar>
          <w:left w:w="28" w:type="dxa"/>
          <w:right w:w="28" w:type="dxa"/>
        </w:tblCellMar>
        <w:tblLook w:val="0000" w:firstRow="0" w:lastRow="0" w:firstColumn="0" w:lastColumn="0" w:noHBand="0" w:noVBand="0"/>
      </w:tblPr>
      <w:tblGrid>
        <w:gridCol w:w="3168"/>
        <w:gridCol w:w="691"/>
        <w:gridCol w:w="561"/>
        <w:gridCol w:w="557"/>
        <w:gridCol w:w="2229"/>
        <w:gridCol w:w="557"/>
        <w:gridCol w:w="1253"/>
      </w:tblGrid>
      <w:tr w:rsidR="00846DE8" w:rsidRPr="007D4EB1" w14:paraId="55A396A6" w14:textId="77777777" w:rsidTr="00846DE8">
        <w:trPr>
          <w:trHeight w:val="463"/>
        </w:trPr>
        <w:tc>
          <w:tcPr>
            <w:tcW w:w="1757" w:type="pct"/>
            <w:tcBorders>
              <w:top w:val="single" w:sz="4" w:space="0" w:color="auto"/>
              <w:left w:val="single" w:sz="4" w:space="0" w:color="auto"/>
              <w:bottom w:val="single" w:sz="4" w:space="0" w:color="auto"/>
              <w:right w:val="single" w:sz="4" w:space="0" w:color="auto"/>
            </w:tcBorders>
            <w:vAlign w:val="center"/>
          </w:tcPr>
          <w:p w14:paraId="2A4395E6" w14:textId="77777777" w:rsidR="00846DE8" w:rsidRPr="007D4EB1" w:rsidRDefault="00846DE8" w:rsidP="00846DE8">
            <w:pPr>
              <w:keepNext/>
              <w:contextualSpacing/>
              <w:jc w:val="left"/>
              <w:rPr>
                <w:rFonts w:ascii="Arial Narrow" w:hAnsi="Arial Narrow"/>
                <w:b/>
                <w:sz w:val="20"/>
                <w:szCs w:val="20"/>
              </w:rPr>
            </w:pPr>
            <w:r w:rsidRPr="007D4EB1">
              <w:rPr>
                <w:rFonts w:ascii="Arial Narrow" w:hAnsi="Arial Narrow"/>
                <w:b/>
                <w:sz w:val="20"/>
                <w:szCs w:val="20"/>
              </w:rPr>
              <w:t>Name, Restriction,</w:t>
            </w:r>
          </w:p>
          <w:p w14:paraId="7DDA58EA" w14:textId="77777777" w:rsidR="00846DE8" w:rsidRPr="007D4EB1" w:rsidRDefault="00846DE8" w:rsidP="00846DE8">
            <w:pPr>
              <w:keepNext/>
              <w:contextualSpacing/>
              <w:jc w:val="left"/>
              <w:rPr>
                <w:rFonts w:ascii="Arial Narrow" w:hAnsi="Arial Narrow"/>
                <w:b/>
                <w:sz w:val="20"/>
                <w:szCs w:val="20"/>
              </w:rPr>
            </w:pPr>
            <w:r w:rsidRPr="007D4EB1">
              <w:rPr>
                <w:rFonts w:ascii="Arial Narrow" w:hAnsi="Arial Narrow"/>
                <w:b/>
                <w:sz w:val="20"/>
                <w:szCs w:val="20"/>
              </w:rPr>
              <w:t>Manner of administration and form</w:t>
            </w:r>
          </w:p>
        </w:tc>
        <w:tc>
          <w:tcPr>
            <w:tcW w:w="383" w:type="pct"/>
            <w:tcBorders>
              <w:top w:val="single" w:sz="4" w:space="0" w:color="auto"/>
              <w:left w:val="single" w:sz="4" w:space="0" w:color="auto"/>
              <w:bottom w:val="single" w:sz="4" w:space="0" w:color="auto"/>
              <w:right w:val="single" w:sz="4" w:space="0" w:color="auto"/>
            </w:tcBorders>
            <w:vAlign w:val="center"/>
          </w:tcPr>
          <w:p w14:paraId="3C920A56" w14:textId="77777777" w:rsidR="00846DE8" w:rsidRPr="007D4EB1" w:rsidRDefault="00846DE8" w:rsidP="00846DE8">
            <w:pPr>
              <w:keepNext/>
              <w:contextualSpacing/>
              <w:jc w:val="center"/>
              <w:rPr>
                <w:rFonts w:ascii="Arial Narrow" w:hAnsi="Arial Narrow"/>
                <w:b/>
                <w:sz w:val="20"/>
                <w:szCs w:val="20"/>
              </w:rPr>
            </w:pPr>
            <w:r w:rsidRPr="007D4EB1">
              <w:rPr>
                <w:rFonts w:ascii="Arial Narrow" w:hAnsi="Arial Narrow"/>
                <w:b/>
                <w:sz w:val="20"/>
                <w:szCs w:val="20"/>
              </w:rPr>
              <w:t>Max. Qty (packs)</w:t>
            </w:r>
          </w:p>
        </w:tc>
        <w:tc>
          <w:tcPr>
            <w:tcW w:w="311" w:type="pct"/>
            <w:tcBorders>
              <w:top w:val="single" w:sz="4" w:space="0" w:color="auto"/>
              <w:left w:val="single" w:sz="4" w:space="0" w:color="auto"/>
              <w:bottom w:val="single" w:sz="4" w:space="0" w:color="auto"/>
              <w:right w:val="single" w:sz="4" w:space="0" w:color="auto"/>
            </w:tcBorders>
            <w:vAlign w:val="center"/>
          </w:tcPr>
          <w:p w14:paraId="49A34C80" w14:textId="77777777" w:rsidR="00846DE8" w:rsidRPr="004126BF" w:rsidRDefault="00846DE8" w:rsidP="00846DE8">
            <w:pPr>
              <w:keepNext/>
              <w:contextualSpacing/>
              <w:jc w:val="center"/>
              <w:rPr>
                <w:rFonts w:ascii="Arial Narrow" w:hAnsi="Arial Narrow"/>
                <w:b/>
                <w:strike/>
                <w:sz w:val="20"/>
                <w:szCs w:val="20"/>
              </w:rPr>
            </w:pPr>
            <w:r w:rsidRPr="004126BF">
              <w:rPr>
                <w:rFonts w:ascii="Arial Narrow" w:hAnsi="Arial Narrow"/>
                <w:b/>
                <w:strike/>
                <w:sz w:val="20"/>
                <w:szCs w:val="20"/>
              </w:rPr>
              <w:t>Max. Qty. (units)</w:t>
            </w:r>
          </w:p>
        </w:tc>
        <w:tc>
          <w:tcPr>
            <w:tcW w:w="309" w:type="pct"/>
            <w:tcBorders>
              <w:top w:val="single" w:sz="4" w:space="0" w:color="auto"/>
              <w:left w:val="single" w:sz="4" w:space="0" w:color="auto"/>
              <w:bottom w:val="single" w:sz="4" w:space="0" w:color="auto"/>
              <w:right w:val="single" w:sz="4" w:space="0" w:color="auto"/>
            </w:tcBorders>
            <w:vAlign w:val="center"/>
          </w:tcPr>
          <w:p w14:paraId="18BA9A60" w14:textId="77777777" w:rsidR="00846DE8" w:rsidRPr="007D4EB1" w:rsidRDefault="00846DE8" w:rsidP="00846DE8">
            <w:pPr>
              <w:keepNext/>
              <w:contextualSpacing/>
              <w:jc w:val="center"/>
              <w:rPr>
                <w:rFonts w:ascii="Arial Narrow" w:hAnsi="Arial Narrow"/>
                <w:b/>
                <w:sz w:val="20"/>
                <w:szCs w:val="20"/>
              </w:rPr>
            </w:pPr>
            <w:r w:rsidRPr="007D4EB1">
              <w:rPr>
                <w:rFonts w:ascii="Arial Narrow" w:hAnsi="Arial Narrow"/>
                <w:b/>
                <w:sz w:val="20"/>
                <w:szCs w:val="20"/>
              </w:rPr>
              <w:t>№.of</w:t>
            </w:r>
          </w:p>
          <w:p w14:paraId="49C1207A" w14:textId="77777777" w:rsidR="00846DE8" w:rsidRPr="007D4EB1" w:rsidRDefault="00846DE8" w:rsidP="00846DE8">
            <w:pPr>
              <w:keepNext/>
              <w:contextualSpacing/>
              <w:jc w:val="center"/>
              <w:rPr>
                <w:rFonts w:ascii="Arial Narrow" w:hAnsi="Arial Narrow"/>
                <w:b/>
                <w:sz w:val="20"/>
                <w:szCs w:val="20"/>
              </w:rPr>
            </w:pPr>
            <w:r w:rsidRPr="007D4EB1">
              <w:rPr>
                <w:rFonts w:ascii="Arial Narrow" w:hAnsi="Arial Narrow"/>
                <w:b/>
                <w:sz w:val="20"/>
                <w:szCs w:val="20"/>
              </w:rPr>
              <w:t>Rpts</w:t>
            </w:r>
          </w:p>
        </w:tc>
        <w:tc>
          <w:tcPr>
            <w:tcW w:w="1236" w:type="pct"/>
            <w:tcBorders>
              <w:top w:val="single" w:sz="4" w:space="0" w:color="auto"/>
              <w:left w:val="single" w:sz="4" w:space="0" w:color="auto"/>
              <w:bottom w:val="single" w:sz="4" w:space="0" w:color="auto"/>
              <w:right w:val="single" w:sz="4" w:space="0" w:color="auto"/>
            </w:tcBorders>
            <w:vAlign w:val="center"/>
          </w:tcPr>
          <w:p w14:paraId="1107CCBA" w14:textId="77777777" w:rsidR="00846DE8" w:rsidRPr="007D4EB1" w:rsidRDefault="00846DE8" w:rsidP="00846DE8">
            <w:pPr>
              <w:keepNext/>
              <w:contextualSpacing/>
              <w:jc w:val="center"/>
              <w:rPr>
                <w:rFonts w:ascii="Arial Narrow" w:hAnsi="Arial Narrow"/>
                <w:b/>
                <w:sz w:val="20"/>
                <w:szCs w:val="20"/>
              </w:rPr>
            </w:pPr>
            <w:r w:rsidRPr="007D4EB1">
              <w:rPr>
                <w:rFonts w:ascii="Arial Narrow" w:hAnsi="Arial Narrow"/>
                <w:b/>
                <w:sz w:val="20"/>
                <w:szCs w:val="20"/>
              </w:rPr>
              <w:t xml:space="preserve">Dispensed Price for Max. Qty </w:t>
            </w:r>
          </w:p>
        </w:tc>
        <w:tc>
          <w:tcPr>
            <w:tcW w:w="1004" w:type="pct"/>
            <w:gridSpan w:val="2"/>
            <w:tcBorders>
              <w:top w:val="single" w:sz="4" w:space="0" w:color="auto"/>
              <w:left w:val="single" w:sz="4" w:space="0" w:color="auto"/>
              <w:bottom w:val="single" w:sz="4" w:space="0" w:color="auto"/>
              <w:right w:val="single" w:sz="4" w:space="0" w:color="auto"/>
            </w:tcBorders>
            <w:vAlign w:val="center"/>
          </w:tcPr>
          <w:p w14:paraId="7345BE54" w14:textId="77777777" w:rsidR="00846DE8" w:rsidRPr="007D4EB1" w:rsidRDefault="00846DE8" w:rsidP="00846DE8">
            <w:pPr>
              <w:keepNext/>
              <w:contextualSpacing/>
              <w:jc w:val="center"/>
              <w:rPr>
                <w:rFonts w:ascii="Arial Narrow" w:hAnsi="Arial Narrow"/>
                <w:b/>
                <w:sz w:val="20"/>
                <w:szCs w:val="20"/>
              </w:rPr>
            </w:pPr>
            <w:r w:rsidRPr="007D4EB1">
              <w:rPr>
                <w:rFonts w:ascii="Arial Narrow" w:hAnsi="Arial Narrow"/>
                <w:b/>
                <w:sz w:val="20"/>
                <w:szCs w:val="20"/>
              </w:rPr>
              <w:t>Proprietary Name and Manufacturer</w:t>
            </w:r>
          </w:p>
        </w:tc>
      </w:tr>
      <w:tr w:rsidR="00846DE8" w:rsidRPr="007D4EB1" w14:paraId="3E76D4D7" w14:textId="77777777" w:rsidTr="00846DE8">
        <w:trPr>
          <w:trHeight w:val="567"/>
        </w:trPr>
        <w:tc>
          <w:tcPr>
            <w:tcW w:w="1757" w:type="pct"/>
            <w:tcBorders>
              <w:top w:val="single" w:sz="4" w:space="0" w:color="auto"/>
              <w:left w:val="single" w:sz="4" w:space="0" w:color="auto"/>
              <w:bottom w:val="single" w:sz="4" w:space="0" w:color="auto"/>
              <w:right w:val="single" w:sz="4" w:space="0" w:color="auto"/>
            </w:tcBorders>
            <w:vAlign w:val="center"/>
          </w:tcPr>
          <w:p w14:paraId="7FD73B23" w14:textId="77777777" w:rsidR="00846DE8" w:rsidRPr="007D4EB1" w:rsidRDefault="00846DE8" w:rsidP="00846DE8">
            <w:pPr>
              <w:keepNext/>
              <w:contextualSpacing/>
              <w:jc w:val="left"/>
              <w:rPr>
                <w:rFonts w:ascii="Arial Narrow" w:hAnsi="Arial Narrow"/>
                <w:sz w:val="20"/>
                <w:szCs w:val="20"/>
              </w:rPr>
            </w:pPr>
            <w:r w:rsidRPr="007D4EB1">
              <w:rPr>
                <w:rFonts w:ascii="Arial Narrow" w:hAnsi="Arial Narrow"/>
                <w:smallCaps/>
                <w:sz w:val="20"/>
                <w:szCs w:val="20"/>
              </w:rPr>
              <w:t>IXEKIZUMAB</w:t>
            </w:r>
          </w:p>
          <w:p w14:paraId="7F04AFF0" w14:textId="77777777" w:rsidR="00846DE8" w:rsidRPr="007D4EB1" w:rsidRDefault="00846DE8" w:rsidP="00846DE8">
            <w:pPr>
              <w:keepNext/>
              <w:contextualSpacing/>
              <w:jc w:val="left"/>
              <w:rPr>
                <w:rFonts w:ascii="Arial Narrow" w:hAnsi="Arial Narrow"/>
                <w:sz w:val="20"/>
                <w:szCs w:val="20"/>
              </w:rPr>
            </w:pPr>
            <w:r w:rsidRPr="007D4EB1">
              <w:rPr>
                <w:rFonts w:ascii="Arial Narrow" w:hAnsi="Arial Narrow"/>
                <w:sz w:val="20"/>
                <w:szCs w:val="20"/>
              </w:rPr>
              <w:t>Initial treatment 1, 2 and 3</w:t>
            </w:r>
          </w:p>
          <w:p w14:paraId="71DE7EB3" w14:textId="274DD8CC" w:rsidR="00846DE8" w:rsidRPr="004126BF" w:rsidRDefault="00846DE8" w:rsidP="00846DE8">
            <w:pPr>
              <w:keepNext/>
              <w:contextualSpacing/>
              <w:jc w:val="left"/>
              <w:rPr>
                <w:rFonts w:ascii="Arial Narrow" w:hAnsi="Arial Narrow"/>
                <w:i/>
                <w:iCs/>
                <w:sz w:val="20"/>
                <w:szCs w:val="20"/>
              </w:rPr>
            </w:pPr>
            <w:r w:rsidRPr="007D4EB1">
              <w:rPr>
                <w:rFonts w:ascii="Arial Narrow" w:hAnsi="Arial Narrow"/>
                <w:sz w:val="20"/>
                <w:szCs w:val="20"/>
              </w:rPr>
              <w:t>Injection 80 mg in 1 mL single use pre-filled pen</w:t>
            </w:r>
            <w:r w:rsidR="00F459BC">
              <w:rPr>
                <w:rFonts w:ascii="Arial Narrow" w:hAnsi="Arial Narrow"/>
                <w:i/>
                <w:iCs/>
                <w:sz w:val="20"/>
                <w:szCs w:val="20"/>
              </w:rPr>
              <w:t>, 2</w:t>
            </w:r>
          </w:p>
        </w:tc>
        <w:tc>
          <w:tcPr>
            <w:tcW w:w="383" w:type="pct"/>
            <w:tcBorders>
              <w:top w:val="single" w:sz="4" w:space="0" w:color="auto"/>
              <w:left w:val="single" w:sz="4" w:space="0" w:color="auto"/>
              <w:bottom w:val="single" w:sz="4" w:space="0" w:color="auto"/>
              <w:right w:val="single" w:sz="4" w:space="0" w:color="auto"/>
            </w:tcBorders>
            <w:vAlign w:val="center"/>
          </w:tcPr>
          <w:p w14:paraId="7FAF843F"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1</w:t>
            </w:r>
          </w:p>
        </w:tc>
        <w:tc>
          <w:tcPr>
            <w:tcW w:w="311" w:type="pct"/>
            <w:tcBorders>
              <w:top w:val="single" w:sz="4" w:space="0" w:color="auto"/>
              <w:left w:val="single" w:sz="4" w:space="0" w:color="auto"/>
              <w:bottom w:val="single" w:sz="4" w:space="0" w:color="auto"/>
              <w:right w:val="single" w:sz="4" w:space="0" w:color="auto"/>
            </w:tcBorders>
            <w:vAlign w:val="center"/>
          </w:tcPr>
          <w:p w14:paraId="0B716265" w14:textId="77777777" w:rsidR="00846DE8" w:rsidRPr="004126BF" w:rsidRDefault="00846DE8" w:rsidP="00846DE8">
            <w:pPr>
              <w:keepNext/>
              <w:contextualSpacing/>
              <w:jc w:val="center"/>
              <w:rPr>
                <w:rFonts w:ascii="Arial Narrow" w:hAnsi="Arial Narrow"/>
                <w:strike/>
                <w:sz w:val="20"/>
                <w:szCs w:val="20"/>
              </w:rPr>
            </w:pPr>
            <w:r w:rsidRPr="004126BF">
              <w:rPr>
                <w:rFonts w:ascii="Arial Narrow" w:hAnsi="Arial Narrow"/>
                <w:strike/>
                <w:sz w:val="20"/>
                <w:szCs w:val="20"/>
              </w:rPr>
              <w:t>2</w:t>
            </w:r>
          </w:p>
        </w:tc>
        <w:tc>
          <w:tcPr>
            <w:tcW w:w="309" w:type="pct"/>
            <w:tcBorders>
              <w:top w:val="single" w:sz="4" w:space="0" w:color="auto"/>
              <w:left w:val="single" w:sz="4" w:space="0" w:color="auto"/>
              <w:bottom w:val="single" w:sz="4" w:space="0" w:color="auto"/>
              <w:right w:val="single" w:sz="4" w:space="0" w:color="auto"/>
            </w:tcBorders>
            <w:vAlign w:val="center"/>
          </w:tcPr>
          <w:p w14:paraId="17D879C3"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1</w:t>
            </w:r>
          </w:p>
        </w:tc>
        <w:tc>
          <w:tcPr>
            <w:tcW w:w="1236" w:type="pct"/>
            <w:tcBorders>
              <w:top w:val="single" w:sz="4" w:space="0" w:color="auto"/>
              <w:left w:val="single" w:sz="4" w:space="0" w:color="auto"/>
              <w:bottom w:val="single" w:sz="4" w:space="0" w:color="auto"/>
              <w:right w:val="single" w:sz="4" w:space="0" w:color="auto"/>
            </w:tcBorders>
            <w:vAlign w:val="center"/>
          </w:tcPr>
          <w:p w14:paraId="66C3E2BD" w14:textId="4EED6349"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 xml:space="preserve">$3,258.28 </w:t>
            </w:r>
            <w:r w:rsidR="00F459BC">
              <w:rPr>
                <w:rFonts w:ascii="Arial Narrow" w:hAnsi="Arial Narrow"/>
                <w:sz w:val="20"/>
                <w:szCs w:val="20"/>
              </w:rPr>
              <w:t>–</w:t>
            </w:r>
            <w:r w:rsidRPr="007D4EB1">
              <w:rPr>
                <w:rFonts w:ascii="Arial Narrow" w:hAnsi="Arial Narrow"/>
                <w:sz w:val="20"/>
                <w:szCs w:val="20"/>
              </w:rPr>
              <w:t xml:space="preserve"> published DPMQ</w:t>
            </w:r>
          </w:p>
          <w:p w14:paraId="03DE4FA5" w14:textId="4318152D"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w:t>
            </w:r>
            <w:r w:rsidR="00622E48" w:rsidRPr="00622E48">
              <w:rPr>
                <w:rFonts w:ascii="Arial Narrow" w:hAnsi="Arial Narrow"/>
                <w:color w:val="000000"/>
                <w:spacing w:val="94"/>
                <w:sz w:val="20"/>
                <w:szCs w:val="20"/>
                <w:shd w:val="solid" w:color="000000" w:fill="000000"/>
                <w:fitText w:val="180" w:id="-1169325056"/>
                <w14:textFill>
                  <w14:solidFill>
                    <w14:srgbClr w14:val="000000">
                      <w14:alpha w14:val="100000"/>
                    </w14:srgbClr>
                  </w14:solidFill>
                </w14:textFill>
              </w:rPr>
              <w:t>|</w:t>
            </w:r>
            <w:r w:rsidR="00622E48" w:rsidRPr="00622E48">
              <w:rPr>
                <w:rFonts w:ascii="Arial Narrow" w:hAnsi="Arial Narrow"/>
                <w:color w:val="000000"/>
                <w:sz w:val="20"/>
                <w:szCs w:val="20"/>
                <w:shd w:val="solid" w:color="000000" w:fill="000000"/>
                <w:fitText w:val="180" w:id="-1169325056"/>
                <w14:textFill>
                  <w14:solidFill>
                    <w14:srgbClr w14:val="000000">
                      <w14:alpha w14:val="100000"/>
                    </w14:srgbClr>
                  </w14:solidFill>
                </w14:textFill>
              </w:rPr>
              <w:t>|</w:t>
            </w:r>
            <w:r w:rsidR="00622E48" w:rsidRPr="00622E48">
              <w:rPr>
                <w:rFonts w:ascii="Arial Narrow" w:hAnsi="Arial Narrow"/>
                <w:sz w:val="20"/>
                <w:szCs w:val="20"/>
              </w:rPr>
              <w:t xml:space="preserve"> </w:t>
            </w:r>
            <w:r w:rsidRPr="007D4EB1">
              <w:rPr>
                <w:rFonts w:ascii="Arial Narrow" w:hAnsi="Arial Narrow"/>
                <w:sz w:val="20"/>
                <w:szCs w:val="20"/>
              </w:rPr>
              <w:t>– effective DPMQ</w:t>
            </w:r>
          </w:p>
        </w:tc>
        <w:tc>
          <w:tcPr>
            <w:tcW w:w="309" w:type="pct"/>
            <w:tcBorders>
              <w:top w:val="single" w:sz="4" w:space="0" w:color="auto"/>
              <w:left w:val="single" w:sz="4" w:space="0" w:color="auto"/>
              <w:bottom w:val="single" w:sz="4" w:space="0" w:color="auto"/>
              <w:right w:val="single" w:sz="4" w:space="0" w:color="auto"/>
            </w:tcBorders>
            <w:vAlign w:val="center"/>
          </w:tcPr>
          <w:p w14:paraId="02A21E66"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Taltz</w:t>
            </w:r>
          </w:p>
        </w:tc>
        <w:tc>
          <w:tcPr>
            <w:tcW w:w="695" w:type="pct"/>
            <w:tcBorders>
              <w:top w:val="single" w:sz="4" w:space="0" w:color="auto"/>
              <w:left w:val="single" w:sz="4" w:space="0" w:color="auto"/>
              <w:bottom w:val="single" w:sz="4" w:space="0" w:color="auto"/>
              <w:right w:val="single" w:sz="4" w:space="0" w:color="auto"/>
            </w:tcBorders>
            <w:vAlign w:val="center"/>
          </w:tcPr>
          <w:p w14:paraId="2074DE09"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Eli Lilly Australia Pty Ltd.</w:t>
            </w:r>
          </w:p>
        </w:tc>
      </w:tr>
      <w:tr w:rsidR="00846DE8" w:rsidRPr="007D4EB1" w14:paraId="7646CFFE" w14:textId="77777777" w:rsidTr="00846DE8">
        <w:trPr>
          <w:trHeight w:val="567"/>
        </w:trPr>
        <w:tc>
          <w:tcPr>
            <w:tcW w:w="1757" w:type="pct"/>
            <w:tcBorders>
              <w:top w:val="single" w:sz="4" w:space="0" w:color="auto"/>
              <w:left w:val="single" w:sz="4" w:space="0" w:color="auto"/>
              <w:bottom w:val="single" w:sz="4" w:space="0" w:color="auto"/>
              <w:right w:val="single" w:sz="4" w:space="0" w:color="auto"/>
            </w:tcBorders>
            <w:vAlign w:val="center"/>
          </w:tcPr>
          <w:p w14:paraId="0EBD809A" w14:textId="41C48256" w:rsidR="00846DE8" w:rsidRPr="007D4EB1" w:rsidRDefault="00846DE8" w:rsidP="00846DE8">
            <w:pPr>
              <w:keepNext/>
              <w:contextualSpacing/>
              <w:jc w:val="left"/>
              <w:rPr>
                <w:rFonts w:ascii="Arial Narrow" w:hAnsi="Arial Narrow"/>
                <w:sz w:val="20"/>
                <w:szCs w:val="20"/>
              </w:rPr>
            </w:pPr>
            <w:r w:rsidRPr="007D4EB1">
              <w:rPr>
                <w:rFonts w:ascii="Arial Narrow" w:hAnsi="Arial Narrow"/>
                <w:smallCaps/>
                <w:sz w:val="20"/>
                <w:szCs w:val="20"/>
              </w:rPr>
              <w:t>IXEKIZUMAB</w:t>
            </w:r>
          </w:p>
          <w:p w14:paraId="6FD01737" w14:textId="51824C7F" w:rsidR="00846DE8" w:rsidRPr="007D4EB1" w:rsidRDefault="00846DE8" w:rsidP="00846DE8">
            <w:pPr>
              <w:keepNext/>
              <w:contextualSpacing/>
              <w:jc w:val="left"/>
              <w:rPr>
                <w:rFonts w:ascii="Arial Narrow" w:hAnsi="Arial Narrow"/>
                <w:sz w:val="20"/>
                <w:szCs w:val="20"/>
              </w:rPr>
            </w:pPr>
            <w:r w:rsidRPr="007D4EB1">
              <w:rPr>
                <w:rFonts w:ascii="Arial Narrow" w:hAnsi="Arial Narrow"/>
                <w:sz w:val="20"/>
                <w:szCs w:val="20"/>
              </w:rPr>
              <w:t xml:space="preserve">Continuing treatment </w:t>
            </w:r>
          </w:p>
          <w:p w14:paraId="1D179464" w14:textId="1F38D0DF" w:rsidR="00846DE8" w:rsidRPr="004126BF" w:rsidRDefault="00846DE8" w:rsidP="00846DE8">
            <w:pPr>
              <w:keepNext/>
              <w:contextualSpacing/>
              <w:jc w:val="left"/>
              <w:rPr>
                <w:rFonts w:ascii="Arial Narrow" w:hAnsi="Arial Narrow"/>
                <w:i/>
                <w:iCs/>
                <w:smallCaps/>
                <w:sz w:val="20"/>
                <w:szCs w:val="20"/>
              </w:rPr>
            </w:pPr>
            <w:r w:rsidRPr="007D4EB1">
              <w:rPr>
                <w:rFonts w:ascii="Arial Narrow" w:hAnsi="Arial Narrow"/>
                <w:sz w:val="20"/>
                <w:szCs w:val="20"/>
              </w:rPr>
              <w:t>Injection 80 mg in 1 mL single use pre-filled pen</w:t>
            </w:r>
            <w:r w:rsidR="00F459BC">
              <w:rPr>
                <w:rFonts w:ascii="Arial Narrow" w:hAnsi="Arial Narrow"/>
                <w:i/>
                <w:iCs/>
                <w:sz w:val="20"/>
                <w:szCs w:val="20"/>
              </w:rPr>
              <w:t>, 2</w:t>
            </w:r>
          </w:p>
        </w:tc>
        <w:tc>
          <w:tcPr>
            <w:tcW w:w="383" w:type="pct"/>
            <w:tcBorders>
              <w:top w:val="single" w:sz="4" w:space="0" w:color="auto"/>
              <w:left w:val="single" w:sz="4" w:space="0" w:color="auto"/>
              <w:bottom w:val="single" w:sz="4" w:space="0" w:color="auto"/>
              <w:right w:val="single" w:sz="4" w:space="0" w:color="auto"/>
            </w:tcBorders>
            <w:vAlign w:val="center"/>
          </w:tcPr>
          <w:p w14:paraId="2CA47A19"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1</w:t>
            </w:r>
          </w:p>
        </w:tc>
        <w:tc>
          <w:tcPr>
            <w:tcW w:w="311" w:type="pct"/>
            <w:tcBorders>
              <w:top w:val="single" w:sz="4" w:space="0" w:color="auto"/>
              <w:left w:val="single" w:sz="4" w:space="0" w:color="auto"/>
              <w:bottom w:val="single" w:sz="4" w:space="0" w:color="auto"/>
              <w:right w:val="single" w:sz="4" w:space="0" w:color="auto"/>
            </w:tcBorders>
            <w:vAlign w:val="center"/>
          </w:tcPr>
          <w:p w14:paraId="3CECECA5" w14:textId="77777777" w:rsidR="00846DE8" w:rsidRPr="004126BF" w:rsidRDefault="00846DE8" w:rsidP="00846DE8">
            <w:pPr>
              <w:keepNext/>
              <w:contextualSpacing/>
              <w:jc w:val="center"/>
              <w:rPr>
                <w:rFonts w:ascii="Arial Narrow" w:hAnsi="Arial Narrow"/>
                <w:strike/>
                <w:sz w:val="20"/>
                <w:szCs w:val="20"/>
              </w:rPr>
            </w:pPr>
            <w:r w:rsidRPr="004126BF">
              <w:rPr>
                <w:rFonts w:ascii="Arial Narrow" w:hAnsi="Arial Narrow"/>
                <w:strike/>
                <w:sz w:val="20"/>
                <w:szCs w:val="20"/>
              </w:rPr>
              <w:t>2</w:t>
            </w:r>
          </w:p>
        </w:tc>
        <w:tc>
          <w:tcPr>
            <w:tcW w:w="309" w:type="pct"/>
            <w:tcBorders>
              <w:top w:val="single" w:sz="4" w:space="0" w:color="auto"/>
              <w:left w:val="single" w:sz="4" w:space="0" w:color="auto"/>
              <w:bottom w:val="single" w:sz="4" w:space="0" w:color="auto"/>
              <w:right w:val="single" w:sz="4" w:space="0" w:color="auto"/>
            </w:tcBorders>
            <w:vAlign w:val="center"/>
          </w:tcPr>
          <w:p w14:paraId="683F4E6E"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2</w:t>
            </w:r>
          </w:p>
        </w:tc>
        <w:tc>
          <w:tcPr>
            <w:tcW w:w="1236" w:type="pct"/>
            <w:tcBorders>
              <w:top w:val="single" w:sz="4" w:space="0" w:color="auto"/>
              <w:left w:val="single" w:sz="4" w:space="0" w:color="auto"/>
              <w:bottom w:val="single" w:sz="4" w:space="0" w:color="auto"/>
              <w:right w:val="single" w:sz="4" w:space="0" w:color="auto"/>
            </w:tcBorders>
            <w:vAlign w:val="center"/>
          </w:tcPr>
          <w:p w14:paraId="5FB0BFA8" w14:textId="77777777" w:rsidR="00846DE8" w:rsidRPr="007D4EB1" w:rsidRDefault="00846DE8" w:rsidP="00846DE8">
            <w:pPr>
              <w:keepNext/>
              <w:contextualSpacing/>
              <w:jc w:val="center"/>
              <w:rPr>
                <w:rFonts w:ascii="Arial Narrow" w:hAnsi="Arial Narrow"/>
                <w:sz w:val="20"/>
                <w:szCs w:val="20"/>
              </w:rPr>
            </w:pPr>
          </w:p>
          <w:p w14:paraId="1AB566E0"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$3,258.28 - published DPMQ</w:t>
            </w:r>
          </w:p>
          <w:p w14:paraId="3C3866DB" w14:textId="69F7A0C3"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w:t>
            </w:r>
            <w:r w:rsidR="00622E48" w:rsidRPr="00622E48">
              <w:rPr>
                <w:rFonts w:ascii="Arial Narrow" w:hAnsi="Arial Narrow"/>
                <w:color w:val="000000"/>
                <w:spacing w:val="94"/>
                <w:sz w:val="20"/>
                <w:szCs w:val="20"/>
                <w:shd w:val="solid" w:color="000000" w:fill="000000"/>
                <w:fitText w:val="180" w:id="-1169325055"/>
                <w14:textFill>
                  <w14:solidFill>
                    <w14:srgbClr w14:val="000000">
                      <w14:alpha w14:val="100000"/>
                    </w14:srgbClr>
                  </w14:solidFill>
                </w14:textFill>
              </w:rPr>
              <w:t>|</w:t>
            </w:r>
            <w:r w:rsidR="00622E48" w:rsidRPr="00622E48">
              <w:rPr>
                <w:rFonts w:ascii="Arial Narrow" w:hAnsi="Arial Narrow"/>
                <w:color w:val="000000"/>
                <w:sz w:val="20"/>
                <w:szCs w:val="20"/>
                <w:shd w:val="solid" w:color="000000" w:fill="000000"/>
                <w:fitText w:val="180" w:id="-1169325055"/>
                <w14:textFill>
                  <w14:solidFill>
                    <w14:srgbClr w14:val="000000">
                      <w14:alpha w14:val="100000"/>
                    </w14:srgbClr>
                  </w14:solidFill>
                </w14:textFill>
              </w:rPr>
              <w:t>|</w:t>
            </w:r>
            <w:r w:rsidR="00622E48" w:rsidRPr="00622E48">
              <w:rPr>
                <w:rFonts w:ascii="Arial Narrow" w:hAnsi="Arial Narrow"/>
                <w:sz w:val="20"/>
                <w:szCs w:val="20"/>
              </w:rPr>
              <w:t xml:space="preserve"> </w:t>
            </w:r>
            <w:r w:rsidRPr="007D4EB1">
              <w:rPr>
                <w:rFonts w:ascii="Arial Narrow" w:hAnsi="Arial Narrow"/>
                <w:sz w:val="20"/>
                <w:szCs w:val="20"/>
              </w:rPr>
              <w:t>– effective DPMQ</w:t>
            </w:r>
            <w:r w:rsidRPr="007D4EB1">
              <w:rPr>
                <w:rFonts w:ascii="Arial Narrow" w:hAnsi="Arial Narrow"/>
                <w:sz w:val="20"/>
                <w:szCs w:val="20"/>
              </w:rPr>
              <w:br/>
            </w:r>
          </w:p>
        </w:tc>
        <w:tc>
          <w:tcPr>
            <w:tcW w:w="309" w:type="pct"/>
            <w:tcBorders>
              <w:top w:val="single" w:sz="4" w:space="0" w:color="auto"/>
              <w:left w:val="single" w:sz="4" w:space="0" w:color="auto"/>
              <w:bottom w:val="single" w:sz="4" w:space="0" w:color="auto"/>
              <w:right w:val="single" w:sz="4" w:space="0" w:color="auto"/>
            </w:tcBorders>
            <w:vAlign w:val="center"/>
          </w:tcPr>
          <w:p w14:paraId="5ACEC456" w14:textId="77777777"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Taltz</w:t>
            </w:r>
          </w:p>
        </w:tc>
        <w:tc>
          <w:tcPr>
            <w:tcW w:w="695" w:type="pct"/>
            <w:tcBorders>
              <w:top w:val="single" w:sz="4" w:space="0" w:color="auto"/>
              <w:left w:val="single" w:sz="4" w:space="0" w:color="auto"/>
              <w:bottom w:val="single" w:sz="4" w:space="0" w:color="auto"/>
              <w:right w:val="single" w:sz="4" w:space="0" w:color="auto"/>
            </w:tcBorders>
            <w:vAlign w:val="center"/>
          </w:tcPr>
          <w:p w14:paraId="494EFCD8" w14:textId="00250B3B" w:rsidR="00846DE8" w:rsidRPr="007D4EB1" w:rsidRDefault="00846DE8" w:rsidP="00846DE8">
            <w:pPr>
              <w:keepNext/>
              <w:contextualSpacing/>
              <w:jc w:val="center"/>
              <w:rPr>
                <w:rFonts w:ascii="Arial Narrow" w:hAnsi="Arial Narrow"/>
                <w:sz w:val="20"/>
                <w:szCs w:val="20"/>
              </w:rPr>
            </w:pPr>
            <w:r w:rsidRPr="007D4EB1">
              <w:rPr>
                <w:rFonts w:ascii="Arial Narrow" w:hAnsi="Arial Narrow"/>
                <w:sz w:val="20"/>
                <w:szCs w:val="20"/>
              </w:rPr>
              <w:t>Eli Lilly Australia Pty Ltd.</w:t>
            </w:r>
          </w:p>
        </w:tc>
      </w:tr>
    </w:tbl>
    <w:p w14:paraId="5584081A" w14:textId="17D57C1F" w:rsidR="00833EBC" w:rsidRDefault="00512B4E" w:rsidP="00512B4E">
      <w:pPr>
        <w:pStyle w:val="TableFooter"/>
        <w:spacing w:after="120"/>
      </w:pPr>
      <w:r w:rsidRPr="007D4EB1">
        <w:t xml:space="preserve">Source: </w:t>
      </w:r>
      <w:r w:rsidR="00DA62B0" w:rsidRPr="007D4EB1">
        <w:t xml:space="preserve">Submission main body, </w:t>
      </w:r>
      <w:r w:rsidR="00846DE8" w:rsidRPr="007D4EB1">
        <w:t>p5 of 2023 Submission.</w:t>
      </w:r>
      <w:r w:rsidRPr="007D4EB1">
        <w:t xml:space="preserve"> </w:t>
      </w:r>
    </w:p>
    <w:p w14:paraId="74077F42" w14:textId="77777777" w:rsidR="00833EBC" w:rsidRDefault="00833EBC">
      <w:pPr>
        <w:jc w:val="left"/>
        <w:rPr>
          <w:rFonts w:ascii="Arial Narrow" w:hAnsi="Arial Narrow" w:cs="Arial"/>
          <w:snapToGrid w:val="0"/>
          <w:sz w:val="18"/>
          <w:szCs w:val="22"/>
          <w:lang w:eastAsia="en-US"/>
        </w:rPr>
      </w:pPr>
      <w:r>
        <w:br w:type="page"/>
      </w:r>
    </w:p>
    <w:p w14:paraId="29A96004" w14:textId="77777777" w:rsidR="00C27C1C" w:rsidRPr="007D4EB1" w:rsidRDefault="00C27C1C" w:rsidP="001F2311">
      <w:pPr>
        <w:pStyle w:val="2-SectionHeading"/>
        <w:numPr>
          <w:ilvl w:val="0"/>
          <w:numId w:val="2"/>
        </w:numPr>
        <w:rPr>
          <w:color w:val="FF0000"/>
        </w:rPr>
      </w:pPr>
      <w:r w:rsidRPr="007D4EB1">
        <w:lastRenderedPageBreak/>
        <w:t xml:space="preserve">Comparator </w:t>
      </w:r>
    </w:p>
    <w:p w14:paraId="15D44345" w14:textId="2E20BC30" w:rsidR="005E5BB6" w:rsidRPr="007D4EB1" w:rsidRDefault="0031647E" w:rsidP="007B249F">
      <w:pPr>
        <w:pStyle w:val="3Bodytext"/>
      </w:pPr>
      <w:r w:rsidRPr="007D4EB1">
        <w:t xml:space="preserve">At its meeting in November 2021, the PBAC considered SEC and GLM as reasonable comparators to IXE in the treatment of </w:t>
      </w:r>
      <w:r w:rsidR="00630035" w:rsidRPr="007D4EB1">
        <w:t>nr-AxSpA</w:t>
      </w:r>
      <w:r w:rsidRPr="007D4EB1">
        <w:t>. The PBAC also considered it reasonable to include CZP as a third comparator (</w:t>
      </w:r>
      <w:r w:rsidR="00E63455" w:rsidRPr="007D4EB1">
        <w:t xml:space="preserve">paragraph </w:t>
      </w:r>
      <w:r w:rsidRPr="007D4EB1">
        <w:t>7.2</w:t>
      </w:r>
      <w:r w:rsidR="005E5BB6" w:rsidRPr="007D4EB1">
        <w:t>, i</w:t>
      </w:r>
      <w:r w:rsidRPr="007D4EB1">
        <w:t>xekizumab PSD, November 2021 PBAC Meeting)</w:t>
      </w:r>
      <w:r w:rsidR="005E5BB6" w:rsidRPr="007D4EB1">
        <w:t>.</w:t>
      </w:r>
    </w:p>
    <w:p w14:paraId="62835B8C" w14:textId="56D39403" w:rsidR="00E732C4" w:rsidRPr="007D4EB1" w:rsidRDefault="00C27C1C" w:rsidP="007B249F">
      <w:pPr>
        <w:pStyle w:val="3Bodytext"/>
      </w:pPr>
      <w:r w:rsidRPr="007D4EB1">
        <w:t>Th</w:t>
      </w:r>
      <w:r w:rsidR="008E655B" w:rsidRPr="007D4EB1">
        <w:t>is</w:t>
      </w:r>
      <w:r w:rsidR="005E5BB6" w:rsidRPr="007D4EB1">
        <w:t xml:space="preserve"> submission did not wish to re</w:t>
      </w:r>
      <w:r w:rsidR="00392DD5" w:rsidRPr="007D4EB1">
        <w:t>-examine</w:t>
      </w:r>
      <w:r w:rsidR="005E5BB6" w:rsidRPr="007D4EB1">
        <w:t xml:space="preserve"> th</w:t>
      </w:r>
      <w:r w:rsidR="005364F3" w:rsidRPr="007D4EB1">
        <w:t>e comparator</w:t>
      </w:r>
      <w:r w:rsidR="004C797A" w:rsidRPr="007D4EB1">
        <w:t>s</w:t>
      </w:r>
      <w:r w:rsidR="005364F3" w:rsidRPr="007D4EB1">
        <w:t xml:space="preserve"> a</w:t>
      </w:r>
      <w:r w:rsidR="007C469F" w:rsidRPr="007D4EB1">
        <w:t>ccepted</w:t>
      </w:r>
      <w:r w:rsidR="005364F3" w:rsidRPr="007D4EB1">
        <w:t xml:space="preserve"> by the</w:t>
      </w:r>
      <w:r w:rsidR="007C469F" w:rsidRPr="007D4EB1">
        <w:t xml:space="preserve"> </w:t>
      </w:r>
      <w:r w:rsidR="005E5BB6" w:rsidRPr="007D4EB1">
        <w:t>PBAC</w:t>
      </w:r>
      <w:r w:rsidR="005364F3" w:rsidRPr="007D4EB1">
        <w:t xml:space="preserve"> in November 2021</w:t>
      </w:r>
      <w:r w:rsidR="005E5BB6" w:rsidRPr="007D4EB1">
        <w:t>.</w:t>
      </w:r>
    </w:p>
    <w:p w14:paraId="0436B7D8" w14:textId="77777777" w:rsidR="00C27C1C" w:rsidRPr="007D4EB1" w:rsidRDefault="00C27C1C" w:rsidP="003C20B3">
      <w:pPr>
        <w:pStyle w:val="Heading1"/>
        <w:keepNext/>
        <w:keepLines/>
        <w:numPr>
          <w:ilvl w:val="0"/>
          <w:numId w:val="2"/>
        </w:numPr>
        <w:spacing w:before="240"/>
        <w:ind w:left="709" w:hanging="709"/>
        <w:rPr>
          <w:sz w:val="32"/>
          <w:szCs w:val="32"/>
        </w:rPr>
      </w:pPr>
      <w:r w:rsidRPr="007D4EB1">
        <w:rPr>
          <w:sz w:val="32"/>
          <w:szCs w:val="32"/>
        </w:rPr>
        <w:t>Consideration of the evidence</w:t>
      </w:r>
    </w:p>
    <w:p w14:paraId="473FF9DE" w14:textId="77777777" w:rsidR="00005304" w:rsidRPr="007D4EB1" w:rsidRDefault="00005304" w:rsidP="00CF23CF">
      <w:pPr>
        <w:pStyle w:val="4-SubsectionHeading"/>
      </w:pPr>
      <w:bookmarkStart w:id="1" w:name="_Hlk76375935"/>
      <w:r w:rsidRPr="007D4EB1">
        <w:t>Sponsor hearing</w:t>
      </w:r>
    </w:p>
    <w:p w14:paraId="2D1CD2D3" w14:textId="48B15134" w:rsidR="00005304" w:rsidRPr="007D4EB1" w:rsidRDefault="00005304" w:rsidP="00005304">
      <w:pPr>
        <w:widowControl w:val="0"/>
        <w:numPr>
          <w:ilvl w:val="1"/>
          <w:numId w:val="26"/>
        </w:numPr>
        <w:spacing w:after="120"/>
        <w:rPr>
          <w:rFonts w:cs="Calibri"/>
          <w:bCs/>
          <w:snapToGrid w:val="0"/>
        </w:rPr>
      </w:pPr>
      <w:r w:rsidRPr="007D4EB1">
        <w:rPr>
          <w:rFonts w:cs="Calibri"/>
          <w:bCs/>
          <w:snapToGrid w:val="0"/>
        </w:rPr>
        <w:t>There was no hearing for this item.</w:t>
      </w:r>
    </w:p>
    <w:p w14:paraId="45D0C2DE" w14:textId="77777777" w:rsidR="00005304" w:rsidRPr="007D4EB1" w:rsidRDefault="00005304" w:rsidP="00CF23CF">
      <w:pPr>
        <w:pStyle w:val="4-SubsectionHeading"/>
      </w:pPr>
      <w:r w:rsidRPr="007D4EB1">
        <w:t>Consumer comments</w:t>
      </w:r>
    </w:p>
    <w:p w14:paraId="118B093A" w14:textId="70ED14D2" w:rsidR="00005304" w:rsidRPr="007D4EB1" w:rsidRDefault="00005304" w:rsidP="00005304">
      <w:pPr>
        <w:widowControl w:val="0"/>
        <w:numPr>
          <w:ilvl w:val="1"/>
          <w:numId w:val="26"/>
        </w:numPr>
        <w:spacing w:after="120"/>
        <w:rPr>
          <w:rFonts w:asciiTheme="minorHAnsi" w:hAnsiTheme="minorHAnsi" w:cs="Arial"/>
          <w:bCs/>
          <w:snapToGrid w:val="0"/>
        </w:rPr>
      </w:pPr>
      <w:bookmarkStart w:id="2" w:name="_Hlk76382618"/>
      <w:r w:rsidRPr="007D4EB1">
        <w:rPr>
          <w:rFonts w:asciiTheme="minorHAnsi" w:hAnsiTheme="minorHAnsi" w:cs="Arial"/>
          <w:bCs/>
          <w:snapToGrid w:val="0"/>
        </w:rPr>
        <w:t>The PBAC noted that no consumer comments were received for this item.</w:t>
      </w:r>
      <w:bookmarkEnd w:id="1"/>
      <w:bookmarkEnd w:id="2"/>
    </w:p>
    <w:p w14:paraId="29B04B1E" w14:textId="45B2CF66" w:rsidR="00DF57AE" w:rsidRPr="007D4EB1" w:rsidRDefault="00DF57AE" w:rsidP="00C27C1C">
      <w:pPr>
        <w:pStyle w:val="4-SubsectionHeading"/>
        <w:keepNext w:val="0"/>
        <w:rPr>
          <w:lang w:eastAsia="en-US"/>
        </w:rPr>
      </w:pPr>
      <w:r w:rsidRPr="007D4EB1">
        <w:rPr>
          <w:lang w:eastAsia="en-US"/>
        </w:rPr>
        <w:t>Justification of Changes to Recommended Maximum Dispensing Quantity</w:t>
      </w:r>
    </w:p>
    <w:p w14:paraId="1751EB46" w14:textId="44CE8199" w:rsidR="00AA0CA4" w:rsidRPr="007D4EB1" w:rsidRDefault="0086701D" w:rsidP="00AA0CA4">
      <w:pPr>
        <w:pStyle w:val="3Bodytext"/>
      </w:pPr>
      <w:r w:rsidRPr="007D4EB1">
        <w:t xml:space="preserve">Concerning the maximum quantity/amount that can be requested for a proposed medicine, </w:t>
      </w:r>
      <w:r w:rsidR="00AA0CA4" w:rsidRPr="007D4EB1">
        <w:t>the PBAC Guidelines</w:t>
      </w:r>
      <w:r w:rsidR="00B4487A" w:rsidRPr="007D4EB1">
        <w:t xml:space="preserve"> stat</w:t>
      </w:r>
      <w:r w:rsidRPr="007D4EB1">
        <w:t>e</w:t>
      </w:r>
      <w:r w:rsidR="00AA0CA4" w:rsidRPr="007D4EB1">
        <w:t xml:space="preserve"> that “for a chronic-use therapy, [the submission must] demonstrate that the maximum quantity/amount is consistent with the likely use of the proposed medicine for one month of therapy between each dispensing by the pharmacist, and that the number of repeats (usually) permits six months of therapy between each prescription” (Guidelines for preparing a submission to the Pharmaceutical Benefits Advisory Committee, Version 5.0, September 2016). </w:t>
      </w:r>
      <w:r w:rsidR="00B4487A" w:rsidRPr="007D4EB1">
        <w:t>The guidelines state that d</w:t>
      </w:r>
      <w:r w:rsidR="00AA0CA4" w:rsidRPr="007D4EB1">
        <w:t>eviations from this must be justified such as to “to minimise wastage or to facilitate intermittent therapy” and submissions also must “demonstrate that the requested maximum quantities/amounts and the requested numbers of any repeats are consistent with the TGA-approved dosage recommendations” (Guidelines for preparing a submission to the Pharmaceutical Benefits Advisory Committee, Version 5.0, September 2016).</w:t>
      </w:r>
      <w:r w:rsidR="00E6333D" w:rsidRPr="007D4EB1">
        <w:t xml:space="preserve"> In this context, minimising wastage is in reference to </w:t>
      </w:r>
      <w:r w:rsidR="001200FC" w:rsidRPr="007D4EB1">
        <w:t>medicine that has been dispensed but not used.</w:t>
      </w:r>
    </w:p>
    <w:p w14:paraId="3CBB9DEB" w14:textId="7BE20F49" w:rsidR="00AA0CA4" w:rsidRPr="007D4EB1" w:rsidRDefault="0086701D" w:rsidP="00AA0CA4">
      <w:pPr>
        <w:pStyle w:val="3Bodytext"/>
      </w:pPr>
      <w:r w:rsidRPr="007D4EB1">
        <w:t>The submission presented several reasons to justify the listing of a 2-pen pack (or two month’s supply) as a deviation to supplying one month of therapy</w:t>
      </w:r>
      <w:r w:rsidR="00AA0CA4" w:rsidRPr="007D4EB1">
        <w:t>:</w:t>
      </w:r>
    </w:p>
    <w:p w14:paraId="04A610C6" w14:textId="77777777" w:rsidR="00AA0CA4" w:rsidRPr="007D4EB1" w:rsidRDefault="00AA0CA4" w:rsidP="00AA0CA4">
      <w:pPr>
        <w:pStyle w:val="PBACBullet"/>
      </w:pPr>
      <w:r w:rsidRPr="007D4EB1">
        <w:t>The sponsor registered the 1-pen pack with the TGA with the intention that it be used for sampling, and not be marketed.</w:t>
      </w:r>
    </w:p>
    <w:p w14:paraId="71DE2B95" w14:textId="76B92AE4" w:rsidR="00AA0CA4" w:rsidRPr="007D4EB1" w:rsidRDefault="00F50EAA" w:rsidP="00AA0CA4">
      <w:pPr>
        <w:pStyle w:val="PBACBullet"/>
      </w:pPr>
      <w:r w:rsidRPr="007D4EB1">
        <w:t>The sponsor conducted an i</w:t>
      </w:r>
      <w:r w:rsidR="00AA0CA4" w:rsidRPr="007D4EB1">
        <w:t xml:space="preserve">nternal analysis </w:t>
      </w:r>
      <w:r w:rsidRPr="007D4EB1">
        <w:t>that present</w:t>
      </w:r>
      <w:r w:rsidR="00AA0CA4" w:rsidRPr="007D4EB1">
        <w:t>s “many complications associated with of the introduction of a 1-pen pack” including:</w:t>
      </w:r>
    </w:p>
    <w:p w14:paraId="733AE10C" w14:textId="77777777" w:rsidR="00AA0CA4" w:rsidRPr="007D4EB1" w:rsidRDefault="00AA0CA4" w:rsidP="00AA0CA4">
      <w:pPr>
        <w:pStyle w:val="PBACBullet"/>
        <w:numPr>
          <w:ilvl w:val="0"/>
          <w:numId w:val="23"/>
        </w:numPr>
        <w:ind w:hanging="294"/>
      </w:pPr>
      <w:r w:rsidRPr="007D4EB1">
        <w:t xml:space="preserve">“International price referencing concerns”, which “presents a risk to continuity of supply as our organisation may apply pressure to withdraw, in order to </w:t>
      </w:r>
      <w:r w:rsidRPr="007D4EB1">
        <w:lastRenderedPageBreak/>
        <w:t>mitigate a broader risk.” The sponsor says that this would impact patients who are prescribed IXE for other indications, such as chronic plaque psoriasis (CPP).</w:t>
      </w:r>
    </w:p>
    <w:p w14:paraId="34D8752F" w14:textId="77777777" w:rsidR="00AA0CA4" w:rsidRPr="007D4EB1" w:rsidRDefault="00AA0CA4" w:rsidP="00AA0CA4">
      <w:pPr>
        <w:pStyle w:val="PBACBullet"/>
        <w:numPr>
          <w:ilvl w:val="0"/>
          <w:numId w:val="23"/>
        </w:numPr>
        <w:ind w:hanging="294"/>
      </w:pPr>
      <w:r w:rsidRPr="007D4EB1">
        <w:t>Cold-chain costs for the higher volume of packaging required for two 1-pen packs versus one 2-pen pack.</w:t>
      </w:r>
    </w:p>
    <w:p w14:paraId="6F144E3C" w14:textId="77777777" w:rsidR="00AA0CA4" w:rsidRPr="007D4EB1" w:rsidRDefault="00AA0CA4" w:rsidP="00AA0CA4">
      <w:pPr>
        <w:pStyle w:val="PBACBullet"/>
        <w:numPr>
          <w:ilvl w:val="0"/>
          <w:numId w:val="23"/>
        </w:numPr>
        <w:ind w:hanging="294"/>
      </w:pPr>
      <w:r w:rsidRPr="007D4EB1">
        <w:t>That the cost to manufacture the 1-pen pack is relatively higher than the 2-pen pack i.e. the cost is not proportional for the smaller pack size.</w:t>
      </w:r>
    </w:p>
    <w:p w14:paraId="790A3C8B" w14:textId="77777777" w:rsidR="00AA0CA4" w:rsidRPr="007D4EB1" w:rsidRDefault="00AA0CA4" w:rsidP="00AA0CA4">
      <w:pPr>
        <w:pStyle w:val="PBACBullet"/>
        <w:numPr>
          <w:ilvl w:val="0"/>
          <w:numId w:val="23"/>
        </w:numPr>
        <w:ind w:hanging="294"/>
      </w:pPr>
      <w:r w:rsidRPr="007D4EB1">
        <w:t>Difficulty in forecasting and manufacturing stock to meet the requirements of a market with both 1-pen and 2-pen packs, leading to stock shortages. The sponsor argued that the shortage occurred in Germany for this reason.</w:t>
      </w:r>
    </w:p>
    <w:p w14:paraId="18C19E4E" w14:textId="77777777" w:rsidR="00AA0CA4" w:rsidRPr="007D4EB1" w:rsidRDefault="00AA0CA4" w:rsidP="00AA0CA4">
      <w:pPr>
        <w:pStyle w:val="PBACBullet"/>
        <w:numPr>
          <w:ilvl w:val="0"/>
          <w:numId w:val="23"/>
        </w:numPr>
        <w:ind w:hanging="294"/>
      </w:pPr>
      <w:r w:rsidRPr="007D4EB1">
        <w:t>Over-forecasting leading to expired stock (wastage).</w:t>
      </w:r>
    </w:p>
    <w:p w14:paraId="56E2C8E9" w14:textId="77777777" w:rsidR="00AA0CA4" w:rsidRPr="007D4EB1" w:rsidRDefault="00AA0CA4" w:rsidP="00AA0CA4">
      <w:pPr>
        <w:pStyle w:val="PBACBullet"/>
      </w:pPr>
      <w:r w:rsidRPr="007D4EB1">
        <w:t>The sponsor has not seen specific requests from clinicians and patients for a 1-pen pack since the 2-pen pack was listed in 2017 for other conditions.</w:t>
      </w:r>
    </w:p>
    <w:p w14:paraId="554283C9" w14:textId="77777777" w:rsidR="00AA0CA4" w:rsidRPr="007D4EB1" w:rsidRDefault="00AA0CA4" w:rsidP="00AA0CA4">
      <w:pPr>
        <w:pStyle w:val="PBACBullet"/>
      </w:pPr>
      <w:r w:rsidRPr="007D4EB1">
        <w:t>Clinicians and patients are familiar with the dosing schedule for a 2-pen pack and that a 1-pen pack may cause confusion and incorrect dosing advice from clinicians and pharmacists.</w:t>
      </w:r>
    </w:p>
    <w:p w14:paraId="73C69A7F" w14:textId="7A3149D4" w:rsidR="00AA0CA4" w:rsidRPr="007D4EB1" w:rsidRDefault="00B9384A" w:rsidP="00AA0CA4">
      <w:pPr>
        <w:pStyle w:val="3Bodytext"/>
      </w:pPr>
      <w:r w:rsidRPr="007D4EB1">
        <w:t>It was noted that a</w:t>
      </w:r>
      <w:r w:rsidR="00AA0CA4" w:rsidRPr="007D4EB1">
        <w:t xml:space="preserve"> sponsor’s intentions when registering a pack size with the TGA, international price referencing concerns, cold chain and manufacturing costs and issues with stock forecasting are the responsibility of the sponsor</w:t>
      </w:r>
      <w:r w:rsidR="00CC7921" w:rsidRPr="007D4EB1">
        <w:t xml:space="preserve"> and are not matters for PBAC consideration</w:t>
      </w:r>
      <w:r w:rsidR="00AA0CA4" w:rsidRPr="007D4EB1">
        <w:t>.</w:t>
      </w:r>
      <w:r w:rsidR="00E6333D" w:rsidRPr="007D4EB1">
        <w:t xml:space="preserve"> </w:t>
      </w:r>
      <w:r w:rsidR="001200FC" w:rsidRPr="007D4EB1">
        <w:t>Furthermore, it was noted that expired warehouse stock is not the type of wastage that is referenced in the PBAC Guidelines.</w:t>
      </w:r>
    </w:p>
    <w:p w14:paraId="701A67B0" w14:textId="44675267" w:rsidR="00AA0CA4" w:rsidRPr="007D4EB1" w:rsidRDefault="00AA0CA4" w:rsidP="00AA0CA4">
      <w:pPr>
        <w:pStyle w:val="3Bodytext"/>
      </w:pPr>
      <w:bookmarkStart w:id="3" w:name="_Ref140836897"/>
      <w:r w:rsidRPr="007D4EB1">
        <w:t xml:space="preserve">The submission raised quality use of medicine concerns </w:t>
      </w:r>
      <w:r w:rsidR="006F44CD" w:rsidRPr="007D4EB1">
        <w:t xml:space="preserve">about </w:t>
      </w:r>
      <w:r w:rsidRPr="007D4EB1">
        <w:t xml:space="preserve">confusion and incorrect dosing advice from clinicians and pharmacists if a 1-pen pack </w:t>
      </w:r>
      <w:r w:rsidR="006F44CD" w:rsidRPr="007D4EB1">
        <w:t>were to be</w:t>
      </w:r>
      <w:r w:rsidRPr="007D4EB1">
        <w:t xml:space="preserve"> introduced</w:t>
      </w:r>
      <w:r w:rsidR="000E779B" w:rsidRPr="007D4EB1">
        <w:t xml:space="preserve">. This </w:t>
      </w:r>
      <w:r w:rsidR="008862DC" w:rsidRPr="007D4EB1">
        <w:t>concern was</w:t>
      </w:r>
      <w:r w:rsidR="000E779B" w:rsidRPr="007D4EB1">
        <w:t xml:space="preserve"> </w:t>
      </w:r>
      <w:r w:rsidRPr="007D4EB1">
        <w:t>not adequately justified</w:t>
      </w:r>
      <w:r w:rsidR="000E779B" w:rsidRPr="007D4EB1">
        <w:t xml:space="preserve"> in the submission a</w:t>
      </w:r>
      <w:r w:rsidRPr="007D4EB1">
        <w:t xml:space="preserve">s </w:t>
      </w:r>
      <w:r w:rsidR="006F44CD" w:rsidRPr="007D4EB1">
        <w:t xml:space="preserve">both </w:t>
      </w:r>
      <w:r w:rsidRPr="007D4EB1">
        <w:t>the 2-pen pack</w:t>
      </w:r>
      <w:r w:rsidR="006376D0" w:rsidRPr="007D4EB1">
        <w:t xml:space="preserve"> and</w:t>
      </w:r>
      <w:r w:rsidRPr="007D4EB1">
        <w:t xml:space="preserve"> 1-pen pack is dosed as 1-pen per month (4 weeks). Clinicians, pharmacists and patients would be familiar with monthly dosing for IXE as well as GLM, SEC and CZP, noting that SEC and CZP have more complex dosing regimens for </w:t>
      </w:r>
      <w:r w:rsidR="006376D0" w:rsidRPr="007D4EB1">
        <w:t xml:space="preserve">the </w:t>
      </w:r>
      <w:r w:rsidRPr="007D4EB1">
        <w:t>initiation phase.</w:t>
      </w:r>
      <w:r w:rsidR="008862DC" w:rsidRPr="007D4EB1">
        <w:t xml:space="preserve"> The Pre-PBAC response </w:t>
      </w:r>
      <w:r w:rsidR="006376D0" w:rsidRPr="007D4EB1">
        <w:t xml:space="preserve">stated </w:t>
      </w:r>
      <w:r w:rsidR="008862DC" w:rsidRPr="007D4EB1">
        <w:t xml:space="preserve">that the confusion would exist for clinicians treating conditions other than </w:t>
      </w:r>
      <w:r w:rsidR="00C57B5D" w:rsidRPr="007D4EB1">
        <w:t>nr-AxSpA with the currently listed 2-pen pack</w:t>
      </w:r>
      <w:r w:rsidR="00DE0D91" w:rsidRPr="007D4EB1">
        <w:t xml:space="preserve"> and could </w:t>
      </w:r>
      <w:r w:rsidR="00C57B5D" w:rsidRPr="007D4EB1">
        <w:t xml:space="preserve">lead to miscommunication to patients. This </w:t>
      </w:r>
      <w:r w:rsidR="00DE0D91" w:rsidRPr="007D4EB1">
        <w:t>response assumes that</w:t>
      </w:r>
      <w:r w:rsidR="00C57B5D" w:rsidRPr="007D4EB1">
        <w:t xml:space="preserve"> clinicians and pharmacists are </w:t>
      </w:r>
      <w:r w:rsidR="00DE0D91" w:rsidRPr="007D4EB1">
        <w:t xml:space="preserve">not </w:t>
      </w:r>
      <w:r w:rsidR="00C57B5D" w:rsidRPr="007D4EB1">
        <w:t xml:space="preserve">already familiar with differentiating </w:t>
      </w:r>
      <w:r w:rsidR="00DE0D91" w:rsidRPr="007D4EB1">
        <w:t xml:space="preserve">the </w:t>
      </w:r>
      <w:r w:rsidR="00C57B5D" w:rsidRPr="007D4EB1">
        <w:t>dosing regimen</w:t>
      </w:r>
      <w:r w:rsidR="00DE0D91" w:rsidRPr="007D4EB1">
        <w:t>s</w:t>
      </w:r>
      <w:r w:rsidR="00C57B5D" w:rsidRPr="007D4EB1">
        <w:t xml:space="preserve"> for different indications.</w:t>
      </w:r>
      <w:bookmarkEnd w:id="3"/>
    </w:p>
    <w:p w14:paraId="7A8F89BB" w14:textId="67615F14" w:rsidR="00BC2F7E" w:rsidRPr="007D4EB1" w:rsidRDefault="00AA0CA4" w:rsidP="004177C6">
      <w:pPr>
        <w:pStyle w:val="3Bodytext"/>
      </w:pPr>
      <w:r w:rsidRPr="007D4EB1">
        <w:t xml:space="preserve">The PBAC </w:t>
      </w:r>
      <w:r w:rsidR="00CC5942" w:rsidRPr="007D4EB1">
        <w:t xml:space="preserve">did </w:t>
      </w:r>
      <w:r w:rsidRPr="007D4EB1">
        <w:t>not recommend two-months dispensing for bDMARDs as part of the “</w:t>
      </w:r>
      <w:hyperlink r:id="rId8" w:history="1">
        <w:r w:rsidRPr="007D4EB1">
          <w:rPr>
            <w:snapToGrid w:val="0"/>
          </w:rPr>
          <w:t>Medicine List for Increased Dispensing Quantities</w:t>
        </w:r>
      </w:hyperlink>
      <w:r w:rsidRPr="007D4EB1">
        <w:rPr>
          <w:snapToGrid w:val="0"/>
        </w:rPr>
        <w:t xml:space="preserve">” for the 60 day dispensing of PBS medicines </w:t>
      </w:r>
      <w:r w:rsidRPr="007D4EB1">
        <w:t xml:space="preserve">budget measure </w:t>
      </w:r>
      <w:r w:rsidRPr="007D4EB1">
        <w:rPr>
          <w:snapToGrid w:val="0"/>
        </w:rPr>
        <w:t>policy</w:t>
      </w:r>
      <w:r w:rsidRPr="007D4EB1" w:rsidDel="00EB53F5">
        <w:t xml:space="preserve"> </w:t>
      </w:r>
      <w:r w:rsidRPr="007D4EB1">
        <w:t xml:space="preserve">where the PBAC considered the “clinical safety and suitability for inclusion” of the drugs listed in this recommendation. </w:t>
      </w:r>
      <w:r w:rsidR="004177C6" w:rsidRPr="007D4EB1">
        <w:t xml:space="preserve">The sponsor raised in the Pre-PBAC </w:t>
      </w:r>
      <w:r w:rsidR="00622E48">
        <w:t>r</w:t>
      </w:r>
      <w:r w:rsidR="004177C6" w:rsidRPr="007D4EB1">
        <w:t xml:space="preserve">esponse that IXE has been listed as a 2-pen pack “since February 2017 for three different indications without any concerns about the clinical safety”. </w:t>
      </w:r>
      <w:r w:rsidR="00BC2F7E" w:rsidRPr="007D4EB1">
        <w:t>As part of the consideration of SEC in July 2017 and July 2021, the PBAC in both instances recommended that the maximum quantity for IXE for the treatment of CPP be amended such that only 1 months’ supply is dispensed.</w:t>
      </w:r>
    </w:p>
    <w:p w14:paraId="4008BBB4" w14:textId="3B73D467" w:rsidR="00AA0CA4" w:rsidRPr="007D4EB1" w:rsidRDefault="00CC5942" w:rsidP="004177C6">
      <w:pPr>
        <w:pStyle w:val="3Bodytext"/>
      </w:pPr>
      <w:bookmarkStart w:id="4" w:name="_Ref140837688"/>
      <w:r w:rsidRPr="007D4EB1">
        <w:lastRenderedPageBreak/>
        <w:t>Listing IXE with two months’ supply per dispensing (and by implication, only one patient co-payment per 2 months) could be perceived as an unfair advantage to IXE compared to other bDMARDs listed for the same indication. Requests from the sponsor of SEC to increase the listed maximum quantity of SEC to 2 months’ supply were not recommended by the PBAC at both its July 2017 and July 2021 PBAC meetings (</w:t>
      </w:r>
      <w:r w:rsidR="00C05828" w:rsidRPr="007D4EB1">
        <w:t>p</w:t>
      </w:r>
      <w:r w:rsidRPr="007D4EB1">
        <w:t xml:space="preserve">aragraphs 5.1 - 5.2, Secukinumab PSD July 2017 PBAC meeting, and paragraphs 5.1 - 5.2, Secukinumab PSD July 2021 PBAC meeting). </w:t>
      </w:r>
      <w:r w:rsidR="00C05828" w:rsidRPr="007D4EB1">
        <w:t xml:space="preserve">In the July 2021 consideration of secukinumab, “the submission claimed that the different maximum quantity between secukinumab and ixekizumab may incentivise prescribers and patients to choose ixekizumab over secukinumab” (paragraphs 5.3, Secukinumab PSD July 2021 PBAC meeting). </w:t>
      </w:r>
      <w:r w:rsidRPr="007D4EB1">
        <w:t xml:space="preserve">In its Pre-PBAC </w:t>
      </w:r>
      <w:r w:rsidR="00622E48">
        <w:t>r</w:t>
      </w:r>
      <w:r w:rsidRPr="007D4EB1">
        <w:t>espons</w:t>
      </w:r>
      <w:r w:rsidR="00450F3E">
        <w:t>e</w:t>
      </w:r>
      <w:r w:rsidRPr="007D4EB1">
        <w:t xml:space="preserve"> the sponsor raised that in paragraph 5.3 from the Secukinumab PSD of the July 2021 PBAC meeting, the PBAC “considered that choice of treatment would be largely driven by individual patient characteristics related to clinical suitability to a particular drug and clinician familiarity with the drug.” While this is true, it does not negate the perception amongst sponsors that an unfair advantage could arise when the PBAC Guidelines are not applied to medicines of the </w:t>
      </w:r>
      <w:r w:rsidR="001467E8" w:rsidRPr="007D4EB1">
        <w:t xml:space="preserve">same </w:t>
      </w:r>
      <w:r w:rsidRPr="007D4EB1">
        <w:t>class and for the same indication</w:t>
      </w:r>
      <w:r w:rsidR="00BC052A" w:rsidRPr="007D4EB1">
        <w:t>, especially where a patient’s individual characteristics may make them clinically suitable to use either drug</w:t>
      </w:r>
      <w:r w:rsidRPr="007D4EB1">
        <w:t>.</w:t>
      </w:r>
      <w:bookmarkEnd w:id="4"/>
    </w:p>
    <w:p w14:paraId="6017534F" w14:textId="38A84F36" w:rsidR="00D84FC2" w:rsidRPr="007D4EB1" w:rsidRDefault="00D84FC2" w:rsidP="00BD0F43">
      <w:pPr>
        <w:pStyle w:val="3Bodytext"/>
      </w:pPr>
      <w:r w:rsidRPr="007D4EB1">
        <w:t>In its November 2021 consideration, “The PBAC considered that, because IXE would be the fourth bDMARD for nr-AxSpA, there was no urgent clinical need for an additional bDMARD to be listed for this indication” (</w:t>
      </w:r>
      <w:r w:rsidR="00E63455" w:rsidRPr="007D4EB1">
        <w:t>para</w:t>
      </w:r>
      <w:r w:rsidRPr="007D4EB1">
        <w:t xml:space="preserve">graph 7.4, ixekizumab PSD, November 2021 PBAC Meeting). It was noted that if </w:t>
      </w:r>
      <w:r w:rsidR="00AC4EFE" w:rsidRPr="007D4EB1">
        <w:t>UPA</w:t>
      </w:r>
      <w:r w:rsidRPr="007D4EB1">
        <w:t xml:space="preserve"> lists on the PBS for this indication, IXE would be the fifth bDMARD for nr-AxSpA.</w:t>
      </w:r>
    </w:p>
    <w:p w14:paraId="3F679FE9" w14:textId="6C287AAF" w:rsidR="00C27C1C" w:rsidRPr="007D4EB1" w:rsidRDefault="00C27C1C" w:rsidP="00C27C1C">
      <w:pPr>
        <w:pStyle w:val="4-SubsectionHeading"/>
        <w:keepNext w:val="0"/>
        <w:rPr>
          <w:lang w:eastAsia="en-US"/>
        </w:rPr>
      </w:pPr>
      <w:r w:rsidRPr="007D4EB1">
        <w:rPr>
          <w:lang w:eastAsia="en-US"/>
        </w:rPr>
        <w:t>Clinical</w:t>
      </w:r>
      <w:r w:rsidR="00AA0CA4" w:rsidRPr="007D4EB1">
        <w:rPr>
          <w:lang w:eastAsia="en-US"/>
        </w:rPr>
        <w:t xml:space="preserve"> evidence</w:t>
      </w:r>
    </w:p>
    <w:p w14:paraId="4A3CE3BB" w14:textId="3594FFD1" w:rsidR="00B6533B" w:rsidRPr="007D4EB1" w:rsidRDefault="00C27C1C" w:rsidP="007B249F">
      <w:pPr>
        <w:pStyle w:val="3Bodytext"/>
      </w:pPr>
      <w:bookmarkStart w:id="5" w:name="_Hlk86163265"/>
      <w:r w:rsidRPr="007D4EB1">
        <w:t>Th</w:t>
      </w:r>
      <w:r w:rsidR="008E655B" w:rsidRPr="007D4EB1">
        <w:t>is</w:t>
      </w:r>
      <w:r w:rsidR="005E5BB6" w:rsidRPr="007D4EB1">
        <w:t xml:space="preserve"> </w:t>
      </w:r>
      <w:r w:rsidRPr="007D4EB1">
        <w:t>submissio</w:t>
      </w:r>
      <w:r w:rsidR="005E5BB6" w:rsidRPr="007D4EB1">
        <w:t>n did not present any new clinical data</w:t>
      </w:r>
      <w:r w:rsidR="008D7BAC" w:rsidRPr="007D4EB1">
        <w:t>, nor did it seek to review the clinical claim.</w:t>
      </w:r>
    </w:p>
    <w:bookmarkEnd w:id="5"/>
    <w:p w14:paraId="1A1D98DB" w14:textId="17D31116" w:rsidR="005E5BB6" w:rsidRPr="007D4EB1" w:rsidRDefault="005E5BB6" w:rsidP="007B249F">
      <w:pPr>
        <w:pStyle w:val="3Bodytext"/>
        <w:rPr>
          <w:lang w:eastAsia="en-US"/>
        </w:rPr>
      </w:pPr>
      <w:r w:rsidRPr="007D4EB1">
        <w:rPr>
          <w:lang w:eastAsia="en-US"/>
        </w:rPr>
        <w:t xml:space="preserve">At its November 2021 meeting, the PBAC considered </w:t>
      </w:r>
      <w:r w:rsidR="00C01068" w:rsidRPr="007D4EB1">
        <w:rPr>
          <w:lang w:eastAsia="en-US"/>
        </w:rPr>
        <w:t>the</w:t>
      </w:r>
      <w:r w:rsidRPr="007D4EB1">
        <w:rPr>
          <w:lang w:eastAsia="en-US"/>
        </w:rPr>
        <w:t xml:space="preserve"> claim that IXE had non-inferior efficacy </w:t>
      </w:r>
      <w:r w:rsidR="008D7BAC" w:rsidRPr="007D4EB1">
        <w:rPr>
          <w:lang w:eastAsia="en-US"/>
        </w:rPr>
        <w:t xml:space="preserve">and safety </w:t>
      </w:r>
      <w:r w:rsidRPr="007D4EB1">
        <w:rPr>
          <w:lang w:eastAsia="en-US"/>
        </w:rPr>
        <w:t>compared to GLM and SEC</w:t>
      </w:r>
      <w:r w:rsidR="00C01068" w:rsidRPr="007D4EB1">
        <w:rPr>
          <w:lang w:eastAsia="en-US"/>
        </w:rPr>
        <w:t xml:space="preserve"> was reasonable</w:t>
      </w:r>
      <w:r w:rsidRPr="007D4EB1">
        <w:rPr>
          <w:lang w:eastAsia="en-US"/>
        </w:rPr>
        <w:t>.</w:t>
      </w:r>
    </w:p>
    <w:p w14:paraId="45D181E4" w14:textId="77777777" w:rsidR="00C27C1C" w:rsidRPr="007D4EB1" w:rsidRDefault="00C27C1C" w:rsidP="00C27C1C">
      <w:pPr>
        <w:pStyle w:val="4-SubsectionHeading"/>
        <w:rPr>
          <w:lang w:eastAsia="en-US"/>
        </w:rPr>
      </w:pPr>
      <w:r w:rsidRPr="007D4EB1">
        <w:rPr>
          <w:lang w:eastAsia="en-US"/>
        </w:rPr>
        <w:t xml:space="preserve">Economic analysis </w:t>
      </w:r>
    </w:p>
    <w:p w14:paraId="594FCBFC" w14:textId="2579B1B9" w:rsidR="00C27C1C" w:rsidRPr="007D4EB1" w:rsidRDefault="00C27C1C" w:rsidP="007B249F">
      <w:pPr>
        <w:pStyle w:val="3Bodytext"/>
        <w:rPr>
          <w:rFonts w:cstheme="minorHAnsi"/>
          <w:szCs w:val="24"/>
        </w:rPr>
      </w:pPr>
      <w:bookmarkStart w:id="6" w:name="_Ref136594135"/>
      <w:r w:rsidRPr="007D4EB1">
        <w:t>As a Category 4</w:t>
      </w:r>
      <w:r w:rsidR="00C03426" w:rsidRPr="007D4EB1">
        <w:t xml:space="preserve"> </w:t>
      </w:r>
      <w:r w:rsidRPr="007D4EB1">
        <w:t>submission, the economic analysis has not been independently evaluated</w:t>
      </w:r>
      <w:r w:rsidR="00C03426" w:rsidRPr="007D4EB1">
        <w:t>.</w:t>
      </w:r>
      <w:bookmarkEnd w:id="6"/>
    </w:p>
    <w:p w14:paraId="1215394C" w14:textId="16EDC77B" w:rsidR="005F6C79" w:rsidRPr="007D4EB1" w:rsidRDefault="00C27C1C" w:rsidP="007B249F">
      <w:pPr>
        <w:pStyle w:val="3Bodytext"/>
        <w:rPr>
          <w:rFonts w:cstheme="minorHAnsi"/>
          <w:szCs w:val="24"/>
        </w:rPr>
      </w:pPr>
      <w:r w:rsidRPr="007D4EB1">
        <w:t xml:space="preserve">The </w:t>
      </w:r>
      <w:r w:rsidR="005F6C79" w:rsidRPr="007D4EB1">
        <w:t xml:space="preserve">PBAC had previously accepted that it would be reasonable to list IXE </w:t>
      </w:r>
      <w:r w:rsidR="00F80934" w:rsidRPr="007D4EB1">
        <w:t xml:space="preserve">for this indication </w:t>
      </w:r>
      <w:r w:rsidR="005F6C79" w:rsidRPr="007D4EB1">
        <w:t xml:space="preserve">based on </w:t>
      </w:r>
      <w:r w:rsidR="00F52EF2" w:rsidRPr="007D4EB1">
        <w:t xml:space="preserve">a </w:t>
      </w:r>
      <w:r w:rsidRPr="007D4EB1">
        <w:t>cost-minimisation analysis compared with</w:t>
      </w:r>
      <w:r w:rsidR="005F6C79" w:rsidRPr="007D4EB1">
        <w:t xml:space="preserve"> the “least costly alternative bDMARD over 2 years” (para</w:t>
      </w:r>
      <w:r w:rsidR="004046B1" w:rsidRPr="007D4EB1">
        <w:t>graph</w:t>
      </w:r>
      <w:r w:rsidR="005F6C79" w:rsidRPr="007D4EB1">
        <w:t xml:space="preserve"> 7.8 IXE PSD, November 2021 PBAC Meeting)</w:t>
      </w:r>
      <w:r w:rsidRPr="007D4EB1">
        <w:t xml:space="preserve">. </w:t>
      </w:r>
    </w:p>
    <w:p w14:paraId="5506DEAF" w14:textId="1D352B19" w:rsidR="005F6C79" w:rsidRPr="007D4EB1" w:rsidRDefault="005F6C79" w:rsidP="007B249F">
      <w:pPr>
        <w:pStyle w:val="3Bodytext"/>
      </w:pPr>
      <w:r w:rsidRPr="007D4EB1">
        <w:t>In November 2021 (para</w:t>
      </w:r>
      <w:r w:rsidR="004046B1" w:rsidRPr="007D4EB1">
        <w:t>graph</w:t>
      </w:r>
      <w:r w:rsidRPr="007D4EB1">
        <w:t xml:space="preserve"> 7.1</w:t>
      </w:r>
      <w:r w:rsidR="004046B1" w:rsidRPr="007D4EB1">
        <w:t xml:space="preserve"> IXE PSD, November 2021 PBAC Meeting</w:t>
      </w:r>
      <w:r w:rsidRPr="007D4EB1">
        <w:t xml:space="preserve">), the PBAC advised the equi-effective doses were: </w:t>
      </w:r>
    </w:p>
    <w:p w14:paraId="3BDDE402" w14:textId="77777777" w:rsidR="005F6C79" w:rsidRPr="007D4EB1" w:rsidRDefault="005F6C79" w:rsidP="007B249F">
      <w:pPr>
        <w:pStyle w:val="PBACBullet"/>
      </w:pPr>
      <w:r w:rsidRPr="007D4EB1">
        <w:t xml:space="preserve">IXE 80 mg once every four </w:t>
      </w:r>
      <w:proofErr w:type="gramStart"/>
      <w:r w:rsidRPr="007D4EB1">
        <w:t>weeks;</w:t>
      </w:r>
      <w:proofErr w:type="gramEnd"/>
      <w:r w:rsidRPr="007D4EB1">
        <w:t xml:space="preserve"> </w:t>
      </w:r>
    </w:p>
    <w:p w14:paraId="4F5332C8" w14:textId="77777777" w:rsidR="005F6C79" w:rsidRPr="007D4EB1" w:rsidRDefault="005F6C79" w:rsidP="007B249F">
      <w:pPr>
        <w:pStyle w:val="PBACBullet"/>
      </w:pPr>
      <w:r w:rsidRPr="007D4EB1">
        <w:t xml:space="preserve">GLM 50 mg once every four </w:t>
      </w:r>
      <w:proofErr w:type="gramStart"/>
      <w:r w:rsidRPr="007D4EB1">
        <w:t>weeks;</w:t>
      </w:r>
      <w:proofErr w:type="gramEnd"/>
      <w:r w:rsidRPr="007D4EB1">
        <w:t xml:space="preserve"> </w:t>
      </w:r>
    </w:p>
    <w:p w14:paraId="7A48FB6E" w14:textId="7B732597" w:rsidR="005F6C79" w:rsidRPr="007D4EB1" w:rsidRDefault="005F6C79" w:rsidP="007B249F">
      <w:pPr>
        <w:pStyle w:val="PBACBullet"/>
      </w:pPr>
      <w:r w:rsidRPr="007D4EB1">
        <w:lastRenderedPageBreak/>
        <w:t>SEC: 150 mg at Week 0, 1, 2, 3 and 4, then SEC 150 mg every 4 weeks; or SEC 150 mg every 4 weeks, at a 70:30 weighting for loading dose versus no loading dose (as outlined in paragraph 7.7 of the SEC November 2020 PSD); and</w:t>
      </w:r>
    </w:p>
    <w:p w14:paraId="745184A1" w14:textId="2E7B677D" w:rsidR="005F6C79" w:rsidRPr="007D4EB1" w:rsidRDefault="005F6C79" w:rsidP="007B249F">
      <w:pPr>
        <w:pStyle w:val="PBACBullet"/>
      </w:pPr>
      <w:r w:rsidRPr="007D4EB1">
        <w:t>CZP: 400 mg at Week 0, 2, 4, then 200 mg every 2 weeks; or CZP 400 mg every 4</w:t>
      </w:r>
      <w:r w:rsidR="007D22B7" w:rsidRPr="007D4EB1">
        <w:t> </w:t>
      </w:r>
      <w:r w:rsidRPr="007D4EB1">
        <w:t>weeks.</w:t>
      </w:r>
    </w:p>
    <w:p w14:paraId="4F3DDF94" w14:textId="2A803D18" w:rsidR="004046B1" w:rsidRPr="007D4EB1" w:rsidRDefault="004046B1" w:rsidP="00B861B5">
      <w:pPr>
        <w:pStyle w:val="3Bodytext"/>
      </w:pPr>
      <w:r w:rsidRPr="007D4EB1">
        <w:t xml:space="preserve">In March 2023 (paragraph 7.2 UPA PSD, March 2023 PBAC Meeting), the PBAC </w:t>
      </w:r>
      <w:r w:rsidR="006354A3" w:rsidRPr="007D4EB1">
        <w:t>adde</w:t>
      </w:r>
      <w:r w:rsidRPr="007D4EB1">
        <w:t>d the equi-effective dose</w:t>
      </w:r>
      <w:r w:rsidR="006354A3" w:rsidRPr="007D4EB1">
        <w:t xml:space="preserve"> for UPA</w:t>
      </w:r>
      <w:r w:rsidRPr="007D4EB1">
        <w:t xml:space="preserve">: </w:t>
      </w:r>
    </w:p>
    <w:p w14:paraId="4FB9789C" w14:textId="22CD47DD" w:rsidR="00660E54" w:rsidRPr="007D4EB1" w:rsidRDefault="004046B1" w:rsidP="007B249F">
      <w:pPr>
        <w:pStyle w:val="PBACBullet"/>
      </w:pPr>
      <w:r w:rsidRPr="007D4EB1">
        <w:t>UPA 15 mg once daily.</w:t>
      </w:r>
    </w:p>
    <w:p w14:paraId="6C5B90F9" w14:textId="1313E42F" w:rsidR="007633CE" w:rsidRPr="007D4EB1" w:rsidRDefault="007633CE" w:rsidP="007633CE">
      <w:pPr>
        <w:pStyle w:val="3Bodytext"/>
        <w:rPr>
          <w:i/>
          <w:iCs/>
        </w:rPr>
      </w:pPr>
      <w:r w:rsidRPr="007D4EB1">
        <w:t xml:space="preserve">The submission requested </w:t>
      </w:r>
      <w:r w:rsidR="00EE04AA" w:rsidRPr="007D4EB1">
        <w:t>a</w:t>
      </w:r>
      <w:r w:rsidRPr="007D4EB1">
        <w:t xml:space="preserve"> special pricing arrangement (SPA) for the </w:t>
      </w:r>
      <w:r w:rsidR="00630035" w:rsidRPr="007D4EB1">
        <w:t>nr-AxSpA</w:t>
      </w:r>
      <w:r w:rsidRPr="007D4EB1">
        <w:t xml:space="preserve"> therapeutic indication of IXE as it did in November 2021</w:t>
      </w:r>
      <w:r w:rsidR="001E07E8" w:rsidRPr="007D4EB1">
        <w:t>. At the time the Department provided the relevant comparator information to the sponsor following the November 2021 recommendation of IXE, the sponsor</w:t>
      </w:r>
      <w:r w:rsidRPr="007D4EB1">
        <w:t xml:space="preserve"> presented a</w:t>
      </w:r>
      <w:r w:rsidR="00A212A6" w:rsidRPr="007D4EB1">
        <w:t>n</w:t>
      </w:r>
      <w:r w:rsidRPr="007D4EB1">
        <w:t xml:space="preserve"> </w:t>
      </w:r>
      <w:r w:rsidR="00EE04AA" w:rsidRPr="007D4EB1">
        <w:t>effective ex</w:t>
      </w:r>
      <w:r w:rsidRPr="007D4EB1">
        <w:t xml:space="preserve">-manufacturer </w:t>
      </w:r>
      <w:r w:rsidR="00EE04AA" w:rsidRPr="007D4EB1">
        <w:t xml:space="preserve">price </w:t>
      </w:r>
      <w:r w:rsidRPr="007D4EB1">
        <w:t>for the 2-pen pack</w:t>
      </w:r>
      <w:r w:rsidR="00033B86" w:rsidRPr="007D4EB1">
        <w:t xml:space="preserve"> consistent with</w:t>
      </w:r>
      <w:r w:rsidR="000D3283" w:rsidRPr="007D4EB1">
        <w:t xml:space="preserve"> that of</w:t>
      </w:r>
      <w:r w:rsidR="00033B86" w:rsidRPr="007D4EB1">
        <w:t xml:space="preserve"> the least costly bDMARD </w:t>
      </w:r>
      <w:r w:rsidR="005F2A24" w:rsidRPr="007D4EB1">
        <w:t>for this indication</w:t>
      </w:r>
      <w:r w:rsidR="001E07E8" w:rsidRPr="007D4EB1">
        <w:t>.</w:t>
      </w:r>
    </w:p>
    <w:p w14:paraId="68529983" w14:textId="263E1BD6" w:rsidR="00745B92" w:rsidRPr="007D4EB1" w:rsidRDefault="00727171" w:rsidP="00745B92">
      <w:pPr>
        <w:pStyle w:val="3Bodytext"/>
      </w:pPr>
      <w:r w:rsidRPr="007D4EB1">
        <w:t>The submission</w:t>
      </w:r>
      <w:r w:rsidR="007D22B7" w:rsidRPr="007D4EB1">
        <w:t xml:space="preserve"> presented a comparison</w:t>
      </w:r>
      <w:r w:rsidR="00E158E6" w:rsidRPr="007D4EB1">
        <w:t xml:space="preserve"> (shown in Table 1)</w:t>
      </w:r>
      <w:r w:rsidR="007D22B7" w:rsidRPr="007D4EB1">
        <w:t xml:space="preserve"> between the 1</w:t>
      </w:r>
      <w:r w:rsidR="00254BD7" w:rsidRPr="007D4EB1">
        <w:t>-pen pack</w:t>
      </w:r>
      <w:r w:rsidR="007D22B7" w:rsidRPr="007D4EB1">
        <w:t xml:space="preserve"> and 2</w:t>
      </w:r>
      <w:r w:rsidR="00254BD7" w:rsidRPr="007D4EB1">
        <w:t>-pen pack</w:t>
      </w:r>
      <w:r w:rsidR="007D22B7" w:rsidRPr="007D4EB1">
        <w:t xml:space="preserve"> of IXE using </w:t>
      </w:r>
      <w:r w:rsidR="00F52EF2" w:rsidRPr="007D4EB1">
        <w:t>a</w:t>
      </w:r>
      <w:r w:rsidR="00CF07C5" w:rsidRPr="007D4EB1">
        <w:t>n</w:t>
      </w:r>
      <w:r w:rsidR="00F52EF2" w:rsidRPr="007D4EB1">
        <w:t xml:space="preserve"> </w:t>
      </w:r>
      <w:r w:rsidR="00CF07C5" w:rsidRPr="007D4EB1">
        <w:t>effective ex</w:t>
      </w:r>
      <w:r w:rsidR="00BD11A3" w:rsidRPr="007D4EB1">
        <w:t xml:space="preserve">-manufacturer </w:t>
      </w:r>
      <w:r w:rsidR="00CF07C5" w:rsidRPr="007D4EB1">
        <w:t xml:space="preserve">price </w:t>
      </w:r>
      <w:r w:rsidR="00241C28" w:rsidRPr="007D4EB1">
        <w:t xml:space="preserve">(EMP) </w:t>
      </w:r>
      <w:r w:rsidR="00F52EF2" w:rsidRPr="007D4EB1">
        <w:t>of $</w:t>
      </w:r>
      <w:r w:rsidR="00622E48" w:rsidRPr="00833EBC">
        <w:rPr>
          <w:color w:val="000000"/>
          <w:w w:val="15"/>
          <w:shd w:val="solid" w:color="000000" w:fill="000000"/>
          <w:fitText w:val="-20" w:id="-1169325054"/>
          <w14:textFill>
            <w14:solidFill>
              <w14:srgbClr w14:val="000000">
                <w14:alpha w14:val="100000"/>
              </w14:srgbClr>
            </w14:solidFill>
          </w14:textFill>
        </w:rPr>
        <w:t xml:space="preserve">|  </w:t>
      </w:r>
      <w:r w:rsidR="00622E48" w:rsidRPr="00833EBC">
        <w:rPr>
          <w:color w:val="000000"/>
          <w:spacing w:val="-69"/>
          <w:w w:val="15"/>
          <w:shd w:val="solid" w:color="000000" w:fill="000000"/>
          <w:fitText w:val="-20" w:id="-1169325054"/>
          <w14:textFill>
            <w14:solidFill>
              <w14:srgbClr w14:val="000000">
                <w14:alpha w14:val="100000"/>
              </w14:srgbClr>
            </w14:solidFill>
          </w14:textFill>
        </w:rPr>
        <w:t>|</w:t>
      </w:r>
      <w:r w:rsidR="00362184" w:rsidRPr="007D4EB1">
        <w:t xml:space="preserve"> for the 2</w:t>
      </w:r>
      <w:r w:rsidR="00254BD7" w:rsidRPr="007D4EB1">
        <w:t>-pen pack</w:t>
      </w:r>
      <w:r w:rsidR="00362184" w:rsidRPr="007D4EB1">
        <w:t xml:space="preserve"> and $</w:t>
      </w:r>
      <w:r w:rsidR="00622E48" w:rsidRPr="00833EBC">
        <w:rPr>
          <w:color w:val="000000"/>
          <w:w w:val="15"/>
          <w:shd w:val="solid" w:color="000000" w:fill="000000"/>
          <w:fitText w:val="-20" w:id="-1169325053"/>
          <w14:textFill>
            <w14:solidFill>
              <w14:srgbClr w14:val="000000">
                <w14:alpha w14:val="100000"/>
              </w14:srgbClr>
            </w14:solidFill>
          </w14:textFill>
        </w:rPr>
        <w:t xml:space="preserve">|  </w:t>
      </w:r>
      <w:r w:rsidR="00622E48" w:rsidRPr="00833EBC">
        <w:rPr>
          <w:color w:val="000000"/>
          <w:spacing w:val="-69"/>
          <w:w w:val="15"/>
          <w:shd w:val="solid" w:color="000000" w:fill="000000"/>
          <w:fitText w:val="-20" w:id="-1169325053"/>
          <w14:textFill>
            <w14:solidFill>
              <w14:srgbClr w14:val="000000">
                <w14:alpha w14:val="100000"/>
              </w14:srgbClr>
            </w14:solidFill>
          </w14:textFill>
        </w:rPr>
        <w:t>|</w:t>
      </w:r>
      <w:r w:rsidR="00362184" w:rsidRPr="007D4EB1">
        <w:t xml:space="preserve"> (half of the 2</w:t>
      </w:r>
      <w:r w:rsidR="00254BD7" w:rsidRPr="007D4EB1">
        <w:t>-pen pack</w:t>
      </w:r>
      <w:r w:rsidR="00362184" w:rsidRPr="007D4EB1">
        <w:t xml:space="preserve"> EMP) </w:t>
      </w:r>
      <w:r w:rsidRPr="007D4EB1">
        <w:t>for the 1</w:t>
      </w:r>
      <w:r w:rsidR="00254BD7" w:rsidRPr="007D4EB1">
        <w:t>-pen pack</w:t>
      </w:r>
      <w:r w:rsidR="00162119" w:rsidRPr="007D4EB1">
        <w:t>.</w:t>
      </w:r>
    </w:p>
    <w:p w14:paraId="1A7CAF7D" w14:textId="266BA48C" w:rsidR="00EF4580" w:rsidRPr="007D4EB1" w:rsidRDefault="00795D27" w:rsidP="00193859">
      <w:pPr>
        <w:pStyle w:val="3Bodytext"/>
      </w:pPr>
      <w:r w:rsidRPr="007D4EB1">
        <w:t xml:space="preserve">Noting that the requested EMP per dose </w:t>
      </w:r>
      <w:r w:rsidR="00F35212" w:rsidRPr="007D4EB1">
        <w:t xml:space="preserve">(a single 80 mg pen) </w:t>
      </w:r>
      <w:r w:rsidRPr="007D4EB1">
        <w:t xml:space="preserve">is the same </w:t>
      </w:r>
      <w:r w:rsidR="00F35212" w:rsidRPr="007D4EB1">
        <w:t>between the 1</w:t>
      </w:r>
      <w:r w:rsidR="00254BD7" w:rsidRPr="007D4EB1">
        <w:t>-pen pack</w:t>
      </w:r>
      <w:r w:rsidR="00F35212" w:rsidRPr="007D4EB1">
        <w:t xml:space="preserve"> and 2</w:t>
      </w:r>
      <w:r w:rsidR="00254BD7" w:rsidRPr="007D4EB1">
        <w:t>-pen pack</w:t>
      </w:r>
      <w:r w:rsidR="00F35212" w:rsidRPr="007D4EB1">
        <w:t>,</w:t>
      </w:r>
      <w:r w:rsidRPr="007D4EB1">
        <w:t xml:space="preserve"> </w:t>
      </w:r>
      <w:r w:rsidR="00F35212" w:rsidRPr="007D4EB1">
        <w:t>t</w:t>
      </w:r>
      <w:r w:rsidR="00BD11A3" w:rsidRPr="007D4EB1">
        <w:t xml:space="preserve">he submission </w:t>
      </w:r>
      <w:r w:rsidR="00F52EF2" w:rsidRPr="007D4EB1">
        <w:t>claim</w:t>
      </w:r>
      <w:r w:rsidR="00727171" w:rsidRPr="007D4EB1">
        <w:t>ed</w:t>
      </w:r>
      <w:r w:rsidR="00F52EF2" w:rsidRPr="007D4EB1">
        <w:t xml:space="preserve"> </w:t>
      </w:r>
      <w:r w:rsidR="00BD11A3" w:rsidRPr="007D4EB1">
        <w:t>that a 1</w:t>
      </w:r>
      <w:r w:rsidR="00254BD7" w:rsidRPr="007D4EB1">
        <w:t xml:space="preserve">-pen </w:t>
      </w:r>
      <w:r w:rsidR="00BD11A3" w:rsidRPr="007D4EB1">
        <w:t xml:space="preserve">pack will have a larger </w:t>
      </w:r>
      <w:r w:rsidR="00241C28" w:rsidRPr="007D4EB1">
        <w:t xml:space="preserve">expenditure per </w:t>
      </w:r>
      <w:r w:rsidR="00F35212" w:rsidRPr="007D4EB1">
        <w:t xml:space="preserve">pen </w:t>
      </w:r>
      <w:r w:rsidR="00241C28" w:rsidRPr="007D4EB1">
        <w:t>for the Commonwealth</w:t>
      </w:r>
      <w:r w:rsidR="00BD11A3" w:rsidRPr="007D4EB1">
        <w:t xml:space="preserve"> due to supply chain </w:t>
      </w:r>
      <w:r w:rsidR="00D27178" w:rsidRPr="007D4EB1">
        <w:t>mark-</w:t>
      </w:r>
      <w:r w:rsidR="00BD11A3" w:rsidRPr="007D4EB1">
        <w:t>ups.</w:t>
      </w:r>
    </w:p>
    <w:p w14:paraId="18D2F343" w14:textId="5E926CF4" w:rsidR="00BD11A3" w:rsidRPr="007D4EB1" w:rsidRDefault="00BD11A3" w:rsidP="00080558">
      <w:pPr>
        <w:pStyle w:val="TableFigureHeading"/>
      </w:pPr>
      <w:r w:rsidRPr="007D4EB1">
        <w:t xml:space="preserve">Table 1: Comparison of the Commonwealth Expenditure per </w:t>
      </w:r>
      <w:r w:rsidR="00362184" w:rsidRPr="007D4EB1">
        <w:t xml:space="preserve">pen </w:t>
      </w:r>
      <w:r w:rsidRPr="007D4EB1">
        <w:t xml:space="preserve">with a </w:t>
      </w:r>
      <w:r w:rsidR="008D1D86" w:rsidRPr="007D4EB1">
        <w:t>2-pen</w:t>
      </w:r>
      <w:r w:rsidRPr="007D4EB1">
        <w:t xml:space="preserve"> pack listing vs a </w:t>
      </w:r>
      <w:r w:rsidR="008D1D86" w:rsidRPr="007D4EB1">
        <w:t>1-pen</w:t>
      </w:r>
      <w:r w:rsidRPr="007D4EB1">
        <w:t xml:space="preserve"> pack listing </w:t>
      </w:r>
    </w:p>
    <w:tbl>
      <w:tblPr>
        <w:tblStyle w:val="TableGrid"/>
        <w:tblW w:w="9251" w:type="dxa"/>
        <w:tblLook w:val="04A0" w:firstRow="1" w:lastRow="0" w:firstColumn="1" w:lastColumn="0" w:noHBand="0" w:noVBand="1"/>
      </w:tblPr>
      <w:tblGrid>
        <w:gridCol w:w="787"/>
        <w:gridCol w:w="991"/>
        <w:gridCol w:w="1321"/>
        <w:gridCol w:w="1314"/>
        <w:gridCol w:w="1128"/>
        <w:gridCol w:w="1404"/>
        <w:gridCol w:w="763"/>
        <w:gridCol w:w="1543"/>
      </w:tblGrid>
      <w:tr w:rsidR="0039031D" w:rsidRPr="007D4EB1" w14:paraId="38B62F2D" w14:textId="77777777" w:rsidTr="00622E48">
        <w:tc>
          <w:tcPr>
            <w:tcW w:w="791" w:type="dxa"/>
            <w:shd w:val="clear" w:color="auto" w:fill="D9D9D9" w:themeFill="background1" w:themeFillShade="D9"/>
          </w:tcPr>
          <w:p w14:paraId="6FCB221C" w14:textId="77777777" w:rsidR="00BD11A3" w:rsidRPr="007D4EB1" w:rsidRDefault="00BD11A3" w:rsidP="00AA0CA4">
            <w:pPr>
              <w:keepNext/>
              <w:rPr>
                <w:rFonts w:ascii="Arial Narrow" w:hAnsi="Arial Narrow"/>
                <w:b/>
                <w:bCs/>
                <w:sz w:val="20"/>
                <w:szCs w:val="20"/>
              </w:rPr>
            </w:pPr>
          </w:p>
        </w:tc>
        <w:tc>
          <w:tcPr>
            <w:tcW w:w="977" w:type="dxa"/>
            <w:tcBorders>
              <w:bottom w:val="single" w:sz="4" w:space="0" w:color="auto"/>
            </w:tcBorders>
            <w:shd w:val="clear" w:color="auto" w:fill="D9D9D9" w:themeFill="background1" w:themeFillShade="D9"/>
          </w:tcPr>
          <w:p w14:paraId="5EE88508" w14:textId="09DA7614" w:rsidR="00BD11A3" w:rsidRPr="007D4EB1" w:rsidRDefault="00BD11A3" w:rsidP="00AA0CA4">
            <w:pPr>
              <w:keepNext/>
              <w:rPr>
                <w:rFonts w:ascii="Arial Narrow" w:hAnsi="Arial Narrow"/>
                <w:b/>
                <w:bCs/>
                <w:sz w:val="20"/>
                <w:szCs w:val="20"/>
                <w:vertAlign w:val="superscript"/>
              </w:rPr>
            </w:pPr>
            <w:r w:rsidRPr="007D4EB1">
              <w:rPr>
                <w:rFonts w:ascii="Arial Narrow" w:hAnsi="Arial Narrow"/>
                <w:b/>
                <w:bCs/>
                <w:sz w:val="20"/>
                <w:szCs w:val="20"/>
              </w:rPr>
              <w:t>EMP (effective)</w:t>
            </w:r>
          </w:p>
        </w:tc>
        <w:tc>
          <w:tcPr>
            <w:tcW w:w="1326" w:type="dxa"/>
            <w:shd w:val="clear" w:color="auto" w:fill="D9D9D9" w:themeFill="background1" w:themeFillShade="D9"/>
          </w:tcPr>
          <w:p w14:paraId="19445D4C" w14:textId="77777777" w:rsidR="00BD11A3" w:rsidRPr="007D4EB1" w:rsidRDefault="00BD11A3" w:rsidP="00AA0CA4">
            <w:pPr>
              <w:keepNext/>
              <w:rPr>
                <w:rFonts w:ascii="Arial Narrow" w:hAnsi="Arial Narrow"/>
                <w:b/>
                <w:bCs/>
                <w:sz w:val="20"/>
                <w:szCs w:val="20"/>
              </w:rPr>
            </w:pPr>
            <w:r w:rsidRPr="007D4EB1">
              <w:rPr>
                <w:rFonts w:ascii="Arial Narrow" w:hAnsi="Arial Narrow"/>
                <w:b/>
                <w:bCs/>
                <w:sz w:val="20"/>
                <w:szCs w:val="20"/>
              </w:rPr>
              <w:t>Wholesale markup</w:t>
            </w:r>
          </w:p>
        </w:tc>
        <w:tc>
          <w:tcPr>
            <w:tcW w:w="1326" w:type="dxa"/>
            <w:shd w:val="clear" w:color="auto" w:fill="D9D9D9" w:themeFill="background1" w:themeFillShade="D9"/>
          </w:tcPr>
          <w:p w14:paraId="6EBBFAD5" w14:textId="77777777" w:rsidR="00BD11A3" w:rsidRPr="007D4EB1" w:rsidRDefault="00BD11A3" w:rsidP="00AA0CA4">
            <w:pPr>
              <w:keepNext/>
              <w:rPr>
                <w:rFonts w:ascii="Arial Narrow" w:hAnsi="Arial Narrow"/>
                <w:b/>
                <w:bCs/>
                <w:sz w:val="20"/>
                <w:szCs w:val="20"/>
              </w:rPr>
            </w:pPr>
            <w:r w:rsidRPr="007D4EB1">
              <w:rPr>
                <w:rFonts w:ascii="Arial Narrow" w:hAnsi="Arial Narrow"/>
                <w:b/>
                <w:bCs/>
                <w:sz w:val="20"/>
                <w:szCs w:val="20"/>
              </w:rPr>
              <w:t>AHI Fee</w:t>
            </w:r>
          </w:p>
        </w:tc>
        <w:tc>
          <w:tcPr>
            <w:tcW w:w="1112" w:type="dxa"/>
            <w:shd w:val="clear" w:color="auto" w:fill="D9D9D9" w:themeFill="background1" w:themeFillShade="D9"/>
          </w:tcPr>
          <w:p w14:paraId="3C92AF7F" w14:textId="77777777" w:rsidR="00BD11A3" w:rsidRPr="007D4EB1" w:rsidRDefault="00BD11A3" w:rsidP="00AA0CA4">
            <w:pPr>
              <w:keepNext/>
              <w:rPr>
                <w:rFonts w:ascii="Arial Narrow" w:hAnsi="Arial Narrow"/>
                <w:b/>
                <w:bCs/>
                <w:sz w:val="20"/>
                <w:szCs w:val="20"/>
              </w:rPr>
            </w:pPr>
            <w:r w:rsidRPr="007D4EB1">
              <w:rPr>
                <w:rFonts w:ascii="Arial Narrow" w:hAnsi="Arial Narrow"/>
                <w:b/>
                <w:bCs/>
                <w:sz w:val="20"/>
                <w:szCs w:val="20"/>
              </w:rPr>
              <w:t>Preparation fee</w:t>
            </w:r>
          </w:p>
        </w:tc>
        <w:tc>
          <w:tcPr>
            <w:tcW w:w="1415" w:type="dxa"/>
            <w:shd w:val="clear" w:color="auto" w:fill="D9D9D9" w:themeFill="background1" w:themeFillShade="D9"/>
          </w:tcPr>
          <w:p w14:paraId="62636730" w14:textId="77777777" w:rsidR="00BD11A3" w:rsidRPr="007D4EB1" w:rsidRDefault="00BD11A3" w:rsidP="00AA0CA4">
            <w:pPr>
              <w:keepNext/>
              <w:jc w:val="center"/>
              <w:rPr>
                <w:rFonts w:ascii="Arial Narrow" w:hAnsi="Arial Narrow"/>
                <w:b/>
                <w:bCs/>
                <w:sz w:val="20"/>
                <w:szCs w:val="20"/>
              </w:rPr>
            </w:pPr>
            <w:r w:rsidRPr="007D4EB1">
              <w:rPr>
                <w:rFonts w:ascii="Arial Narrow" w:hAnsi="Arial Narrow"/>
                <w:b/>
                <w:bCs/>
                <w:sz w:val="20"/>
                <w:szCs w:val="20"/>
              </w:rPr>
              <w:t>Total supply chain mark-ups</w:t>
            </w:r>
          </w:p>
        </w:tc>
        <w:tc>
          <w:tcPr>
            <w:tcW w:w="754" w:type="dxa"/>
            <w:shd w:val="clear" w:color="auto" w:fill="D9D9D9" w:themeFill="background1" w:themeFillShade="D9"/>
          </w:tcPr>
          <w:p w14:paraId="1A7A844A" w14:textId="1CF0996F" w:rsidR="00BD11A3" w:rsidRPr="007D4EB1" w:rsidRDefault="00BD11A3" w:rsidP="00AA0CA4">
            <w:pPr>
              <w:keepNext/>
              <w:rPr>
                <w:rFonts w:ascii="Arial Narrow" w:hAnsi="Arial Narrow"/>
                <w:b/>
                <w:bCs/>
                <w:sz w:val="20"/>
                <w:szCs w:val="20"/>
                <w:vertAlign w:val="superscript"/>
              </w:rPr>
            </w:pPr>
            <w:r w:rsidRPr="007D4EB1">
              <w:rPr>
                <w:rFonts w:ascii="Arial Narrow" w:hAnsi="Arial Narrow"/>
                <w:b/>
                <w:bCs/>
                <w:sz w:val="20"/>
                <w:szCs w:val="20"/>
              </w:rPr>
              <w:t>Patient Co-pay</w:t>
            </w:r>
            <w:r w:rsidR="000D557B" w:rsidRPr="007D4EB1">
              <w:rPr>
                <w:rFonts w:ascii="Arial Narrow" w:hAnsi="Arial Narrow"/>
                <w:b/>
                <w:bCs/>
                <w:sz w:val="20"/>
                <w:szCs w:val="20"/>
                <w:vertAlign w:val="superscript"/>
              </w:rPr>
              <w:t>a</w:t>
            </w:r>
          </w:p>
        </w:tc>
        <w:tc>
          <w:tcPr>
            <w:tcW w:w="1550" w:type="dxa"/>
            <w:shd w:val="clear" w:color="auto" w:fill="D9D9D9" w:themeFill="background1" w:themeFillShade="D9"/>
          </w:tcPr>
          <w:p w14:paraId="6931DB47" w14:textId="7B4257EF" w:rsidR="00BD11A3" w:rsidRPr="007D4EB1" w:rsidRDefault="00105A13" w:rsidP="00AA0CA4">
            <w:pPr>
              <w:keepNext/>
              <w:rPr>
                <w:rFonts w:ascii="Arial Narrow" w:hAnsi="Arial Narrow"/>
                <w:b/>
                <w:bCs/>
                <w:sz w:val="20"/>
                <w:szCs w:val="20"/>
              </w:rPr>
            </w:pPr>
            <w:r w:rsidRPr="007D4EB1">
              <w:rPr>
                <w:rFonts w:ascii="Arial Narrow" w:hAnsi="Arial Narrow"/>
                <w:b/>
                <w:bCs/>
                <w:sz w:val="20"/>
                <w:szCs w:val="20"/>
              </w:rPr>
              <w:t>E</w:t>
            </w:r>
            <w:r w:rsidR="00BD11A3" w:rsidRPr="007D4EB1">
              <w:rPr>
                <w:rFonts w:ascii="Arial Narrow" w:hAnsi="Arial Narrow"/>
                <w:b/>
                <w:bCs/>
                <w:sz w:val="20"/>
                <w:szCs w:val="20"/>
              </w:rPr>
              <w:t xml:space="preserve">xpenditure per </w:t>
            </w:r>
            <w:r w:rsidR="00362184" w:rsidRPr="007D4EB1">
              <w:rPr>
                <w:rFonts w:ascii="Arial Narrow" w:hAnsi="Arial Narrow"/>
                <w:b/>
                <w:bCs/>
                <w:sz w:val="20"/>
                <w:szCs w:val="20"/>
              </w:rPr>
              <w:t>pen</w:t>
            </w:r>
          </w:p>
        </w:tc>
      </w:tr>
      <w:tr w:rsidR="00105A13" w:rsidRPr="007D4EB1" w14:paraId="682E29D9" w14:textId="77777777" w:rsidTr="00622E48">
        <w:tc>
          <w:tcPr>
            <w:tcW w:w="791" w:type="dxa"/>
          </w:tcPr>
          <w:p w14:paraId="403C98E8" w14:textId="77777777" w:rsidR="00BD11A3" w:rsidRPr="007D4EB1" w:rsidRDefault="00BD11A3" w:rsidP="00AA0CA4">
            <w:pPr>
              <w:keepNext/>
              <w:rPr>
                <w:rFonts w:ascii="Arial Narrow" w:hAnsi="Arial Narrow"/>
                <w:sz w:val="20"/>
                <w:szCs w:val="20"/>
              </w:rPr>
            </w:pPr>
            <w:r w:rsidRPr="007D4EB1">
              <w:rPr>
                <w:rFonts w:ascii="Arial Narrow" w:hAnsi="Arial Narrow"/>
                <w:sz w:val="20"/>
                <w:szCs w:val="20"/>
              </w:rPr>
              <w:t>1 pack</w:t>
            </w:r>
          </w:p>
        </w:tc>
        <w:tc>
          <w:tcPr>
            <w:tcW w:w="977" w:type="dxa"/>
            <w:tcBorders>
              <w:bottom w:val="single" w:sz="4" w:space="0" w:color="auto"/>
            </w:tcBorders>
            <w:shd w:val="solid" w:color="000000" w:fill="000000"/>
          </w:tcPr>
          <w:p w14:paraId="6FC2C1AA" w14:textId="1B21AC01" w:rsidR="00BD11A3" w:rsidRPr="00304109" w:rsidRDefault="00622E48" w:rsidP="00AA0CA4">
            <w:pPr>
              <w:keepNext/>
              <w:rPr>
                <w:rFonts w:ascii="Arial Narrow" w:hAnsi="Arial Narrow"/>
                <w:sz w:val="20"/>
                <w:szCs w:val="20"/>
                <w:highlight w:val="darkGray"/>
              </w:rPr>
            </w:pPr>
            <w:r w:rsidRPr="00622E48">
              <w:rPr>
                <w:rFonts w:ascii="Arial Narrow" w:hAnsi="Arial Narrow"/>
                <w:color w:val="000000"/>
                <w:spacing w:val="9"/>
                <w:sz w:val="20"/>
                <w:szCs w:val="20"/>
                <w:fitText w:val="310" w:id="-1169325052"/>
                <w14:textFill>
                  <w14:solidFill>
                    <w14:srgbClr w14:val="000000">
                      <w14:alpha w14:val="100000"/>
                    </w14:srgbClr>
                  </w14:solidFill>
                </w14:textFill>
              </w:rPr>
              <w:t>||  |</w:t>
            </w:r>
            <w:r w:rsidRPr="00622E48">
              <w:rPr>
                <w:rFonts w:ascii="Arial Narrow" w:hAnsi="Arial Narrow"/>
                <w:color w:val="000000"/>
                <w:spacing w:val="1"/>
                <w:sz w:val="20"/>
                <w:szCs w:val="20"/>
                <w:fitText w:val="310" w:id="-1169325052"/>
                <w14:textFill>
                  <w14:solidFill>
                    <w14:srgbClr w14:val="000000">
                      <w14:alpha w14:val="100000"/>
                    </w14:srgbClr>
                  </w14:solidFill>
                </w14:textFill>
              </w:rPr>
              <w:t>|</w:t>
            </w:r>
          </w:p>
        </w:tc>
        <w:tc>
          <w:tcPr>
            <w:tcW w:w="1326" w:type="dxa"/>
          </w:tcPr>
          <w:p w14:paraId="1D8C783E" w14:textId="29313E90" w:rsidR="00BD11A3" w:rsidRPr="0039031D" w:rsidRDefault="00BD11A3" w:rsidP="00AA0CA4">
            <w:pPr>
              <w:keepNext/>
              <w:rPr>
                <w:rFonts w:ascii="Arial Narrow" w:hAnsi="Arial Narrow"/>
                <w:sz w:val="20"/>
                <w:szCs w:val="20"/>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51"/>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51"/>
                <w14:textFill>
                  <w14:solidFill>
                    <w14:srgbClr w14:val="000000">
                      <w14:alpha w14:val="100000"/>
                    </w14:srgbClr>
                  </w14:solidFill>
                </w14:textFill>
              </w:rPr>
              <w:t>|</w:t>
            </w:r>
          </w:p>
        </w:tc>
        <w:tc>
          <w:tcPr>
            <w:tcW w:w="1326" w:type="dxa"/>
          </w:tcPr>
          <w:p w14:paraId="30EDA224" w14:textId="4E149A9B" w:rsidR="00BD11A3" w:rsidRPr="0039031D" w:rsidRDefault="00BD11A3" w:rsidP="00AA0CA4">
            <w:pPr>
              <w:keepNext/>
              <w:rPr>
                <w:rFonts w:ascii="Arial Narrow" w:hAnsi="Arial Narrow"/>
                <w:sz w:val="20"/>
                <w:szCs w:val="20"/>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50"/>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50"/>
                <w14:textFill>
                  <w14:solidFill>
                    <w14:srgbClr w14:val="000000">
                      <w14:alpha w14:val="100000"/>
                    </w14:srgbClr>
                  </w14:solidFill>
                </w14:textFill>
              </w:rPr>
              <w:t>|</w:t>
            </w:r>
          </w:p>
        </w:tc>
        <w:tc>
          <w:tcPr>
            <w:tcW w:w="1112" w:type="dxa"/>
          </w:tcPr>
          <w:p w14:paraId="2771FAB9" w14:textId="77777777" w:rsidR="00BD11A3" w:rsidRPr="008C27BD" w:rsidRDefault="00BD11A3" w:rsidP="00AA0CA4">
            <w:pPr>
              <w:keepNext/>
              <w:rPr>
                <w:rFonts w:ascii="Arial Narrow" w:hAnsi="Arial Narrow"/>
                <w:sz w:val="20"/>
                <w:szCs w:val="20"/>
              </w:rPr>
            </w:pPr>
            <w:r w:rsidRPr="008C27BD">
              <w:rPr>
                <w:rFonts w:ascii="Arial Narrow" w:hAnsi="Arial Narrow"/>
                <w:sz w:val="20"/>
                <w:szCs w:val="20"/>
              </w:rPr>
              <w:t>$7.82</w:t>
            </w:r>
          </w:p>
        </w:tc>
        <w:tc>
          <w:tcPr>
            <w:tcW w:w="1415" w:type="dxa"/>
          </w:tcPr>
          <w:p w14:paraId="5AAC5529" w14:textId="5B0EA80D" w:rsidR="00BD11A3" w:rsidRPr="0039031D" w:rsidRDefault="00BD11A3" w:rsidP="00AA0CA4">
            <w:pPr>
              <w:keepNext/>
              <w:rPr>
                <w:rFonts w:ascii="Arial Narrow" w:hAnsi="Arial Narrow"/>
                <w:sz w:val="20"/>
                <w:szCs w:val="20"/>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49"/>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49"/>
                <w14:textFill>
                  <w14:solidFill>
                    <w14:srgbClr w14:val="000000">
                      <w14:alpha w14:val="100000"/>
                    </w14:srgbClr>
                  </w14:solidFill>
                </w14:textFill>
              </w:rPr>
              <w:t>|</w:t>
            </w:r>
          </w:p>
        </w:tc>
        <w:tc>
          <w:tcPr>
            <w:tcW w:w="754" w:type="dxa"/>
          </w:tcPr>
          <w:p w14:paraId="204BEA73" w14:textId="77777777" w:rsidR="00BD11A3" w:rsidRPr="007D4EB1" w:rsidRDefault="00BD11A3" w:rsidP="00AA0CA4">
            <w:pPr>
              <w:keepNext/>
              <w:rPr>
                <w:rFonts w:ascii="Arial Narrow" w:hAnsi="Arial Narrow"/>
                <w:sz w:val="20"/>
                <w:szCs w:val="20"/>
              </w:rPr>
            </w:pPr>
            <w:r w:rsidRPr="007D4EB1">
              <w:rPr>
                <w:rFonts w:ascii="Arial Narrow" w:hAnsi="Arial Narrow"/>
                <w:sz w:val="20"/>
                <w:szCs w:val="20"/>
              </w:rPr>
              <w:t>$24.57</w:t>
            </w:r>
          </w:p>
        </w:tc>
        <w:tc>
          <w:tcPr>
            <w:tcW w:w="1550" w:type="dxa"/>
          </w:tcPr>
          <w:p w14:paraId="1B6E0E7A" w14:textId="1DE4B59A" w:rsidR="00BD11A3" w:rsidRPr="00304109" w:rsidRDefault="00BD11A3" w:rsidP="00AA0CA4">
            <w:pPr>
              <w:keepNext/>
              <w:rPr>
                <w:rFonts w:ascii="Arial Narrow" w:hAnsi="Arial Narrow"/>
                <w:sz w:val="20"/>
                <w:szCs w:val="20"/>
                <w:highlight w:val="yellow"/>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48"/>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48"/>
                <w14:textFill>
                  <w14:solidFill>
                    <w14:srgbClr w14:val="000000">
                      <w14:alpha w14:val="100000"/>
                    </w14:srgbClr>
                  </w14:solidFill>
                </w14:textFill>
              </w:rPr>
              <w:t>|</w:t>
            </w:r>
          </w:p>
        </w:tc>
      </w:tr>
      <w:tr w:rsidR="00105A13" w:rsidRPr="007D4EB1" w14:paraId="669069C3" w14:textId="77777777" w:rsidTr="00622E48">
        <w:tc>
          <w:tcPr>
            <w:tcW w:w="791" w:type="dxa"/>
          </w:tcPr>
          <w:p w14:paraId="4E084744" w14:textId="77777777" w:rsidR="00BD11A3" w:rsidRPr="007D4EB1" w:rsidRDefault="00BD11A3" w:rsidP="00AA0CA4">
            <w:pPr>
              <w:keepNext/>
              <w:rPr>
                <w:rFonts w:ascii="Arial Narrow" w:hAnsi="Arial Narrow"/>
                <w:sz w:val="20"/>
                <w:szCs w:val="20"/>
              </w:rPr>
            </w:pPr>
            <w:r w:rsidRPr="007D4EB1">
              <w:rPr>
                <w:rFonts w:ascii="Arial Narrow" w:hAnsi="Arial Narrow"/>
                <w:sz w:val="20"/>
                <w:szCs w:val="20"/>
              </w:rPr>
              <w:t>2 pack</w:t>
            </w:r>
          </w:p>
        </w:tc>
        <w:tc>
          <w:tcPr>
            <w:tcW w:w="977" w:type="dxa"/>
            <w:shd w:val="solid" w:color="000000" w:fill="000000"/>
          </w:tcPr>
          <w:p w14:paraId="2EA2E8F3" w14:textId="62538836" w:rsidR="00BD11A3" w:rsidRPr="00304109" w:rsidRDefault="00622E48" w:rsidP="00AA0CA4">
            <w:pPr>
              <w:keepNext/>
              <w:rPr>
                <w:rFonts w:ascii="Arial Narrow" w:hAnsi="Arial Narrow"/>
                <w:sz w:val="20"/>
                <w:szCs w:val="20"/>
                <w:highlight w:val="darkGray"/>
              </w:rPr>
            </w:pPr>
            <w:r w:rsidRPr="00622E48">
              <w:rPr>
                <w:rFonts w:ascii="Arial Narrow" w:hAnsi="Arial Narrow"/>
                <w:color w:val="000000"/>
                <w:spacing w:val="9"/>
                <w:sz w:val="20"/>
                <w:szCs w:val="20"/>
                <w:fitText w:val="310" w:id="-1169325047"/>
                <w14:textFill>
                  <w14:solidFill>
                    <w14:srgbClr w14:val="000000">
                      <w14:alpha w14:val="100000"/>
                    </w14:srgbClr>
                  </w14:solidFill>
                </w14:textFill>
              </w:rPr>
              <w:t>||  |</w:t>
            </w:r>
            <w:r w:rsidRPr="00622E48">
              <w:rPr>
                <w:rFonts w:ascii="Arial Narrow" w:hAnsi="Arial Narrow"/>
                <w:color w:val="000000"/>
                <w:spacing w:val="1"/>
                <w:sz w:val="20"/>
                <w:szCs w:val="20"/>
                <w:fitText w:val="310" w:id="-1169325047"/>
                <w14:textFill>
                  <w14:solidFill>
                    <w14:srgbClr w14:val="000000">
                      <w14:alpha w14:val="100000"/>
                    </w14:srgbClr>
                  </w14:solidFill>
                </w14:textFill>
              </w:rPr>
              <w:t>|</w:t>
            </w:r>
          </w:p>
        </w:tc>
        <w:tc>
          <w:tcPr>
            <w:tcW w:w="1326" w:type="dxa"/>
          </w:tcPr>
          <w:p w14:paraId="3ACF85AC" w14:textId="630497FD" w:rsidR="00BD11A3" w:rsidRPr="0039031D" w:rsidRDefault="00BD11A3" w:rsidP="00AA0CA4">
            <w:pPr>
              <w:keepNext/>
              <w:rPr>
                <w:rFonts w:ascii="Arial Narrow" w:hAnsi="Arial Narrow"/>
                <w:sz w:val="20"/>
                <w:szCs w:val="20"/>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46"/>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46"/>
                <w14:textFill>
                  <w14:solidFill>
                    <w14:srgbClr w14:val="000000">
                      <w14:alpha w14:val="100000"/>
                    </w14:srgbClr>
                  </w14:solidFill>
                </w14:textFill>
              </w:rPr>
              <w:t>|</w:t>
            </w:r>
          </w:p>
        </w:tc>
        <w:tc>
          <w:tcPr>
            <w:tcW w:w="1326" w:type="dxa"/>
          </w:tcPr>
          <w:p w14:paraId="4647F7B1" w14:textId="29F47B59" w:rsidR="00BD11A3" w:rsidRPr="0039031D" w:rsidRDefault="00BD11A3" w:rsidP="00AA0CA4">
            <w:pPr>
              <w:keepNext/>
              <w:rPr>
                <w:rFonts w:ascii="Arial Narrow" w:hAnsi="Arial Narrow"/>
                <w:sz w:val="20"/>
                <w:szCs w:val="20"/>
                <w:vertAlign w:val="superscript"/>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45"/>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45"/>
                <w14:textFill>
                  <w14:solidFill>
                    <w14:srgbClr w14:val="000000">
                      <w14:alpha w14:val="100000"/>
                    </w14:srgbClr>
                  </w14:solidFill>
                </w14:textFill>
              </w:rPr>
              <w:t>|</w:t>
            </w:r>
          </w:p>
        </w:tc>
        <w:tc>
          <w:tcPr>
            <w:tcW w:w="1112" w:type="dxa"/>
          </w:tcPr>
          <w:p w14:paraId="51F623D5" w14:textId="77777777" w:rsidR="00BD11A3" w:rsidRPr="008C27BD" w:rsidRDefault="00BD11A3" w:rsidP="00AA0CA4">
            <w:pPr>
              <w:keepNext/>
              <w:rPr>
                <w:rFonts w:ascii="Arial Narrow" w:hAnsi="Arial Narrow"/>
                <w:sz w:val="20"/>
                <w:szCs w:val="20"/>
              </w:rPr>
            </w:pPr>
            <w:r w:rsidRPr="008C27BD">
              <w:rPr>
                <w:rFonts w:ascii="Arial Narrow" w:hAnsi="Arial Narrow"/>
                <w:sz w:val="20"/>
                <w:szCs w:val="20"/>
              </w:rPr>
              <w:t>$7.82</w:t>
            </w:r>
          </w:p>
        </w:tc>
        <w:tc>
          <w:tcPr>
            <w:tcW w:w="1415" w:type="dxa"/>
          </w:tcPr>
          <w:p w14:paraId="6AC976BF" w14:textId="217A5EB6" w:rsidR="00BD11A3" w:rsidRPr="0039031D" w:rsidRDefault="00BD11A3" w:rsidP="00AA0CA4">
            <w:pPr>
              <w:keepNext/>
              <w:rPr>
                <w:rFonts w:ascii="Arial Narrow" w:hAnsi="Arial Narrow"/>
                <w:sz w:val="20"/>
                <w:szCs w:val="20"/>
                <w:vertAlign w:val="superscript"/>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44"/>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44"/>
                <w14:textFill>
                  <w14:solidFill>
                    <w14:srgbClr w14:val="000000">
                      <w14:alpha w14:val="100000"/>
                    </w14:srgbClr>
                  </w14:solidFill>
                </w14:textFill>
              </w:rPr>
              <w:t>|</w:t>
            </w:r>
          </w:p>
        </w:tc>
        <w:tc>
          <w:tcPr>
            <w:tcW w:w="754" w:type="dxa"/>
          </w:tcPr>
          <w:p w14:paraId="4DDD6B75" w14:textId="77777777" w:rsidR="00BD11A3" w:rsidRPr="007D4EB1" w:rsidRDefault="00BD11A3" w:rsidP="00AA0CA4">
            <w:pPr>
              <w:keepNext/>
              <w:rPr>
                <w:rFonts w:ascii="Arial Narrow" w:hAnsi="Arial Narrow"/>
                <w:sz w:val="20"/>
                <w:szCs w:val="20"/>
              </w:rPr>
            </w:pPr>
            <w:r w:rsidRPr="007D4EB1">
              <w:rPr>
                <w:rFonts w:ascii="Arial Narrow" w:hAnsi="Arial Narrow"/>
                <w:sz w:val="20"/>
                <w:szCs w:val="20"/>
              </w:rPr>
              <w:t>$24.57</w:t>
            </w:r>
          </w:p>
        </w:tc>
        <w:tc>
          <w:tcPr>
            <w:tcW w:w="1550" w:type="dxa"/>
          </w:tcPr>
          <w:p w14:paraId="42703AE6" w14:textId="0CB09802" w:rsidR="00BD11A3" w:rsidRPr="00304109" w:rsidRDefault="00BD11A3" w:rsidP="00AA0CA4">
            <w:pPr>
              <w:keepNext/>
              <w:rPr>
                <w:rFonts w:ascii="Arial Narrow" w:hAnsi="Arial Narrow"/>
                <w:sz w:val="20"/>
                <w:szCs w:val="20"/>
                <w:highlight w:val="yellow"/>
                <w:vertAlign w:val="superscript"/>
              </w:rPr>
            </w:pPr>
            <w:r w:rsidRPr="0039031D">
              <w:rPr>
                <w:rFonts w:ascii="Arial Narrow" w:hAnsi="Arial Narrow"/>
                <w:sz w:val="20"/>
                <w:szCs w:val="20"/>
              </w:rPr>
              <w:t>$</w:t>
            </w:r>
            <w:r w:rsidR="00622E48" w:rsidRPr="00622E48">
              <w:rPr>
                <w:rFonts w:ascii="Arial Narrow" w:hAnsi="Arial Narrow"/>
                <w:color w:val="000000"/>
                <w:spacing w:val="9"/>
                <w:sz w:val="20"/>
                <w:szCs w:val="20"/>
                <w:shd w:val="solid" w:color="000000" w:fill="000000"/>
                <w:fitText w:val="310" w:id="-1169325043"/>
                <w14:textFill>
                  <w14:solidFill>
                    <w14:srgbClr w14:val="000000">
                      <w14:alpha w14:val="100000"/>
                    </w14:srgbClr>
                  </w14:solidFill>
                </w14:textFill>
              </w:rPr>
              <w:t>||  |</w:t>
            </w:r>
            <w:r w:rsidR="00622E48" w:rsidRPr="00622E48">
              <w:rPr>
                <w:rFonts w:ascii="Arial Narrow" w:hAnsi="Arial Narrow"/>
                <w:color w:val="000000"/>
                <w:spacing w:val="1"/>
                <w:sz w:val="20"/>
                <w:szCs w:val="20"/>
                <w:shd w:val="solid" w:color="000000" w:fill="000000"/>
                <w:fitText w:val="310" w:id="-1169325043"/>
                <w14:textFill>
                  <w14:solidFill>
                    <w14:srgbClr w14:val="000000">
                      <w14:alpha w14:val="100000"/>
                    </w14:srgbClr>
                  </w14:solidFill>
                </w14:textFill>
              </w:rPr>
              <w:t>|</w:t>
            </w:r>
          </w:p>
        </w:tc>
      </w:tr>
    </w:tbl>
    <w:p w14:paraId="38789F3C" w14:textId="250C6A81" w:rsidR="00EA568B" w:rsidRPr="007D4EB1" w:rsidRDefault="00EA568B" w:rsidP="00AA0CA4">
      <w:pPr>
        <w:pStyle w:val="TableFigureFooter"/>
        <w:keepNext/>
      </w:pPr>
      <w:r w:rsidRPr="007D4EB1">
        <w:t xml:space="preserve">Source: Table 2, p9 of the submission; Pharmaceutical Benefits: Fees, Patient Contributions and Safety Net Threshold, </w:t>
      </w:r>
      <w:hyperlink r:id="rId9" w:history="1">
        <w:r w:rsidRPr="007D4EB1">
          <w:rPr>
            <w:rStyle w:val="Hyperlink"/>
          </w:rPr>
          <w:t>https://www.pbs.gov.au/info/healthpro/explanatory-notes/front/fee</w:t>
        </w:r>
      </w:hyperlink>
      <w:r w:rsidRPr="007D4EB1">
        <w:t>, visited 19/05/2023</w:t>
      </w:r>
    </w:p>
    <w:p w14:paraId="4D36405F" w14:textId="3B345F84" w:rsidR="00BD11A3" w:rsidRPr="007D4EB1" w:rsidRDefault="00EA568B" w:rsidP="00080558">
      <w:pPr>
        <w:pStyle w:val="TableFigureFooter"/>
      </w:pPr>
      <w:r w:rsidRPr="007D4EB1">
        <w:rPr>
          <w:vertAlign w:val="superscript"/>
        </w:rPr>
        <w:t xml:space="preserve">a </w:t>
      </w:r>
      <w:r w:rsidR="00BD11A3" w:rsidRPr="007D4EB1">
        <w:t>Derived</w:t>
      </w:r>
      <w:r w:rsidR="00105A13" w:rsidRPr="007D4EB1">
        <w:t xml:space="preserve"> by sponsor</w:t>
      </w:r>
      <w:r w:rsidR="00BD11A3" w:rsidRPr="007D4EB1">
        <w:t xml:space="preserve"> from the financial utilisation model</w:t>
      </w:r>
      <w:r w:rsidR="00105A13" w:rsidRPr="007D4EB1">
        <w:t>. Current co</w:t>
      </w:r>
      <w:r w:rsidR="00D27178" w:rsidRPr="007D4EB1">
        <w:t>-</w:t>
      </w:r>
      <w:r w:rsidR="00105A13" w:rsidRPr="007D4EB1">
        <w:t>payment = $30.00.</w:t>
      </w:r>
    </w:p>
    <w:p w14:paraId="69DD0C6D" w14:textId="13C34C06" w:rsidR="00241C28" w:rsidRPr="007D4EB1" w:rsidRDefault="00241C28" w:rsidP="007B249F">
      <w:pPr>
        <w:pStyle w:val="3Bodytext"/>
      </w:pPr>
      <w:r w:rsidRPr="007D4EB1">
        <w:t xml:space="preserve">The </w:t>
      </w:r>
      <w:r w:rsidR="00D27178" w:rsidRPr="007D4EB1">
        <w:t xml:space="preserve">submission </w:t>
      </w:r>
      <w:r w:rsidR="008416B2" w:rsidRPr="007D4EB1">
        <w:t xml:space="preserve">requested </w:t>
      </w:r>
      <w:r w:rsidR="00D27178" w:rsidRPr="007D4EB1">
        <w:t>a</w:t>
      </w:r>
      <w:r w:rsidRPr="007D4EB1">
        <w:t xml:space="preserve"> </w:t>
      </w:r>
      <w:r w:rsidR="00CF07C5" w:rsidRPr="007D4EB1">
        <w:t>p</w:t>
      </w:r>
      <w:r w:rsidRPr="007D4EB1">
        <w:t xml:space="preserve">ublished </w:t>
      </w:r>
      <w:r w:rsidR="003D5CC0" w:rsidRPr="007D4EB1">
        <w:t>EMP</w:t>
      </w:r>
      <w:r w:rsidRPr="007D4EB1">
        <w:t xml:space="preserve"> </w:t>
      </w:r>
      <w:r w:rsidR="008416B2" w:rsidRPr="007D4EB1">
        <w:t>of</w:t>
      </w:r>
      <w:r w:rsidRPr="007D4EB1">
        <w:t xml:space="preserve"> $</w:t>
      </w:r>
      <w:r w:rsidRPr="00304109">
        <w:t>3</w:t>
      </w:r>
      <w:r w:rsidR="00C15546" w:rsidRPr="00304109">
        <w:t>,</w:t>
      </w:r>
      <w:r w:rsidRPr="00304109">
        <w:t>097.00</w:t>
      </w:r>
      <w:r w:rsidR="003D5CC0" w:rsidRPr="0039031D">
        <w:t xml:space="preserve"> for</w:t>
      </w:r>
      <w:r w:rsidR="003D5CC0" w:rsidRPr="007D4EB1">
        <w:t xml:space="preserve"> the 2</w:t>
      </w:r>
      <w:r w:rsidR="00254BD7" w:rsidRPr="007D4EB1">
        <w:t>-pen pack</w:t>
      </w:r>
      <w:r w:rsidRPr="007D4EB1">
        <w:t>.</w:t>
      </w:r>
    </w:p>
    <w:p w14:paraId="16020414" w14:textId="058A511B" w:rsidR="00241C28" w:rsidRPr="007D4EB1" w:rsidRDefault="00241C28" w:rsidP="007B249F">
      <w:pPr>
        <w:pStyle w:val="3Bodytext"/>
      </w:pPr>
      <w:r w:rsidRPr="007D4EB1">
        <w:t>The submission claimed a cost-saving</w:t>
      </w:r>
      <w:r w:rsidR="00805704" w:rsidRPr="007D4EB1">
        <w:t xml:space="preserve"> to the Commonwealth</w:t>
      </w:r>
      <w:r w:rsidRPr="007D4EB1">
        <w:t xml:space="preserve"> of $20.60</w:t>
      </w:r>
      <w:r w:rsidR="005E1A76" w:rsidRPr="007D4EB1">
        <w:t xml:space="preserve"> per </w:t>
      </w:r>
      <w:r w:rsidR="00F35212" w:rsidRPr="007D4EB1">
        <w:t xml:space="preserve">pen </w:t>
      </w:r>
      <w:r w:rsidR="005E1A76" w:rsidRPr="007D4EB1">
        <w:t>with the 2</w:t>
      </w:r>
      <w:r w:rsidR="00254BD7" w:rsidRPr="007D4EB1">
        <w:t>-pen pack</w:t>
      </w:r>
      <w:r w:rsidR="005E1A76" w:rsidRPr="007D4EB1">
        <w:t>.</w:t>
      </w:r>
    </w:p>
    <w:p w14:paraId="57C998C7" w14:textId="24FBB234" w:rsidR="0048397D" w:rsidRPr="007D4EB1" w:rsidRDefault="00E90F9A" w:rsidP="007B249F">
      <w:pPr>
        <w:pStyle w:val="3Bodytext"/>
      </w:pPr>
      <w:r w:rsidRPr="007D4EB1">
        <w:t xml:space="preserve">It was noted that </w:t>
      </w:r>
      <w:r w:rsidR="0048397D" w:rsidRPr="007D4EB1">
        <w:t>supply chain mark ups are not a matter for the PBAC.</w:t>
      </w:r>
    </w:p>
    <w:p w14:paraId="23F77C6C" w14:textId="3A003D3F" w:rsidR="00F85206" w:rsidRPr="007D4EB1" w:rsidRDefault="00F85206" w:rsidP="009D507A">
      <w:pPr>
        <w:pStyle w:val="4-SubsectionHeading"/>
        <w:rPr>
          <w:lang w:eastAsia="en-US"/>
        </w:rPr>
      </w:pPr>
      <w:r w:rsidRPr="007D4EB1">
        <w:rPr>
          <w:lang w:eastAsia="en-US"/>
        </w:rPr>
        <w:t>Drug cost/patient/year: $</w:t>
      </w:r>
      <w:r w:rsidR="00800F2C" w:rsidRPr="007D4EB1">
        <w:rPr>
          <w:lang w:eastAsia="en-US"/>
        </w:rPr>
        <w:t xml:space="preserve">21,178.82 </w:t>
      </w:r>
    </w:p>
    <w:p w14:paraId="0B60C770" w14:textId="529B4672" w:rsidR="00F85206" w:rsidRPr="007D4EB1" w:rsidRDefault="00F85206" w:rsidP="007B249F">
      <w:pPr>
        <w:pStyle w:val="3Bodytext"/>
        <w:rPr>
          <w:rFonts w:cs="Calibri"/>
        </w:rPr>
      </w:pPr>
      <w:r w:rsidRPr="007D4EB1">
        <w:t>The estimated drug cost/patient</w:t>
      </w:r>
      <w:r w:rsidR="007C703B" w:rsidRPr="007D4EB1">
        <w:t>/</w:t>
      </w:r>
      <w:r w:rsidRPr="007D4EB1">
        <w:t>year would be $</w:t>
      </w:r>
      <w:r w:rsidR="00800F2C" w:rsidRPr="007D4EB1">
        <w:t>21,178.82</w:t>
      </w:r>
      <w:r w:rsidRPr="007D4EB1">
        <w:t xml:space="preserve">, based on </w:t>
      </w:r>
      <w:r w:rsidR="00800F2C" w:rsidRPr="007D4EB1">
        <w:t>6.5</w:t>
      </w:r>
      <w:r w:rsidR="0093390C" w:rsidRPr="007D4EB1">
        <w:t> </w:t>
      </w:r>
      <w:r w:rsidR="00800F2C" w:rsidRPr="007D4EB1">
        <w:t>scripts/year for the 2</w:t>
      </w:r>
      <w:r w:rsidR="00254BD7" w:rsidRPr="007D4EB1">
        <w:t>-pen pack</w:t>
      </w:r>
      <w:r w:rsidR="00800F2C" w:rsidRPr="007D4EB1">
        <w:t xml:space="preserve"> at a </w:t>
      </w:r>
      <w:r w:rsidR="003D5CC0" w:rsidRPr="007D4EB1">
        <w:t xml:space="preserve">published </w:t>
      </w:r>
      <w:r w:rsidR="00800F2C" w:rsidRPr="007D4EB1">
        <w:t>DMPQ of $3,258.28</w:t>
      </w:r>
      <w:r w:rsidRPr="007D4EB1">
        <w:t>.</w:t>
      </w:r>
      <w:r w:rsidRPr="007D4EB1">
        <w:rPr>
          <w:rFonts w:cs="Calibri"/>
        </w:rPr>
        <w:t xml:space="preserve"> </w:t>
      </w:r>
    </w:p>
    <w:p w14:paraId="4B39D2CE" w14:textId="25A44D93" w:rsidR="002F6F0F" w:rsidRPr="007D4EB1" w:rsidRDefault="00800F2C" w:rsidP="007B249F">
      <w:pPr>
        <w:pStyle w:val="3Bodytext"/>
      </w:pPr>
      <w:r w:rsidRPr="007D4EB1">
        <w:t xml:space="preserve">The total estimate remains the same, assuming the </w:t>
      </w:r>
      <w:r w:rsidR="003D5CC0" w:rsidRPr="007D4EB1">
        <w:t xml:space="preserve">published </w:t>
      </w:r>
      <w:r w:rsidRPr="007D4EB1">
        <w:t>DPMQ for the 1</w:t>
      </w:r>
      <w:r w:rsidR="00254BD7" w:rsidRPr="007D4EB1">
        <w:t>-pen pack</w:t>
      </w:r>
      <w:r w:rsidRPr="007D4EB1">
        <w:t xml:space="preserve"> is $1,629.14</w:t>
      </w:r>
      <w:r w:rsidR="005E1A76" w:rsidRPr="007D4EB1">
        <w:t xml:space="preserve"> ($3,258.28)</w:t>
      </w:r>
      <w:r w:rsidRPr="007D4EB1">
        <w:t xml:space="preserve">, with 13 scripts per year. </w:t>
      </w:r>
      <w:r w:rsidR="005E1A76" w:rsidRPr="007D4EB1">
        <w:t>Using the DMPQ calculated in the financial workbook</w:t>
      </w:r>
      <w:r w:rsidR="00E90F9A" w:rsidRPr="007D4EB1">
        <w:t xml:space="preserve"> provided with the submission</w:t>
      </w:r>
      <w:r w:rsidR="005E1A76" w:rsidRPr="007D4EB1">
        <w:t xml:space="preserve"> ($1,689.91)</w:t>
      </w:r>
      <w:r w:rsidR="00E90F9A" w:rsidRPr="007D4EB1">
        <w:t>,</w:t>
      </w:r>
      <w:r w:rsidR="005E1A76" w:rsidRPr="007D4EB1">
        <w:t xml:space="preserve"> the cost </w:t>
      </w:r>
      <w:r w:rsidR="00E90F9A" w:rsidRPr="007D4EB1">
        <w:t xml:space="preserve">would be </w:t>
      </w:r>
      <w:r w:rsidR="005E1A76" w:rsidRPr="007D4EB1">
        <w:t>$21,968.83 per year.</w:t>
      </w:r>
    </w:p>
    <w:p w14:paraId="5EB16602" w14:textId="48C887C3" w:rsidR="00D70349" w:rsidRPr="007D4EB1" w:rsidRDefault="00D70349" w:rsidP="00D70349">
      <w:pPr>
        <w:pStyle w:val="4-SubsectionHeading"/>
        <w:rPr>
          <w:lang w:eastAsia="en-US"/>
        </w:rPr>
      </w:pPr>
      <w:r w:rsidRPr="007D4EB1">
        <w:rPr>
          <w:lang w:eastAsia="en-US"/>
        </w:rPr>
        <w:lastRenderedPageBreak/>
        <w:t xml:space="preserve">Estimated PBS </w:t>
      </w:r>
      <w:r w:rsidR="00276BE3" w:rsidRPr="007D4EB1">
        <w:rPr>
          <w:lang w:eastAsia="en-US"/>
        </w:rPr>
        <w:t>usage</w:t>
      </w:r>
      <w:r w:rsidRPr="007D4EB1">
        <w:rPr>
          <w:lang w:eastAsia="en-US"/>
        </w:rPr>
        <w:t xml:space="preserve"> and financial implications</w:t>
      </w:r>
    </w:p>
    <w:p w14:paraId="46A49D3C" w14:textId="580AC91A" w:rsidR="0048397D" w:rsidRPr="007D4EB1" w:rsidRDefault="0048397D" w:rsidP="0048397D">
      <w:pPr>
        <w:pStyle w:val="3Bodytext"/>
      </w:pPr>
      <w:r w:rsidRPr="007D4EB1">
        <w:t xml:space="preserve">As a Category 4 submission, the </w:t>
      </w:r>
      <w:r w:rsidR="00202BA3" w:rsidRPr="007D4EB1">
        <w:t>financial implications</w:t>
      </w:r>
      <w:r w:rsidRPr="007D4EB1">
        <w:t xml:space="preserve"> ha</w:t>
      </w:r>
      <w:r w:rsidR="00202BA3" w:rsidRPr="007D4EB1">
        <w:t>ve</w:t>
      </w:r>
      <w:r w:rsidRPr="007D4EB1">
        <w:t xml:space="preserve"> not been independently evaluated.</w:t>
      </w:r>
    </w:p>
    <w:p w14:paraId="3CE254BE" w14:textId="5EA19A36" w:rsidR="007633CE" w:rsidRPr="007D4EB1" w:rsidRDefault="007633CE" w:rsidP="007633CE">
      <w:pPr>
        <w:pStyle w:val="3Bodytext"/>
      </w:pPr>
      <w:r w:rsidRPr="007D4EB1">
        <w:t xml:space="preserve">The submission presented financial estimates and implications comparing a 1-pen pack to a 2-pen pack being listed on the PBS, to support the request for </w:t>
      </w:r>
      <w:r w:rsidR="00AC4EFE" w:rsidRPr="007D4EB1">
        <w:t>a revised</w:t>
      </w:r>
      <w:r w:rsidRPr="007D4EB1">
        <w:t xml:space="preserve"> max</w:t>
      </w:r>
      <w:r w:rsidR="00AC4EFE" w:rsidRPr="007D4EB1">
        <w:t>imum</w:t>
      </w:r>
      <w:r w:rsidRPr="007D4EB1">
        <w:t xml:space="preserve"> quantity. The 2-pen pack provides a minor cost saving; however,</w:t>
      </w:r>
      <w:r w:rsidR="007473C7" w:rsidRPr="007D4EB1">
        <w:t xml:space="preserve"> it is to be noted that</w:t>
      </w:r>
      <w:r w:rsidRPr="007D4EB1">
        <w:t xml:space="preserve"> the effective price does not necessarily reflect what the Government would agree to for a 1-pen pack.</w:t>
      </w:r>
    </w:p>
    <w:p w14:paraId="178A6D21" w14:textId="1D7252B0" w:rsidR="006C0C29" w:rsidRPr="007D4EB1" w:rsidRDefault="00134901" w:rsidP="007B249F">
      <w:pPr>
        <w:pStyle w:val="3Bodytext"/>
      </w:pPr>
      <w:r w:rsidRPr="007D4EB1">
        <w:t>The financial estimates were derived using an epidemiological approach</w:t>
      </w:r>
      <w:r w:rsidR="006C0C29" w:rsidRPr="007D4EB1">
        <w:t xml:space="preserve"> </w:t>
      </w:r>
      <w:r w:rsidR="003C20B3" w:rsidRPr="007D4EB1">
        <w:t xml:space="preserve">that was </w:t>
      </w:r>
      <w:r w:rsidR="00B3497D" w:rsidRPr="007D4EB1">
        <w:t>calculated</w:t>
      </w:r>
      <w:r w:rsidR="003C20B3" w:rsidRPr="007D4EB1">
        <w:t xml:space="preserve"> </w:t>
      </w:r>
      <w:r w:rsidR="0096350F" w:rsidRPr="007D4EB1">
        <w:t xml:space="preserve">by the </w:t>
      </w:r>
      <w:r w:rsidR="00C36C57" w:rsidRPr="007D4EB1">
        <w:t xml:space="preserve">Department </w:t>
      </w:r>
      <w:r w:rsidR="003C20B3" w:rsidRPr="007D4EB1">
        <w:t xml:space="preserve">in </w:t>
      </w:r>
      <w:r w:rsidR="006C0C29" w:rsidRPr="007D4EB1">
        <w:t xml:space="preserve">August 2022 as part of the pricing negotiations </w:t>
      </w:r>
      <w:r w:rsidR="00B3497D" w:rsidRPr="007D4EB1">
        <w:t>that took place</w:t>
      </w:r>
      <w:r w:rsidR="006C0C29" w:rsidRPr="007D4EB1">
        <w:t xml:space="preserve"> after the PBAC recommendation in November 2021. </w:t>
      </w:r>
      <w:r w:rsidR="00C01068" w:rsidRPr="007D4EB1">
        <w:t>The estimates considered by t</w:t>
      </w:r>
      <w:r w:rsidR="006C0C29" w:rsidRPr="007D4EB1">
        <w:t xml:space="preserve">he PBAC </w:t>
      </w:r>
      <w:r w:rsidR="00C01068" w:rsidRPr="007D4EB1">
        <w:t>in November 2021 were</w:t>
      </w:r>
      <w:r w:rsidR="006C0C29" w:rsidRPr="007D4EB1">
        <w:t xml:space="preserve"> based on a market share approach.</w:t>
      </w:r>
    </w:p>
    <w:p w14:paraId="497D3075" w14:textId="11057300" w:rsidR="000C1AFF" w:rsidRPr="007D4EB1" w:rsidRDefault="000C1AFF" w:rsidP="007B249F">
      <w:pPr>
        <w:pStyle w:val="3Bodytext"/>
      </w:pPr>
      <w:r w:rsidRPr="007D4EB1">
        <w:t>The</w:t>
      </w:r>
      <w:r w:rsidR="003D5CC0" w:rsidRPr="007D4EB1">
        <w:t xml:space="preserve"> submission presented two estimates for the cost to the PBS/RPBS, one for listing the 1</w:t>
      </w:r>
      <w:r w:rsidR="00254BD7" w:rsidRPr="007D4EB1">
        <w:t>-pen pack</w:t>
      </w:r>
      <w:r w:rsidR="003D5CC0" w:rsidRPr="007D4EB1">
        <w:t xml:space="preserve"> and one for the 2</w:t>
      </w:r>
      <w:r w:rsidR="00254BD7" w:rsidRPr="007D4EB1">
        <w:t>-pen pack</w:t>
      </w:r>
      <w:r w:rsidR="003D5CC0" w:rsidRPr="007D4EB1">
        <w:t xml:space="preserve">, using </w:t>
      </w:r>
      <w:r w:rsidR="00111720" w:rsidRPr="007D4EB1">
        <w:t>an</w:t>
      </w:r>
      <w:r w:rsidR="003D5CC0" w:rsidRPr="007D4EB1">
        <w:t xml:space="preserve"> </w:t>
      </w:r>
      <w:r w:rsidR="00111720" w:rsidRPr="007D4EB1">
        <w:t>effective</w:t>
      </w:r>
      <w:r w:rsidR="003D5CC0" w:rsidRPr="007D4EB1">
        <w:t xml:space="preserve"> EMP of $</w:t>
      </w:r>
      <w:r w:rsidR="00622E48" w:rsidRPr="00833EBC">
        <w:rPr>
          <w:color w:val="000000"/>
          <w:w w:val="15"/>
          <w:shd w:val="solid" w:color="000000" w:fill="000000"/>
          <w:fitText w:val="-20" w:id="-1169325042"/>
          <w14:textFill>
            <w14:solidFill>
              <w14:srgbClr w14:val="000000">
                <w14:alpha w14:val="100000"/>
              </w14:srgbClr>
            </w14:solidFill>
          </w14:textFill>
        </w:rPr>
        <w:t xml:space="preserve">|  </w:t>
      </w:r>
      <w:r w:rsidR="00622E48" w:rsidRPr="00833EBC">
        <w:rPr>
          <w:color w:val="000000"/>
          <w:spacing w:val="-69"/>
          <w:w w:val="15"/>
          <w:shd w:val="solid" w:color="000000" w:fill="000000"/>
          <w:fitText w:val="-20" w:id="-1169325042"/>
          <w14:textFill>
            <w14:solidFill>
              <w14:srgbClr w14:val="000000">
                <w14:alpha w14:val="100000"/>
              </w14:srgbClr>
            </w14:solidFill>
          </w14:textFill>
        </w:rPr>
        <w:t>|</w:t>
      </w:r>
      <w:r w:rsidR="00622E48" w:rsidRPr="00622E48">
        <w:t xml:space="preserve"> </w:t>
      </w:r>
      <w:r w:rsidR="003D5CC0" w:rsidRPr="007D4EB1">
        <w:t>(1</w:t>
      </w:r>
      <w:r w:rsidR="00254BD7" w:rsidRPr="007D4EB1">
        <w:t>-pen pack</w:t>
      </w:r>
      <w:r w:rsidR="003D5CC0" w:rsidRPr="007D4EB1">
        <w:t xml:space="preserve">) and </w:t>
      </w:r>
      <w:r w:rsidR="00111720" w:rsidRPr="007D4EB1">
        <w:t>$</w:t>
      </w:r>
      <w:r w:rsidR="00622E48" w:rsidRPr="00833EBC">
        <w:rPr>
          <w:color w:val="000000"/>
          <w:w w:val="15"/>
          <w:shd w:val="solid" w:color="000000" w:fill="000000"/>
          <w:fitText w:val="-20" w:id="-1169325041"/>
          <w14:textFill>
            <w14:solidFill>
              <w14:srgbClr w14:val="000000">
                <w14:alpha w14:val="100000"/>
              </w14:srgbClr>
            </w14:solidFill>
          </w14:textFill>
        </w:rPr>
        <w:t xml:space="preserve">|  </w:t>
      </w:r>
      <w:r w:rsidR="00622E48" w:rsidRPr="00833EBC">
        <w:rPr>
          <w:color w:val="000000"/>
          <w:spacing w:val="-69"/>
          <w:w w:val="15"/>
          <w:shd w:val="solid" w:color="000000" w:fill="000000"/>
          <w:fitText w:val="-20" w:id="-1169325041"/>
          <w14:textFill>
            <w14:solidFill>
              <w14:srgbClr w14:val="000000">
                <w14:alpha w14:val="100000"/>
              </w14:srgbClr>
            </w14:solidFill>
          </w14:textFill>
        </w:rPr>
        <w:t>|</w:t>
      </w:r>
      <w:r w:rsidR="00622E48" w:rsidRPr="00622E48">
        <w:t xml:space="preserve"> </w:t>
      </w:r>
      <w:r w:rsidR="003D5CC0" w:rsidRPr="007D4EB1">
        <w:t>(2</w:t>
      </w:r>
      <w:r w:rsidR="00254BD7" w:rsidRPr="007D4EB1">
        <w:t>-pen pack</w:t>
      </w:r>
      <w:r w:rsidR="003D5CC0" w:rsidRPr="007D4EB1">
        <w:t>).</w:t>
      </w:r>
      <w:r w:rsidRPr="007D4EB1">
        <w:t xml:space="preserve"> </w:t>
      </w:r>
      <w:r w:rsidR="00F264C8" w:rsidRPr="007D4EB1">
        <w:t xml:space="preserve">The submission assumed that 2 scripts of </w:t>
      </w:r>
      <w:r w:rsidR="00506C55" w:rsidRPr="007D4EB1">
        <w:t xml:space="preserve">the </w:t>
      </w:r>
      <w:r w:rsidR="00F264C8" w:rsidRPr="007D4EB1">
        <w:t xml:space="preserve">1-pen pack equal one script of 2-pen pack. No broken pack fees </w:t>
      </w:r>
      <w:r w:rsidR="00C01068" w:rsidRPr="007D4EB1">
        <w:t xml:space="preserve">or </w:t>
      </w:r>
      <w:r w:rsidR="00F264C8" w:rsidRPr="007D4EB1">
        <w:t>wastage factors were included in the financial estimates.</w:t>
      </w:r>
    </w:p>
    <w:p w14:paraId="47335C5A" w14:textId="557FC959" w:rsidR="00D8406F" w:rsidRPr="007D4EB1" w:rsidRDefault="00D8406F" w:rsidP="007B249F">
      <w:pPr>
        <w:pStyle w:val="3Bodytext"/>
      </w:pPr>
      <w:r w:rsidRPr="007D4EB1">
        <w:t xml:space="preserve">Table </w:t>
      </w:r>
      <w:r w:rsidR="00111720" w:rsidRPr="007D4EB1">
        <w:t>2</w:t>
      </w:r>
      <w:r w:rsidRPr="007D4EB1">
        <w:t xml:space="preserve"> presents the estimated extent of use, cost of</w:t>
      </w:r>
      <w:r w:rsidR="00111720" w:rsidRPr="007D4EB1">
        <w:t xml:space="preserve"> the 1</w:t>
      </w:r>
      <w:r w:rsidR="00B861B5" w:rsidRPr="007D4EB1">
        <w:t>-pen</w:t>
      </w:r>
      <w:r w:rsidR="00111720" w:rsidRPr="007D4EB1">
        <w:t xml:space="preserve"> pack of IXE</w:t>
      </w:r>
      <w:r w:rsidRPr="007D4EB1">
        <w:t xml:space="preserve"> to the PBS/RPBS</w:t>
      </w:r>
      <w:r w:rsidR="00277B49" w:rsidRPr="007D4EB1">
        <w:t>,</w:t>
      </w:r>
      <w:r w:rsidRPr="007D4EB1">
        <w:t xml:space="preserve"> and the net financial implications to the PBS/RPBS. </w:t>
      </w:r>
      <w:r w:rsidR="0008632F" w:rsidRPr="007D4EB1">
        <w:t>Table 3 presents the estimated extent of use, cost of the 2</w:t>
      </w:r>
      <w:r w:rsidR="00B861B5" w:rsidRPr="007D4EB1">
        <w:t>-pen</w:t>
      </w:r>
      <w:r w:rsidR="0008632F" w:rsidRPr="007D4EB1">
        <w:t xml:space="preserve"> pack of IXE to the PBS/RPBS</w:t>
      </w:r>
      <w:r w:rsidR="00277B49" w:rsidRPr="007D4EB1">
        <w:t>,</w:t>
      </w:r>
      <w:r w:rsidR="0008632F" w:rsidRPr="007D4EB1">
        <w:t xml:space="preserve"> and the net financial implications to the PBS/RPBS.</w:t>
      </w:r>
    </w:p>
    <w:p w14:paraId="2D417240" w14:textId="77777777" w:rsidR="00544F10" w:rsidRDefault="00544F10">
      <w:pPr>
        <w:jc w:val="left"/>
        <w:rPr>
          <w:rStyle w:val="CommentReference"/>
          <w:rFonts w:ascii="Arial Narrow" w:hAnsi="Arial Narrow"/>
          <w:b/>
          <w:sz w:val="20"/>
          <w:szCs w:val="22"/>
        </w:rPr>
      </w:pPr>
      <w:r>
        <w:rPr>
          <w:rStyle w:val="CommentReference"/>
          <w:sz w:val="20"/>
          <w:szCs w:val="22"/>
        </w:rPr>
        <w:br w:type="page"/>
      </w:r>
    </w:p>
    <w:p w14:paraId="4CFEE4BE" w14:textId="7A83CC4C" w:rsidR="0036302E" w:rsidRPr="007D4EB1" w:rsidRDefault="0036302E" w:rsidP="0008632F">
      <w:pPr>
        <w:pStyle w:val="Tabletitles"/>
        <w:keepNext/>
        <w:spacing w:after="0"/>
        <w:contextualSpacing/>
        <w:rPr>
          <w:rFonts w:cstheme="minorHAnsi"/>
          <w:szCs w:val="24"/>
        </w:rPr>
      </w:pPr>
      <w:r w:rsidRPr="007D4EB1">
        <w:rPr>
          <w:rStyle w:val="CommentReference"/>
          <w:sz w:val="20"/>
          <w:szCs w:val="22"/>
        </w:rPr>
        <w:lastRenderedPageBreak/>
        <w:t>Table</w:t>
      </w:r>
      <w:r w:rsidRPr="007D4EB1">
        <w:rPr>
          <w:rFonts w:eastAsiaTheme="majorEastAsia"/>
        </w:rPr>
        <w:t xml:space="preserve"> </w:t>
      </w:r>
      <w:r w:rsidR="0008632F" w:rsidRPr="007D4EB1">
        <w:rPr>
          <w:rFonts w:eastAsiaTheme="majorEastAsia"/>
        </w:rPr>
        <w:t>2</w:t>
      </w:r>
      <w:r w:rsidRPr="007D4EB1">
        <w:rPr>
          <w:rFonts w:eastAsiaTheme="majorEastAsia"/>
        </w:rPr>
        <w:t xml:space="preserve">: </w:t>
      </w:r>
      <w:r w:rsidRPr="007D4EB1">
        <w:rPr>
          <w:rStyle w:val="CommentReference"/>
          <w:sz w:val="20"/>
          <w:szCs w:val="22"/>
        </w:rPr>
        <w:t>Estimated use and financial implications for 1</w:t>
      </w:r>
      <w:r w:rsidR="00254BD7" w:rsidRPr="007D4EB1">
        <w:rPr>
          <w:rStyle w:val="CommentReference"/>
          <w:sz w:val="20"/>
          <w:szCs w:val="22"/>
        </w:rPr>
        <w:t>-pen pack</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CC2F29" w:rsidRPr="007D4EB1" w14:paraId="69139088" w14:textId="77777777" w:rsidTr="00AD136D">
        <w:trPr>
          <w:cantSplit/>
          <w:tblHeader/>
          <w:jc w:val="center"/>
        </w:trPr>
        <w:tc>
          <w:tcPr>
            <w:tcW w:w="1118" w:type="pct"/>
            <w:shd w:val="clear" w:color="auto" w:fill="auto"/>
            <w:vAlign w:val="center"/>
          </w:tcPr>
          <w:p w14:paraId="699A26DC" w14:textId="77777777" w:rsidR="0036302E" w:rsidRPr="007D4EB1" w:rsidRDefault="0036302E" w:rsidP="00AD136D">
            <w:pPr>
              <w:pStyle w:val="TableText0"/>
              <w:keepLines/>
              <w:rPr>
                <w:szCs w:val="20"/>
              </w:rPr>
            </w:pPr>
          </w:p>
        </w:tc>
        <w:tc>
          <w:tcPr>
            <w:tcW w:w="647" w:type="pct"/>
            <w:shd w:val="clear" w:color="auto" w:fill="auto"/>
            <w:vAlign w:val="center"/>
          </w:tcPr>
          <w:p w14:paraId="59D1BDF5" w14:textId="77777777" w:rsidR="0036302E" w:rsidRPr="007D4EB1" w:rsidRDefault="0036302E" w:rsidP="00AD136D">
            <w:pPr>
              <w:pStyle w:val="TableText0"/>
              <w:keepLines/>
              <w:rPr>
                <w:b/>
                <w:szCs w:val="20"/>
              </w:rPr>
            </w:pPr>
            <w:r w:rsidRPr="007D4EB1">
              <w:rPr>
                <w:b/>
                <w:szCs w:val="20"/>
              </w:rPr>
              <w:t>Year 1 (2023)</w:t>
            </w:r>
          </w:p>
        </w:tc>
        <w:tc>
          <w:tcPr>
            <w:tcW w:w="647" w:type="pct"/>
            <w:shd w:val="clear" w:color="auto" w:fill="auto"/>
            <w:vAlign w:val="center"/>
          </w:tcPr>
          <w:p w14:paraId="5E713964" w14:textId="77777777" w:rsidR="0036302E" w:rsidRPr="007D4EB1" w:rsidRDefault="0036302E" w:rsidP="00AD136D">
            <w:pPr>
              <w:pStyle w:val="TableText0"/>
              <w:keepLines/>
              <w:rPr>
                <w:b/>
                <w:szCs w:val="20"/>
              </w:rPr>
            </w:pPr>
            <w:r w:rsidRPr="007D4EB1">
              <w:rPr>
                <w:b/>
                <w:szCs w:val="20"/>
              </w:rPr>
              <w:t>Year 2 (2024)</w:t>
            </w:r>
          </w:p>
        </w:tc>
        <w:tc>
          <w:tcPr>
            <w:tcW w:w="647" w:type="pct"/>
            <w:shd w:val="clear" w:color="auto" w:fill="auto"/>
            <w:vAlign w:val="center"/>
          </w:tcPr>
          <w:p w14:paraId="38B3A5EB" w14:textId="77777777" w:rsidR="0036302E" w:rsidRPr="007D4EB1" w:rsidRDefault="0036302E" w:rsidP="00AD136D">
            <w:pPr>
              <w:pStyle w:val="TableText0"/>
              <w:keepLines/>
              <w:rPr>
                <w:b/>
                <w:szCs w:val="20"/>
              </w:rPr>
            </w:pPr>
            <w:r w:rsidRPr="007D4EB1">
              <w:rPr>
                <w:b/>
                <w:szCs w:val="20"/>
              </w:rPr>
              <w:t>Year 3 (2025)</w:t>
            </w:r>
          </w:p>
        </w:tc>
        <w:tc>
          <w:tcPr>
            <w:tcW w:w="647" w:type="pct"/>
            <w:shd w:val="clear" w:color="auto" w:fill="auto"/>
            <w:vAlign w:val="center"/>
          </w:tcPr>
          <w:p w14:paraId="5EF0F41F" w14:textId="77777777" w:rsidR="0036302E" w:rsidRPr="007D4EB1" w:rsidRDefault="0036302E" w:rsidP="00AD136D">
            <w:pPr>
              <w:pStyle w:val="TableText0"/>
              <w:keepLines/>
              <w:rPr>
                <w:b/>
                <w:szCs w:val="20"/>
              </w:rPr>
            </w:pPr>
            <w:r w:rsidRPr="007D4EB1">
              <w:rPr>
                <w:b/>
                <w:szCs w:val="20"/>
              </w:rPr>
              <w:t>Year 4 (2026)</w:t>
            </w:r>
          </w:p>
        </w:tc>
        <w:tc>
          <w:tcPr>
            <w:tcW w:w="647" w:type="pct"/>
            <w:shd w:val="clear" w:color="auto" w:fill="auto"/>
            <w:vAlign w:val="center"/>
          </w:tcPr>
          <w:p w14:paraId="5CD23B9A" w14:textId="77777777" w:rsidR="0036302E" w:rsidRPr="007D4EB1" w:rsidRDefault="0036302E" w:rsidP="00AD136D">
            <w:pPr>
              <w:pStyle w:val="TableText0"/>
              <w:keepLines/>
              <w:rPr>
                <w:b/>
                <w:szCs w:val="20"/>
              </w:rPr>
            </w:pPr>
            <w:r w:rsidRPr="007D4EB1">
              <w:rPr>
                <w:b/>
                <w:szCs w:val="20"/>
              </w:rPr>
              <w:t>Year 5 (2027)</w:t>
            </w:r>
          </w:p>
        </w:tc>
        <w:tc>
          <w:tcPr>
            <w:tcW w:w="647" w:type="pct"/>
          </w:tcPr>
          <w:p w14:paraId="084563D5" w14:textId="77777777" w:rsidR="0036302E" w:rsidRPr="007D4EB1" w:rsidRDefault="0036302E" w:rsidP="00AD136D">
            <w:pPr>
              <w:pStyle w:val="TableText0"/>
              <w:keepLines/>
              <w:rPr>
                <w:b/>
                <w:szCs w:val="20"/>
              </w:rPr>
            </w:pPr>
            <w:r w:rsidRPr="007D4EB1">
              <w:rPr>
                <w:b/>
                <w:szCs w:val="20"/>
              </w:rPr>
              <w:t>Year 6 (2028)</w:t>
            </w:r>
          </w:p>
        </w:tc>
      </w:tr>
      <w:tr w:rsidR="00CC2F29" w:rsidRPr="007D4EB1" w14:paraId="4BB58696" w14:textId="77777777" w:rsidTr="00AD136D">
        <w:trPr>
          <w:cantSplit/>
          <w:jc w:val="center"/>
        </w:trPr>
        <w:tc>
          <w:tcPr>
            <w:tcW w:w="5000" w:type="pct"/>
            <w:gridSpan w:val="7"/>
            <w:shd w:val="clear" w:color="auto" w:fill="auto"/>
            <w:vAlign w:val="center"/>
          </w:tcPr>
          <w:p w14:paraId="2E9CAD6A" w14:textId="77777777" w:rsidR="0036302E" w:rsidRPr="007D4EB1" w:rsidRDefault="0036302E" w:rsidP="00AD136D">
            <w:pPr>
              <w:pStyle w:val="TableText0"/>
              <w:keepLines/>
              <w:rPr>
                <w:b/>
                <w:szCs w:val="20"/>
              </w:rPr>
            </w:pPr>
            <w:r w:rsidRPr="007D4EB1">
              <w:rPr>
                <w:b/>
                <w:szCs w:val="20"/>
              </w:rPr>
              <w:t>Estimated extent of use</w:t>
            </w:r>
          </w:p>
        </w:tc>
      </w:tr>
      <w:tr w:rsidR="00CC2F29" w:rsidRPr="007D4EB1" w14:paraId="1A2A8DB2" w14:textId="77777777" w:rsidTr="00AD136D">
        <w:trPr>
          <w:cantSplit/>
          <w:jc w:val="center"/>
        </w:trPr>
        <w:tc>
          <w:tcPr>
            <w:tcW w:w="1118" w:type="pct"/>
            <w:shd w:val="clear" w:color="auto" w:fill="auto"/>
            <w:vAlign w:val="center"/>
          </w:tcPr>
          <w:p w14:paraId="68358921" w14:textId="77777777" w:rsidR="0036302E" w:rsidRPr="007D4EB1" w:rsidRDefault="0036302E" w:rsidP="00AD136D">
            <w:pPr>
              <w:pStyle w:val="TableText0"/>
              <w:keepLines/>
              <w:rPr>
                <w:szCs w:val="20"/>
                <w:vertAlign w:val="superscript"/>
              </w:rPr>
            </w:pPr>
            <w:r w:rsidRPr="007D4EB1">
              <w:rPr>
                <w:szCs w:val="20"/>
              </w:rPr>
              <w:t>Number of scripts dispensed</w:t>
            </w:r>
            <w:r w:rsidRPr="007D4EB1">
              <w:rPr>
                <w:szCs w:val="20"/>
                <w:vertAlign w:val="superscript"/>
              </w:rPr>
              <w:t>a</w:t>
            </w:r>
          </w:p>
        </w:tc>
        <w:tc>
          <w:tcPr>
            <w:tcW w:w="647" w:type="pct"/>
            <w:shd w:val="clear" w:color="auto" w:fill="auto"/>
            <w:vAlign w:val="center"/>
          </w:tcPr>
          <w:p w14:paraId="68DAA0B6" w14:textId="2980BB0E" w:rsidR="0036302E"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1</w:t>
            </w:r>
            <w:r w:rsidRPr="00622E48">
              <w:rPr>
                <w:rFonts w:cs="Arial"/>
                <w:szCs w:val="20"/>
              </w:rPr>
              <w:t xml:space="preserve"> </w:t>
            </w:r>
          </w:p>
        </w:tc>
        <w:tc>
          <w:tcPr>
            <w:tcW w:w="647" w:type="pct"/>
            <w:shd w:val="clear" w:color="auto" w:fill="auto"/>
            <w:vAlign w:val="center"/>
          </w:tcPr>
          <w:p w14:paraId="26544B46" w14:textId="3482723A" w:rsidR="0036302E"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2</w:t>
            </w:r>
            <w:r w:rsidRPr="00622E48">
              <w:rPr>
                <w:rFonts w:cs="Arial"/>
                <w:szCs w:val="20"/>
              </w:rPr>
              <w:t xml:space="preserve"> </w:t>
            </w:r>
          </w:p>
        </w:tc>
        <w:tc>
          <w:tcPr>
            <w:tcW w:w="647" w:type="pct"/>
            <w:shd w:val="clear" w:color="auto" w:fill="auto"/>
            <w:vAlign w:val="center"/>
          </w:tcPr>
          <w:p w14:paraId="0AD87827" w14:textId="3CD4AD9E" w:rsidR="0036302E"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2</w:t>
            </w:r>
            <w:r w:rsidRPr="00622E48">
              <w:rPr>
                <w:rFonts w:cs="Arial"/>
                <w:szCs w:val="20"/>
              </w:rPr>
              <w:t xml:space="preserve"> </w:t>
            </w:r>
          </w:p>
        </w:tc>
        <w:tc>
          <w:tcPr>
            <w:tcW w:w="647" w:type="pct"/>
            <w:shd w:val="clear" w:color="auto" w:fill="auto"/>
            <w:vAlign w:val="center"/>
          </w:tcPr>
          <w:p w14:paraId="2D861ABB" w14:textId="40D062D7" w:rsidR="0036302E"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2</w:t>
            </w:r>
            <w:r w:rsidRPr="00622E48">
              <w:rPr>
                <w:rFonts w:cs="Arial"/>
                <w:szCs w:val="20"/>
              </w:rPr>
              <w:t xml:space="preserve"> </w:t>
            </w:r>
          </w:p>
        </w:tc>
        <w:tc>
          <w:tcPr>
            <w:tcW w:w="647" w:type="pct"/>
            <w:shd w:val="clear" w:color="auto" w:fill="auto"/>
            <w:vAlign w:val="center"/>
          </w:tcPr>
          <w:p w14:paraId="0CBC3202" w14:textId="38E404B1" w:rsidR="0036302E"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Pr="00622E48">
              <w:rPr>
                <w:rFonts w:cs="Arial"/>
                <w:szCs w:val="20"/>
              </w:rPr>
              <w:t xml:space="preserve"> </w:t>
            </w:r>
            <w:r w:rsidR="00773F9E">
              <w:rPr>
                <w:vertAlign w:val="superscript"/>
              </w:rPr>
              <w:t>3</w:t>
            </w:r>
          </w:p>
        </w:tc>
        <w:tc>
          <w:tcPr>
            <w:tcW w:w="647" w:type="pct"/>
            <w:vAlign w:val="center"/>
          </w:tcPr>
          <w:p w14:paraId="2AD72170" w14:textId="262572CB" w:rsidR="0036302E"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3</w:t>
            </w:r>
            <w:r w:rsidRPr="00622E48">
              <w:rPr>
                <w:rFonts w:cs="Arial"/>
                <w:szCs w:val="20"/>
              </w:rPr>
              <w:t xml:space="preserve"> </w:t>
            </w:r>
          </w:p>
        </w:tc>
      </w:tr>
      <w:tr w:rsidR="00CC2F29" w:rsidRPr="007D4EB1" w14:paraId="7C5506E4" w14:textId="77777777" w:rsidTr="00AD136D">
        <w:trPr>
          <w:cantSplit/>
          <w:jc w:val="center"/>
        </w:trPr>
        <w:tc>
          <w:tcPr>
            <w:tcW w:w="5000" w:type="pct"/>
            <w:gridSpan w:val="7"/>
            <w:shd w:val="clear" w:color="auto" w:fill="auto"/>
            <w:vAlign w:val="center"/>
          </w:tcPr>
          <w:p w14:paraId="6D8AAE7E" w14:textId="071EE427" w:rsidR="0036302E" w:rsidRPr="007D4EB1" w:rsidRDefault="0036302E" w:rsidP="00AD136D">
            <w:pPr>
              <w:pStyle w:val="TableText0"/>
              <w:keepLines/>
              <w:rPr>
                <w:b/>
                <w:szCs w:val="20"/>
              </w:rPr>
            </w:pPr>
            <w:r w:rsidRPr="007D4EB1">
              <w:rPr>
                <w:b/>
                <w:szCs w:val="20"/>
              </w:rPr>
              <w:t xml:space="preserve">Estimated financial implications of </w:t>
            </w:r>
            <w:r w:rsidR="00CC2F29" w:rsidRPr="007D4EB1">
              <w:rPr>
                <w:b/>
                <w:szCs w:val="20"/>
              </w:rPr>
              <w:t>IXE 1</w:t>
            </w:r>
            <w:r w:rsidR="00254BD7" w:rsidRPr="007D4EB1">
              <w:rPr>
                <w:b/>
                <w:szCs w:val="20"/>
              </w:rPr>
              <w:t>-pen pack</w:t>
            </w:r>
          </w:p>
        </w:tc>
      </w:tr>
      <w:tr w:rsidR="00CC2F29" w:rsidRPr="007D4EB1" w14:paraId="1B1B8BD3" w14:textId="77777777" w:rsidTr="00111720">
        <w:trPr>
          <w:cantSplit/>
          <w:jc w:val="center"/>
        </w:trPr>
        <w:tc>
          <w:tcPr>
            <w:tcW w:w="1118" w:type="pct"/>
            <w:shd w:val="clear" w:color="auto" w:fill="auto"/>
            <w:vAlign w:val="center"/>
          </w:tcPr>
          <w:p w14:paraId="64F6410D" w14:textId="3C77AFCC" w:rsidR="0036302E" w:rsidRPr="007D4EB1" w:rsidRDefault="0036302E" w:rsidP="0036302E">
            <w:pPr>
              <w:pStyle w:val="TableText0"/>
              <w:keepLines/>
              <w:rPr>
                <w:szCs w:val="20"/>
              </w:rPr>
            </w:pPr>
            <w:r w:rsidRPr="007D4EB1">
              <w:rPr>
                <w:szCs w:val="20"/>
              </w:rPr>
              <w:t>Cost to PBS/RPBS less co-payment</w:t>
            </w:r>
            <w:r w:rsidR="00EB4442">
              <w:rPr>
                <w:szCs w:val="20"/>
              </w:rPr>
              <w:t xml:space="preserve"> ($)</w:t>
            </w:r>
          </w:p>
        </w:tc>
        <w:tc>
          <w:tcPr>
            <w:tcW w:w="647" w:type="pct"/>
            <w:shd w:val="clear" w:color="auto" w:fill="auto"/>
            <w:vAlign w:val="center"/>
          </w:tcPr>
          <w:p w14:paraId="562A8309" w14:textId="02C9CEEC" w:rsidR="0036302E"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7" w:type="pct"/>
            <w:shd w:val="clear" w:color="auto" w:fill="auto"/>
            <w:vAlign w:val="center"/>
          </w:tcPr>
          <w:p w14:paraId="37F1DF04" w14:textId="011D7016" w:rsidR="0036302E"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7" w:type="pct"/>
            <w:shd w:val="clear" w:color="auto" w:fill="auto"/>
            <w:vAlign w:val="center"/>
          </w:tcPr>
          <w:p w14:paraId="550561C3" w14:textId="449917C3" w:rsidR="0036302E"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7" w:type="pct"/>
            <w:shd w:val="clear" w:color="auto" w:fill="auto"/>
            <w:vAlign w:val="center"/>
          </w:tcPr>
          <w:p w14:paraId="4A84505A" w14:textId="06E5C8E6" w:rsidR="0036302E"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7" w:type="pct"/>
            <w:shd w:val="clear" w:color="auto" w:fill="auto"/>
            <w:vAlign w:val="center"/>
          </w:tcPr>
          <w:p w14:paraId="510B76B8" w14:textId="62E6AE10" w:rsidR="0036302E"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7" w:type="pct"/>
            <w:vAlign w:val="center"/>
          </w:tcPr>
          <w:p w14:paraId="3FD64B82" w14:textId="7691CAEC" w:rsidR="0036302E"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Pr>
                <w:vertAlign w:val="superscript"/>
              </w:rPr>
              <w:t>4</w:t>
            </w:r>
          </w:p>
        </w:tc>
      </w:tr>
      <w:tr w:rsidR="00CC2F29" w:rsidRPr="007D4EB1" w14:paraId="6639DB3F" w14:textId="77777777" w:rsidTr="00AD136D">
        <w:trPr>
          <w:cantSplit/>
          <w:jc w:val="center"/>
        </w:trPr>
        <w:tc>
          <w:tcPr>
            <w:tcW w:w="5000" w:type="pct"/>
            <w:gridSpan w:val="7"/>
            <w:shd w:val="clear" w:color="auto" w:fill="auto"/>
            <w:vAlign w:val="center"/>
          </w:tcPr>
          <w:p w14:paraId="0ACFF014" w14:textId="3E310B8C" w:rsidR="0036302E" w:rsidRPr="007D4EB1" w:rsidRDefault="0036302E" w:rsidP="00AD136D">
            <w:pPr>
              <w:pStyle w:val="TableText0"/>
              <w:keepLines/>
              <w:rPr>
                <w:b/>
                <w:szCs w:val="20"/>
              </w:rPr>
            </w:pPr>
            <w:r w:rsidRPr="007D4EB1">
              <w:rPr>
                <w:b/>
                <w:szCs w:val="20"/>
              </w:rPr>
              <w:t xml:space="preserve">Estimated financial implications of </w:t>
            </w:r>
            <w:r w:rsidR="00CC2F29" w:rsidRPr="007D4EB1">
              <w:rPr>
                <w:b/>
                <w:szCs w:val="20"/>
              </w:rPr>
              <w:t>C</w:t>
            </w:r>
            <w:r w:rsidRPr="007D4EB1">
              <w:rPr>
                <w:b/>
                <w:szCs w:val="20"/>
              </w:rPr>
              <w:t>omparato</w:t>
            </w:r>
            <w:r w:rsidR="00CC2F29" w:rsidRPr="007D4EB1">
              <w:rPr>
                <w:b/>
                <w:szCs w:val="20"/>
              </w:rPr>
              <w:t>rs</w:t>
            </w:r>
            <w:r w:rsidRPr="007D4EB1">
              <w:rPr>
                <w:b/>
                <w:szCs w:val="20"/>
              </w:rPr>
              <w:t xml:space="preserve"> </w:t>
            </w:r>
          </w:p>
        </w:tc>
      </w:tr>
      <w:tr w:rsidR="00CC2F29" w:rsidRPr="007D4EB1" w14:paraId="6186EA22" w14:textId="77777777" w:rsidTr="00C31A16">
        <w:trPr>
          <w:cantSplit/>
          <w:jc w:val="center"/>
        </w:trPr>
        <w:tc>
          <w:tcPr>
            <w:tcW w:w="1118" w:type="pct"/>
            <w:shd w:val="clear" w:color="auto" w:fill="auto"/>
            <w:vAlign w:val="center"/>
          </w:tcPr>
          <w:p w14:paraId="549CF1A0" w14:textId="3D305B95" w:rsidR="0036302E" w:rsidRPr="007D4EB1" w:rsidRDefault="0036302E" w:rsidP="0036302E">
            <w:pPr>
              <w:pStyle w:val="TableText0"/>
              <w:keepLines/>
              <w:rPr>
                <w:szCs w:val="20"/>
              </w:rPr>
            </w:pPr>
            <w:r w:rsidRPr="007D4EB1">
              <w:rPr>
                <w:szCs w:val="20"/>
              </w:rPr>
              <w:t>Cost to PBS/RPBS less co-payment</w:t>
            </w:r>
            <w:r w:rsidR="00EB4442">
              <w:rPr>
                <w:szCs w:val="20"/>
              </w:rPr>
              <w:t xml:space="preserve"> ($)</w:t>
            </w:r>
          </w:p>
        </w:tc>
        <w:tc>
          <w:tcPr>
            <w:tcW w:w="647" w:type="pct"/>
            <w:shd w:val="clear" w:color="auto" w:fill="auto"/>
            <w:vAlign w:val="center"/>
          </w:tcPr>
          <w:p w14:paraId="23EE7CFD" w14:textId="303469FA" w:rsidR="0036302E" w:rsidRPr="00773F9E" w:rsidRDefault="00622E48" w:rsidP="0036302E">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0F3DC50A" w14:textId="37FE736B" w:rsidR="0036302E" w:rsidRPr="00773F9E" w:rsidRDefault="00622E48" w:rsidP="0036302E">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4FBCBCEA" w14:textId="11E9A8B6" w:rsidR="0036302E" w:rsidRPr="00773F9E" w:rsidRDefault="00622E48" w:rsidP="0036302E">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16A84443" w14:textId="1F0002A2" w:rsidR="0036302E" w:rsidRPr="00773F9E" w:rsidRDefault="00622E48" w:rsidP="0036302E">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504F7D5B" w14:textId="09FBFEC8" w:rsidR="0036302E" w:rsidRPr="00773F9E" w:rsidRDefault="00622E48" w:rsidP="0036302E">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vAlign w:val="center"/>
          </w:tcPr>
          <w:p w14:paraId="1488DCAF" w14:textId="2429EAD4" w:rsidR="0036302E" w:rsidRPr="00773F9E" w:rsidRDefault="00622E48" w:rsidP="0036302E">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5</w:t>
            </w:r>
          </w:p>
        </w:tc>
      </w:tr>
      <w:tr w:rsidR="00CC2F29" w:rsidRPr="007D4EB1" w14:paraId="5F5CE027" w14:textId="77777777" w:rsidTr="00AD136D">
        <w:trPr>
          <w:cantSplit/>
          <w:jc w:val="center"/>
        </w:trPr>
        <w:tc>
          <w:tcPr>
            <w:tcW w:w="5000" w:type="pct"/>
            <w:gridSpan w:val="7"/>
            <w:shd w:val="clear" w:color="auto" w:fill="auto"/>
            <w:vAlign w:val="center"/>
          </w:tcPr>
          <w:p w14:paraId="0FD0FBE9" w14:textId="77777777" w:rsidR="0036302E" w:rsidRPr="007D4EB1" w:rsidRDefault="0036302E" w:rsidP="00AD136D">
            <w:pPr>
              <w:pStyle w:val="TableText0"/>
              <w:keepLines/>
              <w:rPr>
                <w:b/>
                <w:bCs w:val="0"/>
                <w:szCs w:val="20"/>
              </w:rPr>
            </w:pPr>
            <w:r w:rsidRPr="007D4EB1">
              <w:rPr>
                <w:b/>
                <w:bCs w:val="0"/>
                <w:szCs w:val="20"/>
              </w:rPr>
              <w:t>Net financial implications</w:t>
            </w:r>
          </w:p>
        </w:tc>
      </w:tr>
      <w:tr w:rsidR="00CC2F29" w:rsidRPr="007D4EB1" w14:paraId="7673E9DA" w14:textId="77777777" w:rsidTr="00430946">
        <w:trPr>
          <w:cantSplit/>
          <w:jc w:val="center"/>
        </w:trPr>
        <w:tc>
          <w:tcPr>
            <w:tcW w:w="1118" w:type="pct"/>
            <w:shd w:val="clear" w:color="auto" w:fill="auto"/>
            <w:vAlign w:val="center"/>
          </w:tcPr>
          <w:p w14:paraId="09100F17" w14:textId="2634DA69" w:rsidR="0036302E" w:rsidRPr="007D4EB1" w:rsidRDefault="0036302E" w:rsidP="0036302E">
            <w:pPr>
              <w:pStyle w:val="TableText0"/>
              <w:keepLines/>
              <w:rPr>
                <w:szCs w:val="20"/>
              </w:rPr>
            </w:pPr>
            <w:r w:rsidRPr="007D4EB1">
              <w:rPr>
                <w:szCs w:val="20"/>
              </w:rPr>
              <w:t>Net cost to PBS/RPBS</w:t>
            </w:r>
            <w:r w:rsidR="00EB4442">
              <w:rPr>
                <w:szCs w:val="20"/>
              </w:rPr>
              <w:t xml:space="preserve"> ($)</w:t>
            </w:r>
          </w:p>
        </w:tc>
        <w:tc>
          <w:tcPr>
            <w:tcW w:w="647" w:type="pct"/>
            <w:shd w:val="clear" w:color="auto" w:fill="auto"/>
            <w:vAlign w:val="center"/>
          </w:tcPr>
          <w:p w14:paraId="481F8D71" w14:textId="50A081C3" w:rsidR="0036302E" w:rsidRPr="00773F9E" w:rsidRDefault="00622E48" w:rsidP="0036302E">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7D8208B4" w14:textId="3244408A" w:rsidR="0036302E" w:rsidRPr="00773F9E" w:rsidRDefault="00622E48" w:rsidP="0036302E">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0094EDBC" w14:textId="29C46116" w:rsidR="0036302E" w:rsidRPr="00773F9E" w:rsidRDefault="00622E48" w:rsidP="0036302E">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6C710103" w14:textId="395E279A" w:rsidR="0036302E" w:rsidRPr="00773F9E" w:rsidRDefault="00622E48" w:rsidP="0036302E">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shd w:val="clear" w:color="auto" w:fill="auto"/>
            <w:vAlign w:val="center"/>
          </w:tcPr>
          <w:p w14:paraId="4640C760" w14:textId="255F66EF" w:rsidR="0036302E" w:rsidRPr="00773F9E" w:rsidRDefault="00622E48" w:rsidP="0036302E">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5</w:t>
            </w:r>
          </w:p>
        </w:tc>
        <w:tc>
          <w:tcPr>
            <w:tcW w:w="647" w:type="pct"/>
            <w:vAlign w:val="center"/>
          </w:tcPr>
          <w:p w14:paraId="3E2D99D9" w14:textId="23407A7D" w:rsidR="0036302E" w:rsidRPr="00773F9E" w:rsidRDefault="00622E48" w:rsidP="0036302E">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5</w:t>
            </w:r>
          </w:p>
        </w:tc>
      </w:tr>
    </w:tbl>
    <w:p w14:paraId="57DF5019" w14:textId="0C81AD63" w:rsidR="0036302E" w:rsidRPr="007D4EB1" w:rsidRDefault="0036302E" w:rsidP="0088278C">
      <w:pPr>
        <w:pStyle w:val="TableFooter"/>
        <w:keepNext/>
      </w:pPr>
      <w:r w:rsidRPr="007D4EB1">
        <w:rPr>
          <w:vertAlign w:val="superscript"/>
        </w:rPr>
        <w:t>a</w:t>
      </w:r>
      <w:r w:rsidRPr="007D4EB1">
        <w:t xml:space="preserve"> Assuming </w:t>
      </w:r>
      <w:r w:rsidR="00CC2F29" w:rsidRPr="007D4EB1">
        <w:t>13</w:t>
      </w:r>
      <w:r w:rsidR="00CC2F29" w:rsidRPr="007D4EB1">
        <w:rPr>
          <w:color w:val="FF0000"/>
        </w:rPr>
        <w:t xml:space="preserve"> </w:t>
      </w:r>
      <w:r w:rsidRPr="007D4EB1">
        <w:t xml:space="preserve">per patient per year as estimated by the submission. </w:t>
      </w:r>
    </w:p>
    <w:p w14:paraId="2D10AB52" w14:textId="77777777" w:rsidR="0036302E" w:rsidRPr="007D4EB1" w:rsidRDefault="0036302E" w:rsidP="0088278C">
      <w:pPr>
        <w:pStyle w:val="TableFooter"/>
        <w:keepNext/>
      </w:pPr>
      <w:r w:rsidRPr="007D4EB1">
        <w:t>Abbreviations: MBS = Medical Benefits Scheme; PBS = Pharmaceutical Benefits Scheme; RPBS = Repatriation Pharmaceutical Benefits Scheme.</w:t>
      </w:r>
    </w:p>
    <w:p w14:paraId="0FFFEC4F" w14:textId="3773C00C" w:rsidR="00773F9E" w:rsidRDefault="0036302E" w:rsidP="00EB4442">
      <w:pPr>
        <w:pStyle w:val="TableFooter"/>
        <w:keepNext/>
      </w:pPr>
      <w:r w:rsidRPr="007D4EB1">
        <w:t xml:space="preserve">Source: </w:t>
      </w:r>
      <w:r w:rsidR="00111720" w:rsidRPr="007D4EB1">
        <w:t>Ixekizumab_Mar23_UCM_1pack.xlsx</w:t>
      </w:r>
    </w:p>
    <w:p w14:paraId="6E9B68F8" w14:textId="44FA7542" w:rsidR="00773F9E" w:rsidRPr="00EB4442" w:rsidRDefault="00773F9E" w:rsidP="00EB4442">
      <w:pPr>
        <w:pStyle w:val="TableFooter"/>
        <w:keepNext/>
        <w:rPr>
          <w:i/>
          <w:iCs/>
        </w:rPr>
      </w:pPr>
      <w:r w:rsidRPr="00EB4442">
        <w:rPr>
          <w:i/>
          <w:iCs/>
        </w:rPr>
        <w:t>The redacted values correspond to the following ranges:</w:t>
      </w:r>
    </w:p>
    <w:p w14:paraId="5771464F" w14:textId="19F0D4CF" w:rsidR="00773F9E" w:rsidRPr="00EB4442" w:rsidRDefault="00773F9E" w:rsidP="00773F9E">
      <w:pPr>
        <w:pStyle w:val="TableFooter"/>
        <w:keepNext/>
        <w:rPr>
          <w:i/>
          <w:iCs/>
        </w:rPr>
      </w:pPr>
      <w:r w:rsidRPr="00EB4442">
        <w:rPr>
          <w:i/>
          <w:iCs/>
          <w:vertAlign w:val="superscript"/>
        </w:rPr>
        <w:t>1</w:t>
      </w:r>
      <w:r w:rsidRPr="00EB4442">
        <w:rPr>
          <w:i/>
          <w:iCs/>
        </w:rPr>
        <w:t xml:space="preserve"> &lt;500</w:t>
      </w:r>
    </w:p>
    <w:p w14:paraId="4720C105" w14:textId="656F56E9" w:rsidR="00773F9E" w:rsidRPr="00EB4442" w:rsidRDefault="00773F9E" w:rsidP="00773F9E">
      <w:pPr>
        <w:pStyle w:val="TableFooter"/>
        <w:keepNext/>
        <w:rPr>
          <w:i/>
          <w:iCs/>
        </w:rPr>
      </w:pPr>
      <w:r w:rsidRPr="00EB4442">
        <w:rPr>
          <w:i/>
          <w:iCs/>
          <w:vertAlign w:val="superscript"/>
        </w:rPr>
        <w:t>2</w:t>
      </w:r>
      <w:r w:rsidRPr="00EB4442">
        <w:rPr>
          <w:i/>
          <w:iCs/>
        </w:rPr>
        <w:t xml:space="preserve"> 500 to &lt; 5,000</w:t>
      </w:r>
    </w:p>
    <w:p w14:paraId="7B660660" w14:textId="69071C9F" w:rsidR="00773F9E" w:rsidRPr="00EB4442" w:rsidRDefault="00773F9E" w:rsidP="00773F9E">
      <w:pPr>
        <w:pStyle w:val="TableFooter"/>
        <w:keepNext/>
        <w:rPr>
          <w:i/>
          <w:iCs/>
        </w:rPr>
      </w:pPr>
      <w:r w:rsidRPr="00EB4442">
        <w:rPr>
          <w:i/>
          <w:iCs/>
          <w:vertAlign w:val="superscript"/>
        </w:rPr>
        <w:t>3</w:t>
      </w:r>
      <w:r w:rsidRPr="00EB4442">
        <w:rPr>
          <w:i/>
          <w:iCs/>
        </w:rPr>
        <w:t xml:space="preserve"> 5,000 to &lt; 10,000</w:t>
      </w:r>
    </w:p>
    <w:p w14:paraId="50E1FB18" w14:textId="5CB7908F" w:rsidR="00773F9E" w:rsidRPr="00EB4442" w:rsidRDefault="00773F9E" w:rsidP="00773F9E">
      <w:pPr>
        <w:pStyle w:val="TableFooter"/>
        <w:keepNext/>
        <w:rPr>
          <w:i/>
          <w:iCs/>
        </w:rPr>
      </w:pPr>
      <w:r w:rsidRPr="00EB4442">
        <w:rPr>
          <w:i/>
          <w:iCs/>
          <w:vertAlign w:val="superscript"/>
        </w:rPr>
        <w:t>4</w:t>
      </w:r>
      <w:r w:rsidRPr="00EB4442">
        <w:rPr>
          <w:i/>
          <w:iCs/>
        </w:rPr>
        <w:t xml:space="preserve"> $0 to &lt; $10 million</w:t>
      </w:r>
    </w:p>
    <w:p w14:paraId="0931B444" w14:textId="3753571A" w:rsidR="00773F9E" w:rsidRPr="00EB4442" w:rsidRDefault="00773F9E" w:rsidP="00773F9E">
      <w:pPr>
        <w:pStyle w:val="TableFooter"/>
        <w:keepNext/>
        <w:rPr>
          <w:i/>
          <w:iCs/>
        </w:rPr>
      </w:pPr>
      <w:r w:rsidRPr="00EB4442">
        <w:rPr>
          <w:i/>
          <w:iCs/>
          <w:vertAlign w:val="superscript"/>
        </w:rPr>
        <w:t>5</w:t>
      </w:r>
      <w:r w:rsidRPr="00EB4442">
        <w:rPr>
          <w:i/>
          <w:iCs/>
        </w:rPr>
        <w:t xml:space="preserve"> net cost saving</w:t>
      </w:r>
    </w:p>
    <w:p w14:paraId="3E7766FF" w14:textId="77777777" w:rsidR="00773F9E" w:rsidRPr="00773F9E" w:rsidRDefault="00773F9E" w:rsidP="00304109">
      <w:pPr>
        <w:pStyle w:val="TableFooter"/>
        <w:keepNext/>
      </w:pPr>
    </w:p>
    <w:p w14:paraId="3790E461" w14:textId="5AAF7C49" w:rsidR="00CC2F29" w:rsidRPr="007D4EB1" w:rsidRDefault="00CC2F29" w:rsidP="00756AFB">
      <w:pPr>
        <w:pStyle w:val="TableFigureHeading"/>
        <w:rPr>
          <w:rFonts w:asciiTheme="minorHAnsi" w:hAnsiTheme="minorHAnsi" w:cstheme="minorHAnsi"/>
          <w:sz w:val="24"/>
        </w:rPr>
      </w:pPr>
      <w:r w:rsidRPr="007D4EB1">
        <w:rPr>
          <w:rStyle w:val="CommentReference"/>
          <w:sz w:val="20"/>
          <w:szCs w:val="22"/>
        </w:rPr>
        <w:t>Table</w:t>
      </w:r>
      <w:r w:rsidRPr="007D4EB1">
        <w:t xml:space="preserve"> </w:t>
      </w:r>
      <w:r w:rsidR="0008632F" w:rsidRPr="007D4EB1">
        <w:t>3</w:t>
      </w:r>
      <w:r w:rsidRPr="007D4EB1">
        <w:t xml:space="preserve">: </w:t>
      </w:r>
      <w:r w:rsidRPr="007D4EB1">
        <w:rPr>
          <w:rStyle w:val="CommentReference"/>
          <w:sz w:val="20"/>
          <w:szCs w:val="22"/>
        </w:rPr>
        <w:t>Estimated use and financial implications for 2</w:t>
      </w:r>
      <w:r w:rsidR="00254BD7" w:rsidRPr="007D4EB1">
        <w:rPr>
          <w:rStyle w:val="CommentReference"/>
          <w:sz w:val="20"/>
          <w:szCs w:val="22"/>
        </w:rPr>
        <w:t>-pen pack</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6"/>
        <w:gridCol w:w="1155"/>
        <w:gridCol w:w="1155"/>
        <w:gridCol w:w="1155"/>
        <w:gridCol w:w="1155"/>
        <w:gridCol w:w="1155"/>
        <w:gridCol w:w="1167"/>
      </w:tblGrid>
      <w:tr w:rsidR="00CC2F29" w:rsidRPr="007D4EB1" w14:paraId="7FF3AFE4" w14:textId="77777777" w:rsidTr="00AD136D">
        <w:trPr>
          <w:cantSplit/>
          <w:tblHeader/>
          <w:jc w:val="center"/>
        </w:trPr>
        <w:tc>
          <w:tcPr>
            <w:tcW w:w="1117" w:type="pct"/>
            <w:shd w:val="clear" w:color="auto" w:fill="auto"/>
            <w:vAlign w:val="center"/>
          </w:tcPr>
          <w:p w14:paraId="4C963E0C" w14:textId="77777777" w:rsidR="00CC2F29" w:rsidRPr="007D4EB1" w:rsidRDefault="00CC2F29" w:rsidP="00AD136D">
            <w:pPr>
              <w:pStyle w:val="TableText0"/>
              <w:keepLines/>
              <w:rPr>
                <w:szCs w:val="20"/>
              </w:rPr>
            </w:pPr>
          </w:p>
        </w:tc>
        <w:tc>
          <w:tcPr>
            <w:tcW w:w="646" w:type="pct"/>
            <w:shd w:val="clear" w:color="auto" w:fill="auto"/>
            <w:vAlign w:val="center"/>
          </w:tcPr>
          <w:p w14:paraId="3AD71FE9" w14:textId="77777777" w:rsidR="00CC2F29" w:rsidRPr="007D4EB1" w:rsidRDefault="00CC2F29" w:rsidP="00AD136D">
            <w:pPr>
              <w:pStyle w:val="TableText0"/>
              <w:keepLines/>
              <w:rPr>
                <w:b/>
                <w:szCs w:val="20"/>
              </w:rPr>
            </w:pPr>
            <w:r w:rsidRPr="007D4EB1">
              <w:rPr>
                <w:b/>
                <w:szCs w:val="20"/>
              </w:rPr>
              <w:t>Year 1 (2023)</w:t>
            </w:r>
          </w:p>
        </w:tc>
        <w:tc>
          <w:tcPr>
            <w:tcW w:w="646" w:type="pct"/>
            <w:shd w:val="clear" w:color="auto" w:fill="auto"/>
            <w:vAlign w:val="center"/>
          </w:tcPr>
          <w:p w14:paraId="69F00768" w14:textId="77777777" w:rsidR="00CC2F29" w:rsidRPr="007D4EB1" w:rsidRDefault="00CC2F29" w:rsidP="00AD136D">
            <w:pPr>
              <w:pStyle w:val="TableText0"/>
              <w:keepLines/>
              <w:rPr>
                <w:b/>
                <w:szCs w:val="20"/>
              </w:rPr>
            </w:pPr>
            <w:r w:rsidRPr="007D4EB1">
              <w:rPr>
                <w:b/>
                <w:szCs w:val="20"/>
              </w:rPr>
              <w:t>Year 2 (2024)</w:t>
            </w:r>
          </w:p>
        </w:tc>
        <w:tc>
          <w:tcPr>
            <w:tcW w:w="646" w:type="pct"/>
            <w:shd w:val="clear" w:color="auto" w:fill="auto"/>
            <w:vAlign w:val="center"/>
          </w:tcPr>
          <w:p w14:paraId="385911D9" w14:textId="77777777" w:rsidR="00CC2F29" w:rsidRPr="007D4EB1" w:rsidRDefault="00CC2F29" w:rsidP="00AD136D">
            <w:pPr>
              <w:pStyle w:val="TableText0"/>
              <w:keepLines/>
              <w:rPr>
                <w:b/>
                <w:szCs w:val="20"/>
              </w:rPr>
            </w:pPr>
            <w:r w:rsidRPr="007D4EB1">
              <w:rPr>
                <w:b/>
                <w:szCs w:val="20"/>
              </w:rPr>
              <w:t>Year 3 (2025)</w:t>
            </w:r>
          </w:p>
        </w:tc>
        <w:tc>
          <w:tcPr>
            <w:tcW w:w="646" w:type="pct"/>
            <w:shd w:val="clear" w:color="auto" w:fill="auto"/>
            <w:vAlign w:val="center"/>
          </w:tcPr>
          <w:p w14:paraId="4C0E8F58" w14:textId="77777777" w:rsidR="00CC2F29" w:rsidRPr="007D4EB1" w:rsidRDefault="00CC2F29" w:rsidP="00AD136D">
            <w:pPr>
              <w:pStyle w:val="TableText0"/>
              <w:keepLines/>
              <w:rPr>
                <w:b/>
                <w:szCs w:val="20"/>
              </w:rPr>
            </w:pPr>
            <w:r w:rsidRPr="007D4EB1">
              <w:rPr>
                <w:b/>
                <w:szCs w:val="20"/>
              </w:rPr>
              <w:t>Year 4 (2026)</w:t>
            </w:r>
          </w:p>
        </w:tc>
        <w:tc>
          <w:tcPr>
            <w:tcW w:w="646" w:type="pct"/>
            <w:shd w:val="clear" w:color="auto" w:fill="auto"/>
            <w:vAlign w:val="center"/>
          </w:tcPr>
          <w:p w14:paraId="659DF0D1" w14:textId="77777777" w:rsidR="00CC2F29" w:rsidRPr="007D4EB1" w:rsidRDefault="00CC2F29" w:rsidP="00AD136D">
            <w:pPr>
              <w:pStyle w:val="TableText0"/>
              <w:keepLines/>
              <w:rPr>
                <w:b/>
                <w:szCs w:val="20"/>
              </w:rPr>
            </w:pPr>
            <w:r w:rsidRPr="007D4EB1">
              <w:rPr>
                <w:b/>
                <w:szCs w:val="20"/>
              </w:rPr>
              <w:t>Year 5 (2027)</w:t>
            </w:r>
          </w:p>
        </w:tc>
        <w:tc>
          <w:tcPr>
            <w:tcW w:w="653" w:type="pct"/>
          </w:tcPr>
          <w:p w14:paraId="772C778F" w14:textId="77777777" w:rsidR="00CC2F29" w:rsidRPr="007D4EB1" w:rsidRDefault="00CC2F29" w:rsidP="00AD136D">
            <w:pPr>
              <w:pStyle w:val="TableText0"/>
              <w:keepLines/>
              <w:rPr>
                <w:b/>
                <w:szCs w:val="20"/>
              </w:rPr>
            </w:pPr>
            <w:r w:rsidRPr="007D4EB1">
              <w:rPr>
                <w:b/>
                <w:szCs w:val="20"/>
              </w:rPr>
              <w:t>Year 6 (2028)</w:t>
            </w:r>
          </w:p>
        </w:tc>
      </w:tr>
      <w:tr w:rsidR="00CC2F29" w:rsidRPr="007D4EB1" w14:paraId="6BE34199" w14:textId="77777777" w:rsidTr="00AD136D">
        <w:trPr>
          <w:cantSplit/>
          <w:jc w:val="center"/>
        </w:trPr>
        <w:tc>
          <w:tcPr>
            <w:tcW w:w="5000" w:type="pct"/>
            <w:gridSpan w:val="7"/>
            <w:shd w:val="clear" w:color="auto" w:fill="auto"/>
            <w:vAlign w:val="center"/>
          </w:tcPr>
          <w:p w14:paraId="42AFC347" w14:textId="77777777" w:rsidR="00CC2F29" w:rsidRPr="007D4EB1" w:rsidRDefault="00CC2F29" w:rsidP="00AD136D">
            <w:pPr>
              <w:pStyle w:val="TableText0"/>
              <w:keepLines/>
              <w:rPr>
                <w:b/>
                <w:szCs w:val="20"/>
              </w:rPr>
            </w:pPr>
            <w:r w:rsidRPr="007D4EB1">
              <w:rPr>
                <w:b/>
                <w:szCs w:val="20"/>
              </w:rPr>
              <w:t>Estimated extent of use</w:t>
            </w:r>
          </w:p>
        </w:tc>
      </w:tr>
      <w:tr w:rsidR="00CC2F29" w:rsidRPr="007D4EB1" w14:paraId="68DC059A" w14:textId="77777777" w:rsidTr="00AD136D">
        <w:trPr>
          <w:cantSplit/>
          <w:jc w:val="center"/>
        </w:trPr>
        <w:tc>
          <w:tcPr>
            <w:tcW w:w="1117" w:type="pct"/>
            <w:shd w:val="clear" w:color="auto" w:fill="auto"/>
            <w:vAlign w:val="center"/>
          </w:tcPr>
          <w:p w14:paraId="0F7477BA" w14:textId="77777777" w:rsidR="00CC2F29" w:rsidRPr="007D4EB1" w:rsidRDefault="00CC2F29" w:rsidP="00AD136D">
            <w:pPr>
              <w:pStyle w:val="TableText0"/>
              <w:keepLines/>
              <w:rPr>
                <w:szCs w:val="20"/>
                <w:vertAlign w:val="superscript"/>
              </w:rPr>
            </w:pPr>
            <w:r w:rsidRPr="007D4EB1">
              <w:rPr>
                <w:szCs w:val="20"/>
              </w:rPr>
              <w:t>Number of scripts dispensed</w:t>
            </w:r>
            <w:r w:rsidRPr="007D4EB1">
              <w:rPr>
                <w:szCs w:val="20"/>
                <w:vertAlign w:val="superscript"/>
              </w:rPr>
              <w:t>a</w:t>
            </w:r>
          </w:p>
        </w:tc>
        <w:tc>
          <w:tcPr>
            <w:tcW w:w="646" w:type="pct"/>
            <w:shd w:val="clear" w:color="auto" w:fill="auto"/>
            <w:vAlign w:val="center"/>
          </w:tcPr>
          <w:p w14:paraId="0221C642" w14:textId="3B79459B"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1</w:t>
            </w:r>
            <w:r w:rsidRPr="00622E48">
              <w:rPr>
                <w:rFonts w:cs="Arial"/>
                <w:szCs w:val="20"/>
              </w:rPr>
              <w:t xml:space="preserve"> </w:t>
            </w:r>
          </w:p>
        </w:tc>
        <w:tc>
          <w:tcPr>
            <w:tcW w:w="646" w:type="pct"/>
            <w:shd w:val="clear" w:color="auto" w:fill="auto"/>
            <w:vAlign w:val="center"/>
          </w:tcPr>
          <w:p w14:paraId="64BF817B" w14:textId="3C105C38"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2</w:t>
            </w:r>
            <w:r w:rsidRPr="00622E48">
              <w:rPr>
                <w:rFonts w:cs="Arial"/>
                <w:szCs w:val="20"/>
              </w:rPr>
              <w:t xml:space="preserve"> </w:t>
            </w:r>
          </w:p>
        </w:tc>
        <w:tc>
          <w:tcPr>
            <w:tcW w:w="646" w:type="pct"/>
            <w:shd w:val="clear" w:color="auto" w:fill="auto"/>
            <w:vAlign w:val="center"/>
          </w:tcPr>
          <w:p w14:paraId="21D72BAC" w14:textId="114540C9"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2</w:t>
            </w:r>
            <w:r w:rsidRPr="00622E48">
              <w:rPr>
                <w:rFonts w:cs="Arial"/>
                <w:szCs w:val="20"/>
              </w:rPr>
              <w:t xml:space="preserve"> </w:t>
            </w:r>
          </w:p>
        </w:tc>
        <w:tc>
          <w:tcPr>
            <w:tcW w:w="646" w:type="pct"/>
            <w:shd w:val="clear" w:color="auto" w:fill="auto"/>
            <w:vAlign w:val="center"/>
          </w:tcPr>
          <w:p w14:paraId="56B323C0" w14:textId="58E24A1B"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2</w:t>
            </w:r>
            <w:r w:rsidRPr="00622E48">
              <w:rPr>
                <w:rFonts w:cs="Arial"/>
                <w:szCs w:val="20"/>
              </w:rPr>
              <w:t xml:space="preserve"> </w:t>
            </w:r>
          </w:p>
        </w:tc>
        <w:tc>
          <w:tcPr>
            <w:tcW w:w="646" w:type="pct"/>
            <w:shd w:val="clear" w:color="auto" w:fill="auto"/>
            <w:vAlign w:val="center"/>
          </w:tcPr>
          <w:p w14:paraId="316F546B" w14:textId="10E55183"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2</w:t>
            </w:r>
            <w:r w:rsidRPr="00622E48">
              <w:rPr>
                <w:rFonts w:cs="Arial"/>
                <w:szCs w:val="20"/>
              </w:rPr>
              <w:t xml:space="preserve"> </w:t>
            </w:r>
          </w:p>
        </w:tc>
        <w:tc>
          <w:tcPr>
            <w:tcW w:w="653" w:type="pct"/>
            <w:vAlign w:val="center"/>
          </w:tcPr>
          <w:p w14:paraId="17065448" w14:textId="1AC50E10"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Pr="00622E48">
              <w:rPr>
                <w:rFonts w:cs="Arial"/>
                <w:szCs w:val="20"/>
              </w:rPr>
              <w:t xml:space="preserve"> </w:t>
            </w:r>
            <w:r w:rsidR="00773F9E" w:rsidRPr="00B1136F">
              <w:rPr>
                <w:vertAlign w:val="superscript"/>
              </w:rPr>
              <w:t>2</w:t>
            </w:r>
          </w:p>
        </w:tc>
      </w:tr>
      <w:tr w:rsidR="00CC2F29" w:rsidRPr="007D4EB1" w14:paraId="4E385B46" w14:textId="77777777" w:rsidTr="00AD136D">
        <w:trPr>
          <w:cantSplit/>
          <w:jc w:val="center"/>
        </w:trPr>
        <w:tc>
          <w:tcPr>
            <w:tcW w:w="5000" w:type="pct"/>
            <w:gridSpan w:val="7"/>
            <w:shd w:val="clear" w:color="auto" w:fill="auto"/>
            <w:vAlign w:val="center"/>
          </w:tcPr>
          <w:p w14:paraId="5BCFCEAB" w14:textId="790F38D5" w:rsidR="00CC2F29" w:rsidRPr="007D4EB1" w:rsidRDefault="00CC2F29" w:rsidP="00AD136D">
            <w:pPr>
              <w:pStyle w:val="TableText0"/>
              <w:keepLines/>
              <w:rPr>
                <w:b/>
                <w:szCs w:val="20"/>
              </w:rPr>
            </w:pPr>
            <w:r w:rsidRPr="007D4EB1">
              <w:rPr>
                <w:b/>
                <w:szCs w:val="20"/>
              </w:rPr>
              <w:t>Estimated financial implications of IXE 2</w:t>
            </w:r>
            <w:r w:rsidR="00254BD7" w:rsidRPr="007D4EB1">
              <w:rPr>
                <w:b/>
                <w:szCs w:val="20"/>
              </w:rPr>
              <w:t>-pen pack</w:t>
            </w:r>
          </w:p>
        </w:tc>
      </w:tr>
      <w:tr w:rsidR="00CC2F29" w:rsidRPr="007D4EB1" w14:paraId="183E299C" w14:textId="77777777" w:rsidTr="00AD136D">
        <w:trPr>
          <w:cantSplit/>
          <w:jc w:val="center"/>
        </w:trPr>
        <w:tc>
          <w:tcPr>
            <w:tcW w:w="1117" w:type="pct"/>
            <w:shd w:val="clear" w:color="auto" w:fill="auto"/>
            <w:vAlign w:val="center"/>
          </w:tcPr>
          <w:p w14:paraId="63126E82" w14:textId="3FD5F383" w:rsidR="00CC2F29" w:rsidRPr="007D4EB1" w:rsidRDefault="00CC2F29" w:rsidP="00AD136D">
            <w:pPr>
              <w:pStyle w:val="TableText0"/>
              <w:keepLines/>
              <w:rPr>
                <w:szCs w:val="20"/>
              </w:rPr>
            </w:pPr>
            <w:r w:rsidRPr="007D4EB1">
              <w:rPr>
                <w:szCs w:val="20"/>
              </w:rPr>
              <w:t>Cost to PBS/RPBS less co-payment</w:t>
            </w:r>
            <w:r w:rsidR="00EB4442">
              <w:rPr>
                <w:szCs w:val="20"/>
              </w:rPr>
              <w:t xml:space="preserve"> ($)</w:t>
            </w:r>
          </w:p>
        </w:tc>
        <w:tc>
          <w:tcPr>
            <w:tcW w:w="646" w:type="pct"/>
            <w:shd w:val="clear" w:color="auto" w:fill="auto"/>
            <w:vAlign w:val="center"/>
          </w:tcPr>
          <w:p w14:paraId="55266883" w14:textId="5FCE3A3C"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3</w:t>
            </w:r>
          </w:p>
        </w:tc>
        <w:tc>
          <w:tcPr>
            <w:tcW w:w="646" w:type="pct"/>
            <w:shd w:val="clear" w:color="auto" w:fill="auto"/>
            <w:vAlign w:val="center"/>
          </w:tcPr>
          <w:p w14:paraId="3D844A06" w14:textId="703811F2"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3</w:t>
            </w:r>
          </w:p>
        </w:tc>
        <w:tc>
          <w:tcPr>
            <w:tcW w:w="646" w:type="pct"/>
            <w:shd w:val="clear" w:color="auto" w:fill="auto"/>
            <w:vAlign w:val="center"/>
          </w:tcPr>
          <w:p w14:paraId="17189941" w14:textId="44BFF0D7"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3</w:t>
            </w:r>
          </w:p>
        </w:tc>
        <w:tc>
          <w:tcPr>
            <w:tcW w:w="646" w:type="pct"/>
            <w:shd w:val="clear" w:color="auto" w:fill="auto"/>
            <w:vAlign w:val="center"/>
          </w:tcPr>
          <w:p w14:paraId="25BC1A9F" w14:textId="30BC0A65"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3</w:t>
            </w:r>
          </w:p>
        </w:tc>
        <w:tc>
          <w:tcPr>
            <w:tcW w:w="646" w:type="pct"/>
            <w:shd w:val="clear" w:color="auto" w:fill="auto"/>
            <w:vAlign w:val="center"/>
          </w:tcPr>
          <w:p w14:paraId="3C560E98" w14:textId="304BD06D"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3</w:t>
            </w:r>
          </w:p>
        </w:tc>
        <w:tc>
          <w:tcPr>
            <w:tcW w:w="653" w:type="pct"/>
            <w:vAlign w:val="center"/>
          </w:tcPr>
          <w:p w14:paraId="4C7AA5F9" w14:textId="579DAD22"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vertAlign w:val="superscript"/>
              </w:rPr>
              <w:t>3</w:t>
            </w:r>
          </w:p>
        </w:tc>
      </w:tr>
      <w:tr w:rsidR="00CC2F29" w:rsidRPr="007D4EB1" w14:paraId="58FC18A9" w14:textId="77777777" w:rsidTr="00AD136D">
        <w:trPr>
          <w:cantSplit/>
          <w:jc w:val="center"/>
        </w:trPr>
        <w:tc>
          <w:tcPr>
            <w:tcW w:w="5000" w:type="pct"/>
            <w:gridSpan w:val="7"/>
            <w:shd w:val="clear" w:color="auto" w:fill="auto"/>
            <w:vAlign w:val="center"/>
          </w:tcPr>
          <w:p w14:paraId="23CF0B95" w14:textId="1D5C57AC" w:rsidR="00CC2F29" w:rsidRPr="007D4EB1" w:rsidRDefault="00CC2F29" w:rsidP="00AD136D">
            <w:pPr>
              <w:pStyle w:val="TableText0"/>
              <w:keepLines/>
              <w:rPr>
                <w:b/>
                <w:szCs w:val="20"/>
              </w:rPr>
            </w:pPr>
            <w:r w:rsidRPr="007D4EB1">
              <w:rPr>
                <w:b/>
                <w:szCs w:val="20"/>
              </w:rPr>
              <w:t>Estimated financial implications of Comparators</w:t>
            </w:r>
          </w:p>
        </w:tc>
      </w:tr>
      <w:tr w:rsidR="00CC2F29" w:rsidRPr="007D4EB1" w14:paraId="0A750943" w14:textId="77777777" w:rsidTr="00AD136D">
        <w:trPr>
          <w:cantSplit/>
          <w:jc w:val="center"/>
        </w:trPr>
        <w:tc>
          <w:tcPr>
            <w:tcW w:w="1117" w:type="pct"/>
            <w:shd w:val="clear" w:color="auto" w:fill="auto"/>
            <w:vAlign w:val="center"/>
          </w:tcPr>
          <w:p w14:paraId="5A4AFAD0" w14:textId="53DB5F31" w:rsidR="00CC2F29" w:rsidRPr="007D4EB1" w:rsidRDefault="00CC2F29" w:rsidP="00AD136D">
            <w:pPr>
              <w:pStyle w:val="TableText0"/>
              <w:keepLines/>
              <w:rPr>
                <w:szCs w:val="20"/>
              </w:rPr>
            </w:pPr>
            <w:r w:rsidRPr="007D4EB1">
              <w:rPr>
                <w:szCs w:val="20"/>
              </w:rPr>
              <w:t>Cost to PBS/RPBS less co-payment</w:t>
            </w:r>
            <w:r w:rsidR="00EB4442">
              <w:rPr>
                <w:szCs w:val="20"/>
              </w:rPr>
              <w:t xml:space="preserve"> ($)</w:t>
            </w:r>
          </w:p>
        </w:tc>
        <w:tc>
          <w:tcPr>
            <w:tcW w:w="646" w:type="pct"/>
            <w:shd w:val="clear" w:color="auto" w:fill="auto"/>
            <w:vAlign w:val="center"/>
          </w:tcPr>
          <w:p w14:paraId="0984DB3A" w14:textId="52875210"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48DAF57E" w14:textId="74A5D0BE"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1308D02C" w14:textId="3B2CC33D"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5426E2F4" w14:textId="460FD779"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72DD829B" w14:textId="4F79A5A2"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53" w:type="pct"/>
            <w:vAlign w:val="center"/>
          </w:tcPr>
          <w:p w14:paraId="36E85797" w14:textId="310796ED" w:rsidR="00CC2F29" w:rsidRPr="00773F9E" w:rsidRDefault="00622E48" w:rsidP="00AD136D">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Pr>
                <w:vertAlign w:val="superscript"/>
              </w:rPr>
              <w:t>4</w:t>
            </w:r>
          </w:p>
        </w:tc>
      </w:tr>
      <w:tr w:rsidR="00CC2F29" w:rsidRPr="007D4EB1" w14:paraId="24EC55C9" w14:textId="77777777" w:rsidTr="00AD136D">
        <w:trPr>
          <w:cantSplit/>
          <w:jc w:val="center"/>
        </w:trPr>
        <w:tc>
          <w:tcPr>
            <w:tcW w:w="5000" w:type="pct"/>
            <w:gridSpan w:val="7"/>
            <w:shd w:val="clear" w:color="auto" w:fill="auto"/>
            <w:vAlign w:val="center"/>
          </w:tcPr>
          <w:p w14:paraId="46F0F4CE" w14:textId="77777777" w:rsidR="00CC2F29" w:rsidRPr="007D4EB1" w:rsidRDefault="00CC2F29" w:rsidP="00AD136D">
            <w:pPr>
              <w:pStyle w:val="TableText0"/>
              <w:keepLines/>
              <w:rPr>
                <w:b/>
                <w:bCs w:val="0"/>
                <w:szCs w:val="20"/>
              </w:rPr>
            </w:pPr>
            <w:r w:rsidRPr="007D4EB1">
              <w:rPr>
                <w:b/>
                <w:bCs w:val="0"/>
                <w:szCs w:val="20"/>
              </w:rPr>
              <w:t>Net financial implications</w:t>
            </w:r>
          </w:p>
        </w:tc>
      </w:tr>
      <w:tr w:rsidR="00CC2F29" w:rsidRPr="007D4EB1" w14:paraId="7EA56FD2" w14:textId="77777777" w:rsidTr="00AD136D">
        <w:trPr>
          <w:cantSplit/>
          <w:jc w:val="center"/>
        </w:trPr>
        <w:tc>
          <w:tcPr>
            <w:tcW w:w="1117" w:type="pct"/>
            <w:shd w:val="clear" w:color="auto" w:fill="auto"/>
            <w:vAlign w:val="center"/>
          </w:tcPr>
          <w:p w14:paraId="19A3B66C" w14:textId="50155C7D" w:rsidR="00CC2F29" w:rsidRPr="007D4EB1" w:rsidRDefault="00CC2F29" w:rsidP="00AD136D">
            <w:pPr>
              <w:pStyle w:val="TableText0"/>
              <w:keepLines/>
              <w:rPr>
                <w:szCs w:val="20"/>
              </w:rPr>
            </w:pPr>
            <w:r w:rsidRPr="007D4EB1">
              <w:rPr>
                <w:szCs w:val="20"/>
              </w:rPr>
              <w:t>Net cost to PBS/RPBS</w:t>
            </w:r>
            <w:r w:rsidR="00EB4442">
              <w:rPr>
                <w:szCs w:val="20"/>
              </w:rPr>
              <w:t xml:space="preserve"> ($)</w:t>
            </w:r>
          </w:p>
        </w:tc>
        <w:tc>
          <w:tcPr>
            <w:tcW w:w="646" w:type="pct"/>
            <w:shd w:val="clear" w:color="auto" w:fill="auto"/>
            <w:vAlign w:val="center"/>
          </w:tcPr>
          <w:p w14:paraId="3899FBC4" w14:textId="0EABF04F" w:rsidR="00CC2F29" w:rsidRPr="00773F9E" w:rsidRDefault="00622E48" w:rsidP="00AD136D">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065C6054" w14:textId="4D3AF0FA" w:rsidR="00CC2F29" w:rsidRPr="00773F9E" w:rsidRDefault="00622E48" w:rsidP="00AD136D">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20E82CFE" w14:textId="09497E74" w:rsidR="00CC2F29" w:rsidRPr="00773F9E" w:rsidRDefault="00622E48" w:rsidP="00AD136D">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0612C1C7" w14:textId="2EBFD387" w:rsidR="00CC2F29" w:rsidRPr="00773F9E" w:rsidRDefault="00622E48" w:rsidP="00AD136D">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46" w:type="pct"/>
            <w:shd w:val="clear" w:color="auto" w:fill="auto"/>
            <w:vAlign w:val="center"/>
          </w:tcPr>
          <w:p w14:paraId="18A096EF" w14:textId="77B6E417" w:rsidR="00CC2F29" w:rsidRPr="00773F9E" w:rsidRDefault="00622E48" w:rsidP="00AD136D">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4</w:t>
            </w:r>
          </w:p>
        </w:tc>
        <w:tc>
          <w:tcPr>
            <w:tcW w:w="653" w:type="pct"/>
            <w:vAlign w:val="center"/>
          </w:tcPr>
          <w:p w14:paraId="63CB05AB" w14:textId="07300D7F" w:rsidR="00CC2F29" w:rsidRPr="00773F9E" w:rsidRDefault="00622E48" w:rsidP="00AD136D">
            <w:pPr>
              <w:pStyle w:val="TableText0"/>
              <w:keepLines/>
              <w:jc w:val="right"/>
              <w:rPr>
                <w:szCs w:val="20"/>
                <w:highlight w:val="darkGray"/>
              </w:rPr>
            </w:pPr>
            <w:r w:rsidRPr="00622E48">
              <w:rPr>
                <w:rFonts w:cs="Arial"/>
                <w:b/>
                <w:bCs w:val="0"/>
                <w:color w:val="000000"/>
                <w:szCs w:val="20"/>
                <w:shd w:val="solid" w:color="000000" w:fill="000000"/>
                <w14:textFill>
                  <w14:solidFill>
                    <w14:srgbClr w14:val="000000">
                      <w14:alpha w14:val="100000"/>
                    </w14:srgbClr>
                  </w14:solidFill>
                </w14:textFill>
              </w:rPr>
              <w:t>|</w:t>
            </w:r>
            <w:r w:rsidR="00773F9E">
              <w:rPr>
                <w:vertAlign w:val="superscript"/>
              </w:rPr>
              <w:t>4</w:t>
            </w:r>
          </w:p>
        </w:tc>
      </w:tr>
    </w:tbl>
    <w:p w14:paraId="2BBFD16A" w14:textId="58E954CE" w:rsidR="00CC2F29" w:rsidRPr="007D4EB1" w:rsidRDefault="00CC2F29" w:rsidP="00756AFB">
      <w:pPr>
        <w:pStyle w:val="TableFigureFooter"/>
      </w:pPr>
      <w:r w:rsidRPr="007D4EB1">
        <w:rPr>
          <w:vertAlign w:val="superscript"/>
        </w:rPr>
        <w:t>a</w:t>
      </w:r>
      <w:r w:rsidRPr="007D4EB1">
        <w:t xml:space="preserve"> Assuming 6.5 per patient per year as estimated by the submission. </w:t>
      </w:r>
    </w:p>
    <w:p w14:paraId="78D18860" w14:textId="77777777" w:rsidR="00CC2F29" w:rsidRPr="007D4EB1" w:rsidRDefault="00CC2F29" w:rsidP="00756AFB">
      <w:pPr>
        <w:pStyle w:val="TableFigureFooter"/>
      </w:pPr>
      <w:r w:rsidRPr="007D4EB1">
        <w:t>Abbreviations: MBS = Medical Benefits Scheme; PBS = Pharmaceutical Benefits Scheme; RPBS = Repatriation Pharmaceutical Benefits Scheme.</w:t>
      </w:r>
    </w:p>
    <w:p w14:paraId="1969C5E9" w14:textId="4482A118" w:rsidR="00CC2F29" w:rsidRDefault="00CC2F29" w:rsidP="00756AFB">
      <w:pPr>
        <w:pStyle w:val="TableFigureFooter"/>
      </w:pPr>
      <w:r w:rsidRPr="007D4EB1">
        <w:t xml:space="preserve">Source: </w:t>
      </w:r>
      <w:r w:rsidR="00111720" w:rsidRPr="007D4EB1">
        <w:t>Ixekizumab_Mar23_UCM_2pack.xlsx</w:t>
      </w:r>
    </w:p>
    <w:p w14:paraId="2AFFC0F7" w14:textId="77777777" w:rsidR="00773F9E" w:rsidRPr="00773F9E" w:rsidRDefault="00773F9E" w:rsidP="00EB4442">
      <w:pPr>
        <w:pStyle w:val="TableFigureFooter"/>
        <w:rPr>
          <w:i/>
          <w:iCs/>
        </w:rPr>
      </w:pPr>
      <w:r w:rsidRPr="00773F9E">
        <w:rPr>
          <w:i/>
          <w:iCs/>
        </w:rPr>
        <w:t>The redacted values correspond to the following ranges:</w:t>
      </w:r>
    </w:p>
    <w:p w14:paraId="309AA01E" w14:textId="77777777" w:rsidR="00773F9E" w:rsidRPr="00773F9E" w:rsidRDefault="00773F9E" w:rsidP="00EB4442">
      <w:pPr>
        <w:pStyle w:val="TableFigureFooter"/>
        <w:rPr>
          <w:i/>
          <w:iCs/>
        </w:rPr>
      </w:pPr>
      <w:r w:rsidRPr="00773F9E">
        <w:rPr>
          <w:i/>
          <w:iCs/>
          <w:vertAlign w:val="superscript"/>
        </w:rPr>
        <w:t>1</w:t>
      </w:r>
      <w:r w:rsidRPr="00773F9E">
        <w:rPr>
          <w:i/>
          <w:iCs/>
        </w:rPr>
        <w:t xml:space="preserve"> &lt;500</w:t>
      </w:r>
    </w:p>
    <w:p w14:paraId="36FD7751" w14:textId="77777777" w:rsidR="00773F9E" w:rsidRPr="00773F9E" w:rsidRDefault="00773F9E" w:rsidP="00EB4442">
      <w:pPr>
        <w:pStyle w:val="TableFigureFooter"/>
        <w:rPr>
          <w:i/>
          <w:iCs/>
        </w:rPr>
      </w:pPr>
      <w:r w:rsidRPr="00773F9E">
        <w:rPr>
          <w:i/>
          <w:iCs/>
          <w:vertAlign w:val="superscript"/>
        </w:rPr>
        <w:t>2</w:t>
      </w:r>
      <w:r w:rsidRPr="00773F9E">
        <w:rPr>
          <w:i/>
          <w:iCs/>
        </w:rPr>
        <w:t xml:space="preserve"> 500 to &lt; 5,000</w:t>
      </w:r>
    </w:p>
    <w:p w14:paraId="3BC50659" w14:textId="75D37EEF" w:rsidR="00773F9E" w:rsidRPr="00773F9E" w:rsidRDefault="00773F9E" w:rsidP="00EB4442">
      <w:pPr>
        <w:pStyle w:val="TableFigureFooter"/>
        <w:rPr>
          <w:i/>
          <w:iCs/>
        </w:rPr>
      </w:pPr>
      <w:r w:rsidRPr="00773F9E">
        <w:rPr>
          <w:i/>
          <w:iCs/>
          <w:vertAlign w:val="superscript"/>
        </w:rPr>
        <w:t>3</w:t>
      </w:r>
      <w:r w:rsidRPr="00773F9E">
        <w:rPr>
          <w:i/>
          <w:iCs/>
        </w:rPr>
        <w:t xml:space="preserve"> $0 to &lt; $10 million</w:t>
      </w:r>
    </w:p>
    <w:p w14:paraId="10914B71" w14:textId="66C6CD2D" w:rsidR="00773F9E" w:rsidRPr="00773F9E" w:rsidRDefault="00773F9E" w:rsidP="00EB4442">
      <w:pPr>
        <w:pStyle w:val="TableFigureFooter"/>
        <w:rPr>
          <w:i/>
          <w:iCs/>
        </w:rPr>
      </w:pPr>
      <w:r w:rsidRPr="00EB4442">
        <w:rPr>
          <w:i/>
          <w:iCs/>
          <w:vertAlign w:val="superscript"/>
        </w:rPr>
        <w:t>4</w:t>
      </w:r>
      <w:r w:rsidRPr="00773F9E">
        <w:rPr>
          <w:i/>
          <w:iCs/>
        </w:rPr>
        <w:t xml:space="preserve"> net cost saving</w:t>
      </w:r>
    </w:p>
    <w:p w14:paraId="626AFEEB" w14:textId="77777777" w:rsidR="00773F9E" w:rsidRPr="007D4EB1" w:rsidRDefault="00773F9E" w:rsidP="00756AFB">
      <w:pPr>
        <w:pStyle w:val="TableFigureFooter"/>
      </w:pPr>
    </w:p>
    <w:p w14:paraId="57AF5894" w14:textId="3ABFA6D5" w:rsidR="00111720" w:rsidRPr="007D4EB1" w:rsidRDefault="00111720" w:rsidP="00111720">
      <w:pPr>
        <w:pStyle w:val="Tabletitles"/>
        <w:keepNext/>
        <w:keepLines/>
        <w:rPr>
          <w:rFonts w:asciiTheme="minorHAnsi" w:hAnsiTheme="minorHAnsi" w:cstheme="minorHAnsi"/>
          <w:sz w:val="24"/>
          <w:szCs w:val="24"/>
        </w:rPr>
      </w:pPr>
      <w:r w:rsidRPr="007D4EB1">
        <w:rPr>
          <w:rStyle w:val="CommentReference"/>
          <w:sz w:val="20"/>
          <w:szCs w:val="22"/>
        </w:rPr>
        <w:lastRenderedPageBreak/>
        <w:t>Table</w:t>
      </w:r>
      <w:r w:rsidR="0008632F" w:rsidRPr="007D4EB1">
        <w:rPr>
          <w:rStyle w:val="CommentReference"/>
          <w:sz w:val="20"/>
          <w:szCs w:val="22"/>
        </w:rPr>
        <w:t xml:space="preserve"> 4</w:t>
      </w:r>
      <w:r w:rsidRPr="007D4EB1">
        <w:rPr>
          <w:rFonts w:eastAsiaTheme="majorEastAsia"/>
        </w:rPr>
        <w:t xml:space="preserve">: </w:t>
      </w:r>
      <w:r w:rsidRPr="007D4EB1">
        <w:rPr>
          <w:rStyle w:val="CommentReference"/>
          <w:sz w:val="20"/>
          <w:szCs w:val="22"/>
        </w:rPr>
        <w:t>Estimated use and financial implications comparison of 1</w:t>
      </w:r>
      <w:r w:rsidR="00254BD7" w:rsidRPr="007D4EB1">
        <w:rPr>
          <w:rStyle w:val="CommentReference"/>
          <w:sz w:val="20"/>
          <w:szCs w:val="22"/>
        </w:rPr>
        <w:t>-pen pack</w:t>
      </w:r>
      <w:r w:rsidRPr="007D4EB1">
        <w:rPr>
          <w:rStyle w:val="CommentReference"/>
          <w:sz w:val="20"/>
          <w:szCs w:val="22"/>
        </w:rPr>
        <w:t xml:space="preserve"> and 2</w:t>
      </w:r>
      <w:r w:rsidR="00254BD7" w:rsidRPr="007D4EB1">
        <w:rPr>
          <w:rStyle w:val="CommentReference"/>
          <w:sz w:val="20"/>
          <w:szCs w:val="22"/>
        </w:rPr>
        <w:t>-pen pack</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6"/>
        <w:gridCol w:w="1155"/>
        <w:gridCol w:w="1155"/>
        <w:gridCol w:w="1155"/>
        <w:gridCol w:w="1155"/>
        <w:gridCol w:w="1155"/>
        <w:gridCol w:w="1167"/>
      </w:tblGrid>
      <w:tr w:rsidR="00111720" w:rsidRPr="007D4EB1" w14:paraId="59955642" w14:textId="77777777" w:rsidTr="00AD136D">
        <w:trPr>
          <w:cantSplit/>
          <w:tblHeader/>
          <w:jc w:val="center"/>
        </w:trPr>
        <w:tc>
          <w:tcPr>
            <w:tcW w:w="1117" w:type="pct"/>
            <w:shd w:val="clear" w:color="auto" w:fill="auto"/>
            <w:vAlign w:val="center"/>
          </w:tcPr>
          <w:p w14:paraId="7CE60346" w14:textId="77777777" w:rsidR="00111720" w:rsidRPr="007D4EB1" w:rsidRDefault="00111720" w:rsidP="00AD136D">
            <w:pPr>
              <w:pStyle w:val="TableText0"/>
              <w:keepLines/>
              <w:rPr>
                <w:szCs w:val="20"/>
              </w:rPr>
            </w:pPr>
          </w:p>
        </w:tc>
        <w:tc>
          <w:tcPr>
            <w:tcW w:w="646" w:type="pct"/>
            <w:shd w:val="clear" w:color="auto" w:fill="auto"/>
            <w:vAlign w:val="center"/>
          </w:tcPr>
          <w:p w14:paraId="1F1888A5" w14:textId="77777777" w:rsidR="00111720" w:rsidRPr="007D4EB1" w:rsidRDefault="00111720" w:rsidP="00AD136D">
            <w:pPr>
              <w:pStyle w:val="TableText0"/>
              <w:keepLines/>
              <w:rPr>
                <w:b/>
                <w:szCs w:val="20"/>
              </w:rPr>
            </w:pPr>
            <w:r w:rsidRPr="007D4EB1">
              <w:rPr>
                <w:b/>
                <w:szCs w:val="20"/>
              </w:rPr>
              <w:t>Year 1 (2023)</w:t>
            </w:r>
          </w:p>
        </w:tc>
        <w:tc>
          <w:tcPr>
            <w:tcW w:w="646" w:type="pct"/>
            <w:shd w:val="clear" w:color="auto" w:fill="auto"/>
            <w:vAlign w:val="center"/>
          </w:tcPr>
          <w:p w14:paraId="0B3EF14B" w14:textId="77777777" w:rsidR="00111720" w:rsidRPr="007D4EB1" w:rsidRDefault="00111720" w:rsidP="00AD136D">
            <w:pPr>
              <w:pStyle w:val="TableText0"/>
              <w:keepLines/>
              <w:rPr>
                <w:b/>
                <w:szCs w:val="20"/>
              </w:rPr>
            </w:pPr>
            <w:r w:rsidRPr="007D4EB1">
              <w:rPr>
                <w:b/>
                <w:szCs w:val="20"/>
              </w:rPr>
              <w:t>Year 2 (2024)</w:t>
            </w:r>
          </w:p>
        </w:tc>
        <w:tc>
          <w:tcPr>
            <w:tcW w:w="646" w:type="pct"/>
            <w:shd w:val="clear" w:color="auto" w:fill="auto"/>
            <w:vAlign w:val="center"/>
          </w:tcPr>
          <w:p w14:paraId="08BB8B70" w14:textId="77777777" w:rsidR="00111720" w:rsidRPr="007D4EB1" w:rsidRDefault="00111720" w:rsidP="00AD136D">
            <w:pPr>
              <w:pStyle w:val="TableText0"/>
              <w:keepLines/>
              <w:rPr>
                <w:b/>
                <w:szCs w:val="20"/>
              </w:rPr>
            </w:pPr>
            <w:r w:rsidRPr="007D4EB1">
              <w:rPr>
                <w:b/>
                <w:szCs w:val="20"/>
              </w:rPr>
              <w:t>Year 3 (2025)</w:t>
            </w:r>
          </w:p>
        </w:tc>
        <w:tc>
          <w:tcPr>
            <w:tcW w:w="646" w:type="pct"/>
            <w:shd w:val="clear" w:color="auto" w:fill="auto"/>
            <w:vAlign w:val="center"/>
          </w:tcPr>
          <w:p w14:paraId="1DE0FC37" w14:textId="77777777" w:rsidR="00111720" w:rsidRPr="007D4EB1" w:rsidRDefault="00111720" w:rsidP="00AD136D">
            <w:pPr>
              <w:pStyle w:val="TableText0"/>
              <w:keepLines/>
              <w:rPr>
                <w:b/>
                <w:szCs w:val="20"/>
              </w:rPr>
            </w:pPr>
            <w:r w:rsidRPr="007D4EB1">
              <w:rPr>
                <w:b/>
                <w:szCs w:val="20"/>
              </w:rPr>
              <w:t>Year 4 (2026)</w:t>
            </w:r>
          </w:p>
        </w:tc>
        <w:tc>
          <w:tcPr>
            <w:tcW w:w="646" w:type="pct"/>
            <w:shd w:val="clear" w:color="auto" w:fill="auto"/>
            <w:vAlign w:val="center"/>
          </w:tcPr>
          <w:p w14:paraId="5B388A1E" w14:textId="77777777" w:rsidR="00111720" w:rsidRPr="007D4EB1" w:rsidRDefault="00111720" w:rsidP="00AD136D">
            <w:pPr>
              <w:pStyle w:val="TableText0"/>
              <w:keepLines/>
              <w:rPr>
                <w:b/>
                <w:szCs w:val="20"/>
              </w:rPr>
            </w:pPr>
            <w:r w:rsidRPr="007D4EB1">
              <w:rPr>
                <w:b/>
                <w:szCs w:val="20"/>
              </w:rPr>
              <w:t>Year 5 (2027)</w:t>
            </w:r>
          </w:p>
        </w:tc>
        <w:tc>
          <w:tcPr>
            <w:tcW w:w="653" w:type="pct"/>
          </w:tcPr>
          <w:p w14:paraId="23178D52" w14:textId="77777777" w:rsidR="00111720" w:rsidRPr="007D4EB1" w:rsidRDefault="00111720" w:rsidP="00AD136D">
            <w:pPr>
              <w:pStyle w:val="TableText0"/>
              <w:keepLines/>
              <w:rPr>
                <w:b/>
                <w:szCs w:val="20"/>
              </w:rPr>
            </w:pPr>
            <w:r w:rsidRPr="007D4EB1">
              <w:rPr>
                <w:b/>
                <w:szCs w:val="20"/>
              </w:rPr>
              <w:t>Year 6 (2028)</w:t>
            </w:r>
          </w:p>
        </w:tc>
      </w:tr>
      <w:tr w:rsidR="00111720" w:rsidRPr="007D4EB1" w14:paraId="7F541640" w14:textId="77777777" w:rsidTr="00AD136D">
        <w:trPr>
          <w:cantSplit/>
          <w:jc w:val="center"/>
        </w:trPr>
        <w:tc>
          <w:tcPr>
            <w:tcW w:w="5000" w:type="pct"/>
            <w:gridSpan w:val="7"/>
            <w:shd w:val="clear" w:color="auto" w:fill="auto"/>
            <w:vAlign w:val="center"/>
          </w:tcPr>
          <w:p w14:paraId="4714AD95" w14:textId="34E35A27" w:rsidR="00111720" w:rsidRPr="007D4EB1" w:rsidRDefault="00111720" w:rsidP="00AD136D">
            <w:pPr>
              <w:pStyle w:val="TableText0"/>
              <w:keepLines/>
              <w:rPr>
                <w:b/>
                <w:szCs w:val="20"/>
              </w:rPr>
            </w:pPr>
            <w:r w:rsidRPr="007D4EB1">
              <w:rPr>
                <w:b/>
                <w:szCs w:val="20"/>
              </w:rPr>
              <w:t>Estimated financial implications of IXE 1</w:t>
            </w:r>
            <w:r w:rsidR="00254BD7" w:rsidRPr="007D4EB1">
              <w:rPr>
                <w:b/>
                <w:szCs w:val="20"/>
              </w:rPr>
              <w:t>-pen pack</w:t>
            </w:r>
          </w:p>
        </w:tc>
      </w:tr>
      <w:tr w:rsidR="00111720" w:rsidRPr="007D4EB1" w14:paraId="3F7955AA" w14:textId="77777777" w:rsidTr="00AD136D">
        <w:trPr>
          <w:cantSplit/>
          <w:jc w:val="center"/>
        </w:trPr>
        <w:tc>
          <w:tcPr>
            <w:tcW w:w="1117" w:type="pct"/>
            <w:shd w:val="clear" w:color="auto" w:fill="auto"/>
            <w:vAlign w:val="center"/>
          </w:tcPr>
          <w:p w14:paraId="57E68F62" w14:textId="22229D12" w:rsidR="00111720" w:rsidRPr="007D4EB1" w:rsidRDefault="00111720" w:rsidP="00111720">
            <w:pPr>
              <w:pStyle w:val="TableText0"/>
              <w:keepLines/>
              <w:rPr>
                <w:szCs w:val="20"/>
              </w:rPr>
            </w:pPr>
            <w:r w:rsidRPr="007D4EB1">
              <w:rPr>
                <w:szCs w:val="20"/>
              </w:rPr>
              <w:t>Cost to PBS/RPBS less co-payment</w:t>
            </w:r>
            <w:r w:rsidR="00EB4442">
              <w:rPr>
                <w:szCs w:val="20"/>
              </w:rPr>
              <w:t xml:space="preserve"> ($)</w:t>
            </w:r>
          </w:p>
        </w:tc>
        <w:tc>
          <w:tcPr>
            <w:tcW w:w="646" w:type="pct"/>
            <w:shd w:val="clear" w:color="auto" w:fill="auto"/>
            <w:vAlign w:val="center"/>
          </w:tcPr>
          <w:p w14:paraId="43177F70" w14:textId="093D60CE" w:rsidR="00111720" w:rsidRPr="00EB4442" w:rsidRDefault="00622E48" w:rsidP="00111720">
            <w:pPr>
              <w:pStyle w:val="TableText0"/>
              <w:keepLines/>
              <w:jc w:val="right"/>
              <w:rPr>
                <w:szCs w:val="20"/>
                <w:highlight w:val="darkGray"/>
                <w:vertAlign w:val="superscript"/>
              </w:rPr>
            </w:pPr>
            <w:r w:rsidRPr="00622E48">
              <w:rPr>
                <w:color w:val="000000"/>
                <w:szCs w:val="20"/>
                <w:shd w:val="solid" w:color="000000" w:fill="000000"/>
                <w14:textFill>
                  <w14:solidFill>
                    <w14:srgbClr w14:val="000000">
                      <w14:alpha w14:val="100000"/>
                    </w14:srgbClr>
                  </w14:solidFill>
                </w14:textFill>
              </w:rPr>
              <w:t>|</w:t>
            </w:r>
            <w:r w:rsidR="00773F9E" w:rsidRPr="00EB4442">
              <w:rPr>
                <w:szCs w:val="20"/>
                <w:vertAlign w:val="superscript"/>
              </w:rPr>
              <w:t>1</w:t>
            </w:r>
          </w:p>
        </w:tc>
        <w:tc>
          <w:tcPr>
            <w:tcW w:w="646" w:type="pct"/>
            <w:shd w:val="clear" w:color="auto" w:fill="auto"/>
            <w:vAlign w:val="center"/>
          </w:tcPr>
          <w:p w14:paraId="7780C78C" w14:textId="4B1A8EAD" w:rsidR="00111720"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22743A3A" w14:textId="69F72F98" w:rsidR="00111720"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5FEA79FE" w14:textId="35B5927A" w:rsidR="00111720"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4156E495" w14:textId="037DC565" w:rsidR="00111720"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53" w:type="pct"/>
            <w:vAlign w:val="center"/>
          </w:tcPr>
          <w:p w14:paraId="3D8C03C4" w14:textId="5FEBCB85" w:rsidR="00111720" w:rsidRPr="00773F9E" w:rsidRDefault="00622E48" w:rsidP="00111720">
            <w:pPr>
              <w:pStyle w:val="TableText0"/>
              <w:keepLines/>
              <w:jc w:val="right"/>
              <w:rPr>
                <w:szCs w:val="20"/>
                <w:highlight w:val="darkGray"/>
              </w:rPr>
            </w:pPr>
            <w:r w:rsidRPr="00622E48">
              <w:rPr>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r>
      <w:tr w:rsidR="00111720" w:rsidRPr="007D4EB1" w14:paraId="7A028A4F" w14:textId="77777777" w:rsidTr="00AD136D">
        <w:trPr>
          <w:cantSplit/>
          <w:jc w:val="center"/>
        </w:trPr>
        <w:tc>
          <w:tcPr>
            <w:tcW w:w="5000" w:type="pct"/>
            <w:gridSpan w:val="7"/>
            <w:shd w:val="clear" w:color="auto" w:fill="auto"/>
            <w:vAlign w:val="center"/>
          </w:tcPr>
          <w:p w14:paraId="2CD81DF8" w14:textId="33B92F01" w:rsidR="00111720" w:rsidRPr="007D4EB1" w:rsidRDefault="00111720" w:rsidP="00AD136D">
            <w:pPr>
              <w:pStyle w:val="TableText0"/>
              <w:keepLines/>
              <w:rPr>
                <w:b/>
                <w:szCs w:val="20"/>
              </w:rPr>
            </w:pPr>
            <w:r w:rsidRPr="007D4EB1">
              <w:rPr>
                <w:b/>
                <w:szCs w:val="20"/>
              </w:rPr>
              <w:t>Estimated financial implications of IXE 2</w:t>
            </w:r>
            <w:r w:rsidR="00254BD7" w:rsidRPr="007D4EB1">
              <w:rPr>
                <w:b/>
                <w:szCs w:val="20"/>
              </w:rPr>
              <w:t>-pen pack</w:t>
            </w:r>
          </w:p>
        </w:tc>
      </w:tr>
      <w:tr w:rsidR="00111720" w:rsidRPr="007D4EB1" w14:paraId="670763F6" w14:textId="77777777" w:rsidTr="00AD136D">
        <w:trPr>
          <w:cantSplit/>
          <w:jc w:val="center"/>
        </w:trPr>
        <w:tc>
          <w:tcPr>
            <w:tcW w:w="1117" w:type="pct"/>
            <w:shd w:val="clear" w:color="auto" w:fill="auto"/>
            <w:vAlign w:val="center"/>
          </w:tcPr>
          <w:p w14:paraId="4E80E306" w14:textId="463C5BE9" w:rsidR="00111720" w:rsidRPr="007D4EB1" w:rsidRDefault="00111720" w:rsidP="00111720">
            <w:pPr>
              <w:pStyle w:val="TableText0"/>
              <w:keepLines/>
              <w:rPr>
                <w:szCs w:val="20"/>
              </w:rPr>
            </w:pPr>
            <w:r w:rsidRPr="007D4EB1">
              <w:rPr>
                <w:szCs w:val="20"/>
              </w:rPr>
              <w:t>Cost to PBS/RPBS less co-payment</w:t>
            </w:r>
            <w:r w:rsidR="00EB4442">
              <w:rPr>
                <w:szCs w:val="20"/>
              </w:rPr>
              <w:t xml:space="preserve"> ($)</w:t>
            </w:r>
          </w:p>
        </w:tc>
        <w:tc>
          <w:tcPr>
            <w:tcW w:w="646" w:type="pct"/>
            <w:shd w:val="clear" w:color="auto" w:fill="auto"/>
            <w:vAlign w:val="center"/>
          </w:tcPr>
          <w:p w14:paraId="41922D6E" w14:textId="02E44EE0" w:rsidR="00111720" w:rsidRPr="00773F9E" w:rsidRDefault="00622E48" w:rsidP="00111720">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1FE59D0B" w14:textId="352FDFB4" w:rsidR="00111720" w:rsidRPr="00773F9E" w:rsidRDefault="00622E48" w:rsidP="00111720">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46C67ECB" w14:textId="47CD0F80" w:rsidR="00111720" w:rsidRPr="00773F9E" w:rsidRDefault="00622E48" w:rsidP="00111720">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47FB1CBE" w14:textId="7A5E396E" w:rsidR="00111720" w:rsidRPr="00773F9E" w:rsidRDefault="00622E48" w:rsidP="00111720">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078A8D8D" w14:textId="0F568AEC" w:rsidR="00111720" w:rsidRPr="00773F9E" w:rsidRDefault="00622E48" w:rsidP="00111720">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53" w:type="pct"/>
            <w:vAlign w:val="center"/>
          </w:tcPr>
          <w:p w14:paraId="69651C9B" w14:textId="19B5B14E" w:rsidR="00111720" w:rsidRPr="00773F9E" w:rsidRDefault="00622E48" w:rsidP="00111720">
            <w:pPr>
              <w:pStyle w:val="TableText0"/>
              <w:keepLines/>
              <w:jc w:val="right"/>
              <w:rPr>
                <w:szCs w:val="20"/>
                <w:highlight w:val="darkGray"/>
              </w:rPr>
            </w:pPr>
            <w:r w:rsidRPr="00622E48">
              <w:rPr>
                <w:rFonts w:cs="Arial"/>
                <w:color w:val="000000"/>
                <w:szCs w:val="20"/>
                <w:shd w:val="solid" w:color="000000" w:fill="000000"/>
                <w14:textFill>
                  <w14:solidFill>
                    <w14:srgbClr w14:val="000000">
                      <w14:alpha w14:val="100000"/>
                    </w14:srgbClr>
                  </w14:solidFill>
                </w14:textFill>
              </w:rPr>
              <w:t>|</w:t>
            </w:r>
            <w:r w:rsidR="00773F9E" w:rsidRPr="00B1136F">
              <w:rPr>
                <w:szCs w:val="20"/>
                <w:vertAlign w:val="superscript"/>
              </w:rPr>
              <w:t>1</w:t>
            </w:r>
          </w:p>
        </w:tc>
      </w:tr>
      <w:tr w:rsidR="00111720" w:rsidRPr="007D4EB1" w14:paraId="16B5B073" w14:textId="77777777" w:rsidTr="00AD136D">
        <w:trPr>
          <w:cantSplit/>
          <w:jc w:val="center"/>
        </w:trPr>
        <w:tc>
          <w:tcPr>
            <w:tcW w:w="5000" w:type="pct"/>
            <w:gridSpan w:val="7"/>
            <w:shd w:val="clear" w:color="auto" w:fill="auto"/>
            <w:vAlign w:val="center"/>
          </w:tcPr>
          <w:p w14:paraId="2192C5A9" w14:textId="64D28691" w:rsidR="00111720" w:rsidRPr="007D4EB1" w:rsidRDefault="00111720" w:rsidP="00AD136D">
            <w:pPr>
              <w:pStyle w:val="TableText0"/>
              <w:keepLines/>
              <w:rPr>
                <w:b/>
                <w:bCs w:val="0"/>
                <w:szCs w:val="20"/>
              </w:rPr>
            </w:pPr>
            <w:r w:rsidRPr="007D4EB1">
              <w:rPr>
                <w:b/>
                <w:bCs w:val="0"/>
                <w:szCs w:val="20"/>
              </w:rPr>
              <w:t>Net financial implications of listing 1</w:t>
            </w:r>
            <w:r w:rsidR="00254BD7" w:rsidRPr="007D4EB1">
              <w:rPr>
                <w:b/>
                <w:bCs w:val="0"/>
                <w:szCs w:val="20"/>
              </w:rPr>
              <w:t>-pen pack</w:t>
            </w:r>
          </w:p>
        </w:tc>
      </w:tr>
      <w:tr w:rsidR="00111720" w:rsidRPr="007D4EB1" w14:paraId="122ACB83" w14:textId="77777777" w:rsidTr="00AD136D">
        <w:trPr>
          <w:cantSplit/>
          <w:jc w:val="center"/>
        </w:trPr>
        <w:tc>
          <w:tcPr>
            <w:tcW w:w="1117" w:type="pct"/>
            <w:shd w:val="clear" w:color="auto" w:fill="auto"/>
            <w:vAlign w:val="center"/>
          </w:tcPr>
          <w:p w14:paraId="533EED44" w14:textId="3D04024C" w:rsidR="00111720" w:rsidRPr="007D4EB1" w:rsidRDefault="00111720" w:rsidP="00111720">
            <w:pPr>
              <w:pStyle w:val="TableText0"/>
              <w:keepLines/>
              <w:rPr>
                <w:szCs w:val="20"/>
              </w:rPr>
            </w:pPr>
            <w:r w:rsidRPr="007D4EB1">
              <w:rPr>
                <w:szCs w:val="20"/>
              </w:rPr>
              <w:t>Net cost to PBS/RPBS</w:t>
            </w:r>
            <w:r w:rsidR="00EB4442">
              <w:rPr>
                <w:szCs w:val="20"/>
              </w:rPr>
              <w:t xml:space="preserve"> ($)</w:t>
            </w:r>
          </w:p>
        </w:tc>
        <w:tc>
          <w:tcPr>
            <w:tcW w:w="646" w:type="pct"/>
            <w:shd w:val="clear" w:color="auto" w:fill="auto"/>
            <w:vAlign w:val="center"/>
          </w:tcPr>
          <w:p w14:paraId="30211A1A" w14:textId="2DE3D0D1" w:rsidR="00111720" w:rsidRPr="00773F9E" w:rsidRDefault="00622E48" w:rsidP="00111720">
            <w:pPr>
              <w:pStyle w:val="TableText0"/>
              <w:keepLines/>
              <w:jc w:val="right"/>
              <w:rPr>
                <w:szCs w:val="20"/>
                <w:highlight w:val="darkGray"/>
              </w:rPr>
            </w:pPr>
            <w:r w:rsidRPr="00622E48">
              <w:rPr>
                <w:rFonts w:ascii="Arial" w:eastAsia="Times New Roman" w:hAnsi="Arial" w:cs="Arial"/>
                <w:b/>
                <w:color w:val="000000"/>
                <w:sz w:val="18"/>
                <w:szCs w:val="18"/>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00F32D78" w14:textId="7EC916D4" w:rsidR="00111720" w:rsidRPr="00773F9E" w:rsidRDefault="00622E48" w:rsidP="00111720">
            <w:pPr>
              <w:pStyle w:val="TableText0"/>
              <w:keepLines/>
              <w:jc w:val="right"/>
              <w:rPr>
                <w:szCs w:val="20"/>
                <w:highlight w:val="darkGray"/>
              </w:rPr>
            </w:pPr>
            <w:r w:rsidRPr="00622E48">
              <w:rPr>
                <w:rFonts w:ascii="Arial" w:eastAsia="Times New Roman" w:hAnsi="Arial" w:cs="Arial"/>
                <w:b/>
                <w:color w:val="000000"/>
                <w:sz w:val="18"/>
                <w:szCs w:val="18"/>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0C23F5CA" w14:textId="114DFE5B" w:rsidR="00111720" w:rsidRPr="00773F9E" w:rsidRDefault="00622E48" w:rsidP="00111720">
            <w:pPr>
              <w:pStyle w:val="TableText0"/>
              <w:keepLines/>
              <w:jc w:val="right"/>
              <w:rPr>
                <w:szCs w:val="20"/>
                <w:highlight w:val="darkGray"/>
              </w:rPr>
            </w:pPr>
            <w:r w:rsidRPr="00622E48">
              <w:rPr>
                <w:rFonts w:ascii="Arial" w:eastAsia="Times New Roman" w:hAnsi="Arial" w:cs="Arial"/>
                <w:b/>
                <w:color w:val="000000"/>
                <w:sz w:val="18"/>
                <w:szCs w:val="18"/>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5A990BC4" w14:textId="48EAEF81" w:rsidR="00111720" w:rsidRPr="00773F9E" w:rsidRDefault="00622E48" w:rsidP="00111720">
            <w:pPr>
              <w:pStyle w:val="TableText0"/>
              <w:keepLines/>
              <w:jc w:val="right"/>
              <w:rPr>
                <w:szCs w:val="20"/>
                <w:highlight w:val="darkGray"/>
              </w:rPr>
            </w:pPr>
            <w:r w:rsidRPr="00622E48">
              <w:rPr>
                <w:rFonts w:ascii="Arial" w:eastAsia="Times New Roman" w:hAnsi="Arial" w:cs="Arial"/>
                <w:b/>
                <w:color w:val="000000"/>
                <w:sz w:val="18"/>
                <w:szCs w:val="18"/>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46" w:type="pct"/>
            <w:shd w:val="clear" w:color="auto" w:fill="auto"/>
            <w:vAlign w:val="center"/>
          </w:tcPr>
          <w:p w14:paraId="3C654B30" w14:textId="292097E8" w:rsidR="00111720" w:rsidRPr="00773F9E" w:rsidRDefault="00622E48" w:rsidP="00111720">
            <w:pPr>
              <w:pStyle w:val="TableText0"/>
              <w:keepLines/>
              <w:jc w:val="right"/>
              <w:rPr>
                <w:szCs w:val="20"/>
                <w:highlight w:val="darkGray"/>
              </w:rPr>
            </w:pPr>
            <w:r w:rsidRPr="00622E48">
              <w:rPr>
                <w:rFonts w:ascii="Arial" w:eastAsia="Times New Roman" w:hAnsi="Arial" w:cs="Arial"/>
                <w:b/>
                <w:color w:val="000000"/>
                <w:sz w:val="18"/>
                <w:szCs w:val="18"/>
                <w:shd w:val="solid" w:color="000000" w:fill="000000"/>
                <w14:textFill>
                  <w14:solidFill>
                    <w14:srgbClr w14:val="000000">
                      <w14:alpha w14:val="100000"/>
                    </w14:srgbClr>
                  </w14:solidFill>
                </w14:textFill>
              </w:rPr>
              <w:t>|</w:t>
            </w:r>
            <w:r w:rsidR="00773F9E" w:rsidRPr="00B1136F">
              <w:rPr>
                <w:szCs w:val="20"/>
                <w:vertAlign w:val="superscript"/>
              </w:rPr>
              <w:t>1</w:t>
            </w:r>
          </w:p>
        </w:tc>
        <w:tc>
          <w:tcPr>
            <w:tcW w:w="653" w:type="pct"/>
            <w:vAlign w:val="center"/>
          </w:tcPr>
          <w:p w14:paraId="15023EAA" w14:textId="36986C9C" w:rsidR="00111720" w:rsidRPr="00773F9E" w:rsidRDefault="00622E48" w:rsidP="00111720">
            <w:pPr>
              <w:pStyle w:val="TableText0"/>
              <w:keepLines/>
              <w:jc w:val="right"/>
              <w:rPr>
                <w:szCs w:val="20"/>
                <w:highlight w:val="darkGray"/>
              </w:rPr>
            </w:pPr>
            <w:r w:rsidRPr="00622E48">
              <w:rPr>
                <w:rFonts w:ascii="Arial" w:eastAsia="Times New Roman" w:hAnsi="Arial" w:cs="Arial"/>
                <w:b/>
                <w:color w:val="000000"/>
                <w:sz w:val="18"/>
                <w:szCs w:val="18"/>
                <w:shd w:val="solid" w:color="000000" w:fill="000000"/>
                <w14:textFill>
                  <w14:solidFill>
                    <w14:srgbClr w14:val="000000">
                      <w14:alpha w14:val="100000"/>
                    </w14:srgbClr>
                  </w14:solidFill>
                </w14:textFill>
              </w:rPr>
              <w:t>|</w:t>
            </w:r>
            <w:r w:rsidR="00773F9E" w:rsidRPr="00B1136F">
              <w:rPr>
                <w:szCs w:val="20"/>
                <w:vertAlign w:val="superscript"/>
              </w:rPr>
              <w:t>1</w:t>
            </w:r>
          </w:p>
        </w:tc>
      </w:tr>
    </w:tbl>
    <w:p w14:paraId="16909790" w14:textId="77777777" w:rsidR="00111720" w:rsidRPr="007D4EB1" w:rsidRDefault="00111720" w:rsidP="00111720">
      <w:pPr>
        <w:pStyle w:val="TableFigureFooter"/>
        <w:keepNext/>
        <w:jc w:val="left"/>
      </w:pPr>
      <w:r w:rsidRPr="007D4EB1">
        <w:t>Abbreviations: MBS = Medical Benefits Scheme; PBS = Pharmaceutical Benefits Scheme; RPBS = Repatriation Pharmaceutical Benefits Scheme.</w:t>
      </w:r>
    </w:p>
    <w:p w14:paraId="37C5D8E7" w14:textId="3F19FEA8" w:rsidR="0036302E" w:rsidRDefault="00111720" w:rsidP="00111720">
      <w:pPr>
        <w:pStyle w:val="TableFigureFooter"/>
        <w:keepNext/>
      </w:pPr>
      <w:r w:rsidRPr="007D4EB1">
        <w:t>Source: Ixekizumab_nrAxSpA_Cat4_Mar2023.docx p8</w:t>
      </w:r>
    </w:p>
    <w:p w14:paraId="189BD7B5" w14:textId="19F8E077" w:rsidR="00773F9E" w:rsidRPr="00773F9E" w:rsidRDefault="00773F9E" w:rsidP="00773F9E">
      <w:pPr>
        <w:pStyle w:val="TableFigureFooter"/>
        <w:rPr>
          <w:i/>
          <w:iCs/>
        </w:rPr>
      </w:pPr>
      <w:r w:rsidRPr="00773F9E">
        <w:rPr>
          <w:i/>
          <w:iCs/>
        </w:rPr>
        <w:t>The redacted values correspond to the following ranges:</w:t>
      </w:r>
    </w:p>
    <w:p w14:paraId="3CEF09EC" w14:textId="54653485" w:rsidR="00773F9E" w:rsidRPr="00773F9E" w:rsidRDefault="00773F9E" w:rsidP="00773F9E">
      <w:pPr>
        <w:pStyle w:val="TableFigureFooter"/>
        <w:rPr>
          <w:i/>
          <w:iCs/>
        </w:rPr>
      </w:pPr>
      <w:r>
        <w:rPr>
          <w:i/>
          <w:iCs/>
          <w:vertAlign w:val="superscript"/>
        </w:rPr>
        <w:t>1</w:t>
      </w:r>
      <w:r w:rsidRPr="00773F9E">
        <w:rPr>
          <w:i/>
          <w:iCs/>
        </w:rPr>
        <w:t xml:space="preserve"> $0 to &lt; $10 million</w:t>
      </w:r>
    </w:p>
    <w:p w14:paraId="634B4407" w14:textId="77777777" w:rsidR="00773F9E" w:rsidRPr="007D4EB1" w:rsidRDefault="00773F9E" w:rsidP="00111720">
      <w:pPr>
        <w:pStyle w:val="TableFigureFooter"/>
        <w:keepNext/>
      </w:pPr>
    </w:p>
    <w:p w14:paraId="186ABC9E" w14:textId="2E265FCA" w:rsidR="00D8406F" w:rsidRPr="007D4EB1" w:rsidRDefault="00D8406F" w:rsidP="007B249F">
      <w:pPr>
        <w:pStyle w:val="3Bodytext"/>
      </w:pPr>
      <w:r w:rsidRPr="007D4EB1">
        <w:t xml:space="preserve">The submission estimated that </w:t>
      </w:r>
      <w:r w:rsidR="00773F9E">
        <w:t>500</w:t>
      </w:r>
      <w:r w:rsidR="00EB4442">
        <w:t> </w:t>
      </w:r>
      <w:r w:rsidR="00773F9E">
        <w:t>to</w:t>
      </w:r>
      <w:r w:rsidR="00EB4442">
        <w:t> </w:t>
      </w:r>
      <w:r w:rsidR="00773F9E">
        <w:t>&lt;</w:t>
      </w:r>
      <w:r w:rsidR="00EB4442">
        <w:t> </w:t>
      </w:r>
      <w:r w:rsidR="00773F9E">
        <w:t>5,000</w:t>
      </w:r>
      <w:r w:rsidRPr="007D4EB1">
        <w:t xml:space="preserve"> patients would be supplied </w:t>
      </w:r>
      <w:r w:rsidR="0008632F" w:rsidRPr="007D4EB1">
        <w:t>IXE</w:t>
      </w:r>
      <w:r w:rsidRPr="007D4EB1">
        <w:t xml:space="preserve"> over the first six years of listing (</w:t>
      </w:r>
      <w:r w:rsidR="00773F9E">
        <w:t>&lt;</w:t>
      </w:r>
      <w:r w:rsidR="00EB4442">
        <w:t> </w:t>
      </w:r>
      <w:r w:rsidR="00773F9E">
        <w:t>500</w:t>
      </w:r>
      <w:r w:rsidRPr="007D4EB1">
        <w:t xml:space="preserve"> in Year 1 to </w:t>
      </w:r>
      <w:r w:rsidR="00773F9E">
        <w:t>500</w:t>
      </w:r>
      <w:r w:rsidR="00EB4442">
        <w:t> </w:t>
      </w:r>
      <w:r w:rsidR="00773F9E">
        <w:t>to</w:t>
      </w:r>
      <w:r w:rsidR="00EB4442">
        <w:t> </w:t>
      </w:r>
      <w:r w:rsidR="00773F9E">
        <w:t>&lt;</w:t>
      </w:r>
      <w:r w:rsidR="00EB4442">
        <w:t> </w:t>
      </w:r>
      <w:r w:rsidR="00773F9E">
        <w:t>5,000</w:t>
      </w:r>
      <w:r w:rsidRPr="007D4EB1">
        <w:t xml:space="preserve"> in Year 6). </w:t>
      </w:r>
      <w:r w:rsidR="00987BCE" w:rsidRPr="007D4EB1">
        <w:t xml:space="preserve">The submission assumed that an increasing proportion of </w:t>
      </w:r>
      <w:r w:rsidR="000903D4" w:rsidRPr="007D4EB1">
        <w:t>eligible</w:t>
      </w:r>
      <w:r w:rsidR="00987BCE" w:rsidRPr="007D4EB1">
        <w:t xml:space="preserve"> patients are going to initiate IXE</w:t>
      </w:r>
      <w:r w:rsidR="001644AB" w:rsidRPr="007D4EB1">
        <w:t xml:space="preserve"> from 3% (i.e. </w:t>
      </w:r>
      <w:r w:rsidR="00773F9E">
        <w:t>&lt;</w:t>
      </w:r>
      <w:r w:rsidR="00EB4442">
        <w:t> </w:t>
      </w:r>
      <w:r w:rsidR="00773F9E">
        <w:t>500</w:t>
      </w:r>
      <w:r w:rsidR="001644AB" w:rsidRPr="007D4EB1">
        <w:t xml:space="preserve"> patients) in </w:t>
      </w:r>
      <w:r w:rsidR="000903D4" w:rsidRPr="007D4EB1">
        <w:t>Year 1</w:t>
      </w:r>
      <w:r w:rsidR="001644AB" w:rsidRPr="007D4EB1">
        <w:t xml:space="preserve"> to 20% (i.e. </w:t>
      </w:r>
      <w:r w:rsidR="00773F9E">
        <w:t>&lt;</w:t>
      </w:r>
      <w:r w:rsidR="00304109">
        <w:t> </w:t>
      </w:r>
      <w:r w:rsidR="00773F9E">
        <w:t>500</w:t>
      </w:r>
      <w:r w:rsidR="001644AB" w:rsidRPr="007D4EB1">
        <w:t xml:space="preserve"> patients) in year 6. These patients </w:t>
      </w:r>
      <w:r w:rsidR="00277B49" w:rsidRPr="007D4EB1">
        <w:t>we</w:t>
      </w:r>
      <w:r w:rsidR="001644AB" w:rsidRPr="007D4EB1">
        <w:t xml:space="preserve">re assumed to have </w:t>
      </w:r>
      <w:r w:rsidR="00277B49" w:rsidRPr="007D4EB1">
        <w:t xml:space="preserve">a </w:t>
      </w:r>
      <w:r w:rsidR="001644AB" w:rsidRPr="007D4EB1">
        <w:t>100% persistence rate</w:t>
      </w:r>
      <w:r w:rsidR="000903D4" w:rsidRPr="007D4EB1">
        <w:t xml:space="preserve"> </w:t>
      </w:r>
      <w:r w:rsidR="00277B49" w:rsidRPr="007D4EB1">
        <w:t>after commencing</w:t>
      </w:r>
      <w:r w:rsidR="000903D4" w:rsidRPr="007D4EB1">
        <w:t xml:space="preserve"> treatment</w:t>
      </w:r>
      <w:r w:rsidR="001644AB" w:rsidRPr="007D4EB1">
        <w:t>.</w:t>
      </w:r>
    </w:p>
    <w:p w14:paraId="471F8085" w14:textId="2D0C7011" w:rsidR="0008632F" w:rsidRPr="007D4EB1" w:rsidRDefault="00D8406F" w:rsidP="007B249F">
      <w:pPr>
        <w:pStyle w:val="3Bodytext"/>
      </w:pPr>
      <w:r w:rsidRPr="007D4EB1">
        <w:t xml:space="preserve">The submission claimed that the cost of </w:t>
      </w:r>
      <w:r w:rsidR="00277B49" w:rsidRPr="007D4EB1">
        <w:t xml:space="preserve">the </w:t>
      </w:r>
      <w:r w:rsidR="0008632F" w:rsidRPr="007D4EB1">
        <w:t>IXE 1</w:t>
      </w:r>
      <w:r w:rsidR="00254BD7" w:rsidRPr="007D4EB1">
        <w:t>-pen pack</w:t>
      </w:r>
      <w:r w:rsidRPr="007D4EB1">
        <w:t xml:space="preserve"> to the PBS/RPBS is expected to be $</w:t>
      </w:r>
      <w:r w:rsidR="0039031D">
        <w:t xml:space="preserve">20 </w:t>
      </w:r>
      <w:r w:rsidR="00773F9E">
        <w:t>million</w:t>
      </w:r>
      <w:r w:rsidR="00EB4442">
        <w:t> </w:t>
      </w:r>
      <w:r w:rsidR="0039031D">
        <w:t>to</w:t>
      </w:r>
      <w:r w:rsidR="00EB4442">
        <w:t> </w:t>
      </w:r>
      <w:r w:rsidR="0039031D">
        <w:t>&lt;</w:t>
      </w:r>
      <w:r w:rsidR="00EB4442">
        <w:t> </w:t>
      </w:r>
      <w:r w:rsidR="0039031D">
        <w:t>$30 million</w:t>
      </w:r>
      <w:r w:rsidR="00592CD8" w:rsidRPr="007D4EB1">
        <w:t xml:space="preserve"> </w:t>
      </w:r>
      <w:r w:rsidRPr="007D4EB1">
        <w:t xml:space="preserve">over six years (Year 1 </w:t>
      </w:r>
      <w:r w:rsidR="0008632F" w:rsidRPr="007D4EB1">
        <w:t>$</w:t>
      </w:r>
      <w:r w:rsidR="00773F9E">
        <w:t>0</w:t>
      </w:r>
      <w:r w:rsidR="00EB4442">
        <w:t> </w:t>
      </w:r>
      <w:r w:rsidR="00773F9E">
        <w:t>to</w:t>
      </w:r>
      <w:r w:rsidR="00EB4442">
        <w:t> </w:t>
      </w:r>
      <w:r w:rsidR="00773F9E">
        <w:t>&lt;</w:t>
      </w:r>
      <w:r w:rsidR="00EB4442">
        <w:t> </w:t>
      </w:r>
      <w:r w:rsidR="00773F9E">
        <w:t>$10 million</w:t>
      </w:r>
      <w:r w:rsidR="0008632F" w:rsidRPr="007D4EB1">
        <w:t xml:space="preserve"> </w:t>
      </w:r>
      <w:r w:rsidRPr="007D4EB1">
        <w:t xml:space="preserve">to Year 6 </w:t>
      </w:r>
      <w:r w:rsidR="0008632F" w:rsidRPr="007D4EB1">
        <w:t>$</w:t>
      </w:r>
      <w:r w:rsidR="00773F9E">
        <w:t>0</w:t>
      </w:r>
      <w:r w:rsidR="00EB4442">
        <w:t> </w:t>
      </w:r>
      <w:r w:rsidR="00773F9E">
        <w:t>to</w:t>
      </w:r>
      <w:r w:rsidR="00EB4442">
        <w:t> </w:t>
      </w:r>
      <w:r w:rsidR="00773F9E">
        <w:t>&lt;</w:t>
      </w:r>
      <w:r w:rsidR="00EB4442">
        <w:t> </w:t>
      </w:r>
      <w:r w:rsidR="00773F9E">
        <w:t>$10 million</w:t>
      </w:r>
      <w:r w:rsidRPr="007D4EB1">
        <w:t>).</w:t>
      </w:r>
      <w:r w:rsidR="0008632F" w:rsidRPr="007D4EB1">
        <w:t xml:space="preserve"> </w:t>
      </w:r>
    </w:p>
    <w:p w14:paraId="62A880C9" w14:textId="66A606B3" w:rsidR="0008632F" w:rsidRPr="007D4EB1" w:rsidRDefault="0008632F" w:rsidP="003F41AF">
      <w:pPr>
        <w:pStyle w:val="3Bodytext"/>
      </w:pPr>
      <w:r w:rsidRPr="007D4EB1">
        <w:t xml:space="preserve">The submission stated that the estimated net financial impact to the PBS/RPBS </w:t>
      </w:r>
      <w:r w:rsidR="00277B49" w:rsidRPr="007D4EB1">
        <w:t>of</w:t>
      </w:r>
      <w:r w:rsidRPr="007D4EB1">
        <w:t xml:space="preserve"> listing </w:t>
      </w:r>
      <w:r w:rsidR="00277B49" w:rsidRPr="007D4EB1">
        <w:t>the</w:t>
      </w:r>
      <w:r w:rsidRPr="007D4EB1">
        <w:t xml:space="preserve"> IXE 1</w:t>
      </w:r>
      <w:r w:rsidR="00254BD7" w:rsidRPr="007D4EB1">
        <w:t>-pen pack</w:t>
      </w:r>
      <w:r w:rsidRPr="007D4EB1">
        <w:t xml:space="preserve"> is</w:t>
      </w:r>
      <w:r w:rsidR="00BD6298" w:rsidRPr="007D4EB1">
        <w:t xml:space="preserve"> a</w:t>
      </w:r>
      <w:r w:rsidR="000903D4" w:rsidRPr="007D4EB1">
        <w:t xml:space="preserve"> </w:t>
      </w:r>
      <w:r w:rsidRPr="007D4EB1">
        <w:t>$</w:t>
      </w:r>
      <w:r w:rsidR="00773F9E">
        <w:t>0</w:t>
      </w:r>
      <w:r w:rsidR="00EB4442">
        <w:t> </w:t>
      </w:r>
      <w:r w:rsidR="00773F9E">
        <w:t>to</w:t>
      </w:r>
      <w:r w:rsidR="00EB4442">
        <w:t> </w:t>
      </w:r>
      <w:r w:rsidR="00773F9E">
        <w:t>&lt;</w:t>
      </w:r>
      <w:r w:rsidR="00EB4442">
        <w:t> </w:t>
      </w:r>
      <w:r w:rsidR="00773F9E">
        <w:t xml:space="preserve">$10 million </w:t>
      </w:r>
      <w:r w:rsidR="000903D4" w:rsidRPr="007D4EB1">
        <w:t xml:space="preserve">save </w:t>
      </w:r>
      <w:r w:rsidRPr="007D4EB1">
        <w:t xml:space="preserve">over six years (Year 1 </w:t>
      </w:r>
      <w:r w:rsidR="00592CD8" w:rsidRPr="007D4EB1">
        <w:t>$</w:t>
      </w:r>
      <w:r w:rsidR="00773F9E">
        <w:t>0</w:t>
      </w:r>
      <w:r w:rsidR="00EB4442">
        <w:t> </w:t>
      </w:r>
      <w:r w:rsidR="00773F9E">
        <w:t>to</w:t>
      </w:r>
      <w:r w:rsidR="00EB4442">
        <w:t> </w:t>
      </w:r>
      <w:r w:rsidR="00773F9E">
        <w:t>&lt;</w:t>
      </w:r>
      <w:r w:rsidR="00EB4442">
        <w:t> </w:t>
      </w:r>
      <w:r w:rsidR="00773F9E">
        <w:t>$10</w:t>
      </w:r>
      <w:r w:rsidR="009C301A">
        <w:t> </w:t>
      </w:r>
      <w:r w:rsidR="00773F9E">
        <w:t>million</w:t>
      </w:r>
      <w:r w:rsidRPr="007D4EB1">
        <w:t xml:space="preserve"> to Year 6 $</w:t>
      </w:r>
      <w:r w:rsidR="00773F9E">
        <w:t>0</w:t>
      </w:r>
      <w:r w:rsidR="00EB4442">
        <w:t> </w:t>
      </w:r>
      <w:r w:rsidR="00773F9E">
        <w:t>to</w:t>
      </w:r>
      <w:r w:rsidR="00EB4442">
        <w:t> </w:t>
      </w:r>
      <w:r w:rsidR="00773F9E">
        <w:t>&lt;</w:t>
      </w:r>
      <w:r w:rsidR="00EB4442">
        <w:t> </w:t>
      </w:r>
      <w:r w:rsidR="00773F9E">
        <w:t>$10 million</w:t>
      </w:r>
      <w:r w:rsidRPr="007D4EB1">
        <w:t>).</w:t>
      </w:r>
    </w:p>
    <w:p w14:paraId="51D2BDA8" w14:textId="346F2665" w:rsidR="00D8406F" w:rsidRPr="007D4EB1" w:rsidRDefault="0008632F" w:rsidP="007B249F">
      <w:pPr>
        <w:pStyle w:val="3Bodytext"/>
      </w:pPr>
      <w:r w:rsidRPr="007D4EB1">
        <w:t xml:space="preserve">The submission claimed that the cost of </w:t>
      </w:r>
      <w:r w:rsidR="00BD6298" w:rsidRPr="007D4EB1">
        <w:t xml:space="preserve">the </w:t>
      </w:r>
      <w:r w:rsidRPr="007D4EB1">
        <w:t xml:space="preserve">IXE </w:t>
      </w:r>
      <w:r w:rsidR="00592CD8" w:rsidRPr="007D4EB1">
        <w:t>2</w:t>
      </w:r>
      <w:r w:rsidR="00254BD7" w:rsidRPr="007D4EB1">
        <w:t>-pen pack</w:t>
      </w:r>
      <w:r w:rsidRPr="007D4EB1">
        <w:t xml:space="preserve"> to the PBS/RPBS is expected to be $</w:t>
      </w:r>
      <w:r w:rsidR="00773F9E">
        <w:t>20 million</w:t>
      </w:r>
      <w:r w:rsidR="00EB4442">
        <w:t> </w:t>
      </w:r>
      <w:r w:rsidR="00773F9E">
        <w:t>to</w:t>
      </w:r>
      <w:r w:rsidR="00EB4442">
        <w:t> </w:t>
      </w:r>
      <w:r w:rsidR="00773F9E">
        <w:t>&lt;</w:t>
      </w:r>
      <w:r w:rsidR="00EB4442">
        <w:t> </w:t>
      </w:r>
      <w:r w:rsidR="00773F9E">
        <w:t>$30 million</w:t>
      </w:r>
      <w:r w:rsidRPr="007D4EB1">
        <w:t xml:space="preserve"> over six years (Year 1 </w:t>
      </w:r>
      <w:r w:rsidR="00592CD8" w:rsidRPr="007D4EB1">
        <w:t>$</w:t>
      </w:r>
      <w:r w:rsidR="00773F9E">
        <w:t>0</w:t>
      </w:r>
      <w:r w:rsidR="00EB4442">
        <w:t> </w:t>
      </w:r>
      <w:r w:rsidR="00773F9E">
        <w:t>to</w:t>
      </w:r>
      <w:r w:rsidR="00EB4442">
        <w:t> </w:t>
      </w:r>
      <w:r w:rsidR="00773F9E">
        <w:t>&lt;</w:t>
      </w:r>
      <w:r w:rsidR="00EB4442">
        <w:t> </w:t>
      </w:r>
      <w:r w:rsidR="00773F9E">
        <w:t>$10 million</w:t>
      </w:r>
      <w:r w:rsidR="00592CD8" w:rsidRPr="007D4EB1">
        <w:t xml:space="preserve"> </w:t>
      </w:r>
      <w:r w:rsidRPr="007D4EB1">
        <w:t xml:space="preserve">to Year 6 </w:t>
      </w:r>
      <w:r w:rsidR="00592CD8" w:rsidRPr="007D4EB1">
        <w:t>$</w:t>
      </w:r>
      <w:r w:rsidR="00773F9E">
        <w:t>0</w:t>
      </w:r>
      <w:r w:rsidR="00EB4442">
        <w:t> </w:t>
      </w:r>
      <w:r w:rsidR="00773F9E">
        <w:t>to</w:t>
      </w:r>
      <w:r w:rsidR="00EB4442">
        <w:t> </w:t>
      </w:r>
      <w:r w:rsidR="00773F9E">
        <w:t>&lt;</w:t>
      </w:r>
      <w:r w:rsidR="00EB4442">
        <w:t> </w:t>
      </w:r>
      <w:r w:rsidR="00773F9E">
        <w:t>$10 million</w:t>
      </w:r>
      <w:r w:rsidRPr="007D4EB1">
        <w:t>).</w:t>
      </w:r>
    </w:p>
    <w:p w14:paraId="44722238" w14:textId="01A31FEB" w:rsidR="00AF5210" w:rsidRPr="007D4EB1" w:rsidRDefault="00D8406F" w:rsidP="00AF5210">
      <w:pPr>
        <w:pStyle w:val="3Bodytext"/>
      </w:pPr>
      <w:r w:rsidRPr="007D4EB1">
        <w:t xml:space="preserve">The submission stated that the estimated net financial impact to the PBS/RPBS </w:t>
      </w:r>
      <w:r w:rsidR="00BD6298" w:rsidRPr="007D4EB1">
        <w:t>of</w:t>
      </w:r>
      <w:r w:rsidRPr="007D4EB1">
        <w:t xml:space="preserve"> listing </w:t>
      </w:r>
      <w:r w:rsidR="00BD6298" w:rsidRPr="007D4EB1">
        <w:t>the</w:t>
      </w:r>
      <w:r w:rsidRPr="007D4EB1">
        <w:t xml:space="preserve"> </w:t>
      </w:r>
      <w:r w:rsidR="0008632F" w:rsidRPr="007D4EB1">
        <w:t xml:space="preserve">IXE </w:t>
      </w:r>
      <w:r w:rsidR="00592CD8" w:rsidRPr="007D4EB1">
        <w:t>2</w:t>
      </w:r>
      <w:r w:rsidR="00254BD7" w:rsidRPr="007D4EB1">
        <w:t>-pen pack</w:t>
      </w:r>
      <w:r w:rsidR="0008632F" w:rsidRPr="007D4EB1">
        <w:t xml:space="preserve"> </w:t>
      </w:r>
      <w:r w:rsidRPr="007D4EB1">
        <w:t>is $</w:t>
      </w:r>
      <w:r w:rsidR="00773F9E">
        <w:t>0</w:t>
      </w:r>
      <w:r w:rsidR="00EB4442">
        <w:t> </w:t>
      </w:r>
      <w:r w:rsidR="00773F9E">
        <w:t>to</w:t>
      </w:r>
      <w:r w:rsidR="00EB4442">
        <w:t> </w:t>
      </w:r>
      <w:r w:rsidR="00773F9E">
        <w:t>&lt;</w:t>
      </w:r>
      <w:r w:rsidR="00EB4442">
        <w:t> </w:t>
      </w:r>
      <w:r w:rsidR="00773F9E">
        <w:t>$10 million</w:t>
      </w:r>
      <w:r w:rsidR="00592CD8" w:rsidRPr="007D4EB1">
        <w:t xml:space="preserve"> </w:t>
      </w:r>
      <w:r w:rsidR="000903D4" w:rsidRPr="007D4EB1">
        <w:t xml:space="preserve">save </w:t>
      </w:r>
      <w:r w:rsidRPr="007D4EB1">
        <w:t xml:space="preserve">over six years (Year 1 </w:t>
      </w:r>
      <w:r w:rsidR="00592CD8" w:rsidRPr="007D4EB1">
        <w:t>$</w:t>
      </w:r>
      <w:r w:rsidR="00773F9E">
        <w:t>0</w:t>
      </w:r>
      <w:r w:rsidR="00EB4442">
        <w:t> </w:t>
      </w:r>
      <w:r w:rsidR="00773F9E">
        <w:t>to</w:t>
      </w:r>
      <w:r w:rsidR="00EB4442">
        <w:t> </w:t>
      </w:r>
      <w:r w:rsidR="00773F9E">
        <w:t>&lt;</w:t>
      </w:r>
      <w:r w:rsidR="00EB4442">
        <w:t> </w:t>
      </w:r>
      <w:r w:rsidR="00773F9E">
        <w:t>$10</w:t>
      </w:r>
      <w:r w:rsidR="009C301A">
        <w:t> </w:t>
      </w:r>
      <w:r w:rsidR="00773F9E">
        <w:t>million</w:t>
      </w:r>
      <w:r w:rsidRPr="007D4EB1">
        <w:t xml:space="preserve"> to Year 6 $</w:t>
      </w:r>
      <w:r w:rsidR="00773F9E">
        <w:t>0</w:t>
      </w:r>
      <w:r w:rsidR="00EB4442">
        <w:t> </w:t>
      </w:r>
      <w:r w:rsidR="00773F9E">
        <w:t>to</w:t>
      </w:r>
      <w:r w:rsidR="00EB4442">
        <w:t> </w:t>
      </w:r>
      <w:r w:rsidR="00773F9E">
        <w:t>&lt;</w:t>
      </w:r>
      <w:r w:rsidR="00EB4442">
        <w:t> </w:t>
      </w:r>
      <w:r w:rsidR="00773F9E">
        <w:t>$10 million</w:t>
      </w:r>
      <w:r w:rsidRPr="007D4EB1">
        <w:t>).</w:t>
      </w:r>
    </w:p>
    <w:p w14:paraId="28D6FE8C" w14:textId="3EC322F2" w:rsidR="006008F2" w:rsidRPr="007D4EB1" w:rsidRDefault="00592CD8" w:rsidP="007B249F">
      <w:pPr>
        <w:pStyle w:val="3Bodytext"/>
      </w:pPr>
      <w:r w:rsidRPr="007D4EB1">
        <w:t>The submission stated that the estimated net financial impact to the PBS/RPBS for the listing of the IXE 1</w:t>
      </w:r>
      <w:r w:rsidR="00254BD7" w:rsidRPr="007D4EB1">
        <w:t>-pen pack</w:t>
      </w:r>
      <w:r w:rsidRPr="007D4EB1">
        <w:t xml:space="preserve"> over the IXE 2</w:t>
      </w:r>
      <w:r w:rsidR="00254BD7" w:rsidRPr="007D4EB1">
        <w:t>-pen pack</w:t>
      </w:r>
      <w:r w:rsidRPr="007D4EB1">
        <w:t xml:space="preserve"> is $</w:t>
      </w:r>
      <w:r w:rsidR="00773F9E">
        <w:t>0</w:t>
      </w:r>
      <w:r w:rsidR="00EB4442">
        <w:t> </w:t>
      </w:r>
      <w:r w:rsidR="00773F9E">
        <w:t>to</w:t>
      </w:r>
      <w:r w:rsidR="00EB4442">
        <w:t> </w:t>
      </w:r>
      <w:r w:rsidR="00773F9E">
        <w:t>&lt;</w:t>
      </w:r>
      <w:r w:rsidR="00EB4442">
        <w:t> </w:t>
      </w:r>
      <w:r w:rsidR="00773F9E">
        <w:t>$10 million</w:t>
      </w:r>
      <w:r w:rsidRPr="007D4EB1">
        <w:t xml:space="preserve"> over</w:t>
      </w:r>
      <w:r w:rsidR="00995414" w:rsidRPr="007D4EB1">
        <w:t xml:space="preserve"> the first</w:t>
      </w:r>
      <w:r w:rsidRPr="007D4EB1">
        <w:t xml:space="preserve"> six years</w:t>
      </w:r>
      <w:r w:rsidR="00995414" w:rsidRPr="007D4EB1">
        <w:t xml:space="preserve"> of listing</w:t>
      </w:r>
      <w:r w:rsidRPr="007D4EB1">
        <w:t xml:space="preserve"> (Year 1 $</w:t>
      </w:r>
      <w:r w:rsidR="00773F9E">
        <w:t>0</w:t>
      </w:r>
      <w:r w:rsidR="00EB4442">
        <w:t> </w:t>
      </w:r>
      <w:r w:rsidR="00773F9E">
        <w:t>to</w:t>
      </w:r>
      <w:r w:rsidR="00EB4442">
        <w:t> </w:t>
      </w:r>
      <w:r w:rsidR="00773F9E">
        <w:t>&lt;</w:t>
      </w:r>
      <w:r w:rsidR="00EB4442">
        <w:t> </w:t>
      </w:r>
      <w:r w:rsidR="00773F9E">
        <w:t>$10 million</w:t>
      </w:r>
      <w:r w:rsidRPr="007D4EB1">
        <w:t xml:space="preserve"> to Year 6 $</w:t>
      </w:r>
      <w:r w:rsidR="00773F9E">
        <w:t>0</w:t>
      </w:r>
      <w:r w:rsidR="00EB4442">
        <w:t> </w:t>
      </w:r>
      <w:r w:rsidR="00773F9E">
        <w:t>to</w:t>
      </w:r>
      <w:r w:rsidR="00EB4442">
        <w:t> </w:t>
      </w:r>
      <w:r w:rsidR="00773F9E">
        <w:t>&lt;</w:t>
      </w:r>
      <w:r w:rsidR="00EB4442">
        <w:t> </w:t>
      </w:r>
      <w:r w:rsidR="00773F9E">
        <w:t>$10 million</w:t>
      </w:r>
      <w:r w:rsidRPr="007D4EB1">
        <w:t>).</w:t>
      </w:r>
    </w:p>
    <w:p w14:paraId="2560FCF1" w14:textId="7AD275C2" w:rsidR="003D5CC0" w:rsidRPr="007D4EB1" w:rsidRDefault="003D5CC0" w:rsidP="007B249F">
      <w:pPr>
        <w:pStyle w:val="3Bodytext"/>
      </w:pPr>
      <w:r w:rsidRPr="007D4EB1">
        <w:t xml:space="preserve">In November 2021, the PBAC </w:t>
      </w:r>
      <w:r w:rsidR="00D8406F" w:rsidRPr="007D4EB1">
        <w:t>considered</w:t>
      </w:r>
      <w:r w:rsidRPr="007D4EB1">
        <w:t xml:space="preserve"> that </w:t>
      </w:r>
      <w:r w:rsidR="00D8406F" w:rsidRPr="007D4EB1">
        <w:t xml:space="preserve">“if listed under the parameters of its recommended listing on a cost minimisation basis with the least costly alternative bDMARD for </w:t>
      </w:r>
      <w:r w:rsidR="00630035" w:rsidRPr="007D4EB1">
        <w:t>nr-AxSpA</w:t>
      </w:r>
      <w:r w:rsidR="00D8406F" w:rsidRPr="007D4EB1">
        <w:t>, […] the listing of IXE should not result in any additional cost to the PBS.” (</w:t>
      </w:r>
      <w:r w:rsidR="00AC4EFE" w:rsidRPr="007D4EB1">
        <w:t>p</w:t>
      </w:r>
      <w:r w:rsidR="00D8406F" w:rsidRPr="007D4EB1">
        <w:t>ara</w:t>
      </w:r>
      <w:r w:rsidR="00AC4EFE" w:rsidRPr="007D4EB1">
        <w:t>graph</w:t>
      </w:r>
      <w:r w:rsidR="00D8406F" w:rsidRPr="007D4EB1">
        <w:t xml:space="preserve"> 7.8, IXE PSD, November 2021 PBAC meeting).</w:t>
      </w:r>
    </w:p>
    <w:p w14:paraId="64FAE1FC" w14:textId="6B4241B1" w:rsidR="006008F2" w:rsidRPr="007D4EB1" w:rsidRDefault="006008F2" w:rsidP="007B249F">
      <w:pPr>
        <w:pStyle w:val="3Bodytext"/>
      </w:pPr>
      <w:r w:rsidRPr="007D4EB1">
        <w:t xml:space="preserve">In the November 2021 estimates, </w:t>
      </w:r>
      <w:r w:rsidR="00084084" w:rsidRPr="007D4EB1">
        <w:t>and current</w:t>
      </w:r>
      <w:r w:rsidRPr="007D4EB1">
        <w:t xml:space="preserve"> estimates, the comparator costs are not based on</w:t>
      </w:r>
      <w:r w:rsidR="001F7B6A" w:rsidRPr="007D4EB1">
        <w:t xml:space="preserve"> the</w:t>
      </w:r>
      <w:r w:rsidRPr="007D4EB1">
        <w:t xml:space="preserve"> effective EM</w:t>
      </w:r>
      <w:r w:rsidR="001F7B6A" w:rsidRPr="007D4EB1">
        <w:t>Ps for CZP, GLM and SEC, but the published EMP</w:t>
      </w:r>
      <w:r w:rsidR="00084084" w:rsidRPr="007D4EB1">
        <w:t xml:space="preserve">s. “The net financial implications for the PBS/ RPBS when estimated using the indication-specific </w:t>
      </w:r>
      <w:r w:rsidR="00084084" w:rsidRPr="007D4EB1">
        <w:lastRenderedPageBreak/>
        <w:t>effective prices for all medicines are likely to be marginal. The PBAC noted these costs were based on the published price of the comparator. The net cost to the PBS will reduce once the effective price of the comparator is applied.” (</w:t>
      </w:r>
      <w:r w:rsidR="00AC4EFE" w:rsidRPr="007D4EB1">
        <w:t>p</w:t>
      </w:r>
      <w:r w:rsidR="00084084" w:rsidRPr="007D4EB1">
        <w:t>ara</w:t>
      </w:r>
      <w:r w:rsidR="00AC4EFE" w:rsidRPr="007D4EB1">
        <w:t>graph</w:t>
      </w:r>
      <w:r w:rsidR="00084084" w:rsidRPr="007D4EB1">
        <w:t xml:space="preserve"> 6.43 IXE PSD, November 2021 PBAC Meeting).</w:t>
      </w:r>
    </w:p>
    <w:p w14:paraId="0D89995E" w14:textId="77777777" w:rsidR="00005304" w:rsidRPr="007D4EB1" w:rsidRDefault="00005304" w:rsidP="00005304">
      <w:pPr>
        <w:pStyle w:val="2-SectionHeading"/>
      </w:pPr>
      <w:r w:rsidRPr="007D4EB1">
        <w:t>PBAC Outcome</w:t>
      </w:r>
    </w:p>
    <w:p w14:paraId="7F2B134B" w14:textId="77777777" w:rsidR="000C77BA" w:rsidRDefault="00005304" w:rsidP="0023249E">
      <w:pPr>
        <w:pStyle w:val="3Bodytext"/>
        <w:numPr>
          <w:ilvl w:val="1"/>
          <w:numId w:val="26"/>
        </w:numPr>
      </w:pPr>
      <w:r w:rsidRPr="007D4EB1">
        <w:rPr>
          <w:snapToGrid w:val="0"/>
        </w:rPr>
        <w:t>The PBAC did not recommen</w:t>
      </w:r>
      <w:r w:rsidR="0023249E" w:rsidRPr="007D4EB1">
        <w:rPr>
          <w:snapToGrid w:val="0"/>
        </w:rPr>
        <w:t xml:space="preserve">d </w:t>
      </w:r>
      <w:r w:rsidR="00086735" w:rsidRPr="007D4EB1">
        <w:rPr>
          <w:snapToGrid w:val="0"/>
        </w:rPr>
        <w:t xml:space="preserve">revising </w:t>
      </w:r>
      <w:r w:rsidR="009F3C68" w:rsidRPr="007D4EB1">
        <w:rPr>
          <w:snapToGrid w:val="0"/>
        </w:rPr>
        <w:t xml:space="preserve">its </w:t>
      </w:r>
      <w:r w:rsidR="001325EA">
        <w:rPr>
          <w:snapToGrid w:val="0"/>
        </w:rPr>
        <w:t xml:space="preserve">November 2021 </w:t>
      </w:r>
      <w:r w:rsidR="009F3C68" w:rsidRPr="007D4EB1">
        <w:rPr>
          <w:snapToGrid w:val="0"/>
        </w:rPr>
        <w:t>recommendation to</w:t>
      </w:r>
      <w:r w:rsidR="00086735" w:rsidRPr="007D4EB1">
        <w:rPr>
          <w:snapToGrid w:val="0"/>
        </w:rPr>
        <w:t xml:space="preserve"> list</w:t>
      </w:r>
      <w:r w:rsidR="004F7655" w:rsidRPr="007D4EB1">
        <w:t xml:space="preserve"> </w:t>
      </w:r>
      <w:r w:rsidR="0023249E" w:rsidRPr="007D4EB1">
        <w:t>IXE for</w:t>
      </w:r>
      <w:r w:rsidR="00086735" w:rsidRPr="007D4EB1">
        <w:t xml:space="preserve"> the treatment of patients with</w:t>
      </w:r>
      <w:r w:rsidR="0023249E" w:rsidRPr="007D4EB1">
        <w:t xml:space="preserve"> nr-AxSpA </w:t>
      </w:r>
      <w:r w:rsidR="00086735" w:rsidRPr="007D4EB1">
        <w:t xml:space="preserve">to </w:t>
      </w:r>
      <w:r w:rsidR="00086735" w:rsidRPr="007D4EB1">
        <w:rPr>
          <w:snapToGrid w:val="0"/>
        </w:rPr>
        <w:t xml:space="preserve">increase the </w:t>
      </w:r>
      <w:r w:rsidR="00086735" w:rsidRPr="007D4EB1">
        <w:t>maximum quantity (units)</w:t>
      </w:r>
      <w:r w:rsidR="002747B4" w:rsidRPr="007D4EB1">
        <w:t xml:space="preserve"> from one</w:t>
      </w:r>
      <w:r w:rsidR="00086735" w:rsidRPr="007D4EB1">
        <w:t xml:space="preserve"> to two</w:t>
      </w:r>
      <w:r w:rsidR="0023249E" w:rsidRPr="007D4EB1">
        <w:t xml:space="preserve">. </w:t>
      </w:r>
      <w:r w:rsidR="00645B71" w:rsidRPr="007D4EB1">
        <w:t>The PBAC’s decision to not recommend was based on, among other matters, consistent</w:t>
      </w:r>
      <w:r w:rsidR="002747B4" w:rsidRPr="007D4EB1">
        <w:t xml:space="preserve"> and fair</w:t>
      </w:r>
      <w:r w:rsidR="00645B71" w:rsidRPr="007D4EB1">
        <w:t xml:space="preserve"> application of the PBAC Guidelines that drugs listed on the General Schedule are to have a maximum quantity per prescription that provides supply </w:t>
      </w:r>
      <w:r w:rsidR="00F77700" w:rsidRPr="007D4EB1">
        <w:t xml:space="preserve">sufficient </w:t>
      </w:r>
      <w:r w:rsidR="00645B71" w:rsidRPr="007D4EB1">
        <w:t>for one months’ treatment.</w:t>
      </w:r>
      <w:r w:rsidR="00D607D1">
        <w:t xml:space="preserve"> </w:t>
      </w:r>
    </w:p>
    <w:p w14:paraId="1A5A8E51" w14:textId="59CCD7EE" w:rsidR="0023249E" w:rsidRPr="007D4EB1" w:rsidRDefault="00D607D1" w:rsidP="0023249E">
      <w:pPr>
        <w:pStyle w:val="3Bodytext"/>
        <w:numPr>
          <w:ilvl w:val="1"/>
          <w:numId w:val="26"/>
        </w:numPr>
      </w:pPr>
      <w:r>
        <w:t xml:space="preserve">The PBAC noted that </w:t>
      </w:r>
      <w:r w:rsidR="00ED3AA3">
        <w:t xml:space="preserve">the standing recommendation </w:t>
      </w:r>
      <w:r w:rsidR="007107E9">
        <w:t xml:space="preserve">not implemented </w:t>
      </w:r>
      <w:r w:rsidR="00ED3AA3">
        <w:t>from November</w:t>
      </w:r>
      <w:r w:rsidR="007107E9">
        <w:t> </w:t>
      </w:r>
      <w:r w:rsidR="00ED3AA3">
        <w:t>2021 will be due for review in November 2023.</w:t>
      </w:r>
    </w:p>
    <w:p w14:paraId="3DC66DFC" w14:textId="17CFDB9D" w:rsidR="007B0631" w:rsidRDefault="00244CD4" w:rsidP="00924C05">
      <w:pPr>
        <w:pStyle w:val="3Bodytext"/>
        <w:numPr>
          <w:ilvl w:val="1"/>
          <w:numId w:val="26"/>
        </w:numPr>
      </w:pPr>
      <w:r w:rsidRPr="007D4EB1">
        <w:t>The PBAC considered that l</w:t>
      </w:r>
      <w:r w:rsidR="008004B6" w:rsidRPr="007D4EB1">
        <w:t xml:space="preserve">isting IXE with two months’ supply per dispensing (and by implication, one patient co-payment per 2 months) </w:t>
      </w:r>
      <w:r w:rsidR="00F92D30" w:rsidRPr="007D4EB1">
        <w:t>w</w:t>
      </w:r>
      <w:r w:rsidR="008004B6" w:rsidRPr="007D4EB1">
        <w:t>ould be perceived as an unfair advantage to IXE compared to other bDMARDs listed for the same indication</w:t>
      </w:r>
      <w:r w:rsidR="00415225" w:rsidRPr="007D4EB1">
        <w:t xml:space="preserve"> </w:t>
      </w:r>
      <w:r w:rsidR="008004B6" w:rsidRPr="007D4EB1">
        <w:t xml:space="preserve">. </w:t>
      </w:r>
      <w:r w:rsidR="00F50A20">
        <w:t>While t</w:t>
      </w:r>
      <w:r w:rsidR="008004B6" w:rsidRPr="007D4EB1">
        <w:t>he PBAC recalled its consideration that</w:t>
      </w:r>
      <w:r w:rsidRPr="007D4EB1">
        <w:t xml:space="preserve"> the</w:t>
      </w:r>
      <w:r w:rsidR="008004B6" w:rsidRPr="007D4EB1">
        <w:t xml:space="preserve"> “choice of treatment would be largely driven by individual patient characteristics related to clinical suitability to a particular drug and clinician familiarity with the drug ” (</w:t>
      </w:r>
      <w:r w:rsidR="00E96F1E" w:rsidRPr="007D4EB1">
        <w:t>p</w:t>
      </w:r>
      <w:r w:rsidR="008004B6" w:rsidRPr="007D4EB1">
        <w:t>ara</w:t>
      </w:r>
      <w:r w:rsidR="00AC4EFE" w:rsidRPr="007D4EB1">
        <w:t>graph</w:t>
      </w:r>
      <w:r w:rsidR="008004B6" w:rsidRPr="007D4EB1">
        <w:t xml:space="preserve"> 5.3, Secukinumab PSD July</w:t>
      </w:r>
      <w:r w:rsidR="00170703">
        <w:t> </w:t>
      </w:r>
      <w:r w:rsidR="008004B6" w:rsidRPr="007D4EB1">
        <w:t>2021 PBAC meeting)</w:t>
      </w:r>
      <w:r w:rsidRPr="007D4EB1">
        <w:t>,</w:t>
      </w:r>
      <w:r w:rsidR="008004B6" w:rsidRPr="007D4EB1">
        <w:t xml:space="preserve"> </w:t>
      </w:r>
      <w:r w:rsidR="00C042B0">
        <w:t>it noted a perception of inequ</w:t>
      </w:r>
      <w:r w:rsidR="007546A4">
        <w:t>ity</w:t>
      </w:r>
      <w:r w:rsidR="008004B6" w:rsidRPr="007D4EB1">
        <w:t xml:space="preserve"> could arise </w:t>
      </w:r>
      <w:r w:rsidR="007546A4">
        <w:t>if</w:t>
      </w:r>
      <w:r w:rsidR="007546A4" w:rsidRPr="007D4EB1">
        <w:t xml:space="preserve"> </w:t>
      </w:r>
      <w:r w:rsidR="008004B6" w:rsidRPr="007D4EB1">
        <w:t>the PBAC Guidelines are not applied</w:t>
      </w:r>
      <w:r w:rsidR="007546A4">
        <w:t xml:space="preserve"> equally</w:t>
      </w:r>
      <w:r w:rsidR="008004B6" w:rsidRPr="007D4EB1">
        <w:t xml:space="preserve"> to medicines of the </w:t>
      </w:r>
      <w:r w:rsidR="00E96F1E" w:rsidRPr="007D4EB1">
        <w:t xml:space="preserve">same </w:t>
      </w:r>
      <w:r w:rsidR="008004B6" w:rsidRPr="007D4EB1">
        <w:t xml:space="preserve">class </w:t>
      </w:r>
      <w:r w:rsidR="00E96F1E" w:rsidRPr="007D4EB1">
        <w:t>an</w:t>
      </w:r>
      <w:r w:rsidR="008004B6" w:rsidRPr="007D4EB1">
        <w:t xml:space="preserve">d for the same indication (see </w:t>
      </w:r>
      <w:r w:rsidR="008004B6" w:rsidRPr="007D4EB1">
        <w:fldChar w:fldCharType="begin" w:fldLock="1"/>
      </w:r>
      <w:r w:rsidR="008004B6" w:rsidRPr="007D4EB1">
        <w:instrText xml:space="preserve"> REF _Ref140837688 \r \h </w:instrText>
      </w:r>
      <w:r w:rsidR="008004B6" w:rsidRPr="007D4EB1">
        <w:fldChar w:fldCharType="separate"/>
      </w:r>
      <w:r w:rsidR="008004B6" w:rsidRPr="007D4EB1">
        <w:t>5.15</w:t>
      </w:r>
      <w:r w:rsidR="008004B6" w:rsidRPr="007D4EB1">
        <w:fldChar w:fldCharType="end"/>
      </w:r>
      <w:r w:rsidR="008004B6" w:rsidRPr="007D4EB1">
        <w:t>).</w:t>
      </w:r>
      <w:r w:rsidR="00924C05" w:rsidRPr="007D4EB1">
        <w:t xml:space="preserve"> </w:t>
      </w:r>
    </w:p>
    <w:p w14:paraId="4531E0D2" w14:textId="323531DB" w:rsidR="00924C05" w:rsidRPr="007D4EB1" w:rsidRDefault="00924C05" w:rsidP="00924C05">
      <w:pPr>
        <w:pStyle w:val="3Bodytext"/>
        <w:numPr>
          <w:ilvl w:val="1"/>
          <w:numId w:val="26"/>
        </w:numPr>
      </w:pPr>
      <w:r w:rsidRPr="007D4EB1">
        <w:t>The PBAC considered that, because IXE would be the fourth</w:t>
      </w:r>
      <w:r w:rsidR="00F30C19" w:rsidRPr="007D4EB1">
        <w:t xml:space="preserve"> or fifth</w:t>
      </w:r>
      <w:r w:rsidRPr="007D4EB1">
        <w:t xml:space="preserve"> bDMARD </w:t>
      </w:r>
      <w:r w:rsidR="00F30C19" w:rsidRPr="007D4EB1">
        <w:t xml:space="preserve">listed </w:t>
      </w:r>
      <w:r w:rsidRPr="007D4EB1">
        <w:t>for</w:t>
      </w:r>
      <w:r w:rsidR="00F30C19" w:rsidRPr="007D4EB1">
        <w:t xml:space="preserve"> the treatment of</w:t>
      </w:r>
      <w:r w:rsidRPr="007D4EB1">
        <w:t xml:space="preserve"> nr-AxSpA, there was no urgent clinical need for an additional bDMARD to be listed for this indication.</w:t>
      </w:r>
    </w:p>
    <w:p w14:paraId="7EEEA0C8" w14:textId="24F4FB8A" w:rsidR="00F81E4F" w:rsidRPr="007D4EB1" w:rsidRDefault="00F81E4F" w:rsidP="00545136">
      <w:pPr>
        <w:pStyle w:val="3Bodytext"/>
        <w:numPr>
          <w:ilvl w:val="1"/>
          <w:numId w:val="26"/>
        </w:numPr>
      </w:pPr>
      <w:r w:rsidRPr="007D4EB1">
        <w:t xml:space="preserve">The PBAC </w:t>
      </w:r>
      <w:r w:rsidR="004D068F">
        <w:t>noted</w:t>
      </w:r>
      <w:r w:rsidR="00F30C19" w:rsidRPr="007D4EB1">
        <w:t xml:space="preserve"> that</w:t>
      </w:r>
      <w:r w:rsidR="00AF3FCE" w:rsidRPr="007D4EB1">
        <w:t xml:space="preserve"> </w:t>
      </w:r>
      <w:r w:rsidR="002D33D6" w:rsidRPr="007D4EB1">
        <w:t>the</w:t>
      </w:r>
      <w:r w:rsidRPr="007D4EB1">
        <w:t xml:space="preserve"> sponsor’s intentions when registering a pack size with the TGA, international price referencing concerns, cold chain and manufacturing costs</w:t>
      </w:r>
      <w:r w:rsidR="002D33D6" w:rsidRPr="007D4EB1">
        <w:t>,</w:t>
      </w:r>
      <w:r w:rsidRPr="007D4EB1">
        <w:t xml:space="preserve"> and issues with stock forecasting </w:t>
      </w:r>
      <w:r w:rsidR="00A81CC3" w:rsidRPr="007D4EB1">
        <w:t>are not matters for PBAC consideration</w:t>
      </w:r>
      <w:r w:rsidRPr="007D4EB1">
        <w:t>.</w:t>
      </w:r>
    </w:p>
    <w:p w14:paraId="11885C74" w14:textId="157FD23D" w:rsidR="00F81E4F" w:rsidRPr="007D4EB1" w:rsidRDefault="00F81E4F" w:rsidP="00F81E4F">
      <w:pPr>
        <w:pStyle w:val="3Bodytext"/>
      </w:pPr>
      <w:r w:rsidRPr="007D4EB1">
        <w:t xml:space="preserve">The PBAC did not </w:t>
      </w:r>
      <w:r w:rsidR="00BB4764">
        <w:t>expect</w:t>
      </w:r>
      <w:r w:rsidR="00BB4764" w:rsidRPr="007D4EB1">
        <w:t xml:space="preserve"> </w:t>
      </w:r>
      <w:r w:rsidRPr="007D4EB1">
        <w:t>the quality use of medicine concerns</w:t>
      </w:r>
      <w:r w:rsidR="00A81CC3" w:rsidRPr="007D4EB1">
        <w:t xml:space="preserve"> raised</w:t>
      </w:r>
      <w:r w:rsidR="00C76193" w:rsidRPr="007D4EB1">
        <w:t xml:space="preserve"> to be</w:t>
      </w:r>
      <w:r w:rsidRPr="007D4EB1">
        <w:t xml:space="preserve"> </w:t>
      </w:r>
      <w:r w:rsidR="00BB4764">
        <w:t>realised in practice,</w:t>
      </w:r>
      <w:r w:rsidR="00BB4764" w:rsidRPr="007D4EB1">
        <w:t xml:space="preserve"> </w:t>
      </w:r>
      <w:r w:rsidRPr="007D4EB1">
        <w:t xml:space="preserve">as clinicians, pharmacists and patients would be familiar with managing the different dosing regimens for different bDMARDs and indications (see </w:t>
      </w:r>
      <w:r w:rsidRPr="007D4EB1">
        <w:fldChar w:fldCharType="begin" w:fldLock="1"/>
      </w:r>
      <w:r w:rsidRPr="007D4EB1">
        <w:instrText xml:space="preserve"> REF _Ref140836897 \r \h </w:instrText>
      </w:r>
      <w:r w:rsidRPr="007D4EB1">
        <w:fldChar w:fldCharType="separate"/>
      </w:r>
      <w:r w:rsidRPr="007D4EB1">
        <w:t>5.12</w:t>
      </w:r>
      <w:r w:rsidRPr="007D4EB1">
        <w:fldChar w:fldCharType="end"/>
      </w:r>
      <w:r w:rsidRPr="007D4EB1">
        <w:t xml:space="preserve">). </w:t>
      </w:r>
    </w:p>
    <w:p w14:paraId="26BB5D8A" w14:textId="01A9312F" w:rsidR="006929C3" w:rsidRPr="007D4EB1" w:rsidRDefault="00F81E4F" w:rsidP="008B7F98">
      <w:pPr>
        <w:pStyle w:val="3Bodytext"/>
        <w:numPr>
          <w:ilvl w:val="1"/>
          <w:numId w:val="26"/>
        </w:numPr>
        <w:rPr>
          <w:i/>
          <w:iCs/>
        </w:rPr>
      </w:pPr>
      <w:r w:rsidRPr="007D4EB1">
        <w:t xml:space="preserve">The PBAC did not find </w:t>
      </w:r>
      <w:r w:rsidR="00A81CC3" w:rsidRPr="007D4EB1">
        <w:t>the</w:t>
      </w:r>
      <w:r w:rsidRPr="007D4EB1">
        <w:t xml:space="preserve"> justification that IXE has been listed as a 2-pen pack “since February 2017 for three different indications without any concerns about the clinical safety” (Pre-PBAC </w:t>
      </w:r>
      <w:r w:rsidR="00622E48">
        <w:t>r</w:t>
      </w:r>
      <w:r w:rsidRPr="007D4EB1">
        <w:t>esponse)</w:t>
      </w:r>
      <w:r w:rsidR="00D1290C" w:rsidRPr="007D4EB1">
        <w:t xml:space="preserve"> to be</w:t>
      </w:r>
      <w:r w:rsidR="00A923DD">
        <w:t xml:space="preserve"> sufficient</w:t>
      </w:r>
      <w:r w:rsidRPr="007D4EB1">
        <w:t>.</w:t>
      </w:r>
      <w:r w:rsidR="00D1290C" w:rsidRPr="007D4EB1">
        <w:t xml:space="preserve"> </w:t>
      </w:r>
      <w:r w:rsidRPr="007D4EB1">
        <w:t>As part of the consideration of SEC in July 2017 and July 2021, the PBAC in both instances recommended that the maximum quantity for IXE for the treatment of CPP be amended such that only 1 months’ supply is dispensed.</w:t>
      </w:r>
      <w:r w:rsidR="008B7F98" w:rsidRPr="007D4EB1">
        <w:t xml:space="preserve"> </w:t>
      </w:r>
      <w:r w:rsidR="00761904" w:rsidRPr="007D4EB1">
        <w:t xml:space="preserve">The PBAC recalled that at its November 2021 meeting, it had “recommended listing IXE under the same circumstances as that of the other </w:t>
      </w:r>
      <w:r w:rsidR="00761904" w:rsidRPr="007D4EB1">
        <w:lastRenderedPageBreak/>
        <w:t>bDMARDs for nr-AxSpA” (</w:t>
      </w:r>
      <w:r w:rsidR="00E63455" w:rsidRPr="007D4EB1">
        <w:t>p</w:t>
      </w:r>
      <w:r w:rsidR="00761904" w:rsidRPr="007D4EB1">
        <w:t>ara</w:t>
      </w:r>
      <w:r w:rsidR="00E63455" w:rsidRPr="007D4EB1">
        <w:t>graph</w:t>
      </w:r>
      <w:r w:rsidR="00761904" w:rsidRPr="007D4EB1">
        <w:t xml:space="preserve"> 7.3 ixekizumab PSD, November 2021 PBAC Meeting)</w:t>
      </w:r>
      <w:r w:rsidR="008B7F98" w:rsidRPr="007D4EB1">
        <w:t xml:space="preserve"> and maintained this position</w:t>
      </w:r>
      <w:r w:rsidR="00761904" w:rsidRPr="007D4EB1">
        <w:t>.</w:t>
      </w:r>
    </w:p>
    <w:p w14:paraId="2A7A65F3" w14:textId="3F8DA0BA" w:rsidR="00123700" w:rsidRPr="007D4EB1" w:rsidRDefault="00123700" w:rsidP="000F300E">
      <w:pPr>
        <w:pStyle w:val="3Bodytext"/>
        <w:numPr>
          <w:ilvl w:val="1"/>
          <w:numId w:val="26"/>
        </w:numPr>
        <w:rPr>
          <w:i/>
          <w:iCs/>
        </w:rPr>
      </w:pPr>
      <w:r w:rsidRPr="007D4EB1">
        <w:t>The PBAC recalled that it had not recommended bDMARDs as suitable for inclusion on the “Medicine List for Increased Dispensing Quantities” (PBAC December Intracycle meeting 2022) for the 60 day dispensing of PBS medicines policy</w:t>
      </w:r>
      <w:r w:rsidR="00924C05" w:rsidRPr="007D4EB1">
        <w:t xml:space="preserve"> and maintained this position.</w:t>
      </w:r>
    </w:p>
    <w:p w14:paraId="51CDBE71" w14:textId="3894C9F2" w:rsidR="00005304" w:rsidRPr="007D4EB1" w:rsidRDefault="000C582C" w:rsidP="000F300E">
      <w:pPr>
        <w:pStyle w:val="3Bodytext"/>
        <w:numPr>
          <w:ilvl w:val="1"/>
          <w:numId w:val="26"/>
        </w:numPr>
        <w:rPr>
          <w:i/>
          <w:iCs/>
        </w:rPr>
      </w:pPr>
      <w:r w:rsidRPr="007D4EB1">
        <w:t xml:space="preserve">The PBAC noted that the clinical need, clinical comparators, the clinical place for IXE in the treatment of nr-AxSpA, comparative clinical benefits and harms, and appropriateness of equi-effective doses and interchangeability advice were not considered as part of this submission. The PBAC </w:t>
      </w:r>
      <w:r w:rsidR="008862DC" w:rsidRPr="007D4EB1">
        <w:t>recalled</w:t>
      </w:r>
      <w:r w:rsidRPr="007D4EB1">
        <w:t xml:space="preserve"> that </w:t>
      </w:r>
      <w:r w:rsidR="008862DC" w:rsidRPr="007D4EB1">
        <w:t>it had made</w:t>
      </w:r>
      <w:r w:rsidRPr="007D4EB1">
        <w:t xml:space="preserve"> recommendations regarding the appropriateness of these claims and listing conditions</w:t>
      </w:r>
      <w:r w:rsidR="008862DC" w:rsidRPr="007D4EB1">
        <w:t xml:space="preserve"> at its November 2021 meeting and thus</w:t>
      </w:r>
      <w:r w:rsidR="00C76193" w:rsidRPr="007D4EB1">
        <w:t xml:space="preserve"> its view</w:t>
      </w:r>
      <w:r w:rsidRPr="007D4EB1">
        <w:t xml:space="preserve"> remained unchanged</w:t>
      </w:r>
      <w:r w:rsidR="008862DC" w:rsidRPr="007D4EB1">
        <w:t>.</w:t>
      </w:r>
    </w:p>
    <w:p w14:paraId="76218FD3" w14:textId="78631E22" w:rsidR="00BA0ED2" w:rsidRPr="007D4EB1" w:rsidRDefault="00BA0ED2" w:rsidP="00005304">
      <w:pPr>
        <w:pStyle w:val="3Bodytext"/>
        <w:numPr>
          <w:ilvl w:val="1"/>
          <w:numId w:val="26"/>
        </w:numPr>
        <w:rPr>
          <w:i/>
          <w:iCs/>
        </w:rPr>
      </w:pPr>
      <w:r w:rsidRPr="007D4EB1">
        <w:t xml:space="preserve">The PBAC </w:t>
      </w:r>
      <w:r w:rsidR="002A0CE6" w:rsidRPr="007D4EB1">
        <w:t>considered</w:t>
      </w:r>
      <w:r w:rsidR="008862DC" w:rsidRPr="007D4EB1">
        <w:t xml:space="preserve"> that listing a 2-pen pack over the 1-pen pack has the potential to provide a</w:t>
      </w:r>
      <w:r w:rsidRPr="007D4EB1">
        <w:t xml:space="preserve"> small cost saving to </w:t>
      </w:r>
      <w:r w:rsidR="00DF4C27" w:rsidRPr="007D4EB1">
        <w:t xml:space="preserve">the </w:t>
      </w:r>
      <w:r w:rsidRPr="007D4EB1">
        <w:t>PBS and</w:t>
      </w:r>
      <w:r w:rsidR="008862DC" w:rsidRPr="007D4EB1">
        <w:t xml:space="preserve"> patients</w:t>
      </w:r>
      <w:r w:rsidRPr="007D4EB1">
        <w:t xml:space="preserve">, as presented in the economic analysis and utilisation estimates, noting that these </w:t>
      </w:r>
      <w:r w:rsidR="008862DC" w:rsidRPr="007D4EB1">
        <w:t xml:space="preserve">analyses have not been independently evaluated. </w:t>
      </w:r>
      <w:r w:rsidR="002A0CE6" w:rsidRPr="007D4EB1">
        <w:t>However, the PBAC consider</w:t>
      </w:r>
      <w:r w:rsidR="00A84854">
        <w:t>ed</w:t>
      </w:r>
      <w:r w:rsidR="002A0CE6" w:rsidRPr="007D4EB1">
        <w:t xml:space="preserve"> that this </w:t>
      </w:r>
      <w:r w:rsidR="00123700" w:rsidRPr="007D4EB1">
        <w:t>was not a reasonable justification to recommend a maximum quantity outside that recommended in the PBAC Guidelines and the November 2021 PBAC Meeting for IXE</w:t>
      </w:r>
      <w:r w:rsidR="002B52BE">
        <w:t>, and inconsistent with other bDMARDs listed for this indication</w:t>
      </w:r>
      <w:r w:rsidR="00123700" w:rsidRPr="007D4EB1">
        <w:t>.</w:t>
      </w:r>
    </w:p>
    <w:p w14:paraId="56FC2D19" w14:textId="484A6E2D" w:rsidR="008862DC" w:rsidRPr="007D4EB1" w:rsidRDefault="008862DC" w:rsidP="00005304">
      <w:pPr>
        <w:pStyle w:val="3Bodytext"/>
        <w:numPr>
          <w:ilvl w:val="1"/>
          <w:numId w:val="26"/>
        </w:numPr>
        <w:rPr>
          <w:i/>
          <w:iCs/>
        </w:rPr>
      </w:pPr>
      <w:r w:rsidRPr="007D4EB1">
        <w:t xml:space="preserve">The PBAC </w:t>
      </w:r>
      <w:r w:rsidR="002A0CE6" w:rsidRPr="007D4EB1">
        <w:t xml:space="preserve">noted </w:t>
      </w:r>
      <w:r w:rsidRPr="007D4EB1">
        <w:t xml:space="preserve">the </w:t>
      </w:r>
      <w:r w:rsidR="00CC4451" w:rsidRPr="007D4EB1">
        <w:t xml:space="preserve">sponsor’s </w:t>
      </w:r>
      <w:r w:rsidRPr="007D4EB1">
        <w:t xml:space="preserve">concerns regarding </w:t>
      </w:r>
      <w:r w:rsidR="002A0CE6" w:rsidRPr="007D4EB1">
        <w:t xml:space="preserve">the </w:t>
      </w:r>
      <w:r w:rsidRPr="007D4EB1">
        <w:t>supply and costs involved with supply</w:t>
      </w:r>
      <w:r w:rsidR="00CC4451" w:rsidRPr="007D4EB1">
        <w:t>ing</w:t>
      </w:r>
      <w:r w:rsidRPr="007D4EB1">
        <w:t xml:space="preserve"> a 1-pen </w:t>
      </w:r>
      <w:r w:rsidR="00123700" w:rsidRPr="007D4EB1">
        <w:t>pack and</w:t>
      </w:r>
      <w:r w:rsidR="00761904" w:rsidRPr="007D4EB1">
        <w:t xml:space="preserve"> </w:t>
      </w:r>
      <w:r w:rsidR="002A0CE6" w:rsidRPr="007D4EB1">
        <w:t>that the sponsor</w:t>
      </w:r>
      <w:r w:rsidR="00761904" w:rsidRPr="007D4EB1">
        <w:t xml:space="preserve"> </w:t>
      </w:r>
      <w:r w:rsidR="00123700" w:rsidRPr="007D4EB1">
        <w:t xml:space="preserve">may not be able to secure 1-pen pack supply </w:t>
      </w:r>
      <w:r w:rsidR="00CC4451" w:rsidRPr="007D4EB1">
        <w:t>o</w:t>
      </w:r>
      <w:r w:rsidR="00123700" w:rsidRPr="007D4EB1">
        <w:t>n an ongoing basis.</w:t>
      </w:r>
    </w:p>
    <w:p w14:paraId="51E52C6A" w14:textId="1D8C7A14" w:rsidR="00005304" w:rsidRPr="007D4EB1" w:rsidRDefault="00005304" w:rsidP="00BA0ED2">
      <w:pPr>
        <w:widowControl w:val="0"/>
        <w:numPr>
          <w:ilvl w:val="1"/>
          <w:numId w:val="26"/>
        </w:numPr>
        <w:spacing w:after="120"/>
        <w:rPr>
          <w:rFonts w:asciiTheme="minorHAnsi" w:hAnsiTheme="minorHAnsi" w:cs="Arial"/>
          <w:bCs/>
          <w:i/>
          <w:snapToGrid w:val="0"/>
        </w:rPr>
      </w:pPr>
      <w:r w:rsidRPr="007D4EB1">
        <w:rPr>
          <w:rFonts w:asciiTheme="minorHAnsi" w:hAnsiTheme="minorHAnsi" w:cs="Arial"/>
          <w:bCs/>
          <w:snapToGrid w:val="0"/>
        </w:rPr>
        <w:t>The PBAC noted that this submission is not eligible for an Independent Review</w:t>
      </w:r>
      <w:r w:rsidR="00BA0ED2" w:rsidRPr="007D4EB1">
        <w:t xml:space="preserve"> </w:t>
      </w:r>
      <w:r w:rsidR="00BA0ED2" w:rsidRPr="007D4EB1">
        <w:rPr>
          <w:rFonts w:asciiTheme="minorHAnsi" w:hAnsiTheme="minorHAnsi" w:cs="Arial"/>
          <w:bCs/>
          <w:snapToGrid w:val="0"/>
        </w:rPr>
        <w:t xml:space="preserve">because it </w:t>
      </w:r>
      <w:r w:rsidR="00435A67">
        <w:rPr>
          <w:rFonts w:asciiTheme="minorHAnsi" w:hAnsiTheme="minorHAnsi" w:cs="Arial"/>
          <w:bCs/>
          <w:snapToGrid w:val="0"/>
        </w:rPr>
        <w:t>was</w:t>
      </w:r>
      <w:r w:rsidR="00BA0ED2" w:rsidRPr="007D4EB1">
        <w:rPr>
          <w:rFonts w:asciiTheme="minorHAnsi" w:hAnsiTheme="minorHAnsi" w:cs="Arial"/>
          <w:bCs/>
          <w:snapToGrid w:val="0"/>
        </w:rPr>
        <w:t xml:space="preserve"> a request to modify a previous PBAC recommendation.</w:t>
      </w:r>
    </w:p>
    <w:p w14:paraId="0A0C2973" w14:textId="77777777" w:rsidR="00005304" w:rsidRPr="007D4EB1" w:rsidRDefault="00005304" w:rsidP="00005304">
      <w:pPr>
        <w:spacing w:before="240"/>
        <w:rPr>
          <w:rFonts w:asciiTheme="minorHAnsi" w:hAnsiTheme="minorHAnsi" w:cs="Arial"/>
          <w:b/>
          <w:bCs/>
          <w:snapToGrid w:val="0"/>
        </w:rPr>
      </w:pPr>
      <w:r w:rsidRPr="007D4EB1">
        <w:rPr>
          <w:rFonts w:asciiTheme="minorHAnsi" w:hAnsiTheme="minorHAnsi" w:cs="Arial"/>
          <w:b/>
          <w:bCs/>
          <w:snapToGrid w:val="0"/>
        </w:rPr>
        <w:t>Outcome:</w:t>
      </w:r>
    </w:p>
    <w:p w14:paraId="0F9ECDBD" w14:textId="4791FCC5" w:rsidR="00005304" w:rsidRPr="007D4EB1" w:rsidRDefault="00005304" w:rsidP="00005304">
      <w:pPr>
        <w:rPr>
          <w:rFonts w:asciiTheme="minorHAnsi" w:hAnsiTheme="minorHAnsi" w:cs="Arial"/>
          <w:bCs/>
          <w:snapToGrid w:val="0"/>
        </w:rPr>
      </w:pPr>
      <w:r w:rsidRPr="007D4EB1">
        <w:rPr>
          <w:rFonts w:asciiTheme="minorHAnsi" w:hAnsiTheme="minorHAnsi" w:cs="Arial"/>
          <w:bCs/>
          <w:snapToGrid w:val="0"/>
        </w:rPr>
        <w:t>Not recommended</w:t>
      </w:r>
    </w:p>
    <w:p w14:paraId="5452A1FE" w14:textId="04B364A7" w:rsidR="00C01254" w:rsidRPr="00C01254" w:rsidRDefault="00C01254" w:rsidP="00C01254">
      <w:pPr>
        <w:pStyle w:val="2-SectionHeading"/>
      </w:pPr>
      <w:r w:rsidRPr="00C07617">
        <w:t>Context for Decision</w:t>
      </w:r>
    </w:p>
    <w:p w14:paraId="011D82EA" w14:textId="77777777" w:rsidR="00C01254" w:rsidRPr="007129F2" w:rsidRDefault="00C01254" w:rsidP="00C01254">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34053A" w14:textId="3265988C" w:rsidR="00C01254" w:rsidRPr="00C01254" w:rsidRDefault="00C01254" w:rsidP="00C01254">
      <w:pPr>
        <w:pStyle w:val="2-SectionHeading"/>
      </w:pPr>
      <w:r>
        <w:t>Sponsor’s Comment</w:t>
      </w:r>
    </w:p>
    <w:p w14:paraId="3DC08C2E" w14:textId="0496CC13" w:rsidR="00E15A94" w:rsidRPr="00796A9A" w:rsidRDefault="00C01254" w:rsidP="00544F10">
      <w:pPr>
        <w:spacing w:after="120"/>
        <w:ind w:left="426" w:firstLine="294"/>
        <w:rPr>
          <w:rFonts w:asciiTheme="minorHAnsi" w:hAnsiTheme="minorHAnsi" w:cs="Arial"/>
          <w:b/>
          <w:bCs/>
          <w:snapToGrid w:val="0"/>
        </w:rPr>
      </w:pPr>
      <w:r w:rsidRPr="00C07617">
        <w:rPr>
          <w:rFonts w:asciiTheme="minorHAnsi" w:hAnsiTheme="minorHAnsi" w:cs="Arial"/>
          <w:bCs/>
        </w:rPr>
        <w:t>The sponsor had no comment.</w:t>
      </w:r>
    </w:p>
    <w:sectPr w:rsidR="00E15A94" w:rsidRPr="00796A9A" w:rsidSect="00C27B58">
      <w:headerReference w:type="even" r:id="rId10"/>
      <w:headerReference w:type="default" r:id="rId11"/>
      <w:footerReference w:type="even" r:id="rId12"/>
      <w:footerReference w:type="defaul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186" w14:textId="77777777" w:rsidR="009B0062" w:rsidRDefault="009B0062">
      <w:r>
        <w:separator/>
      </w:r>
    </w:p>
    <w:p w14:paraId="69A2781B" w14:textId="77777777" w:rsidR="009B0062" w:rsidRDefault="009B0062"/>
  </w:endnote>
  <w:endnote w:type="continuationSeparator" w:id="0">
    <w:p w14:paraId="5F2CA6EE" w14:textId="77777777" w:rsidR="009B0062" w:rsidRDefault="009B0062">
      <w:r>
        <w:continuationSeparator/>
      </w:r>
    </w:p>
    <w:p w14:paraId="4F0CDF43" w14:textId="77777777" w:rsidR="009B0062" w:rsidRDefault="009B0062"/>
  </w:endnote>
  <w:endnote w:type="continuationNotice" w:id="1">
    <w:p w14:paraId="4C31136A" w14:textId="77777777" w:rsidR="009B0062" w:rsidRDefault="009B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3112" w14:textId="08E52134" w:rsidR="00F06222" w:rsidRDefault="00F06222">
    <w:pPr>
      <w:pStyle w:val="Footer"/>
      <w:jc w:val="center"/>
    </w:pPr>
  </w:p>
  <w:sdt>
    <w:sdtPr>
      <w:id w:val="52830459"/>
      <w:docPartObj>
        <w:docPartGallery w:val="Page Numbers (Bottom of Page)"/>
        <w:docPartUnique/>
      </w:docPartObj>
    </w:sdtPr>
    <w:sdtEndPr>
      <w:rPr>
        <w:b/>
        <w:bCs/>
        <w:noProof/>
      </w:rPr>
    </w:sdtEndPr>
    <w:sdtContent>
      <w:p w14:paraId="4F1A0C56" w14:textId="3F2A5BDA" w:rsidR="009C26AA" w:rsidRPr="00F06222" w:rsidRDefault="00F06222" w:rsidP="00F06222">
        <w:pPr>
          <w:pStyle w:val="Footer"/>
          <w:jc w:val="center"/>
          <w:rPr>
            <w:b/>
            <w:bCs/>
          </w:rPr>
        </w:pPr>
        <w:r w:rsidRPr="00F06222">
          <w:rPr>
            <w:b/>
            <w:bCs/>
          </w:rPr>
          <w:fldChar w:fldCharType="begin"/>
        </w:r>
        <w:r w:rsidRPr="00F06222">
          <w:rPr>
            <w:b/>
            <w:bCs/>
          </w:rPr>
          <w:instrText xml:space="preserve"> PAGE   \* MERGEFORMAT </w:instrText>
        </w:r>
        <w:r w:rsidRPr="00F06222">
          <w:rPr>
            <w:b/>
            <w:bCs/>
          </w:rPr>
          <w:fldChar w:fldCharType="separate"/>
        </w:r>
        <w:r w:rsidRPr="00F06222">
          <w:rPr>
            <w:b/>
            <w:bCs/>
            <w:noProof/>
          </w:rPr>
          <w:t>2</w:t>
        </w:r>
        <w:r w:rsidRPr="00F0622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181" w14:textId="77777777" w:rsidR="009B0062" w:rsidRDefault="009B0062">
      <w:r>
        <w:separator/>
      </w:r>
    </w:p>
    <w:p w14:paraId="3EFCBE2C" w14:textId="77777777" w:rsidR="009B0062" w:rsidRDefault="009B0062"/>
  </w:footnote>
  <w:footnote w:type="continuationSeparator" w:id="0">
    <w:p w14:paraId="2118DE14" w14:textId="77777777" w:rsidR="009B0062" w:rsidRDefault="009B0062">
      <w:r>
        <w:continuationSeparator/>
      </w:r>
    </w:p>
    <w:p w14:paraId="520C6E65" w14:textId="77777777" w:rsidR="009B0062" w:rsidRDefault="009B0062"/>
  </w:footnote>
  <w:footnote w:type="continuationNotice" w:id="1">
    <w:p w14:paraId="4A0346A4" w14:textId="77777777" w:rsidR="009B0062" w:rsidRDefault="009B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7A2B1D0D" w:rsidR="00C56D78" w:rsidRPr="00F06222" w:rsidRDefault="00C01254" w:rsidP="00C56D78">
    <w:pPr>
      <w:keepNext/>
      <w:tabs>
        <w:tab w:val="center" w:pos="4513"/>
        <w:tab w:val="right" w:pos="9026"/>
      </w:tabs>
      <w:jc w:val="center"/>
      <w:rPr>
        <w:rFonts w:asciiTheme="minorHAnsi" w:eastAsiaTheme="minorEastAsia" w:hAnsiTheme="minorHAnsi" w:cstheme="minorHAnsi"/>
        <w:i/>
      </w:rPr>
    </w:pPr>
    <w:r>
      <w:rPr>
        <w:rFonts w:asciiTheme="minorHAnsi" w:eastAsiaTheme="minorEastAsia" w:hAnsiTheme="minorHAnsi" w:cstheme="minorHAnsi"/>
        <w:i/>
      </w:rPr>
      <w:t>Public Summary Document</w:t>
    </w:r>
    <w:r w:rsidR="00884AC0" w:rsidRPr="00F06222">
      <w:rPr>
        <w:rFonts w:asciiTheme="minorHAnsi" w:eastAsiaTheme="minorEastAsia" w:hAnsiTheme="minorHAnsi" w:cstheme="minorHAnsi"/>
        <w:i/>
      </w:rPr>
      <w:t xml:space="preserve"> </w:t>
    </w:r>
    <w:r w:rsidR="00F06222" w:rsidRPr="00F06222">
      <w:rPr>
        <w:rFonts w:asciiTheme="minorHAnsi" w:eastAsiaTheme="minorEastAsia" w:hAnsiTheme="minorHAnsi" w:cstheme="minorHAnsi"/>
        <w:i/>
      </w:rPr>
      <w:t xml:space="preserve">– </w:t>
    </w:r>
    <w:r w:rsidR="003165E3" w:rsidRPr="00F06222">
      <w:rPr>
        <w:rFonts w:asciiTheme="minorHAnsi" w:eastAsiaTheme="minorEastAsia" w:hAnsiTheme="minorHAnsi" w:cstheme="minorHAnsi"/>
        <w:i/>
      </w:rPr>
      <w:t>July</w:t>
    </w:r>
    <w:r w:rsidR="00F06222" w:rsidRPr="00F06222">
      <w:rPr>
        <w:rFonts w:asciiTheme="minorHAnsi" w:eastAsiaTheme="minorEastAsia" w:hAnsiTheme="minorHAnsi" w:cstheme="minorHAnsi"/>
        <w:i/>
      </w:rPr>
      <w:t xml:space="preserve"> </w:t>
    </w:r>
    <w:r w:rsidR="003165E3" w:rsidRPr="00F06222">
      <w:rPr>
        <w:rFonts w:asciiTheme="minorHAnsi" w:eastAsiaTheme="minorEastAsia" w:hAnsiTheme="minorHAnsi" w:cstheme="minorHAnsi"/>
        <w:i/>
      </w:rPr>
      <w:t>2023</w:t>
    </w:r>
    <w:r w:rsidR="00C56D78" w:rsidRPr="00F06222">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21F1621"/>
    <w:multiLevelType w:val="hybridMultilevel"/>
    <w:tmpl w:val="6D1A1B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D0A6DE4"/>
    <w:multiLevelType w:val="hybridMultilevel"/>
    <w:tmpl w:val="62501A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304C2F"/>
    <w:multiLevelType w:val="multilevel"/>
    <w:tmpl w:val="BE9C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4974824"/>
    <w:multiLevelType w:val="hybridMultilevel"/>
    <w:tmpl w:val="5C08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5CF56DC"/>
    <w:multiLevelType w:val="multilevel"/>
    <w:tmpl w:val="EABE1B5A"/>
    <w:lvl w:ilvl="0">
      <w:start w:val="1"/>
      <w:numFmt w:val="decimal"/>
      <w:lvlText w:val="%1"/>
      <w:lvlJc w:val="left"/>
      <w:pPr>
        <w:ind w:left="720" w:hanging="720"/>
      </w:pPr>
      <w:rPr>
        <w:b/>
        <w:color w:val="auto"/>
      </w:rPr>
    </w:lvl>
    <w:lvl w:ilvl="1">
      <w:start w:val="1"/>
      <w:numFmt w:val="bullet"/>
      <w:pStyle w:val="PBAC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2F19D8"/>
    <w:multiLevelType w:val="hybridMultilevel"/>
    <w:tmpl w:val="5D981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FA4B5D"/>
    <w:multiLevelType w:val="hybridMultilevel"/>
    <w:tmpl w:val="E9C609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52A28A7"/>
    <w:multiLevelType w:val="hybridMultilevel"/>
    <w:tmpl w:val="A418CA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4D033C"/>
    <w:multiLevelType w:val="multilevel"/>
    <w:tmpl w:val="2A0C7CDA"/>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AB12E9F"/>
    <w:multiLevelType w:val="multilevel"/>
    <w:tmpl w:val="8FC4C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C9D6ED0"/>
    <w:multiLevelType w:val="hybridMultilevel"/>
    <w:tmpl w:val="FF0E7746"/>
    <w:lvl w:ilvl="0" w:tplc="0C090003">
      <w:start w:val="1"/>
      <w:numFmt w:val="bullet"/>
      <w:lvlText w:val="o"/>
      <w:lvlJc w:val="left"/>
      <w:pPr>
        <w:ind w:left="1428" w:hanging="360"/>
      </w:pPr>
      <w:rPr>
        <w:rFonts w:ascii="Courier New" w:hAnsi="Courier New" w:cs="Courier New"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num w:numId="1" w16cid:durableId="1088045051">
    <w:abstractNumId w:val="13"/>
  </w:num>
  <w:num w:numId="2" w16cid:durableId="1616138985">
    <w:abstractNumId w:val="28"/>
  </w:num>
  <w:num w:numId="3" w16cid:durableId="508570036">
    <w:abstractNumId w:val="0"/>
  </w:num>
  <w:num w:numId="4" w16cid:durableId="1413316296">
    <w:abstractNumId w:val="19"/>
  </w:num>
  <w:num w:numId="5" w16cid:durableId="164251941">
    <w:abstractNumId w:val="30"/>
  </w:num>
  <w:num w:numId="6" w16cid:durableId="125123078">
    <w:abstractNumId w:val="26"/>
  </w:num>
  <w:num w:numId="7" w16cid:durableId="1504781099">
    <w:abstractNumId w:val="17"/>
  </w:num>
  <w:num w:numId="8" w16cid:durableId="2143307168">
    <w:abstractNumId w:val="14"/>
  </w:num>
  <w:num w:numId="9" w16cid:durableId="124736409">
    <w:abstractNumId w:val="1"/>
  </w:num>
  <w:num w:numId="10" w16cid:durableId="1668707728">
    <w:abstractNumId w:val="28"/>
  </w:num>
  <w:num w:numId="11" w16cid:durableId="731079863">
    <w:abstractNumId w:val="24"/>
  </w:num>
  <w:num w:numId="12" w16cid:durableId="100145907">
    <w:abstractNumId w:val="11"/>
  </w:num>
  <w:num w:numId="13" w16cid:durableId="2108889465">
    <w:abstractNumId w:val="3"/>
  </w:num>
  <w:num w:numId="14" w16cid:durableId="168524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0991341">
    <w:abstractNumId w:val="16"/>
  </w:num>
  <w:num w:numId="16" w16cid:durableId="800729218">
    <w:abstractNumId w:val="6"/>
  </w:num>
  <w:num w:numId="17" w16cid:durableId="1160926445">
    <w:abstractNumId w:val="21"/>
  </w:num>
  <w:num w:numId="18" w16cid:durableId="446462282">
    <w:abstractNumId w:val="4"/>
  </w:num>
  <w:num w:numId="19" w16cid:durableId="939988297">
    <w:abstractNumId w:val="27"/>
  </w:num>
  <w:num w:numId="20" w16cid:durableId="914359576">
    <w:abstractNumId w:val="22"/>
  </w:num>
  <w:num w:numId="21" w16cid:durableId="224528558">
    <w:abstractNumId w:val="12"/>
  </w:num>
  <w:num w:numId="22" w16cid:durableId="1655185451">
    <w:abstractNumId w:val="15"/>
  </w:num>
  <w:num w:numId="23" w16cid:durableId="1289163717">
    <w:abstractNumId w:val="31"/>
  </w:num>
  <w:num w:numId="24" w16cid:durableId="1017997044">
    <w:abstractNumId w:val="29"/>
  </w:num>
  <w:num w:numId="25" w16cid:durableId="256642639">
    <w:abstractNumId w:val="9"/>
  </w:num>
  <w:num w:numId="26" w16cid:durableId="89470273">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4174617">
    <w:abstractNumId w:val="10"/>
  </w:num>
  <w:num w:numId="28" w16cid:durableId="1017581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239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0017859">
    <w:abstractNumId w:val="7"/>
  </w:num>
  <w:num w:numId="31" w16cid:durableId="1882477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301027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3506208">
    <w:abstractNumId w:val="18"/>
  </w:num>
  <w:num w:numId="34" w16cid:durableId="28989769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5221416">
    <w:abstractNumId w:val="28"/>
  </w:num>
  <w:num w:numId="36" w16cid:durableId="120890748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5304"/>
    <w:rsid w:val="00006782"/>
    <w:rsid w:val="0001179A"/>
    <w:rsid w:val="00011A59"/>
    <w:rsid w:val="00014D69"/>
    <w:rsid w:val="00016A41"/>
    <w:rsid w:val="000214D1"/>
    <w:rsid w:val="00021F20"/>
    <w:rsid w:val="00022F00"/>
    <w:rsid w:val="0002464A"/>
    <w:rsid w:val="00025A04"/>
    <w:rsid w:val="0002693D"/>
    <w:rsid w:val="0003006B"/>
    <w:rsid w:val="0003050E"/>
    <w:rsid w:val="0003106B"/>
    <w:rsid w:val="000335B9"/>
    <w:rsid w:val="00033B86"/>
    <w:rsid w:val="00034905"/>
    <w:rsid w:val="00035079"/>
    <w:rsid w:val="00037906"/>
    <w:rsid w:val="00040A30"/>
    <w:rsid w:val="00041C6C"/>
    <w:rsid w:val="000421A1"/>
    <w:rsid w:val="0004240E"/>
    <w:rsid w:val="000425A2"/>
    <w:rsid w:val="00044E52"/>
    <w:rsid w:val="00044EC4"/>
    <w:rsid w:val="00045E26"/>
    <w:rsid w:val="00046903"/>
    <w:rsid w:val="00050060"/>
    <w:rsid w:val="000514B5"/>
    <w:rsid w:val="000521ED"/>
    <w:rsid w:val="0005322E"/>
    <w:rsid w:val="00053789"/>
    <w:rsid w:val="00054E2B"/>
    <w:rsid w:val="00060E64"/>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0558"/>
    <w:rsid w:val="00082169"/>
    <w:rsid w:val="00082F1E"/>
    <w:rsid w:val="000834BE"/>
    <w:rsid w:val="00083F01"/>
    <w:rsid w:val="00084084"/>
    <w:rsid w:val="0008632F"/>
    <w:rsid w:val="00086735"/>
    <w:rsid w:val="00087C4C"/>
    <w:rsid w:val="000903D4"/>
    <w:rsid w:val="000918CB"/>
    <w:rsid w:val="00091B06"/>
    <w:rsid w:val="000951C4"/>
    <w:rsid w:val="00095ADA"/>
    <w:rsid w:val="00095F3A"/>
    <w:rsid w:val="000969AD"/>
    <w:rsid w:val="000975FB"/>
    <w:rsid w:val="000A02F8"/>
    <w:rsid w:val="000A09BE"/>
    <w:rsid w:val="000A3AA2"/>
    <w:rsid w:val="000A3F45"/>
    <w:rsid w:val="000A42EF"/>
    <w:rsid w:val="000A44B2"/>
    <w:rsid w:val="000A52F6"/>
    <w:rsid w:val="000A58B8"/>
    <w:rsid w:val="000A6CEF"/>
    <w:rsid w:val="000B0DBF"/>
    <w:rsid w:val="000B44C3"/>
    <w:rsid w:val="000B558D"/>
    <w:rsid w:val="000B5A89"/>
    <w:rsid w:val="000B65F6"/>
    <w:rsid w:val="000B7767"/>
    <w:rsid w:val="000C1AFF"/>
    <w:rsid w:val="000C5740"/>
    <w:rsid w:val="000C582C"/>
    <w:rsid w:val="000C5F95"/>
    <w:rsid w:val="000C6996"/>
    <w:rsid w:val="000C70CF"/>
    <w:rsid w:val="000C77BA"/>
    <w:rsid w:val="000C7C46"/>
    <w:rsid w:val="000D09E9"/>
    <w:rsid w:val="000D113F"/>
    <w:rsid w:val="000D23BA"/>
    <w:rsid w:val="000D29D1"/>
    <w:rsid w:val="000D3283"/>
    <w:rsid w:val="000D557B"/>
    <w:rsid w:val="000E19B7"/>
    <w:rsid w:val="000E1B86"/>
    <w:rsid w:val="000E20FC"/>
    <w:rsid w:val="000E3C1D"/>
    <w:rsid w:val="000E3DFB"/>
    <w:rsid w:val="000E5EA1"/>
    <w:rsid w:val="000E681E"/>
    <w:rsid w:val="000E696B"/>
    <w:rsid w:val="000E779B"/>
    <w:rsid w:val="000E7E52"/>
    <w:rsid w:val="000E7E90"/>
    <w:rsid w:val="000EE1C7"/>
    <w:rsid w:val="000F0003"/>
    <w:rsid w:val="000F3384"/>
    <w:rsid w:val="000F3573"/>
    <w:rsid w:val="000F49B1"/>
    <w:rsid w:val="000F4E6A"/>
    <w:rsid w:val="000F6ABB"/>
    <w:rsid w:val="000F7354"/>
    <w:rsid w:val="000F7C27"/>
    <w:rsid w:val="00101ABE"/>
    <w:rsid w:val="00102202"/>
    <w:rsid w:val="00102700"/>
    <w:rsid w:val="00102A78"/>
    <w:rsid w:val="00103118"/>
    <w:rsid w:val="00103F1B"/>
    <w:rsid w:val="00104227"/>
    <w:rsid w:val="001053D5"/>
    <w:rsid w:val="00105A13"/>
    <w:rsid w:val="00107409"/>
    <w:rsid w:val="00107E24"/>
    <w:rsid w:val="001107BF"/>
    <w:rsid w:val="00111720"/>
    <w:rsid w:val="00113649"/>
    <w:rsid w:val="00113D5C"/>
    <w:rsid w:val="00116B03"/>
    <w:rsid w:val="00116C94"/>
    <w:rsid w:val="001200FC"/>
    <w:rsid w:val="00120AA6"/>
    <w:rsid w:val="001221C0"/>
    <w:rsid w:val="00123700"/>
    <w:rsid w:val="001239DB"/>
    <w:rsid w:val="0012417C"/>
    <w:rsid w:val="00124BF2"/>
    <w:rsid w:val="00125837"/>
    <w:rsid w:val="0012597F"/>
    <w:rsid w:val="00126B19"/>
    <w:rsid w:val="00126D3A"/>
    <w:rsid w:val="0012749D"/>
    <w:rsid w:val="00127A23"/>
    <w:rsid w:val="001306A5"/>
    <w:rsid w:val="00130918"/>
    <w:rsid w:val="001311AE"/>
    <w:rsid w:val="001325EA"/>
    <w:rsid w:val="00134901"/>
    <w:rsid w:val="00134994"/>
    <w:rsid w:val="001366C2"/>
    <w:rsid w:val="00136C17"/>
    <w:rsid w:val="00140B74"/>
    <w:rsid w:val="00140D94"/>
    <w:rsid w:val="00142395"/>
    <w:rsid w:val="0014250D"/>
    <w:rsid w:val="00142714"/>
    <w:rsid w:val="00143184"/>
    <w:rsid w:val="00144D09"/>
    <w:rsid w:val="00144E06"/>
    <w:rsid w:val="001452ED"/>
    <w:rsid w:val="00145863"/>
    <w:rsid w:val="001467E8"/>
    <w:rsid w:val="00147D84"/>
    <w:rsid w:val="00151CBD"/>
    <w:rsid w:val="001533C3"/>
    <w:rsid w:val="001549C1"/>
    <w:rsid w:val="00156C8D"/>
    <w:rsid w:val="00160826"/>
    <w:rsid w:val="00160F4D"/>
    <w:rsid w:val="00162119"/>
    <w:rsid w:val="00162495"/>
    <w:rsid w:val="00162BDD"/>
    <w:rsid w:val="00162D4E"/>
    <w:rsid w:val="00163329"/>
    <w:rsid w:val="001644AB"/>
    <w:rsid w:val="00164623"/>
    <w:rsid w:val="001652DE"/>
    <w:rsid w:val="001653EC"/>
    <w:rsid w:val="00165B64"/>
    <w:rsid w:val="00167C39"/>
    <w:rsid w:val="00170703"/>
    <w:rsid w:val="00173FDF"/>
    <w:rsid w:val="00176AAA"/>
    <w:rsid w:val="00176B9D"/>
    <w:rsid w:val="00180713"/>
    <w:rsid w:val="00180720"/>
    <w:rsid w:val="00182ABB"/>
    <w:rsid w:val="001830CE"/>
    <w:rsid w:val="001836E3"/>
    <w:rsid w:val="00184659"/>
    <w:rsid w:val="001860E5"/>
    <w:rsid w:val="0018643B"/>
    <w:rsid w:val="00187390"/>
    <w:rsid w:val="00196307"/>
    <w:rsid w:val="00197C70"/>
    <w:rsid w:val="00197F03"/>
    <w:rsid w:val="001A0D10"/>
    <w:rsid w:val="001A20BD"/>
    <w:rsid w:val="001A33EA"/>
    <w:rsid w:val="001A3615"/>
    <w:rsid w:val="001A4413"/>
    <w:rsid w:val="001A4C4F"/>
    <w:rsid w:val="001A5A2B"/>
    <w:rsid w:val="001A6BA2"/>
    <w:rsid w:val="001A6C59"/>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C4BA4"/>
    <w:rsid w:val="001D1F5F"/>
    <w:rsid w:val="001D2606"/>
    <w:rsid w:val="001D5562"/>
    <w:rsid w:val="001E06D2"/>
    <w:rsid w:val="001E07E8"/>
    <w:rsid w:val="001E17C4"/>
    <w:rsid w:val="001E2D65"/>
    <w:rsid w:val="001F005B"/>
    <w:rsid w:val="001F1850"/>
    <w:rsid w:val="001F1FBF"/>
    <w:rsid w:val="001F2311"/>
    <w:rsid w:val="001F2B80"/>
    <w:rsid w:val="001F2F1C"/>
    <w:rsid w:val="001F3189"/>
    <w:rsid w:val="001F7B6A"/>
    <w:rsid w:val="00200BEA"/>
    <w:rsid w:val="00201FB8"/>
    <w:rsid w:val="00202BA3"/>
    <w:rsid w:val="00203FAC"/>
    <w:rsid w:val="00204E84"/>
    <w:rsid w:val="002133FB"/>
    <w:rsid w:val="00213CFB"/>
    <w:rsid w:val="0021553C"/>
    <w:rsid w:val="0021557B"/>
    <w:rsid w:val="00216B87"/>
    <w:rsid w:val="002174FD"/>
    <w:rsid w:val="00217BE1"/>
    <w:rsid w:val="00221361"/>
    <w:rsid w:val="002214B9"/>
    <w:rsid w:val="00222680"/>
    <w:rsid w:val="00223370"/>
    <w:rsid w:val="00224D1E"/>
    <w:rsid w:val="00225AE2"/>
    <w:rsid w:val="00226611"/>
    <w:rsid w:val="00227BC5"/>
    <w:rsid w:val="00230F63"/>
    <w:rsid w:val="0023157F"/>
    <w:rsid w:val="0023249E"/>
    <w:rsid w:val="00234252"/>
    <w:rsid w:val="0023466E"/>
    <w:rsid w:val="00237AC6"/>
    <w:rsid w:val="00241C28"/>
    <w:rsid w:val="00242B64"/>
    <w:rsid w:val="00242BFD"/>
    <w:rsid w:val="00244139"/>
    <w:rsid w:val="00244490"/>
    <w:rsid w:val="00244BEC"/>
    <w:rsid w:val="00244CD4"/>
    <w:rsid w:val="00245B9C"/>
    <w:rsid w:val="002522CA"/>
    <w:rsid w:val="00252587"/>
    <w:rsid w:val="00253499"/>
    <w:rsid w:val="00254BD7"/>
    <w:rsid w:val="002551A4"/>
    <w:rsid w:val="00257664"/>
    <w:rsid w:val="00260165"/>
    <w:rsid w:val="00265151"/>
    <w:rsid w:val="00265C2C"/>
    <w:rsid w:val="00266509"/>
    <w:rsid w:val="00271BA1"/>
    <w:rsid w:val="00272BEA"/>
    <w:rsid w:val="00273AC5"/>
    <w:rsid w:val="002747B4"/>
    <w:rsid w:val="002762FA"/>
    <w:rsid w:val="00276BE3"/>
    <w:rsid w:val="00277505"/>
    <w:rsid w:val="00277873"/>
    <w:rsid w:val="00277B49"/>
    <w:rsid w:val="0028158C"/>
    <w:rsid w:val="00281E73"/>
    <w:rsid w:val="002823B6"/>
    <w:rsid w:val="00290C03"/>
    <w:rsid w:val="00292392"/>
    <w:rsid w:val="00292E3B"/>
    <w:rsid w:val="002933A8"/>
    <w:rsid w:val="00294274"/>
    <w:rsid w:val="0029458F"/>
    <w:rsid w:val="00295FAB"/>
    <w:rsid w:val="00297A63"/>
    <w:rsid w:val="002A018F"/>
    <w:rsid w:val="002A0CE6"/>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2BE"/>
    <w:rsid w:val="002B5596"/>
    <w:rsid w:val="002B77D7"/>
    <w:rsid w:val="002C0763"/>
    <w:rsid w:val="002C0E2D"/>
    <w:rsid w:val="002C212F"/>
    <w:rsid w:val="002C2F35"/>
    <w:rsid w:val="002C2F9A"/>
    <w:rsid w:val="002C6AA9"/>
    <w:rsid w:val="002C7485"/>
    <w:rsid w:val="002D2641"/>
    <w:rsid w:val="002D283A"/>
    <w:rsid w:val="002D33D6"/>
    <w:rsid w:val="002D4543"/>
    <w:rsid w:val="002D715F"/>
    <w:rsid w:val="002E022A"/>
    <w:rsid w:val="002E161B"/>
    <w:rsid w:val="002E3153"/>
    <w:rsid w:val="002E3838"/>
    <w:rsid w:val="002E4A02"/>
    <w:rsid w:val="002E5292"/>
    <w:rsid w:val="002E5E26"/>
    <w:rsid w:val="002E72CA"/>
    <w:rsid w:val="002E75DD"/>
    <w:rsid w:val="002F1D07"/>
    <w:rsid w:val="002F5C5B"/>
    <w:rsid w:val="002F600D"/>
    <w:rsid w:val="002F6F0F"/>
    <w:rsid w:val="002F7E47"/>
    <w:rsid w:val="00300AD6"/>
    <w:rsid w:val="00300B1B"/>
    <w:rsid w:val="003019D0"/>
    <w:rsid w:val="003019DE"/>
    <w:rsid w:val="0030250E"/>
    <w:rsid w:val="0030311E"/>
    <w:rsid w:val="00304109"/>
    <w:rsid w:val="003064AF"/>
    <w:rsid w:val="00307DC6"/>
    <w:rsid w:val="00310A8B"/>
    <w:rsid w:val="00310B68"/>
    <w:rsid w:val="003129BA"/>
    <w:rsid w:val="00313EF1"/>
    <w:rsid w:val="003160D2"/>
    <w:rsid w:val="0031647E"/>
    <w:rsid w:val="003165E3"/>
    <w:rsid w:val="003173FC"/>
    <w:rsid w:val="00317C6C"/>
    <w:rsid w:val="003200C1"/>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25CA"/>
    <w:rsid w:val="00343FB7"/>
    <w:rsid w:val="003476EE"/>
    <w:rsid w:val="00347BE9"/>
    <w:rsid w:val="00352DF5"/>
    <w:rsid w:val="003541DD"/>
    <w:rsid w:val="00356E5B"/>
    <w:rsid w:val="00360887"/>
    <w:rsid w:val="0036127F"/>
    <w:rsid w:val="00362184"/>
    <w:rsid w:val="0036249F"/>
    <w:rsid w:val="0036302E"/>
    <w:rsid w:val="0036785F"/>
    <w:rsid w:val="00371246"/>
    <w:rsid w:val="003736C9"/>
    <w:rsid w:val="00374D36"/>
    <w:rsid w:val="003820FF"/>
    <w:rsid w:val="00383B77"/>
    <w:rsid w:val="00384988"/>
    <w:rsid w:val="003872CF"/>
    <w:rsid w:val="0038742D"/>
    <w:rsid w:val="003874CB"/>
    <w:rsid w:val="0039031D"/>
    <w:rsid w:val="00392DD5"/>
    <w:rsid w:val="00394428"/>
    <w:rsid w:val="00396E08"/>
    <w:rsid w:val="003970DD"/>
    <w:rsid w:val="0039782C"/>
    <w:rsid w:val="003A13A6"/>
    <w:rsid w:val="003A2165"/>
    <w:rsid w:val="003A3AF3"/>
    <w:rsid w:val="003A3FD4"/>
    <w:rsid w:val="003A5B4A"/>
    <w:rsid w:val="003A5D95"/>
    <w:rsid w:val="003A6510"/>
    <w:rsid w:val="003A72B7"/>
    <w:rsid w:val="003A74E2"/>
    <w:rsid w:val="003B0D3A"/>
    <w:rsid w:val="003B18D2"/>
    <w:rsid w:val="003B2302"/>
    <w:rsid w:val="003B23C5"/>
    <w:rsid w:val="003B2A75"/>
    <w:rsid w:val="003B49B2"/>
    <w:rsid w:val="003B6124"/>
    <w:rsid w:val="003B7960"/>
    <w:rsid w:val="003B7BB2"/>
    <w:rsid w:val="003C0908"/>
    <w:rsid w:val="003C093A"/>
    <w:rsid w:val="003C1ECF"/>
    <w:rsid w:val="003C20B3"/>
    <w:rsid w:val="003C2FB5"/>
    <w:rsid w:val="003D18DE"/>
    <w:rsid w:val="003D24C5"/>
    <w:rsid w:val="003D4594"/>
    <w:rsid w:val="003D4AC4"/>
    <w:rsid w:val="003D50A6"/>
    <w:rsid w:val="003D5433"/>
    <w:rsid w:val="003D5CC0"/>
    <w:rsid w:val="003D63B7"/>
    <w:rsid w:val="003D74C5"/>
    <w:rsid w:val="003E3BC1"/>
    <w:rsid w:val="003E4374"/>
    <w:rsid w:val="003E468B"/>
    <w:rsid w:val="003E5CBE"/>
    <w:rsid w:val="003E62BD"/>
    <w:rsid w:val="003E658D"/>
    <w:rsid w:val="003F044F"/>
    <w:rsid w:val="003F0C3A"/>
    <w:rsid w:val="003F15F0"/>
    <w:rsid w:val="003F2AD9"/>
    <w:rsid w:val="003F3228"/>
    <w:rsid w:val="003F5C8C"/>
    <w:rsid w:val="003F63CE"/>
    <w:rsid w:val="003F6EA9"/>
    <w:rsid w:val="003F775A"/>
    <w:rsid w:val="00400E55"/>
    <w:rsid w:val="0040128E"/>
    <w:rsid w:val="00401640"/>
    <w:rsid w:val="0040216B"/>
    <w:rsid w:val="004046B1"/>
    <w:rsid w:val="00404852"/>
    <w:rsid w:val="0040590E"/>
    <w:rsid w:val="00407CC8"/>
    <w:rsid w:val="00410581"/>
    <w:rsid w:val="00411746"/>
    <w:rsid w:val="004126BF"/>
    <w:rsid w:val="00412F72"/>
    <w:rsid w:val="00414F0C"/>
    <w:rsid w:val="00415225"/>
    <w:rsid w:val="004177C6"/>
    <w:rsid w:val="00420400"/>
    <w:rsid w:val="00423E78"/>
    <w:rsid w:val="004252EC"/>
    <w:rsid w:val="00430D39"/>
    <w:rsid w:val="00435A67"/>
    <w:rsid w:val="00441562"/>
    <w:rsid w:val="00441AE2"/>
    <w:rsid w:val="00442C91"/>
    <w:rsid w:val="00444E9D"/>
    <w:rsid w:val="004465BD"/>
    <w:rsid w:val="00446938"/>
    <w:rsid w:val="00450F3E"/>
    <w:rsid w:val="004528FA"/>
    <w:rsid w:val="00452A6C"/>
    <w:rsid w:val="00452C8F"/>
    <w:rsid w:val="0045548D"/>
    <w:rsid w:val="00461A44"/>
    <w:rsid w:val="00462D26"/>
    <w:rsid w:val="00462DF7"/>
    <w:rsid w:val="0046368B"/>
    <w:rsid w:val="0046385A"/>
    <w:rsid w:val="00464039"/>
    <w:rsid w:val="00466ADA"/>
    <w:rsid w:val="004702BB"/>
    <w:rsid w:val="0047494B"/>
    <w:rsid w:val="00476245"/>
    <w:rsid w:val="0047673A"/>
    <w:rsid w:val="00477A9B"/>
    <w:rsid w:val="00482AE4"/>
    <w:rsid w:val="00483035"/>
    <w:rsid w:val="0048397D"/>
    <w:rsid w:val="00484D53"/>
    <w:rsid w:val="00485940"/>
    <w:rsid w:val="00486C95"/>
    <w:rsid w:val="004877C2"/>
    <w:rsid w:val="004904B9"/>
    <w:rsid w:val="00491EDC"/>
    <w:rsid w:val="004928E1"/>
    <w:rsid w:val="004929B7"/>
    <w:rsid w:val="00492D8D"/>
    <w:rsid w:val="00496662"/>
    <w:rsid w:val="004A1431"/>
    <w:rsid w:val="004A2039"/>
    <w:rsid w:val="004A2484"/>
    <w:rsid w:val="004A3FC0"/>
    <w:rsid w:val="004A51CC"/>
    <w:rsid w:val="004A5A85"/>
    <w:rsid w:val="004A71D1"/>
    <w:rsid w:val="004A7C5B"/>
    <w:rsid w:val="004B0A68"/>
    <w:rsid w:val="004B1845"/>
    <w:rsid w:val="004B2348"/>
    <w:rsid w:val="004B252C"/>
    <w:rsid w:val="004B2E01"/>
    <w:rsid w:val="004B2E98"/>
    <w:rsid w:val="004B5381"/>
    <w:rsid w:val="004B5640"/>
    <w:rsid w:val="004B6084"/>
    <w:rsid w:val="004BCF29"/>
    <w:rsid w:val="004C0086"/>
    <w:rsid w:val="004C0206"/>
    <w:rsid w:val="004C03D0"/>
    <w:rsid w:val="004C1BD7"/>
    <w:rsid w:val="004C1BF2"/>
    <w:rsid w:val="004C239C"/>
    <w:rsid w:val="004C31FE"/>
    <w:rsid w:val="004C524C"/>
    <w:rsid w:val="004C5EDD"/>
    <w:rsid w:val="004C5FFA"/>
    <w:rsid w:val="004C691D"/>
    <w:rsid w:val="004C6C07"/>
    <w:rsid w:val="004C797A"/>
    <w:rsid w:val="004C7E15"/>
    <w:rsid w:val="004C7EC6"/>
    <w:rsid w:val="004D068F"/>
    <w:rsid w:val="004D2CD1"/>
    <w:rsid w:val="004D365C"/>
    <w:rsid w:val="004D4FF6"/>
    <w:rsid w:val="004D5ADD"/>
    <w:rsid w:val="004E0CC3"/>
    <w:rsid w:val="004E67E6"/>
    <w:rsid w:val="004E692D"/>
    <w:rsid w:val="004E7230"/>
    <w:rsid w:val="004E7D87"/>
    <w:rsid w:val="004F2553"/>
    <w:rsid w:val="004F306A"/>
    <w:rsid w:val="004F32CF"/>
    <w:rsid w:val="004F7655"/>
    <w:rsid w:val="004F7B84"/>
    <w:rsid w:val="00501554"/>
    <w:rsid w:val="00502AFE"/>
    <w:rsid w:val="00502E64"/>
    <w:rsid w:val="00503AD7"/>
    <w:rsid w:val="00503D40"/>
    <w:rsid w:val="00503E89"/>
    <w:rsid w:val="005043E0"/>
    <w:rsid w:val="00504E0C"/>
    <w:rsid w:val="00504E13"/>
    <w:rsid w:val="00505AC9"/>
    <w:rsid w:val="00506C55"/>
    <w:rsid w:val="005101FE"/>
    <w:rsid w:val="005109D4"/>
    <w:rsid w:val="0051230A"/>
    <w:rsid w:val="0051283E"/>
    <w:rsid w:val="00512B4E"/>
    <w:rsid w:val="00514CD7"/>
    <w:rsid w:val="005167EC"/>
    <w:rsid w:val="005170DA"/>
    <w:rsid w:val="00520D6A"/>
    <w:rsid w:val="00521E1E"/>
    <w:rsid w:val="00522DB6"/>
    <w:rsid w:val="005264A7"/>
    <w:rsid w:val="0052765B"/>
    <w:rsid w:val="0052792D"/>
    <w:rsid w:val="005319B2"/>
    <w:rsid w:val="00532402"/>
    <w:rsid w:val="00532C74"/>
    <w:rsid w:val="00533239"/>
    <w:rsid w:val="00534E2E"/>
    <w:rsid w:val="00535133"/>
    <w:rsid w:val="005364F3"/>
    <w:rsid w:val="0054064C"/>
    <w:rsid w:val="005406A5"/>
    <w:rsid w:val="005420F1"/>
    <w:rsid w:val="00542916"/>
    <w:rsid w:val="00544552"/>
    <w:rsid w:val="00544F10"/>
    <w:rsid w:val="00545130"/>
    <w:rsid w:val="00545136"/>
    <w:rsid w:val="00546B36"/>
    <w:rsid w:val="005522B1"/>
    <w:rsid w:val="00552642"/>
    <w:rsid w:val="0055286A"/>
    <w:rsid w:val="00555745"/>
    <w:rsid w:val="00557305"/>
    <w:rsid w:val="00557D4F"/>
    <w:rsid w:val="0056122E"/>
    <w:rsid w:val="0056484E"/>
    <w:rsid w:val="00565999"/>
    <w:rsid w:val="00567D8A"/>
    <w:rsid w:val="00570231"/>
    <w:rsid w:val="00571174"/>
    <w:rsid w:val="005714B7"/>
    <w:rsid w:val="005743E0"/>
    <w:rsid w:val="005764CD"/>
    <w:rsid w:val="00577C4D"/>
    <w:rsid w:val="00580532"/>
    <w:rsid w:val="00580B31"/>
    <w:rsid w:val="00581932"/>
    <w:rsid w:val="00583002"/>
    <w:rsid w:val="005903BB"/>
    <w:rsid w:val="00592B2C"/>
    <w:rsid w:val="00592CD8"/>
    <w:rsid w:val="00593893"/>
    <w:rsid w:val="005963BB"/>
    <w:rsid w:val="0059645C"/>
    <w:rsid w:val="00596D37"/>
    <w:rsid w:val="005A15D2"/>
    <w:rsid w:val="005A18D8"/>
    <w:rsid w:val="005A3173"/>
    <w:rsid w:val="005A3223"/>
    <w:rsid w:val="005A3DA3"/>
    <w:rsid w:val="005A52C4"/>
    <w:rsid w:val="005A63A1"/>
    <w:rsid w:val="005B0486"/>
    <w:rsid w:val="005B1032"/>
    <w:rsid w:val="005B1473"/>
    <w:rsid w:val="005B36FA"/>
    <w:rsid w:val="005B77BC"/>
    <w:rsid w:val="005C11F6"/>
    <w:rsid w:val="005C4F73"/>
    <w:rsid w:val="005D03AB"/>
    <w:rsid w:val="005D401D"/>
    <w:rsid w:val="005D5017"/>
    <w:rsid w:val="005D5708"/>
    <w:rsid w:val="005D63FA"/>
    <w:rsid w:val="005D643D"/>
    <w:rsid w:val="005D6AC9"/>
    <w:rsid w:val="005D73C7"/>
    <w:rsid w:val="005E0C2D"/>
    <w:rsid w:val="005E0D82"/>
    <w:rsid w:val="005E0F59"/>
    <w:rsid w:val="005E1333"/>
    <w:rsid w:val="005E1A76"/>
    <w:rsid w:val="005E3136"/>
    <w:rsid w:val="005E507D"/>
    <w:rsid w:val="005E5BB6"/>
    <w:rsid w:val="005F0AD0"/>
    <w:rsid w:val="005F2A24"/>
    <w:rsid w:val="005F6C79"/>
    <w:rsid w:val="006008F2"/>
    <w:rsid w:val="00601A91"/>
    <w:rsid w:val="00602BA3"/>
    <w:rsid w:val="00605B63"/>
    <w:rsid w:val="00605F9A"/>
    <w:rsid w:val="00606442"/>
    <w:rsid w:val="00606EED"/>
    <w:rsid w:val="00607DDB"/>
    <w:rsid w:val="00612A95"/>
    <w:rsid w:val="00612E34"/>
    <w:rsid w:val="00614159"/>
    <w:rsid w:val="006158A3"/>
    <w:rsid w:val="00616C5F"/>
    <w:rsid w:val="00616DAC"/>
    <w:rsid w:val="00617725"/>
    <w:rsid w:val="00617C00"/>
    <w:rsid w:val="00622E48"/>
    <w:rsid w:val="0062406F"/>
    <w:rsid w:val="006263BF"/>
    <w:rsid w:val="0062748A"/>
    <w:rsid w:val="00630035"/>
    <w:rsid w:val="00630546"/>
    <w:rsid w:val="00630A2C"/>
    <w:rsid w:val="00634A75"/>
    <w:rsid w:val="006354A3"/>
    <w:rsid w:val="0063682E"/>
    <w:rsid w:val="00636B2C"/>
    <w:rsid w:val="006376D0"/>
    <w:rsid w:val="00640088"/>
    <w:rsid w:val="00642672"/>
    <w:rsid w:val="00642CA2"/>
    <w:rsid w:val="00642DA8"/>
    <w:rsid w:val="006436CD"/>
    <w:rsid w:val="00644EC0"/>
    <w:rsid w:val="00645B71"/>
    <w:rsid w:val="00650976"/>
    <w:rsid w:val="00651169"/>
    <w:rsid w:val="00653D69"/>
    <w:rsid w:val="006552E6"/>
    <w:rsid w:val="00655794"/>
    <w:rsid w:val="00656F2F"/>
    <w:rsid w:val="006573A6"/>
    <w:rsid w:val="00657C63"/>
    <w:rsid w:val="00660E54"/>
    <w:rsid w:val="00661CBC"/>
    <w:rsid w:val="00662B85"/>
    <w:rsid w:val="006670B3"/>
    <w:rsid w:val="006670BE"/>
    <w:rsid w:val="00670A76"/>
    <w:rsid w:val="00670BF8"/>
    <w:rsid w:val="006711AA"/>
    <w:rsid w:val="00672592"/>
    <w:rsid w:val="00672B57"/>
    <w:rsid w:val="00673F1F"/>
    <w:rsid w:val="00675622"/>
    <w:rsid w:val="00675DEB"/>
    <w:rsid w:val="0067747D"/>
    <w:rsid w:val="006818D5"/>
    <w:rsid w:val="00681CA4"/>
    <w:rsid w:val="00686559"/>
    <w:rsid w:val="0069039D"/>
    <w:rsid w:val="006906DB"/>
    <w:rsid w:val="00691900"/>
    <w:rsid w:val="00691E6C"/>
    <w:rsid w:val="006929C3"/>
    <w:rsid w:val="00693425"/>
    <w:rsid w:val="0069342D"/>
    <w:rsid w:val="00693DFB"/>
    <w:rsid w:val="00694FD5"/>
    <w:rsid w:val="0069501D"/>
    <w:rsid w:val="00696129"/>
    <w:rsid w:val="0069723A"/>
    <w:rsid w:val="00697CF2"/>
    <w:rsid w:val="006A12A5"/>
    <w:rsid w:val="006A1E72"/>
    <w:rsid w:val="006A2515"/>
    <w:rsid w:val="006A4A76"/>
    <w:rsid w:val="006A572D"/>
    <w:rsid w:val="006A5E20"/>
    <w:rsid w:val="006B0D94"/>
    <w:rsid w:val="006B16B6"/>
    <w:rsid w:val="006B37E9"/>
    <w:rsid w:val="006B485D"/>
    <w:rsid w:val="006B50FA"/>
    <w:rsid w:val="006B7DDA"/>
    <w:rsid w:val="006C0C29"/>
    <w:rsid w:val="006C0C45"/>
    <w:rsid w:val="006C132B"/>
    <w:rsid w:val="006C2806"/>
    <w:rsid w:val="006C334C"/>
    <w:rsid w:val="006C6BC1"/>
    <w:rsid w:val="006C6C10"/>
    <w:rsid w:val="006C708E"/>
    <w:rsid w:val="006D14E7"/>
    <w:rsid w:val="006D4444"/>
    <w:rsid w:val="006D61B3"/>
    <w:rsid w:val="006D6493"/>
    <w:rsid w:val="006D6C12"/>
    <w:rsid w:val="006D6EC7"/>
    <w:rsid w:val="006D7B05"/>
    <w:rsid w:val="006D7E45"/>
    <w:rsid w:val="006E1143"/>
    <w:rsid w:val="006E1BCD"/>
    <w:rsid w:val="006E2732"/>
    <w:rsid w:val="006E59CD"/>
    <w:rsid w:val="006F00ED"/>
    <w:rsid w:val="006F026F"/>
    <w:rsid w:val="006F0A71"/>
    <w:rsid w:val="006F1C6B"/>
    <w:rsid w:val="006F40C2"/>
    <w:rsid w:val="006F44CD"/>
    <w:rsid w:val="006F5125"/>
    <w:rsid w:val="006F733D"/>
    <w:rsid w:val="006F73CB"/>
    <w:rsid w:val="006F7C39"/>
    <w:rsid w:val="00700765"/>
    <w:rsid w:val="00702959"/>
    <w:rsid w:val="00702B6F"/>
    <w:rsid w:val="007030B4"/>
    <w:rsid w:val="007035B4"/>
    <w:rsid w:val="00703B86"/>
    <w:rsid w:val="00704069"/>
    <w:rsid w:val="00706A2F"/>
    <w:rsid w:val="0070718E"/>
    <w:rsid w:val="00707E52"/>
    <w:rsid w:val="00710259"/>
    <w:rsid w:val="0071031F"/>
    <w:rsid w:val="00710737"/>
    <w:rsid w:val="007107E9"/>
    <w:rsid w:val="0071340B"/>
    <w:rsid w:val="00713C50"/>
    <w:rsid w:val="0071436D"/>
    <w:rsid w:val="00714D16"/>
    <w:rsid w:val="00715BBB"/>
    <w:rsid w:val="007174BB"/>
    <w:rsid w:val="00717B78"/>
    <w:rsid w:val="0072025D"/>
    <w:rsid w:val="00720A65"/>
    <w:rsid w:val="00723328"/>
    <w:rsid w:val="007237DE"/>
    <w:rsid w:val="0072502E"/>
    <w:rsid w:val="00727171"/>
    <w:rsid w:val="0073137C"/>
    <w:rsid w:val="007340B9"/>
    <w:rsid w:val="007353D3"/>
    <w:rsid w:val="0074156B"/>
    <w:rsid w:val="00741619"/>
    <w:rsid w:val="00742885"/>
    <w:rsid w:val="00745B92"/>
    <w:rsid w:val="00747092"/>
    <w:rsid w:val="007473C7"/>
    <w:rsid w:val="007477FF"/>
    <w:rsid w:val="007526E6"/>
    <w:rsid w:val="007546A4"/>
    <w:rsid w:val="00754DF9"/>
    <w:rsid w:val="007555E8"/>
    <w:rsid w:val="00755CC5"/>
    <w:rsid w:val="00756AFB"/>
    <w:rsid w:val="00761904"/>
    <w:rsid w:val="0076252D"/>
    <w:rsid w:val="00762862"/>
    <w:rsid w:val="007633CE"/>
    <w:rsid w:val="0076420C"/>
    <w:rsid w:val="00770259"/>
    <w:rsid w:val="00771D07"/>
    <w:rsid w:val="00772649"/>
    <w:rsid w:val="00773BE3"/>
    <w:rsid w:val="00773F9E"/>
    <w:rsid w:val="007743DD"/>
    <w:rsid w:val="00774E2C"/>
    <w:rsid w:val="0077503C"/>
    <w:rsid w:val="0077518D"/>
    <w:rsid w:val="007753C2"/>
    <w:rsid w:val="00776068"/>
    <w:rsid w:val="00776E5B"/>
    <w:rsid w:val="007838B8"/>
    <w:rsid w:val="00785779"/>
    <w:rsid w:val="00787FD8"/>
    <w:rsid w:val="007915BA"/>
    <w:rsid w:val="00791844"/>
    <w:rsid w:val="0079346F"/>
    <w:rsid w:val="007938B6"/>
    <w:rsid w:val="00793CE9"/>
    <w:rsid w:val="00795D27"/>
    <w:rsid w:val="00796667"/>
    <w:rsid w:val="00796A9A"/>
    <w:rsid w:val="00797068"/>
    <w:rsid w:val="007979BD"/>
    <w:rsid w:val="007A3D8E"/>
    <w:rsid w:val="007A5C88"/>
    <w:rsid w:val="007A6A2F"/>
    <w:rsid w:val="007B024E"/>
    <w:rsid w:val="007B0631"/>
    <w:rsid w:val="007B1B5D"/>
    <w:rsid w:val="007B249F"/>
    <w:rsid w:val="007B3BAF"/>
    <w:rsid w:val="007B3DDC"/>
    <w:rsid w:val="007B72A6"/>
    <w:rsid w:val="007C06D2"/>
    <w:rsid w:val="007C08E0"/>
    <w:rsid w:val="007C0F57"/>
    <w:rsid w:val="007C2F4B"/>
    <w:rsid w:val="007C40B6"/>
    <w:rsid w:val="007C469F"/>
    <w:rsid w:val="007C5975"/>
    <w:rsid w:val="007C703B"/>
    <w:rsid w:val="007C729F"/>
    <w:rsid w:val="007C72AD"/>
    <w:rsid w:val="007D0B7D"/>
    <w:rsid w:val="007D22B7"/>
    <w:rsid w:val="007D4EB1"/>
    <w:rsid w:val="007D503D"/>
    <w:rsid w:val="007D59E7"/>
    <w:rsid w:val="007D5F2A"/>
    <w:rsid w:val="007E07AC"/>
    <w:rsid w:val="007E1014"/>
    <w:rsid w:val="007E12F8"/>
    <w:rsid w:val="007E1D28"/>
    <w:rsid w:val="007E2B1E"/>
    <w:rsid w:val="007E4564"/>
    <w:rsid w:val="007E490F"/>
    <w:rsid w:val="007E6533"/>
    <w:rsid w:val="007F0021"/>
    <w:rsid w:val="007F2641"/>
    <w:rsid w:val="007F7C36"/>
    <w:rsid w:val="007F7F45"/>
    <w:rsid w:val="0080001F"/>
    <w:rsid w:val="008004B6"/>
    <w:rsid w:val="00800F2C"/>
    <w:rsid w:val="00801958"/>
    <w:rsid w:val="008055AF"/>
    <w:rsid w:val="00805704"/>
    <w:rsid w:val="008057CD"/>
    <w:rsid w:val="008066B8"/>
    <w:rsid w:val="00806796"/>
    <w:rsid w:val="00810167"/>
    <w:rsid w:val="008104D0"/>
    <w:rsid w:val="00811CC0"/>
    <w:rsid w:val="00814276"/>
    <w:rsid w:val="008151D6"/>
    <w:rsid w:val="00820803"/>
    <w:rsid w:val="00821527"/>
    <w:rsid w:val="0082161F"/>
    <w:rsid w:val="008225CE"/>
    <w:rsid w:val="00822696"/>
    <w:rsid w:val="00825A6C"/>
    <w:rsid w:val="0082617E"/>
    <w:rsid w:val="008268BB"/>
    <w:rsid w:val="00826F6D"/>
    <w:rsid w:val="008306F3"/>
    <w:rsid w:val="00830E40"/>
    <w:rsid w:val="00832D9A"/>
    <w:rsid w:val="00833EBC"/>
    <w:rsid w:val="00835C62"/>
    <w:rsid w:val="008368A1"/>
    <w:rsid w:val="00840EF7"/>
    <w:rsid w:val="008416B2"/>
    <w:rsid w:val="00844C0A"/>
    <w:rsid w:val="00845A9B"/>
    <w:rsid w:val="00846056"/>
    <w:rsid w:val="0084681F"/>
    <w:rsid w:val="00846DE8"/>
    <w:rsid w:val="00847D08"/>
    <w:rsid w:val="00847EC0"/>
    <w:rsid w:val="00854506"/>
    <w:rsid w:val="00855FD6"/>
    <w:rsid w:val="00856DDD"/>
    <w:rsid w:val="00860233"/>
    <w:rsid w:val="00863E68"/>
    <w:rsid w:val="008647B5"/>
    <w:rsid w:val="0086701D"/>
    <w:rsid w:val="00867D64"/>
    <w:rsid w:val="00872B90"/>
    <w:rsid w:val="00872E8F"/>
    <w:rsid w:val="00875DCB"/>
    <w:rsid w:val="00876FBF"/>
    <w:rsid w:val="0087755A"/>
    <w:rsid w:val="0088160C"/>
    <w:rsid w:val="00882085"/>
    <w:rsid w:val="0088278C"/>
    <w:rsid w:val="00883188"/>
    <w:rsid w:val="00884A0C"/>
    <w:rsid w:val="00884AC0"/>
    <w:rsid w:val="008862D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A7C19"/>
    <w:rsid w:val="008B007A"/>
    <w:rsid w:val="008B2EC0"/>
    <w:rsid w:val="008B6DCF"/>
    <w:rsid w:val="008B7F98"/>
    <w:rsid w:val="008C27BD"/>
    <w:rsid w:val="008C4D49"/>
    <w:rsid w:val="008D0945"/>
    <w:rsid w:val="008D1409"/>
    <w:rsid w:val="008D15CC"/>
    <w:rsid w:val="008D1729"/>
    <w:rsid w:val="008D1B5C"/>
    <w:rsid w:val="008D1D86"/>
    <w:rsid w:val="008D3C82"/>
    <w:rsid w:val="008D447E"/>
    <w:rsid w:val="008D6ACF"/>
    <w:rsid w:val="008D7A41"/>
    <w:rsid w:val="008D7BAC"/>
    <w:rsid w:val="008E2C72"/>
    <w:rsid w:val="008E3680"/>
    <w:rsid w:val="008E4F87"/>
    <w:rsid w:val="008E5870"/>
    <w:rsid w:val="008E655B"/>
    <w:rsid w:val="008E77E4"/>
    <w:rsid w:val="008F0213"/>
    <w:rsid w:val="008F07ED"/>
    <w:rsid w:val="008F11F8"/>
    <w:rsid w:val="008F1434"/>
    <w:rsid w:val="008F14EA"/>
    <w:rsid w:val="008F2BB9"/>
    <w:rsid w:val="008F3D6A"/>
    <w:rsid w:val="008F54C3"/>
    <w:rsid w:val="008F5D87"/>
    <w:rsid w:val="008F7355"/>
    <w:rsid w:val="00900A90"/>
    <w:rsid w:val="009023DC"/>
    <w:rsid w:val="009027C5"/>
    <w:rsid w:val="00904413"/>
    <w:rsid w:val="009067B7"/>
    <w:rsid w:val="00906E7A"/>
    <w:rsid w:val="00906E7F"/>
    <w:rsid w:val="0090775A"/>
    <w:rsid w:val="00907DFD"/>
    <w:rsid w:val="00910145"/>
    <w:rsid w:val="00913C99"/>
    <w:rsid w:val="00917D69"/>
    <w:rsid w:val="00920B6D"/>
    <w:rsid w:val="00924C05"/>
    <w:rsid w:val="00926560"/>
    <w:rsid w:val="00926B15"/>
    <w:rsid w:val="00927FA1"/>
    <w:rsid w:val="00930291"/>
    <w:rsid w:val="00930937"/>
    <w:rsid w:val="009324A6"/>
    <w:rsid w:val="0093390C"/>
    <w:rsid w:val="00933B7D"/>
    <w:rsid w:val="00933C13"/>
    <w:rsid w:val="00933E6C"/>
    <w:rsid w:val="00935A6E"/>
    <w:rsid w:val="00937958"/>
    <w:rsid w:val="009406E5"/>
    <w:rsid w:val="00941602"/>
    <w:rsid w:val="00942160"/>
    <w:rsid w:val="00946921"/>
    <w:rsid w:val="00946C02"/>
    <w:rsid w:val="00947343"/>
    <w:rsid w:val="0095146F"/>
    <w:rsid w:val="00951F2D"/>
    <w:rsid w:val="00952839"/>
    <w:rsid w:val="009534C7"/>
    <w:rsid w:val="009573D4"/>
    <w:rsid w:val="00957944"/>
    <w:rsid w:val="009602C5"/>
    <w:rsid w:val="00960FCD"/>
    <w:rsid w:val="0096103A"/>
    <w:rsid w:val="00961817"/>
    <w:rsid w:val="00962223"/>
    <w:rsid w:val="0096252B"/>
    <w:rsid w:val="0096350F"/>
    <w:rsid w:val="009644D9"/>
    <w:rsid w:val="00964A9F"/>
    <w:rsid w:val="00966D0D"/>
    <w:rsid w:val="00967732"/>
    <w:rsid w:val="0096783C"/>
    <w:rsid w:val="00970023"/>
    <w:rsid w:val="009708AA"/>
    <w:rsid w:val="00970B09"/>
    <w:rsid w:val="009722B3"/>
    <w:rsid w:val="00972C2A"/>
    <w:rsid w:val="00973E24"/>
    <w:rsid w:val="00974C21"/>
    <w:rsid w:val="00974D5F"/>
    <w:rsid w:val="00975948"/>
    <w:rsid w:val="009772FD"/>
    <w:rsid w:val="00977BF3"/>
    <w:rsid w:val="009803E4"/>
    <w:rsid w:val="00980B0E"/>
    <w:rsid w:val="00982B39"/>
    <w:rsid w:val="009836A3"/>
    <w:rsid w:val="00984C03"/>
    <w:rsid w:val="00984C58"/>
    <w:rsid w:val="009855A8"/>
    <w:rsid w:val="00985CBE"/>
    <w:rsid w:val="00985D1A"/>
    <w:rsid w:val="00987BCE"/>
    <w:rsid w:val="00990CF8"/>
    <w:rsid w:val="009913F4"/>
    <w:rsid w:val="00991782"/>
    <w:rsid w:val="00993320"/>
    <w:rsid w:val="009937F7"/>
    <w:rsid w:val="00994096"/>
    <w:rsid w:val="009942EB"/>
    <w:rsid w:val="0099465B"/>
    <w:rsid w:val="009951A1"/>
    <w:rsid w:val="00995414"/>
    <w:rsid w:val="00997A44"/>
    <w:rsid w:val="009A0CDD"/>
    <w:rsid w:val="009A1F19"/>
    <w:rsid w:val="009A3168"/>
    <w:rsid w:val="009A4621"/>
    <w:rsid w:val="009A4BDF"/>
    <w:rsid w:val="009A5B9A"/>
    <w:rsid w:val="009A5D04"/>
    <w:rsid w:val="009A61CA"/>
    <w:rsid w:val="009B0062"/>
    <w:rsid w:val="009B0C64"/>
    <w:rsid w:val="009B0F67"/>
    <w:rsid w:val="009B208A"/>
    <w:rsid w:val="009B2756"/>
    <w:rsid w:val="009B3D56"/>
    <w:rsid w:val="009B3F8C"/>
    <w:rsid w:val="009B533B"/>
    <w:rsid w:val="009B546B"/>
    <w:rsid w:val="009B5A52"/>
    <w:rsid w:val="009C078D"/>
    <w:rsid w:val="009C09C5"/>
    <w:rsid w:val="009C26AA"/>
    <w:rsid w:val="009C301A"/>
    <w:rsid w:val="009C703C"/>
    <w:rsid w:val="009D0C29"/>
    <w:rsid w:val="009D206E"/>
    <w:rsid w:val="009D2DEE"/>
    <w:rsid w:val="009D3CAA"/>
    <w:rsid w:val="009D507A"/>
    <w:rsid w:val="009D6532"/>
    <w:rsid w:val="009D71FD"/>
    <w:rsid w:val="009E06F0"/>
    <w:rsid w:val="009E0755"/>
    <w:rsid w:val="009E10AD"/>
    <w:rsid w:val="009E2588"/>
    <w:rsid w:val="009E2E8E"/>
    <w:rsid w:val="009E40E1"/>
    <w:rsid w:val="009F015B"/>
    <w:rsid w:val="009F0EFA"/>
    <w:rsid w:val="009F386C"/>
    <w:rsid w:val="009F3C68"/>
    <w:rsid w:val="009F4E46"/>
    <w:rsid w:val="009F5B65"/>
    <w:rsid w:val="009F5F2E"/>
    <w:rsid w:val="00A01432"/>
    <w:rsid w:val="00A02E01"/>
    <w:rsid w:val="00A0363D"/>
    <w:rsid w:val="00A06225"/>
    <w:rsid w:val="00A066E6"/>
    <w:rsid w:val="00A110D1"/>
    <w:rsid w:val="00A12587"/>
    <w:rsid w:val="00A128E6"/>
    <w:rsid w:val="00A1380B"/>
    <w:rsid w:val="00A144D3"/>
    <w:rsid w:val="00A17EA7"/>
    <w:rsid w:val="00A212A6"/>
    <w:rsid w:val="00A21BB3"/>
    <w:rsid w:val="00A21D7D"/>
    <w:rsid w:val="00A22AC3"/>
    <w:rsid w:val="00A2351E"/>
    <w:rsid w:val="00A23F3F"/>
    <w:rsid w:val="00A24067"/>
    <w:rsid w:val="00A24A4B"/>
    <w:rsid w:val="00A2744D"/>
    <w:rsid w:val="00A30D16"/>
    <w:rsid w:val="00A33EB7"/>
    <w:rsid w:val="00A34E6C"/>
    <w:rsid w:val="00A34FD0"/>
    <w:rsid w:val="00A35DB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5EC5"/>
    <w:rsid w:val="00A665C1"/>
    <w:rsid w:val="00A673A4"/>
    <w:rsid w:val="00A7001A"/>
    <w:rsid w:val="00A70622"/>
    <w:rsid w:val="00A70977"/>
    <w:rsid w:val="00A70D58"/>
    <w:rsid w:val="00A70EAD"/>
    <w:rsid w:val="00A744F9"/>
    <w:rsid w:val="00A753A1"/>
    <w:rsid w:val="00A77613"/>
    <w:rsid w:val="00A77B87"/>
    <w:rsid w:val="00A801AD"/>
    <w:rsid w:val="00A80400"/>
    <w:rsid w:val="00A81851"/>
    <w:rsid w:val="00A81CC3"/>
    <w:rsid w:val="00A8390C"/>
    <w:rsid w:val="00A84854"/>
    <w:rsid w:val="00A86564"/>
    <w:rsid w:val="00A86AE0"/>
    <w:rsid w:val="00A912B0"/>
    <w:rsid w:val="00A91362"/>
    <w:rsid w:val="00A9151C"/>
    <w:rsid w:val="00A919C6"/>
    <w:rsid w:val="00A923DD"/>
    <w:rsid w:val="00A928BD"/>
    <w:rsid w:val="00A92D61"/>
    <w:rsid w:val="00A96CEA"/>
    <w:rsid w:val="00A97DE9"/>
    <w:rsid w:val="00AA0CA4"/>
    <w:rsid w:val="00AA12CD"/>
    <w:rsid w:val="00AA4D1C"/>
    <w:rsid w:val="00AA4DD9"/>
    <w:rsid w:val="00AA52FD"/>
    <w:rsid w:val="00AA7006"/>
    <w:rsid w:val="00AB1A78"/>
    <w:rsid w:val="00AB3138"/>
    <w:rsid w:val="00AB4501"/>
    <w:rsid w:val="00AB4684"/>
    <w:rsid w:val="00AB5856"/>
    <w:rsid w:val="00AC081D"/>
    <w:rsid w:val="00AC0C6F"/>
    <w:rsid w:val="00AC105D"/>
    <w:rsid w:val="00AC1266"/>
    <w:rsid w:val="00AC193C"/>
    <w:rsid w:val="00AC30C1"/>
    <w:rsid w:val="00AC4DE5"/>
    <w:rsid w:val="00AC4EFE"/>
    <w:rsid w:val="00AC5206"/>
    <w:rsid w:val="00AD095B"/>
    <w:rsid w:val="00AD10FA"/>
    <w:rsid w:val="00AD3106"/>
    <w:rsid w:val="00AD4322"/>
    <w:rsid w:val="00AE11A5"/>
    <w:rsid w:val="00AE13E2"/>
    <w:rsid w:val="00AE22D3"/>
    <w:rsid w:val="00AE5A49"/>
    <w:rsid w:val="00AF03E6"/>
    <w:rsid w:val="00AF11D8"/>
    <w:rsid w:val="00AF3FCE"/>
    <w:rsid w:val="00AF5210"/>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821"/>
    <w:rsid w:val="00B22E84"/>
    <w:rsid w:val="00B233AD"/>
    <w:rsid w:val="00B23E25"/>
    <w:rsid w:val="00B25F75"/>
    <w:rsid w:val="00B26430"/>
    <w:rsid w:val="00B26B3F"/>
    <w:rsid w:val="00B2778F"/>
    <w:rsid w:val="00B327E2"/>
    <w:rsid w:val="00B33635"/>
    <w:rsid w:val="00B33CD1"/>
    <w:rsid w:val="00B3497D"/>
    <w:rsid w:val="00B37A23"/>
    <w:rsid w:val="00B37CF8"/>
    <w:rsid w:val="00B42AF4"/>
    <w:rsid w:val="00B42F08"/>
    <w:rsid w:val="00B43E90"/>
    <w:rsid w:val="00B44308"/>
    <w:rsid w:val="00B4487A"/>
    <w:rsid w:val="00B448FB"/>
    <w:rsid w:val="00B45722"/>
    <w:rsid w:val="00B460F4"/>
    <w:rsid w:val="00B467DC"/>
    <w:rsid w:val="00B47A88"/>
    <w:rsid w:val="00B52303"/>
    <w:rsid w:val="00B5392A"/>
    <w:rsid w:val="00B539EF"/>
    <w:rsid w:val="00B5531E"/>
    <w:rsid w:val="00B56118"/>
    <w:rsid w:val="00B566E1"/>
    <w:rsid w:val="00B56AFB"/>
    <w:rsid w:val="00B602F6"/>
    <w:rsid w:val="00B602FC"/>
    <w:rsid w:val="00B6092A"/>
    <w:rsid w:val="00B61C71"/>
    <w:rsid w:val="00B62EC1"/>
    <w:rsid w:val="00B64A96"/>
    <w:rsid w:val="00B6533B"/>
    <w:rsid w:val="00B6773F"/>
    <w:rsid w:val="00B70DBC"/>
    <w:rsid w:val="00B70EB3"/>
    <w:rsid w:val="00B72906"/>
    <w:rsid w:val="00B74F48"/>
    <w:rsid w:val="00B7525E"/>
    <w:rsid w:val="00B75433"/>
    <w:rsid w:val="00B75F70"/>
    <w:rsid w:val="00B760FB"/>
    <w:rsid w:val="00B76765"/>
    <w:rsid w:val="00B767AB"/>
    <w:rsid w:val="00B801BA"/>
    <w:rsid w:val="00B812D6"/>
    <w:rsid w:val="00B846E6"/>
    <w:rsid w:val="00B84D5C"/>
    <w:rsid w:val="00B85AF6"/>
    <w:rsid w:val="00B861B5"/>
    <w:rsid w:val="00B92E46"/>
    <w:rsid w:val="00B9384A"/>
    <w:rsid w:val="00B941ED"/>
    <w:rsid w:val="00B941FA"/>
    <w:rsid w:val="00B956ED"/>
    <w:rsid w:val="00BA0ED2"/>
    <w:rsid w:val="00BA26FD"/>
    <w:rsid w:val="00BA2DA8"/>
    <w:rsid w:val="00BA347C"/>
    <w:rsid w:val="00BA4C79"/>
    <w:rsid w:val="00BB298A"/>
    <w:rsid w:val="00BB3469"/>
    <w:rsid w:val="00BB4764"/>
    <w:rsid w:val="00BB5C49"/>
    <w:rsid w:val="00BB6240"/>
    <w:rsid w:val="00BB6285"/>
    <w:rsid w:val="00BB69F5"/>
    <w:rsid w:val="00BB6E48"/>
    <w:rsid w:val="00BB7B58"/>
    <w:rsid w:val="00BB7EC3"/>
    <w:rsid w:val="00BC04B1"/>
    <w:rsid w:val="00BC052A"/>
    <w:rsid w:val="00BC1D17"/>
    <w:rsid w:val="00BC2F7E"/>
    <w:rsid w:val="00BC470E"/>
    <w:rsid w:val="00BC4B9A"/>
    <w:rsid w:val="00BD02C3"/>
    <w:rsid w:val="00BD11A3"/>
    <w:rsid w:val="00BD1CA2"/>
    <w:rsid w:val="00BD4EC9"/>
    <w:rsid w:val="00BD6298"/>
    <w:rsid w:val="00BD7483"/>
    <w:rsid w:val="00BD7761"/>
    <w:rsid w:val="00BD784C"/>
    <w:rsid w:val="00BD795B"/>
    <w:rsid w:val="00BE020A"/>
    <w:rsid w:val="00BE13DF"/>
    <w:rsid w:val="00BE1EF0"/>
    <w:rsid w:val="00BE25D7"/>
    <w:rsid w:val="00BF092C"/>
    <w:rsid w:val="00BF27A0"/>
    <w:rsid w:val="00BF4CB6"/>
    <w:rsid w:val="00BF51E1"/>
    <w:rsid w:val="00BF5D23"/>
    <w:rsid w:val="00BF65A8"/>
    <w:rsid w:val="00BF6CBD"/>
    <w:rsid w:val="00C00DA7"/>
    <w:rsid w:val="00C01068"/>
    <w:rsid w:val="00C01254"/>
    <w:rsid w:val="00C03426"/>
    <w:rsid w:val="00C034FB"/>
    <w:rsid w:val="00C042B0"/>
    <w:rsid w:val="00C04CDE"/>
    <w:rsid w:val="00C05373"/>
    <w:rsid w:val="00C05828"/>
    <w:rsid w:val="00C059D5"/>
    <w:rsid w:val="00C068A6"/>
    <w:rsid w:val="00C12768"/>
    <w:rsid w:val="00C12D70"/>
    <w:rsid w:val="00C15546"/>
    <w:rsid w:val="00C16724"/>
    <w:rsid w:val="00C21B09"/>
    <w:rsid w:val="00C23C3E"/>
    <w:rsid w:val="00C25EFF"/>
    <w:rsid w:val="00C2673A"/>
    <w:rsid w:val="00C273B4"/>
    <w:rsid w:val="00C278CD"/>
    <w:rsid w:val="00C27B58"/>
    <w:rsid w:val="00C27C1C"/>
    <w:rsid w:val="00C3166C"/>
    <w:rsid w:val="00C33186"/>
    <w:rsid w:val="00C35996"/>
    <w:rsid w:val="00C36C57"/>
    <w:rsid w:val="00C42BCD"/>
    <w:rsid w:val="00C4485F"/>
    <w:rsid w:val="00C46C13"/>
    <w:rsid w:val="00C4747E"/>
    <w:rsid w:val="00C5151E"/>
    <w:rsid w:val="00C52256"/>
    <w:rsid w:val="00C5342C"/>
    <w:rsid w:val="00C53B2B"/>
    <w:rsid w:val="00C56D78"/>
    <w:rsid w:val="00C57465"/>
    <w:rsid w:val="00C57B5D"/>
    <w:rsid w:val="00C60272"/>
    <w:rsid w:val="00C603D4"/>
    <w:rsid w:val="00C6256A"/>
    <w:rsid w:val="00C63FDA"/>
    <w:rsid w:val="00C64EBC"/>
    <w:rsid w:val="00C664D2"/>
    <w:rsid w:val="00C677E1"/>
    <w:rsid w:val="00C70B6B"/>
    <w:rsid w:val="00C70E6E"/>
    <w:rsid w:val="00C710E2"/>
    <w:rsid w:val="00C71C3F"/>
    <w:rsid w:val="00C7409E"/>
    <w:rsid w:val="00C74D6D"/>
    <w:rsid w:val="00C76193"/>
    <w:rsid w:val="00C76E76"/>
    <w:rsid w:val="00C7729B"/>
    <w:rsid w:val="00C77891"/>
    <w:rsid w:val="00C77B74"/>
    <w:rsid w:val="00C82062"/>
    <w:rsid w:val="00C829A9"/>
    <w:rsid w:val="00C83AB0"/>
    <w:rsid w:val="00C84A1E"/>
    <w:rsid w:val="00C87B80"/>
    <w:rsid w:val="00C90330"/>
    <w:rsid w:val="00C91449"/>
    <w:rsid w:val="00C92D10"/>
    <w:rsid w:val="00C92F79"/>
    <w:rsid w:val="00C95200"/>
    <w:rsid w:val="00C96854"/>
    <w:rsid w:val="00C96EC0"/>
    <w:rsid w:val="00CA06F9"/>
    <w:rsid w:val="00CA14BB"/>
    <w:rsid w:val="00CA1C3B"/>
    <w:rsid w:val="00CA230C"/>
    <w:rsid w:val="00CA48D9"/>
    <w:rsid w:val="00CB1193"/>
    <w:rsid w:val="00CB352D"/>
    <w:rsid w:val="00CB4767"/>
    <w:rsid w:val="00CB493D"/>
    <w:rsid w:val="00CC2F29"/>
    <w:rsid w:val="00CC3B97"/>
    <w:rsid w:val="00CC4451"/>
    <w:rsid w:val="00CC5942"/>
    <w:rsid w:val="00CC7921"/>
    <w:rsid w:val="00CD6257"/>
    <w:rsid w:val="00CD72F0"/>
    <w:rsid w:val="00CD7C0B"/>
    <w:rsid w:val="00CE10C4"/>
    <w:rsid w:val="00CE2343"/>
    <w:rsid w:val="00CE27B5"/>
    <w:rsid w:val="00CE2BDF"/>
    <w:rsid w:val="00CE6D24"/>
    <w:rsid w:val="00CE6DAF"/>
    <w:rsid w:val="00CF07C5"/>
    <w:rsid w:val="00CF23CF"/>
    <w:rsid w:val="00CF410A"/>
    <w:rsid w:val="00CF7528"/>
    <w:rsid w:val="00CF7FDE"/>
    <w:rsid w:val="00D012AF"/>
    <w:rsid w:val="00D01D1F"/>
    <w:rsid w:val="00D0321E"/>
    <w:rsid w:val="00D05457"/>
    <w:rsid w:val="00D069EB"/>
    <w:rsid w:val="00D07A8A"/>
    <w:rsid w:val="00D10E31"/>
    <w:rsid w:val="00D11199"/>
    <w:rsid w:val="00D11813"/>
    <w:rsid w:val="00D1290C"/>
    <w:rsid w:val="00D1455A"/>
    <w:rsid w:val="00D14573"/>
    <w:rsid w:val="00D14A70"/>
    <w:rsid w:val="00D14E88"/>
    <w:rsid w:val="00D20179"/>
    <w:rsid w:val="00D207EA"/>
    <w:rsid w:val="00D211FB"/>
    <w:rsid w:val="00D22093"/>
    <w:rsid w:val="00D25543"/>
    <w:rsid w:val="00D27178"/>
    <w:rsid w:val="00D31150"/>
    <w:rsid w:val="00D3138B"/>
    <w:rsid w:val="00D31FCE"/>
    <w:rsid w:val="00D3280C"/>
    <w:rsid w:val="00D3406A"/>
    <w:rsid w:val="00D3460A"/>
    <w:rsid w:val="00D34D24"/>
    <w:rsid w:val="00D36390"/>
    <w:rsid w:val="00D40B11"/>
    <w:rsid w:val="00D415A3"/>
    <w:rsid w:val="00D42864"/>
    <w:rsid w:val="00D429EC"/>
    <w:rsid w:val="00D42CFB"/>
    <w:rsid w:val="00D441F1"/>
    <w:rsid w:val="00D4572C"/>
    <w:rsid w:val="00D469B2"/>
    <w:rsid w:val="00D52B24"/>
    <w:rsid w:val="00D52EAA"/>
    <w:rsid w:val="00D52ECF"/>
    <w:rsid w:val="00D54154"/>
    <w:rsid w:val="00D54B09"/>
    <w:rsid w:val="00D56F1C"/>
    <w:rsid w:val="00D607D1"/>
    <w:rsid w:val="00D6243E"/>
    <w:rsid w:val="00D65658"/>
    <w:rsid w:val="00D67CA2"/>
    <w:rsid w:val="00D67EB2"/>
    <w:rsid w:val="00D70349"/>
    <w:rsid w:val="00D72B6F"/>
    <w:rsid w:val="00D741EB"/>
    <w:rsid w:val="00D74CEA"/>
    <w:rsid w:val="00D7679C"/>
    <w:rsid w:val="00D80E2B"/>
    <w:rsid w:val="00D817A9"/>
    <w:rsid w:val="00D820F3"/>
    <w:rsid w:val="00D83605"/>
    <w:rsid w:val="00D8406F"/>
    <w:rsid w:val="00D84416"/>
    <w:rsid w:val="00D84934"/>
    <w:rsid w:val="00D84FC2"/>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62B0"/>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E90"/>
    <w:rsid w:val="00DC6BF8"/>
    <w:rsid w:val="00DD0BE9"/>
    <w:rsid w:val="00DD26F9"/>
    <w:rsid w:val="00DD350E"/>
    <w:rsid w:val="00DD42AB"/>
    <w:rsid w:val="00DE06AF"/>
    <w:rsid w:val="00DE0D91"/>
    <w:rsid w:val="00DE484C"/>
    <w:rsid w:val="00DE6D27"/>
    <w:rsid w:val="00DE76EA"/>
    <w:rsid w:val="00DF01F8"/>
    <w:rsid w:val="00DF021D"/>
    <w:rsid w:val="00DF14EE"/>
    <w:rsid w:val="00DF217D"/>
    <w:rsid w:val="00DF26A7"/>
    <w:rsid w:val="00DF2F33"/>
    <w:rsid w:val="00DF3277"/>
    <w:rsid w:val="00DF4C27"/>
    <w:rsid w:val="00DF57AE"/>
    <w:rsid w:val="00DF6A31"/>
    <w:rsid w:val="00DF77A1"/>
    <w:rsid w:val="00DF7919"/>
    <w:rsid w:val="00E013CD"/>
    <w:rsid w:val="00E016AE"/>
    <w:rsid w:val="00E0207E"/>
    <w:rsid w:val="00E02AE6"/>
    <w:rsid w:val="00E03912"/>
    <w:rsid w:val="00E03A83"/>
    <w:rsid w:val="00E04748"/>
    <w:rsid w:val="00E060AF"/>
    <w:rsid w:val="00E078D9"/>
    <w:rsid w:val="00E10293"/>
    <w:rsid w:val="00E103A0"/>
    <w:rsid w:val="00E1043F"/>
    <w:rsid w:val="00E11394"/>
    <w:rsid w:val="00E11F44"/>
    <w:rsid w:val="00E136EB"/>
    <w:rsid w:val="00E13E60"/>
    <w:rsid w:val="00E15627"/>
    <w:rsid w:val="00E158E6"/>
    <w:rsid w:val="00E15A94"/>
    <w:rsid w:val="00E164B3"/>
    <w:rsid w:val="00E16910"/>
    <w:rsid w:val="00E21164"/>
    <w:rsid w:val="00E239E2"/>
    <w:rsid w:val="00E24E09"/>
    <w:rsid w:val="00E256A3"/>
    <w:rsid w:val="00E27234"/>
    <w:rsid w:val="00E3495C"/>
    <w:rsid w:val="00E42BDB"/>
    <w:rsid w:val="00E51D63"/>
    <w:rsid w:val="00E52309"/>
    <w:rsid w:val="00E524A9"/>
    <w:rsid w:val="00E53AAD"/>
    <w:rsid w:val="00E53F1A"/>
    <w:rsid w:val="00E5726D"/>
    <w:rsid w:val="00E57EEB"/>
    <w:rsid w:val="00E62D94"/>
    <w:rsid w:val="00E62ECC"/>
    <w:rsid w:val="00E6333D"/>
    <w:rsid w:val="00E63455"/>
    <w:rsid w:val="00E64F37"/>
    <w:rsid w:val="00E65091"/>
    <w:rsid w:val="00E65393"/>
    <w:rsid w:val="00E65E54"/>
    <w:rsid w:val="00E661C7"/>
    <w:rsid w:val="00E66679"/>
    <w:rsid w:val="00E732C4"/>
    <w:rsid w:val="00E74E41"/>
    <w:rsid w:val="00E750BB"/>
    <w:rsid w:val="00E80155"/>
    <w:rsid w:val="00E8134B"/>
    <w:rsid w:val="00E81E0D"/>
    <w:rsid w:val="00E81F28"/>
    <w:rsid w:val="00E833D3"/>
    <w:rsid w:val="00E83C49"/>
    <w:rsid w:val="00E848C0"/>
    <w:rsid w:val="00E84BB8"/>
    <w:rsid w:val="00E86F92"/>
    <w:rsid w:val="00E90F9A"/>
    <w:rsid w:val="00E91B96"/>
    <w:rsid w:val="00E92F2E"/>
    <w:rsid w:val="00E93160"/>
    <w:rsid w:val="00E93191"/>
    <w:rsid w:val="00E935DA"/>
    <w:rsid w:val="00E93D1E"/>
    <w:rsid w:val="00E941A1"/>
    <w:rsid w:val="00E95CE3"/>
    <w:rsid w:val="00E95F9A"/>
    <w:rsid w:val="00E96F1E"/>
    <w:rsid w:val="00EA019E"/>
    <w:rsid w:val="00EA0856"/>
    <w:rsid w:val="00EA1DC4"/>
    <w:rsid w:val="00EA252F"/>
    <w:rsid w:val="00EA2825"/>
    <w:rsid w:val="00EA5027"/>
    <w:rsid w:val="00EA568B"/>
    <w:rsid w:val="00EA64C2"/>
    <w:rsid w:val="00EA6518"/>
    <w:rsid w:val="00EA71A2"/>
    <w:rsid w:val="00EA7466"/>
    <w:rsid w:val="00EA7EDE"/>
    <w:rsid w:val="00EB0B63"/>
    <w:rsid w:val="00EB1936"/>
    <w:rsid w:val="00EB3545"/>
    <w:rsid w:val="00EB37BE"/>
    <w:rsid w:val="00EB4442"/>
    <w:rsid w:val="00EB4BAE"/>
    <w:rsid w:val="00EB5088"/>
    <w:rsid w:val="00EB53F5"/>
    <w:rsid w:val="00EB7210"/>
    <w:rsid w:val="00EC03F4"/>
    <w:rsid w:val="00EC2726"/>
    <w:rsid w:val="00EC681C"/>
    <w:rsid w:val="00EC7B87"/>
    <w:rsid w:val="00ED1644"/>
    <w:rsid w:val="00ED2593"/>
    <w:rsid w:val="00ED3709"/>
    <w:rsid w:val="00ED3AA3"/>
    <w:rsid w:val="00ED7D55"/>
    <w:rsid w:val="00ED7D9C"/>
    <w:rsid w:val="00EE00A7"/>
    <w:rsid w:val="00EE04AA"/>
    <w:rsid w:val="00EE2F77"/>
    <w:rsid w:val="00EE3158"/>
    <w:rsid w:val="00EE31A2"/>
    <w:rsid w:val="00EE4329"/>
    <w:rsid w:val="00EE4E75"/>
    <w:rsid w:val="00EE6203"/>
    <w:rsid w:val="00EF0069"/>
    <w:rsid w:val="00EF3C52"/>
    <w:rsid w:val="00EF44A0"/>
    <w:rsid w:val="00EF4580"/>
    <w:rsid w:val="00EF4FED"/>
    <w:rsid w:val="00EF5F45"/>
    <w:rsid w:val="00EF6843"/>
    <w:rsid w:val="00EF6941"/>
    <w:rsid w:val="00EF6FB3"/>
    <w:rsid w:val="00EF7A88"/>
    <w:rsid w:val="00F0068B"/>
    <w:rsid w:val="00F007C6"/>
    <w:rsid w:val="00F0172E"/>
    <w:rsid w:val="00F050BD"/>
    <w:rsid w:val="00F05657"/>
    <w:rsid w:val="00F05AB0"/>
    <w:rsid w:val="00F06222"/>
    <w:rsid w:val="00F10ADB"/>
    <w:rsid w:val="00F12C74"/>
    <w:rsid w:val="00F13214"/>
    <w:rsid w:val="00F1559A"/>
    <w:rsid w:val="00F165EE"/>
    <w:rsid w:val="00F17ED6"/>
    <w:rsid w:val="00F20676"/>
    <w:rsid w:val="00F209E2"/>
    <w:rsid w:val="00F2398F"/>
    <w:rsid w:val="00F24695"/>
    <w:rsid w:val="00F25578"/>
    <w:rsid w:val="00F258E5"/>
    <w:rsid w:val="00F25B9C"/>
    <w:rsid w:val="00F264C8"/>
    <w:rsid w:val="00F2675A"/>
    <w:rsid w:val="00F26CC6"/>
    <w:rsid w:val="00F300BC"/>
    <w:rsid w:val="00F305FA"/>
    <w:rsid w:val="00F30C19"/>
    <w:rsid w:val="00F3263C"/>
    <w:rsid w:val="00F3334E"/>
    <w:rsid w:val="00F34CF4"/>
    <w:rsid w:val="00F35212"/>
    <w:rsid w:val="00F355F6"/>
    <w:rsid w:val="00F3573A"/>
    <w:rsid w:val="00F35F01"/>
    <w:rsid w:val="00F36CCB"/>
    <w:rsid w:val="00F374E5"/>
    <w:rsid w:val="00F37A76"/>
    <w:rsid w:val="00F37B93"/>
    <w:rsid w:val="00F37BAD"/>
    <w:rsid w:val="00F37ECA"/>
    <w:rsid w:val="00F40A1C"/>
    <w:rsid w:val="00F43AF2"/>
    <w:rsid w:val="00F45216"/>
    <w:rsid w:val="00F459BC"/>
    <w:rsid w:val="00F5007E"/>
    <w:rsid w:val="00F508F6"/>
    <w:rsid w:val="00F50A20"/>
    <w:rsid w:val="00F50EAA"/>
    <w:rsid w:val="00F50EC4"/>
    <w:rsid w:val="00F52232"/>
    <w:rsid w:val="00F527B1"/>
    <w:rsid w:val="00F52DC2"/>
    <w:rsid w:val="00F52EF2"/>
    <w:rsid w:val="00F54AF9"/>
    <w:rsid w:val="00F550CF"/>
    <w:rsid w:val="00F553D2"/>
    <w:rsid w:val="00F56A2D"/>
    <w:rsid w:val="00F57A6D"/>
    <w:rsid w:val="00F6044B"/>
    <w:rsid w:val="00F609CB"/>
    <w:rsid w:val="00F6206B"/>
    <w:rsid w:val="00F62F19"/>
    <w:rsid w:val="00F638CC"/>
    <w:rsid w:val="00F64C9E"/>
    <w:rsid w:val="00F64CC1"/>
    <w:rsid w:val="00F708B1"/>
    <w:rsid w:val="00F72317"/>
    <w:rsid w:val="00F72429"/>
    <w:rsid w:val="00F73DC1"/>
    <w:rsid w:val="00F7440D"/>
    <w:rsid w:val="00F75BB8"/>
    <w:rsid w:val="00F77700"/>
    <w:rsid w:val="00F77714"/>
    <w:rsid w:val="00F77B6E"/>
    <w:rsid w:val="00F80475"/>
    <w:rsid w:val="00F80934"/>
    <w:rsid w:val="00F80E6E"/>
    <w:rsid w:val="00F81390"/>
    <w:rsid w:val="00F81E4F"/>
    <w:rsid w:val="00F81F7A"/>
    <w:rsid w:val="00F8247A"/>
    <w:rsid w:val="00F82961"/>
    <w:rsid w:val="00F82E5C"/>
    <w:rsid w:val="00F83E86"/>
    <w:rsid w:val="00F83F58"/>
    <w:rsid w:val="00F85206"/>
    <w:rsid w:val="00F87C7A"/>
    <w:rsid w:val="00F87CEA"/>
    <w:rsid w:val="00F9265D"/>
    <w:rsid w:val="00F92D30"/>
    <w:rsid w:val="00F9629A"/>
    <w:rsid w:val="00F97EFC"/>
    <w:rsid w:val="00FA0B04"/>
    <w:rsid w:val="00FA0C7C"/>
    <w:rsid w:val="00FA1BDD"/>
    <w:rsid w:val="00FA305C"/>
    <w:rsid w:val="00FA462E"/>
    <w:rsid w:val="00FA4DD5"/>
    <w:rsid w:val="00FA5883"/>
    <w:rsid w:val="00FA6055"/>
    <w:rsid w:val="00FB0B39"/>
    <w:rsid w:val="00FB21E8"/>
    <w:rsid w:val="00FB2580"/>
    <w:rsid w:val="00FB322F"/>
    <w:rsid w:val="00FB442F"/>
    <w:rsid w:val="00FC118C"/>
    <w:rsid w:val="00FC1929"/>
    <w:rsid w:val="00FC5B46"/>
    <w:rsid w:val="00FC64B7"/>
    <w:rsid w:val="00FC66C7"/>
    <w:rsid w:val="00FD1D4F"/>
    <w:rsid w:val="00FD24BF"/>
    <w:rsid w:val="00FD3B6E"/>
    <w:rsid w:val="00FD4140"/>
    <w:rsid w:val="00FD57EB"/>
    <w:rsid w:val="00FD6D8E"/>
    <w:rsid w:val="00FE0663"/>
    <w:rsid w:val="00FE0E94"/>
    <w:rsid w:val="00FE17E7"/>
    <w:rsid w:val="00FE369C"/>
    <w:rsid w:val="00FE3CD9"/>
    <w:rsid w:val="00FE689B"/>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3" w:semiHidden="1" w:unhideWhenUsed="1"/>
    <w:lsdException w:name="heading 4" w:semiHidden="1" w:unhideWhenUsed="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31647E"/>
    <w:pPr>
      <w:keepNext/>
      <w:spacing w:before="240" w:after="60"/>
      <w:outlineLvl w:val="3"/>
    </w:pPr>
    <w:rPr>
      <w:rFonts w:cs="Arial"/>
      <w:b/>
      <w:bCs/>
      <w:i/>
      <w:sz w:val="26"/>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link w:val="Heading7Char"/>
    <w:rsid w:val="0031647E"/>
    <w:pPr>
      <w:keepNext/>
      <w:jc w:val="center"/>
      <w:outlineLvl w:val="6"/>
    </w:pPr>
    <w:rPr>
      <w:rFonts w:cs="Arial"/>
      <w:b/>
      <w:sz w:val="20"/>
    </w:rPr>
  </w:style>
  <w:style w:type="paragraph" w:styleId="Heading8">
    <w:name w:val="heading 8"/>
    <w:basedOn w:val="Normal"/>
    <w:next w:val="Normal"/>
    <w:link w:val="Heading8Char"/>
    <w:uiPriority w:val="7"/>
    <w:rsid w:val="0031647E"/>
    <w:pPr>
      <w:keepNext/>
      <w:jc w:val="right"/>
      <w:outlineLvl w:val="7"/>
    </w:pPr>
    <w:rPr>
      <w:rFonts w:cs="Arial"/>
      <w:b/>
    </w:rPr>
  </w:style>
  <w:style w:type="paragraph" w:styleId="Heading9">
    <w:name w:val="heading 9"/>
    <w:basedOn w:val="Normal"/>
    <w:next w:val="Normal"/>
    <w:link w:val="Heading9Char"/>
    <w:rsid w:val="0031647E"/>
    <w:pPr>
      <w:keepNext/>
      <w:jc w:val="center"/>
      <w:outlineLvl w:val="8"/>
    </w:pPr>
    <w:rPr>
      <w:rFonts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Figure_name,Numbered Indented Text,Bullet- First level,List NUmber,Listenabsatz1,lp1,Style 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Comment Text Char Char Char,Comment Text Char Char"/>
    <w:basedOn w:val="Normal"/>
    <w:link w:val="CommentTextChar"/>
    <w:uiPriority w:val="99"/>
    <w:qFormat/>
    <w:rsid w:val="00BB7EC3"/>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Figure_name Char,Numbered Indented Tex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7B249F"/>
    <w:pPr>
      <w:numPr>
        <w:ilvl w:val="1"/>
        <w:numId w:val="2"/>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7B249F"/>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unhideWhenUsed/>
    <w:rsid w:val="00E03912"/>
    <w:pPr>
      <w:spacing w:after="120"/>
    </w:pPr>
  </w:style>
  <w:style w:type="character" w:customStyle="1" w:styleId="BodyTextChar">
    <w:name w:val="Body Text Char"/>
    <w:basedOn w:val="DefaultParagraphFont"/>
    <w:link w:val="BodyText"/>
    <w:rsid w:val="00E03912"/>
    <w:rPr>
      <w:sz w:val="24"/>
      <w:szCs w:val="24"/>
    </w:rPr>
  </w:style>
  <w:style w:type="paragraph" w:styleId="Caption">
    <w:name w:val="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99"/>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Heading4Char">
    <w:name w:val="Heading 4 Char"/>
    <w:basedOn w:val="DefaultParagraphFont"/>
    <w:link w:val="Heading4"/>
    <w:rsid w:val="0031647E"/>
    <w:rPr>
      <w:rFonts w:ascii="Calibri" w:hAnsi="Calibri" w:cs="Arial"/>
      <w:b/>
      <w:bCs/>
      <w:i/>
      <w:sz w:val="26"/>
      <w:szCs w:val="28"/>
    </w:rPr>
  </w:style>
  <w:style w:type="character" w:customStyle="1" w:styleId="Heading7Char">
    <w:name w:val="Heading 7 Char"/>
    <w:basedOn w:val="DefaultParagraphFont"/>
    <w:link w:val="Heading7"/>
    <w:rsid w:val="0031647E"/>
    <w:rPr>
      <w:rFonts w:ascii="Calibri" w:hAnsi="Calibri" w:cs="Arial"/>
      <w:b/>
      <w:szCs w:val="24"/>
    </w:rPr>
  </w:style>
  <w:style w:type="character" w:customStyle="1" w:styleId="Heading8Char">
    <w:name w:val="Heading 8 Char"/>
    <w:basedOn w:val="DefaultParagraphFont"/>
    <w:link w:val="Heading8"/>
    <w:uiPriority w:val="7"/>
    <w:rsid w:val="0031647E"/>
    <w:rPr>
      <w:rFonts w:ascii="Calibri" w:hAnsi="Calibri" w:cs="Arial"/>
      <w:b/>
      <w:sz w:val="24"/>
      <w:szCs w:val="24"/>
    </w:rPr>
  </w:style>
  <w:style w:type="character" w:customStyle="1" w:styleId="Heading9Char">
    <w:name w:val="Heading 9 Char"/>
    <w:basedOn w:val="DefaultParagraphFont"/>
    <w:link w:val="Heading9"/>
    <w:rsid w:val="0031647E"/>
    <w:rPr>
      <w:rFonts w:ascii="Calibri" w:hAnsi="Calibri" w:cs="Arial"/>
      <w:b/>
      <w:color w:val="000000"/>
      <w:szCs w:val="24"/>
    </w:rPr>
  </w:style>
  <w:style w:type="paragraph" w:customStyle="1" w:styleId="TableHeader">
    <w:name w:val="Table Header"/>
    <w:basedOn w:val="Normal"/>
    <w:uiPriority w:val="3"/>
    <w:rsid w:val="0031647E"/>
    <w:rPr>
      <w:rFonts w:cs="Arial"/>
      <w:b/>
      <w:sz w:val="20"/>
    </w:rPr>
  </w:style>
  <w:style w:type="character" w:customStyle="1" w:styleId="CaptionChar">
    <w:name w:val="Caption Char"/>
    <w:link w:val="Caption"/>
    <w:rsid w:val="0031647E"/>
    <w:rPr>
      <w:rFonts w:ascii="Calibri" w:hAnsi="Calibri"/>
      <w:i/>
      <w:iCs/>
      <w:color w:val="000000" w:themeColor="text1"/>
      <w:sz w:val="18"/>
      <w:szCs w:val="18"/>
    </w:rPr>
  </w:style>
  <w:style w:type="paragraph" w:customStyle="1" w:styleId="RegularText">
    <w:name w:val="Regular Text"/>
    <w:basedOn w:val="BodyText"/>
    <w:link w:val="RegularTextChar"/>
    <w:rsid w:val="0031647E"/>
    <w:pPr>
      <w:spacing w:after="0"/>
      <w:jc w:val="left"/>
    </w:pPr>
    <w:rPr>
      <w:rFonts w:cs="Arial"/>
      <w:b/>
    </w:rPr>
  </w:style>
  <w:style w:type="character" w:customStyle="1" w:styleId="RegularTextChar">
    <w:name w:val="Regular Text Char"/>
    <w:basedOn w:val="BodyTextChar"/>
    <w:link w:val="RegularText"/>
    <w:rsid w:val="0031647E"/>
    <w:rPr>
      <w:rFonts w:ascii="Calibri" w:hAnsi="Calibri" w:cs="Arial"/>
      <w:b/>
      <w:sz w:val="24"/>
      <w:szCs w:val="24"/>
    </w:rPr>
  </w:style>
  <w:style w:type="paragraph" w:customStyle="1" w:styleId="Corpsdetextemarge">
    <w:name w:val="Corps de texte marge"/>
    <w:basedOn w:val="BodyText"/>
    <w:uiPriority w:val="99"/>
    <w:rsid w:val="0031647E"/>
    <w:pPr>
      <w:spacing w:after="0"/>
    </w:pPr>
    <w:rPr>
      <w:rFonts w:ascii="Times" w:hAnsi="Times"/>
      <w:snapToGrid w:val="0"/>
      <w:lang w:val="en-US"/>
    </w:rPr>
  </w:style>
  <w:style w:type="paragraph" w:styleId="NormalWeb">
    <w:name w:val="Normal (Web)"/>
    <w:basedOn w:val="Normal"/>
    <w:uiPriority w:val="99"/>
    <w:rsid w:val="0031647E"/>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31647E"/>
    <w:pPr>
      <w:tabs>
        <w:tab w:val="left" w:pos="713"/>
        <w:tab w:val="left" w:pos="880"/>
        <w:tab w:val="right" w:leader="dot" w:pos="9016"/>
      </w:tabs>
      <w:spacing w:before="40"/>
      <w:ind w:left="221"/>
      <w:jc w:val="left"/>
    </w:pPr>
    <w:rPr>
      <w:rFonts w:cs="Arial"/>
      <w:iCs/>
      <w:sz w:val="20"/>
    </w:rPr>
  </w:style>
  <w:style w:type="paragraph" w:styleId="TOC1">
    <w:name w:val="toc 1"/>
    <w:basedOn w:val="Normal"/>
    <w:next w:val="Normal"/>
    <w:autoRedefine/>
    <w:uiPriority w:val="39"/>
    <w:rsid w:val="0031647E"/>
    <w:pPr>
      <w:tabs>
        <w:tab w:val="left" w:pos="440"/>
        <w:tab w:val="right" w:leader="dot" w:pos="9016"/>
      </w:tabs>
      <w:spacing w:after="120"/>
      <w:jc w:val="left"/>
    </w:pPr>
    <w:rPr>
      <w:rFonts w:cs="Arial"/>
      <w:bCs/>
      <w:sz w:val="20"/>
    </w:rPr>
  </w:style>
  <w:style w:type="paragraph" w:styleId="TOCHeading">
    <w:name w:val="TOC Heading"/>
    <w:basedOn w:val="Heading1"/>
    <w:next w:val="Normal"/>
    <w:uiPriority w:val="39"/>
    <w:unhideWhenUsed/>
    <w:rsid w:val="0031647E"/>
    <w:pPr>
      <w:keepNext/>
      <w:keepLines/>
      <w:spacing w:before="480" w:after="0" w:line="276" w:lineRule="auto"/>
      <w:ind w:firstLine="0"/>
      <w:outlineLvl w:val="9"/>
    </w:pPr>
    <w:rPr>
      <w:rFonts w:asciiTheme="majorHAnsi" w:eastAsiaTheme="majorEastAsia" w:hAnsiTheme="majorHAnsi" w:cstheme="majorBidi"/>
      <w:bCs/>
      <w:caps/>
      <w:color w:val="365F91" w:themeColor="accent1" w:themeShade="BF"/>
      <w:sz w:val="28"/>
      <w:szCs w:val="28"/>
      <w:lang w:val="en-US" w:eastAsia="ja-JP"/>
    </w:rPr>
  </w:style>
  <w:style w:type="paragraph" w:styleId="TOC3">
    <w:name w:val="toc 3"/>
    <w:basedOn w:val="Normal"/>
    <w:next w:val="Normal"/>
    <w:autoRedefine/>
    <w:uiPriority w:val="39"/>
    <w:unhideWhenUsed/>
    <w:rsid w:val="0031647E"/>
    <w:pPr>
      <w:tabs>
        <w:tab w:val="right" w:leader="dot" w:pos="9016"/>
      </w:tabs>
      <w:ind w:left="440"/>
      <w:jc w:val="left"/>
    </w:pPr>
    <w:rPr>
      <w:rFonts w:asciiTheme="minorHAnsi" w:hAnsiTheme="minorHAnsi" w:cs="Arial"/>
      <w:sz w:val="20"/>
    </w:rPr>
  </w:style>
  <w:style w:type="paragraph" w:styleId="TOC4">
    <w:name w:val="toc 4"/>
    <w:basedOn w:val="Normal"/>
    <w:next w:val="Normal"/>
    <w:autoRedefine/>
    <w:rsid w:val="0031647E"/>
    <w:pPr>
      <w:ind w:left="660"/>
      <w:jc w:val="left"/>
    </w:pPr>
    <w:rPr>
      <w:rFonts w:asciiTheme="minorHAnsi" w:hAnsiTheme="minorHAnsi" w:cs="Arial"/>
      <w:sz w:val="20"/>
    </w:rPr>
  </w:style>
  <w:style w:type="paragraph" w:styleId="TOC5">
    <w:name w:val="toc 5"/>
    <w:basedOn w:val="Normal"/>
    <w:next w:val="Normal"/>
    <w:autoRedefine/>
    <w:rsid w:val="0031647E"/>
    <w:pPr>
      <w:ind w:left="880"/>
      <w:jc w:val="left"/>
    </w:pPr>
    <w:rPr>
      <w:rFonts w:asciiTheme="minorHAnsi" w:hAnsiTheme="minorHAnsi" w:cs="Arial"/>
      <w:sz w:val="20"/>
    </w:rPr>
  </w:style>
  <w:style w:type="paragraph" w:styleId="TOC6">
    <w:name w:val="toc 6"/>
    <w:basedOn w:val="Normal"/>
    <w:next w:val="Normal"/>
    <w:autoRedefine/>
    <w:uiPriority w:val="39"/>
    <w:rsid w:val="0031647E"/>
    <w:pPr>
      <w:ind w:left="1100"/>
      <w:jc w:val="left"/>
    </w:pPr>
    <w:rPr>
      <w:rFonts w:asciiTheme="minorHAnsi" w:hAnsiTheme="minorHAnsi" w:cs="Arial"/>
      <w:sz w:val="20"/>
    </w:rPr>
  </w:style>
  <w:style w:type="paragraph" w:styleId="TOC7">
    <w:name w:val="toc 7"/>
    <w:basedOn w:val="Normal"/>
    <w:next w:val="Normal"/>
    <w:autoRedefine/>
    <w:rsid w:val="0031647E"/>
    <w:pPr>
      <w:ind w:left="1320"/>
      <w:jc w:val="left"/>
    </w:pPr>
    <w:rPr>
      <w:rFonts w:asciiTheme="minorHAnsi" w:hAnsiTheme="minorHAnsi" w:cs="Arial"/>
      <w:sz w:val="20"/>
    </w:rPr>
  </w:style>
  <w:style w:type="paragraph" w:styleId="TOC8">
    <w:name w:val="toc 8"/>
    <w:basedOn w:val="Normal"/>
    <w:next w:val="Normal"/>
    <w:autoRedefine/>
    <w:rsid w:val="0031647E"/>
    <w:pPr>
      <w:ind w:left="1540"/>
      <w:jc w:val="left"/>
    </w:pPr>
    <w:rPr>
      <w:rFonts w:asciiTheme="minorHAnsi" w:hAnsiTheme="minorHAnsi" w:cs="Arial"/>
      <w:sz w:val="20"/>
    </w:rPr>
  </w:style>
  <w:style w:type="paragraph" w:customStyle="1" w:styleId="TableName">
    <w:name w:val="TableName"/>
    <w:basedOn w:val="Normal"/>
    <w:rsid w:val="0031647E"/>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31647E"/>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31647E"/>
    <w:pPr>
      <w:keepNext/>
      <w:spacing w:after="0"/>
    </w:pPr>
  </w:style>
  <w:style w:type="paragraph" w:styleId="BodyTextIndent">
    <w:name w:val="Body Text Indent"/>
    <w:basedOn w:val="Normal"/>
    <w:link w:val="BodyTextIndentChar"/>
    <w:rsid w:val="0031647E"/>
    <w:pPr>
      <w:spacing w:after="120"/>
      <w:ind w:left="283"/>
    </w:pPr>
    <w:rPr>
      <w:rFonts w:cs="Arial"/>
    </w:rPr>
  </w:style>
  <w:style w:type="character" w:customStyle="1" w:styleId="BodyTextIndentChar">
    <w:name w:val="Body Text Indent Char"/>
    <w:basedOn w:val="DefaultParagraphFont"/>
    <w:link w:val="BodyTextIndent"/>
    <w:rsid w:val="0031647E"/>
    <w:rPr>
      <w:rFonts w:ascii="Calibri" w:hAnsi="Calibri" w:cs="Arial"/>
      <w:sz w:val="24"/>
      <w:szCs w:val="24"/>
    </w:rPr>
  </w:style>
  <w:style w:type="character" w:customStyle="1" w:styleId="SubtitleChar1">
    <w:name w:val="Subtitle Char1"/>
    <w:basedOn w:val="DefaultParagraphFont"/>
    <w:rsid w:val="0031647E"/>
    <w:rPr>
      <w:rFonts w:asciiTheme="majorHAnsi" w:eastAsiaTheme="majorEastAsia" w:hAnsiTheme="majorHAnsi" w:cstheme="majorBidi"/>
      <w:i/>
      <w:iCs/>
      <w:snapToGrid w:val="0"/>
      <w:color w:val="4F81BD" w:themeColor="accent1"/>
      <w:spacing w:val="15"/>
      <w:sz w:val="24"/>
      <w:szCs w:val="24"/>
      <w:lang w:eastAsia="en-US"/>
    </w:rPr>
  </w:style>
  <w:style w:type="table" w:customStyle="1" w:styleId="PlainTable21">
    <w:name w:val="Plain Table 21"/>
    <w:basedOn w:val="TableNormal"/>
    <w:uiPriority w:val="42"/>
    <w:rsid w:val="0031647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mmentitalics">
    <w:name w:val="Comment (italics)"/>
    <w:basedOn w:val="Normal"/>
    <w:next w:val="Normal"/>
    <w:rsid w:val="0031647E"/>
    <w:rPr>
      <w:rFonts w:cs="Arial"/>
      <w:i/>
    </w:rPr>
  </w:style>
  <w:style w:type="character" w:customStyle="1" w:styleId="BalloonTextChar">
    <w:name w:val="Balloon Text Char"/>
    <w:basedOn w:val="DefaultParagraphFont"/>
    <w:link w:val="BalloonText"/>
    <w:uiPriority w:val="99"/>
    <w:semiHidden/>
    <w:rsid w:val="0031647E"/>
    <w:rPr>
      <w:rFonts w:ascii="Tahoma" w:hAnsi="Tahoma" w:cs="Tahoma"/>
      <w:sz w:val="16"/>
      <w:szCs w:val="16"/>
    </w:rPr>
  </w:style>
  <w:style w:type="paragraph" w:customStyle="1" w:styleId="V50Tablename">
    <w:name w:val="V5.0 Table name"/>
    <w:basedOn w:val="Normal"/>
    <w:link w:val="V50TablenameChar"/>
    <w:rsid w:val="0031647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31647E"/>
    <w:rPr>
      <w:rFonts w:asciiTheme="minorHAnsi" w:eastAsiaTheme="minorHAnsi" w:hAnsiTheme="minorHAnsi" w:cstheme="minorBidi"/>
      <w:b/>
      <w:snapToGrid w:val="0"/>
      <w:szCs w:val="24"/>
      <w:lang w:val="en-US"/>
    </w:rPr>
  </w:style>
  <w:style w:type="character" w:customStyle="1" w:styleId="UnresolvedMention1">
    <w:name w:val="Unresolved Mention1"/>
    <w:basedOn w:val="DefaultParagraphFont"/>
    <w:uiPriority w:val="99"/>
    <w:semiHidden/>
    <w:unhideWhenUsed/>
    <w:rsid w:val="0031647E"/>
    <w:rPr>
      <w:color w:val="605E5C"/>
      <w:shd w:val="clear" w:color="auto" w:fill="E1DFDD"/>
    </w:rPr>
  </w:style>
  <w:style w:type="paragraph" w:customStyle="1" w:styleId="6-SubSubheading">
    <w:name w:val="6-SubSubheading"/>
    <w:basedOn w:val="5-SubsectionSubheading"/>
    <w:next w:val="Normal"/>
    <w:link w:val="6-SubSubheadingChar"/>
    <w:qFormat/>
    <w:rsid w:val="0031647E"/>
    <w:pPr>
      <w:spacing w:before="160" w:after="120"/>
      <w:outlineLvl w:val="3"/>
    </w:pPr>
    <w:rPr>
      <w:b w:val="0"/>
      <w:bCs/>
      <w:u w:val="single"/>
    </w:rPr>
  </w:style>
  <w:style w:type="character" w:customStyle="1" w:styleId="6-SubSubheadingChar">
    <w:name w:val="6-SubSubheading Char"/>
    <w:basedOn w:val="5-SubsectionSubheadingChar"/>
    <w:link w:val="6-SubSubheading"/>
    <w:rsid w:val="0031647E"/>
    <w:rPr>
      <w:rFonts w:asciiTheme="minorHAnsi" w:eastAsiaTheme="majorEastAsia" w:hAnsiTheme="minorHAnsi" w:cstheme="majorBidi"/>
      <w:b w:val="0"/>
      <w:bCs/>
      <w:color w:val="000000" w:themeColor="text1"/>
      <w:sz w:val="24"/>
      <w:szCs w:val="24"/>
      <w:u w:val="single"/>
    </w:rPr>
  </w:style>
  <w:style w:type="paragraph" w:styleId="FootnoteText">
    <w:name w:val="footnote text"/>
    <w:basedOn w:val="Normal"/>
    <w:link w:val="FootnoteTextChar"/>
    <w:semiHidden/>
    <w:unhideWhenUsed/>
    <w:rsid w:val="0031647E"/>
    <w:rPr>
      <w:rFonts w:cs="Arial"/>
      <w:sz w:val="20"/>
      <w:szCs w:val="20"/>
    </w:rPr>
  </w:style>
  <w:style w:type="character" w:customStyle="1" w:styleId="FootnoteTextChar">
    <w:name w:val="Footnote Text Char"/>
    <w:basedOn w:val="DefaultParagraphFont"/>
    <w:link w:val="FootnoteText"/>
    <w:semiHidden/>
    <w:rsid w:val="0031647E"/>
    <w:rPr>
      <w:rFonts w:ascii="Calibri" w:hAnsi="Calibri" w:cs="Arial"/>
    </w:rPr>
  </w:style>
  <w:style w:type="character" w:styleId="FootnoteReference">
    <w:name w:val="footnote reference"/>
    <w:basedOn w:val="DefaultParagraphFont"/>
    <w:semiHidden/>
    <w:unhideWhenUsed/>
    <w:rsid w:val="0031647E"/>
    <w:rPr>
      <w:vertAlign w:val="superscript"/>
    </w:rPr>
  </w:style>
  <w:style w:type="table" w:customStyle="1" w:styleId="ASDTable1">
    <w:name w:val="ASD Table1"/>
    <w:basedOn w:val="TableNormal"/>
    <w:next w:val="TableGrid"/>
    <w:uiPriority w:val="39"/>
    <w:rsid w:val="00316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39"/>
    <w:rsid w:val="00316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647E"/>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31647E"/>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31647E"/>
    <w:rPr>
      <w:rFonts w:asciiTheme="minorHAnsi" w:eastAsiaTheme="majorEastAsia" w:hAnsiTheme="minorHAnsi" w:cstheme="majorBidi"/>
      <w:b/>
      <w:i/>
      <w:spacing w:val="5"/>
      <w:kern w:val="28"/>
      <w:sz w:val="28"/>
      <w:szCs w:val="36"/>
      <w:lang w:eastAsia="en-US"/>
    </w:rPr>
  </w:style>
  <w:style w:type="character" w:customStyle="1" w:styleId="UnresolvedMention2">
    <w:name w:val="Unresolved Mention2"/>
    <w:basedOn w:val="DefaultParagraphFont"/>
    <w:uiPriority w:val="99"/>
    <w:semiHidden/>
    <w:unhideWhenUsed/>
    <w:rsid w:val="0031647E"/>
    <w:rPr>
      <w:color w:val="605E5C"/>
      <w:shd w:val="clear" w:color="auto" w:fill="E1DFDD"/>
    </w:rPr>
  </w:style>
  <w:style w:type="character" w:styleId="Strong">
    <w:name w:val="Strong"/>
    <w:basedOn w:val="DefaultParagraphFont"/>
    <w:uiPriority w:val="22"/>
    <w:qFormat/>
    <w:rsid w:val="0031647E"/>
    <w:rPr>
      <w:b/>
      <w:bCs/>
    </w:rPr>
  </w:style>
  <w:style w:type="paragraph" w:customStyle="1" w:styleId="PBACBullet">
    <w:name w:val="PBAC Bullet"/>
    <w:basedOn w:val="3Bodytext"/>
    <w:link w:val="PBACBulletChar"/>
    <w:qFormat/>
    <w:rsid w:val="005F6C79"/>
    <w:pPr>
      <w:numPr>
        <w:numId w:val="22"/>
      </w:numPr>
      <w:ind w:left="1134" w:hanging="426"/>
    </w:pPr>
  </w:style>
  <w:style w:type="character" w:customStyle="1" w:styleId="PBACBulletChar">
    <w:name w:val="PBAC Bullet Char"/>
    <w:basedOn w:val="3BodytextChar"/>
    <w:link w:val="PBACBullet"/>
    <w:rsid w:val="005F6C79"/>
    <w:rPr>
      <w:rFonts w:asciiTheme="minorHAnsi" w:eastAsiaTheme="minorHAnsi" w:hAnsiTheme="minorHAnsi"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619">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73097152">
      <w:bodyDiv w:val="1"/>
      <w:marLeft w:val="0"/>
      <w:marRight w:val="0"/>
      <w:marTop w:val="0"/>
      <w:marBottom w:val="0"/>
      <w:divBdr>
        <w:top w:val="none" w:sz="0" w:space="0" w:color="auto"/>
        <w:left w:val="none" w:sz="0" w:space="0" w:color="auto"/>
        <w:bottom w:val="none" w:sz="0" w:space="0" w:color="auto"/>
        <w:right w:val="none" w:sz="0" w:space="0" w:color="auto"/>
      </w:divBdr>
    </w:div>
    <w:div w:id="383529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5818257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6744583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7598525">
      <w:bodyDiv w:val="1"/>
      <w:marLeft w:val="0"/>
      <w:marRight w:val="0"/>
      <w:marTop w:val="0"/>
      <w:marBottom w:val="0"/>
      <w:divBdr>
        <w:top w:val="none" w:sz="0" w:space="0" w:color="auto"/>
        <w:left w:val="none" w:sz="0" w:space="0" w:color="auto"/>
        <w:bottom w:val="none" w:sz="0" w:space="0" w:color="auto"/>
        <w:right w:val="none" w:sz="0" w:space="0" w:color="auto"/>
      </w:divBdr>
    </w:div>
    <w:div w:id="827793284">
      <w:bodyDiv w:val="1"/>
      <w:marLeft w:val="0"/>
      <w:marRight w:val="0"/>
      <w:marTop w:val="0"/>
      <w:marBottom w:val="0"/>
      <w:divBdr>
        <w:top w:val="none" w:sz="0" w:space="0" w:color="auto"/>
        <w:left w:val="none" w:sz="0" w:space="0" w:color="auto"/>
        <w:bottom w:val="none" w:sz="0" w:space="0" w:color="auto"/>
        <w:right w:val="none" w:sz="0" w:space="0" w:color="auto"/>
      </w:divBdr>
    </w:div>
    <w:div w:id="833373971">
      <w:bodyDiv w:val="1"/>
      <w:marLeft w:val="0"/>
      <w:marRight w:val="0"/>
      <w:marTop w:val="0"/>
      <w:marBottom w:val="0"/>
      <w:divBdr>
        <w:top w:val="none" w:sz="0" w:space="0" w:color="auto"/>
        <w:left w:val="none" w:sz="0" w:space="0" w:color="auto"/>
        <w:bottom w:val="none" w:sz="0" w:space="0" w:color="auto"/>
        <w:right w:val="none" w:sz="0" w:space="0" w:color="auto"/>
      </w:divBdr>
    </w:div>
    <w:div w:id="95598298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44485345">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7106465">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66463742">
      <w:bodyDiv w:val="1"/>
      <w:marLeft w:val="0"/>
      <w:marRight w:val="0"/>
      <w:marTop w:val="0"/>
      <w:marBottom w:val="0"/>
      <w:divBdr>
        <w:top w:val="none" w:sz="0" w:space="0" w:color="auto"/>
        <w:left w:val="none" w:sz="0" w:space="0" w:color="auto"/>
        <w:bottom w:val="none" w:sz="0" w:space="0" w:color="auto"/>
        <w:right w:val="none" w:sz="0" w:space="0" w:color="auto"/>
      </w:divBdr>
    </w:div>
    <w:div w:id="147509887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2115979">
      <w:bodyDiv w:val="1"/>
      <w:marLeft w:val="0"/>
      <w:marRight w:val="0"/>
      <w:marTop w:val="0"/>
      <w:marBottom w:val="0"/>
      <w:divBdr>
        <w:top w:val="none" w:sz="0" w:space="0" w:color="auto"/>
        <w:left w:val="none" w:sz="0" w:space="0" w:color="auto"/>
        <w:bottom w:val="none" w:sz="0" w:space="0" w:color="auto"/>
        <w:right w:val="none" w:sz="0" w:space="0" w:color="auto"/>
      </w:divBdr>
    </w:div>
    <w:div w:id="1891305239">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6162370">
      <w:bodyDiv w:val="1"/>
      <w:marLeft w:val="0"/>
      <w:marRight w:val="0"/>
      <w:marTop w:val="0"/>
      <w:marBottom w:val="0"/>
      <w:divBdr>
        <w:top w:val="none" w:sz="0" w:space="0" w:color="auto"/>
        <w:left w:val="none" w:sz="0" w:space="0" w:color="auto"/>
        <w:bottom w:val="none" w:sz="0" w:space="0" w:color="auto"/>
        <w:right w:val="none" w:sz="0" w:space="0" w:color="auto"/>
      </w:divBdr>
      <w:divsChild>
        <w:div w:id="555430502">
          <w:marLeft w:val="0"/>
          <w:marRight w:val="0"/>
          <w:marTop w:val="0"/>
          <w:marBottom w:val="0"/>
          <w:divBdr>
            <w:top w:val="none" w:sz="0" w:space="0" w:color="auto"/>
            <w:left w:val="none" w:sz="0" w:space="0" w:color="auto"/>
            <w:bottom w:val="none" w:sz="0" w:space="0" w:color="auto"/>
            <w:right w:val="none" w:sz="0" w:space="0" w:color="auto"/>
          </w:divBdr>
        </w:div>
        <w:div w:id="27343579">
          <w:marLeft w:val="0"/>
          <w:marRight w:val="0"/>
          <w:marTop w:val="0"/>
          <w:marBottom w:val="0"/>
          <w:divBdr>
            <w:top w:val="none" w:sz="0" w:space="0" w:color="auto"/>
            <w:left w:val="none" w:sz="0" w:space="0" w:color="auto"/>
            <w:bottom w:val="none" w:sz="0" w:space="0" w:color="auto"/>
            <w:right w:val="none" w:sz="0" w:space="0" w:color="auto"/>
          </w:divBdr>
        </w:div>
        <w:div w:id="975792415">
          <w:marLeft w:val="0"/>
          <w:marRight w:val="0"/>
          <w:marTop w:val="0"/>
          <w:marBottom w:val="0"/>
          <w:divBdr>
            <w:top w:val="none" w:sz="0" w:space="0" w:color="auto"/>
            <w:left w:val="none" w:sz="0" w:space="0" w:color="auto"/>
            <w:bottom w:val="none" w:sz="0" w:space="0" w:color="auto"/>
            <w:right w:val="none" w:sz="0" w:space="0" w:color="auto"/>
          </w:divBdr>
        </w:div>
        <w:div w:id="1976401010">
          <w:marLeft w:val="0"/>
          <w:marRight w:val="0"/>
          <w:marTop w:val="0"/>
          <w:marBottom w:val="0"/>
          <w:divBdr>
            <w:top w:val="none" w:sz="0" w:space="0" w:color="auto"/>
            <w:left w:val="none" w:sz="0" w:space="0" w:color="auto"/>
            <w:bottom w:val="none" w:sz="0" w:space="0" w:color="auto"/>
            <w:right w:val="none" w:sz="0" w:space="0" w:color="auto"/>
          </w:divBdr>
        </w:div>
        <w:div w:id="1346132678">
          <w:marLeft w:val="0"/>
          <w:marRight w:val="0"/>
          <w:marTop w:val="0"/>
          <w:marBottom w:val="0"/>
          <w:divBdr>
            <w:top w:val="none" w:sz="0" w:space="0" w:color="auto"/>
            <w:left w:val="none" w:sz="0" w:space="0" w:color="auto"/>
            <w:bottom w:val="none" w:sz="0" w:space="0" w:color="auto"/>
            <w:right w:val="none" w:sz="0" w:space="0" w:color="auto"/>
          </w:divBdr>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2272250">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08749282">
      <w:bodyDiv w:val="1"/>
      <w:marLeft w:val="0"/>
      <w:marRight w:val="0"/>
      <w:marTop w:val="0"/>
      <w:marBottom w:val="0"/>
      <w:divBdr>
        <w:top w:val="none" w:sz="0" w:space="0" w:color="auto"/>
        <w:left w:val="none" w:sz="0" w:space="0" w:color="auto"/>
        <w:bottom w:val="none" w:sz="0" w:space="0" w:color="auto"/>
        <w:right w:val="none" w:sz="0" w:space="0" w:color="auto"/>
      </w:divBdr>
    </w:div>
    <w:div w:id="2017413843">
      <w:bodyDiv w:val="1"/>
      <w:marLeft w:val="0"/>
      <w:marRight w:val="0"/>
      <w:marTop w:val="0"/>
      <w:marBottom w:val="0"/>
      <w:divBdr>
        <w:top w:val="none" w:sz="0" w:space="0" w:color="auto"/>
        <w:left w:val="none" w:sz="0" w:space="0" w:color="auto"/>
        <w:bottom w:val="none" w:sz="0" w:space="0" w:color="auto"/>
        <w:right w:val="none" w:sz="0" w:space="0" w:color="auto"/>
      </w:divBdr>
    </w:div>
    <w:div w:id="2024474182">
      <w:bodyDiv w:val="1"/>
      <w:marLeft w:val="0"/>
      <w:marRight w:val="0"/>
      <w:marTop w:val="0"/>
      <w:marBottom w:val="0"/>
      <w:divBdr>
        <w:top w:val="none" w:sz="0" w:space="0" w:color="auto"/>
        <w:left w:val="none" w:sz="0" w:space="0" w:color="auto"/>
        <w:bottom w:val="none" w:sz="0" w:space="0" w:color="auto"/>
        <w:right w:val="none" w:sz="0" w:space="0" w:color="auto"/>
      </w:divBdr>
    </w:div>
    <w:div w:id="2062627921">
      <w:bodyDiv w:val="1"/>
      <w:marLeft w:val="0"/>
      <w:marRight w:val="0"/>
      <w:marTop w:val="0"/>
      <w:marBottom w:val="0"/>
      <w:divBdr>
        <w:top w:val="none" w:sz="0" w:space="0" w:color="auto"/>
        <w:left w:val="none" w:sz="0" w:space="0" w:color="auto"/>
        <w:bottom w:val="none" w:sz="0" w:space="0" w:color="auto"/>
        <w:right w:val="none" w:sz="0" w:space="0" w:color="auto"/>
      </w:divBdr>
    </w:div>
    <w:div w:id="21315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bac-outcomes/2022-12/Increased-Dispensing-Quantities-List-of-Medicin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healthpro/explanatory-notes/front/fe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4364</Words>
  <Characters>22320</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2023-10-31T04:23:00Z</dcterms:created>
  <dcterms:modified xsi:type="dcterms:W3CDTF">2023-11-07T05:54:00Z</dcterms:modified>
</cp:coreProperties>
</file>