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9C2A" w14:textId="45E2BFD9" w:rsidR="004D1EA7" w:rsidRPr="004A6040" w:rsidRDefault="004D1EA7" w:rsidP="000C5E89">
      <w:pPr>
        <w:pStyle w:val="1-MainHeading"/>
        <w:ind w:left="851" w:hanging="851"/>
      </w:pPr>
      <w:bookmarkStart w:id="0" w:name="_Toc134462747"/>
      <w:bookmarkStart w:id="1" w:name="_Toc134463902"/>
      <w:bookmarkStart w:id="2" w:name="_Toc135142364"/>
      <w:r>
        <w:t>5.07</w:t>
      </w:r>
      <w:r>
        <w:tab/>
        <w:t>MIRIKIZUMAB,</w:t>
      </w:r>
      <w:r>
        <w:br/>
        <w:t>Solution concentrate for I.V. infusion 300 mg in 15</w:t>
      </w:r>
      <w:r w:rsidR="003F6AF0">
        <w:t> </w:t>
      </w:r>
      <w:r>
        <w:t>mL,</w:t>
      </w:r>
      <w:r>
        <w:br/>
        <w:t>Solution for injection 100 mg in 1 mL pre-filled pen,</w:t>
      </w:r>
      <w:r>
        <w:br/>
        <w:t>Omvoh</w:t>
      </w:r>
      <w:r w:rsidRPr="004A6040">
        <w:rPr>
          <w:vertAlign w:val="superscript"/>
        </w:rPr>
        <w:t>®</w:t>
      </w:r>
      <w:r w:rsidRPr="004A6040">
        <w:t>,</w:t>
      </w:r>
      <w:r w:rsidRPr="004A6040">
        <w:br/>
      </w:r>
      <w:r>
        <w:t>Eli Lilly Australia Pty Ltd</w:t>
      </w:r>
      <w:r w:rsidRPr="004A6040">
        <w:t>.</w:t>
      </w:r>
      <w:bookmarkEnd w:id="0"/>
      <w:bookmarkEnd w:id="1"/>
      <w:bookmarkEnd w:id="2"/>
      <w:r>
        <w:t xml:space="preserve"> </w:t>
      </w:r>
    </w:p>
    <w:p w14:paraId="27C0A1F2" w14:textId="77777777" w:rsidR="004D1EA7" w:rsidRPr="00407F2D" w:rsidRDefault="004D1EA7" w:rsidP="004D1EA7">
      <w:pPr>
        <w:pStyle w:val="2-SectionHeading"/>
        <w:numPr>
          <w:ilvl w:val="0"/>
          <w:numId w:val="1"/>
        </w:numPr>
      </w:pPr>
      <w:bookmarkStart w:id="3" w:name="_Toc135142366"/>
      <w:r w:rsidRPr="00407F2D">
        <w:t xml:space="preserve">Purpose of </w:t>
      </w:r>
      <w:r>
        <w:t>submission</w:t>
      </w:r>
      <w:bookmarkEnd w:id="3"/>
    </w:p>
    <w:p w14:paraId="24117DFC" w14:textId="64E74966" w:rsidR="004D1EA7" w:rsidRDefault="004D1EA7" w:rsidP="004D1EA7">
      <w:pPr>
        <w:pStyle w:val="3-BodyText"/>
      </w:pPr>
      <w:r>
        <w:t xml:space="preserve">The Category 2 submission requested Section 100 (Highly Specialised Drugs Program) and </w:t>
      </w:r>
      <w:r w:rsidR="002A3F71">
        <w:t>General Schedule,</w:t>
      </w:r>
      <w:r>
        <w:t xml:space="preserve"> Authority Required (written</w:t>
      </w:r>
      <w:r w:rsidR="00031932">
        <w:t xml:space="preserve"> (initial)</w:t>
      </w:r>
      <w:r>
        <w:t>/electronic</w:t>
      </w:r>
      <w:r w:rsidR="00031932">
        <w:t xml:space="preserve"> (continuing)</w:t>
      </w:r>
      <w:r>
        <w:t xml:space="preserve">) </w:t>
      </w:r>
      <w:r w:rsidR="00095BBB">
        <w:t>Pharmaceutical Benefits Scheme (</w:t>
      </w:r>
      <w:r>
        <w:t>PBS</w:t>
      </w:r>
      <w:r w:rsidR="00095BBB">
        <w:t>)</w:t>
      </w:r>
      <w:r>
        <w:t xml:space="preserve"> listing</w:t>
      </w:r>
      <w:r w:rsidR="00095BBB">
        <w:t>s</w:t>
      </w:r>
      <w:r>
        <w:t xml:space="preserve"> of mirikizumab (MIRI) vial for intravenous (IV) infusion and pre-filled pen for subcutaneous (SC) injection</w:t>
      </w:r>
      <w:r w:rsidR="002A3F71">
        <w:t>,</w:t>
      </w:r>
      <w:r>
        <w:t xml:space="preserve"> respectively</w:t>
      </w:r>
      <w:r w:rsidR="00A3494F">
        <w:t xml:space="preserve"> (Omvoh</w:t>
      </w:r>
      <w:r w:rsidR="00A3494F">
        <w:rPr>
          <w:rFonts w:cstheme="minorHAnsi"/>
        </w:rPr>
        <w:t>®</w:t>
      </w:r>
      <w:r w:rsidR="00A3494F">
        <w:t>)</w:t>
      </w:r>
      <w:r>
        <w:t xml:space="preserve">, for the treatment of </w:t>
      </w:r>
      <w:bookmarkStart w:id="4" w:name="_Hlk134189264"/>
      <w:r>
        <w:t>moderate to severe ulcerative colitis (MSUC)</w:t>
      </w:r>
      <w:bookmarkEnd w:id="4"/>
      <w:r w:rsidRPr="0096648F">
        <w:t xml:space="preserve"> in adult patients who have </w:t>
      </w:r>
      <w:r>
        <w:t>had</w:t>
      </w:r>
      <w:r w:rsidRPr="0096648F">
        <w:t xml:space="preserve"> </w:t>
      </w:r>
      <w:r>
        <w:t>an</w:t>
      </w:r>
      <w:r w:rsidRPr="0096648F">
        <w:t xml:space="preserve"> </w:t>
      </w:r>
      <w:r>
        <w:t>in</w:t>
      </w:r>
      <w:r w:rsidRPr="0096648F">
        <w:t>adequate response</w:t>
      </w:r>
      <w:r>
        <w:t xml:space="preserve"> with, lost response</w:t>
      </w:r>
      <w:r w:rsidRPr="0096648F">
        <w:t xml:space="preserve"> to, or </w:t>
      </w:r>
      <w:r>
        <w:t>were</w:t>
      </w:r>
      <w:r w:rsidRPr="0096648F">
        <w:t xml:space="preserve"> </w:t>
      </w:r>
      <w:r w:rsidR="00095BBB" w:rsidRPr="0096648F">
        <w:t>intoleran</w:t>
      </w:r>
      <w:r w:rsidR="00095BBB">
        <w:t>t</w:t>
      </w:r>
      <w:r w:rsidR="00095BBB" w:rsidRPr="0096648F">
        <w:t xml:space="preserve"> </w:t>
      </w:r>
      <w:r w:rsidRPr="0096648F">
        <w:t>to conventional therapy</w:t>
      </w:r>
      <w:r>
        <w:t>.</w:t>
      </w:r>
    </w:p>
    <w:p w14:paraId="4E1AE172" w14:textId="6FB2B86B" w:rsidR="004D1EA7" w:rsidRPr="0096648F" w:rsidRDefault="004D1EA7" w:rsidP="004D1EA7">
      <w:pPr>
        <w:pStyle w:val="3-BodyText"/>
        <w:rPr>
          <w:i/>
        </w:rPr>
      </w:pPr>
      <w:r w:rsidRPr="0096648F">
        <w:t xml:space="preserve">There are currently </w:t>
      </w:r>
      <w:r w:rsidR="00031932">
        <w:t>eight</w:t>
      </w:r>
      <w:r w:rsidR="00031932" w:rsidRPr="0096648F">
        <w:t xml:space="preserve"> </w:t>
      </w:r>
      <w:r w:rsidRPr="0096648F">
        <w:t>treatments available on the PBS for MSUC</w:t>
      </w:r>
      <w:r w:rsidR="00095BBB">
        <w:t>,</w:t>
      </w:r>
      <w:r w:rsidRPr="0096648F">
        <w:t xml:space="preserve"> </w:t>
      </w:r>
      <w:bookmarkStart w:id="5" w:name="_Hlk134806616"/>
      <w:r w:rsidRPr="0096648F">
        <w:t>including</w:t>
      </w:r>
      <w:r>
        <w:t xml:space="preserve"> three tumour necrosis factor alpha inhibitors (TNFi) </w:t>
      </w:r>
      <w:r w:rsidR="00FE1DE1">
        <w:t>–</w:t>
      </w:r>
      <w:r w:rsidRPr="0096648F">
        <w:t xml:space="preserve"> infliximab (IFX)</w:t>
      </w:r>
      <w:r>
        <w:t xml:space="preserve">, </w:t>
      </w:r>
      <w:r w:rsidRPr="0096648F">
        <w:t>adalimumab (ADA), and golimumab (GOL)</w:t>
      </w:r>
      <w:r>
        <w:t xml:space="preserve">, </w:t>
      </w:r>
      <w:r w:rsidR="00031932">
        <w:t>two</w:t>
      </w:r>
      <w:r>
        <w:t xml:space="preserve"> janus kinase (JAK) inhibitor</w:t>
      </w:r>
      <w:r w:rsidR="00031932">
        <w:t>s</w:t>
      </w:r>
      <w:r>
        <w:t xml:space="preserve"> </w:t>
      </w:r>
      <w:r w:rsidR="00FE1DE1">
        <w:t>–</w:t>
      </w:r>
      <w:r>
        <w:t xml:space="preserve"> </w:t>
      </w:r>
      <w:r w:rsidRPr="0096648F">
        <w:t>tofacitinib (TOF)</w:t>
      </w:r>
      <w:r w:rsidR="00031932">
        <w:t xml:space="preserve"> and upadacitinib (UPA)</w:t>
      </w:r>
      <w:r w:rsidRPr="0096648F">
        <w:t>,</w:t>
      </w:r>
      <w:r w:rsidR="00031932">
        <w:t xml:space="preserve"> one interleukin 12/23 (IL-12/23) inhibitor – ustekinumab (UST), one sphingosine-1 phosphate (S1P) inhibitor – ozanimod (OZA)</w:t>
      </w:r>
      <w:r w:rsidR="003F6AF0">
        <w:t>,</w:t>
      </w:r>
      <w:r w:rsidRPr="0096648F">
        <w:t xml:space="preserve"> </w:t>
      </w:r>
      <w:r>
        <w:t>and one</w:t>
      </w:r>
      <w:r w:rsidR="00031932">
        <w:t xml:space="preserve"> </w:t>
      </w:r>
      <w:r w:rsidR="00031932">
        <w:rPr>
          <w:rFonts w:cstheme="minorHAnsi"/>
        </w:rPr>
        <w:t>α</w:t>
      </w:r>
      <w:r w:rsidR="00031932">
        <w:t>4</w:t>
      </w:r>
      <w:r w:rsidR="00031932">
        <w:rPr>
          <w:rFonts w:cstheme="minorHAnsi"/>
        </w:rPr>
        <w:t>β</w:t>
      </w:r>
      <w:r w:rsidR="00031932">
        <w:t>7</w:t>
      </w:r>
      <w:r>
        <w:t xml:space="preserve"> integrin </w:t>
      </w:r>
      <w:r w:rsidR="00095BBB">
        <w:t>in</w:t>
      </w:r>
      <w:r>
        <w:t xml:space="preserve">hibitor </w:t>
      </w:r>
      <w:r w:rsidR="00FE1DE1">
        <w:t>–</w:t>
      </w:r>
      <w:r w:rsidRPr="0096648F">
        <w:t xml:space="preserve"> vedolizumab (VDZ). </w:t>
      </w:r>
      <w:bookmarkEnd w:id="5"/>
      <w:r w:rsidRPr="00E35482">
        <w:rPr>
          <w:iCs/>
        </w:rPr>
        <w:t>MIRI would be the second drug in the interleukin (IL) proinflammatory class recommended by the PBAC after UST (IL-12/23 inhibitor).</w:t>
      </w:r>
    </w:p>
    <w:p w14:paraId="7847B564" w14:textId="6157956A" w:rsidR="004D1EA7" w:rsidRPr="008B1757" w:rsidRDefault="004D1EA7" w:rsidP="004D1EA7">
      <w:pPr>
        <w:pStyle w:val="3-BodyText"/>
      </w:pPr>
      <w:r>
        <w:t xml:space="preserve">Listing was requested on the basis of </w:t>
      </w:r>
      <w:r w:rsidR="00FE1DE1">
        <w:t xml:space="preserve">a </w:t>
      </w:r>
      <w:r>
        <w:t>cost-minimisation approach versus VDZ.</w:t>
      </w:r>
    </w:p>
    <w:p w14:paraId="7206BB81" w14:textId="57125F1D" w:rsidR="004D1EA7" w:rsidRDefault="004D1EA7" w:rsidP="000C5E89">
      <w:pPr>
        <w:pStyle w:val="TableFigureHeading"/>
        <w:keepLines/>
        <w:rPr>
          <w:rStyle w:val="CommentReference"/>
          <w:b/>
          <w:szCs w:val="24"/>
        </w:rPr>
      </w:pPr>
      <w:bookmarkStart w:id="6" w:name="_Ref134379629"/>
      <w:r>
        <w:lastRenderedPageBreak/>
        <w:t xml:space="preserve">Table </w:t>
      </w:r>
      <w:r w:rsidR="00A234BA">
        <w:fldChar w:fldCharType="begin" w:fldLock="1"/>
      </w:r>
      <w:r w:rsidR="00A234BA">
        <w:instrText xml:space="preserve"> SEQ Table \* ARABIC </w:instrText>
      </w:r>
      <w:r w:rsidR="00A234BA">
        <w:fldChar w:fldCharType="separate"/>
      </w:r>
      <w:r w:rsidR="0005097F">
        <w:rPr>
          <w:noProof/>
        </w:rPr>
        <w:t>1</w:t>
      </w:r>
      <w:r w:rsidR="00A234BA">
        <w:rPr>
          <w:noProof/>
        </w:rPr>
        <w:fldChar w:fldCharType="end"/>
      </w:r>
      <w:bookmarkEnd w:id="6"/>
      <w:r>
        <w:t>:</w:t>
      </w:r>
      <w:r w:rsidRPr="004A6040">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by the submission (as stated in the submission)"/>
      </w:tblPr>
      <w:tblGrid>
        <w:gridCol w:w="1252"/>
        <w:gridCol w:w="7765"/>
      </w:tblGrid>
      <w:tr w:rsidR="004D1EA7" w14:paraId="126F99A8" w14:textId="77777777" w:rsidTr="004D1EA7">
        <w:tc>
          <w:tcPr>
            <w:tcW w:w="694" w:type="pct"/>
            <w:tcBorders>
              <w:top w:val="single" w:sz="4" w:space="0" w:color="auto"/>
              <w:left w:val="single" w:sz="4" w:space="0" w:color="auto"/>
              <w:bottom w:val="single" w:sz="4" w:space="0" w:color="auto"/>
              <w:right w:val="single" w:sz="4" w:space="0" w:color="auto"/>
            </w:tcBorders>
            <w:vAlign w:val="center"/>
            <w:hideMark/>
          </w:tcPr>
          <w:p w14:paraId="07543F93" w14:textId="77777777" w:rsidR="004D1EA7" w:rsidRDefault="004D1EA7" w:rsidP="000C5E89">
            <w:pPr>
              <w:pStyle w:val="In-tableHeading"/>
              <w:keepLines/>
            </w:pPr>
            <w:r>
              <w:t>Component</w:t>
            </w:r>
          </w:p>
        </w:tc>
        <w:tc>
          <w:tcPr>
            <w:tcW w:w="4306" w:type="pct"/>
            <w:tcBorders>
              <w:top w:val="single" w:sz="4" w:space="0" w:color="auto"/>
              <w:left w:val="single" w:sz="4" w:space="0" w:color="auto"/>
              <w:bottom w:val="single" w:sz="4" w:space="0" w:color="auto"/>
              <w:right w:val="single" w:sz="4" w:space="0" w:color="auto"/>
            </w:tcBorders>
            <w:vAlign w:val="center"/>
            <w:hideMark/>
          </w:tcPr>
          <w:p w14:paraId="461799AF" w14:textId="77777777" w:rsidR="004D1EA7" w:rsidRDefault="004D1EA7" w:rsidP="000C5E89">
            <w:pPr>
              <w:pStyle w:val="In-tableHeading"/>
              <w:keepLines/>
            </w:pPr>
            <w:r>
              <w:t>Description</w:t>
            </w:r>
          </w:p>
        </w:tc>
      </w:tr>
      <w:tr w:rsidR="004D1EA7" w14:paraId="2B929DBA" w14:textId="77777777" w:rsidTr="004D1EA7">
        <w:tc>
          <w:tcPr>
            <w:tcW w:w="694" w:type="pct"/>
            <w:tcBorders>
              <w:top w:val="single" w:sz="4" w:space="0" w:color="auto"/>
              <w:left w:val="single" w:sz="4" w:space="0" w:color="auto"/>
              <w:bottom w:val="single" w:sz="4" w:space="0" w:color="auto"/>
              <w:right w:val="single" w:sz="4" w:space="0" w:color="auto"/>
            </w:tcBorders>
            <w:vAlign w:val="center"/>
            <w:hideMark/>
          </w:tcPr>
          <w:p w14:paraId="5E6675A8" w14:textId="77777777" w:rsidR="004D1EA7" w:rsidRDefault="004D1EA7" w:rsidP="000C5E89">
            <w:pPr>
              <w:pStyle w:val="TableText0"/>
              <w:keepLines/>
            </w:pPr>
            <w:r>
              <w:t>Population</w:t>
            </w:r>
          </w:p>
        </w:tc>
        <w:tc>
          <w:tcPr>
            <w:tcW w:w="4306" w:type="pct"/>
            <w:tcBorders>
              <w:top w:val="single" w:sz="4" w:space="0" w:color="auto"/>
              <w:left w:val="single" w:sz="4" w:space="0" w:color="auto"/>
              <w:bottom w:val="single" w:sz="4" w:space="0" w:color="auto"/>
              <w:right w:val="single" w:sz="4" w:space="0" w:color="auto"/>
            </w:tcBorders>
            <w:vAlign w:val="center"/>
            <w:hideMark/>
          </w:tcPr>
          <w:p w14:paraId="1BBC8DA4" w14:textId="77777777" w:rsidR="004D1EA7" w:rsidRDefault="004D1EA7" w:rsidP="000C5E89">
            <w:pPr>
              <w:pStyle w:val="TableText0"/>
              <w:keepLines/>
            </w:pPr>
            <w:r>
              <w:t xml:space="preserve">Treatment of MSUC in adult patients who have had an inadequate response </w:t>
            </w:r>
            <w:proofErr w:type="gramStart"/>
            <w:r w:rsidRPr="00F252A8">
              <w:t>with</w:t>
            </w:r>
            <w:r>
              <w:t>,</w:t>
            </w:r>
            <w:proofErr w:type="gramEnd"/>
            <w:r w:rsidRPr="00F252A8">
              <w:t xml:space="preserve"> lost response to, or </w:t>
            </w:r>
            <w:r>
              <w:t>were intolerant to conventional therapy.</w:t>
            </w:r>
          </w:p>
        </w:tc>
      </w:tr>
      <w:tr w:rsidR="004D1EA7" w14:paraId="3E01A240" w14:textId="77777777" w:rsidTr="003C3D16">
        <w:trPr>
          <w:trHeight w:val="152"/>
        </w:trPr>
        <w:tc>
          <w:tcPr>
            <w:tcW w:w="694" w:type="pct"/>
            <w:tcBorders>
              <w:top w:val="single" w:sz="4" w:space="0" w:color="auto"/>
              <w:left w:val="single" w:sz="4" w:space="0" w:color="auto"/>
              <w:bottom w:val="single" w:sz="4" w:space="0" w:color="auto"/>
              <w:right w:val="single" w:sz="4" w:space="0" w:color="auto"/>
            </w:tcBorders>
            <w:vAlign w:val="center"/>
            <w:hideMark/>
          </w:tcPr>
          <w:p w14:paraId="32B9B78C" w14:textId="77777777" w:rsidR="004D1EA7" w:rsidRDefault="004D1EA7" w:rsidP="000C5E89">
            <w:pPr>
              <w:pStyle w:val="TableText0"/>
              <w:keepLines/>
            </w:pPr>
            <w:r>
              <w:t>Intervention</w:t>
            </w:r>
          </w:p>
        </w:tc>
        <w:tc>
          <w:tcPr>
            <w:tcW w:w="4306" w:type="pct"/>
            <w:tcBorders>
              <w:top w:val="single" w:sz="4" w:space="0" w:color="auto"/>
              <w:left w:val="single" w:sz="4" w:space="0" w:color="auto"/>
              <w:bottom w:val="single" w:sz="4" w:space="0" w:color="auto"/>
              <w:right w:val="single" w:sz="4" w:space="0" w:color="auto"/>
            </w:tcBorders>
            <w:vAlign w:val="center"/>
            <w:hideMark/>
          </w:tcPr>
          <w:p w14:paraId="19C33A92" w14:textId="77777777" w:rsidR="004D1EA7" w:rsidRDefault="004D1EA7" w:rsidP="000C5E89">
            <w:pPr>
              <w:pStyle w:val="TableText0"/>
              <w:keepLines/>
            </w:pPr>
            <w:r>
              <w:t xml:space="preserve">Induction: MIRI 300 mg IV at Week 0, 4, 8 (standard induction, 12 weeks); </w:t>
            </w:r>
            <w:bookmarkStart w:id="7" w:name="_Hlk140066628"/>
            <w:r>
              <w:t>±</w:t>
            </w:r>
            <w:bookmarkEnd w:id="7"/>
            <w:r>
              <w:t xml:space="preserve"> additional doses at Week 12, 16, 20 (extended induction, up to a maximum of 24 weeks). </w:t>
            </w:r>
          </w:p>
          <w:p w14:paraId="71AABC2B" w14:textId="77777777" w:rsidR="004D1EA7" w:rsidRDefault="004D1EA7" w:rsidP="000C5E89">
            <w:pPr>
              <w:pStyle w:val="TableText0"/>
              <w:keepLines/>
            </w:pPr>
            <w:r>
              <w:t>Maintenance: MIRI 200 mg (given as two consecutive SC injections of 100 mg each) every 4 weeks thereafter.</w:t>
            </w:r>
          </w:p>
        </w:tc>
      </w:tr>
      <w:tr w:rsidR="004D1EA7" w14:paraId="186A4F25" w14:textId="77777777" w:rsidTr="004D1EA7">
        <w:tc>
          <w:tcPr>
            <w:tcW w:w="694" w:type="pct"/>
            <w:tcBorders>
              <w:top w:val="single" w:sz="4" w:space="0" w:color="auto"/>
              <w:left w:val="single" w:sz="4" w:space="0" w:color="auto"/>
              <w:bottom w:val="single" w:sz="4" w:space="0" w:color="auto"/>
              <w:right w:val="single" w:sz="4" w:space="0" w:color="auto"/>
            </w:tcBorders>
            <w:vAlign w:val="center"/>
            <w:hideMark/>
          </w:tcPr>
          <w:p w14:paraId="5FBA48FD" w14:textId="77777777" w:rsidR="004D1EA7" w:rsidRDefault="004D1EA7" w:rsidP="000C5E89">
            <w:pPr>
              <w:pStyle w:val="TableText0"/>
              <w:keepLines/>
            </w:pPr>
            <w:r>
              <w:t>Comparator</w:t>
            </w:r>
          </w:p>
        </w:tc>
        <w:tc>
          <w:tcPr>
            <w:tcW w:w="4306" w:type="pct"/>
            <w:tcBorders>
              <w:top w:val="single" w:sz="4" w:space="0" w:color="auto"/>
              <w:left w:val="single" w:sz="4" w:space="0" w:color="auto"/>
              <w:bottom w:val="single" w:sz="4" w:space="0" w:color="auto"/>
              <w:right w:val="single" w:sz="4" w:space="0" w:color="auto"/>
            </w:tcBorders>
            <w:vAlign w:val="center"/>
            <w:hideMark/>
          </w:tcPr>
          <w:p w14:paraId="088F06A7" w14:textId="76968B5E" w:rsidR="004D1EA7" w:rsidRDefault="004D1EA7" w:rsidP="000C5E89">
            <w:pPr>
              <w:pStyle w:val="TableText0"/>
              <w:keepLines/>
            </w:pPr>
            <w:r>
              <w:t>Main comparator: VDZ 300 mg IV infusion at Weeks 0, 2, 6 and every 8 weeks thereafter.</w:t>
            </w:r>
            <w:r w:rsidR="00F42922">
              <w:t>*</w:t>
            </w:r>
          </w:p>
          <w:p w14:paraId="71FEE7FE" w14:textId="3659E3E2" w:rsidR="004D1EA7" w:rsidRDefault="004D1EA7" w:rsidP="000C5E89">
            <w:pPr>
              <w:pStyle w:val="TableText0"/>
              <w:keepLines/>
            </w:pPr>
            <w:r>
              <w:t>Secondary comparator: ADA SC injection, 160 mg at Week 0, 80 mg at Week 2 then 40 mg every 2</w:t>
            </w:r>
            <w:r w:rsidR="00E85D61">
              <w:t> </w:t>
            </w:r>
            <w:r>
              <w:t>weeks thereafter.</w:t>
            </w:r>
          </w:p>
          <w:p w14:paraId="5B16E55F" w14:textId="0D8F29E3" w:rsidR="004D1EA7" w:rsidRDefault="004D1EA7" w:rsidP="000C5E89">
            <w:pPr>
              <w:pStyle w:val="TableText0"/>
              <w:keepLines/>
            </w:pPr>
            <w:r>
              <w:t>Near Market Comparator: UST IV infusion (based on body weight^) at Week 0, then UST 90 mg SC injection at Week 8 and every 8 or 12 weeks thereafter</w:t>
            </w:r>
            <w:r w:rsidR="00FE1DE1">
              <w:t>.</w:t>
            </w:r>
          </w:p>
        </w:tc>
      </w:tr>
      <w:tr w:rsidR="004D1EA7" w14:paraId="362D8572" w14:textId="77777777" w:rsidTr="004D1EA7">
        <w:tc>
          <w:tcPr>
            <w:tcW w:w="694" w:type="pct"/>
            <w:tcBorders>
              <w:top w:val="single" w:sz="4" w:space="0" w:color="auto"/>
              <w:left w:val="single" w:sz="4" w:space="0" w:color="auto"/>
              <w:bottom w:val="single" w:sz="4" w:space="0" w:color="auto"/>
              <w:right w:val="single" w:sz="4" w:space="0" w:color="auto"/>
            </w:tcBorders>
            <w:vAlign w:val="center"/>
            <w:hideMark/>
          </w:tcPr>
          <w:p w14:paraId="416B0BEB" w14:textId="77777777" w:rsidR="004D1EA7" w:rsidRDefault="004D1EA7" w:rsidP="000C5E89">
            <w:pPr>
              <w:pStyle w:val="TableText0"/>
              <w:keepLines/>
            </w:pPr>
            <w:r>
              <w:t>Outcomes</w:t>
            </w:r>
          </w:p>
        </w:tc>
        <w:tc>
          <w:tcPr>
            <w:tcW w:w="4306" w:type="pct"/>
            <w:tcBorders>
              <w:top w:val="single" w:sz="4" w:space="0" w:color="auto"/>
              <w:left w:val="single" w:sz="4" w:space="0" w:color="auto"/>
              <w:bottom w:val="single" w:sz="4" w:space="0" w:color="auto"/>
              <w:right w:val="single" w:sz="4" w:space="0" w:color="auto"/>
            </w:tcBorders>
            <w:vAlign w:val="center"/>
            <w:hideMark/>
          </w:tcPr>
          <w:p w14:paraId="42B5092B" w14:textId="4846AB8D" w:rsidR="004D1EA7" w:rsidRDefault="004D1EA7" w:rsidP="000C5E89">
            <w:pPr>
              <w:pStyle w:val="TableText0"/>
              <w:keepLines/>
            </w:pPr>
            <w:r>
              <w:t>Indirect comparison of MIRI versus VDZ, MIRI versus ADA and MIRI versus UST was conducted for the following outcomes, for induction and maintenance therapy: clinical remission, clinical response</w:t>
            </w:r>
            <w:r w:rsidR="00FE1DE1">
              <w:t>.</w:t>
            </w:r>
          </w:p>
        </w:tc>
      </w:tr>
      <w:tr w:rsidR="004D1EA7" w14:paraId="0F1CEF01" w14:textId="77777777" w:rsidTr="004D1EA7">
        <w:tc>
          <w:tcPr>
            <w:tcW w:w="694" w:type="pct"/>
            <w:tcBorders>
              <w:top w:val="single" w:sz="4" w:space="0" w:color="auto"/>
              <w:left w:val="single" w:sz="4" w:space="0" w:color="auto"/>
              <w:bottom w:val="single" w:sz="4" w:space="0" w:color="auto"/>
              <w:right w:val="single" w:sz="4" w:space="0" w:color="auto"/>
            </w:tcBorders>
            <w:vAlign w:val="center"/>
            <w:hideMark/>
          </w:tcPr>
          <w:p w14:paraId="0B65438E" w14:textId="77777777" w:rsidR="004D1EA7" w:rsidRDefault="004D1EA7" w:rsidP="000C5E89">
            <w:pPr>
              <w:pStyle w:val="TableText0"/>
              <w:keepLines/>
            </w:pPr>
            <w:r>
              <w:t>Clinical claim</w:t>
            </w:r>
          </w:p>
        </w:tc>
        <w:tc>
          <w:tcPr>
            <w:tcW w:w="4306" w:type="pct"/>
            <w:tcBorders>
              <w:top w:val="single" w:sz="4" w:space="0" w:color="auto"/>
              <w:left w:val="single" w:sz="4" w:space="0" w:color="auto"/>
              <w:bottom w:val="single" w:sz="4" w:space="0" w:color="auto"/>
              <w:right w:val="single" w:sz="4" w:space="0" w:color="auto"/>
            </w:tcBorders>
            <w:vAlign w:val="center"/>
            <w:hideMark/>
          </w:tcPr>
          <w:p w14:paraId="46DD4998" w14:textId="77777777" w:rsidR="004D1EA7" w:rsidRDefault="004D1EA7" w:rsidP="000C5E89">
            <w:pPr>
              <w:pStyle w:val="TableText0"/>
              <w:keepLines/>
            </w:pPr>
            <w:r>
              <w:t>Main comparator: MIRI is clinically non-inferior in terms of efficacy and comparable in terms of safety versus VDZ.</w:t>
            </w:r>
          </w:p>
          <w:p w14:paraId="325D3019" w14:textId="5A302201" w:rsidR="004D1EA7" w:rsidRDefault="004D1EA7" w:rsidP="000C5E89">
            <w:pPr>
              <w:pStyle w:val="TableText0"/>
              <w:keepLines/>
            </w:pPr>
            <w:r>
              <w:t>Secondary comparator: MIRI is clinically superior in terms of efficacy and comparable in terms of safety versus ADA</w:t>
            </w:r>
            <w:r w:rsidR="00FE1DE1">
              <w:t>.</w:t>
            </w:r>
          </w:p>
          <w:p w14:paraId="3C0B0DCB" w14:textId="03955BC8" w:rsidR="004D1EA7" w:rsidRDefault="004D1EA7" w:rsidP="000C5E89">
            <w:pPr>
              <w:pStyle w:val="TableText0"/>
              <w:keepLines/>
            </w:pPr>
            <w:r>
              <w:t>Near market comparator: MIRI is clinically non-inferior in terms of efficacy and comparable in terms of safety versus UST</w:t>
            </w:r>
            <w:r w:rsidR="00FE1DE1">
              <w:t>.</w:t>
            </w:r>
          </w:p>
        </w:tc>
      </w:tr>
    </w:tbl>
    <w:p w14:paraId="6409AD10" w14:textId="77777777" w:rsidR="004D1EA7" w:rsidRPr="007B6B2C" w:rsidRDefault="004D1EA7" w:rsidP="000C5E89">
      <w:pPr>
        <w:pStyle w:val="FooterTableFigure"/>
        <w:keepNext/>
        <w:keepLines/>
      </w:pPr>
      <w:r w:rsidRPr="007B6B2C">
        <w:t>Source: Table 1, p31 of the submission.</w:t>
      </w:r>
    </w:p>
    <w:p w14:paraId="62412563" w14:textId="63EB256B" w:rsidR="004D1EA7" w:rsidRPr="007B6B2C" w:rsidRDefault="004D1EA7" w:rsidP="000C5E89">
      <w:pPr>
        <w:pStyle w:val="FooterTableFigure"/>
        <w:keepNext/>
        <w:keepLines/>
        <w:spacing w:after="0"/>
      </w:pPr>
      <w:r w:rsidRPr="007B6B2C">
        <w:t>ADA=adalimumab</w:t>
      </w:r>
      <w:r w:rsidR="00FE1DE1" w:rsidRPr="007B6B2C">
        <w:t>, IV=Intravenous,</w:t>
      </w:r>
      <w:r w:rsidRPr="007B6B2C">
        <w:t xml:space="preserve"> MIRI=mirikizumab</w:t>
      </w:r>
      <w:r w:rsidR="00FE1DE1" w:rsidRPr="007B6B2C">
        <w:t>,</w:t>
      </w:r>
      <w:r w:rsidRPr="007B6B2C">
        <w:t xml:space="preserve"> MSUC=moderate to severe ulcerative colitis,</w:t>
      </w:r>
      <w:r w:rsidR="00FE1DE1" w:rsidRPr="007B6B2C">
        <w:t xml:space="preserve"> SC=Subcutaneous,</w:t>
      </w:r>
      <w:r w:rsidRPr="007B6B2C">
        <w:t xml:space="preserve"> UST=ustekinumab, VDZ=vedolizumab</w:t>
      </w:r>
      <w:r w:rsidR="00475314" w:rsidRPr="007B6B2C">
        <w:t>.</w:t>
      </w:r>
      <w:r w:rsidRPr="007B6B2C">
        <w:t xml:space="preserve"> </w:t>
      </w:r>
    </w:p>
    <w:p w14:paraId="4F0758BB" w14:textId="6585D769" w:rsidR="00E85D61" w:rsidRPr="007B6B2C" w:rsidRDefault="00E85D61" w:rsidP="000C5E89">
      <w:pPr>
        <w:pStyle w:val="ListBullet"/>
        <w:keepNext/>
        <w:keepLines/>
        <w:numPr>
          <w:ilvl w:val="0"/>
          <w:numId w:val="0"/>
        </w:numPr>
        <w:ind w:left="165" w:hanging="165"/>
        <w:rPr>
          <w:rFonts w:ascii="Arial Narrow" w:hAnsi="Arial Narrow"/>
        </w:rPr>
      </w:pPr>
      <w:r w:rsidRPr="007B6B2C">
        <w:rPr>
          <w:rFonts w:ascii="Arial Narrow" w:hAnsi="Arial Narrow"/>
          <w:vertAlign w:val="superscript"/>
        </w:rPr>
        <w:t>*</w:t>
      </w:r>
      <w:r w:rsidRPr="007B6B2C">
        <w:rPr>
          <w:rFonts w:ascii="Arial Narrow" w:hAnsi="Arial Narrow"/>
        </w:rPr>
        <w:tab/>
      </w:r>
      <w:r w:rsidRPr="007B6B2C">
        <w:rPr>
          <w:rFonts w:ascii="Arial Narrow" w:hAnsi="Arial Narrow"/>
          <w:snapToGrid w:val="0"/>
          <w:sz w:val="18"/>
          <w:szCs w:val="22"/>
        </w:rPr>
        <w:t>The submission nominated VDZ IV as the main comparator, but patients can switch to VDZ 108 mg SC injection every 2 weeks from Week 6 after the first two IV infusions (Week 0 and 2).</w:t>
      </w:r>
    </w:p>
    <w:p w14:paraId="78443A5A" w14:textId="2FD31C05" w:rsidR="004D1EA7" w:rsidRPr="007B6B2C" w:rsidRDefault="004D1EA7" w:rsidP="0005097F">
      <w:pPr>
        <w:pStyle w:val="FooterTableFigure"/>
        <w:spacing w:after="0"/>
      </w:pPr>
      <w:r w:rsidRPr="007B6B2C">
        <w:t>^</w:t>
      </w:r>
      <w:r w:rsidRPr="007B6B2C">
        <w:tab/>
        <w:t>UST IV 260 mg for weight ≤ 55 kg; UST IV 390 mg for weight &gt; 55 kg to ≤ 85 kg; UST IV 520 mg for weight &gt; 85 kg.</w:t>
      </w:r>
    </w:p>
    <w:p w14:paraId="6C7F8468" w14:textId="77777777" w:rsidR="004D1EA7" w:rsidRPr="00407F2D" w:rsidRDefault="004D1EA7" w:rsidP="004D1EA7">
      <w:pPr>
        <w:pStyle w:val="2-SectionHeading"/>
        <w:numPr>
          <w:ilvl w:val="0"/>
          <w:numId w:val="1"/>
        </w:numPr>
      </w:pPr>
      <w:bookmarkStart w:id="8" w:name="_Toc135142367"/>
      <w:r w:rsidRPr="00407F2D">
        <w:t>Background</w:t>
      </w:r>
      <w:bookmarkEnd w:id="8"/>
    </w:p>
    <w:p w14:paraId="73077167" w14:textId="77777777" w:rsidR="004D1EA7" w:rsidRPr="004151CF" w:rsidRDefault="004D1EA7" w:rsidP="004D1EA7">
      <w:pPr>
        <w:pStyle w:val="4-SubsectionHeading"/>
      </w:pPr>
      <w:bookmarkStart w:id="9" w:name="_Toc22897638"/>
      <w:bookmarkStart w:id="10" w:name="_Toc135142368"/>
      <w:r w:rsidRPr="004151CF">
        <w:t>Registration status</w:t>
      </w:r>
      <w:bookmarkEnd w:id="9"/>
      <w:bookmarkEnd w:id="10"/>
    </w:p>
    <w:p w14:paraId="1CC3D573" w14:textId="77777777" w:rsidR="00C15EA8" w:rsidRPr="00240407" w:rsidRDefault="00C15EA8" w:rsidP="004D1EA7">
      <w:pPr>
        <w:pStyle w:val="3-BodyText"/>
        <w:rPr>
          <w:rFonts w:ascii="Calibri" w:hAnsi="Calibri"/>
        </w:rPr>
      </w:pPr>
      <w:r w:rsidRPr="00A3494F">
        <w:rPr>
          <w:rFonts w:ascii="Calibri" w:eastAsia="Calibri" w:hAnsi="Calibri"/>
          <w:bCs/>
          <w:szCs w:val="22"/>
        </w:rPr>
        <w:t xml:space="preserve">TGA status at time of </w:t>
      </w:r>
      <w:r w:rsidR="00A3494F" w:rsidRPr="00A3494F">
        <w:rPr>
          <w:rFonts w:ascii="Calibri" w:eastAsia="Calibri" w:hAnsi="Calibri"/>
          <w:bCs/>
          <w:szCs w:val="22"/>
        </w:rPr>
        <w:t>PBAC consideration</w:t>
      </w:r>
      <w:r w:rsidRPr="00A3494F">
        <w:rPr>
          <w:rFonts w:ascii="Calibri" w:eastAsia="Calibri" w:hAnsi="Calibri"/>
          <w:bCs/>
          <w:szCs w:val="22"/>
        </w:rPr>
        <w:t>:</w:t>
      </w:r>
      <w:r w:rsidR="00240407" w:rsidRPr="00FD140C">
        <w:rPr>
          <w:rFonts w:ascii="Calibri" w:eastAsia="Calibri" w:hAnsi="Calibri"/>
          <w:szCs w:val="22"/>
        </w:rPr>
        <w:t xml:space="preserve"> </w:t>
      </w:r>
      <w:r w:rsidR="00191C83">
        <w:rPr>
          <w:rFonts w:ascii="Calibri" w:eastAsia="Calibri" w:hAnsi="Calibri"/>
          <w:szCs w:val="22"/>
        </w:rPr>
        <w:t>The Delegate’s Overview and draft Product Information were available.</w:t>
      </w:r>
      <w:r w:rsidR="00DF77B4" w:rsidRPr="00FD140C">
        <w:rPr>
          <w:rFonts w:ascii="Calibri" w:eastAsia="Calibri" w:hAnsi="Calibri"/>
          <w:szCs w:val="22"/>
        </w:rPr>
        <w:t xml:space="preserve"> Mirikizumab</w:t>
      </w:r>
      <w:r w:rsidR="00191C83">
        <w:rPr>
          <w:rFonts w:ascii="Calibri" w:eastAsia="Calibri" w:hAnsi="Calibri"/>
          <w:szCs w:val="22"/>
        </w:rPr>
        <w:t xml:space="preserve"> is</w:t>
      </w:r>
      <w:r w:rsidR="00E85D61" w:rsidRPr="00FD140C">
        <w:rPr>
          <w:rFonts w:ascii="Calibri" w:eastAsia="Calibri" w:hAnsi="Calibri"/>
          <w:szCs w:val="22"/>
        </w:rPr>
        <w:t xml:space="preserve"> </w:t>
      </w:r>
      <w:r w:rsidR="00DF77B4" w:rsidRPr="00FD140C">
        <w:rPr>
          <w:rFonts w:ascii="Calibri" w:eastAsia="Calibri" w:hAnsi="Calibri"/>
          <w:szCs w:val="22"/>
        </w:rPr>
        <w:t>under evaluation by Swissmedic as part of the work</w:t>
      </w:r>
      <w:r w:rsidR="0046717A" w:rsidRPr="00FD140C">
        <w:rPr>
          <w:rFonts w:ascii="Calibri" w:eastAsia="Calibri" w:hAnsi="Calibri"/>
          <w:szCs w:val="22"/>
        </w:rPr>
        <w:t>-</w:t>
      </w:r>
      <w:r w:rsidR="00DF77B4" w:rsidRPr="00FD140C">
        <w:rPr>
          <w:rFonts w:ascii="Calibri" w:eastAsia="Calibri" w:hAnsi="Calibri"/>
          <w:szCs w:val="22"/>
        </w:rPr>
        <w:t>sharing initiative of the ACSS</w:t>
      </w:r>
      <w:r w:rsidR="00DF77B4">
        <w:rPr>
          <w:rFonts w:ascii="Calibri" w:eastAsia="Calibri" w:hAnsi="Calibri"/>
          <w:i/>
          <w:iCs/>
          <w:szCs w:val="22"/>
        </w:rPr>
        <w:t xml:space="preserve"> </w:t>
      </w:r>
      <w:r w:rsidR="00DF77B4">
        <w:t xml:space="preserve">(Australia, Canada, Singapore and Switzerland) consortium </w:t>
      </w:r>
      <w:r w:rsidR="00DF77B4" w:rsidRPr="00E35482">
        <w:rPr>
          <w:iCs/>
        </w:rPr>
        <w:t>(now known as ‘Access Consortium’).</w:t>
      </w:r>
      <w:r w:rsidR="00A3494F" w:rsidRPr="00A3494F">
        <w:t xml:space="preserve"> </w:t>
      </w:r>
    </w:p>
    <w:p w14:paraId="7F9684B5" w14:textId="7BC919FB" w:rsidR="004D1EA7" w:rsidRDefault="004D1EA7" w:rsidP="004D1EA7">
      <w:pPr>
        <w:pStyle w:val="3-BodyText"/>
        <w:rPr>
          <w:rFonts w:ascii="Calibri" w:hAnsi="Calibri"/>
        </w:rPr>
      </w:pPr>
      <w:r>
        <w:t xml:space="preserve">The proposed TGA indication is: “OMVOH is indicated for the treatment of moderately to severely active ulcerative colitis (UC) in patients who have had an inadequate response </w:t>
      </w:r>
      <w:proofErr w:type="gramStart"/>
      <w:r>
        <w:t>with,</w:t>
      </w:r>
      <w:proofErr w:type="gramEnd"/>
      <w:r>
        <w:t xml:space="preserve"> lost response to, or were intolerant to conventional therapy or a biologic treatment or a Janus kinase (JAK) inhibitor, or have medical contraindications to such therapies.”</w:t>
      </w:r>
    </w:p>
    <w:p w14:paraId="4C6E238A" w14:textId="6CF6A2A6" w:rsidR="004D1EA7" w:rsidRPr="00CF3A1B" w:rsidRDefault="004D1EA7" w:rsidP="004D1EA7">
      <w:pPr>
        <w:pStyle w:val="3-BodyText"/>
      </w:pPr>
      <w:r>
        <w:t xml:space="preserve">The submission noted that the </w:t>
      </w:r>
      <w:r w:rsidRPr="009B4E13">
        <w:t>clinical evaluation report was not provided to sponsors with the Section 31 request for information.</w:t>
      </w:r>
      <w:r>
        <w:t xml:space="preserve"> </w:t>
      </w:r>
    </w:p>
    <w:p w14:paraId="5F219B73" w14:textId="77777777" w:rsidR="004D1EA7" w:rsidRPr="00665134" w:rsidRDefault="004D1EA7" w:rsidP="004D1EA7">
      <w:pPr>
        <w:pStyle w:val="2-SectionHeading"/>
        <w:numPr>
          <w:ilvl w:val="0"/>
          <w:numId w:val="1"/>
        </w:numPr>
      </w:pPr>
      <w:bookmarkStart w:id="11" w:name="_Toc107902078"/>
      <w:bookmarkStart w:id="12" w:name="_Toc135142370"/>
      <w:bookmarkEnd w:id="11"/>
      <w:r w:rsidRPr="00407F2D">
        <w:t xml:space="preserve">Requested </w:t>
      </w:r>
      <w:proofErr w:type="gramStart"/>
      <w:r w:rsidRPr="00407F2D">
        <w:t>listing</w:t>
      </w:r>
      <w:bookmarkEnd w:id="12"/>
      <w:proofErr w:type="gramEnd"/>
    </w:p>
    <w:p w14:paraId="3BB34DA2" w14:textId="4387E4A9" w:rsidR="00A3494F" w:rsidRPr="00A3494F" w:rsidRDefault="00A3494F" w:rsidP="0037570E">
      <w:pPr>
        <w:pStyle w:val="3-BodyText"/>
        <w:rPr>
          <w:b/>
        </w:rPr>
      </w:pPr>
      <w:r w:rsidRPr="00A3494F">
        <w:t xml:space="preserve">The submission requested </w:t>
      </w:r>
      <w:r w:rsidR="00592C55">
        <w:t>MIRI</w:t>
      </w:r>
      <w:r w:rsidRPr="00A3494F">
        <w:t xml:space="preserve"> solution concentrate for I.V. infusion 300 mg in 15 mL be listed under a Section 100 (Highly Specialised Drugs Program) listing for Initial 1, 2 and 3 for the treatment of MSUC. The minimum treatment period of the Initial listing </w:t>
      </w:r>
      <w:r w:rsidRPr="00A3494F">
        <w:lastRenderedPageBreak/>
        <w:t xml:space="preserve">requested was 12 weeks and a maximum treatment period of 24 weeks, and a maximum quantity of 1 vial and maximum of 5 repeats. The submission also requested a General Schedule Authority Required (Written) listing for mirikizumab solution for subcutaneous injection 100 mg in 1 mL pre-filled pen for continuing treatment for the treatment of MSUC, with a maximum quantity of 2 pre-filled pens (1 pack) and a maximum of 5 repeats. </w:t>
      </w:r>
    </w:p>
    <w:p w14:paraId="02DD5A3D" w14:textId="7D809D31" w:rsidR="0037570E" w:rsidRPr="00C81D3D" w:rsidRDefault="00A3494F" w:rsidP="00C81D3D">
      <w:pPr>
        <w:pStyle w:val="3-BodyText"/>
      </w:pPr>
      <w:r w:rsidRPr="00C81D3D">
        <w:t>The draft Product Information state</w:t>
      </w:r>
      <w:r w:rsidR="00E85D61" w:rsidRPr="00C81D3D">
        <w:t>d</w:t>
      </w:r>
      <w:r w:rsidRPr="00C81D3D">
        <w:t xml:space="preserve"> ‘The recommended induction dosage regimen of OMVOH is 300 mg infused intravenously for at least 30 minutes at Week 0, Week 4, and Week 8…..Evaluate patients after the 12-week induction dosing, and if there is adequate therapeutic response, transition to maintenance dosing. If patients do not have adequate therapeutic response at Week 12 after induction dosing, consider extended induction dosing by administering 300 mg OMVOH by intravenous infusion at Weeks 12, 16, and 20…..If therapeutic benefit is achieved with the additional intravenous therapy, patients may initiate OMVOH subcutaneous maintenance dosing every 4 weeks. Discontinue OMVOH in patients who do not show evidence of therapeutic benefit to extended induction therapy by Week 24.</w:t>
      </w:r>
    </w:p>
    <w:p w14:paraId="032D4D85" w14:textId="5293C355" w:rsidR="0037570E" w:rsidRPr="00C81D3D" w:rsidRDefault="00A3494F" w:rsidP="00C81D3D">
      <w:pPr>
        <w:pStyle w:val="3-BodyText"/>
      </w:pPr>
      <w:r w:rsidRPr="00C81D3D">
        <w:t xml:space="preserve">The recommended maintenance dosage regimen is 200 mg (given as two consecutive subcutaneous injections of 100 mg each) every 4 weeks after completion of induction dosing…..starting at Week 12……Patients with loss of therapeutic response during maintenance treatment may receive 300 mg </w:t>
      </w:r>
      <w:r w:rsidR="00DE51AF" w:rsidRPr="00C81D3D">
        <w:t>mirikizumab</w:t>
      </w:r>
      <w:r w:rsidRPr="00C81D3D">
        <w:t xml:space="preserve"> by intravenous infusion every 4 weeks, for a total of 3 doses. If therapeutic benefit is achieved with the additional intravenous therapy, patients may resume subcutaneous maintenance dosing every 4 weeks’</w:t>
      </w:r>
      <w:r w:rsidR="00CA47D0" w:rsidRPr="00C81D3D">
        <w:t>.</w:t>
      </w:r>
    </w:p>
    <w:p w14:paraId="5FBCCD05" w14:textId="7061BC17" w:rsidR="0037570E" w:rsidRPr="00C81D3D" w:rsidRDefault="00A3494F" w:rsidP="0037570E">
      <w:pPr>
        <w:pStyle w:val="3-BodyText"/>
        <w:rPr>
          <w:b/>
        </w:rPr>
      </w:pPr>
      <w:r w:rsidRPr="0037570E">
        <w:rPr>
          <w:lang w:eastAsia="en-US"/>
        </w:rPr>
        <w:t xml:space="preserve">The submission requested a </w:t>
      </w:r>
      <w:r w:rsidR="00A13761" w:rsidRPr="0037570E">
        <w:rPr>
          <w:lang w:eastAsia="en-US"/>
        </w:rPr>
        <w:t>grandfather</w:t>
      </w:r>
      <w:r w:rsidRPr="0037570E">
        <w:rPr>
          <w:lang w:eastAsia="en-US"/>
        </w:rPr>
        <w:t xml:space="preserve"> listing for </w:t>
      </w:r>
      <w:r w:rsidR="00DE51AF" w:rsidRPr="0037570E">
        <w:rPr>
          <w:lang w:eastAsia="en-US"/>
        </w:rPr>
        <w:t>MIRI</w:t>
      </w:r>
      <w:r w:rsidRPr="0037570E">
        <w:rPr>
          <w:lang w:eastAsia="en-US"/>
        </w:rPr>
        <w:t xml:space="preserve"> for 9 patients currently enrolled in the LUCENT-3 (NCT02519945) open label extension study. The submission stated that patients enrolled in LUCENT-3 would meet the requirements for the requested PBS listing, and that these patients would transition to accessing </w:t>
      </w:r>
      <w:r w:rsidR="00DE51AF" w:rsidRPr="0037570E">
        <w:rPr>
          <w:lang w:eastAsia="en-US"/>
        </w:rPr>
        <w:t>MIRI</w:t>
      </w:r>
      <w:r w:rsidRPr="0037570E">
        <w:rPr>
          <w:lang w:eastAsia="en-US"/>
        </w:rPr>
        <w:t xml:space="preserve"> through the PBS</w:t>
      </w:r>
      <w:r w:rsidR="00F40BF4" w:rsidRPr="0037570E">
        <w:rPr>
          <w:lang w:eastAsia="en-US"/>
        </w:rPr>
        <w:t>.</w:t>
      </w:r>
      <w:r w:rsidRPr="0037570E">
        <w:rPr>
          <w:lang w:eastAsia="en-US"/>
        </w:rPr>
        <w:t xml:space="preserve"> </w:t>
      </w:r>
    </w:p>
    <w:p w14:paraId="7AE320E2" w14:textId="66EEDD7B" w:rsidR="00C81D3D" w:rsidRPr="00C81D3D" w:rsidRDefault="00C81D3D" w:rsidP="00C81D3D">
      <w:pPr>
        <w:pStyle w:val="3-BodyText"/>
      </w:pPr>
      <w:r w:rsidRPr="00C81D3D">
        <w:t xml:space="preserve">The Secretariat proposed a maximum of 2 repeats for Initial treatment listings (MIRI 300 mg/15 mL injection) to allow for an initial assessment of response at Week 12. An additional three doses of MIRI 300 mg/15 mL injection could be requested through a Balance of Supply listing if patients require the extended induction dosing. This reduces potential wastage if patients do not require the full six doses under the induction regimen. The </w:t>
      </w:r>
      <w:r w:rsidR="002A7FF8">
        <w:t>Pre-Sub-Committee Response (</w:t>
      </w:r>
      <w:r w:rsidRPr="00C81D3D">
        <w:t>PSCR</w:t>
      </w:r>
      <w:r w:rsidR="002A7FF8">
        <w:t>)</w:t>
      </w:r>
      <w:r w:rsidRPr="00C81D3D">
        <w:t xml:space="preserve"> agreed with the proposal of including Balance of Supply listing if patients require the extended induction dosing. </w:t>
      </w:r>
    </w:p>
    <w:p w14:paraId="6B613597" w14:textId="5340CBD4" w:rsidR="00A3494F" w:rsidRPr="0037570E" w:rsidRDefault="005D5C59" w:rsidP="00A3494F">
      <w:pPr>
        <w:pStyle w:val="3-BodyText"/>
        <w:rPr>
          <w:rFonts w:cstheme="minorHAnsi"/>
        </w:rPr>
      </w:pPr>
      <w:r>
        <w:rPr>
          <w:rFonts w:cstheme="minorHAnsi"/>
          <w:iCs/>
        </w:rPr>
        <w:t>For brevity reasons, an abbreviated version of the requested restrictions is presented below, with s</w:t>
      </w:r>
      <w:r w:rsidR="00A3494F" w:rsidRPr="00F91542">
        <w:rPr>
          <w:rFonts w:cstheme="minorHAnsi"/>
          <w:iCs/>
        </w:rPr>
        <w:t>uggestions and additions proposed by the Secretariat are added in italics and suggested deletions are crossed out with strikethrough</w:t>
      </w:r>
      <w:r w:rsidR="00A3494F" w:rsidRPr="00A3494F">
        <w:rPr>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3661"/>
        <w:gridCol w:w="811"/>
        <w:gridCol w:w="812"/>
        <w:gridCol w:w="811"/>
        <w:gridCol w:w="812"/>
        <w:gridCol w:w="1831"/>
      </w:tblGrid>
      <w:tr w:rsidR="00A3494F" w:rsidRPr="00A3494F" w14:paraId="28107BE2" w14:textId="77777777" w:rsidTr="00046537">
        <w:trPr>
          <w:cantSplit/>
          <w:trHeight w:val="20"/>
        </w:trPr>
        <w:tc>
          <w:tcPr>
            <w:tcW w:w="3940" w:type="dxa"/>
            <w:gridSpan w:val="2"/>
            <w:vAlign w:val="center"/>
          </w:tcPr>
          <w:p w14:paraId="0B51C750" w14:textId="77777777" w:rsidR="00A3494F" w:rsidRPr="00A3494F" w:rsidRDefault="00A3494F" w:rsidP="00886A4E">
            <w:pPr>
              <w:keepLines/>
              <w:rPr>
                <w:rFonts w:ascii="Arial Narrow" w:hAnsi="Arial Narrow"/>
                <w:b/>
                <w:bCs/>
                <w:sz w:val="20"/>
                <w:szCs w:val="20"/>
              </w:rPr>
            </w:pPr>
            <w:r w:rsidRPr="00A3494F">
              <w:rPr>
                <w:rFonts w:ascii="Arial Narrow" w:hAnsi="Arial Narrow"/>
                <w:b/>
                <w:bCs/>
                <w:sz w:val="20"/>
                <w:szCs w:val="20"/>
              </w:rPr>
              <w:lastRenderedPageBreak/>
              <w:t>MEDICINAL PRODUCT</w:t>
            </w:r>
          </w:p>
          <w:p w14:paraId="5B57F970" w14:textId="77777777" w:rsidR="00A3494F" w:rsidRPr="00A3494F" w:rsidRDefault="00A3494F" w:rsidP="00886A4E">
            <w:pPr>
              <w:keepLines/>
              <w:rPr>
                <w:rFonts w:ascii="Arial Narrow" w:hAnsi="Arial Narrow"/>
                <w:b/>
                <w:sz w:val="20"/>
                <w:szCs w:val="20"/>
              </w:rPr>
            </w:pPr>
            <w:r w:rsidRPr="00A3494F">
              <w:rPr>
                <w:rFonts w:ascii="Arial Narrow" w:hAnsi="Arial Narrow"/>
                <w:b/>
                <w:bCs/>
                <w:sz w:val="20"/>
                <w:szCs w:val="20"/>
              </w:rPr>
              <w:t>medicinal product pack</w:t>
            </w:r>
          </w:p>
        </w:tc>
        <w:tc>
          <w:tcPr>
            <w:tcW w:w="811" w:type="dxa"/>
            <w:vAlign w:val="center"/>
          </w:tcPr>
          <w:p w14:paraId="5909326D" w14:textId="77777777" w:rsidR="00A3494F" w:rsidRPr="00A3494F" w:rsidRDefault="00A3494F" w:rsidP="00886A4E">
            <w:pPr>
              <w:keepLines/>
              <w:jc w:val="center"/>
              <w:rPr>
                <w:rFonts w:ascii="Arial Narrow" w:hAnsi="Arial Narrow"/>
                <w:b/>
                <w:sz w:val="20"/>
                <w:szCs w:val="20"/>
              </w:rPr>
            </w:pPr>
            <w:r w:rsidRPr="00A3494F">
              <w:rPr>
                <w:rFonts w:ascii="Arial Narrow" w:hAnsi="Arial Narrow"/>
                <w:b/>
                <w:sz w:val="20"/>
                <w:szCs w:val="20"/>
              </w:rPr>
              <w:t>PBS item code</w:t>
            </w:r>
          </w:p>
        </w:tc>
        <w:tc>
          <w:tcPr>
            <w:tcW w:w="812" w:type="dxa"/>
            <w:vAlign w:val="center"/>
          </w:tcPr>
          <w:p w14:paraId="50E05949" w14:textId="77777777" w:rsidR="00A3494F" w:rsidRPr="00A3494F" w:rsidRDefault="00A3494F" w:rsidP="00886A4E">
            <w:pPr>
              <w:keepLines/>
              <w:jc w:val="center"/>
              <w:rPr>
                <w:rFonts w:ascii="Arial Narrow" w:hAnsi="Arial Narrow"/>
                <w:b/>
                <w:sz w:val="20"/>
                <w:szCs w:val="20"/>
              </w:rPr>
            </w:pPr>
            <w:r w:rsidRPr="00A3494F">
              <w:rPr>
                <w:rFonts w:ascii="Arial Narrow" w:hAnsi="Arial Narrow"/>
                <w:b/>
                <w:sz w:val="20"/>
                <w:szCs w:val="20"/>
              </w:rPr>
              <w:t>Max. qty packs</w:t>
            </w:r>
          </w:p>
        </w:tc>
        <w:tc>
          <w:tcPr>
            <w:tcW w:w="811" w:type="dxa"/>
            <w:vAlign w:val="center"/>
          </w:tcPr>
          <w:p w14:paraId="49CE2F9E" w14:textId="77777777" w:rsidR="00A3494F" w:rsidRPr="00A3494F" w:rsidRDefault="00A3494F" w:rsidP="00886A4E">
            <w:pPr>
              <w:keepLines/>
              <w:jc w:val="center"/>
              <w:rPr>
                <w:rFonts w:ascii="Arial Narrow" w:hAnsi="Arial Narrow"/>
                <w:b/>
                <w:sz w:val="20"/>
                <w:szCs w:val="20"/>
              </w:rPr>
            </w:pPr>
            <w:r w:rsidRPr="00A3494F">
              <w:rPr>
                <w:rFonts w:ascii="Arial Narrow" w:hAnsi="Arial Narrow"/>
                <w:b/>
                <w:sz w:val="20"/>
                <w:szCs w:val="20"/>
              </w:rPr>
              <w:t>Max. qty units</w:t>
            </w:r>
          </w:p>
        </w:tc>
        <w:tc>
          <w:tcPr>
            <w:tcW w:w="812" w:type="dxa"/>
            <w:vAlign w:val="center"/>
          </w:tcPr>
          <w:p w14:paraId="0605A209" w14:textId="5C162085" w:rsidR="00A3494F" w:rsidRPr="00A3494F" w:rsidRDefault="00A13761" w:rsidP="00886A4E">
            <w:pPr>
              <w:keepLines/>
              <w:jc w:val="center"/>
              <w:rPr>
                <w:rFonts w:ascii="Arial Narrow" w:hAnsi="Arial Narrow"/>
                <w:b/>
                <w:sz w:val="20"/>
                <w:szCs w:val="20"/>
              </w:rPr>
            </w:pPr>
            <w:r w:rsidRPr="00A3494F">
              <w:rPr>
                <w:rFonts w:ascii="Arial Narrow" w:hAnsi="Arial Narrow"/>
                <w:b/>
                <w:sz w:val="20"/>
                <w:szCs w:val="20"/>
              </w:rPr>
              <w:t>№. of</w:t>
            </w:r>
          </w:p>
          <w:p w14:paraId="2125DA62" w14:textId="77777777" w:rsidR="00A3494F" w:rsidRPr="00A3494F" w:rsidRDefault="00A3494F" w:rsidP="00886A4E">
            <w:pPr>
              <w:keepLines/>
              <w:jc w:val="center"/>
              <w:rPr>
                <w:rFonts w:ascii="Arial Narrow" w:hAnsi="Arial Narrow"/>
                <w:b/>
                <w:sz w:val="20"/>
                <w:szCs w:val="20"/>
              </w:rPr>
            </w:pPr>
            <w:r w:rsidRPr="00A3494F">
              <w:rPr>
                <w:rFonts w:ascii="Arial Narrow" w:hAnsi="Arial Narrow"/>
                <w:b/>
                <w:sz w:val="20"/>
                <w:szCs w:val="20"/>
              </w:rPr>
              <w:t>Rpts</w:t>
            </w:r>
          </w:p>
        </w:tc>
        <w:tc>
          <w:tcPr>
            <w:tcW w:w="1831" w:type="dxa"/>
            <w:vAlign w:val="center"/>
          </w:tcPr>
          <w:p w14:paraId="4437B466" w14:textId="77777777" w:rsidR="00A3494F" w:rsidRPr="00A3494F" w:rsidRDefault="00A3494F" w:rsidP="00886A4E">
            <w:pPr>
              <w:keepLines/>
              <w:rPr>
                <w:rFonts w:ascii="Arial Narrow" w:hAnsi="Arial Narrow"/>
                <w:b/>
                <w:sz w:val="20"/>
                <w:szCs w:val="20"/>
                <w:lang w:val="fr-FR"/>
              </w:rPr>
            </w:pPr>
            <w:r w:rsidRPr="00A3494F">
              <w:rPr>
                <w:rFonts w:ascii="Arial Narrow" w:hAnsi="Arial Narrow"/>
                <w:b/>
                <w:sz w:val="20"/>
                <w:szCs w:val="20"/>
              </w:rPr>
              <w:t>Available brands</w:t>
            </w:r>
          </w:p>
        </w:tc>
      </w:tr>
      <w:tr w:rsidR="00A3494F" w:rsidRPr="00A3494F" w14:paraId="49D1B9BF" w14:textId="77777777" w:rsidTr="00046537">
        <w:trPr>
          <w:cantSplit/>
          <w:trHeight w:val="20"/>
        </w:trPr>
        <w:tc>
          <w:tcPr>
            <w:tcW w:w="9017" w:type="dxa"/>
            <w:gridSpan w:val="7"/>
            <w:vAlign w:val="center"/>
          </w:tcPr>
          <w:p w14:paraId="1B6D43E0" w14:textId="77777777" w:rsidR="00A3494F" w:rsidRPr="00A3494F" w:rsidRDefault="00A3494F" w:rsidP="00886A4E">
            <w:pPr>
              <w:keepLines/>
              <w:rPr>
                <w:rFonts w:ascii="Arial Narrow" w:hAnsi="Arial Narrow"/>
                <w:sz w:val="20"/>
                <w:szCs w:val="20"/>
              </w:rPr>
            </w:pPr>
            <w:r w:rsidRPr="00A3494F">
              <w:rPr>
                <w:rFonts w:ascii="Arial Narrow" w:hAnsi="Arial Narrow"/>
                <w:sz w:val="20"/>
                <w:szCs w:val="20"/>
              </w:rPr>
              <w:t>MIRIKIZUMAB</w:t>
            </w:r>
          </w:p>
        </w:tc>
      </w:tr>
      <w:tr w:rsidR="00A3494F" w:rsidRPr="00A3494F" w14:paraId="6EF510CF" w14:textId="77777777" w:rsidTr="00046537">
        <w:trPr>
          <w:cantSplit/>
          <w:trHeight w:val="20"/>
        </w:trPr>
        <w:tc>
          <w:tcPr>
            <w:tcW w:w="3940" w:type="dxa"/>
            <w:gridSpan w:val="2"/>
            <w:vAlign w:val="center"/>
          </w:tcPr>
          <w:p w14:paraId="0DCFB845" w14:textId="77777777" w:rsidR="00A3494F" w:rsidRPr="00A3494F" w:rsidRDefault="00A3494F" w:rsidP="00886A4E">
            <w:pPr>
              <w:keepLines/>
              <w:rPr>
                <w:rFonts w:ascii="Arial Narrow" w:hAnsi="Arial Narrow"/>
                <w:sz w:val="20"/>
                <w:szCs w:val="20"/>
              </w:rPr>
            </w:pPr>
            <w:r w:rsidRPr="00A3494F">
              <w:rPr>
                <w:rFonts w:ascii="Arial Narrow" w:hAnsi="Arial Narrow"/>
                <w:sz w:val="20"/>
                <w:szCs w:val="20"/>
              </w:rPr>
              <w:t xml:space="preserve">mirikizumab 300 mg/15 mL injection, 15 mL vial </w:t>
            </w:r>
          </w:p>
        </w:tc>
        <w:tc>
          <w:tcPr>
            <w:tcW w:w="811" w:type="dxa"/>
            <w:vAlign w:val="center"/>
          </w:tcPr>
          <w:p w14:paraId="74DCE769" w14:textId="77777777" w:rsidR="00A3494F" w:rsidRPr="00A3494F" w:rsidRDefault="00A3494F" w:rsidP="00886A4E">
            <w:pPr>
              <w:keepLines/>
              <w:jc w:val="center"/>
              <w:rPr>
                <w:rFonts w:ascii="Arial Narrow" w:hAnsi="Arial Narrow"/>
                <w:sz w:val="20"/>
                <w:szCs w:val="20"/>
              </w:rPr>
            </w:pPr>
            <w:r w:rsidRPr="00A3494F">
              <w:rPr>
                <w:rFonts w:ascii="Arial Narrow" w:hAnsi="Arial Narrow"/>
                <w:sz w:val="20"/>
                <w:szCs w:val="20"/>
              </w:rPr>
              <w:t>NEW</w:t>
            </w:r>
          </w:p>
        </w:tc>
        <w:tc>
          <w:tcPr>
            <w:tcW w:w="812" w:type="dxa"/>
            <w:vAlign w:val="center"/>
          </w:tcPr>
          <w:p w14:paraId="59A697C3" w14:textId="77777777" w:rsidR="00A3494F" w:rsidRPr="00A3494F" w:rsidRDefault="00A3494F" w:rsidP="00886A4E">
            <w:pPr>
              <w:keepLines/>
              <w:jc w:val="center"/>
              <w:rPr>
                <w:rFonts w:ascii="Arial Narrow" w:hAnsi="Arial Narrow"/>
                <w:sz w:val="20"/>
                <w:szCs w:val="20"/>
              </w:rPr>
            </w:pPr>
            <w:r w:rsidRPr="00A3494F">
              <w:rPr>
                <w:rFonts w:ascii="Arial Narrow" w:hAnsi="Arial Narrow"/>
                <w:sz w:val="20"/>
                <w:szCs w:val="20"/>
              </w:rPr>
              <w:t>1</w:t>
            </w:r>
          </w:p>
        </w:tc>
        <w:tc>
          <w:tcPr>
            <w:tcW w:w="811" w:type="dxa"/>
            <w:vAlign w:val="center"/>
          </w:tcPr>
          <w:p w14:paraId="6718EDFA" w14:textId="77777777" w:rsidR="00A3494F" w:rsidRPr="00A3494F" w:rsidRDefault="00A3494F" w:rsidP="00886A4E">
            <w:pPr>
              <w:keepLines/>
              <w:jc w:val="center"/>
              <w:rPr>
                <w:rFonts w:ascii="Arial Narrow" w:hAnsi="Arial Narrow"/>
                <w:sz w:val="20"/>
                <w:szCs w:val="20"/>
              </w:rPr>
            </w:pPr>
            <w:r w:rsidRPr="00A3494F">
              <w:rPr>
                <w:rFonts w:ascii="Arial Narrow" w:hAnsi="Arial Narrow"/>
                <w:sz w:val="20"/>
                <w:szCs w:val="20"/>
              </w:rPr>
              <w:t>1</w:t>
            </w:r>
          </w:p>
        </w:tc>
        <w:tc>
          <w:tcPr>
            <w:tcW w:w="812" w:type="dxa"/>
            <w:vAlign w:val="center"/>
          </w:tcPr>
          <w:p w14:paraId="426E7D5E" w14:textId="77777777" w:rsidR="00A3494F" w:rsidRPr="00A3494F" w:rsidRDefault="00A3494F" w:rsidP="00886A4E">
            <w:pPr>
              <w:keepLines/>
              <w:jc w:val="center"/>
              <w:rPr>
                <w:rFonts w:ascii="Arial Narrow" w:hAnsi="Arial Narrow"/>
                <w:strike/>
                <w:sz w:val="20"/>
                <w:szCs w:val="20"/>
              </w:rPr>
            </w:pPr>
            <w:r w:rsidRPr="00A3494F">
              <w:rPr>
                <w:rFonts w:ascii="Arial Narrow" w:hAnsi="Arial Narrow"/>
                <w:strike/>
                <w:sz w:val="20"/>
                <w:szCs w:val="20"/>
              </w:rPr>
              <w:t>5</w:t>
            </w:r>
            <w:r w:rsidRPr="00A3494F">
              <w:rPr>
                <w:rFonts w:ascii="Arial Narrow" w:hAnsi="Arial Narrow"/>
                <w:i/>
                <w:iCs/>
                <w:sz w:val="20"/>
                <w:szCs w:val="20"/>
              </w:rPr>
              <w:t>2</w:t>
            </w:r>
          </w:p>
        </w:tc>
        <w:tc>
          <w:tcPr>
            <w:tcW w:w="1831" w:type="dxa"/>
            <w:vAlign w:val="center"/>
          </w:tcPr>
          <w:p w14:paraId="23CC480E" w14:textId="77777777" w:rsidR="00A3494F" w:rsidRPr="00A3494F" w:rsidRDefault="00A3494F" w:rsidP="00886A4E">
            <w:pPr>
              <w:keepLines/>
              <w:rPr>
                <w:rFonts w:ascii="Arial Narrow" w:hAnsi="Arial Narrow"/>
                <w:sz w:val="20"/>
                <w:szCs w:val="20"/>
              </w:rPr>
            </w:pPr>
            <w:r w:rsidRPr="00A3494F">
              <w:rPr>
                <w:rFonts w:ascii="Arial Narrow" w:hAnsi="Arial Narrow"/>
                <w:sz w:val="20"/>
                <w:szCs w:val="20"/>
              </w:rPr>
              <w:t>Omvoh</w:t>
            </w:r>
          </w:p>
        </w:tc>
      </w:tr>
      <w:tr w:rsidR="00A3494F" w:rsidRPr="00A3494F" w14:paraId="79D8D2CA" w14:textId="77777777" w:rsidTr="00046537">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A92B93A" w14:textId="77777777" w:rsidR="00A3494F" w:rsidRPr="00A3494F" w:rsidRDefault="00A3494F" w:rsidP="00886A4E">
            <w:pPr>
              <w:keepLines/>
              <w:rPr>
                <w:rFonts w:ascii="Arial Narrow" w:hAnsi="Arial Narrow"/>
                <w:b/>
                <w:sz w:val="20"/>
                <w:szCs w:val="20"/>
              </w:rPr>
            </w:pPr>
            <w:r w:rsidRPr="00A3494F">
              <w:rPr>
                <w:rFonts w:ascii="Arial Narrow" w:hAnsi="Arial Narrow"/>
                <w:b/>
                <w:sz w:val="20"/>
                <w:szCs w:val="20"/>
              </w:rPr>
              <w:t>Restriction Summary 12180</w:t>
            </w:r>
            <w:r w:rsidRPr="00A3494F">
              <w:rPr>
                <w:rFonts w:ascii="Arial Narrow" w:hAnsi="Arial Narrow"/>
                <w:b/>
                <w:color w:val="FF0000"/>
                <w:sz w:val="20"/>
                <w:szCs w:val="20"/>
              </w:rPr>
              <w:t xml:space="preserve"> </w:t>
            </w:r>
            <w:r w:rsidRPr="00A3494F">
              <w:rPr>
                <w:rFonts w:ascii="Arial Narrow" w:hAnsi="Arial Narrow"/>
                <w:b/>
                <w:sz w:val="20"/>
                <w:szCs w:val="20"/>
              </w:rPr>
              <w:t>/ Treatment of Concept: 12080</w:t>
            </w:r>
          </w:p>
        </w:tc>
      </w:tr>
      <w:tr w:rsidR="00A3494F" w:rsidRPr="00A3494F" w14:paraId="6586B5FD" w14:textId="77777777" w:rsidTr="00330E2E">
        <w:tblPrEx>
          <w:tblCellMar>
            <w:top w:w="15" w:type="dxa"/>
            <w:bottom w:w="15" w:type="dxa"/>
          </w:tblCellMar>
          <w:tblLook w:val="04A0" w:firstRow="1" w:lastRow="0" w:firstColumn="1" w:lastColumn="0" w:noHBand="0" w:noVBand="1"/>
        </w:tblPrEx>
        <w:trPr>
          <w:trHeight w:val="20"/>
        </w:trPr>
        <w:tc>
          <w:tcPr>
            <w:tcW w:w="279" w:type="dxa"/>
            <w:vMerge w:val="restart"/>
            <w:tcBorders>
              <w:top w:val="single" w:sz="4" w:space="0" w:color="auto"/>
              <w:left w:val="single" w:sz="4" w:space="0" w:color="auto"/>
              <w:right w:val="single" w:sz="4" w:space="0" w:color="auto"/>
            </w:tcBorders>
          </w:tcPr>
          <w:p w14:paraId="0E1B7EBB" w14:textId="41BDD5EE" w:rsidR="00A3494F" w:rsidRPr="00A3494F" w:rsidRDefault="00A3494F" w:rsidP="00886A4E">
            <w:pPr>
              <w:jc w:val="center"/>
              <w:rPr>
                <w:rFonts w:ascii="Arial Narrow" w:hAnsi="Arial Narrow"/>
                <w:b/>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4FD97C69" w14:textId="77777777" w:rsidR="00A3494F" w:rsidRPr="00A3494F" w:rsidRDefault="00A3494F" w:rsidP="00886A4E">
            <w:pPr>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sz w:val="20"/>
                <w:szCs w:val="20"/>
              </w:rPr>
              <w:t xml:space="preserve">Section 100 – Highly Specialised Drugs Program </w:t>
            </w:r>
          </w:p>
        </w:tc>
      </w:tr>
      <w:tr w:rsidR="00A3494F" w:rsidRPr="00A3494F" w14:paraId="43A6EBA9" w14:textId="77777777" w:rsidTr="00330E2E">
        <w:tblPrEx>
          <w:tblCellMar>
            <w:top w:w="15" w:type="dxa"/>
            <w:bottom w:w="15" w:type="dxa"/>
          </w:tblCellMar>
          <w:tblLook w:val="04A0" w:firstRow="1" w:lastRow="0" w:firstColumn="1" w:lastColumn="0" w:noHBand="0" w:noVBand="1"/>
        </w:tblPrEx>
        <w:trPr>
          <w:trHeight w:val="20"/>
        </w:trPr>
        <w:tc>
          <w:tcPr>
            <w:tcW w:w="279" w:type="dxa"/>
            <w:vMerge/>
            <w:tcBorders>
              <w:left w:val="single" w:sz="4" w:space="0" w:color="auto"/>
              <w:right w:val="single" w:sz="4" w:space="0" w:color="auto"/>
            </w:tcBorders>
          </w:tcPr>
          <w:p w14:paraId="7C008FAF"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3C95388A" w14:textId="77777777" w:rsidR="00A3494F" w:rsidRPr="00A3494F" w:rsidRDefault="00A3494F" w:rsidP="00886A4E">
            <w:pPr>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A3494F" w:rsidRPr="00A3494F" w14:paraId="5026032B" w14:textId="77777777" w:rsidTr="00330E2E">
        <w:tblPrEx>
          <w:tblCellMar>
            <w:top w:w="15" w:type="dxa"/>
            <w:bottom w:w="15" w:type="dxa"/>
          </w:tblCellMar>
          <w:tblLook w:val="04A0" w:firstRow="1" w:lastRow="0" w:firstColumn="1" w:lastColumn="0" w:noHBand="0" w:noVBand="1"/>
        </w:tblPrEx>
        <w:trPr>
          <w:trHeight w:val="20"/>
        </w:trPr>
        <w:tc>
          <w:tcPr>
            <w:tcW w:w="279" w:type="dxa"/>
            <w:vMerge/>
            <w:tcBorders>
              <w:left w:val="single" w:sz="4" w:space="0" w:color="auto"/>
              <w:bottom w:val="single" w:sz="4" w:space="0" w:color="auto"/>
              <w:right w:val="single" w:sz="4" w:space="0" w:color="auto"/>
            </w:tcBorders>
          </w:tcPr>
          <w:p w14:paraId="75AB90F3"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51E4C352" w14:textId="77777777" w:rsidR="00A3494F" w:rsidRPr="00A3494F" w:rsidRDefault="00A3494F" w:rsidP="00886A4E">
            <w:pPr>
              <w:keepLines/>
              <w:rPr>
                <w:rFonts w:ascii="Arial Narrow" w:eastAsia="Calibri" w:hAnsi="Arial Narrow"/>
                <w:color w:val="FF0000"/>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(in writing only via post/HPOS upload) </w:t>
            </w:r>
          </w:p>
        </w:tc>
      </w:tr>
      <w:tr w:rsidR="00A3494F" w:rsidRPr="00A3494F" w14:paraId="61FDAAB7"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9543BFE" w14:textId="68C862F8" w:rsidR="00A3494F" w:rsidRPr="00A3494F" w:rsidRDefault="00A3494F" w:rsidP="00886A4E">
            <w:pPr>
              <w:keepLines/>
              <w:jc w:val="center"/>
              <w:rPr>
                <w:rFonts w:ascii="Arial Narrow" w:hAnsi="Arial Narrow"/>
                <w:color w:val="333333"/>
                <w:sz w:val="20"/>
                <w:szCs w:val="20"/>
              </w:rPr>
            </w:pPr>
          </w:p>
        </w:tc>
        <w:tc>
          <w:tcPr>
            <w:tcW w:w="8738" w:type="dxa"/>
            <w:gridSpan w:val="6"/>
            <w:vAlign w:val="center"/>
            <w:hideMark/>
          </w:tcPr>
          <w:p w14:paraId="0F8E5272" w14:textId="77777777" w:rsidR="00A3494F" w:rsidRPr="00A3494F" w:rsidRDefault="00A3494F" w:rsidP="00886A4E">
            <w:pPr>
              <w:keepLines/>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A3494F" w:rsidRPr="00A3494F" w14:paraId="359ADA89"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B8B1D5F"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02F2BF20"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sz w:val="20"/>
                <w:szCs w:val="20"/>
              </w:rPr>
              <w:t>Initial treatment – Initial 1 (new patient)</w:t>
            </w:r>
          </w:p>
        </w:tc>
      </w:tr>
      <w:tr w:rsidR="00A3494F" w:rsidRPr="00A3494F" w14:paraId="2C9CC9ED"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0BE7E2F" w14:textId="6A89AE6A"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76FB9555"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Clinical criteria:</w:t>
            </w:r>
          </w:p>
        </w:tc>
      </w:tr>
      <w:tr w:rsidR="00A3494F" w:rsidRPr="00A3494F" w14:paraId="2F698740"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5FB603E" w14:textId="3EF50F0B"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67A7E783"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have failed to achieve an adequate response to a 5-aminosalicylate oral preparation in a standard dose for induction of remission for 3 or more consecutive months or have intolerance necessitating permanent treatment withdrawal,</w:t>
            </w:r>
          </w:p>
        </w:tc>
      </w:tr>
      <w:tr w:rsidR="00A3494F" w:rsidRPr="00A3494F" w14:paraId="547D64A2"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7E7662FC"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EC05B5B"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A3494F" w:rsidRPr="00A3494F" w14:paraId="684A7CD7"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98A8BFE" w14:textId="5A4F0079"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032973C2"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7937B911"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CA43A20" w14:textId="23D1F5E1"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35684F7" w14:textId="15A95A7D"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have failed to achieve an adequate response to azathioprine at a dose of at least 2 mg per</w:t>
            </w:r>
            <w:r w:rsidR="00F40BF4">
              <w:rPr>
                <w:rFonts w:ascii="Arial Narrow" w:hAnsi="Arial Narrow"/>
                <w:color w:val="333333"/>
                <w:sz w:val="20"/>
                <w:szCs w:val="20"/>
              </w:rPr>
              <w:t> </w:t>
            </w:r>
            <w:r w:rsidRPr="00A3494F">
              <w:rPr>
                <w:rFonts w:ascii="Arial Narrow" w:hAnsi="Arial Narrow"/>
                <w:color w:val="333333"/>
                <w:sz w:val="20"/>
                <w:szCs w:val="20"/>
              </w:rPr>
              <w:t>kg daily for 3 or more consecutive months or have intolerance necessitating permanent treatment withdrawal;</w:t>
            </w:r>
          </w:p>
        </w:tc>
      </w:tr>
      <w:tr w:rsidR="00A3494F" w:rsidRPr="00A3494F" w14:paraId="2CDCD105"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9C3AA00"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125DA056"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OR</w:t>
            </w:r>
          </w:p>
        </w:tc>
      </w:tr>
      <w:tr w:rsidR="00A3494F" w:rsidRPr="00A3494F" w14:paraId="6486845D"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E4B7520" w14:textId="48D27CFF"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1FD90AF8"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30E1D66E"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790CD70" w14:textId="4E122EAF"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2925F983" w14:textId="1D01398A"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have failed to achieve an adequate response to 6-mercaptopurine at a dose of at least 1 mg</w:t>
            </w:r>
            <w:r w:rsidR="00F40BF4">
              <w:rPr>
                <w:rFonts w:ascii="Arial Narrow" w:hAnsi="Arial Narrow"/>
                <w:color w:val="333333"/>
                <w:sz w:val="20"/>
                <w:szCs w:val="20"/>
              </w:rPr>
              <w:t> </w:t>
            </w:r>
            <w:r w:rsidRPr="00A3494F">
              <w:rPr>
                <w:rFonts w:ascii="Arial Narrow" w:hAnsi="Arial Narrow"/>
                <w:color w:val="333333"/>
                <w:sz w:val="20"/>
                <w:szCs w:val="20"/>
              </w:rPr>
              <w:t>per kg daily for 3 or more consecutive months or have intolerance necessitating permanent treatment withdrawal;</w:t>
            </w:r>
          </w:p>
        </w:tc>
      </w:tr>
      <w:tr w:rsidR="00A3494F" w:rsidRPr="00A3494F" w14:paraId="28A62764"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2EC0A82"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145C012F"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OR</w:t>
            </w:r>
          </w:p>
        </w:tc>
      </w:tr>
      <w:tr w:rsidR="00A3494F" w:rsidRPr="00A3494F" w14:paraId="41426D64"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941ED77" w14:textId="2A95C691"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413FA24E"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3D7DE16B"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C6B741D" w14:textId="4EEF7E18"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31524DC2"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w:t>
            </w:r>
          </w:p>
        </w:tc>
      </w:tr>
      <w:tr w:rsidR="00A3494F" w:rsidRPr="00A3494F" w14:paraId="070CB3A4"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13DACD3"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561BE428"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A3494F" w:rsidRPr="00A3494F" w14:paraId="264E3520"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D545DA4" w14:textId="54C53B41"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789925DB"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7A9B4665"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158DC20" w14:textId="2D7F12F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690186BF"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have a Mayo clinic score greater than or equal to 6;</w:t>
            </w:r>
          </w:p>
        </w:tc>
      </w:tr>
      <w:tr w:rsidR="00A3494F" w:rsidRPr="00A3494F" w14:paraId="5AB063D3"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1E877F2"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3E4E3E14"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OR</w:t>
            </w:r>
          </w:p>
        </w:tc>
      </w:tr>
      <w:tr w:rsidR="00A3494F" w:rsidRPr="00A3494F" w14:paraId="5CF4EBE6"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BF27855" w14:textId="7F076C36"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5FFF372F"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0B748B9E"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B0AD0FD" w14:textId="5ACF55B1"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29004C1C"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have a partial Mayo clinic score greater than or equal to 6, provided the rectal bleeding and stool frequency subscores are both greater than or equal to 2 (endoscopy subscore is not required for a partial Mayo clinic score).</w:t>
            </w:r>
          </w:p>
        </w:tc>
      </w:tr>
      <w:tr w:rsidR="00A3494F" w:rsidRPr="00A3494F" w14:paraId="6F351ECF"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11CDDC8" w14:textId="5F174DBA" w:rsidR="00A3494F" w:rsidRPr="00A3494F" w:rsidRDefault="00A3494F" w:rsidP="00886A4E">
            <w:pPr>
              <w:keepNext/>
              <w:jc w:val="center"/>
              <w:rPr>
                <w:rFonts w:ascii="Arial Narrow" w:hAnsi="Arial Narrow"/>
                <w:color w:val="333333"/>
                <w:sz w:val="20"/>
                <w:szCs w:val="20"/>
              </w:rPr>
            </w:pPr>
          </w:p>
        </w:tc>
        <w:tc>
          <w:tcPr>
            <w:tcW w:w="8738" w:type="dxa"/>
            <w:gridSpan w:val="6"/>
            <w:vAlign w:val="center"/>
            <w:hideMark/>
          </w:tcPr>
          <w:p w14:paraId="1B74E9AC" w14:textId="77777777" w:rsidR="00A3494F" w:rsidRPr="00A3494F" w:rsidRDefault="00A3494F" w:rsidP="00886A4E">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A3494F" w:rsidRPr="00A3494F" w14:paraId="0D5F018B"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6A5E0CC" w14:textId="6746435E"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44ADC0EF" w14:textId="09242345"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sz w:val="20"/>
                <w:szCs w:val="20"/>
              </w:rPr>
              <w:t>Must be treated by a gastroenterologist</w:t>
            </w:r>
            <w:r w:rsidRPr="00A3494F">
              <w:rPr>
                <w:rFonts w:ascii="Arial Narrow" w:hAnsi="Arial Narrow" w:cs="Arial Narrow"/>
                <w:i/>
                <w:iCs/>
                <w:sz w:val="20"/>
                <w:szCs w:val="20"/>
              </w:rPr>
              <w:t xml:space="preserve"> [code 87</w:t>
            </w:r>
            <w:r w:rsidR="00A13761" w:rsidRPr="00A3494F">
              <w:rPr>
                <w:rFonts w:ascii="Arial Narrow" w:hAnsi="Arial Narrow" w:cs="Arial Narrow"/>
                <w:i/>
                <w:iCs/>
                <w:sz w:val="20"/>
                <w:szCs w:val="20"/>
              </w:rPr>
              <w:t xml:space="preserve">]; </w:t>
            </w:r>
            <w:r w:rsidR="00A13761" w:rsidRPr="00A3494F">
              <w:rPr>
                <w:rFonts w:ascii="Arial Narrow" w:hAnsi="Arial Narrow" w:cs="Arial Narrow"/>
                <w:sz w:val="20"/>
                <w:szCs w:val="20"/>
              </w:rPr>
              <w:t>OR</w:t>
            </w:r>
            <w:r w:rsidRPr="00A3494F">
              <w:rPr>
                <w:rFonts w:ascii="Arial Narrow" w:hAnsi="Arial Narrow" w:cs="Arial Narrow"/>
                <w:sz w:val="20"/>
                <w:szCs w:val="20"/>
              </w:rPr>
              <w:t xml:space="preserve"> </w:t>
            </w:r>
          </w:p>
          <w:p w14:paraId="58CF6DF5" w14:textId="77777777"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i/>
                <w:iCs/>
                <w:sz w:val="20"/>
                <w:szCs w:val="20"/>
              </w:rPr>
              <w:t xml:space="preserve">Must be treated by a </w:t>
            </w:r>
            <w:r w:rsidRPr="00A3494F">
              <w:rPr>
                <w:rFonts w:ascii="Arial Narrow" w:hAnsi="Arial Narrow" w:cs="Arial Narrow"/>
                <w:sz w:val="20"/>
                <w:szCs w:val="20"/>
              </w:rPr>
              <w:t xml:space="preserve">consultant physician [internal medicine specialising in gastroenterology </w:t>
            </w:r>
            <w:r w:rsidRPr="00A3494F">
              <w:rPr>
                <w:rFonts w:ascii="Arial Narrow" w:hAnsi="Arial Narrow" w:cs="Arial Narrow"/>
                <w:i/>
                <w:iCs/>
                <w:sz w:val="20"/>
                <w:szCs w:val="20"/>
              </w:rPr>
              <w:t>(code 81)</w:t>
            </w:r>
            <w:r w:rsidRPr="00A3494F">
              <w:rPr>
                <w:rFonts w:ascii="Arial Narrow" w:hAnsi="Arial Narrow" w:cs="Arial Narrow"/>
                <w:sz w:val="20"/>
                <w:szCs w:val="20"/>
              </w:rPr>
              <w:t>]</w:t>
            </w:r>
            <w:r w:rsidRPr="00A3494F">
              <w:rPr>
                <w:rFonts w:ascii="Arial Narrow" w:hAnsi="Arial Narrow" w:cs="Arial Narrow"/>
                <w:i/>
                <w:iCs/>
                <w:sz w:val="20"/>
                <w:szCs w:val="20"/>
              </w:rPr>
              <w:t>;</w:t>
            </w:r>
            <w:r w:rsidRPr="00A3494F">
              <w:rPr>
                <w:rFonts w:ascii="Arial Narrow" w:hAnsi="Arial Narrow" w:cs="Arial Narrow"/>
                <w:sz w:val="20"/>
                <w:szCs w:val="20"/>
              </w:rPr>
              <w:t xml:space="preserve"> OR </w:t>
            </w:r>
          </w:p>
          <w:p w14:paraId="28BA47BE" w14:textId="77777777" w:rsidR="00A3494F" w:rsidRPr="00A3494F" w:rsidRDefault="00A3494F" w:rsidP="00886A4E">
            <w:pPr>
              <w:autoSpaceDE w:val="0"/>
              <w:autoSpaceDN w:val="0"/>
              <w:adjustRightInd w:val="0"/>
              <w:rPr>
                <w:rFonts w:ascii="Arial Narrow" w:hAnsi="Arial Narrow" w:cs="Arial Narrow"/>
                <w:i/>
                <w:iCs/>
                <w:sz w:val="20"/>
                <w:szCs w:val="20"/>
              </w:rPr>
            </w:pPr>
            <w:r w:rsidRPr="00A3494F">
              <w:rPr>
                <w:rFonts w:ascii="Arial Narrow" w:hAnsi="Arial Narrow" w:cs="Arial Narrow"/>
                <w:i/>
                <w:iCs/>
                <w:sz w:val="20"/>
                <w:szCs w:val="20"/>
              </w:rPr>
              <w:t xml:space="preserve">Must be treated by a </w:t>
            </w:r>
            <w:r w:rsidRPr="00A3494F">
              <w:rPr>
                <w:rFonts w:ascii="Arial Narrow" w:hAnsi="Arial Narrow" w:cs="Arial Narrow"/>
                <w:sz w:val="20"/>
                <w:szCs w:val="20"/>
              </w:rPr>
              <w:t xml:space="preserve">consultant physician [general medicine specialising in gastroenterology </w:t>
            </w:r>
            <w:r w:rsidRPr="00A3494F">
              <w:rPr>
                <w:rFonts w:ascii="Arial Narrow" w:hAnsi="Arial Narrow" w:cs="Arial Narrow"/>
                <w:i/>
                <w:iCs/>
                <w:sz w:val="20"/>
                <w:szCs w:val="20"/>
              </w:rPr>
              <w:t>(code 82)</w:t>
            </w:r>
            <w:r w:rsidRPr="00A3494F">
              <w:rPr>
                <w:rFonts w:ascii="Arial Narrow" w:hAnsi="Arial Narrow" w:cs="Arial Narrow"/>
                <w:sz w:val="20"/>
                <w:szCs w:val="20"/>
              </w:rPr>
              <w:t>].</w:t>
            </w:r>
          </w:p>
        </w:tc>
      </w:tr>
      <w:tr w:rsidR="00A3494F" w:rsidRPr="00A3494F" w14:paraId="02D60C46"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0CAE9D8" w14:textId="0D934F15"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5379CDB9"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A3494F" w:rsidRPr="00A3494F" w14:paraId="258DDF73"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8A199A4" w14:textId="674D9B9D"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A901BF9"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be aged 18 years or older.</w:t>
            </w:r>
          </w:p>
        </w:tc>
      </w:tr>
      <w:tr w:rsidR="00A3494F" w:rsidRPr="00A3494F" w14:paraId="01052755" w14:textId="77777777" w:rsidTr="00046537">
        <w:tblPrEx>
          <w:tblCellMar>
            <w:top w:w="15" w:type="dxa"/>
            <w:bottom w:w="15" w:type="dxa"/>
          </w:tblCellMar>
          <w:tblLook w:val="04A0" w:firstRow="1" w:lastRow="0" w:firstColumn="1" w:lastColumn="0" w:noHBand="0" w:noVBand="1"/>
        </w:tblPrEx>
        <w:trPr>
          <w:cantSplit/>
          <w:trHeight w:val="20"/>
        </w:trPr>
        <w:tc>
          <w:tcPr>
            <w:tcW w:w="9017" w:type="dxa"/>
            <w:gridSpan w:val="7"/>
            <w:vAlign w:val="center"/>
          </w:tcPr>
          <w:p w14:paraId="3A08DCA3" w14:textId="77777777" w:rsidR="00A3494F" w:rsidRPr="00A3494F" w:rsidRDefault="00A3494F" w:rsidP="00886A4E">
            <w:pPr>
              <w:rPr>
                <w:rFonts w:ascii="Arial Narrow" w:hAnsi="Arial Narrow"/>
                <w:bCs/>
                <w:color w:val="FF0000"/>
                <w:sz w:val="20"/>
                <w:szCs w:val="20"/>
              </w:rPr>
            </w:pPr>
          </w:p>
        </w:tc>
      </w:tr>
      <w:tr w:rsidR="00A3494F" w:rsidRPr="00A3494F" w14:paraId="6D02ACE9" w14:textId="77777777" w:rsidTr="00046537">
        <w:tblPrEx>
          <w:tblCellMar>
            <w:top w:w="15" w:type="dxa"/>
            <w:bottom w:w="15" w:type="dxa"/>
          </w:tblCellMar>
          <w:tblLook w:val="04A0" w:firstRow="1" w:lastRow="0" w:firstColumn="1" w:lastColumn="0" w:noHBand="0" w:noVBand="1"/>
        </w:tblPrEx>
        <w:trPr>
          <w:cantSplit/>
          <w:trHeight w:val="20"/>
        </w:trPr>
        <w:tc>
          <w:tcPr>
            <w:tcW w:w="9017" w:type="dxa"/>
            <w:gridSpan w:val="7"/>
            <w:vAlign w:val="center"/>
          </w:tcPr>
          <w:p w14:paraId="3DC29609" w14:textId="77777777" w:rsidR="00A3494F" w:rsidRPr="00A3494F" w:rsidRDefault="00A3494F" w:rsidP="00886A4E">
            <w:pPr>
              <w:keepNext/>
              <w:keepLines/>
              <w:rPr>
                <w:rFonts w:ascii="Arial Narrow" w:hAnsi="Arial Narrow"/>
                <w:b/>
                <w:bCs/>
                <w:color w:val="333333"/>
                <w:sz w:val="20"/>
                <w:szCs w:val="20"/>
              </w:rPr>
            </w:pPr>
            <w:r w:rsidRPr="00A3494F">
              <w:rPr>
                <w:rFonts w:ascii="Arial Narrow" w:hAnsi="Arial Narrow"/>
                <w:b/>
                <w:bCs/>
                <w:color w:val="333333"/>
                <w:sz w:val="20"/>
                <w:szCs w:val="20"/>
              </w:rPr>
              <w:t>Restriction Summary 12136</w:t>
            </w:r>
            <w:r w:rsidRPr="00A3494F">
              <w:rPr>
                <w:rFonts w:ascii="Arial Narrow" w:hAnsi="Arial Narrow"/>
                <w:b/>
                <w:bCs/>
                <w:color w:val="FF0000"/>
                <w:sz w:val="20"/>
                <w:szCs w:val="20"/>
              </w:rPr>
              <w:t xml:space="preserve"> </w:t>
            </w:r>
            <w:r w:rsidRPr="00A3494F">
              <w:rPr>
                <w:rFonts w:ascii="Arial Narrow" w:hAnsi="Arial Narrow"/>
                <w:b/>
                <w:bCs/>
                <w:color w:val="333333"/>
                <w:sz w:val="20"/>
                <w:szCs w:val="20"/>
              </w:rPr>
              <w:t>/ Treatment of Concept: 12179</w:t>
            </w:r>
            <w:r w:rsidRPr="00A3494F">
              <w:rPr>
                <w:rFonts w:ascii="Arial Narrow" w:hAnsi="Arial Narrow"/>
                <w:b/>
                <w:bCs/>
                <w:color w:val="FF0000"/>
                <w:sz w:val="20"/>
                <w:szCs w:val="20"/>
              </w:rPr>
              <w:t xml:space="preserve"> </w:t>
            </w:r>
          </w:p>
        </w:tc>
      </w:tr>
      <w:tr w:rsidR="00A3494F" w:rsidRPr="00A3494F" w14:paraId="0B132EF0" w14:textId="77777777" w:rsidTr="00330E2E">
        <w:tblPrEx>
          <w:tblCellMar>
            <w:top w:w="15" w:type="dxa"/>
            <w:bottom w:w="15" w:type="dxa"/>
          </w:tblCellMar>
          <w:tblLook w:val="04A0" w:firstRow="1" w:lastRow="0" w:firstColumn="1" w:lastColumn="0" w:noHBand="0" w:noVBand="1"/>
        </w:tblPrEx>
        <w:trPr>
          <w:cantSplit/>
          <w:trHeight w:val="20"/>
        </w:trPr>
        <w:tc>
          <w:tcPr>
            <w:tcW w:w="279" w:type="dxa"/>
            <w:vMerge w:val="restart"/>
            <w:tcBorders>
              <w:top w:val="single" w:sz="4" w:space="0" w:color="auto"/>
              <w:left w:val="single" w:sz="4" w:space="0" w:color="auto"/>
              <w:right w:val="single" w:sz="4" w:space="0" w:color="auto"/>
            </w:tcBorders>
          </w:tcPr>
          <w:p w14:paraId="1AB0638D" w14:textId="6C3C1C70" w:rsidR="00A3494F" w:rsidRPr="00A3494F" w:rsidRDefault="00A3494F" w:rsidP="00886A4E">
            <w:pPr>
              <w:jc w:val="center"/>
              <w:rPr>
                <w:rFonts w:ascii="Arial Narrow" w:hAnsi="Arial Narrow"/>
                <w:b/>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7BE7EA44" w14:textId="77777777" w:rsidR="00A3494F" w:rsidRPr="00A3494F" w:rsidRDefault="00A3494F" w:rsidP="00886A4E">
            <w:pPr>
              <w:keepNext/>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sz w:val="20"/>
                <w:szCs w:val="20"/>
              </w:rPr>
              <w:t>Section 100 – Highly Specialised Drugs Program</w:t>
            </w:r>
          </w:p>
        </w:tc>
      </w:tr>
      <w:tr w:rsidR="00A3494F" w:rsidRPr="00A3494F" w14:paraId="104AB352" w14:textId="77777777" w:rsidTr="00330E2E">
        <w:tblPrEx>
          <w:tblCellMar>
            <w:top w:w="15" w:type="dxa"/>
            <w:bottom w:w="15" w:type="dxa"/>
          </w:tblCellMar>
          <w:tblLook w:val="04A0" w:firstRow="1" w:lastRow="0" w:firstColumn="1" w:lastColumn="0" w:noHBand="0" w:noVBand="1"/>
        </w:tblPrEx>
        <w:trPr>
          <w:cantSplit/>
          <w:trHeight w:val="20"/>
        </w:trPr>
        <w:tc>
          <w:tcPr>
            <w:tcW w:w="279" w:type="dxa"/>
            <w:vMerge/>
            <w:tcBorders>
              <w:left w:val="single" w:sz="4" w:space="0" w:color="auto"/>
              <w:right w:val="single" w:sz="4" w:space="0" w:color="auto"/>
            </w:tcBorders>
          </w:tcPr>
          <w:p w14:paraId="79FC66F4"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6306A091" w14:textId="77777777" w:rsidR="00A3494F" w:rsidRPr="00A3494F" w:rsidRDefault="00A3494F" w:rsidP="00886A4E">
            <w:pPr>
              <w:keepNext/>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A3494F" w:rsidRPr="00A3494F" w14:paraId="48B0DEEF" w14:textId="77777777" w:rsidTr="00330E2E">
        <w:tblPrEx>
          <w:tblCellMar>
            <w:top w:w="15" w:type="dxa"/>
            <w:bottom w:w="15" w:type="dxa"/>
          </w:tblCellMar>
          <w:tblLook w:val="04A0" w:firstRow="1" w:lastRow="0" w:firstColumn="1" w:lastColumn="0" w:noHBand="0" w:noVBand="1"/>
        </w:tblPrEx>
        <w:trPr>
          <w:cantSplit/>
          <w:trHeight w:val="20"/>
        </w:trPr>
        <w:tc>
          <w:tcPr>
            <w:tcW w:w="279" w:type="dxa"/>
            <w:vMerge/>
            <w:tcBorders>
              <w:left w:val="single" w:sz="4" w:space="0" w:color="auto"/>
              <w:bottom w:val="single" w:sz="4" w:space="0" w:color="auto"/>
              <w:right w:val="single" w:sz="4" w:space="0" w:color="auto"/>
            </w:tcBorders>
          </w:tcPr>
          <w:p w14:paraId="1CCDFFB2"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25D71E44" w14:textId="77777777" w:rsidR="00A3494F" w:rsidRPr="00A3494F" w:rsidRDefault="00A3494F" w:rsidP="00886A4E">
            <w:pPr>
              <w:keepNext/>
              <w:keepLines/>
              <w:rPr>
                <w:rFonts w:ascii="Arial Narrow" w:eastAsia="Calibri" w:hAnsi="Arial Narrow"/>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(in writing only via post/HPOS upload) </w:t>
            </w:r>
          </w:p>
        </w:tc>
      </w:tr>
      <w:tr w:rsidR="00A3494F" w:rsidRPr="00A3494F" w14:paraId="3D11E6A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4465548F" w14:textId="591BEA19"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7E69D4B4"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A3494F" w:rsidRPr="00A3494F" w14:paraId="36FC7B6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72CAE989"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6D6E2E8B"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sz w:val="20"/>
                <w:szCs w:val="20"/>
              </w:rPr>
              <w:t>Initial treatment - Initial 2 (change or recommencement of treatment after a break in biological medicine of less than 5 years)</w:t>
            </w:r>
          </w:p>
        </w:tc>
      </w:tr>
      <w:tr w:rsidR="00A3494F" w:rsidRPr="00A3494F" w14:paraId="387749A0"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F176129" w14:textId="1EF0B333"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0EF71898"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Clinical criteria:</w:t>
            </w:r>
          </w:p>
        </w:tc>
      </w:tr>
      <w:tr w:rsidR="00A3494F" w:rsidRPr="00A3494F" w14:paraId="220A2720"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35040C3" w14:textId="13177782"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48D1572D"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have received prior PBS-subsidised treatment with a biological medicine for this condition in this treatment cycle,</w:t>
            </w:r>
          </w:p>
        </w:tc>
      </w:tr>
      <w:tr w:rsidR="00A3494F" w:rsidRPr="00A3494F" w14:paraId="55EF4AE4"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7A8BBEED"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5E28952A"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A3494F" w:rsidRPr="00A3494F" w14:paraId="384C2F11"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818F67A" w14:textId="065070C0"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50B48481"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15523A93"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DB66FB9" w14:textId="570223E8"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3AE8F029"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not have already failed, or ceased to respond to, PBS -subsidised treatment with this drug for this condition during the current treatment cycle.</w:t>
            </w:r>
          </w:p>
        </w:tc>
      </w:tr>
      <w:tr w:rsidR="00A3494F" w:rsidRPr="00A3494F" w14:paraId="5358854F"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E9DDF8A" w14:textId="082850EE" w:rsidR="00A3494F" w:rsidRPr="00A3494F" w:rsidRDefault="00A3494F" w:rsidP="00886A4E">
            <w:pPr>
              <w:keepNext/>
              <w:jc w:val="center"/>
              <w:rPr>
                <w:rFonts w:ascii="Arial Narrow" w:hAnsi="Arial Narrow"/>
                <w:color w:val="333333"/>
                <w:sz w:val="20"/>
                <w:szCs w:val="20"/>
              </w:rPr>
            </w:pPr>
          </w:p>
        </w:tc>
        <w:tc>
          <w:tcPr>
            <w:tcW w:w="8738" w:type="dxa"/>
            <w:gridSpan w:val="6"/>
            <w:vAlign w:val="center"/>
            <w:hideMark/>
          </w:tcPr>
          <w:p w14:paraId="59956535" w14:textId="77777777" w:rsidR="00A3494F" w:rsidRPr="00A3494F" w:rsidRDefault="00A3494F" w:rsidP="00886A4E">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A3494F" w:rsidRPr="00A3494F" w14:paraId="425F78B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43C6C0AE" w14:textId="655291D9"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3ADA9CB7" w14:textId="4D7367E1"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sz w:val="20"/>
                <w:szCs w:val="20"/>
              </w:rPr>
              <w:t>Must be treated by a gastroenterologist</w:t>
            </w:r>
            <w:r w:rsidRPr="00A3494F">
              <w:rPr>
                <w:rFonts w:ascii="Arial Narrow" w:hAnsi="Arial Narrow" w:cs="Arial Narrow"/>
                <w:i/>
                <w:iCs/>
                <w:sz w:val="20"/>
                <w:szCs w:val="20"/>
              </w:rPr>
              <w:t xml:space="preserve"> [code 87</w:t>
            </w:r>
            <w:r w:rsidR="00A13761" w:rsidRPr="00A3494F">
              <w:rPr>
                <w:rFonts w:ascii="Arial Narrow" w:hAnsi="Arial Narrow" w:cs="Arial Narrow"/>
                <w:i/>
                <w:iCs/>
                <w:sz w:val="20"/>
                <w:szCs w:val="20"/>
              </w:rPr>
              <w:t xml:space="preserve">]; </w:t>
            </w:r>
            <w:r w:rsidR="00A13761" w:rsidRPr="00A3494F">
              <w:rPr>
                <w:rFonts w:ascii="Arial Narrow" w:hAnsi="Arial Narrow" w:cs="Arial Narrow"/>
                <w:sz w:val="20"/>
                <w:szCs w:val="20"/>
              </w:rPr>
              <w:t>OR</w:t>
            </w:r>
            <w:r w:rsidRPr="00A3494F">
              <w:rPr>
                <w:rFonts w:ascii="Arial Narrow" w:hAnsi="Arial Narrow" w:cs="Arial Narrow"/>
                <w:sz w:val="20"/>
                <w:szCs w:val="20"/>
              </w:rPr>
              <w:t xml:space="preserve"> </w:t>
            </w:r>
          </w:p>
          <w:p w14:paraId="6FBAF996" w14:textId="77777777"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i/>
                <w:iCs/>
                <w:sz w:val="20"/>
                <w:szCs w:val="20"/>
              </w:rPr>
              <w:t xml:space="preserve">Must be treated by a </w:t>
            </w:r>
            <w:r w:rsidRPr="00A3494F">
              <w:rPr>
                <w:rFonts w:ascii="Arial Narrow" w:hAnsi="Arial Narrow" w:cs="Arial Narrow"/>
                <w:sz w:val="20"/>
                <w:szCs w:val="20"/>
              </w:rPr>
              <w:t xml:space="preserve">consultant physician [internal medicine specialising in gastroenterology </w:t>
            </w:r>
            <w:r w:rsidRPr="00A3494F">
              <w:rPr>
                <w:rFonts w:ascii="Arial Narrow" w:hAnsi="Arial Narrow" w:cs="Arial Narrow"/>
                <w:i/>
                <w:iCs/>
                <w:sz w:val="20"/>
                <w:szCs w:val="20"/>
              </w:rPr>
              <w:t>(code 81)</w:t>
            </w:r>
            <w:r w:rsidRPr="00A3494F">
              <w:rPr>
                <w:rFonts w:ascii="Arial Narrow" w:hAnsi="Arial Narrow" w:cs="Arial Narrow"/>
                <w:sz w:val="20"/>
                <w:szCs w:val="20"/>
              </w:rPr>
              <w:t>]</w:t>
            </w:r>
            <w:r w:rsidRPr="00A3494F">
              <w:rPr>
                <w:rFonts w:ascii="Arial Narrow" w:hAnsi="Arial Narrow" w:cs="Arial Narrow"/>
                <w:i/>
                <w:iCs/>
                <w:sz w:val="20"/>
                <w:szCs w:val="20"/>
              </w:rPr>
              <w:t>;</w:t>
            </w:r>
            <w:r w:rsidRPr="00A3494F">
              <w:rPr>
                <w:rFonts w:ascii="Arial Narrow" w:hAnsi="Arial Narrow" w:cs="Arial Narrow"/>
                <w:sz w:val="20"/>
                <w:szCs w:val="20"/>
              </w:rPr>
              <w:t xml:space="preserve"> OR </w:t>
            </w:r>
          </w:p>
          <w:p w14:paraId="7305D8EA" w14:textId="77777777" w:rsidR="00A3494F" w:rsidRPr="00A3494F" w:rsidRDefault="00A3494F" w:rsidP="00886A4E">
            <w:pPr>
              <w:autoSpaceDE w:val="0"/>
              <w:autoSpaceDN w:val="0"/>
              <w:adjustRightInd w:val="0"/>
              <w:rPr>
                <w:rFonts w:ascii="Arial Narrow" w:hAnsi="Arial Narrow" w:cs="Arial Narrow"/>
                <w:i/>
                <w:iCs/>
                <w:sz w:val="20"/>
                <w:szCs w:val="20"/>
              </w:rPr>
            </w:pPr>
            <w:r w:rsidRPr="00A3494F">
              <w:rPr>
                <w:rFonts w:ascii="Arial Narrow" w:hAnsi="Arial Narrow" w:cs="Arial Narrow"/>
                <w:i/>
                <w:iCs/>
                <w:sz w:val="20"/>
                <w:szCs w:val="20"/>
              </w:rPr>
              <w:t xml:space="preserve">Must be treated by a </w:t>
            </w:r>
            <w:r w:rsidRPr="00A3494F">
              <w:rPr>
                <w:rFonts w:ascii="Arial Narrow" w:hAnsi="Arial Narrow" w:cs="Arial Narrow"/>
                <w:sz w:val="20"/>
                <w:szCs w:val="20"/>
              </w:rPr>
              <w:t xml:space="preserve">consultant physician [general medicine specialising in gastroenterology </w:t>
            </w:r>
            <w:r w:rsidRPr="00A3494F">
              <w:rPr>
                <w:rFonts w:ascii="Arial Narrow" w:hAnsi="Arial Narrow" w:cs="Arial Narrow"/>
                <w:i/>
                <w:iCs/>
                <w:sz w:val="20"/>
                <w:szCs w:val="20"/>
              </w:rPr>
              <w:t>(code 82)</w:t>
            </w:r>
            <w:r w:rsidRPr="00A3494F">
              <w:rPr>
                <w:rFonts w:ascii="Arial Narrow" w:hAnsi="Arial Narrow" w:cs="Arial Narrow"/>
                <w:sz w:val="20"/>
                <w:szCs w:val="20"/>
              </w:rPr>
              <w:t>].</w:t>
            </w:r>
          </w:p>
        </w:tc>
      </w:tr>
      <w:tr w:rsidR="00A3494F" w:rsidRPr="00A3494F" w14:paraId="7D7096EF"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3A74AD0" w14:textId="2BB22959"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23EE0633"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A3494F" w:rsidRPr="00A3494F" w14:paraId="1A426F73"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35B48CE" w14:textId="6CE8FAF2"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4004FBF3"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be aged 18 years or older.</w:t>
            </w:r>
          </w:p>
        </w:tc>
      </w:tr>
      <w:tr w:rsidR="00A3494F" w:rsidRPr="00A3494F" w14:paraId="68C4D279"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416D1A7B"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119DAB64" w14:textId="77777777" w:rsidR="00A3494F" w:rsidRPr="00A3494F" w:rsidRDefault="00A3494F" w:rsidP="00886A4E">
            <w:pPr>
              <w:rPr>
                <w:rFonts w:ascii="Arial Narrow" w:hAnsi="Arial Narrow"/>
                <w:b/>
                <w:bCs/>
                <w:color w:val="333333"/>
                <w:sz w:val="20"/>
                <w:szCs w:val="20"/>
              </w:rPr>
            </w:pPr>
          </w:p>
        </w:tc>
      </w:tr>
      <w:tr w:rsidR="00A3494F" w:rsidRPr="00A3494F" w14:paraId="1D058022" w14:textId="77777777" w:rsidTr="00046537">
        <w:tblPrEx>
          <w:tblCellMar>
            <w:top w:w="15" w:type="dxa"/>
            <w:bottom w:w="15" w:type="dxa"/>
          </w:tblCellMar>
          <w:tblLook w:val="04A0" w:firstRow="1" w:lastRow="0" w:firstColumn="1" w:lastColumn="0" w:noHBand="0" w:noVBand="1"/>
        </w:tblPrEx>
        <w:trPr>
          <w:cantSplit/>
          <w:trHeight w:val="20"/>
        </w:trPr>
        <w:tc>
          <w:tcPr>
            <w:tcW w:w="9017" w:type="dxa"/>
            <w:gridSpan w:val="7"/>
            <w:vAlign w:val="center"/>
          </w:tcPr>
          <w:p w14:paraId="2DBF3FF6" w14:textId="77777777" w:rsidR="00A3494F" w:rsidRPr="00A3494F" w:rsidRDefault="00A3494F" w:rsidP="00886A4E">
            <w:pPr>
              <w:keepNext/>
              <w:keepLines/>
              <w:rPr>
                <w:rFonts w:ascii="Arial Narrow" w:hAnsi="Arial Narrow"/>
                <w:b/>
                <w:bCs/>
                <w:color w:val="333333"/>
                <w:sz w:val="20"/>
                <w:szCs w:val="20"/>
              </w:rPr>
            </w:pPr>
            <w:r w:rsidRPr="00A3494F">
              <w:rPr>
                <w:rFonts w:ascii="Arial Narrow" w:hAnsi="Arial Narrow"/>
                <w:b/>
                <w:bCs/>
                <w:color w:val="333333"/>
                <w:sz w:val="20"/>
                <w:szCs w:val="20"/>
              </w:rPr>
              <w:t>Restriction Summary 12079</w:t>
            </w:r>
            <w:r w:rsidRPr="00A3494F">
              <w:rPr>
                <w:rFonts w:ascii="Arial Narrow" w:hAnsi="Arial Narrow"/>
                <w:b/>
                <w:bCs/>
                <w:color w:val="FF0000"/>
                <w:sz w:val="20"/>
                <w:szCs w:val="20"/>
              </w:rPr>
              <w:t xml:space="preserve"> </w:t>
            </w:r>
            <w:r w:rsidRPr="00A3494F">
              <w:rPr>
                <w:rFonts w:ascii="Arial Narrow" w:hAnsi="Arial Narrow"/>
                <w:b/>
                <w:bCs/>
                <w:color w:val="333333"/>
                <w:sz w:val="20"/>
                <w:szCs w:val="20"/>
              </w:rPr>
              <w:t>/ Treatment of Concept: 12219</w:t>
            </w:r>
            <w:r w:rsidRPr="00A3494F">
              <w:rPr>
                <w:rFonts w:ascii="Arial Narrow" w:hAnsi="Arial Narrow"/>
                <w:b/>
                <w:bCs/>
                <w:color w:val="FF0000"/>
                <w:sz w:val="20"/>
                <w:szCs w:val="20"/>
              </w:rPr>
              <w:t xml:space="preserve"> </w:t>
            </w:r>
          </w:p>
        </w:tc>
      </w:tr>
      <w:tr w:rsidR="00A3494F" w:rsidRPr="00A3494F" w14:paraId="61B4A025" w14:textId="77777777" w:rsidTr="00330E2E">
        <w:tblPrEx>
          <w:tblCellMar>
            <w:top w:w="15" w:type="dxa"/>
            <w:bottom w:w="15" w:type="dxa"/>
          </w:tblCellMar>
          <w:tblLook w:val="04A0" w:firstRow="1" w:lastRow="0" w:firstColumn="1" w:lastColumn="0" w:noHBand="0" w:noVBand="1"/>
        </w:tblPrEx>
        <w:trPr>
          <w:cantSplit/>
          <w:trHeight w:val="20"/>
        </w:trPr>
        <w:tc>
          <w:tcPr>
            <w:tcW w:w="279" w:type="dxa"/>
            <w:vMerge w:val="restart"/>
            <w:tcBorders>
              <w:top w:val="single" w:sz="4" w:space="0" w:color="auto"/>
              <w:left w:val="single" w:sz="4" w:space="0" w:color="auto"/>
              <w:right w:val="single" w:sz="4" w:space="0" w:color="auto"/>
            </w:tcBorders>
          </w:tcPr>
          <w:p w14:paraId="771161EE" w14:textId="5106E2B0" w:rsidR="00A3494F" w:rsidRPr="00A3494F" w:rsidRDefault="00A3494F" w:rsidP="00886A4E">
            <w:pPr>
              <w:jc w:val="center"/>
              <w:rPr>
                <w:rFonts w:ascii="Arial Narrow" w:hAnsi="Arial Narrow"/>
                <w:b/>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70E6CF89" w14:textId="77777777" w:rsidR="00A3494F" w:rsidRPr="00A3494F" w:rsidRDefault="00A3494F" w:rsidP="00886A4E">
            <w:pPr>
              <w:keepNext/>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sz w:val="20"/>
                <w:szCs w:val="20"/>
              </w:rPr>
              <w:t>Section 100 – Highly Specialised Drugs Program</w:t>
            </w:r>
          </w:p>
        </w:tc>
      </w:tr>
      <w:tr w:rsidR="00A3494F" w:rsidRPr="00A3494F" w14:paraId="0990ABC4" w14:textId="77777777" w:rsidTr="00330E2E">
        <w:tblPrEx>
          <w:tblCellMar>
            <w:top w:w="15" w:type="dxa"/>
            <w:bottom w:w="15" w:type="dxa"/>
          </w:tblCellMar>
          <w:tblLook w:val="04A0" w:firstRow="1" w:lastRow="0" w:firstColumn="1" w:lastColumn="0" w:noHBand="0" w:noVBand="1"/>
        </w:tblPrEx>
        <w:trPr>
          <w:cantSplit/>
          <w:trHeight w:val="20"/>
        </w:trPr>
        <w:tc>
          <w:tcPr>
            <w:tcW w:w="279" w:type="dxa"/>
            <w:vMerge/>
            <w:tcBorders>
              <w:left w:val="single" w:sz="4" w:space="0" w:color="auto"/>
              <w:right w:val="single" w:sz="4" w:space="0" w:color="auto"/>
            </w:tcBorders>
          </w:tcPr>
          <w:p w14:paraId="6970A280"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2116FA65" w14:textId="77777777" w:rsidR="00A3494F" w:rsidRPr="00A3494F" w:rsidRDefault="00A3494F" w:rsidP="00886A4E">
            <w:pPr>
              <w:keepNext/>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A3494F" w:rsidRPr="00A3494F" w14:paraId="4722262C" w14:textId="77777777" w:rsidTr="00330E2E">
        <w:tblPrEx>
          <w:tblCellMar>
            <w:top w:w="15" w:type="dxa"/>
            <w:bottom w:w="15" w:type="dxa"/>
          </w:tblCellMar>
          <w:tblLook w:val="04A0" w:firstRow="1" w:lastRow="0" w:firstColumn="1" w:lastColumn="0" w:noHBand="0" w:noVBand="1"/>
        </w:tblPrEx>
        <w:trPr>
          <w:cantSplit/>
          <w:trHeight w:val="20"/>
        </w:trPr>
        <w:tc>
          <w:tcPr>
            <w:tcW w:w="279" w:type="dxa"/>
            <w:vMerge/>
            <w:tcBorders>
              <w:left w:val="single" w:sz="4" w:space="0" w:color="auto"/>
              <w:bottom w:val="single" w:sz="4" w:space="0" w:color="auto"/>
              <w:right w:val="single" w:sz="4" w:space="0" w:color="auto"/>
            </w:tcBorders>
          </w:tcPr>
          <w:p w14:paraId="0E1A4517"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20D93064" w14:textId="77777777" w:rsidR="00A3494F" w:rsidRPr="00A3494F" w:rsidRDefault="00A3494F" w:rsidP="00886A4E">
            <w:pPr>
              <w:keepNext/>
              <w:keepLines/>
              <w:rPr>
                <w:rFonts w:ascii="Arial Narrow" w:eastAsia="Calibri" w:hAnsi="Arial Narrow"/>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(in writing only via post/HPOS upload) </w:t>
            </w:r>
          </w:p>
        </w:tc>
      </w:tr>
      <w:tr w:rsidR="00A3494F" w:rsidRPr="00A3494F" w14:paraId="59D16BDC"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41F4885" w14:textId="10335E7F"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3F2DC453"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A3494F" w:rsidRPr="00A3494F" w14:paraId="63E9507D"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223AA3E"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3D46E5C3"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sz w:val="20"/>
                <w:szCs w:val="20"/>
              </w:rPr>
              <w:t>Initial treatment - Initial 3 (recommencement of treatment after a break in biological medicine of more than 5 years)</w:t>
            </w:r>
          </w:p>
        </w:tc>
      </w:tr>
      <w:tr w:rsidR="00A3494F" w:rsidRPr="00A3494F" w14:paraId="2AFF10AC"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8C1C5C6" w14:textId="1DBCD879"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0CCCE1CC"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Clinical criteria:</w:t>
            </w:r>
          </w:p>
        </w:tc>
      </w:tr>
      <w:tr w:rsidR="00A3494F" w:rsidRPr="00A3494F" w14:paraId="7CDA5EA6"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62F6DDB" w14:textId="70C9657B"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34961618"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 xml:space="preserve">Patient must have previously received PBS-subsidised treatment with a biological medicine for this condition, </w:t>
            </w:r>
          </w:p>
        </w:tc>
      </w:tr>
      <w:tr w:rsidR="00A3494F" w:rsidRPr="00A3494F" w14:paraId="540225CD"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06DEE87"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7464A45B"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A3494F" w:rsidRPr="00A3494F" w14:paraId="41B57C98"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7171154B" w14:textId="7947237B"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A4AC6B3"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58422004"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A79BC91" w14:textId="39291301"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5B43EF59"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 xml:space="preserve">Patient must have had a break in treatment of 5 years or more from the most recently approved PBS-subsidised biological medicine for this condition, </w:t>
            </w:r>
          </w:p>
        </w:tc>
      </w:tr>
      <w:tr w:rsidR="00A3494F" w:rsidRPr="00A3494F" w14:paraId="44FA49AD"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7BD32EDD"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6FB9C653"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A3494F" w:rsidRPr="00A3494F" w14:paraId="31C91D4E"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0E93E80" w14:textId="77CAE7CC"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1F0F875F"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743E4768"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B76125B" w14:textId="3E2B868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4BAAD871"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 xml:space="preserve">Patient must have a Mayo clinic score greater than or equal to 6; </w:t>
            </w:r>
          </w:p>
        </w:tc>
      </w:tr>
      <w:tr w:rsidR="00A3494F" w:rsidRPr="00A3494F" w14:paraId="08F4C191"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4465140"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68A7D073"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OR</w:t>
            </w:r>
          </w:p>
        </w:tc>
      </w:tr>
      <w:tr w:rsidR="00A3494F" w:rsidRPr="00A3494F" w14:paraId="5BC2C351"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0B29FD5" w14:textId="26D4C7FB"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4FAA8525"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1A998E4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9CBE353" w14:textId="4C08A0FB"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7DDCCC61"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have a partial Mayo clinic score greater than or equal to 6, provided the rectal bleeding and stool frequency subscores are both greater than or equal to 2 (endoscopy subscore is not required for a partial Mayo clinic score).</w:t>
            </w:r>
          </w:p>
        </w:tc>
      </w:tr>
      <w:tr w:rsidR="00A3494F" w:rsidRPr="00A3494F" w14:paraId="6E00C3EE"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FF479D6" w14:textId="02148AE3" w:rsidR="00A3494F" w:rsidRPr="00A3494F" w:rsidRDefault="00A3494F" w:rsidP="00886A4E">
            <w:pPr>
              <w:keepNext/>
              <w:jc w:val="center"/>
              <w:rPr>
                <w:rFonts w:ascii="Arial Narrow" w:hAnsi="Arial Narrow"/>
                <w:color w:val="333333"/>
                <w:sz w:val="20"/>
                <w:szCs w:val="20"/>
              </w:rPr>
            </w:pPr>
          </w:p>
        </w:tc>
        <w:tc>
          <w:tcPr>
            <w:tcW w:w="8738" w:type="dxa"/>
            <w:gridSpan w:val="6"/>
            <w:vAlign w:val="center"/>
            <w:hideMark/>
          </w:tcPr>
          <w:p w14:paraId="30F2CF20" w14:textId="77777777" w:rsidR="00A3494F" w:rsidRPr="00A3494F" w:rsidRDefault="00A3494F" w:rsidP="00886A4E">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A3494F" w:rsidRPr="00A3494F" w14:paraId="6A285AA8"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05665BF" w14:textId="223834E0"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2D8A22CF" w14:textId="32FBF167"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sz w:val="20"/>
                <w:szCs w:val="20"/>
              </w:rPr>
              <w:t>Must be treated by a gastroenterologist</w:t>
            </w:r>
            <w:r w:rsidRPr="00A3494F">
              <w:rPr>
                <w:rFonts w:ascii="Arial Narrow" w:hAnsi="Arial Narrow" w:cs="Arial Narrow"/>
                <w:i/>
                <w:iCs/>
                <w:sz w:val="20"/>
                <w:szCs w:val="20"/>
              </w:rPr>
              <w:t xml:space="preserve"> [code 87</w:t>
            </w:r>
            <w:r w:rsidR="00A13761" w:rsidRPr="00A3494F">
              <w:rPr>
                <w:rFonts w:ascii="Arial Narrow" w:hAnsi="Arial Narrow" w:cs="Arial Narrow"/>
                <w:i/>
                <w:iCs/>
                <w:sz w:val="20"/>
                <w:szCs w:val="20"/>
              </w:rPr>
              <w:t xml:space="preserve">]; </w:t>
            </w:r>
            <w:r w:rsidR="00A13761" w:rsidRPr="00A3494F">
              <w:rPr>
                <w:rFonts w:ascii="Arial Narrow" w:hAnsi="Arial Narrow" w:cs="Arial Narrow"/>
                <w:sz w:val="20"/>
                <w:szCs w:val="20"/>
              </w:rPr>
              <w:t>OR</w:t>
            </w:r>
            <w:r w:rsidRPr="00A3494F">
              <w:rPr>
                <w:rFonts w:ascii="Arial Narrow" w:hAnsi="Arial Narrow" w:cs="Arial Narrow"/>
                <w:sz w:val="20"/>
                <w:szCs w:val="20"/>
              </w:rPr>
              <w:t xml:space="preserve"> </w:t>
            </w:r>
          </w:p>
          <w:p w14:paraId="2766318C" w14:textId="77777777"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i/>
                <w:iCs/>
                <w:sz w:val="20"/>
                <w:szCs w:val="20"/>
              </w:rPr>
              <w:t xml:space="preserve">Must be treated by a </w:t>
            </w:r>
            <w:r w:rsidRPr="00A3494F">
              <w:rPr>
                <w:rFonts w:ascii="Arial Narrow" w:hAnsi="Arial Narrow" w:cs="Arial Narrow"/>
                <w:sz w:val="20"/>
                <w:szCs w:val="20"/>
              </w:rPr>
              <w:t xml:space="preserve">consultant physician [internal medicine specialising in gastroenterology </w:t>
            </w:r>
            <w:r w:rsidRPr="00A3494F">
              <w:rPr>
                <w:rFonts w:ascii="Arial Narrow" w:hAnsi="Arial Narrow" w:cs="Arial Narrow"/>
                <w:i/>
                <w:iCs/>
                <w:sz w:val="20"/>
                <w:szCs w:val="20"/>
              </w:rPr>
              <w:t>(code 81)</w:t>
            </w:r>
            <w:r w:rsidRPr="00A3494F">
              <w:rPr>
                <w:rFonts w:ascii="Arial Narrow" w:hAnsi="Arial Narrow" w:cs="Arial Narrow"/>
                <w:sz w:val="20"/>
                <w:szCs w:val="20"/>
              </w:rPr>
              <w:t>]</w:t>
            </w:r>
            <w:r w:rsidRPr="00A3494F">
              <w:rPr>
                <w:rFonts w:ascii="Arial Narrow" w:hAnsi="Arial Narrow" w:cs="Arial Narrow"/>
                <w:i/>
                <w:iCs/>
                <w:sz w:val="20"/>
                <w:szCs w:val="20"/>
              </w:rPr>
              <w:t>;</w:t>
            </w:r>
            <w:r w:rsidRPr="00A3494F">
              <w:rPr>
                <w:rFonts w:ascii="Arial Narrow" w:hAnsi="Arial Narrow" w:cs="Arial Narrow"/>
                <w:sz w:val="20"/>
                <w:szCs w:val="20"/>
              </w:rPr>
              <w:t xml:space="preserve"> OR </w:t>
            </w:r>
          </w:p>
          <w:p w14:paraId="1687933D" w14:textId="77777777" w:rsidR="00A3494F" w:rsidRPr="00A3494F" w:rsidRDefault="00A3494F" w:rsidP="00886A4E">
            <w:pPr>
              <w:autoSpaceDE w:val="0"/>
              <w:autoSpaceDN w:val="0"/>
              <w:adjustRightInd w:val="0"/>
              <w:rPr>
                <w:rFonts w:ascii="Arial Narrow" w:hAnsi="Arial Narrow" w:cs="Arial Narrow"/>
                <w:i/>
                <w:iCs/>
                <w:sz w:val="20"/>
                <w:szCs w:val="20"/>
              </w:rPr>
            </w:pPr>
            <w:r w:rsidRPr="00A3494F">
              <w:rPr>
                <w:rFonts w:ascii="Arial Narrow" w:hAnsi="Arial Narrow" w:cs="Arial Narrow"/>
                <w:i/>
                <w:iCs/>
                <w:sz w:val="20"/>
                <w:szCs w:val="20"/>
              </w:rPr>
              <w:t xml:space="preserve">Must be treated by a </w:t>
            </w:r>
            <w:r w:rsidRPr="00A3494F">
              <w:rPr>
                <w:rFonts w:ascii="Arial Narrow" w:hAnsi="Arial Narrow" w:cs="Arial Narrow"/>
                <w:sz w:val="20"/>
                <w:szCs w:val="20"/>
              </w:rPr>
              <w:t xml:space="preserve">consultant physician [general medicine specialising in gastroenterology </w:t>
            </w:r>
            <w:r w:rsidRPr="00A3494F">
              <w:rPr>
                <w:rFonts w:ascii="Arial Narrow" w:hAnsi="Arial Narrow" w:cs="Arial Narrow"/>
                <w:i/>
                <w:iCs/>
                <w:sz w:val="20"/>
                <w:szCs w:val="20"/>
              </w:rPr>
              <w:t>(code 82)</w:t>
            </w:r>
            <w:r w:rsidRPr="00A3494F">
              <w:rPr>
                <w:rFonts w:ascii="Arial Narrow" w:hAnsi="Arial Narrow" w:cs="Arial Narrow"/>
                <w:sz w:val="20"/>
                <w:szCs w:val="20"/>
              </w:rPr>
              <w:t>].</w:t>
            </w:r>
          </w:p>
        </w:tc>
      </w:tr>
      <w:tr w:rsidR="00A3494F" w:rsidRPr="00A3494F" w14:paraId="6FBBF89E"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92AD485" w14:textId="6151331D"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6B27C4F6"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A3494F" w:rsidRPr="00A3494F" w14:paraId="58350395"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93DAAEE" w14:textId="0322D32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6DD324BB"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be aged 18 years or older.</w:t>
            </w:r>
          </w:p>
        </w:tc>
      </w:tr>
      <w:tr w:rsidR="00A3494F" w:rsidRPr="00A3494F" w14:paraId="438A3CCB"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F5CD8A8" w14:textId="77777777" w:rsidR="00A3494F" w:rsidRPr="00A3494F" w:rsidDel="004E6FC5" w:rsidRDefault="00A3494F" w:rsidP="00886A4E">
            <w:pPr>
              <w:jc w:val="center"/>
              <w:rPr>
                <w:rFonts w:ascii="Arial Narrow" w:hAnsi="Arial Narrow"/>
                <w:color w:val="333333"/>
                <w:sz w:val="20"/>
                <w:szCs w:val="20"/>
              </w:rPr>
            </w:pPr>
          </w:p>
        </w:tc>
        <w:tc>
          <w:tcPr>
            <w:tcW w:w="8738" w:type="dxa"/>
            <w:gridSpan w:val="6"/>
            <w:vAlign w:val="center"/>
          </w:tcPr>
          <w:p w14:paraId="57F094D3" w14:textId="77777777" w:rsidR="00A3494F" w:rsidRPr="00A3494F" w:rsidRDefault="00A3494F" w:rsidP="00886A4E">
            <w:pPr>
              <w:rPr>
                <w:rFonts w:ascii="Arial Narrow" w:hAnsi="Arial Narrow"/>
                <w:b/>
                <w:bCs/>
                <w:color w:val="333333"/>
                <w:sz w:val="20"/>
                <w:szCs w:val="20"/>
              </w:rPr>
            </w:pPr>
          </w:p>
        </w:tc>
      </w:tr>
      <w:tr w:rsidR="00A3494F" w:rsidRPr="00A3494F" w14:paraId="25FF895B" w14:textId="77777777" w:rsidTr="00046537">
        <w:tblPrEx>
          <w:tblLook w:val="04A0" w:firstRow="1" w:lastRow="0" w:firstColumn="1" w:lastColumn="0" w:noHBand="0" w:noVBand="1"/>
        </w:tblPrEx>
        <w:trPr>
          <w:cantSplit/>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C9C10B"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 xml:space="preserve">Restriction Summary: modification of / Treatment of Concept: modification of </w:t>
            </w:r>
          </w:p>
        </w:tc>
      </w:tr>
      <w:tr w:rsidR="00A3494F" w:rsidRPr="00A3494F" w14:paraId="5882B778"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745310A" w14:textId="4C3243A4"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930710" w14:textId="596D7ABE" w:rsidR="00A3494F" w:rsidRPr="00A13761" w:rsidRDefault="00A3494F" w:rsidP="00A13761">
            <w:pPr>
              <w:keepNext/>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i/>
                <w:iCs/>
                <w:sz w:val="20"/>
                <w:szCs w:val="20"/>
              </w:rPr>
              <w:t>Section 100 – Highly Specialised Drugs Program</w:t>
            </w:r>
            <w:r w:rsidRPr="00A3494F">
              <w:rPr>
                <w:rFonts w:ascii="Arial Narrow" w:hAnsi="Arial Narrow"/>
                <w:sz w:val="20"/>
                <w:szCs w:val="20"/>
              </w:rPr>
              <w:t xml:space="preserve"> </w:t>
            </w:r>
          </w:p>
        </w:tc>
      </w:tr>
      <w:tr w:rsidR="00A3494F" w:rsidRPr="00A3494F" w14:paraId="4E6274F4"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C55B73" w14:textId="77777777"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5210FD" w14:textId="77777777" w:rsidR="00A3494F" w:rsidRPr="00A3494F" w:rsidRDefault="00A3494F" w:rsidP="00886A4E">
            <w:pPr>
              <w:rPr>
                <w:rFonts w:ascii="Arial Narrow" w:hAnsi="Arial Narrow"/>
                <w:b/>
                <w:bCs/>
                <w:color w:val="333333"/>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A3494F" w:rsidRPr="00A3494F" w14:paraId="5D435B03"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2D9393" w14:textId="77777777"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834D90" w14:textId="77777777" w:rsidR="00A3494F" w:rsidRPr="00A3494F" w:rsidRDefault="00A3494F" w:rsidP="00886A4E">
            <w:pPr>
              <w:rPr>
                <w:rFonts w:ascii="Arial Narrow" w:hAnsi="Arial Narrow"/>
                <w:b/>
                <w:bCs/>
                <w:color w:val="333333"/>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 </w:t>
            </w:r>
            <w:r w:rsidRPr="00A3494F">
              <w:rPr>
                <w:rFonts w:ascii="Arial Narrow" w:eastAsia="Calibri" w:hAnsi="Arial Narrow"/>
                <w:i/>
                <w:iCs/>
                <w:sz w:val="20"/>
                <w:szCs w:val="20"/>
              </w:rPr>
              <w:t xml:space="preserve">Authority Required </w:t>
            </w:r>
            <w:r w:rsidRPr="00A3494F">
              <w:rPr>
                <w:rFonts w:ascii="Arial Narrow" w:hAnsi="Arial Narrow"/>
                <w:i/>
                <w:iCs/>
                <w:sz w:val="20"/>
                <w:szCs w:val="20"/>
              </w:rPr>
              <w:t>immediate/real time assessment by Services Australia (telephone/online application aven</w:t>
            </w:r>
            <w:r w:rsidRPr="00A3494F">
              <w:rPr>
                <w:rFonts w:ascii="Arial Narrow" w:eastAsiaTheme="minorEastAsia" w:hAnsi="Arial Narrow"/>
                <w:i/>
                <w:iCs/>
                <w:sz w:val="20"/>
                <w:szCs w:val="20"/>
              </w:rPr>
              <w:t>ues)</w:t>
            </w:r>
          </w:p>
        </w:tc>
      </w:tr>
      <w:tr w:rsidR="00A3494F" w:rsidRPr="00A3494F" w14:paraId="13EEF697"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0769CA" w14:textId="3F59B73B"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725335"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w:t>
            </w:r>
            <w:r w:rsidRPr="00A3494F">
              <w:rPr>
                <w:rFonts w:ascii="Arial Narrow" w:hAnsi="Arial Narrow"/>
                <w:i/>
                <w:iCs/>
                <w:color w:val="333333"/>
                <w:sz w:val="20"/>
                <w:szCs w:val="20"/>
              </w:rPr>
              <w:t>Moderate to Severe Ulcerative Colitis</w:t>
            </w:r>
          </w:p>
        </w:tc>
      </w:tr>
      <w:tr w:rsidR="00A3494F" w:rsidRPr="00A3494F" w14:paraId="56A5823C"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76CCA1" w14:textId="77777777"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952B28"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i/>
                <w:iCs/>
                <w:sz w:val="20"/>
                <w:szCs w:val="20"/>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A3494F" w:rsidRPr="00A3494F" w14:paraId="023135DC"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82166F" w14:textId="77777777"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A3639C"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 xml:space="preserve">Clinical criteria: </w:t>
            </w:r>
          </w:p>
        </w:tc>
      </w:tr>
      <w:tr w:rsidR="00A3494F" w:rsidRPr="00A3494F" w14:paraId="0214CDED"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EBF8C3" w14:textId="6FD7254D"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B32164" w14:textId="77777777" w:rsidR="00A3494F" w:rsidRPr="00A3494F" w:rsidRDefault="00A3494F" w:rsidP="00886A4E">
            <w:pPr>
              <w:rPr>
                <w:rFonts w:ascii="Arial Narrow" w:hAnsi="Arial Narrow"/>
                <w:i/>
                <w:iCs/>
                <w:color w:val="333333"/>
                <w:sz w:val="20"/>
                <w:szCs w:val="20"/>
              </w:rPr>
            </w:pPr>
            <w:r w:rsidRPr="00A3494F">
              <w:rPr>
                <w:rFonts w:ascii="Arial Narrow" w:hAnsi="Arial Narrow"/>
                <w:i/>
                <w:iCs/>
                <w:color w:val="333333"/>
                <w:sz w:val="20"/>
                <w:szCs w:val="20"/>
              </w:rPr>
              <w:t>Patient must have received insufficient therapy with this drug for this condition under the Initial 1 (new patient) restriction to complete 20 weeks of treatment (administered at weeks 0, 4, 8, 12,16 and 20)</w:t>
            </w:r>
          </w:p>
        </w:tc>
      </w:tr>
      <w:tr w:rsidR="00A3494F" w:rsidRPr="00A3494F" w14:paraId="4F221C40"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2CB358" w14:textId="2BBEF721"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E9244B" w14:textId="77777777" w:rsidR="00A3494F" w:rsidRPr="00A3494F" w:rsidRDefault="00A3494F" w:rsidP="00886A4E">
            <w:pPr>
              <w:rPr>
                <w:rFonts w:ascii="Arial Narrow" w:hAnsi="Arial Narrow"/>
                <w:i/>
                <w:iCs/>
                <w:color w:val="333333"/>
                <w:sz w:val="20"/>
                <w:szCs w:val="20"/>
              </w:rPr>
            </w:pPr>
            <w:r w:rsidRPr="00A3494F">
              <w:rPr>
                <w:rFonts w:ascii="Arial Narrow" w:hAnsi="Arial Narrow"/>
                <w:i/>
                <w:iCs/>
                <w:color w:val="333333"/>
                <w:sz w:val="20"/>
                <w:szCs w:val="20"/>
              </w:rPr>
              <w:t>Patient must have received insufficient therapy with this drug for this condition under the Initial 2 (change or recommencement of treatment after a break in biological medicine of less than 5 years) restriction to complete 20 weeks of treatment (administered at weeks 0, 4, 8, 12,16 and 20)</w:t>
            </w:r>
          </w:p>
        </w:tc>
      </w:tr>
      <w:tr w:rsidR="00A3494F" w:rsidRPr="00A3494F" w14:paraId="119D3AE3"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A29645" w14:textId="581B8614"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6BB8CB" w14:textId="77777777" w:rsidR="00A3494F" w:rsidRPr="00A3494F" w:rsidRDefault="00A3494F" w:rsidP="00886A4E">
            <w:pPr>
              <w:rPr>
                <w:rFonts w:ascii="Arial Narrow" w:hAnsi="Arial Narrow"/>
                <w:i/>
                <w:iCs/>
                <w:color w:val="333333"/>
                <w:sz w:val="20"/>
                <w:szCs w:val="20"/>
              </w:rPr>
            </w:pPr>
            <w:r w:rsidRPr="00A3494F">
              <w:rPr>
                <w:rFonts w:ascii="Arial Narrow" w:hAnsi="Arial Narrow"/>
                <w:i/>
                <w:iCs/>
                <w:color w:val="333333"/>
                <w:sz w:val="20"/>
                <w:szCs w:val="20"/>
              </w:rPr>
              <w:t>Patient must have received insufficient therapy with this drug for this condition under the Initial 3 (change or recommencement of treatment after a break in biological medicine of more than 5 years) restriction to complete 20 weeks of treatment (administered at weeks 0, 4, 8, 12,16 and 20)</w:t>
            </w:r>
          </w:p>
        </w:tc>
      </w:tr>
      <w:tr w:rsidR="00A3494F" w:rsidRPr="00A3494F" w14:paraId="3E195298"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E8C2BF" w14:textId="77777777"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8400A4"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AND</w:t>
            </w:r>
          </w:p>
        </w:tc>
      </w:tr>
      <w:tr w:rsidR="00A3494F" w:rsidRPr="00A3494F" w14:paraId="00A0CE2E"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8261D7" w14:textId="32F385FB"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F06007"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Clinical criteria:</w:t>
            </w:r>
          </w:p>
        </w:tc>
      </w:tr>
      <w:tr w:rsidR="00A3494F" w:rsidRPr="00A3494F" w14:paraId="66144C1A"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1261D3" w14:textId="4367CA6C"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3FAE73" w14:textId="77777777" w:rsidR="00A3494F" w:rsidRPr="00A3494F" w:rsidRDefault="00A3494F" w:rsidP="00886A4E">
            <w:pPr>
              <w:rPr>
                <w:rFonts w:ascii="Arial Narrow" w:hAnsi="Arial Narrow"/>
                <w:i/>
                <w:iCs/>
                <w:color w:val="333333"/>
                <w:sz w:val="20"/>
                <w:szCs w:val="20"/>
              </w:rPr>
            </w:pPr>
            <w:r w:rsidRPr="00A3494F">
              <w:rPr>
                <w:rFonts w:ascii="Arial Narrow" w:hAnsi="Arial Narrow"/>
                <w:i/>
                <w:iCs/>
                <w:color w:val="333333"/>
                <w:sz w:val="20"/>
                <w:szCs w:val="20"/>
              </w:rPr>
              <w:t>The treatment must provide no more than the balance of up to 20 weeks treatment available under the above restrictions.</w:t>
            </w:r>
          </w:p>
        </w:tc>
      </w:tr>
      <w:tr w:rsidR="00A3494F" w:rsidRPr="00A3494F" w14:paraId="092CFA10"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B86D31" w14:textId="7FCD5BB6"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541D248"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Treatment criteria:</w:t>
            </w:r>
          </w:p>
        </w:tc>
      </w:tr>
      <w:tr w:rsidR="00A3494F" w:rsidRPr="00A3494F" w14:paraId="4E288A3A"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81EC7D" w14:textId="04444417"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5A457D" w14:textId="77777777" w:rsidR="00A3494F" w:rsidRPr="00A3494F" w:rsidRDefault="00A3494F" w:rsidP="00886A4E">
            <w:pPr>
              <w:rPr>
                <w:rFonts w:ascii="Arial Narrow" w:hAnsi="Arial Narrow"/>
                <w:b/>
                <w:bCs/>
                <w:i/>
                <w:iCs/>
                <w:color w:val="333333"/>
                <w:sz w:val="20"/>
                <w:szCs w:val="20"/>
              </w:rPr>
            </w:pPr>
            <w:r w:rsidRPr="00A3494F">
              <w:rPr>
                <w:rFonts w:ascii="Arial Narrow" w:hAnsi="Arial Narrow"/>
                <w:i/>
                <w:iCs/>
                <w:sz w:val="20"/>
                <w:szCs w:val="20"/>
              </w:rPr>
              <w:t>Must be treated by a gastroenterologist (code 87); or</w:t>
            </w:r>
          </w:p>
        </w:tc>
      </w:tr>
      <w:tr w:rsidR="00A3494F" w:rsidRPr="00A3494F" w14:paraId="541D4F04"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4BA74B" w14:textId="49F4DA48"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5DA204" w14:textId="77777777" w:rsidR="00A3494F" w:rsidRPr="00A3494F" w:rsidRDefault="00A3494F" w:rsidP="00886A4E">
            <w:pPr>
              <w:rPr>
                <w:rFonts w:ascii="Arial Narrow" w:hAnsi="Arial Narrow"/>
                <w:b/>
                <w:bCs/>
                <w:i/>
                <w:iCs/>
                <w:color w:val="333333"/>
                <w:sz w:val="20"/>
                <w:szCs w:val="20"/>
              </w:rPr>
            </w:pPr>
            <w:r w:rsidRPr="00A3494F">
              <w:rPr>
                <w:rFonts w:ascii="Arial Narrow" w:hAnsi="Arial Narrow"/>
                <w:i/>
                <w:iCs/>
                <w:sz w:val="20"/>
                <w:szCs w:val="20"/>
              </w:rPr>
              <w:t>Must be treated by a consultant physician [internal medicine specialising in gastroenterology (code 81)]; or</w:t>
            </w:r>
          </w:p>
        </w:tc>
      </w:tr>
      <w:tr w:rsidR="00A3494F" w:rsidRPr="00A3494F" w14:paraId="63CE8ABA" w14:textId="77777777" w:rsidTr="00330E2E">
        <w:tblPrEx>
          <w:tblLook w:val="04A0" w:firstRow="1" w:lastRow="0" w:firstColumn="1" w:lastColumn="0" w:noHBand="0" w:noVBand="1"/>
        </w:tblPrEx>
        <w:trPr>
          <w:cantSplit/>
          <w:trHeight w:val="20"/>
        </w:trPr>
        <w:tc>
          <w:tcPr>
            <w:tcW w:w="27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6D24F3" w14:textId="5166D146" w:rsidR="00A3494F" w:rsidRPr="00A3494F" w:rsidRDefault="00A3494F" w:rsidP="00886A4E">
            <w:pPr>
              <w:jc w:val="center"/>
              <w:rPr>
                <w:rFonts w:ascii="Arial Narrow" w:hAnsi="Arial Narrow"/>
                <w:color w:val="333333"/>
                <w:sz w:val="20"/>
                <w:szCs w:val="20"/>
              </w:rPr>
            </w:pPr>
          </w:p>
        </w:tc>
        <w:tc>
          <w:tcPr>
            <w:tcW w:w="8738"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2F1F40" w14:textId="77777777" w:rsidR="00A3494F" w:rsidRPr="00A3494F" w:rsidRDefault="00A3494F" w:rsidP="00886A4E">
            <w:pPr>
              <w:rPr>
                <w:rFonts w:ascii="Arial Narrow" w:hAnsi="Arial Narrow"/>
                <w:b/>
                <w:bCs/>
                <w:i/>
                <w:iCs/>
                <w:color w:val="333333"/>
                <w:sz w:val="20"/>
                <w:szCs w:val="20"/>
              </w:rPr>
            </w:pPr>
            <w:r w:rsidRPr="00A3494F">
              <w:rPr>
                <w:rFonts w:ascii="Arial Narrow" w:hAnsi="Arial Narrow"/>
                <w:i/>
                <w:iCs/>
                <w:sz w:val="20"/>
                <w:szCs w:val="20"/>
              </w:rPr>
              <w:t>Must be treated by a consultant physician [general medicine specialising in gastroenterology (code 82)]</w:t>
            </w:r>
          </w:p>
        </w:tc>
      </w:tr>
    </w:tbl>
    <w:p w14:paraId="5C89F93B" w14:textId="77777777" w:rsidR="00A3494F" w:rsidRPr="00A3494F" w:rsidRDefault="00A3494F" w:rsidP="00A349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3661"/>
        <w:gridCol w:w="811"/>
        <w:gridCol w:w="812"/>
        <w:gridCol w:w="811"/>
        <w:gridCol w:w="812"/>
        <w:gridCol w:w="1831"/>
      </w:tblGrid>
      <w:tr w:rsidR="00A3494F" w:rsidRPr="00A3494F" w14:paraId="2DE6252E" w14:textId="77777777" w:rsidTr="00046537">
        <w:trPr>
          <w:cantSplit/>
          <w:trHeight w:val="20"/>
        </w:trPr>
        <w:tc>
          <w:tcPr>
            <w:tcW w:w="3940" w:type="dxa"/>
            <w:gridSpan w:val="2"/>
            <w:vAlign w:val="center"/>
          </w:tcPr>
          <w:p w14:paraId="342B2EBE" w14:textId="77777777" w:rsidR="00A3494F" w:rsidRPr="00A3494F" w:rsidRDefault="00A3494F" w:rsidP="00886A4E">
            <w:pPr>
              <w:keepLines/>
              <w:rPr>
                <w:rFonts w:ascii="Arial Narrow" w:hAnsi="Arial Narrow"/>
                <w:b/>
                <w:bCs/>
                <w:sz w:val="20"/>
                <w:szCs w:val="20"/>
              </w:rPr>
            </w:pPr>
            <w:r w:rsidRPr="00A3494F">
              <w:rPr>
                <w:rFonts w:ascii="Arial Narrow" w:hAnsi="Arial Narrow"/>
                <w:b/>
                <w:bCs/>
                <w:sz w:val="20"/>
                <w:szCs w:val="20"/>
              </w:rPr>
              <w:t>MEDICINAL PRODUCT</w:t>
            </w:r>
          </w:p>
          <w:p w14:paraId="77ACEE7C" w14:textId="77777777" w:rsidR="00A3494F" w:rsidRPr="00A3494F" w:rsidRDefault="00A3494F" w:rsidP="00886A4E">
            <w:pPr>
              <w:keepLines/>
              <w:rPr>
                <w:rFonts w:ascii="Arial Narrow" w:hAnsi="Arial Narrow"/>
                <w:b/>
                <w:sz w:val="20"/>
                <w:szCs w:val="20"/>
              </w:rPr>
            </w:pPr>
            <w:r w:rsidRPr="00A3494F">
              <w:rPr>
                <w:rFonts w:ascii="Arial Narrow" w:hAnsi="Arial Narrow"/>
                <w:b/>
                <w:bCs/>
                <w:sz w:val="20"/>
                <w:szCs w:val="20"/>
              </w:rPr>
              <w:t>medicinal product pack</w:t>
            </w:r>
          </w:p>
        </w:tc>
        <w:tc>
          <w:tcPr>
            <w:tcW w:w="811" w:type="dxa"/>
            <w:vAlign w:val="center"/>
          </w:tcPr>
          <w:p w14:paraId="4046057B" w14:textId="77777777" w:rsidR="00A3494F" w:rsidRPr="00A3494F" w:rsidRDefault="00A3494F" w:rsidP="00886A4E">
            <w:pPr>
              <w:keepLines/>
              <w:jc w:val="center"/>
              <w:rPr>
                <w:rFonts w:ascii="Arial Narrow" w:hAnsi="Arial Narrow"/>
                <w:b/>
                <w:sz w:val="20"/>
                <w:szCs w:val="20"/>
              </w:rPr>
            </w:pPr>
            <w:r w:rsidRPr="00A3494F">
              <w:rPr>
                <w:rFonts w:ascii="Arial Narrow" w:hAnsi="Arial Narrow"/>
                <w:b/>
                <w:sz w:val="20"/>
                <w:szCs w:val="20"/>
              </w:rPr>
              <w:t>PBS item code</w:t>
            </w:r>
          </w:p>
        </w:tc>
        <w:tc>
          <w:tcPr>
            <w:tcW w:w="812" w:type="dxa"/>
            <w:vAlign w:val="center"/>
          </w:tcPr>
          <w:p w14:paraId="594D1207" w14:textId="77777777" w:rsidR="00A3494F" w:rsidRPr="00A3494F" w:rsidRDefault="00A3494F" w:rsidP="00886A4E">
            <w:pPr>
              <w:keepLines/>
              <w:jc w:val="center"/>
              <w:rPr>
                <w:rFonts w:ascii="Arial Narrow" w:hAnsi="Arial Narrow"/>
                <w:b/>
                <w:sz w:val="20"/>
                <w:szCs w:val="20"/>
              </w:rPr>
            </w:pPr>
            <w:r w:rsidRPr="00A3494F">
              <w:rPr>
                <w:rFonts w:ascii="Arial Narrow" w:hAnsi="Arial Narrow"/>
                <w:b/>
                <w:sz w:val="20"/>
                <w:szCs w:val="20"/>
              </w:rPr>
              <w:t>Max. qty packs</w:t>
            </w:r>
          </w:p>
        </w:tc>
        <w:tc>
          <w:tcPr>
            <w:tcW w:w="811" w:type="dxa"/>
            <w:vAlign w:val="center"/>
          </w:tcPr>
          <w:p w14:paraId="7CB98848" w14:textId="77777777" w:rsidR="00A3494F" w:rsidRPr="00A3494F" w:rsidRDefault="00A3494F" w:rsidP="00886A4E">
            <w:pPr>
              <w:keepLines/>
              <w:jc w:val="center"/>
              <w:rPr>
                <w:rFonts w:ascii="Arial Narrow" w:hAnsi="Arial Narrow"/>
                <w:b/>
                <w:sz w:val="20"/>
                <w:szCs w:val="20"/>
              </w:rPr>
            </w:pPr>
            <w:r w:rsidRPr="00A3494F">
              <w:rPr>
                <w:rFonts w:ascii="Arial Narrow" w:hAnsi="Arial Narrow"/>
                <w:b/>
                <w:sz w:val="20"/>
                <w:szCs w:val="20"/>
              </w:rPr>
              <w:t>Max. qty units</w:t>
            </w:r>
          </w:p>
        </w:tc>
        <w:tc>
          <w:tcPr>
            <w:tcW w:w="812" w:type="dxa"/>
            <w:vAlign w:val="center"/>
          </w:tcPr>
          <w:p w14:paraId="74AE2804" w14:textId="0B9A3D48" w:rsidR="00A3494F" w:rsidRPr="00A3494F" w:rsidRDefault="00A13761" w:rsidP="00886A4E">
            <w:pPr>
              <w:keepLines/>
              <w:jc w:val="center"/>
              <w:rPr>
                <w:rFonts w:ascii="Arial Narrow" w:hAnsi="Arial Narrow"/>
                <w:b/>
                <w:sz w:val="20"/>
                <w:szCs w:val="20"/>
              </w:rPr>
            </w:pPr>
            <w:r w:rsidRPr="00A3494F">
              <w:rPr>
                <w:rFonts w:ascii="Arial Narrow" w:hAnsi="Arial Narrow"/>
                <w:b/>
                <w:sz w:val="20"/>
                <w:szCs w:val="20"/>
              </w:rPr>
              <w:t>№. of</w:t>
            </w:r>
          </w:p>
          <w:p w14:paraId="58421704" w14:textId="77777777" w:rsidR="00A3494F" w:rsidRPr="00A3494F" w:rsidRDefault="00A3494F" w:rsidP="00886A4E">
            <w:pPr>
              <w:keepLines/>
              <w:jc w:val="center"/>
              <w:rPr>
                <w:rFonts w:ascii="Arial Narrow" w:hAnsi="Arial Narrow"/>
                <w:b/>
                <w:sz w:val="20"/>
                <w:szCs w:val="20"/>
              </w:rPr>
            </w:pPr>
            <w:r w:rsidRPr="00A3494F">
              <w:rPr>
                <w:rFonts w:ascii="Arial Narrow" w:hAnsi="Arial Narrow"/>
                <w:b/>
                <w:sz w:val="20"/>
                <w:szCs w:val="20"/>
              </w:rPr>
              <w:t>Rpts</w:t>
            </w:r>
          </w:p>
        </w:tc>
        <w:tc>
          <w:tcPr>
            <w:tcW w:w="1831" w:type="dxa"/>
            <w:vAlign w:val="center"/>
          </w:tcPr>
          <w:p w14:paraId="7A79CE24" w14:textId="77777777" w:rsidR="00A3494F" w:rsidRPr="00A3494F" w:rsidRDefault="00A3494F" w:rsidP="00886A4E">
            <w:pPr>
              <w:keepLines/>
              <w:rPr>
                <w:rFonts w:ascii="Arial Narrow" w:hAnsi="Arial Narrow"/>
                <w:b/>
                <w:sz w:val="20"/>
                <w:szCs w:val="20"/>
                <w:lang w:val="fr-FR"/>
              </w:rPr>
            </w:pPr>
            <w:r w:rsidRPr="00A3494F">
              <w:rPr>
                <w:rFonts w:ascii="Arial Narrow" w:hAnsi="Arial Narrow"/>
                <w:b/>
                <w:sz w:val="20"/>
                <w:szCs w:val="20"/>
              </w:rPr>
              <w:t>Available brands</w:t>
            </w:r>
          </w:p>
        </w:tc>
      </w:tr>
      <w:tr w:rsidR="00A3494F" w:rsidRPr="00A3494F" w14:paraId="68F13AA8" w14:textId="77777777" w:rsidTr="00046537">
        <w:trPr>
          <w:cantSplit/>
          <w:trHeight w:val="20"/>
        </w:trPr>
        <w:tc>
          <w:tcPr>
            <w:tcW w:w="9017" w:type="dxa"/>
            <w:gridSpan w:val="7"/>
            <w:vAlign w:val="center"/>
          </w:tcPr>
          <w:p w14:paraId="712D10FA" w14:textId="77777777" w:rsidR="00A3494F" w:rsidRPr="00A3494F" w:rsidRDefault="00A3494F" w:rsidP="00886A4E">
            <w:pPr>
              <w:keepLines/>
              <w:rPr>
                <w:rFonts w:ascii="Arial Narrow" w:hAnsi="Arial Narrow"/>
                <w:sz w:val="20"/>
                <w:szCs w:val="20"/>
              </w:rPr>
            </w:pPr>
            <w:r w:rsidRPr="00A3494F">
              <w:rPr>
                <w:rFonts w:ascii="Arial Narrow" w:hAnsi="Arial Narrow"/>
                <w:sz w:val="20"/>
                <w:szCs w:val="20"/>
              </w:rPr>
              <w:t xml:space="preserve">MIRIKIZUMAB </w:t>
            </w:r>
          </w:p>
        </w:tc>
      </w:tr>
      <w:tr w:rsidR="00A3494F" w:rsidRPr="00A3494F" w14:paraId="78B4E6E4" w14:textId="77777777" w:rsidTr="00046537">
        <w:trPr>
          <w:cantSplit/>
          <w:trHeight w:val="20"/>
        </w:trPr>
        <w:tc>
          <w:tcPr>
            <w:tcW w:w="3940" w:type="dxa"/>
            <w:gridSpan w:val="2"/>
            <w:vAlign w:val="center"/>
          </w:tcPr>
          <w:p w14:paraId="09643858" w14:textId="77777777" w:rsidR="00A3494F" w:rsidRPr="00A3494F" w:rsidRDefault="00A3494F" w:rsidP="00886A4E">
            <w:pPr>
              <w:keepLines/>
              <w:rPr>
                <w:rFonts w:ascii="Arial Narrow" w:hAnsi="Arial Narrow"/>
                <w:sz w:val="20"/>
                <w:szCs w:val="20"/>
              </w:rPr>
            </w:pPr>
            <w:r w:rsidRPr="00A3494F">
              <w:rPr>
                <w:rFonts w:ascii="Arial Narrow" w:hAnsi="Arial Narrow"/>
                <w:sz w:val="20"/>
                <w:szCs w:val="20"/>
              </w:rPr>
              <w:t>mirikizumab 100 mg/mL injection 2 x 1 mL pen devices</w:t>
            </w:r>
          </w:p>
        </w:tc>
        <w:tc>
          <w:tcPr>
            <w:tcW w:w="811" w:type="dxa"/>
            <w:vAlign w:val="center"/>
          </w:tcPr>
          <w:p w14:paraId="64D23E5D" w14:textId="77777777" w:rsidR="00A3494F" w:rsidRPr="00A3494F" w:rsidRDefault="00A3494F" w:rsidP="00886A4E">
            <w:pPr>
              <w:keepLines/>
              <w:jc w:val="center"/>
              <w:rPr>
                <w:rFonts w:ascii="Arial Narrow" w:hAnsi="Arial Narrow"/>
                <w:sz w:val="20"/>
                <w:szCs w:val="20"/>
              </w:rPr>
            </w:pPr>
            <w:r w:rsidRPr="00A3494F">
              <w:rPr>
                <w:rFonts w:ascii="Arial Narrow" w:hAnsi="Arial Narrow"/>
                <w:sz w:val="20"/>
                <w:szCs w:val="20"/>
              </w:rPr>
              <w:t>NEW</w:t>
            </w:r>
          </w:p>
        </w:tc>
        <w:tc>
          <w:tcPr>
            <w:tcW w:w="812" w:type="dxa"/>
            <w:vAlign w:val="center"/>
          </w:tcPr>
          <w:p w14:paraId="70AF710A" w14:textId="77777777" w:rsidR="00A3494F" w:rsidRPr="00A3494F" w:rsidRDefault="00A3494F" w:rsidP="00886A4E">
            <w:pPr>
              <w:keepLines/>
              <w:jc w:val="center"/>
              <w:rPr>
                <w:rFonts w:ascii="Arial Narrow" w:hAnsi="Arial Narrow"/>
                <w:sz w:val="20"/>
                <w:szCs w:val="20"/>
              </w:rPr>
            </w:pPr>
            <w:r w:rsidRPr="00A3494F">
              <w:rPr>
                <w:rFonts w:ascii="Arial Narrow" w:hAnsi="Arial Narrow"/>
                <w:sz w:val="20"/>
                <w:szCs w:val="20"/>
              </w:rPr>
              <w:t>1</w:t>
            </w:r>
          </w:p>
        </w:tc>
        <w:tc>
          <w:tcPr>
            <w:tcW w:w="811" w:type="dxa"/>
            <w:vAlign w:val="center"/>
          </w:tcPr>
          <w:p w14:paraId="1590851F" w14:textId="77777777" w:rsidR="00A3494F" w:rsidRPr="00A3494F" w:rsidRDefault="00A3494F" w:rsidP="00886A4E">
            <w:pPr>
              <w:keepLines/>
              <w:jc w:val="center"/>
              <w:rPr>
                <w:rFonts w:ascii="Arial Narrow" w:hAnsi="Arial Narrow"/>
                <w:sz w:val="20"/>
                <w:szCs w:val="20"/>
              </w:rPr>
            </w:pPr>
            <w:r w:rsidRPr="00A3494F">
              <w:rPr>
                <w:rFonts w:ascii="Arial Narrow" w:hAnsi="Arial Narrow"/>
                <w:sz w:val="20"/>
                <w:szCs w:val="20"/>
              </w:rPr>
              <w:t>2</w:t>
            </w:r>
          </w:p>
        </w:tc>
        <w:tc>
          <w:tcPr>
            <w:tcW w:w="812" w:type="dxa"/>
            <w:vAlign w:val="center"/>
          </w:tcPr>
          <w:p w14:paraId="644FACBC" w14:textId="77777777" w:rsidR="00A3494F" w:rsidRPr="00A3494F" w:rsidRDefault="00A3494F" w:rsidP="00886A4E">
            <w:pPr>
              <w:keepLines/>
              <w:jc w:val="center"/>
              <w:rPr>
                <w:rFonts w:ascii="Arial Narrow" w:hAnsi="Arial Narrow"/>
                <w:sz w:val="20"/>
                <w:szCs w:val="20"/>
              </w:rPr>
            </w:pPr>
            <w:r w:rsidRPr="00A3494F">
              <w:rPr>
                <w:rFonts w:ascii="Arial Narrow" w:hAnsi="Arial Narrow"/>
                <w:sz w:val="20"/>
                <w:szCs w:val="20"/>
              </w:rPr>
              <w:t>5</w:t>
            </w:r>
          </w:p>
        </w:tc>
        <w:tc>
          <w:tcPr>
            <w:tcW w:w="1831" w:type="dxa"/>
            <w:vAlign w:val="center"/>
          </w:tcPr>
          <w:p w14:paraId="5FA28428" w14:textId="77777777" w:rsidR="00A3494F" w:rsidRPr="00A3494F" w:rsidRDefault="00A3494F" w:rsidP="00886A4E">
            <w:pPr>
              <w:keepLines/>
              <w:rPr>
                <w:rFonts w:ascii="Arial Narrow" w:hAnsi="Arial Narrow"/>
                <w:sz w:val="20"/>
                <w:szCs w:val="20"/>
              </w:rPr>
            </w:pPr>
            <w:r w:rsidRPr="00A3494F">
              <w:rPr>
                <w:rFonts w:ascii="Arial Narrow" w:hAnsi="Arial Narrow"/>
                <w:sz w:val="20"/>
                <w:szCs w:val="20"/>
              </w:rPr>
              <w:t>Omvoh</w:t>
            </w:r>
          </w:p>
        </w:tc>
      </w:tr>
      <w:tr w:rsidR="00A3494F" w:rsidRPr="00A3494F" w14:paraId="69EA93C2" w14:textId="77777777" w:rsidTr="00046537">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F0ABC67" w14:textId="77777777" w:rsidR="00A3494F" w:rsidRPr="00A3494F" w:rsidRDefault="00A3494F" w:rsidP="00886A4E">
            <w:pPr>
              <w:rPr>
                <w:rFonts w:ascii="Arial Narrow" w:hAnsi="Arial Narrow"/>
                <w:sz w:val="20"/>
                <w:szCs w:val="20"/>
              </w:rPr>
            </w:pPr>
          </w:p>
        </w:tc>
      </w:tr>
      <w:tr w:rsidR="00A3494F" w:rsidRPr="00A3494F" w14:paraId="37F331E2" w14:textId="77777777" w:rsidTr="00046537">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6733593C" w14:textId="77777777" w:rsidR="00A3494F" w:rsidRPr="00A3494F" w:rsidRDefault="00A3494F" w:rsidP="00886A4E">
            <w:pPr>
              <w:keepLines/>
              <w:rPr>
                <w:rFonts w:ascii="Arial Narrow" w:hAnsi="Arial Narrow"/>
                <w:b/>
                <w:sz w:val="20"/>
                <w:szCs w:val="20"/>
              </w:rPr>
            </w:pPr>
            <w:r w:rsidRPr="00A3494F">
              <w:rPr>
                <w:rFonts w:ascii="Arial Narrow" w:hAnsi="Arial Narrow"/>
                <w:b/>
                <w:sz w:val="20"/>
                <w:szCs w:val="20"/>
              </w:rPr>
              <w:t xml:space="preserve">Restriction Summary 12181 / Treatment of Concept: 12135 </w:t>
            </w:r>
          </w:p>
        </w:tc>
      </w:tr>
      <w:tr w:rsidR="00A3494F" w:rsidRPr="00A3494F" w14:paraId="3E0360FA" w14:textId="77777777" w:rsidTr="00330E2E">
        <w:tblPrEx>
          <w:tblCellMar>
            <w:top w:w="15" w:type="dxa"/>
            <w:bottom w:w="15" w:type="dxa"/>
          </w:tblCellMar>
          <w:tblLook w:val="04A0" w:firstRow="1" w:lastRow="0" w:firstColumn="1" w:lastColumn="0" w:noHBand="0" w:noVBand="1"/>
        </w:tblPrEx>
        <w:trPr>
          <w:trHeight w:val="20"/>
        </w:trPr>
        <w:tc>
          <w:tcPr>
            <w:tcW w:w="279" w:type="dxa"/>
            <w:vMerge w:val="restart"/>
            <w:tcBorders>
              <w:top w:val="single" w:sz="4" w:space="0" w:color="auto"/>
              <w:left w:val="single" w:sz="4" w:space="0" w:color="auto"/>
              <w:right w:val="single" w:sz="4" w:space="0" w:color="auto"/>
            </w:tcBorders>
          </w:tcPr>
          <w:p w14:paraId="07CD71D6" w14:textId="2C7CC5FA" w:rsidR="00A3494F" w:rsidRPr="00A3494F" w:rsidRDefault="00A3494F" w:rsidP="00886A4E">
            <w:pPr>
              <w:jc w:val="center"/>
              <w:rPr>
                <w:rFonts w:ascii="Arial Narrow" w:hAnsi="Arial Narrow"/>
                <w:b/>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6F94E433" w14:textId="77777777" w:rsidR="00A3494F" w:rsidRPr="00A3494F" w:rsidRDefault="00A3494F" w:rsidP="00886A4E">
            <w:pPr>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sz w:val="20"/>
                <w:szCs w:val="20"/>
              </w:rPr>
              <w:t>GENERAL – General Schedule (Code GE)</w:t>
            </w:r>
          </w:p>
        </w:tc>
      </w:tr>
      <w:tr w:rsidR="00A3494F" w:rsidRPr="00A3494F" w14:paraId="4FBF32C2" w14:textId="77777777" w:rsidTr="00330E2E">
        <w:tblPrEx>
          <w:tblCellMar>
            <w:top w:w="15" w:type="dxa"/>
            <w:bottom w:w="15" w:type="dxa"/>
          </w:tblCellMar>
          <w:tblLook w:val="04A0" w:firstRow="1" w:lastRow="0" w:firstColumn="1" w:lastColumn="0" w:noHBand="0" w:noVBand="1"/>
        </w:tblPrEx>
        <w:trPr>
          <w:trHeight w:val="20"/>
        </w:trPr>
        <w:tc>
          <w:tcPr>
            <w:tcW w:w="279" w:type="dxa"/>
            <w:vMerge/>
            <w:tcBorders>
              <w:left w:val="single" w:sz="4" w:space="0" w:color="auto"/>
              <w:right w:val="single" w:sz="4" w:space="0" w:color="auto"/>
            </w:tcBorders>
          </w:tcPr>
          <w:p w14:paraId="22AC38C1"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440A0719" w14:textId="77777777" w:rsidR="00A3494F" w:rsidRPr="00A3494F" w:rsidRDefault="00A3494F" w:rsidP="00886A4E">
            <w:pPr>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A3494F" w:rsidRPr="00A3494F" w14:paraId="7183576E" w14:textId="77777777" w:rsidTr="00330E2E">
        <w:tblPrEx>
          <w:tblCellMar>
            <w:top w:w="15" w:type="dxa"/>
            <w:bottom w:w="15" w:type="dxa"/>
          </w:tblCellMar>
          <w:tblLook w:val="04A0" w:firstRow="1" w:lastRow="0" w:firstColumn="1" w:lastColumn="0" w:noHBand="0" w:noVBand="1"/>
        </w:tblPrEx>
        <w:trPr>
          <w:trHeight w:val="20"/>
        </w:trPr>
        <w:tc>
          <w:tcPr>
            <w:tcW w:w="279" w:type="dxa"/>
            <w:vMerge/>
            <w:tcBorders>
              <w:left w:val="single" w:sz="4" w:space="0" w:color="auto"/>
              <w:bottom w:val="single" w:sz="4" w:space="0" w:color="auto"/>
              <w:right w:val="single" w:sz="4" w:space="0" w:color="auto"/>
            </w:tcBorders>
          </w:tcPr>
          <w:p w14:paraId="750B0CCC"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43F6E386" w14:textId="77777777" w:rsidR="00A3494F" w:rsidRPr="00A3494F" w:rsidRDefault="00A3494F" w:rsidP="00886A4E">
            <w:pPr>
              <w:keepLines/>
              <w:rPr>
                <w:rFonts w:ascii="Arial Narrow" w:eastAsia="Calibri" w:hAnsi="Arial Narrow"/>
                <w:color w:val="FF0000"/>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Check3"/>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(telephone/online PBS Authorities system) </w:t>
            </w:r>
          </w:p>
        </w:tc>
      </w:tr>
      <w:tr w:rsidR="00A3494F" w:rsidRPr="00A3494F" w14:paraId="6F3D4181"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9CC76D6" w14:textId="4AB574E6" w:rsidR="00A3494F" w:rsidRPr="00A3494F" w:rsidRDefault="00A3494F" w:rsidP="00886A4E">
            <w:pPr>
              <w:keepLines/>
              <w:jc w:val="center"/>
              <w:rPr>
                <w:rFonts w:ascii="Arial Narrow" w:hAnsi="Arial Narrow"/>
                <w:color w:val="333333"/>
                <w:sz w:val="20"/>
                <w:szCs w:val="20"/>
              </w:rPr>
            </w:pPr>
          </w:p>
        </w:tc>
        <w:tc>
          <w:tcPr>
            <w:tcW w:w="8738" w:type="dxa"/>
            <w:gridSpan w:val="6"/>
            <w:vAlign w:val="center"/>
            <w:hideMark/>
          </w:tcPr>
          <w:p w14:paraId="23F7A9E3" w14:textId="77777777" w:rsidR="00A3494F" w:rsidRPr="00A3494F" w:rsidRDefault="00A3494F" w:rsidP="00886A4E">
            <w:pPr>
              <w:keepLines/>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A3494F" w:rsidRPr="00A3494F" w14:paraId="311CB700"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C06DC1D"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4E370DE4"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color w:val="333333"/>
                <w:sz w:val="20"/>
                <w:szCs w:val="20"/>
              </w:rPr>
              <w:t xml:space="preserve">Continuing treatment </w:t>
            </w:r>
            <w:r w:rsidRPr="00A3494F">
              <w:rPr>
                <w:rFonts w:ascii="Arial Narrow" w:hAnsi="Arial Narrow"/>
                <w:strike/>
                <w:color w:val="333333"/>
                <w:sz w:val="20"/>
                <w:szCs w:val="20"/>
              </w:rPr>
              <w:t>with subcutaneous form</w:t>
            </w:r>
          </w:p>
        </w:tc>
      </w:tr>
      <w:tr w:rsidR="00A3494F" w:rsidRPr="00A3494F" w14:paraId="7253A5E4"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5A5464E" w14:textId="2E526CDA"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2086E6DE"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 xml:space="preserve">Clinical criteria: </w:t>
            </w:r>
          </w:p>
        </w:tc>
      </w:tr>
      <w:tr w:rsidR="00A3494F" w:rsidRPr="00A3494F" w14:paraId="55626FF0"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E101477" w14:textId="2B26C41C"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9EDDDCB" w14:textId="77777777" w:rsidR="00A3494F" w:rsidRPr="00A3494F" w:rsidRDefault="00A3494F" w:rsidP="00886A4E">
            <w:pPr>
              <w:rPr>
                <w:rFonts w:ascii="Arial Narrow" w:hAnsi="Arial Narrow" w:cs="Arial Narrow"/>
                <w:sz w:val="20"/>
                <w:szCs w:val="20"/>
              </w:rPr>
            </w:pPr>
            <w:r w:rsidRPr="00A3494F">
              <w:rPr>
                <w:rFonts w:ascii="Arial Narrow" w:hAnsi="Arial Narrow" w:cs="Arial Narrow"/>
                <w:sz w:val="20"/>
                <w:szCs w:val="20"/>
              </w:rPr>
              <w:t xml:space="preserve">Patient must have </w:t>
            </w:r>
            <w:r w:rsidRPr="00A3494F">
              <w:rPr>
                <w:rFonts w:ascii="Arial Narrow" w:hAnsi="Arial Narrow" w:cs="Arial Narrow"/>
                <w:i/>
                <w:iCs/>
                <w:sz w:val="20"/>
                <w:szCs w:val="20"/>
              </w:rPr>
              <w:t xml:space="preserve">previously </w:t>
            </w:r>
            <w:r w:rsidRPr="00A3494F">
              <w:rPr>
                <w:rFonts w:ascii="Arial Narrow" w:hAnsi="Arial Narrow" w:cs="Arial Narrow"/>
                <w:sz w:val="20"/>
                <w:szCs w:val="20"/>
              </w:rPr>
              <w:t xml:space="preserve">received </w:t>
            </w:r>
            <w:r w:rsidRPr="00A3494F">
              <w:rPr>
                <w:rFonts w:ascii="Arial Narrow" w:hAnsi="Arial Narrow" w:cs="Arial Narrow"/>
                <w:strike/>
                <w:sz w:val="20"/>
                <w:szCs w:val="20"/>
              </w:rPr>
              <w:t>this drug administered via Intravenous infusion as their most recent course of</w:t>
            </w:r>
            <w:r w:rsidRPr="00A3494F">
              <w:rPr>
                <w:rFonts w:ascii="Arial Narrow" w:hAnsi="Arial Narrow" w:cs="Arial Narrow"/>
                <w:sz w:val="20"/>
                <w:szCs w:val="20"/>
              </w:rPr>
              <w:t xml:space="preserve"> PBS-subsidised </w:t>
            </w:r>
            <w:r w:rsidRPr="00A3494F">
              <w:rPr>
                <w:rFonts w:ascii="Arial Narrow" w:hAnsi="Arial Narrow" w:cs="Arial Narrow"/>
                <w:strike/>
                <w:sz w:val="20"/>
                <w:szCs w:val="20"/>
              </w:rPr>
              <w:t xml:space="preserve">biological medicine </w:t>
            </w:r>
            <w:r w:rsidRPr="00A3494F">
              <w:rPr>
                <w:rFonts w:ascii="Arial Narrow" w:hAnsi="Arial Narrow" w:cs="Arial Narrow"/>
                <w:sz w:val="20"/>
                <w:szCs w:val="20"/>
              </w:rPr>
              <w:t>treatment</w:t>
            </w:r>
            <w:r w:rsidRPr="00A3494F">
              <w:rPr>
                <w:rFonts w:ascii="Arial Narrow" w:hAnsi="Arial Narrow" w:cs="Arial Narrow"/>
                <w:i/>
                <w:iCs/>
                <w:sz w:val="20"/>
                <w:szCs w:val="20"/>
              </w:rPr>
              <w:t xml:space="preserve"> with this drug</w:t>
            </w:r>
            <w:r w:rsidRPr="00A3494F">
              <w:rPr>
                <w:rFonts w:ascii="Arial Narrow" w:hAnsi="Arial Narrow" w:cs="Arial Narrow"/>
                <w:sz w:val="20"/>
                <w:szCs w:val="20"/>
              </w:rPr>
              <w:t xml:space="preserve"> for this condition;</w:t>
            </w:r>
          </w:p>
        </w:tc>
      </w:tr>
      <w:tr w:rsidR="00A3494F" w:rsidRPr="00A3494F" w14:paraId="49351199"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C6D370F"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44E6115E"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A3494F" w:rsidRPr="00A3494F" w14:paraId="0E13D5B9"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3F0FB3E" w14:textId="093E22A5"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EE33924"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10AF557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9FAE42A" w14:textId="2FC3B775"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90FDD73" w14:textId="77777777" w:rsidR="00A3494F" w:rsidRPr="00A3494F" w:rsidRDefault="00A3494F" w:rsidP="00886A4E">
            <w:pPr>
              <w:rPr>
                <w:rFonts w:ascii="Arial Narrow" w:hAnsi="Arial Narrow" w:cs="Arial Narrow"/>
                <w:sz w:val="20"/>
                <w:szCs w:val="20"/>
              </w:rPr>
            </w:pPr>
            <w:r w:rsidRPr="00A3494F">
              <w:rPr>
                <w:rFonts w:ascii="Arial Narrow" w:hAnsi="Arial Narrow" w:cs="Arial Narrow"/>
                <w:sz w:val="20"/>
                <w:szCs w:val="20"/>
              </w:rPr>
              <w:t>Patient must have demonstrated or sustained an adequate response to treatment by having a partial Mayo clinic score less than or equal to 2, with no subscore greater than 1 while receiving treatment with this drug.</w:t>
            </w:r>
          </w:p>
        </w:tc>
      </w:tr>
      <w:tr w:rsidR="00A3494F" w:rsidRPr="00A3494F" w14:paraId="7D614BF2"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16EF4D9" w14:textId="0261E118" w:rsidR="00A3494F" w:rsidRPr="00A3494F" w:rsidRDefault="00A3494F" w:rsidP="00886A4E">
            <w:pPr>
              <w:keepNext/>
              <w:jc w:val="center"/>
              <w:rPr>
                <w:rFonts w:ascii="Arial Narrow" w:hAnsi="Arial Narrow"/>
                <w:color w:val="333333"/>
                <w:sz w:val="20"/>
                <w:szCs w:val="20"/>
              </w:rPr>
            </w:pPr>
          </w:p>
        </w:tc>
        <w:tc>
          <w:tcPr>
            <w:tcW w:w="8738" w:type="dxa"/>
            <w:gridSpan w:val="6"/>
            <w:vAlign w:val="center"/>
            <w:hideMark/>
          </w:tcPr>
          <w:p w14:paraId="08B40645" w14:textId="77777777" w:rsidR="00A3494F" w:rsidRPr="00A3494F" w:rsidRDefault="00A3494F" w:rsidP="00886A4E">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A3494F" w:rsidRPr="00A3494F" w14:paraId="02FE5C10"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918BD32" w14:textId="0B730F75"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651EEBCC" w14:textId="77777777"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sz w:val="20"/>
                <w:szCs w:val="20"/>
              </w:rPr>
              <w:t>Must be treated by a gastroenterologist (code 87); OR</w:t>
            </w:r>
          </w:p>
          <w:p w14:paraId="6E48D9A2" w14:textId="77777777" w:rsidR="00A3494F" w:rsidRPr="00A3494F" w:rsidRDefault="00A3494F" w:rsidP="00886A4E">
            <w:pPr>
              <w:autoSpaceDE w:val="0"/>
              <w:autoSpaceDN w:val="0"/>
              <w:adjustRightInd w:val="0"/>
              <w:rPr>
                <w:rFonts w:ascii="Arial Narrow" w:hAnsi="Arial Narrow" w:cs="Arial Narrow"/>
                <w:sz w:val="20"/>
                <w:szCs w:val="20"/>
              </w:rPr>
            </w:pPr>
          </w:p>
          <w:p w14:paraId="7BD20499" w14:textId="77777777"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sz w:val="20"/>
                <w:szCs w:val="20"/>
              </w:rPr>
              <w:t>Must be treated by a consultant physician [internal medicine specialising in gastroenterology (code 81)]; OR</w:t>
            </w:r>
          </w:p>
          <w:p w14:paraId="43075F63" w14:textId="77777777" w:rsidR="00A3494F" w:rsidRPr="00A3494F" w:rsidRDefault="00A3494F" w:rsidP="00886A4E">
            <w:pPr>
              <w:autoSpaceDE w:val="0"/>
              <w:autoSpaceDN w:val="0"/>
              <w:adjustRightInd w:val="0"/>
              <w:rPr>
                <w:rFonts w:ascii="Arial Narrow" w:hAnsi="Arial Narrow" w:cs="Arial Narrow"/>
                <w:sz w:val="20"/>
                <w:szCs w:val="20"/>
              </w:rPr>
            </w:pPr>
          </w:p>
          <w:p w14:paraId="0CE331E8" w14:textId="77777777" w:rsidR="00A3494F" w:rsidRPr="00A3494F" w:rsidRDefault="00A3494F" w:rsidP="00886A4E">
            <w:pPr>
              <w:autoSpaceDE w:val="0"/>
              <w:autoSpaceDN w:val="0"/>
              <w:adjustRightInd w:val="0"/>
              <w:rPr>
                <w:rFonts w:ascii="Arial Narrow" w:hAnsi="Arial Narrow" w:cs="Arial Narrow"/>
                <w:i/>
                <w:iCs/>
                <w:sz w:val="20"/>
                <w:szCs w:val="20"/>
              </w:rPr>
            </w:pPr>
            <w:r w:rsidRPr="00A3494F">
              <w:rPr>
                <w:rFonts w:ascii="Arial Narrow" w:hAnsi="Arial Narrow" w:cs="Arial Narrow"/>
                <w:sz w:val="20"/>
                <w:szCs w:val="20"/>
              </w:rPr>
              <w:t>Must be treated by a consultant physician [general medicine specialising in gastroenterology (code 82)].</w:t>
            </w:r>
          </w:p>
        </w:tc>
      </w:tr>
      <w:tr w:rsidR="00A3494F" w:rsidRPr="00A3494F" w14:paraId="5077A987"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731E8FED" w14:textId="5824BD24"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76846731"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A3494F" w:rsidRPr="00A3494F" w14:paraId="4B9BB792"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9AF7B15" w14:textId="1478EC6A"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7C11A2B3"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be aged 18 years or older.</w:t>
            </w:r>
          </w:p>
        </w:tc>
      </w:tr>
      <w:tr w:rsidR="00A3494F" w:rsidRPr="00A3494F" w14:paraId="6A438997" w14:textId="77777777" w:rsidTr="00046537">
        <w:tblPrEx>
          <w:tblCellMar>
            <w:top w:w="15" w:type="dxa"/>
            <w:bottom w:w="15" w:type="dxa"/>
          </w:tblCellMar>
          <w:tblLook w:val="04A0" w:firstRow="1" w:lastRow="0" w:firstColumn="1" w:lastColumn="0" w:noHBand="0" w:noVBand="1"/>
        </w:tblPrEx>
        <w:trPr>
          <w:cantSplit/>
          <w:trHeight w:val="20"/>
        </w:trPr>
        <w:tc>
          <w:tcPr>
            <w:tcW w:w="9017" w:type="dxa"/>
            <w:gridSpan w:val="7"/>
            <w:vAlign w:val="center"/>
          </w:tcPr>
          <w:p w14:paraId="5F841C6E" w14:textId="77777777" w:rsidR="00A3494F" w:rsidRPr="00A3494F" w:rsidRDefault="00A3494F" w:rsidP="00886A4E">
            <w:pPr>
              <w:rPr>
                <w:rFonts w:ascii="Arial Narrow" w:hAnsi="Arial Narrow"/>
                <w:bCs/>
                <w:color w:val="FF0000"/>
                <w:sz w:val="20"/>
                <w:szCs w:val="20"/>
              </w:rPr>
            </w:pPr>
          </w:p>
        </w:tc>
      </w:tr>
      <w:tr w:rsidR="00A3494F" w:rsidRPr="00A3494F" w14:paraId="4137D476" w14:textId="77777777" w:rsidTr="00046537">
        <w:tblPrEx>
          <w:tblCellMar>
            <w:top w:w="15" w:type="dxa"/>
            <w:bottom w:w="15" w:type="dxa"/>
          </w:tblCellMar>
          <w:tblLook w:val="04A0" w:firstRow="1" w:lastRow="0" w:firstColumn="1" w:lastColumn="0" w:noHBand="0" w:noVBand="1"/>
        </w:tblPrEx>
        <w:trPr>
          <w:cantSplit/>
          <w:trHeight w:val="20"/>
        </w:trPr>
        <w:tc>
          <w:tcPr>
            <w:tcW w:w="9017" w:type="dxa"/>
            <w:gridSpan w:val="7"/>
            <w:vAlign w:val="center"/>
          </w:tcPr>
          <w:p w14:paraId="3C0259B2" w14:textId="77777777" w:rsidR="00A3494F" w:rsidRPr="00A3494F" w:rsidRDefault="00A3494F" w:rsidP="00886A4E">
            <w:pPr>
              <w:rPr>
                <w:rFonts w:ascii="Arial Narrow" w:hAnsi="Arial Narrow"/>
                <w:bCs/>
                <w:color w:val="FF0000"/>
                <w:sz w:val="20"/>
                <w:szCs w:val="20"/>
              </w:rPr>
            </w:pPr>
          </w:p>
        </w:tc>
      </w:tr>
      <w:tr w:rsidR="00A3494F" w:rsidRPr="00A3494F" w14:paraId="14224071" w14:textId="77777777" w:rsidTr="00046537">
        <w:tblPrEx>
          <w:tblCellMar>
            <w:top w:w="15" w:type="dxa"/>
            <w:bottom w:w="15" w:type="dxa"/>
          </w:tblCellMar>
          <w:tblLook w:val="04A0" w:firstRow="1" w:lastRow="0" w:firstColumn="1" w:lastColumn="0" w:noHBand="0" w:noVBand="1"/>
        </w:tblPrEx>
        <w:trPr>
          <w:cantSplit/>
          <w:trHeight w:val="20"/>
        </w:trPr>
        <w:tc>
          <w:tcPr>
            <w:tcW w:w="9017" w:type="dxa"/>
            <w:gridSpan w:val="7"/>
            <w:vAlign w:val="center"/>
          </w:tcPr>
          <w:p w14:paraId="15DE81B2" w14:textId="77777777" w:rsidR="00A3494F" w:rsidRPr="00A3494F" w:rsidRDefault="00A3494F" w:rsidP="00886A4E">
            <w:pPr>
              <w:keepNext/>
              <w:keepLines/>
              <w:rPr>
                <w:rFonts w:ascii="Arial Narrow" w:hAnsi="Arial Narrow"/>
                <w:b/>
                <w:bCs/>
                <w:color w:val="333333"/>
                <w:sz w:val="20"/>
                <w:szCs w:val="20"/>
              </w:rPr>
            </w:pPr>
            <w:r w:rsidRPr="00A3494F">
              <w:rPr>
                <w:rFonts w:ascii="Arial Narrow" w:hAnsi="Arial Narrow"/>
                <w:b/>
                <w:bCs/>
                <w:color w:val="333333"/>
                <w:sz w:val="20"/>
                <w:szCs w:val="20"/>
              </w:rPr>
              <w:t xml:space="preserve">Restriction Summary [new] / Treatment of Concept: [new] </w:t>
            </w:r>
          </w:p>
        </w:tc>
      </w:tr>
      <w:tr w:rsidR="00A3494F" w:rsidRPr="00A3494F" w14:paraId="2066563A" w14:textId="77777777" w:rsidTr="00330E2E">
        <w:tblPrEx>
          <w:tblCellMar>
            <w:top w:w="15" w:type="dxa"/>
            <w:bottom w:w="15" w:type="dxa"/>
          </w:tblCellMar>
          <w:tblLook w:val="04A0" w:firstRow="1" w:lastRow="0" w:firstColumn="1" w:lastColumn="0" w:noHBand="0" w:noVBand="1"/>
        </w:tblPrEx>
        <w:trPr>
          <w:cantSplit/>
          <w:trHeight w:val="20"/>
        </w:trPr>
        <w:tc>
          <w:tcPr>
            <w:tcW w:w="279" w:type="dxa"/>
            <w:vMerge w:val="restart"/>
            <w:tcBorders>
              <w:top w:val="single" w:sz="4" w:space="0" w:color="auto"/>
              <w:left w:val="single" w:sz="4" w:space="0" w:color="auto"/>
              <w:right w:val="single" w:sz="4" w:space="0" w:color="auto"/>
            </w:tcBorders>
          </w:tcPr>
          <w:p w14:paraId="010EDA10" w14:textId="23D0F4D4" w:rsidR="00A3494F" w:rsidRPr="00A3494F" w:rsidRDefault="00A3494F" w:rsidP="00886A4E">
            <w:pPr>
              <w:jc w:val="center"/>
              <w:rPr>
                <w:rFonts w:ascii="Arial Narrow" w:hAnsi="Arial Narrow"/>
                <w:b/>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31D05554" w14:textId="77777777" w:rsidR="00A3494F" w:rsidRPr="00A3494F" w:rsidRDefault="00A3494F" w:rsidP="00886A4E">
            <w:pPr>
              <w:keepNext/>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sz w:val="20"/>
                <w:szCs w:val="20"/>
              </w:rPr>
              <w:t>GENERAL – General Schedule (Code GE)</w:t>
            </w:r>
            <w:r w:rsidRPr="00A3494F">
              <w:rPr>
                <w:rFonts w:ascii="Arial Narrow" w:hAnsi="Arial Narrow"/>
                <w:color w:val="FF0000"/>
                <w:sz w:val="20"/>
                <w:szCs w:val="20"/>
              </w:rPr>
              <w:t xml:space="preserve"> </w:t>
            </w:r>
          </w:p>
        </w:tc>
      </w:tr>
      <w:tr w:rsidR="00A3494F" w:rsidRPr="00A3494F" w14:paraId="2F55C5C7" w14:textId="77777777" w:rsidTr="00330E2E">
        <w:tblPrEx>
          <w:tblCellMar>
            <w:top w:w="15" w:type="dxa"/>
            <w:bottom w:w="15" w:type="dxa"/>
          </w:tblCellMar>
          <w:tblLook w:val="04A0" w:firstRow="1" w:lastRow="0" w:firstColumn="1" w:lastColumn="0" w:noHBand="0" w:noVBand="1"/>
        </w:tblPrEx>
        <w:trPr>
          <w:cantSplit/>
          <w:trHeight w:val="20"/>
        </w:trPr>
        <w:tc>
          <w:tcPr>
            <w:tcW w:w="279" w:type="dxa"/>
            <w:vMerge/>
            <w:tcBorders>
              <w:left w:val="single" w:sz="4" w:space="0" w:color="auto"/>
              <w:right w:val="single" w:sz="4" w:space="0" w:color="auto"/>
            </w:tcBorders>
          </w:tcPr>
          <w:p w14:paraId="1106C4D4"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4BB9BB5D" w14:textId="77777777" w:rsidR="00A3494F" w:rsidRPr="00A3494F" w:rsidRDefault="00A3494F" w:rsidP="00886A4E">
            <w:pPr>
              <w:keepNext/>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A3494F" w:rsidRPr="00A3494F" w14:paraId="20EB0742" w14:textId="77777777" w:rsidTr="00330E2E">
        <w:tblPrEx>
          <w:tblCellMar>
            <w:top w:w="15" w:type="dxa"/>
            <w:bottom w:w="15" w:type="dxa"/>
          </w:tblCellMar>
          <w:tblLook w:val="04A0" w:firstRow="1" w:lastRow="0" w:firstColumn="1" w:lastColumn="0" w:noHBand="0" w:noVBand="1"/>
        </w:tblPrEx>
        <w:trPr>
          <w:cantSplit/>
          <w:trHeight w:val="20"/>
        </w:trPr>
        <w:tc>
          <w:tcPr>
            <w:tcW w:w="279" w:type="dxa"/>
            <w:vMerge/>
            <w:tcBorders>
              <w:left w:val="single" w:sz="4" w:space="0" w:color="auto"/>
              <w:bottom w:val="single" w:sz="4" w:space="0" w:color="auto"/>
              <w:right w:val="single" w:sz="4" w:space="0" w:color="auto"/>
            </w:tcBorders>
          </w:tcPr>
          <w:p w14:paraId="08911D24" w14:textId="77777777" w:rsidR="00A3494F" w:rsidRPr="00A3494F" w:rsidRDefault="00A3494F" w:rsidP="00886A4E">
            <w:pPr>
              <w:rPr>
                <w:rFonts w:ascii="Arial Narrow" w:hAnsi="Arial Narrow"/>
                <w:sz w:val="20"/>
                <w:szCs w:val="20"/>
              </w:rPr>
            </w:pPr>
          </w:p>
        </w:tc>
        <w:tc>
          <w:tcPr>
            <w:tcW w:w="8738" w:type="dxa"/>
            <w:gridSpan w:val="6"/>
            <w:tcBorders>
              <w:top w:val="single" w:sz="4" w:space="0" w:color="auto"/>
              <w:left w:val="single" w:sz="4" w:space="0" w:color="auto"/>
              <w:bottom w:val="single" w:sz="4" w:space="0" w:color="auto"/>
              <w:right w:val="single" w:sz="4" w:space="0" w:color="auto"/>
            </w:tcBorders>
            <w:vAlign w:val="center"/>
          </w:tcPr>
          <w:p w14:paraId="4217AA3F" w14:textId="77777777" w:rsidR="00A3494F" w:rsidRPr="00A3494F" w:rsidRDefault="00A3494F" w:rsidP="00886A4E">
            <w:pPr>
              <w:keepNext/>
              <w:keepLines/>
              <w:rPr>
                <w:rFonts w:ascii="Arial Narrow" w:eastAsia="Calibri" w:hAnsi="Arial Narrow"/>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w:t>
            </w:r>
            <w:r w:rsidRPr="00A3494F">
              <w:rPr>
                <w:rFonts w:ascii="Arial Narrow" w:eastAsia="Calibri" w:hAnsi="Arial Narrow"/>
                <w:strike/>
                <w:sz w:val="20"/>
                <w:szCs w:val="20"/>
              </w:rPr>
              <w:t>(telephone/online PBS Authorities system)</w:t>
            </w:r>
            <w:r w:rsidRPr="00A3494F">
              <w:rPr>
                <w:rFonts w:ascii="Arial Narrow" w:eastAsia="Calibri" w:hAnsi="Arial Narrow"/>
                <w:sz w:val="20"/>
                <w:szCs w:val="20"/>
              </w:rPr>
              <w:t xml:space="preserve"> </w:t>
            </w:r>
            <w:r w:rsidRPr="00A3494F">
              <w:rPr>
                <w:rFonts w:ascii="Arial Narrow" w:eastAsia="Calibri" w:hAnsi="Arial Narrow"/>
                <w:i/>
                <w:iCs/>
                <w:sz w:val="20"/>
                <w:szCs w:val="20"/>
              </w:rPr>
              <w:t>(in writing only via post/HPOS upload)</w:t>
            </w:r>
          </w:p>
        </w:tc>
      </w:tr>
      <w:tr w:rsidR="00A3494F" w:rsidRPr="00A3494F" w14:paraId="44BC53D6"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DE49F39" w14:textId="0550F7AB"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26BD3C3A"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A3494F" w:rsidRPr="00A3494F" w14:paraId="58931DD6"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7E91F9F"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56ED94D"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i/>
                <w:iCs/>
                <w:sz w:val="20"/>
                <w:szCs w:val="20"/>
              </w:rPr>
              <w:t>Transitioning from non-PBS to PBS-subsidised supply -</w:t>
            </w:r>
            <w:r w:rsidRPr="00A3494F">
              <w:rPr>
                <w:rFonts w:ascii="Arial Narrow" w:hAnsi="Arial Narrow"/>
                <w:sz w:val="20"/>
                <w:szCs w:val="20"/>
              </w:rPr>
              <w:t xml:space="preserve"> Grandfather </w:t>
            </w:r>
            <w:r w:rsidRPr="00A3494F">
              <w:rPr>
                <w:rFonts w:ascii="Arial Narrow" w:hAnsi="Arial Narrow"/>
                <w:strike/>
                <w:sz w:val="20"/>
                <w:szCs w:val="20"/>
              </w:rPr>
              <w:t>treatments</w:t>
            </w:r>
            <w:r w:rsidRPr="00A3494F">
              <w:rPr>
                <w:rFonts w:ascii="Arial Narrow" w:hAnsi="Arial Narrow"/>
                <w:i/>
                <w:iCs/>
                <w:sz w:val="20"/>
                <w:szCs w:val="20"/>
              </w:rPr>
              <w:t xml:space="preserve"> arrangements</w:t>
            </w:r>
          </w:p>
        </w:tc>
      </w:tr>
      <w:tr w:rsidR="00A3494F" w:rsidRPr="00A3494F" w14:paraId="058F0EAC"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EEC83CB"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7288CF8B" w14:textId="77777777" w:rsidR="00A3494F" w:rsidRPr="00A3494F" w:rsidRDefault="00A3494F" w:rsidP="00886A4E">
            <w:pPr>
              <w:rPr>
                <w:rFonts w:ascii="Arial Narrow" w:hAnsi="Arial Narrow"/>
                <w:sz w:val="20"/>
                <w:szCs w:val="20"/>
              </w:rPr>
            </w:pPr>
            <w:r w:rsidRPr="00A3494F">
              <w:rPr>
                <w:rFonts w:ascii="Arial Narrow" w:hAnsi="Arial Narrow"/>
                <w:b/>
                <w:bCs/>
                <w:color w:val="333333"/>
                <w:sz w:val="20"/>
                <w:szCs w:val="20"/>
              </w:rPr>
              <w:t xml:space="preserve">Clinical criteria: </w:t>
            </w:r>
          </w:p>
        </w:tc>
      </w:tr>
      <w:tr w:rsidR="00A3494F" w:rsidRPr="00A3494F" w14:paraId="1F3E5CF5"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C3283AC" w14:textId="0E3A1771"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8F23740" w14:textId="77777777" w:rsidR="00A3494F" w:rsidRPr="00A3494F" w:rsidRDefault="00A3494F" w:rsidP="00886A4E">
            <w:pPr>
              <w:rPr>
                <w:rFonts w:ascii="Arial Narrow" w:hAnsi="Arial Narrow" w:cs="Arial Narrow"/>
                <w:sz w:val="20"/>
                <w:szCs w:val="20"/>
              </w:rPr>
            </w:pPr>
            <w:r w:rsidRPr="00A3494F">
              <w:rPr>
                <w:rFonts w:ascii="Arial Narrow" w:hAnsi="Arial Narrow" w:cs="Arial Narrow"/>
                <w:sz w:val="20"/>
                <w:szCs w:val="20"/>
              </w:rPr>
              <w:t xml:space="preserve">Patient must have received </w:t>
            </w:r>
            <w:r w:rsidRPr="00A3494F">
              <w:rPr>
                <w:rFonts w:ascii="Arial Narrow" w:hAnsi="Arial Narrow" w:cs="Arial Narrow"/>
                <w:i/>
                <w:iCs/>
                <w:sz w:val="20"/>
                <w:szCs w:val="20"/>
              </w:rPr>
              <w:t xml:space="preserve">non-PBS-subsidised treatment with </w:t>
            </w:r>
            <w:r w:rsidRPr="00A3494F">
              <w:rPr>
                <w:rFonts w:ascii="Arial Narrow" w:hAnsi="Arial Narrow" w:cs="Arial Narrow"/>
                <w:sz w:val="20"/>
                <w:szCs w:val="20"/>
              </w:rPr>
              <w:t xml:space="preserve">this drug </w:t>
            </w:r>
            <w:r w:rsidRPr="00A3494F">
              <w:rPr>
                <w:rFonts w:ascii="Arial Narrow" w:hAnsi="Arial Narrow" w:cs="Arial Narrow"/>
                <w:strike/>
                <w:sz w:val="20"/>
                <w:szCs w:val="20"/>
              </w:rPr>
              <w:t>as their most recent course of non- PBS-subsidised biological medicine treatment</w:t>
            </w:r>
            <w:r w:rsidRPr="00A3494F">
              <w:rPr>
                <w:rFonts w:ascii="Arial Narrow" w:hAnsi="Arial Narrow" w:cs="Arial Narrow"/>
                <w:sz w:val="20"/>
                <w:szCs w:val="20"/>
              </w:rPr>
              <w:t xml:space="preserve"> for this condition </w:t>
            </w:r>
            <w:r w:rsidRPr="00A3494F">
              <w:rPr>
                <w:rFonts w:ascii="Arial Narrow" w:hAnsi="Arial Narrow" w:cs="Arial Narrow"/>
                <w:i/>
                <w:iCs/>
                <w:sz w:val="20"/>
                <w:szCs w:val="20"/>
              </w:rPr>
              <w:t>prior to [PBS listing date].</w:t>
            </w:r>
          </w:p>
        </w:tc>
      </w:tr>
      <w:tr w:rsidR="00A3494F" w:rsidRPr="00A3494F" w14:paraId="47950717"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680DA27"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083DD806"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A3494F" w:rsidRPr="00A3494F" w14:paraId="4E51A74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B3DDDF0"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4F781F32"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A3494F" w:rsidRPr="00A3494F" w14:paraId="09946BE1"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D8BB1D4"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6331D3BA" w14:textId="77777777" w:rsidR="00A3494F" w:rsidRPr="00A3494F" w:rsidRDefault="00A3494F" w:rsidP="00886A4E">
            <w:pPr>
              <w:rPr>
                <w:rFonts w:ascii="Arial Narrow" w:hAnsi="Arial Narrow" w:cs="Arial Narrow"/>
                <w:strike/>
                <w:sz w:val="20"/>
                <w:szCs w:val="20"/>
              </w:rPr>
            </w:pPr>
            <w:r w:rsidRPr="00A3494F">
              <w:rPr>
                <w:rFonts w:ascii="Arial Narrow" w:hAnsi="Arial Narrow" w:cs="Arial Narrow"/>
                <w:strike/>
                <w:sz w:val="20"/>
                <w:szCs w:val="20"/>
              </w:rPr>
              <w:t>Patient must have demonstrated or sustained an adequate response to treatment by having a partial Mayo clinic score less than or equal to 2, with no subscore greater than 1 while receiving treatment with this drug.</w:t>
            </w:r>
          </w:p>
        </w:tc>
      </w:tr>
      <w:tr w:rsidR="00A3494F" w:rsidRPr="00A3494F" w14:paraId="4C8C14AC"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DFB3A08" w14:textId="77777777" w:rsidR="00A3494F" w:rsidRPr="00A3494F" w:rsidRDefault="00A3494F" w:rsidP="00886A4E">
            <w:pPr>
              <w:keepNext/>
              <w:jc w:val="center"/>
              <w:rPr>
                <w:rFonts w:ascii="Arial Narrow" w:hAnsi="Arial Narrow"/>
                <w:color w:val="333333"/>
                <w:sz w:val="20"/>
                <w:szCs w:val="20"/>
              </w:rPr>
            </w:pPr>
          </w:p>
        </w:tc>
        <w:tc>
          <w:tcPr>
            <w:tcW w:w="8738" w:type="dxa"/>
            <w:gridSpan w:val="6"/>
            <w:vAlign w:val="center"/>
          </w:tcPr>
          <w:p w14:paraId="49EE0D96" w14:textId="77777777" w:rsidR="00A3494F" w:rsidRPr="00A3494F" w:rsidRDefault="00A3494F" w:rsidP="00886A4E">
            <w:pPr>
              <w:keepNext/>
              <w:rPr>
                <w:rFonts w:ascii="Arial Narrow" w:hAnsi="Arial Narrow"/>
                <w:b/>
                <w:bCs/>
                <w:color w:val="333333"/>
                <w:sz w:val="20"/>
                <w:szCs w:val="20"/>
              </w:rPr>
            </w:pPr>
            <w:r w:rsidRPr="00A3494F">
              <w:rPr>
                <w:rFonts w:ascii="Arial Narrow" w:hAnsi="Arial Narrow"/>
                <w:i/>
                <w:iCs/>
                <w:color w:val="333333"/>
                <w:sz w:val="20"/>
                <w:szCs w:val="20"/>
              </w:rPr>
              <w:t>Patient must have had a Mayo clinic score greater than or equal to 6 prior to commencing non-PBS-subsidised treatment with this drug for this condition; or</w:t>
            </w:r>
          </w:p>
        </w:tc>
      </w:tr>
      <w:tr w:rsidR="00A3494F" w:rsidRPr="00A3494F" w14:paraId="7B999A21"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3501FAE1" w14:textId="77777777" w:rsidR="00A3494F" w:rsidRPr="00A3494F" w:rsidRDefault="00A3494F" w:rsidP="00886A4E">
            <w:pPr>
              <w:keepNext/>
              <w:jc w:val="center"/>
              <w:rPr>
                <w:rFonts w:ascii="Arial Narrow" w:hAnsi="Arial Narrow"/>
                <w:color w:val="333333"/>
                <w:sz w:val="20"/>
                <w:szCs w:val="20"/>
              </w:rPr>
            </w:pPr>
          </w:p>
        </w:tc>
        <w:tc>
          <w:tcPr>
            <w:tcW w:w="8738" w:type="dxa"/>
            <w:gridSpan w:val="6"/>
            <w:vAlign w:val="center"/>
          </w:tcPr>
          <w:p w14:paraId="28024EE6" w14:textId="77777777" w:rsidR="00A3494F" w:rsidRPr="00A3494F" w:rsidRDefault="00A3494F" w:rsidP="00886A4E">
            <w:pPr>
              <w:keepNext/>
              <w:rPr>
                <w:rFonts w:ascii="Arial Narrow" w:hAnsi="Arial Narrow"/>
                <w:b/>
                <w:bCs/>
                <w:color w:val="333333"/>
                <w:sz w:val="20"/>
                <w:szCs w:val="20"/>
              </w:rPr>
            </w:pPr>
            <w:r w:rsidRPr="00A3494F">
              <w:rPr>
                <w:rFonts w:ascii="Arial Narrow" w:hAnsi="Arial Narrow"/>
                <w:i/>
                <w:iCs/>
                <w:color w:val="333333"/>
                <w:sz w:val="20"/>
                <w:szCs w:val="20"/>
              </w:rPr>
              <w:t>Patient must have had a partial Mayo clinic score greater than or equal to 6, provided the rectal bleeding and stool frequency subscores are both greater than or equal to 2 (endoscopy subscore is not required for a partial Mayo clinic score)</w:t>
            </w:r>
            <w:r w:rsidRPr="00A3494F">
              <w:rPr>
                <w:rFonts w:ascii="Arial Narrow" w:hAnsi="Arial Narrow" w:cs="Open Sans"/>
                <w:i/>
                <w:iCs/>
                <w:color w:val="333333"/>
                <w:sz w:val="20"/>
                <w:szCs w:val="20"/>
              </w:rPr>
              <w:t xml:space="preserve"> prior to commencing non-PBS-subsidised treatment with this drug for this condition; or</w:t>
            </w:r>
          </w:p>
        </w:tc>
      </w:tr>
      <w:tr w:rsidR="00A3494F" w:rsidRPr="00A3494F" w14:paraId="3772D48E"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4EBAD641" w14:textId="77777777" w:rsidR="00A3494F" w:rsidRPr="00A3494F" w:rsidRDefault="00A3494F" w:rsidP="00886A4E">
            <w:pPr>
              <w:keepNext/>
              <w:jc w:val="center"/>
              <w:rPr>
                <w:rFonts w:ascii="Arial Narrow" w:hAnsi="Arial Narrow"/>
                <w:color w:val="333333"/>
                <w:sz w:val="20"/>
                <w:szCs w:val="20"/>
              </w:rPr>
            </w:pPr>
          </w:p>
        </w:tc>
        <w:tc>
          <w:tcPr>
            <w:tcW w:w="8738" w:type="dxa"/>
            <w:gridSpan w:val="6"/>
            <w:vAlign w:val="center"/>
          </w:tcPr>
          <w:p w14:paraId="70BA5599" w14:textId="77777777" w:rsidR="00A3494F" w:rsidRPr="00A3494F" w:rsidRDefault="00A3494F" w:rsidP="00886A4E">
            <w:pPr>
              <w:keepNext/>
              <w:rPr>
                <w:rFonts w:ascii="Arial Narrow" w:hAnsi="Arial Narrow"/>
                <w:b/>
                <w:bCs/>
                <w:color w:val="333333"/>
                <w:sz w:val="20"/>
                <w:szCs w:val="20"/>
              </w:rPr>
            </w:pPr>
            <w:r w:rsidRPr="00A3494F">
              <w:rPr>
                <w:rFonts w:ascii="Arial Narrow" w:hAnsi="Arial Narrow" w:cs="Open Sans"/>
                <w:i/>
                <w:iCs/>
                <w:color w:val="333333"/>
                <w:sz w:val="20"/>
                <w:szCs w:val="20"/>
              </w:rPr>
              <w:t>Patient must have a documented history of moderate to severe refractory ulcerative colitis prior to having commenced non-PBS-subsidised treatment with this drug for this condition where a Mayo clinic or partial Mayo clinic baseline assessment is not available.</w:t>
            </w:r>
          </w:p>
        </w:tc>
      </w:tr>
      <w:tr w:rsidR="00A3494F" w:rsidRPr="00A3494F" w14:paraId="76976D23"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4B511CBC" w14:textId="65A205FE" w:rsidR="00A3494F" w:rsidRPr="00A3494F" w:rsidRDefault="00A3494F" w:rsidP="00886A4E">
            <w:pPr>
              <w:keepNext/>
              <w:jc w:val="center"/>
              <w:rPr>
                <w:rFonts w:ascii="Arial Narrow" w:hAnsi="Arial Narrow"/>
                <w:color w:val="333333"/>
                <w:sz w:val="20"/>
                <w:szCs w:val="20"/>
              </w:rPr>
            </w:pPr>
          </w:p>
        </w:tc>
        <w:tc>
          <w:tcPr>
            <w:tcW w:w="8738" w:type="dxa"/>
            <w:gridSpan w:val="6"/>
            <w:vAlign w:val="center"/>
            <w:hideMark/>
          </w:tcPr>
          <w:p w14:paraId="01C82747" w14:textId="77777777" w:rsidR="00A3494F" w:rsidRPr="00A3494F" w:rsidRDefault="00A3494F" w:rsidP="00886A4E">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A3494F" w:rsidRPr="00A3494F" w14:paraId="3C10B5E3"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8F74E94" w14:textId="1F5D0E2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728E6715" w14:textId="77777777"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sz w:val="20"/>
                <w:szCs w:val="20"/>
              </w:rPr>
              <w:t>Must be treated by a gastroenterologist (code 87); OR</w:t>
            </w:r>
          </w:p>
          <w:p w14:paraId="5C157495" w14:textId="77777777" w:rsidR="00A3494F" w:rsidRPr="00A3494F" w:rsidRDefault="00A3494F" w:rsidP="00886A4E">
            <w:pPr>
              <w:autoSpaceDE w:val="0"/>
              <w:autoSpaceDN w:val="0"/>
              <w:adjustRightInd w:val="0"/>
              <w:rPr>
                <w:rFonts w:ascii="Arial Narrow" w:hAnsi="Arial Narrow" w:cs="Arial Narrow"/>
                <w:sz w:val="20"/>
                <w:szCs w:val="20"/>
              </w:rPr>
            </w:pPr>
          </w:p>
          <w:p w14:paraId="3E265DF5" w14:textId="77777777" w:rsidR="00A3494F" w:rsidRPr="00A3494F" w:rsidRDefault="00A3494F" w:rsidP="00886A4E">
            <w:pPr>
              <w:autoSpaceDE w:val="0"/>
              <w:autoSpaceDN w:val="0"/>
              <w:adjustRightInd w:val="0"/>
              <w:rPr>
                <w:rFonts w:ascii="Arial Narrow" w:hAnsi="Arial Narrow" w:cs="Arial Narrow"/>
                <w:sz w:val="20"/>
                <w:szCs w:val="20"/>
              </w:rPr>
            </w:pPr>
            <w:r w:rsidRPr="00A3494F">
              <w:rPr>
                <w:rFonts w:ascii="Arial Narrow" w:hAnsi="Arial Narrow" w:cs="Arial Narrow"/>
                <w:sz w:val="20"/>
                <w:szCs w:val="20"/>
              </w:rPr>
              <w:t>Must be treated by a consultant physician [internal medicine specialising in gastroenterology (code 81)]; OR</w:t>
            </w:r>
          </w:p>
          <w:p w14:paraId="60EF5412" w14:textId="77777777" w:rsidR="00A3494F" w:rsidRPr="00A3494F" w:rsidRDefault="00A3494F" w:rsidP="00886A4E">
            <w:pPr>
              <w:autoSpaceDE w:val="0"/>
              <w:autoSpaceDN w:val="0"/>
              <w:adjustRightInd w:val="0"/>
              <w:rPr>
                <w:rFonts w:ascii="Arial Narrow" w:hAnsi="Arial Narrow" w:cs="Arial Narrow"/>
                <w:sz w:val="20"/>
                <w:szCs w:val="20"/>
              </w:rPr>
            </w:pPr>
          </w:p>
          <w:p w14:paraId="58792F19" w14:textId="77777777" w:rsidR="00A3494F" w:rsidRPr="00A3494F" w:rsidRDefault="00A3494F" w:rsidP="00886A4E">
            <w:pPr>
              <w:autoSpaceDE w:val="0"/>
              <w:autoSpaceDN w:val="0"/>
              <w:adjustRightInd w:val="0"/>
              <w:rPr>
                <w:rFonts w:ascii="Arial Narrow" w:hAnsi="Arial Narrow" w:cs="Arial Narrow"/>
                <w:i/>
                <w:iCs/>
                <w:sz w:val="20"/>
                <w:szCs w:val="20"/>
              </w:rPr>
            </w:pPr>
            <w:r w:rsidRPr="00A3494F">
              <w:rPr>
                <w:rFonts w:ascii="Arial Narrow" w:hAnsi="Arial Narrow" w:cs="Arial Narrow"/>
                <w:sz w:val="20"/>
                <w:szCs w:val="20"/>
              </w:rPr>
              <w:t>Must be treated by a consultant physician [general medicine specialising in gastroenterology (code 82)].</w:t>
            </w:r>
          </w:p>
        </w:tc>
      </w:tr>
      <w:tr w:rsidR="00A3494F" w:rsidRPr="00A3494F" w14:paraId="02FAA22E"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81E9D34" w14:textId="32C9E074"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7981C8A0" w14:textId="77777777" w:rsidR="00A3494F" w:rsidRPr="00A3494F" w:rsidRDefault="00A3494F" w:rsidP="00886A4E">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A3494F" w:rsidRPr="00A3494F" w14:paraId="56CDE7B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42C8285" w14:textId="05B48E1F"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A9810EC"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 must be aged 18 years or older.</w:t>
            </w:r>
          </w:p>
        </w:tc>
      </w:tr>
      <w:tr w:rsidR="00A3494F" w:rsidRPr="00A3494F" w14:paraId="085E2B86"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696134C" w14:textId="3E2DCE2D"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666F16E2" w14:textId="77777777" w:rsidR="00A3494F" w:rsidRPr="00A3494F" w:rsidRDefault="00A3494F" w:rsidP="00886A4E">
            <w:pPr>
              <w:rPr>
                <w:rFonts w:ascii="Arial Narrow" w:hAnsi="Arial Narrow"/>
                <w:b/>
                <w:bCs/>
                <w:sz w:val="20"/>
                <w:szCs w:val="20"/>
              </w:rPr>
            </w:pPr>
            <w:r w:rsidRPr="00A3494F">
              <w:rPr>
                <w:rFonts w:ascii="Arial Narrow" w:hAnsi="Arial Narrow"/>
                <w:b/>
                <w:bCs/>
                <w:sz w:val="20"/>
                <w:szCs w:val="20"/>
              </w:rPr>
              <w:t xml:space="preserve">Prescribing Instructions: </w:t>
            </w:r>
          </w:p>
          <w:p w14:paraId="4ECDD8DB" w14:textId="77777777" w:rsidR="00A3494F" w:rsidRPr="00A3494F" w:rsidRDefault="00A3494F" w:rsidP="00886A4E">
            <w:pPr>
              <w:rPr>
                <w:rFonts w:ascii="Arial Narrow" w:hAnsi="Arial Narrow"/>
                <w:i/>
                <w:iCs/>
                <w:sz w:val="20"/>
                <w:szCs w:val="20"/>
              </w:rPr>
            </w:pPr>
            <w:r w:rsidRPr="00A3494F">
              <w:rPr>
                <w:rFonts w:ascii="Arial Narrow" w:hAnsi="Arial Narrow"/>
                <w:i/>
                <w:iCs/>
                <w:sz w:val="20"/>
                <w:szCs w:val="20"/>
              </w:rPr>
              <w:t>The authority application must be made in writing and must include:</w:t>
            </w:r>
          </w:p>
          <w:p w14:paraId="4A0533F5" w14:textId="77777777" w:rsidR="00A3494F" w:rsidRPr="00A3494F" w:rsidRDefault="00A3494F" w:rsidP="00886A4E">
            <w:pPr>
              <w:rPr>
                <w:rFonts w:ascii="Arial Narrow" w:hAnsi="Arial Narrow"/>
                <w:i/>
                <w:iCs/>
                <w:sz w:val="20"/>
                <w:szCs w:val="20"/>
              </w:rPr>
            </w:pPr>
            <w:r w:rsidRPr="00A3494F">
              <w:rPr>
                <w:rFonts w:ascii="Arial Narrow" w:hAnsi="Arial Narrow"/>
                <w:i/>
                <w:iCs/>
                <w:sz w:val="20"/>
                <w:szCs w:val="20"/>
              </w:rPr>
              <w:t>(1) a completed authority prescription form; and</w:t>
            </w:r>
          </w:p>
          <w:p w14:paraId="44A71525" w14:textId="77777777" w:rsidR="00A3494F" w:rsidRPr="00A3494F" w:rsidRDefault="00A3494F" w:rsidP="00886A4E">
            <w:pPr>
              <w:rPr>
                <w:rFonts w:ascii="Arial Narrow" w:hAnsi="Arial Narrow"/>
                <w:i/>
                <w:iCs/>
                <w:sz w:val="20"/>
                <w:szCs w:val="20"/>
              </w:rPr>
            </w:pPr>
            <w:r w:rsidRPr="00A3494F">
              <w:rPr>
                <w:rFonts w:ascii="Arial Narrow" w:hAnsi="Arial Narrow"/>
                <w:i/>
                <w:iCs/>
                <w:sz w:val="20"/>
                <w:szCs w:val="20"/>
              </w:rPr>
              <w:t>(2) a completed authority application form relevant to the indication and treatment phase (the latest version is located on the website specified in the Administrative Advice), which includes:</w:t>
            </w:r>
          </w:p>
          <w:p w14:paraId="58E30FCC" w14:textId="77777777" w:rsidR="00A3494F" w:rsidRPr="00A3494F" w:rsidRDefault="00A3494F" w:rsidP="00886A4E">
            <w:pPr>
              <w:rPr>
                <w:rFonts w:ascii="Arial Narrow" w:hAnsi="Arial Narrow"/>
                <w:i/>
                <w:iCs/>
                <w:sz w:val="20"/>
                <w:szCs w:val="20"/>
              </w:rPr>
            </w:pPr>
            <w:r w:rsidRPr="00A3494F">
              <w:rPr>
                <w:rFonts w:ascii="Arial Narrow" w:hAnsi="Arial Narrow"/>
                <w:i/>
                <w:iCs/>
                <w:sz w:val="20"/>
                <w:szCs w:val="20"/>
              </w:rPr>
              <w:t>(i) the completed baseline Mayo clinic or partial Mayo clinic calculation sheet prior to initiating treatment (if available) including the date of assessment;</w:t>
            </w:r>
          </w:p>
          <w:p w14:paraId="19E1D968" w14:textId="77777777" w:rsidR="00A3494F" w:rsidRPr="00A3494F" w:rsidRDefault="00A3494F" w:rsidP="00886A4E">
            <w:pPr>
              <w:rPr>
                <w:rFonts w:ascii="Arial Narrow" w:hAnsi="Arial Narrow"/>
                <w:b/>
                <w:bCs/>
                <w:color w:val="333333"/>
                <w:sz w:val="20"/>
                <w:szCs w:val="20"/>
              </w:rPr>
            </w:pPr>
            <w:r w:rsidRPr="00A3494F">
              <w:rPr>
                <w:rFonts w:ascii="Arial Narrow" w:hAnsi="Arial Narrow"/>
                <w:i/>
                <w:iCs/>
                <w:sz w:val="20"/>
                <w:szCs w:val="20"/>
              </w:rPr>
              <w:t>(ii) the date of commencement of this drug.</w:t>
            </w:r>
          </w:p>
        </w:tc>
      </w:tr>
      <w:tr w:rsidR="00A3494F" w:rsidRPr="00A3494F" w14:paraId="01CC78F9"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FB864C3" w14:textId="7E4B69FD"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7FFE3F57" w14:textId="77777777" w:rsidR="00A3494F" w:rsidRPr="00A3494F" w:rsidRDefault="00A3494F" w:rsidP="00886A4E">
            <w:pPr>
              <w:rPr>
                <w:rFonts w:ascii="Arial Narrow" w:hAnsi="Arial Narrow"/>
                <w:b/>
                <w:bCs/>
                <w:sz w:val="20"/>
                <w:szCs w:val="20"/>
              </w:rPr>
            </w:pPr>
            <w:r w:rsidRPr="00A3494F">
              <w:rPr>
                <w:rFonts w:ascii="Arial Narrow" w:hAnsi="Arial Narrow"/>
                <w:b/>
                <w:bCs/>
                <w:sz w:val="20"/>
                <w:szCs w:val="20"/>
              </w:rPr>
              <w:t xml:space="preserve">Prescribing Instructions: </w:t>
            </w:r>
          </w:p>
          <w:p w14:paraId="57D0D6C7" w14:textId="77777777" w:rsidR="00A3494F" w:rsidRPr="00A3494F" w:rsidRDefault="00A3494F" w:rsidP="00886A4E">
            <w:pPr>
              <w:rPr>
                <w:rFonts w:ascii="Arial Narrow" w:hAnsi="Arial Narrow"/>
                <w:b/>
                <w:bCs/>
                <w:color w:val="333333"/>
                <w:sz w:val="20"/>
                <w:szCs w:val="20"/>
              </w:rPr>
            </w:pPr>
            <w:r w:rsidRPr="00A3494F">
              <w:rPr>
                <w:rFonts w:ascii="Arial Narrow" w:hAnsi="Arial Narrow"/>
                <w:i/>
                <w:iCs/>
                <w:color w:val="333333"/>
                <w:sz w:val="20"/>
                <w:szCs w:val="20"/>
              </w:rPr>
              <w:t>A patient may qualify for PBS-subsidised treatment under this restriction once only.</w:t>
            </w:r>
          </w:p>
        </w:tc>
      </w:tr>
      <w:tr w:rsidR="00A3494F" w:rsidRPr="00A3494F" w14:paraId="0003ADD1"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1C49926B" w14:textId="2E2E005A"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4D82E1EC"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Prescribing Instructions:</w:t>
            </w:r>
          </w:p>
          <w:p w14:paraId="3121FD6B" w14:textId="77777777" w:rsidR="00A3494F" w:rsidRPr="00A3494F" w:rsidRDefault="00A3494F" w:rsidP="00886A4E">
            <w:pPr>
              <w:rPr>
                <w:rFonts w:ascii="Arial Narrow" w:hAnsi="Arial Narrow"/>
                <w:b/>
                <w:bCs/>
                <w:color w:val="333333"/>
                <w:sz w:val="20"/>
                <w:szCs w:val="20"/>
              </w:rPr>
            </w:pPr>
            <w:r w:rsidRPr="00A3494F">
              <w:rPr>
                <w:rFonts w:ascii="Arial Narrow" w:hAnsi="Arial Narrow"/>
                <w:i/>
                <w:iCs/>
                <w:color w:val="333333"/>
                <w:sz w:val="20"/>
                <w:szCs w:val="20"/>
              </w:rPr>
              <w:t>For continuing PBS-subsidised treatment, a Grandfathered patient must qualify under the Continuing treatment criteria.</w:t>
            </w:r>
          </w:p>
        </w:tc>
      </w:tr>
      <w:tr w:rsidR="00A3494F" w:rsidRPr="00A3494F" w14:paraId="3348E7DB"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513FD266"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18777314" w14:textId="77777777" w:rsidR="00A3494F" w:rsidRPr="00A3494F" w:rsidRDefault="00A3494F" w:rsidP="00886A4E">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7888CDB7" w14:textId="580AC05C" w:rsidR="00A3494F" w:rsidRPr="00A13761" w:rsidRDefault="00A3494F" w:rsidP="00886A4E">
            <w:pPr>
              <w:rPr>
                <w:rFonts w:ascii="Arial Narrow" w:hAnsi="Arial Narrow"/>
                <w:color w:val="333333"/>
                <w:sz w:val="20"/>
                <w:szCs w:val="20"/>
              </w:rPr>
            </w:pPr>
            <w:r w:rsidRPr="00A3494F">
              <w:rPr>
                <w:rFonts w:ascii="Arial Narrow" w:hAnsi="Arial Narrow"/>
                <w:color w:val="333333"/>
                <w:sz w:val="20"/>
                <w:szCs w:val="20"/>
              </w:rPr>
              <w:t>Patients who have failed to maintain a partial Mayo clinic score less than or equal to 2, with no subscore greater than 1 with continuing treatment with this drug, will not be eligible to receive further PBS-subsidised treatment with this drug.</w:t>
            </w:r>
          </w:p>
        </w:tc>
      </w:tr>
      <w:tr w:rsidR="00A3494F" w:rsidRPr="00A3494F" w14:paraId="08D9A146"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EF39880" w14:textId="14A016ED"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322E151B" w14:textId="77777777" w:rsidR="00A3494F" w:rsidRPr="00A3494F" w:rsidRDefault="00A3494F" w:rsidP="00886A4E">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2CEC85E6"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Patients are eligible to receive continuing treatment with this drug in courses of up to 24 weeks providing they continue to sustain a response.</w:t>
            </w:r>
          </w:p>
        </w:tc>
      </w:tr>
      <w:tr w:rsidR="00A3494F" w:rsidRPr="00A3494F" w14:paraId="7E0BE79E"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00CB04E" w14:textId="5C9C4B00"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21D46AD1" w14:textId="77777777" w:rsidR="00A3494F" w:rsidRPr="00A3494F" w:rsidRDefault="00A3494F" w:rsidP="00886A4E">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6D129C87"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At the time of the authority application, medical practitioners should request sufficient quantity for up to 24 weeks of treatment under this restriction.</w:t>
            </w:r>
          </w:p>
        </w:tc>
      </w:tr>
      <w:tr w:rsidR="00A3494F" w:rsidRPr="00A3494F" w14:paraId="50E110DE"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9C18CEA"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0147B1DF" w14:textId="77777777" w:rsidR="00A3494F" w:rsidRPr="00A3494F" w:rsidRDefault="00A3494F" w:rsidP="00886A4E">
            <w:pPr>
              <w:rPr>
                <w:rFonts w:ascii="Arial Narrow" w:hAnsi="Arial Narrow"/>
                <w:bCs/>
                <w:strike/>
                <w:color w:val="FF0000"/>
                <w:sz w:val="20"/>
                <w:szCs w:val="20"/>
              </w:rPr>
            </w:pPr>
            <w:r w:rsidRPr="00A3494F">
              <w:rPr>
                <w:rFonts w:ascii="Arial Narrow" w:hAnsi="Arial Narrow"/>
                <w:b/>
                <w:bCs/>
                <w:strike/>
                <w:color w:val="333333"/>
                <w:sz w:val="20"/>
                <w:szCs w:val="20"/>
              </w:rPr>
              <w:t xml:space="preserve">Prescribing Instructions: </w:t>
            </w:r>
          </w:p>
          <w:p w14:paraId="367F68B7" w14:textId="77777777" w:rsidR="00A3494F" w:rsidRPr="00A3494F" w:rsidRDefault="00A3494F" w:rsidP="00886A4E">
            <w:pPr>
              <w:rPr>
                <w:rFonts w:ascii="Arial Narrow" w:hAnsi="Arial Narrow"/>
                <w:color w:val="333333"/>
                <w:sz w:val="20"/>
                <w:szCs w:val="20"/>
              </w:rPr>
            </w:pPr>
            <w:r w:rsidRPr="00A3494F">
              <w:rPr>
                <w:rFonts w:ascii="Arial Narrow" w:hAnsi="Arial Narrow"/>
                <w:strike/>
                <w:color w:val="333333"/>
                <w:sz w:val="20"/>
                <w:szCs w:val="20"/>
              </w:rPr>
              <w:t>An application for the continuing treatment must be accompanied with the assessment of response conducted 12 weeks after initial dose and no later than 4 weeks from cessation of the most recent course of treatment. This will enable ongoing treatment for those who meet the continuing restriction for PBS-subsidised treatment.</w:t>
            </w:r>
          </w:p>
        </w:tc>
      </w:tr>
      <w:tr w:rsidR="00A3494F" w:rsidRPr="00A3494F" w14:paraId="320C874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6550F887" w14:textId="72F63516"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6E5B31C0" w14:textId="77777777" w:rsidR="00A3494F" w:rsidRPr="00A3494F" w:rsidRDefault="00A3494F" w:rsidP="00886A4E">
            <w:pPr>
              <w:rPr>
                <w:rFonts w:ascii="Arial Narrow" w:hAnsi="Arial Narrow"/>
                <w:b/>
                <w:bCs/>
                <w:color w:val="333333"/>
                <w:sz w:val="20"/>
                <w:szCs w:val="20"/>
              </w:rPr>
            </w:pPr>
            <w:r w:rsidRPr="00A3494F">
              <w:rPr>
                <w:rFonts w:ascii="Arial Narrow" w:hAnsi="Arial Narrow"/>
                <w:b/>
                <w:bCs/>
                <w:color w:val="333333"/>
                <w:sz w:val="20"/>
                <w:szCs w:val="20"/>
              </w:rPr>
              <w:t>Prescribing Instructions:</w:t>
            </w:r>
          </w:p>
          <w:p w14:paraId="3B90835E" w14:textId="77777777" w:rsidR="00A3494F" w:rsidRPr="00A3494F" w:rsidRDefault="00A3494F" w:rsidP="00886A4E">
            <w:pPr>
              <w:rPr>
                <w:rFonts w:ascii="Arial Narrow" w:hAnsi="Arial Narrow"/>
                <w:b/>
                <w:bCs/>
                <w:color w:val="333333"/>
                <w:sz w:val="20"/>
                <w:szCs w:val="20"/>
              </w:rPr>
            </w:pPr>
            <w:r w:rsidRPr="00A3494F">
              <w:rPr>
                <w:rFonts w:ascii="Arial Narrow" w:hAnsi="Arial Narrow"/>
                <w:i/>
                <w:iCs/>
                <w:color w:val="333333"/>
                <w:sz w:val="20"/>
                <w:szCs w:val="20"/>
              </w:rPr>
              <w:t xml:space="preserve">The assessment of the patient’s response to this PBS-subsidised course of therapy must be conducted no later than 4 weeks from the cessation of the treatment course. </w:t>
            </w:r>
          </w:p>
        </w:tc>
      </w:tr>
      <w:tr w:rsidR="00A3494F" w:rsidRPr="00A3494F" w14:paraId="3781ABB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25AEE911" w14:textId="6A5F7105"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422FFA15" w14:textId="77777777" w:rsidR="00A3494F" w:rsidRPr="00A3494F" w:rsidRDefault="00A3494F" w:rsidP="00886A4E">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4599C75A" w14:textId="77777777" w:rsidR="00A3494F" w:rsidRPr="00A3494F" w:rsidRDefault="00A3494F" w:rsidP="00886A4E">
            <w:pPr>
              <w:rPr>
                <w:rFonts w:ascii="Arial Narrow" w:hAnsi="Arial Narrow"/>
                <w:color w:val="333333"/>
                <w:sz w:val="20"/>
                <w:szCs w:val="20"/>
              </w:rPr>
            </w:pPr>
            <w:r w:rsidRPr="00A3494F">
              <w:rPr>
                <w:rFonts w:ascii="Arial Narrow" w:hAnsi="Arial Narrow"/>
                <w:color w:val="333333"/>
                <w:sz w:val="20"/>
                <w:szCs w:val="20"/>
              </w:rPr>
              <w:t>Where a response assessment is not conducted within the required timeframe, the patient will be deemed to have failed to respond to treatment with this drug.</w:t>
            </w:r>
            <w:r w:rsidRPr="00A3494F">
              <w:rPr>
                <w:rFonts w:ascii="Arial Narrow" w:hAnsi="Arial Narrow"/>
                <w:strike/>
                <w:color w:val="333333"/>
                <w:sz w:val="20"/>
                <w:szCs w:val="20"/>
              </w:rPr>
              <w:t>, unless the patient has experienced a serious adverse reaction of a severity resulting in the necessity for permanent withdrawal of treatment.</w:t>
            </w:r>
          </w:p>
        </w:tc>
      </w:tr>
      <w:tr w:rsidR="00A3494F" w:rsidRPr="00A3494F" w14:paraId="6C39B8B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04A5C4DB"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667DC792" w14:textId="77777777" w:rsidR="00A3494F" w:rsidRPr="00A3494F" w:rsidRDefault="00A3494F" w:rsidP="00886A4E">
            <w:pPr>
              <w:rPr>
                <w:rFonts w:ascii="Arial Narrow" w:hAnsi="Arial Narrow"/>
                <w:bCs/>
                <w:strike/>
                <w:color w:val="FF0000"/>
                <w:sz w:val="20"/>
                <w:szCs w:val="20"/>
              </w:rPr>
            </w:pPr>
            <w:r w:rsidRPr="00A3494F">
              <w:rPr>
                <w:rFonts w:ascii="Arial Narrow" w:hAnsi="Arial Narrow"/>
                <w:b/>
                <w:bCs/>
                <w:strike/>
                <w:color w:val="333333"/>
                <w:sz w:val="20"/>
                <w:szCs w:val="20"/>
              </w:rPr>
              <w:t xml:space="preserve">Prescribing Instructions: </w:t>
            </w:r>
          </w:p>
          <w:p w14:paraId="025E06DB" w14:textId="77777777" w:rsidR="00A3494F" w:rsidRPr="00A3494F" w:rsidRDefault="00A3494F" w:rsidP="00886A4E">
            <w:pPr>
              <w:rPr>
                <w:rFonts w:ascii="Arial Narrow" w:hAnsi="Arial Narrow"/>
                <w:color w:val="333333"/>
                <w:sz w:val="20"/>
                <w:szCs w:val="20"/>
              </w:rPr>
            </w:pPr>
            <w:r w:rsidRPr="00A3494F">
              <w:rPr>
                <w:rFonts w:ascii="Arial Narrow" w:hAnsi="Arial Narrow"/>
                <w:strike/>
                <w:color w:val="333333"/>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A3494F" w:rsidRPr="00A3494F" w14:paraId="14924E49"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7D70A81D"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tcPr>
          <w:p w14:paraId="65EE4AB5" w14:textId="77777777" w:rsidR="00A3494F" w:rsidRPr="00A3494F" w:rsidRDefault="00A3494F" w:rsidP="00886A4E">
            <w:pPr>
              <w:rPr>
                <w:rFonts w:ascii="Arial Narrow" w:hAnsi="Arial Narrow"/>
                <w:bCs/>
                <w:strike/>
                <w:color w:val="FF0000"/>
                <w:sz w:val="20"/>
                <w:szCs w:val="20"/>
              </w:rPr>
            </w:pPr>
            <w:r w:rsidRPr="00A3494F">
              <w:rPr>
                <w:rFonts w:ascii="Arial Narrow" w:hAnsi="Arial Narrow"/>
                <w:b/>
                <w:bCs/>
                <w:strike/>
                <w:color w:val="333333"/>
                <w:sz w:val="20"/>
                <w:szCs w:val="20"/>
              </w:rPr>
              <w:t xml:space="preserve">Prescribing Instructions: </w:t>
            </w:r>
          </w:p>
          <w:p w14:paraId="01B4EA6F" w14:textId="77777777" w:rsidR="00A3494F" w:rsidRPr="00A3494F" w:rsidRDefault="00A3494F" w:rsidP="00886A4E">
            <w:pPr>
              <w:rPr>
                <w:rFonts w:ascii="Arial Narrow" w:hAnsi="Arial Narrow"/>
                <w:b/>
                <w:bCs/>
                <w:strike/>
                <w:color w:val="333333"/>
                <w:sz w:val="20"/>
                <w:szCs w:val="20"/>
              </w:rPr>
            </w:pPr>
            <w:r w:rsidRPr="00A3494F">
              <w:rPr>
                <w:rFonts w:ascii="Arial Narrow" w:hAnsi="Arial Narrow"/>
                <w:strike/>
                <w:color w:val="333333"/>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A3494F" w:rsidRPr="00A3494F" w14:paraId="59E79CA2"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4BD21592" w14:textId="77777777" w:rsidR="00A3494F" w:rsidRPr="00A3494F" w:rsidRDefault="00A3494F" w:rsidP="00886A4E">
            <w:pPr>
              <w:jc w:val="center"/>
              <w:rPr>
                <w:rFonts w:ascii="Arial Narrow" w:hAnsi="Arial Narrow"/>
                <w:color w:val="333333"/>
                <w:sz w:val="20"/>
                <w:szCs w:val="20"/>
              </w:rPr>
            </w:pPr>
          </w:p>
        </w:tc>
        <w:tc>
          <w:tcPr>
            <w:tcW w:w="8738" w:type="dxa"/>
            <w:gridSpan w:val="6"/>
            <w:vAlign w:val="center"/>
            <w:hideMark/>
          </w:tcPr>
          <w:p w14:paraId="559264B8" w14:textId="77777777" w:rsidR="00A3494F" w:rsidRPr="00A3494F" w:rsidRDefault="00A3494F" w:rsidP="00886A4E">
            <w:pPr>
              <w:rPr>
                <w:rFonts w:ascii="Arial Narrow" w:hAnsi="Arial Narrow"/>
                <w:bCs/>
                <w:strike/>
                <w:color w:val="FF0000"/>
                <w:sz w:val="20"/>
                <w:szCs w:val="20"/>
              </w:rPr>
            </w:pPr>
            <w:r w:rsidRPr="00A3494F">
              <w:rPr>
                <w:rFonts w:ascii="Arial Narrow" w:hAnsi="Arial Narrow"/>
                <w:b/>
                <w:bCs/>
                <w:strike/>
                <w:color w:val="333333"/>
                <w:sz w:val="20"/>
                <w:szCs w:val="20"/>
              </w:rPr>
              <w:t xml:space="preserve">Administrative Advice: </w:t>
            </w:r>
          </w:p>
          <w:p w14:paraId="6C2EC926" w14:textId="77777777" w:rsidR="00A3494F" w:rsidRPr="00A3494F" w:rsidRDefault="00A3494F" w:rsidP="00886A4E">
            <w:pPr>
              <w:rPr>
                <w:rFonts w:ascii="Arial Narrow" w:hAnsi="Arial Narrow"/>
                <w:color w:val="333333"/>
                <w:sz w:val="20"/>
                <w:szCs w:val="20"/>
              </w:rPr>
            </w:pPr>
            <w:r w:rsidRPr="00A3494F">
              <w:rPr>
                <w:rFonts w:ascii="Arial Narrow" w:hAnsi="Arial Narrow"/>
                <w:strike/>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r w:rsidR="00A3494F" w:rsidRPr="00A3494F" w14:paraId="65E5EA8A" w14:textId="77777777" w:rsidTr="00330E2E">
        <w:tblPrEx>
          <w:tblCellMar>
            <w:top w:w="15" w:type="dxa"/>
            <w:bottom w:w="15" w:type="dxa"/>
          </w:tblCellMar>
          <w:tblLook w:val="04A0" w:firstRow="1" w:lastRow="0" w:firstColumn="1" w:lastColumn="0" w:noHBand="0" w:noVBand="1"/>
        </w:tblPrEx>
        <w:trPr>
          <w:cantSplit/>
          <w:trHeight w:val="20"/>
        </w:trPr>
        <w:tc>
          <w:tcPr>
            <w:tcW w:w="279" w:type="dxa"/>
            <w:vAlign w:val="center"/>
          </w:tcPr>
          <w:p w14:paraId="728EFDCC" w14:textId="40FDAC1D" w:rsidR="00A3494F" w:rsidRPr="00A3494F" w:rsidRDefault="00A3494F" w:rsidP="00886A4E">
            <w:pPr>
              <w:jc w:val="center"/>
              <w:rPr>
                <w:rFonts w:ascii="Arial Narrow" w:hAnsi="Arial Narrow"/>
                <w:bCs/>
                <w:sz w:val="20"/>
                <w:szCs w:val="20"/>
              </w:rPr>
            </w:pPr>
          </w:p>
        </w:tc>
        <w:tc>
          <w:tcPr>
            <w:tcW w:w="8738" w:type="dxa"/>
            <w:gridSpan w:val="6"/>
            <w:vAlign w:val="center"/>
          </w:tcPr>
          <w:p w14:paraId="72AB8127" w14:textId="77777777" w:rsidR="00A3494F" w:rsidRPr="00A3494F" w:rsidRDefault="00A3494F" w:rsidP="00886A4E">
            <w:pPr>
              <w:ind w:left="5"/>
              <w:textAlignment w:val="baseline"/>
              <w:rPr>
                <w:rFonts w:ascii="Arial Narrow" w:hAnsi="Arial Narrow" w:cs="Open Sans"/>
                <w:color w:val="333333"/>
                <w:sz w:val="20"/>
                <w:szCs w:val="20"/>
              </w:rPr>
            </w:pPr>
            <w:r w:rsidRPr="00A3494F">
              <w:rPr>
                <w:rFonts w:ascii="Arial Narrow" w:hAnsi="Arial Narrow" w:cs="Open Sans"/>
                <w:b/>
                <w:bCs/>
                <w:color w:val="333333"/>
                <w:sz w:val="20"/>
                <w:szCs w:val="20"/>
                <w:bdr w:val="none" w:sz="0" w:space="0" w:color="auto" w:frame="1"/>
              </w:rPr>
              <w:t>Administrative Advice:</w:t>
            </w:r>
          </w:p>
          <w:p w14:paraId="3886B3B9" w14:textId="77777777" w:rsidR="00A3494F" w:rsidRPr="00A3494F" w:rsidRDefault="00A3494F" w:rsidP="00886A4E">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22A9921B" w14:textId="77777777" w:rsidR="00A3494F" w:rsidRPr="00A3494F" w:rsidRDefault="00A3494F" w:rsidP="00886A4E">
            <w:pPr>
              <w:textAlignment w:val="baseline"/>
              <w:rPr>
                <w:rFonts w:ascii="Arial Narrow" w:hAnsi="Arial Narrow" w:cs="Open Sans"/>
                <w:color w:val="333333"/>
                <w:sz w:val="20"/>
                <w:szCs w:val="20"/>
              </w:rPr>
            </w:pPr>
            <w:r w:rsidRPr="00A3494F">
              <w:rPr>
                <w:rFonts w:ascii="Arial Narrow" w:hAnsi="Arial Narrow" w:cs="Open Sans"/>
                <w:color w:val="333333"/>
                <w:sz w:val="20"/>
                <w:szCs w:val="20"/>
              </w:rPr>
              <w:t xml:space="preserve">Prescribing information (including Authority Application forms and other relevant documentation as applicable) is available on the Services Australia website at </w:t>
            </w:r>
            <w:hyperlink r:id="rId8" w:history="1">
              <w:r w:rsidRPr="00A3494F">
                <w:rPr>
                  <w:rStyle w:val="Hyperlink"/>
                  <w:rFonts w:ascii="Arial Narrow" w:hAnsi="Arial Narrow" w:cs="Open Sans"/>
                  <w:sz w:val="20"/>
                  <w:szCs w:val="20"/>
                </w:rPr>
                <w:t>www.servicesaustralia.gov.au</w:t>
              </w:r>
            </w:hyperlink>
          </w:p>
          <w:p w14:paraId="5E56DDBD" w14:textId="77777777" w:rsidR="00A3494F" w:rsidRPr="00A3494F" w:rsidRDefault="00A3494F" w:rsidP="00886A4E">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 xml:space="preserve">Applications for authority to prescribe should be submitted online using the form upload facility in Health Professional Online Services (HPOS) at </w:t>
            </w:r>
            <w:hyperlink r:id="rId9" w:history="1">
              <w:r w:rsidRPr="00A3494F">
                <w:rPr>
                  <w:rStyle w:val="Hyperlink"/>
                  <w:rFonts w:ascii="Arial Narrow" w:hAnsi="Arial Narrow" w:cs="Open Sans"/>
                  <w:sz w:val="20"/>
                  <w:szCs w:val="20"/>
                </w:rPr>
                <w:t>www.servicesaustralia.gov.au/hpos</w:t>
              </w:r>
            </w:hyperlink>
          </w:p>
          <w:p w14:paraId="458583E3" w14:textId="77777777" w:rsidR="00A3494F" w:rsidRPr="00A3494F" w:rsidRDefault="00A3494F" w:rsidP="00886A4E">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Or mailed to:</w:t>
            </w:r>
          </w:p>
          <w:p w14:paraId="2E216858" w14:textId="77777777" w:rsidR="00A3494F" w:rsidRPr="00A3494F" w:rsidRDefault="00A3494F" w:rsidP="00886A4E">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Services Australia</w:t>
            </w:r>
          </w:p>
          <w:p w14:paraId="52ACB961" w14:textId="77777777" w:rsidR="00A3494F" w:rsidRPr="00A3494F" w:rsidRDefault="00A3494F" w:rsidP="00886A4E">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Complex Drugs</w:t>
            </w:r>
          </w:p>
          <w:p w14:paraId="4750AE08" w14:textId="77777777" w:rsidR="00A3494F" w:rsidRPr="00A3494F" w:rsidRDefault="00A3494F" w:rsidP="00886A4E">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Reply Paid 9826</w:t>
            </w:r>
          </w:p>
          <w:p w14:paraId="7D31430B" w14:textId="77777777" w:rsidR="00A3494F" w:rsidRPr="00A3494F" w:rsidRDefault="00A3494F" w:rsidP="00886A4E">
            <w:pPr>
              <w:rPr>
                <w:rFonts w:ascii="Arial Narrow" w:hAnsi="Arial Narrow"/>
                <w:b/>
                <w:bCs/>
                <w:i/>
                <w:iCs/>
                <w:sz w:val="20"/>
                <w:szCs w:val="20"/>
              </w:rPr>
            </w:pPr>
            <w:r w:rsidRPr="00A3494F">
              <w:rPr>
                <w:rFonts w:ascii="Arial Narrow" w:hAnsi="Arial Narrow" w:cs="Open Sans"/>
                <w:color w:val="333333"/>
                <w:sz w:val="20"/>
                <w:szCs w:val="20"/>
              </w:rPr>
              <w:t>HOBART TAS 7001</w:t>
            </w:r>
          </w:p>
        </w:tc>
      </w:tr>
    </w:tbl>
    <w:p w14:paraId="4B03214C" w14:textId="708029DE" w:rsidR="004D1EA7" w:rsidRDefault="004D1EA7" w:rsidP="00CA47D0">
      <w:pPr>
        <w:pStyle w:val="ExecSumBodyText"/>
        <w:numPr>
          <w:ilvl w:val="1"/>
          <w:numId w:val="1"/>
        </w:numPr>
        <w:spacing w:before="120"/>
        <w:rPr>
          <w:iCs/>
        </w:rPr>
      </w:pPr>
      <w:r w:rsidRPr="00917549">
        <w:rPr>
          <w:iCs/>
        </w:rPr>
        <w:t xml:space="preserve">For initial treatment, the maximum quantity of 1 x 300 mg vials with 5 repeats (total 6 doses) allows for up to </w:t>
      </w:r>
      <w:r w:rsidR="006B51DB">
        <w:rPr>
          <w:iCs/>
        </w:rPr>
        <w:t xml:space="preserve">a </w:t>
      </w:r>
      <w:r w:rsidRPr="00917549">
        <w:rPr>
          <w:iCs/>
        </w:rPr>
        <w:t>maximum 24 weeks of treatment. This provides all patients with the recommended three doses of induction treatment at Weeks 0, 4 and 8 and for patients who do not have adequate response at Week 12</w:t>
      </w:r>
      <w:r w:rsidR="00AC37DC">
        <w:rPr>
          <w:iCs/>
        </w:rPr>
        <w:t xml:space="preserve"> (‘partial responders’)</w:t>
      </w:r>
      <w:r w:rsidRPr="00917549">
        <w:rPr>
          <w:iCs/>
        </w:rPr>
        <w:t>, there are an additional three doses for extended induction treatment at Weeks 12, 16 and 20. Patients who demonstrate an adequate therapeutic response at Week 12 (or between Week 16 to 24 for patients treated with extended induction) would switch from the IV formulation to SC formulation for maintenance treatment. The requested maximum quantity of 2 x 100</w:t>
      </w:r>
      <w:r w:rsidR="008731B8">
        <w:rPr>
          <w:iCs/>
        </w:rPr>
        <w:t> </w:t>
      </w:r>
      <w:r w:rsidRPr="00917549">
        <w:rPr>
          <w:iCs/>
        </w:rPr>
        <w:t>mg pre-filled pen</w:t>
      </w:r>
      <w:r w:rsidR="008731B8">
        <w:rPr>
          <w:iCs/>
        </w:rPr>
        <w:t>s</w:t>
      </w:r>
      <w:r w:rsidRPr="00917549">
        <w:rPr>
          <w:iCs/>
        </w:rPr>
        <w:t xml:space="preserve"> with 5 repeats (total 6 doses) allows for 24</w:t>
      </w:r>
      <w:r w:rsidR="008731B8">
        <w:rPr>
          <w:iCs/>
        </w:rPr>
        <w:t> </w:t>
      </w:r>
      <w:r w:rsidRPr="00917549">
        <w:rPr>
          <w:iCs/>
        </w:rPr>
        <w:t>weeks of maintenance treatment at the recommended dose.</w:t>
      </w:r>
    </w:p>
    <w:p w14:paraId="610E8414" w14:textId="71B6E795" w:rsidR="009368EC" w:rsidRDefault="009368EC" w:rsidP="004D1EA7">
      <w:pPr>
        <w:pStyle w:val="ExecSumBodyText"/>
        <w:numPr>
          <w:ilvl w:val="1"/>
          <w:numId w:val="1"/>
        </w:numPr>
        <w:rPr>
          <w:iCs/>
        </w:rPr>
      </w:pPr>
      <w:r w:rsidRPr="009368EC">
        <w:rPr>
          <w:iCs/>
        </w:rPr>
        <w:lastRenderedPageBreak/>
        <w:t>The</w:t>
      </w:r>
      <w:r w:rsidR="00883D21">
        <w:rPr>
          <w:iCs/>
        </w:rPr>
        <w:t xml:space="preserve"> </w:t>
      </w:r>
      <w:r w:rsidRPr="009368EC">
        <w:rPr>
          <w:iCs/>
        </w:rPr>
        <w:t>PSCR did not define the clinical criteria for ‘partial responders’</w:t>
      </w:r>
      <w:r>
        <w:rPr>
          <w:iCs/>
        </w:rPr>
        <w:t xml:space="preserve"> </w:t>
      </w:r>
      <w:r w:rsidRPr="009368EC">
        <w:rPr>
          <w:iCs/>
        </w:rPr>
        <w:t>compared to complete lack of response.</w:t>
      </w:r>
      <w:r w:rsidR="00AC37DC">
        <w:rPr>
          <w:iCs/>
        </w:rPr>
        <w:t xml:space="preserve"> The pre-PBAC response stated that the option of the extended induction treatment would be clinically meaningful for patients who do not fully meet the definition of clinical response at the end of the first induction period, but who experience improvements in disease symptoms. The pre-PBAC response stated that </w:t>
      </w:r>
      <w:r w:rsidR="00883D21">
        <w:rPr>
          <w:iCs/>
        </w:rPr>
        <w:t>clinicians</w:t>
      </w:r>
      <w:r w:rsidR="00AC37DC">
        <w:rPr>
          <w:iCs/>
        </w:rPr>
        <w:t xml:space="preserve"> can determine prognostic factors that could indicate if a patient would benefit from extended induction rather than switch to a new treatment class. It further stated that this request is similar to that of </w:t>
      </w:r>
      <w:r w:rsidR="00A13761">
        <w:rPr>
          <w:iCs/>
        </w:rPr>
        <w:t>upadacitinib</w:t>
      </w:r>
      <w:r w:rsidR="00AC37DC">
        <w:rPr>
          <w:iCs/>
        </w:rPr>
        <w:t>, which had an extended induction for patients with an inadequate response after standard induction</w:t>
      </w:r>
      <w:r w:rsidR="00883D21">
        <w:rPr>
          <w:iCs/>
        </w:rPr>
        <w:t xml:space="preserve"> treatment</w:t>
      </w:r>
      <w:r w:rsidR="00AC37DC">
        <w:rPr>
          <w:iCs/>
        </w:rPr>
        <w:t xml:space="preserve"> (paragraph 3.2, upadacitinib (ulcerative colitis)</w:t>
      </w:r>
      <w:r w:rsidR="00883D21">
        <w:rPr>
          <w:iCs/>
        </w:rPr>
        <w:t>,</w:t>
      </w:r>
      <w:r w:rsidR="00AC37DC">
        <w:rPr>
          <w:iCs/>
        </w:rPr>
        <w:t xml:space="preserve"> Public Summary Document (PSD), July 2022).</w:t>
      </w:r>
    </w:p>
    <w:p w14:paraId="52214F5A" w14:textId="5475270F" w:rsidR="004D1EA7" w:rsidRPr="00E35482" w:rsidRDefault="004D1EA7" w:rsidP="0000050B">
      <w:pPr>
        <w:pStyle w:val="ExecSumBodyText"/>
        <w:numPr>
          <w:ilvl w:val="1"/>
          <w:numId w:val="1"/>
        </w:numPr>
      </w:pPr>
      <w:r w:rsidRPr="00E35482">
        <w:t xml:space="preserve">For induction treatment, the main clinical comparisons presented in the submission </w:t>
      </w:r>
      <w:r w:rsidR="008731B8" w:rsidRPr="00E35482">
        <w:t xml:space="preserve">were </w:t>
      </w:r>
      <w:r w:rsidRPr="00E35482">
        <w:t xml:space="preserve">based on key clinical outcomes reported at Week 12 for MIRI and Weeks 6 to 10 for the nominated comparators (VDZ, ADA, UST). The requested listing for up to 24 weeks of initial treatment with MIRI was based on the results of a non-randomised cohort of induction non-responders in the LUCENT 2 trial. A total of 272 patients without clinical response at Week 12 following three doses of MIRI 300 mg IV in LUCENT 1, received a further three doses of MIRI 300 mg IV in an open-label extended induction phase in LUCENT 2. The results showed 146 / 272 (53.7%) patients without clinical response at Week 12 had achieved clinical response at Week 24 (i.e. delayed clinical response). Taken together with the results from the LUCENT 1 trial, the submission stated that the (cumulative) response rate for MIRI induction treatment increased from 63.5% at Week 12 to 83.1% at Week 24, illustrated in </w:t>
      </w:r>
      <w:r w:rsidRPr="00E35482">
        <w:fldChar w:fldCharType="begin" w:fldLock="1"/>
      </w:r>
      <w:r w:rsidRPr="00E35482">
        <w:instrText xml:space="preserve"> REF _Ref134220210 \h  \* MERGEFORMAT </w:instrText>
      </w:r>
      <w:r w:rsidRPr="00E35482">
        <w:fldChar w:fldCharType="separate"/>
      </w:r>
      <w:r w:rsidR="00CC56E0" w:rsidRPr="00E35482">
        <w:t xml:space="preserve">Figure </w:t>
      </w:r>
      <w:r w:rsidR="00CC56E0" w:rsidRPr="00E35482">
        <w:rPr>
          <w:noProof/>
        </w:rPr>
        <w:t>1</w:t>
      </w:r>
      <w:r w:rsidRPr="00E35482">
        <w:fldChar w:fldCharType="end"/>
      </w:r>
      <w:r w:rsidRPr="00E35482">
        <w:t>. The submission, however, did not present any evidence to inform the counterfactual at Week 24 (i.e. the incremental benefit of extended induction versus placebo). In the context of alternative treatment options on the PBS, extending the induction period with MIRI from 12 to 24 weeks may also delay induction non-responders from receiving an effective alternative treatment.</w:t>
      </w:r>
      <w:r w:rsidR="0000050B" w:rsidRPr="00E35482">
        <w:t xml:space="preserve"> </w:t>
      </w:r>
      <w:bookmarkStart w:id="13" w:name="_Hlk135048726"/>
      <w:r w:rsidR="0000050B" w:rsidRPr="00E35482">
        <w:t>The requested 24 weeks of initial treatment with MIRI is also longer than the initial treatment period of other treatments currently listed on the PBS (14 to 1</w:t>
      </w:r>
      <w:r w:rsidR="00BB662A" w:rsidRPr="00E35482">
        <w:t>6</w:t>
      </w:r>
      <w:r w:rsidR="0000050B" w:rsidRPr="00E35482">
        <w:t xml:space="preserve"> weeks, depending on the treatment).</w:t>
      </w:r>
      <w:bookmarkEnd w:id="13"/>
      <w:r w:rsidR="00BB1DBC">
        <w:t xml:space="preserve"> </w:t>
      </w:r>
      <w:r w:rsidR="00BB1DBC" w:rsidRPr="00FD140C">
        <w:t>The</w:t>
      </w:r>
      <w:r w:rsidR="00D37431" w:rsidRPr="00FD140C">
        <w:t xml:space="preserve"> </w:t>
      </w:r>
      <w:r w:rsidR="00BB1DBC" w:rsidRPr="00FD140C">
        <w:t>PSCR suggested that there are only a small number of non-responders who are delayed in receiving an effective alternative treatment by extending the induction period to 24 weeks.</w:t>
      </w:r>
      <w:r w:rsidR="00BB1DBC" w:rsidRPr="00BB1DBC">
        <w:rPr>
          <w:i/>
          <w:iCs/>
        </w:rPr>
        <w:t xml:space="preserve"> </w:t>
      </w:r>
    </w:p>
    <w:p w14:paraId="62EE1B5E" w14:textId="6CFCAD80" w:rsidR="004D1EA7" w:rsidRPr="006E759B" w:rsidRDefault="004D1EA7" w:rsidP="004D1EA7">
      <w:pPr>
        <w:pStyle w:val="Caption"/>
      </w:pPr>
      <w:bookmarkStart w:id="14" w:name="_Ref134220210"/>
      <w:r>
        <w:lastRenderedPageBreak/>
        <w:t xml:space="preserve">Figure </w:t>
      </w:r>
      <w:r w:rsidR="00A234BA">
        <w:fldChar w:fldCharType="begin" w:fldLock="1"/>
      </w:r>
      <w:r w:rsidR="00A234BA">
        <w:instrText xml:space="preserve"> SEQ Figure \* ARABIC </w:instrText>
      </w:r>
      <w:r w:rsidR="00A234BA">
        <w:fldChar w:fldCharType="separate"/>
      </w:r>
      <w:r w:rsidR="00CC56E0">
        <w:rPr>
          <w:noProof/>
        </w:rPr>
        <w:t>1</w:t>
      </w:r>
      <w:r w:rsidR="00A234BA">
        <w:rPr>
          <w:noProof/>
        </w:rPr>
        <w:fldChar w:fldCharType="end"/>
      </w:r>
      <w:bookmarkEnd w:id="14"/>
      <w:r>
        <w:rPr>
          <w:szCs w:val="20"/>
        </w:rPr>
        <w:t>: Clinical response at induction (Week 12) and extended induction (Week 24) for mirikizumab treatment</w:t>
      </w:r>
    </w:p>
    <w:p w14:paraId="639CBFA9" w14:textId="77777777" w:rsidR="004D1EA7" w:rsidRDefault="004D1EA7" w:rsidP="004D1EA7">
      <w:r>
        <w:rPr>
          <w:noProof/>
          <w:lang w:eastAsia="zh-CN"/>
        </w:rPr>
        <w:drawing>
          <wp:inline distT="0" distB="0" distL="0" distR="0" wp14:anchorId="40E772EE" wp14:editId="19834501">
            <wp:extent cx="4155772" cy="3132813"/>
            <wp:effectExtent l="0" t="0" r="0" b="0"/>
            <wp:docPr id="13" name="Picture 13" descr="Figure 1: Clinical response at induction (Week 12) and extended induction (Week 24) for mirikizumab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Clinical response at induction (Week 12) and extended induction (Week 24) for mirikizumab treat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4881" cy="3139680"/>
                    </a:xfrm>
                    <a:prstGeom prst="rect">
                      <a:avLst/>
                    </a:prstGeom>
                    <a:noFill/>
                  </pic:spPr>
                </pic:pic>
              </a:graphicData>
            </a:graphic>
          </wp:inline>
        </w:drawing>
      </w:r>
    </w:p>
    <w:p w14:paraId="0F71A06C" w14:textId="77777777" w:rsidR="004D1EA7" w:rsidRPr="008731B8" w:rsidRDefault="004D1EA7" w:rsidP="004D1EA7">
      <w:pPr>
        <w:spacing w:after="120"/>
        <w:rPr>
          <w:rFonts w:ascii="Arial Narrow" w:hAnsi="Arial Narrow"/>
          <w:sz w:val="20"/>
          <w:szCs w:val="20"/>
        </w:rPr>
      </w:pPr>
      <w:r w:rsidRPr="008731B8">
        <w:rPr>
          <w:rFonts w:ascii="Arial Narrow" w:hAnsi="Arial Narrow"/>
          <w:sz w:val="20"/>
          <w:szCs w:val="20"/>
        </w:rPr>
        <w:t>Source: compiled during the evaluation.</w:t>
      </w:r>
    </w:p>
    <w:p w14:paraId="1524038A" w14:textId="66F469C8" w:rsidR="004D1EA7" w:rsidRPr="0074232C" w:rsidRDefault="004D1EA7" w:rsidP="004D1EA7">
      <w:pPr>
        <w:pStyle w:val="ExecSumBodyText"/>
        <w:numPr>
          <w:ilvl w:val="1"/>
          <w:numId w:val="1"/>
        </w:numPr>
      </w:pPr>
      <w:r w:rsidRPr="0074232C">
        <w:t xml:space="preserve">From a practical perspective, it </w:t>
      </w:r>
      <w:r w:rsidR="00E23659" w:rsidRPr="0074232C">
        <w:t>wa</w:t>
      </w:r>
      <w:r w:rsidRPr="0074232C">
        <w:t>s assumed patient response would be assessed at every appointment from Week 12 to Week 24, until the patient meets the eligibility criteria for continuing treatment or completes all six induction doses. The requested Authority Required (electronic) listing for the SC formulation would allow patients who meet the response criteria to initiate continuing treatment immediately, avoiding the need for a further IV infusion</w:t>
      </w:r>
      <w:r w:rsidR="00621739" w:rsidRPr="0074232C">
        <w:t>.</w:t>
      </w:r>
    </w:p>
    <w:p w14:paraId="21A8705E" w14:textId="69F5C8E0" w:rsidR="004D1EA7" w:rsidRPr="0069625A" w:rsidRDefault="004D1EA7" w:rsidP="004D1EA7">
      <w:pPr>
        <w:pStyle w:val="ExecSumBodyText"/>
        <w:numPr>
          <w:ilvl w:val="1"/>
          <w:numId w:val="1"/>
        </w:numPr>
        <w:rPr>
          <w:iCs/>
        </w:rPr>
      </w:pPr>
      <w:r w:rsidRPr="00917549">
        <w:t xml:space="preserve">The submission requested equivalent restriction criteria for MIRI to other PBS-listed treatments </w:t>
      </w:r>
      <w:r>
        <w:t>(</w:t>
      </w:r>
      <w:r w:rsidRPr="00931282">
        <w:t>biologic</w:t>
      </w:r>
      <w:r w:rsidR="00D867E9">
        <w:t>/targeted synthetic</w:t>
      </w:r>
      <w:r w:rsidRPr="00931282">
        <w:t xml:space="preserve"> disease modifying anti-rheumatic drug</w:t>
      </w:r>
      <w:r w:rsidR="00D65964">
        <w:t>s</w:t>
      </w:r>
      <w:r w:rsidRPr="00931282">
        <w:t xml:space="preserve"> </w:t>
      </w:r>
      <w:r w:rsidRPr="00917549">
        <w:t>(bDMARDs</w:t>
      </w:r>
      <w:r w:rsidR="00D867E9">
        <w:t>/tsDMARDs</w:t>
      </w:r>
      <w:r>
        <w:t>)</w:t>
      </w:r>
      <w:r w:rsidRPr="00917549">
        <w:t>) for initial and continuing treatment of MSUC</w:t>
      </w:r>
      <w:r>
        <w:t xml:space="preserve">. Response to treatment is defined based on Full Mayo Score (FMS), however in the MIRI trials the reported outcomes defined clinical response and remission based on Modified Mayo Score (MMS). The submission proposed that these outcomes based on MMS are consistent with FMS and are clinically relevant for use in clinical trials and clinical practice. </w:t>
      </w:r>
      <w:r w:rsidRPr="0069625A">
        <w:t xml:space="preserve">See </w:t>
      </w:r>
      <w:r w:rsidR="00D97FDD">
        <w:t>paragraph 4.3</w:t>
      </w:r>
      <w:r w:rsidRPr="0069625A">
        <w:t>.</w:t>
      </w:r>
    </w:p>
    <w:p w14:paraId="55EB9892" w14:textId="6C27F47D" w:rsidR="004D1EA7" w:rsidRDefault="004D1EA7" w:rsidP="004D1EA7">
      <w:pPr>
        <w:pStyle w:val="ExecSumBodyText"/>
        <w:numPr>
          <w:ilvl w:val="1"/>
          <w:numId w:val="1"/>
        </w:numPr>
        <w:rPr>
          <w:iCs/>
        </w:rPr>
      </w:pPr>
      <w:r w:rsidRPr="00917549">
        <w:rPr>
          <w:iCs/>
        </w:rPr>
        <w:t>The submission requested a Special Pricing Arrangement (SPA). The proposed published</w:t>
      </w:r>
      <w:r>
        <w:rPr>
          <w:iCs/>
        </w:rPr>
        <w:t xml:space="preserve"> approved</w:t>
      </w:r>
      <w:r w:rsidRPr="00917549">
        <w:rPr>
          <w:iCs/>
        </w:rPr>
        <w:t xml:space="preserve"> </w:t>
      </w:r>
      <w:r>
        <w:rPr>
          <w:iCs/>
        </w:rPr>
        <w:t>ex-manufacturer price (</w:t>
      </w:r>
      <w:r w:rsidRPr="00917549">
        <w:rPr>
          <w:iCs/>
        </w:rPr>
        <w:t>AEMP</w:t>
      </w:r>
      <w:r>
        <w:rPr>
          <w:iCs/>
        </w:rPr>
        <w:t>)</w:t>
      </w:r>
      <w:r w:rsidRPr="00917549">
        <w:rPr>
          <w:iCs/>
        </w:rPr>
        <w:t xml:space="preserve"> for MIRI ($1,737.08) is equivalent to the published AEMP for VDZ 300 mg IV for MSUC</w:t>
      </w:r>
      <w:r>
        <w:rPr>
          <w:iCs/>
        </w:rPr>
        <w:t xml:space="preserve">, and the proposed </w:t>
      </w:r>
      <w:r w:rsidRPr="00917549">
        <w:rPr>
          <w:iCs/>
        </w:rPr>
        <w:t xml:space="preserve">effective </w:t>
      </w:r>
      <w:r>
        <w:rPr>
          <w:iCs/>
        </w:rPr>
        <w:t>AEMP</w:t>
      </w:r>
      <w:r w:rsidRPr="00917549">
        <w:rPr>
          <w:iCs/>
        </w:rPr>
        <w:t xml:space="preserve"> </w:t>
      </w:r>
      <w:r>
        <w:rPr>
          <w:iCs/>
        </w:rPr>
        <w:t xml:space="preserve">for MIRI would be based </w:t>
      </w:r>
      <w:r w:rsidRPr="00917549">
        <w:rPr>
          <w:iCs/>
        </w:rPr>
        <w:t xml:space="preserve">on a cost-minimisation </w:t>
      </w:r>
      <w:r>
        <w:rPr>
          <w:iCs/>
        </w:rPr>
        <w:t>approach</w:t>
      </w:r>
      <w:r w:rsidRPr="00917549">
        <w:rPr>
          <w:iCs/>
        </w:rPr>
        <w:t xml:space="preserve"> with VDZ</w:t>
      </w:r>
      <w:r>
        <w:rPr>
          <w:iCs/>
        </w:rPr>
        <w:t xml:space="preserve"> IV</w:t>
      </w:r>
      <w:r w:rsidRPr="00917549">
        <w:rPr>
          <w:iCs/>
        </w:rPr>
        <w:t xml:space="preserve"> using </w:t>
      </w:r>
      <w:r w:rsidR="00D65964">
        <w:rPr>
          <w:iCs/>
        </w:rPr>
        <w:t xml:space="preserve">the </w:t>
      </w:r>
      <w:r w:rsidRPr="00917549">
        <w:rPr>
          <w:iCs/>
        </w:rPr>
        <w:t>effective AEMP</w:t>
      </w:r>
      <w:r>
        <w:rPr>
          <w:iCs/>
        </w:rPr>
        <w:t xml:space="preserve">. </w:t>
      </w:r>
      <w:r w:rsidRPr="00917549">
        <w:rPr>
          <w:iCs/>
        </w:rPr>
        <w:t xml:space="preserve">The submission presented a ‘hypothetical’ cost-minimisation approach using the published price of </w:t>
      </w:r>
      <w:r w:rsidR="00A13761" w:rsidRPr="00917549">
        <w:rPr>
          <w:iCs/>
        </w:rPr>
        <w:t>VDZ and</w:t>
      </w:r>
      <w:r w:rsidRPr="00917549">
        <w:rPr>
          <w:iCs/>
        </w:rPr>
        <w:t xml:space="preserve"> requested an updated analysis using the effective AEMP of VDZ </w:t>
      </w:r>
      <w:r>
        <w:rPr>
          <w:iCs/>
        </w:rPr>
        <w:t xml:space="preserve">(unknown to the sponsor) </w:t>
      </w:r>
      <w:r w:rsidRPr="00917549">
        <w:rPr>
          <w:iCs/>
        </w:rPr>
        <w:t>follow</w:t>
      </w:r>
      <w:r>
        <w:rPr>
          <w:iCs/>
        </w:rPr>
        <w:t>ing</w:t>
      </w:r>
      <w:r w:rsidRPr="00917549">
        <w:rPr>
          <w:iCs/>
        </w:rPr>
        <w:t xml:space="preserve"> the same methodology.</w:t>
      </w:r>
      <w:r>
        <w:rPr>
          <w:iCs/>
        </w:rPr>
        <w:t xml:space="preserve"> The sponsor also requested a</w:t>
      </w:r>
      <w:r w:rsidRPr="00917549">
        <w:rPr>
          <w:iCs/>
        </w:rPr>
        <w:t xml:space="preserve"> flat pricing structure </w:t>
      </w:r>
      <w:r>
        <w:rPr>
          <w:iCs/>
        </w:rPr>
        <w:t>for the MIRI IV and SC dose forms.</w:t>
      </w:r>
    </w:p>
    <w:p w14:paraId="6DD895B7" w14:textId="4696F1F0" w:rsidR="00644126" w:rsidRPr="00644126" w:rsidRDefault="00644126" w:rsidP="00644126">
      <w:pPr>
        <w:pStyle w:val="ExecSumBodyText"/>
        <w:ind w:firstLine="0"/>
        <w:rPr>
          <w:i/>
        </w:rPr>
      </w:pPr>
      <w:r w:rsidRPr="00644126">
        <w:rPr>
          <w:i/>
        </w:rPr>
        <w:lastRenderedPageBreak/>
        <w:t>For more detail on PBAC’s view, see section 7 PBAC outcome.</w:t>
      </w:r>
    </w:p>
    <w:p w14:paraId="4A48EB63" w14:textId="77777777" w:rsidR="004D1EA7" w:rsidRPr="00407F2D" w:rsidDel="00195452" w:rsidRDefault="004D1EA7" w:rsidP="004D1EA7">
      <w:pPr>
        <w:pStyle w:val="2-SectionHeading"/>
        <w:numPr>
          <w:ilvl w:val="0"/>
          <w:numId w:val="1"/>
        </w:numPr>
      </w:pPr>
      <w:bookmarkStart w:id="15" w:name="_Toc135142371"/>
      <w:r w:rsidDel="00195452">
        <w:t>Population and disease</w:t>
      </w:r>
      <w:bookmarkEnd w:id="15"/>
    </w:p>
    <w:p w14:paraId="6A7B0057" w14:textId="77777777" w:rsidR="004D1EA7" w:rsidRPr="00677156" w:rsidRDefault="004D1EA7" w:rsidP="004D1EA7">
      <w:pPr>
        <w:pStyle w:val="3-BodyText"/>
      </w:pPr>
      <w:r w:rsidRPr="00677156">
        <w:t>Ulcerative colitis</w:t>
      </w:r>
      <w:r>
        <w:t xml:space="preserve"> </w:t>
      </w:r>
      <w:r w:rsidRPr="00677156">
        <w:t>is a chronic inflammatory bowel disease characterised by continuous mucosal inflammation of the colon. The clinical course of the disease consists of periods of exacerbation (flares) and remission. Common symptoms of flares include rectal bleeding, diarrhoea, abdominal pain, bowel urgency and tenesmus. More severe disease typically leads to an increase in bloody diarrhoea and the presence of systemic symptoms such as weight loss, fever, nausea and vomiting. Disease severity (mild to severe) is generally assessed using criteria such as stool frequency, a combination of endoscopic and histological assessment and presence of systemic symptoms.</w:t>
      </w:r>
    </w:p>
    <w:p w14:paraId="0BC8FF79" w14:textId="70CEA0F9" w:rsidR="004D1EA7" w:rsidRDefault="004D1EA7" w:rsidP="004D1EA7">
      <w:pPr>
        <w:pStyle w:val="3-BodyText"/>
      </w:pPr>
      <w:r>
        <w:t xml:space="preserve">The Mayo Score is used to assess disease severity. The FMS, also known as Total Mayo Score, is a composite of four subscores comprising endoscopy, stool frequency, rectal bleeding and Physician’s Global Assessment (PGA) of disease activity; each subscore is scored from 0 to 3 to give </w:t>
      </w:r>
      <w:r w:rsidR="00D65964">
        <w:t xml:space="preserve">a </w:t>
      </w:r>
      <w:r>
        <w:t>maximum composite score of 12. An FMS score of 0-2 indicates remission, 3-5 mild disease activity, 6-10 moderate disease activity and 11-12 severe disease activity. Partial Mayo uses three of the four subscores of FMS (i.e.</w:t>
      </w:r>
      <w:r w:rsidR="00D65964">
        <w:t> </w:t>
      </w:r>
      <w:r>
        <w:t>does not include the endoscopy score).</w:t>
      </w:r>
    </w:p>
    <w:p w14:paraId="38FD6DB8" w14:textId="32348120" w:rsidR="004D1EA7" w:rsidRDefault="004D1EA7" w:rsidP="004D1EA7">
      <w:pPr>
        <w:pStyle w:val="3-BodyText"/>
      </w:pPr>
      <w:r w:rsidRPr="00677156">
        <w:t>The main trials of MIRI supporting the submission (LUCENT</w:t>
      </w:r>
      <w:r w:rsidR="00D65964">
        <w:t xml:space="preserve"> </w:t>
      </w:r>
      <w:r w:rsidRPr="00677156">
        <w:t>1 and LUCENT</w:t>
      </w:r>
      <w:r w:rsidR="00D65964">
        <w:t xml:space="preserve"> </w:t>
      </w:r>
      <w:r w:rsidRPr="00677156">
        <w:t>2) were based on the MMS</w:t>
      </w:r>
      <w:r>
        <w:t>, which differs to the FMS as follows:</w:t>
      </w:r>
      <w:r w:rsidRPr="00677156">
        <w:t xml:space="preserve"> the definition of an endoscopy score of 1 no longer includes mucosal friability and the PGA was removed from the MMS. The maximum total score for MMS is 9. A recently published cross-sectional real-world observational study by </w:t>
      </w:r>
      <w:r>
        <w:t>Naegeli et al 2021</w:t>
      </w:r>
      <w:bookmarkStart w:id="16" w:name="_Hlk134192057"/>
      <w:r>
        <w:rPr>
          <w:rStyle w:val="FootnoteReference"/>
        </w:rPr>
        <w:footnoteReference w:id="1"/>
      </w:r>
      <w:bookmarkEnd w:id="16"/>
      <w:r>
        <w:t xml:space="preserve"> </w:t>
      </w:r>
      <w:r w:rsidRPr="00677156">
        <w:t xml:space="preserve">showed that FMS, MMS and partial Mayo were highly correlated and indicated that MMS may be used as a proxy for FMS in clinical trials and in practice. </w:t>
      </w:r>
      <w:r w:rsidRPr="00B276C0">
        <w:rPr>
          <w:iCs/>
        </w:rPr>
        <w:t xml:space="preserve">MMS </w:t>
      </w:r>
      <w:r w:rsidR="00D65964">
        <w:rPr>
          <w:iCs/>
        </w:rPr>
        <w:t>was</w:t>
      </w:r>
      <w:r w:rsidR="00D65964" w:rsidRPr="00B276C0">
        <w:rPr>
          <w:iCs/>
        </w:rPr>
        <w:t xml:space="preserve"> </w:t>
      </w:r>
      <w:r>
        <w:rPr>
          <w:iCs/>
        </w:rPr>
        <w:t>recommended</w:t>
      </w:r>
      <w:r w:rsidRPr="00B276C0">
        <w:rPr>
          <w:iCs/>
        </w:rPr>
        <w:t xml:space="preserve"> by the FDA</w:t>
      </w:r>
      <w:r w:rsidRPr="00B276C0">
        <w:rPr>
          <w:rStyle w:val="FootnoteReference"/>
          <w:iCs/>
        </w:rPr>
        <w:footnoteReference w:id="2"/>
      </w:r>
      <w:r>
        <w:rPr>
          <w:iCs/>
        </w:rPr>
        <w:t xml:space="preserve"> in 2016. </w:t>
      </w:r>
      <w:r w:rsidRPr="00677156">
        <w:t>The submission also presented post-hoc analyses from LUCENT</w:t>
      </w:r>
      <w:r w:rsidR="00D65964">
        <w:t> </w:t>
      </w:r>
      <w:r w:rsidRPr="00677156">
        <w:t>1 that showed similar results for clinical response and remission based on MMS and FMS.</w:t>
      </w:r>
    </w:p>
    <w:p w14:paraId="191380ED" w14:textId="1F9436F1" w:rsidR="004D1EA7" w:rsidRPr="00644126" w:rsidRDefault="004D1EA7" w:rsidP="00B21004">
      <w:pPr>
        <w:pStyle w:val="3-BodyText"/>
      </w:pPr>
      <w:r>
        <w:rPr>
          <w:rFonts w:eastAsiaTheme="minorEastAsia"/>
          <w:szCs w:val="22"/>
          <w:lang w:eastAsia="en-US"/>
        </w:rPr>
        <w:t xml:space="preserve">Under current PBS criteria, patients with MSUC (FMS </w:t>
      </w:r>
      <w:r>
        <w:rPr>
          <w:rFonts w:eastAsiaTheme="minorEastAsia" w:cs="Calibri"/>
          <w:szCs w:val="22"/>
          <w:lang w:eastAsia="en-US"/>
        </w:rPr>
        <w:t>≥</w:t>
      </w:r>
      <w:r>
        <w:rPr>
          <w:rFonts w:eastAsiaTheme="minorEastAsia"/>
          <w:szCs w:val="22"/>
          <w:lang w:eastAsia="en-US"/>
        </w:rPr>
        <w:t xml:space="preserve">6 or partial Mayo score &gt;6 provided both rectal bleeding and stool frequency subscores </w:t>
      </w:r>
      <w:r>
        <w:rPr>
          <w:rFonts w:eastAsiaTheme="minorEastAsia" w:cs="Calibri"/>
          <w:szCs w:val="22"/>
          <w:lang w:eastAsia="en-US"/>
        </w:rPr>
        <w:t>≥</w:t>
      </w:r>
      <w:r>
        <w:rPr>
          <w:rFonts w:eastAsiaTheme="minorEastAsia"/>
          <w:szCs w:val="22"/>
          <w:lang w:eastAsia="en-US"/>
        </w:rPr>
        <w:t xml:space="preserve">2), who have failed (or are unable to tolerate) a 5-aminosalicylate (5-ASA) oral agent and at least one of azathioprine, mercaptopurine or oral steroids, are eligible for treatment with a </w:t>
      </w:r>
      <w:r w:rsidR="00AF7030" w:rsidRPr="00AF7030">
        <w:rPr>
          <w:rFonts w:eastAsiaTheme="minorEastAsia"/>
          <w:szCs w:val="22"/>
          <w:lang w:eastAsia="en-US"/>
        </w:rPr>
        <w:t>bDMARDs/tsDMARDs</w:t>
      </w:r>
      <w:r w:rsidR="00AF7030" w:rsidRPr="00AF7030" w:rsidDel="00AF7030">
        <w:rPr>
          <w:rFonts w:eastAsiaTheme="minorEastAsia"/>
          <w:szCs w:val="22"/>
          <w:lang w:eastAsia="en-US"/>
        </w:rPr>
        <w:t xml:space="preserve"> </w:t>
      </w:r>
      <w:r>
        <w:rPr>
          <w:rFonts w:eastAsiaTheme="minorEastAsia"/>
          <w:szCs w:val="22"/>
          <w:lang w:eastAsia="en-US"/>
        </w:rPr>
        <w:t>(e.g. TOF,</w:t>
      </w:r>
      <w:r w:rsidR="008068C2">
        <w:rPr>
          <w:rFonts w:eastAsiaTheme="minorEastAsia"/>
          <w:szCs w:val="22"/>
          <w:lang w:eastAsia="en-US"/>
        </w:rPr>
        <w:t xml:space="preserve"> UPA</w:t>
      </w:r>
      <w:r w:rsidR="00E31E83">
        <w:rPr>
          <w:rFonts w:eastAsiaTheme="minorEastAsia"/>
          <w:szCs w:val="22"/>
          <w:lang w:eastAsia="en-US"/>
        </w:rPr>
        <w:t>,</w:t>
      </w:r>
      <w:r>
        <w:rPr>
          <w:rFonts w:eastAsiaTheme="minorEastAsia"/>
          <w:szCs w:val="22"/>
          <w:lang w:eastAsia="en-US"/>
        </w:rPr>
        <w:t xml:space="preserve"> IFX, VDZ, GOL,</w:t>
      </w:r>
      <w:r w:rsidR="008068C2">
        <w:rPr>
          <w:rFonts w:eastAsiaTheme="minorEastAsia"/>
          <w:szCs w:val="22"/>
          <w:lang w:eastAsia="en-US"/>
        </w:rPr>
        <w:t xml:space="preserve"> UST, OZA</w:t>
      </w:r>
      <w:r>
        <w:rPr>
          <w:rFonts w:eastAsiaTheme="minorEastAsia"/>
          <w:szCs w:val="22"/>
          <w:lang w:eastAsia="en-US"/>
        </w:rPr>
        <w:t xml:space="preserve"> and ADA). The addition </w:t>
      </w:r>
      <w:r>
        <w:rPr>
          <w:rFonts w:eastAsiaTheme="minorEastAsia"/>
          <w:szCs w:val="22"/>
          <w:lang w:eastAsia="en-US"/>
        </w:rPr>
        <w:lastRenderedPageBreak/>
        <w:t xml:space="preserve">of MIRI </w:t>
      </w:r>
      <w:r w:rsidRPr="002E457C">
        <w:rPr>
          <w:rFonts w:eastAsiaTheme="minorEastAsia"/>
          <w:szCs w:val="22"/>
          <w:lang w:eastAsia="en-US"/>
        </w:rPr>
        <w:t xml:space="preserve">to the clinical management algorithm will not alter current </w:t>
      </w:r>
      <w:r w:rsidR="00A13761" w:rsidRPr="002E457C">
        <w:rPr>
          <w:rFonts w:eastAsiaTheme="minorEastAsia"/>
          <w:szCs w:val="22"/>
          <w:lang w:eastAsia="en-US"/>
        </w:rPr>
        <w:t>practice but</w:t>
      </w:r>
      <w:r w:rsidRPr="002E457C">
        <w:rPr>
          <w:rFonts w:eastAsiaTheme="minorEastAsia"/>
          <w:szCs w:val="22"/>
          <w:lang w:eastAsia="en-US"/>
        </w:rPr>
        <w:t xml:space="preserve"> will allow for an additional</w:t>
      </w:r>
      <w:r>
        <w:rPr>
          <w:rFonts w:eastAsiaTheme="minorEastAsia"/>
          <w:szCs w:val="22"/>
          <w:lang w:eastAsia="en-US"/>
        </w:rPr>
        <w:t xml:space="preserve"> treatment</w:t>
      </w:r>
      <w:r w:rsidRPr="002E457C">
        <w:rPr>
          <w:rFonts w:eastAsiaTheme="minorEastAsia"/>
          <w:szCs w:val="22"/>
          <w:lang w:eastAsia="en-US"/>
        </w:rPr>
        <w:t xml:space="preserve"> option</w:t>
      </w:r>
      <w:r>
        <w:rPr>
          <w:rFonts w:eastAsiaTheme="minorEastAsia"/>
          <w:szCs w:val="22"/>
          <w:lang w:eastAsia="en-US"/>
        </w:rPr>
        <w:t>.</w:t>
      </w:r>
    </w:p>
    <w:p w14:paraId="663484BB" w14:textId="116529E2" w:rsidR="00644126" w:rsidRPr="00644126" w:rsidRDefault="00644126" w:rsidP="00644126">
      <w:pPr>
        <w:pStyle w:val="3-BodyText"/>
        <w:numPr>
          <w:ilvl w:val="0"/>
          <w:numId w:val="0"/>
        </w:numPr>
        <w:ind w:left="720"/>
        <w:rPr>
          <w:i/>
          <w:iCs/>
        </w:rPr>
      </w:pPr>
      <w:r w:rsidRPr="00644126">
        <w:rPr>
          <w:i/>
          <w:iCs/>
        </w:rPr>
        <w:t>For more detail on PBAC’s view, see section 7 PBAC outcome.</w:t>
      </w:r>
    </w:p>
    <w:p w14:paraId="1C45BC4C" w14:textId="77777777" w:rsidR="004D1EA7" w:rsidRPr="00422F1D" w:rsidRDefault="004D1EA7" w:rsidP="004D1EA7">
      <w:pPr>
        <w:pStyle w:val="2-SectionHeading"/>
        <w:numPr>
          <w:ilvl w:val="0"/>
          <w:numId w:val="1"/>
        </w:numPr>
      </w:pPr>
      <w:bookmarkStart w:id="17" w:name="_Toc135142372"/>
      <w:r w:rsidRPr="00407F2D">
        <w:t>Comparator</w:t>
      </w:r>
      <w:bookmarkEnd w:id="17"/>
    </w:p>
    <w:p w14:paraId="3A556BED" w14:textId="06C63657" w:rsidR="004D1EA7" w:rsidRDefault="004D1EA7" w:rsidP="004D1EA7">
      <w:pPr>
        <w:pStyle w:val="3-BodyText"/>
        <w:rPr>
          <w:i/>
          <w:snapToGrid/>
          <w:lang w:val="en-US"/>
        </w:rPr>
      </w:pPr>
      <w:r w:rsidRPr="00422F1D">
        <w:t>T</w:t>
      </w:r>
      <w:r w:rsidRPr="00765FC3">
        <w:rPr>
          <w:snapToGrid/>
          <w:lang w:val="en-US"/>
        </w:rPr>
        <w:t xml:space="preserve">he submission nominated VDZ as the main comparator, given VDZ has the largest market share (41%) for MSUC and has the same route of administration (IV induction and SC maintenance). The submission nominated ADA as a secondary comparator and identified UST as a near market comparator, given it is in the same interleukin proinflammatory cytokines class and that the PBAC recommended the listing of UST for MSUC at the July 2022 PBAC meeting. </w:t>
      </w:r>
    </w:p>
    <w:p w14:paraId="7A1A4566" w14:textId="48167B50" w:rsidR="004D1EA7" w:rsidRDefault="004D1EA7" w:rsidP="004D1EA7">
      <w:pPr>
        <w:pStyle w:val="3-BodyText"/>
        <w:rPr>
          <w:i/>
          <w:snapToGrid/>
          <w:lang w:val="en-US"/>
        </w:rPr>
      </w:pPr>
      <w:r w:rsidRPr="0074232C">
        <w:rPr>
          <w:iCs/>
          <w:snapToGrid/>
          <w:lang w:val="en-US"/>
        </w:rPr>
        <w:t>In the context of the cost-minimisation approach taken by the submission, a further consideration for</w:t>
      </w:r>
      <w:r w:rsidR="0085761D" w:rsidRPr="0074232C">
        <w:rPr>
          <w:iCs/>
          <w:snapToGrid/>
          <w:lang w:val="en-US"/>
        </w:rPr>
        <w:t xml:space="preserve"> the</w:t>
      </w:r>
      <w:r w:rsidRPr="0074232C">
        <w:rPr>
          <w:iCs/>
          <w:snapToGrid/>
          <w:lang w:val="en-US"/>
        </w:rPr>
        <w:t xml:space="preserve"> PBAC is that, under Section 101(3B) of the</w:t>
      </w:r>
      <w:r w:rsidRPr="006F2983">
        <w:rPr>
          <w:i/>
          <w:snapToGrid/>
          <w:lang w:val="en-US"/>
        </w:rPr>
        <w:t xml:space="preserve"> </w:t>
      </w:r>
      <w:r w:rsidRPr="0074232C">
        <w:rPr>
          <w:i/>
          <w:snapToGrid/>
          <w:lang w:val="en-US"/>
        </w:rPr>
        <w:t>National Health Act 1953</w:t>
      </w:r>
      <w:r w:rsidRPr="0074232C">
        <w:rPr>
          <w:iCs/>
          <w:snapToGrid/>
          <w:lang w:val="en-US"/>
        </w:rPr>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r w:rsidR="00205BA2" w:rsidRPr="0074232C">
        <w:rPr>
          <w:iCs/>
          <w:snapToGrid/>
          <w:lang w:val="en-US"/>
        </w:rPr>
        <w:t xml:space="preserve"> Alternative therapies include VDZ, ADA, OZA, UPA, </w:t>
      </w:r>
      <w:r w:rsidR="008030CD" w:rsidRPr="0074232C">
        <w:rPr>
          <w:iCs/>
          <w:snapToGrid/>
          <w:lang w:val="en-US"/>
        </w:rPr>
        <w:t xml:space="preserve">UST, </w:t>
      </w:r>
      <w:r w:rsidR="00205BA2" w:rsidRPr="0074232C">
        <w:rPr>
          <w:iCs/>
          <w:snapToGrid/>
          <w:lang w:val="en-US"/>
        </w:rPr>
        <w:t xml:space="preserve">IFX, GOL and TOF. </w:t>
      </w:r>
    </w:p>
    <w:p w14:paraId="5CE5663E" w14:textId="7899C658" w:rsidR="004D1EA7" w:rsidRDefault="004D1EA7" w:rsidP="004D1EA7">
      <w:pPr>
        <w:pStyle w:val="3-BodyText"/>
        <w:rPr>
          <w:iCs/>
          <w:snapToGrid/>
          <w:lang w:val="en-US"/>
        </w:rPr>
      </w:pPr>
      <w:r w:rsidRPr="00B56FA6">
        <w:rPr>
          <w:iCs/>
          <w:snapToGrid/>
          <w:lang w:val="en-US"/>
        </w:rPr>
        <w:t xml:space="preserve">The submission claimed that MIRI </w:t>
      </w:r>
      <w:r w:rsidR="004C04BA" w:rsidRPr="00B56FA6">
        <w:rPr>
          <w:iCs/>
          <w:snapToGrid/>
          <w:lang w:val="en-US"/>
        </w:rPr>
        <w:t xml:space="preserve">is of </w:t>
      </w:r>
      <w:r w:rsidRPr="00B56FA6">
        <w:rPr>
          <w:iCs/>
          <w:snapToGrid/>
          <w:lang w:val="en-US"/>
        </w:rPr>
        <w:t>non-inferior</w:t>
      </w:r>
      <w:r w:rsidR="004C04BA" w:rsidRPr="00B56FA6">
        <w:rPr>
          <w:iCs/>
          <w:snapToGrid/>
          <w:lang w:val="en-US"/>
        </w:rPr>
        <w:t xml:space="preserve"> comparative</w:t>
      </w:r>
      <w:r w:rsidRPr="00B56FA6">
        <w:rPr>
          <w:iCs/>
          <w:snapToGrid/>
          <w:lang w:val="en-US"/>
        </w:rPr>
        <w:t xml:space="preserve"> effectiveness versus VDZ and</w:t>
      </w:r>
      <w:r w:rsidR="004C04BA" w:rsidRPr="00B56FA6">
        <w:rPr>
          <w:iCs/>
          <w:snapToGrid/>
          <w:lang w:val="en-US"/>
        </w:rPr>
        <w:t xml:space="preserve"> of</w:t>
      </w:r>
      <w:r w:rsidRPr="00B56FA6">
        <w:rPr>
          <w:iCs/>
          <w:snapToGrid/>
          <w:lang w:val="en-US"/>
        </w:rPr>
        <w:t xml:space="preserve"> superior effectiveness versus ADA; however,</w:t>
      </w:r>
      <w:r w:rsidR="0046717A">
        <w:rPr>
          <w:iCs/>
          <w:snapToGrid/>
          <w:lang w:val="en-US"/>
        </w:rPr>
        <w:t xml:space="preserve"> </w:t>
      </w:r>
      <w:r w:rsidR="0046717A" w:rsidRPr="00FD140C">
        <w:rPr>
          <w:iCs/>
          <w:snapToGrid/>
          <w:lang w:val="en-US"/>
        </w:rPr>
        <w:t>the evaluation and</w:t>
      </w:r>
      <w:r w:rsidR="00F668B3">
        <w:rPr>
          <w:iCs/>
          <w:snapToGrid/>
          <w:lang w:val="en-US"/>
        </w:rPr>
        <w:t xml:space="preserve"> Economics Sub Committee</w:t>
      </w:r>
      <w:r w:rsidR="0046717A" w:rsidRPr="00FD140C">
        <w:rPr>
          <w:iCs/>
          <w:snapToGrid/>
          <w:lang w:val="en-US"/>
        </w:rPr>
        <w:t xml:space="preserve"> </w:t>
      </w:r>
      <w:r w:rsidR="00F668B3">
        <w:rPr>
          <w:iCs/>
          <w:snapToGrid/>
          <w:lang w:val="en-US"/>
        </w:rPr>
        <w:t>(</w:t>
      </w:r>
      <w:r w:rsidR="0046717A" w:rsidRPr="00FD140C">
        <w:rPr>
          <w:iCs/>
          <w:snapToGrid/>
          <w:lang w:val="en-US"/>
        </w:rPr>
        <w:t>ESC</w:t>
      </w:r>
      <w:r w:rsidR="00F668B3">
        <w:rPr>
          <w:iCs/>
          <w:snapToGrid/>
          <w:lang w:val="en-US"/>
        </w:rPr>
        <w:t>)</w:t>
      </w:r>
      <w:r w:rsidR="0046717A" w:rsidRPr="00FD140C">
        <w:rPr>
          <w:iCs/>
          <w:snapToGrid/>
          <w:lang w:val="en-US"/>
        </w:rPr>
        <w:t xml:space="preserve"> considered</w:t>
      </w:r>
      <w:r w:rsidRPr="00FD140C">
        <w:rPr>
          <w:iCs/>
          <w:snapToGrid/>
          <w:lang w:val="en-US"/>
        </w:rPr>
        <w:t xml:space="preserve"> a claim of non-inferior effectiveness versus ADA may be more reasonable (see</w:t>
      </w:r>
      <w:r w:rsidR="00772763" w:rsidRPr="00FD140C">
        <w:rPr>
          <w:iCs/>
          <w:snapToGrid/>
          <w:lang w:val="en-US"/>
        </w:rPr>
        <w:t xml:space="preserve"> Comparative </w:t>
      </w:r>
      <w:proofErr w:type="gramStart"/>
      <w:r w:rsidR="00772763" w:rsidRPr="00FD140C">
        <w:rPr>
          <w:iCs/>
          <w:snapToGrid/>
          <w:lang w:val="en-US"/>
        </w:rPr>
        <w:t>effectiveness</w:t>
      </w:r>
      <w:proofErr w:type="gramEnd"/>
      <w:r w:rsidR="00772763" w:rsidRPr="00FD140C">
        <w:rPr>
          <w:iCs/>
          <w:snapToGrid/>
          <w:lang w:val="en-US"/>
        </w:rPr>
        <w:t xml:space="preserve"> and</w:t>
      </w:r>
      <w:r w:rsidRPr="00FD140C">
        <w:rPr>
          <w:iCs/>
          <w:snapToGrid/>
          <w:lang w:val="en-US"/>
        </w:rPr>
        <w:t xml:space="preserve"> Clinical claim</w:t>
      </w:r>
      <w:r w:rsidR="00772763" w:rsidRPr="00FD140C">
        <w:rPr>
          <w:iCs/>
          <w:snapToGrid/>
          <w:lang w:val="en-US"/>
        </w:rPr>
        <w:t xml:space="preserve"> sections</w:t>
      </w:r>
      <w:r w:rsidRPr="00FD140C">
        <w:rPr>
          <w:iCs/>
          <w:snapToGrid/>
          <w:lang w:val="en-US"/>
        </w:rPr>
        <w:t>).</w:t>
      </w:r>
      <w:r w:rsidRPr="00B56FA6">
        <w:rPr>
          <w:iCs/>
          <w:snapToGrid/>
          <w:lang w:val="en-US"/>
        </w:rPr>
        <w:t xml:space="preserve"> </w:t>
      </w:r>
    </w:p>
    <w:p w14:paraId="34B34700" w14:textId="2D685752" w:rsidR="00DA0B1C" w:rsidRDefault="00DA0B1C" w:rsidP="00DA0B1C">
      <w:pPr>
        <w:pStyle w:val="3-BodyText"/>
        <w:rPr>
          <w:iCs/>
          <w:snapToGrid/>
          <w:lang w:val="en-US"/>
        </w:rPr>
      </w:pPr>
      <w:r w:rsidRPr="00FD140C">
        <w:rPr>
          <w:iCs/>
          <w:snapToGrid/>
          <w:lang w:val="en-US"/>
        </w:rPr>
        <w:t>The ESC noted that there are currently eight different bDMARD/tsDMARD therapies currently listed on the PBS for the treatment of MSUC</w:t>
      </w:r>
      <w:r w:rsidR="001F3378">
        <w:rPr>
          <w:iCs/>
          <w:snapToGrid/>
          <w:lang w:val="en-US"/>
        </w:rPr>
        <w:t xml:space="preserve"> and considered </w:t>
      </w:r>
      <w:r w:rsidRPr="00FD140C">
        <w:rPr>
          <w:iCs/>
          <w:snapToGrid/>
          <w:lang w:val="en-US"/>
        </w:rPr>
        <w:t>there is a low clinical need for the addition of a new therapy on the PBS.</w:t>
      </w:r>
      <w:r w:rsidR="00AC37DC">
        <w:rPr>
          <w:iCs/>
          <w:snapToGrid/>
          <w:lang w:val="en-US"/>
        </w:rPr>
        <w:t xml:space="preserve"> The pre-PBAC response acknowledged</w:t>
      </w:r>
      <w:r w:rsidR="00E31E83">
        <w:rPr>
          <w:iCs/>
          <w:snapToGrid/>
          <w:lang w:val="en-US"/>
        </w:rPr>
        <w:t xml:space="preserve"> that</w:t>
      </w:r>
      <w:r w:rsidR="00AC37DC">
        <w:rPr>
          <w:iCs/>
          <w:snapToGrid/>
          <w:lang w:val="en-US"/>
        </w:rPr>
        <w:t xml:space="preserve"> other bDMARD/tsDMARD therapies </w:t>
      </w:r>
      <w:r w:rsidR="00E31E83">
        <w:rPr>
          <w:iCs/>
          <w:snapToGrid/>
          <w:lang w:val="en-US"/>
        </w:rPr>
        <w:t xml:space="preserve">are </w:t>
      </w:r>
      <w:r w:rsidR="00AC37DC">
        <w:rPr>
          <w:iCs/>
          <w:snapToGrid/>
          <w:lang w:val="en-US"/>
        </w:rPr>
        <w:t xml:space="preserve">available on the </w:t>
      </w:r>
      <w:r w:rsidR="00A13761">
        <w:rPr>
          <w:iCs/>
          <w:snapToGrid/>
          <w:lang w:val="en-US"/>
        </w:rPr>
        <w:t>PBS but</w:t>
      </w:r>
      <w:r w:rsidR="00AC37DC">
        <w:rPr>
          <w:iCs/>
          <w:snapToGrid/>
          <w:lang w:val="en-US"/>
        </w:rPr>
        <w:t xml:space="preserve"> </w:t>
      </w:r>
      <w:r w:rsidR="001F3378">
        <w:rPr>
          <w:iCs/>
          <w:snapToGrid/>
          <w:lang w:val="en-US"/>
        </w:rPr>
        <w:t>argued</w:t>
      </w:r>
      <w:r w:rsidR="00AC37DC">
        <w:rPr>
          <w:iCs/>
          <w:snapToGrid/>
          <w:lang w:val="en-US"/>
        </w:rPr>
        <w:t xml:space="preserve"> there remains a significant unmet need as a number of patients with </w:t>
      </w:r>
      <w:r w:rsidR="00E31E83">
        <w:rPr>
          <w:iCs/>
          <w:snapToGrid/>
          <w:lang w:val="en-US"/>
        </w:rPr>
        <w:t>UC</w:t>
      </w:r>
      <w:r w:rsidR="00AC37DC">
        <w:rPr>
          <w:iCs/>
          <w:snapToGrid/>
          <w:lang w:val="en-US"/>
        </w:rPr>
        <w:t xml:space="preserve"> fail to have an adequate response to currently available biological therapies and do not achieve sustained clinical benefit. The pre-PBAC response claimed that the availability of drugs with distinct mechanisms of action is therefore critical, </w:t>
      </w:r>
      <w:r w:rsidR="0078343F">
        <w:rPr>
          <w:iCs/>
          <w:snapToGrid/>
          <w:lang w:val="en-US"/>
        </w:rPr>
        <w:t xml:space="preserve">and MIRI is the first treatment for </w:t>
      </w:r>
      <w:r w:rsidR="00E31E83">
        <w:rPr>
          <w:iCs/>
          <w:snapToGrid/>
          <w:lang w:val="en-US"/>
        </w:rPr>
        <w:t>UC</w:t>
      </w:r>
      <w:r w:rsidR="0078343F">
        <w:rPr>
          <w:iCs/>
          <w:snapToGrid/>
          <w:lang w:val="en-US"/>
        </w:rPr>
        <w:t xml:space="preserve"> that works to reduce mucosal inflammation by selectively targeting the p19 subunit of IL-23, a key mediator of immune dysfunction in patients with </w:t>
      </w:r>
      <w:r w:rsidR="00E31E83">
        <w:rPr>
          <w:iCs/>
          <w:snapToGrid/>
          <w:lang w:val="en-US"/>
        </w:rPr>
        <w:t>UC</w:t>
      </w:r>
      <w:r w:rsidR="0078343F">
        <w:rPr>
          <w:iCs/>
          <w:snapToGrid/>
          <w:lang w:val="en-US"/>
        </w:rPr>
        <w:t>. The pre-PBAC response also stated that while the overall safety profile is comparable there are differences in safety aspects</w:t>
      </w:r>
      <w:r w:rsidR="00E31E83">
        <w:rPr>
          <w:iCs/>
          <w:snapToGrid/>
          <w:lang w:val="en-US"/>
        </w:rPr>
        <w:t>,</w:t>
      </w:r>
      <w:r w:rsidR="0078343F">
        <w:rPr>
          <w:iCs/>
          <w:snapToGrid/>
          <w:lang w:val="en-US"/>
        </w:rPr>
        <w:t xml:space="preserve"> meaning MIRI may be preferred over other treatments.</w:t>
      </w:r>
    </w:p>
    <w:p w14:paraId="56E093EC" w14:textId="3AE7D099" w:rsidR="00644126" w:rsidRPr="00644126" w:rsidRDefault="00644126" w:rsidP="00644126">
      <w:pPr>
        <w:pStyle w:val="3-BodyText"/>
        <w:numPr>
          <w:ilvl w:val="0"/>
          <w:numId w:val="0"/>
        </w:numPr>
        <w:ind w:left="720"/>
        <w:rPr>
          <w:i/>
          <w:snapToGrid/>
          <w:lang w:val="en-US"/>
        </w:rPr>
      </w:pPr>
      <w:r w:rsidRPr="00644126">
        <w:rPr>
          <w:i/>
          <w:snapToGrid/>
          <w:lang w:val="en-US"/>
        </w:rPr>
        <w:t>For more detail on PBAC’s view, see section 7 PBAC outcome.</w:t>
      </w:r>
    </w:p>
    <w:p w14:paraId="67905307" w14:textId="77777777" w:rsidR="004D1EA7" w:rsidRPr="00407F2D" w:rsidRDefault="004D1EA7" w:rsidP="004D1EA7">
      <w:pPr>
        <w:pStyle w:val="2-SectionHeading"/>
        <w:numPr>
          <w:ilvl w:val="0"/>
          <w:numId w:val="1"/>
        </w:numPr>
      </w:pPr>
      <w:bookmarkStart w:id="18" w:name="_Toc135142373"/>
      <w:bookmarkStart w:id="19" w:name="_Toc22897640"/>
      <w:r>
        <w:lastRenderedPageBreak/>
        <w:t>C</w:t>
      </w:r>
      <w:r w:rsidRPr="00407F2D">
        <w:t>onsideration of the evidence</w:t>
      </w:r>
      <w:bookmarkEnd w:id="18"/>
    </w:p>
    <w:p w14:paraId="5128E467" w14:textId="77777777" w:rsidR="00644126" w:rsidRPr="006E1229" w:rsidRDefault="00644126" w:rsidP="00644126">
      <w:pPr>
        <w:pStyle w:val="4-SubsectionHeading"/>
      </w:pPr>
      <w:bookmarkStart w:id="20" w:name="_Hlk76375935"/>
      <w:bookmarkStart w:id="21" w:name="_Toc135142374"/>
      <w:r w:rsidRPr="006E1229">
        <w:t>Sponsor hearing</w:t>
      </w:r>
    </w:p>
    <w:p w14:paraId="2DE1504B" w14:textId="3CC13534" w:rsidR="00644126" w:rsidRPr="00F91542" w:rsidRDefault="00644126" w:rsidP="00644126">
      <w:pPr>
        <w:widowControl w:val="0"/>
        <w:numPr>
          <w:ilvl w:val="1"/>
          <w:numId w:val="1"/>
        </w:numPr>
        <w:spacing w:after="120"/>
        <w:rPr>
          <w:rFonts w:cs="Calibri"/>
          <w:bCs/>
          <w:snapToGrid w:val="0"/>
        </w:rPr>
      </w:pPr>
      <w:r w:rsidRPr="00F91542">
        <w:rPr>
          <w:rFonts w:cs="Calibri"/>
          <w:bCs/>
          <w:snapToGrid w:val="0"/>
        </w:rPr>
        <w:t>There was no hearing for this item.</w:t>
      </w:r>
    </w:p>
    <w:p w14:paraId="14912466" w14:textId="77777777" w:rsidR="00644126" w:rsidRPr="006E1229" w:rsidRDefault="00644126" w:rsidP="00644126">
      <w:pPr>
        <w:pStyle w:val="4-SubsectionHeading"/>
      </w:pPr>
      <w:r w:rsidRPr="006E1229">
        <w:t>Consumer comments</w:t>
      </w:r>
    </w:p>
    <w:p w14:paraId="35B85305" w14:textId="6F2256AC" w:rsidR="002A766C" w:rsidRPr="002A766C" w:rsidRDefault="002A766C" w:rsidP="00644126">
      <w:pPr>
        <w:widowControl w:val="0"/>
        <w:numPr>
          <w:ilvl w:val="1"/>
          <w:numId w:val="1"/>
        </w:numPr>
        <w:spacing w:after="120"/>
        <w:rPr>
          <w:rFonts w:asciiTheme="minorHAnsi" w:hAnsiTheme="minorHAnsi"/>
          <w:bCs/>
          <w:snapToGrid w:val="0"/>
        </w:rPr>
      </w:pPr>
      <w:bookmarkStart w:id="22" w:name="_Hlk76382618"/>
      <w:r>
        <w:rPr>
          <w:rFonts w:asciiTheme="minorHAnsi" w:hAnsiTheme="minorHAnsi"/>
          <w:bCs/>
          <w:snapToGrid w:val="0"/>
        </w:rPr>
        <w:t xml:space="preserve">The PBAC noted and welcomed input from health care professionals (1) via the Consumer Comments facility on the PBS website. </w:t>
      </w:r>
      <w:r w:rsidR="00D64A7C">
        <w:rPr>
          <w:rFonts w:asciiTheme="minorHAnsi" w:hAnsiTheme="minorHAnsi"/>
          <w:bCs/>
          <w:snapToGrid w:val="0"/>
        </w:rPr>
        <w:t xml:space="preserve">The comment noted </w:t>
      </w:r>
      <w:r w:rsidR="00E31E83">
        <w:rPr>
          <w:rFonts w:asciiTheme="minorHAnsi" w:hAnsiTheme="minorHAnsi"/>
          <w:bCs/>
          <w:snapToGrid w:val="0"/>
        </w:rPr>
        <w:t xml:space="preserve">that </w:t>
      </w:r>
      <w:r w:rsidR="00D64A7C">
        <w:rPr>
          <w:rFonts w:asciiTheme="minorHAnsi" w:hAnsiTheme="minorHAnsi"/>
          <w:bCs/>
          <w:snapToGrid w:val="0"/>
        </w:rPr>
        <w:t xml:space="preserve">a range of therapies </w:t>
      </w:r>
      <w:r w:rsidR="00E31E83">
        <w:rPr>
          <w:rFonts w:asciiTheme="minorHAnsi" w:hAnsiTheme="minorHAnsi"/>
          <w:bCs/>
          <w:snapToGrid w:val="0"/>
        </w:rPr>
        <w:t xml:space="preserve">were </w:t>
      </w:r>
      <w:r w:rsidR="00D64A7C">
        <w:rPr>
          <w:rFonts w:asciiTheme="minorHAnsi" w:hAnsiTheme="minorHAnsi"/>
          <w:bCs/>
          <w:snapToGrid w:val="0"/>
        </w:rPr>
        <w:t>available for MSUC, however stated that despite this</w:t>
      </w:r>
      <w:r w:rsidR="00E31E83">
        <w:rPr>
          <w:rFonts w:asciiTheme="minorHAnsi" w:hAnsiTheme="minorHAnsi"/>
          <w:bCs/>
          <w:snapToGrid w:val="0"/>
        </w:rPr>
        <w:t>,</w:t>
      </w:r>
      <w:r w:rsidR="00D64A7C">
        <w:rPr>
          <w:rFonts w:asciiTheme="minorHAnsi" w:hAnsiTheme="minorHAnsi"/>
          <w:bCs/>
          <w:snapToGrid w:val="0"/>
        </w:rPr>
        <w:t xml:space="preserve"> a significant proportion of patients do not respond to therapies available and require surgery. The comment stated there is a strong need for more classes of effective medical therap</w:t>
      </w:r>
      <w:r w:rsidR="00E31E83">
        <w:rPr>
          <w:rFonts w:asciiTheme="minorHAnsi" w:hAnsiTheme="minorHAnsi"/>
          <w:bCs/>
          <w:snapToGrid w:val="0"/>
        </w:rPr>
        <w:t>ies</w:t>
      </w:r>
      <w:r w:rsidR="00D64A7C">
        <w:rPr>
          <w:rFonts w:asciiTheme="minorHAnsi" w:hAnsiTheme="minorHAnsi"/>
          <w:bCs/>
          <w:snapToGrid w:val="0"/>
        </w:rPr>
        <w:t xml:space="preserve"> to be available through the PBS, and stated benefits of MIRI included its </w:t>
      </w:r>
      <w:r w:rsidR="0048747F">
        <w:rPr>
          <w:rFonts w:asciiTheme="minorHAnsi" w:hAnsiTheme="minorHAnsi"/>
          <w:bCs/>
          <w:snapToGrid w:val="0"/>
        </w:rPr>
        <w:t xml:space="preserve">high </w:t>
      </w:r>
      <w:r w:rsidR="00D64A7C">
        <w:rPr>
          <w:rFonts w:asciiTheme="minorHAnsi" w:hAnsiTheme="minorHAnsi"/>
          <w:bCs/>
          <w:snapToGrid w:val="0"/>
        </w:rPr>
        <w:t xml:space="preserve">safety profile and the convenience of </w:t>
      </w:r>
      <w:r w:rsidR="0048747F">
        <w:rPr>
          <w:rFonts w:asciiTheme="minorHAnsi" w:hAnsiTheme="minorHAnsi"/>
          <w:bCs/>
          <w:snapToGrid w:val="0"/>
        </w:rPr>
        <w:t>SC</w:t>
      </w:r>
      <w:r w:rsidR="00D64A7C">
        <w:rPr>
          <w:rFonts w:asciiTheme="minorHAnsi" w:hAnsiTheme="minorHAnsi"/>
          <w:bCs/>
          <w:snapToGrid w:val="0"/>
        </w:rPr>
        <w:t xml:space="preserve"> maintenance dosing.</w:t>
      </w:r>
    </w:p>
    <w:bookmarkEnd w:id="20"/>
    <w:bookmarkEnd w:id="22"/>
    <w:p w14:paraId="26CE3313" w14:textId="6D4FEEF7" w:rsidR="004D1EA7" w:rsidRPr="00514A01" w:rsidRDefault="004D1EA7" w:rsidP="004D1EA7">
      <w:pPr>
        <w:pStyle w:val="4-SubsectionHeading"/>
      </w:pPr>
      <w:r w:rsidRPr="00C9624D">
        <w:t>Clinical trials</w:t>
      </w:r>
      <w:bookmarkEnd w:id="19"/>
      <w:bookmarkEnd w:id="21"/>
    </w:p>
    <w:p w14:paraId="4F8A1939" w14:textId="531E898A" w:rsidR="004D1EA7" w:rsidRPr="000A29F1" w:rsidRDefault="004D1EA7" w:rsidP="00501AF5">
      <w:pPr>
        <w:pStyle w:val="3-BodyText"/>
      </w:pPr>
      <w:r w:rsidRPr="00AA1346">
        <w:rPr>
          <w:rFonts w:eastAsiaTheme="minorEastAsia"/>
          <w:szCs w:val="22"/>
          <w:lang w:eastAsia="en-US"/>
        </w:rPr>
        <w:t>There were no head-to-head trials of MIRI v</w:t>
      </w:r>
      <w:r w:rsidR="0085761D">
        <w:rPr>
          <w:rFonts w:eastAsiaTheme="minorEastAsia"/>
          <w:szCs w:val="22"/>
          <w:lang w:eastAsia="en-US"/>
        </w:rPr>
        <w:t>er</w:t>
      </w:r>
      <w:r w:rsidRPr="00AA1346">
        <w:rPr>
          <w:rFonts w:eastAsiaTheme="minorEastAsia"/>
          <w:szCs w:val="22"/>
          <w:lang w:eastAsia="en-US"/>
        </w:rPr>
        <w:t>s</w:t>
      </w:r>
      <w:r w:rsidR="0085761D">
        <w:rPr>
          <w:rFonts w:eastAsiaTheme="minorEastAsia"/>
          <w:szCs w:val="22"/>
          <w:lang w:eastAsia="en-US"/>
        </w:rPr>
        <w:t>us</w:t>
      </w:r>
      <w:r w:rsidRPr="00AA1346">
        <w:rPr>
          <w:rFonts w:eastAsiaTheme="minorEastAsia"/>
          <w:szCs w:val="22"/>
          <w:lang w:eastAsia="en-US"/>
        </w:rPr>
        <w:t xml:space="preserve"> VDZ</w:t>
      </w:r>
      <w:r>
        <w:rPr>
          <w:rFonts w:eastAsiaTheme="minorEastAsia"/>
          <w:szCs w:val="22"/>
          <w:lang w:eastAsia="en-US"/>
        </w:rPr>
        <w:t xml:space="preserve">, </w:t>
      </w:r>
      <w:r w:rsidRPr="00AA1346">
        <w:rPr>
          <w:rFonts w:eastAsiaTheme="minorEastAsia"/>
          <w:szCs w:val="22"/>
          <w:lang w:eastAsia="en-US"/>
        </w:rPr>
        <w:t xml:space="preserve">ADA or UST for the treatment of MSUC. </w:t>
      </w:r>
      <w:r w:rsidRPr="000A29F1">
        <w:t xml:space="preserve">In the absence of </w:t>
      </w:r>
      <w:r>
        <w:t>direct head-to-head evidence</w:t>
      </w:r>
      <w:r w:rsidRPr="000A29F1">
        <w:t xml:space="preserve">, the submission conducted a </w:t>
      </w:r>
      <w:r w:rsidR="00AC478E">
        <w:t>review</w:t>
      </w:r>
      <w:r w:rsidRPr="000A29F1">
        <w:t xml:space="preserve"> of all available PBAC PSDs </w:t>
      </w:r>
      <w:bookmarkStart w:id="23" w:name="_Hlk134268446"/>
      <w:r w:rsidRPr="000A29F1">
        <w:t>for the treatment of MSUC</w:t>
      </w:r>
      <w:r w:rsidR="00AC478E">
        <w:t xml:space="preserve"> as well as a </w:t>
      </w:r>
      <w:r w:rsidR="00AC478E" w:rsidRPr="003A7229">
        <w:t>search</w:t>
      </w:r>
      <w:r w:rsidR="00AC478E">
        <w:t xml:space="preserve"> of the published literature (January 2020 to December 2022)</w:t>
      </w:r>
      <w:r w:rsidR="00AC478E" w:rsidRPr="003A7229">
        <w:t xml:space="preserve"> </w:t>
      </w:r>
      <w:r w:rsidR="00AC478E">
        <w:t xml:space="preserve">to identify more recent </w:t>
      </w:r>
      <w:r w:rsidR="00E31E83">
        <w:t>randomised controlled trials (</w:t>
      </w:r>
      <w:r w:rsidR="00AC478E">
        <w:t>RCTs</w:t>
      </w:r>
      <w:r w:rsidR="00E31E83">
        <w:t>)</w:t>
      </w:r>
      <w:r>
        <w:t xml:space="preserve"> </w:t>
      </w:r>
      <w:bookmarkEnd w:id="23"/>
      <w:r>
        <w:t>to</w:t>
      </w:r>
      <w:r w:rsidRPr="000A29F1">
        <w:t xml:space="preserve"> identif</w:t>
      </w:r>
      <w:r>
        <w:t xml:space="preserve">y </w:t>
      </w:r>
      <w:r w:rsidRPr="000A29F1">
        <w:t xml:space="preserve">all </w:t>
      </w:r>
      <w:r w:rsidRPr="00F229A8">
        <w:t>placebo (PBO)</w:t>
      </w:r>
      <w:r w:rsidRPr="000A29F1">
        <w:t xml:space="preserve"> </w:t>
      </w:r>
      <w:r w:rsidR="00A13761" w:rsidRPr="000A29F1">
        <w:t>controlled trials</w:t>
      </w:r>
      <w:r w:rsidR="00695E63">
        <w:t xml:space="preserve"> </w:t>
      </w:r>
      <w:r w:rsidRPr="000A29F1">
        <w:t>that would permit a</w:t>
      </w:r>
      <w:r>
        <w:t>n indirect</w:t>
      </w:r>
      <w:r w:rsidRPr="000A29F1">
        <w:t xml:space="preserve"> comparison between MIRI and the nominated comparators (VDZ, ADA and UST)</w:t>
      </w:r>
      <w:r w:rsidR="00501AF5">
        <w:t>.</w:t>
      </w:r>
      <w:r>
        <w:t xml:space="preserve"> </w:t>
      </w:r>
      <w:r w:rsidRPr="00B56FA6">
        <w:t xml:space="preserve">Although this </w:t>
      </w:r>
      <w:r w:rsidR="00B86D59" w:rsidRPr="00B56FA6">
        <w:t>wa</w:t>
      </w:r>
      <w:r w:rsidRPr="00B56FA6">
        <w:t>s a departure from standard practice for literature searches for PBAC submissions, an independent search conducted during the evaluation located no other relevant trials.</w:t>
      </w:r>
    </w:p>
    <w:p w14:paraId="7FF677D2" w14:textId="77777777" w:rsidR="004D1EA7" w:rsidRPr="00916999" w:rsidRDefault="004D1EA7" w:rsidP="004D1EA7">
      <w:pPr>
        <w:pStyle w:val="3-BodyText"/>
      </w:pPr>
      <w:r w:rsidRPr="00AA1346">
        <w:rPr>
          <w:rFonts w:eastAsiaTheme="minorEastAsia"/>
          <w:szCs w:val="22"/>
          <w:lang w:eastAsia="en-US"/>
        </w:rPr>
        <w:t>The submission presented indirect comparisons using PBO as common reference</w:t>
      </w:r>
      <w:r>
        <w:rPr>
          <w:rFonts w:eastAsiaTheme="minorEastAsia"/>
          <w:szCs w:val="22"/>
          <w:lang w:eastAsia="en-US"/>
        </w:rPr>
        <w:t xml:space="preserve">, consisting of </w:t>
      </w:r>
      <w:r w:rsidRPr="00AA1346">
        <w:rPr>
          <w:rFonts w:eastAsiaTheme="minorEastAsia"/>
          <w:lang w:eastAsia="en-US"/>
        </w:rPr>
        <w:t>data from 11 PBO-controlled RCTs:</w:t>
      </w:r>
    </w:p>
    <w:p w14:paraId="2D5FA482" w14:textId="77777777" w:rsidR="004D1EA7" w:rsidRDefault="004D1EA7" w:rsidP="003D1D4D">
      <w:pPr>
        <w:pStyle w:val="3-BodyText"/>
        <w:numPr>
          <w:ilvl w:val="0"/>
          <w:numId w:val="8"/>
        </w:numPr>
        <w:ind w:left="1040"/>
        <w:rPr>
          <w:rFonts w:eastAsiaTheme="minorEastAsia"/>
          <w:szCs w:val="22"/>
          <w:lang w:eastAsia="en-US"/>
        </w:rPr>
      </w:pPr>
      <w:r w:rsidRPr="00AA1346">
        <w:rPr>
          <w:rFonts w:eastAsiaTheme="minorEastAsia"/>
          <w:szCs w:val="22"/>
          <w:lang w:eastAsia="en-US"/>
        </w:rPr>
        <w:t>nine RCTs for induction therapy:</w:t>
      </w:r>
    </w:p>
    <w:p w14:paraId="4936D463" w14:textId="7F6538DE" w:rsidR="004D1EA7" w:rsidRDefault="004D1EA7" w:rsidP="003D1D4D">
      <w:pPr>
        <w:pStyle w:val="3-BodyText"/>
        <w:numPr>
          <w:ilvl w:val="1"/>
          <w:numId w:val="6"/>
        </w:numPr>
        <w:rPr>
          <w:rFonts w:eastAsiaTheme="minorEastAsia"/>
          <w:szCs w:val="22"/>
          <w:lang w:eastAsia="en-US"/>
        </w:rPr>
      </w:pPr>
      <w:r w:rsidRPr="00AA1346">
        <w:rPr>
          <w:rFonts w:eastAsiaTheme="minorEastAsia"/>
          <w:szCs w:val="22"/>
          <w:lang w:eastAsia="en-US"/>
        </w:rPr>
        <w:t>MIRI vs. PBO (one RCT): LUCENT 1</w:t>
      </w:r>
    </w:p>
    <w:p w14:paraId="577EA68A" w14:textId="6943ABE9" w:rsidR="004D1EA7" w:rsidRPr="00C149BD" w:rsidRDefault="004D1EA7" w:rsidP="003D1D4D">
      <w:pPr>
        <w:pStyle w:val="3-BodyText"/>
        <w:numPr>
          <w:ilvl w:val="1"/>
          <w:numId w:val="6"/>
        </w:numPr>
        <w:rPr>
          <w:rFonts w:eastAsiaTheme="minorEastAsia"/>
          <w:szCs w:val="22"/>
          <w:lang w:eastAsia="en-US"/>
        </w:rPr>
      </w:pPr>
      <w:r w:rsidRPr="00C149BD">
        <w:rPr>
          <w:rFonts w:eastAsiaTheme="minorEastAsia"/>
          <w:szCs w:val="22"/>
          <w:lang w:eastAsia="en-US"/>
        </w:rPr>
        <w:t xml:space="preserve">VDZ vs. PBO (two RCTs): GEMINI </w:t>
      </w:r>
      <w:r>
        <w:rPr>
          <w:rFonts w:eastAsiaTheme="minorEastAsia"/>
          <w:szCs w:val="22"/>
          <w:lang w:eastAsia="en-US"/>
        </w:rPr>
        <w:t>1</w:t>
      </w:r>
      <w:r w:rsidRPr="00C149BD">
        <w:rPr>
          <w:rFonts w:eastAsiaTheme="minorEastAsia"/>
          <w:szCs w:val="22"/>
          <w:lang w:eastAsia="en-US"/>
        </w:rPr>
        <w:t xml:space="preserve"> (induction phase), Motoya </w:t>
      </w:r>
      <w:r>
        <w:rPr>
          <w:rFonts w:eastAsiaTheme="minorEastAsia"/>
          <w:szCs w:val="22"/>
          <w:lang w:eastAsia="en-US"/>
        </w:rPr>
        <w:t xml:space="preserve">et al </w:t>
      </w:r>
      <w:r w:rsidRPr="00C149BD">
        <w:rPr>
          <w:rFonts w:eastAsiaTheme="minorEastAsia"/>
          <w:szCs w:val="22"/>
          <w:lang w:eastAsia="en-US"/>
        </w:rPr>
        <w:t>2019 (induction phase)</w:t>
      </w:r>
    </w:p>
    <w:p w14:paraId="30C7EE66" w14:textId="6426EEDF" w:rsidR="004D1EA7" w:rsidRDefault="004D1EA7" w:rsidP="003D1D4D">
      <w:pPr>
        <w:pStyle w:val="3-BodyText"/>
        <w:numPr>
          <w:ilvl w:val="1"/>
          <w:numId w:val="6"/>
        </w:numPr>
        <w:rPr>
          <w:rFonts w:eastAsiaTheme="minorEastAsia"/>
          <w:szCs w:val="22"/>
          <w:lang w:eastAsia="en-US"/>
        </w:rPr>
      </w:pPr>
      <w:r w:rsidRPr="00C149BD">
        <w:rPr>
          <w:rFonts w:eastAsiaTheme="minorEastAsia"/>
          <w:szCs w:val="22"/>
          <w:lang w:eastAsia="en-US"/>
        </w:rPr>
        <w:t>ADA vs. PBO (</w:t>
      </w:r>
      <w:r>
        <w:rPr>
          <w:rFonts w:eastAsiaTheme="minorEastAsia"/>
          <w:szCs w:val="22"/>
          <w:lang w:eastAsia="en-US"/>
        </w:rPr>
        <w:t>five</w:t>
      </w:r>
      <w:r w:rsidRPr="00C149BD">
        <w:rPr>
          <w:rFonts w:eastAsiaTheme="minorEastAsia"/>
          <w:szCs w:val="22"/>
          <w:lang w:eastAsia="en-US"/>
        </w:rPr>
        <w:t xml:space="preserve"> RCTs): ULTRA I, ULTRA II (induction phase); Suzuki </w:t>
      </w:r>
      <w:r>
        <w:rPr>
          <w:rFonts w:eastAsiaTheme="minorEastAsia"/>
          <w:szCs w:val="22"/>
          <w:lang w:eastAsia="en-US"/>
        </w:rPr>
        <w:t xml:space="preserve">et al </w:t>
      </w:r>
      <w:r w:rsidRPr="00C149BD">
        <w:rPr>
          <w:rFonts w:eastAsiaTheme="minorEastAsia"/>
          <w:szCs w:val="22"/>
          <w:lang w:eastAsia="en-US"/>
        </w:rPr>
        <w:t>2014 (induction phase)</w:t>
      </w:r>
      <w:r>
        <w:rPr>
          <w:rFonts w:eastAsiaTheme="minorEastAsia"/>
          <w:szCs w:val="22"/>
          <w:lang w:eastAsia="en-US"/>
        </w:rPr>
        <w:t>; HIBISCUS I, HIBISCUS II (induction phase)</w:t>
      </w:r>
    </w:p>
    <w:p w14:paraId="011198F9" w14:textId="77777777" w:rsidR="004D1EA7" w:rsidRPr="00807168" w:rsidRDefault="004D1EA7" w:rsidP="003D1D4D">
      <w:pPr>
        <w:pStyle w:val="3-BodyText"/>
        <w:numPr>
          <w:ilvl w:val="1"/>
          <w:numId w:val="6"/>
        </w:numPr>
        <w:rPr>
          <w:rFonts w:eastAsiaTheme="minorEastAsia"/>
          <w:szCs w:val="22"/>
          <w:lang w:eastAsia="en-US"/>
        </w:rPr>
      </w:pPr>
      <w:r w:rsidRPr="00C149BD">
        <w:rPr>
          <w:rFonts w:eastAsiaTheme="minorEastAsia"/>
          <w:szCs w:val="22"/>
          <w:lang w:eastAsia="en-US"/>
        </w:rPr>
        <w:t>UST vs. PBO (one RCT): UNIFI (induction phase)</w:t>
      </w:r>
      <w:r>
        <w:rPr>
          <w:rFonts w:eastAsiaTheme="minorEastAsia"/>
          <w:szCs w:val="22"/>
          <w:lang w:eastAsia="en-US"/>
        </w:rPr>
        <w:t>.</w:t>
      </w:r>
    </w:p>
    <w:p w14:paraId="1B263ABD" w14:textId="77777777" w:rsidR="004D1EA7" w:rsidRPr="00C149BD" w:rsidRDefault="004D1EA7" w:rsidP="003D1D4D">
      <w:pPr>
        <w:pStyle w:val="3-BodyText"/>
        <w:numPr>
          <w:ilvl w:val="0"/>
          <w:numId w:val="8"/>
        </w:numPr>
        <w:ind w:left="1040"/>
        <w:rPr>
          <w:rFonts w:eastAsiaTheme="minorEastAsia"/>
          <w:szCs w:val="22"/>
          <w:lang w:eastAsia="en-US"/>
        </w:rPr>
      </w:pPr>
      <w:r w:rsidRPr="00C149BD">
        <w:rPr>
          <w:rFonts w:eastAsiaTheme="minorEastAsia"/>
          <w:szCs w:val="22"/>
          <w:lang w:eastAsia="en-US"/>
        </w:rPr>
        <w:t>s</w:t>
      </w:r>
      <w:r>
        <w:rPr>
          <w:rFonts w:eastAsiaTheme="minorEastAsia"/>
          <w:szCs w:val="22"/>
          <w:lang w:eastAsia="en-US"/>
        </w:rPr>
        <w:t>even</w:t>
      </w:r>
      <w:r w:rsidRPr="00C149BD">
        <w:rPr>
          <w:rFonts w:eastAsiaTheme="minorEastAsia"/>
          <w:szCs w:val="22"/>
          <w:lang w:eastAsia="en-US"/>
        </w:rPr>
        <w:t xml:space="preserve"> RCTs for maintenance therapy:</w:t>
      </w:r>
    </w:p>
    <w:p w14:paraId="24A81392" w14:textId="44A6CA10" w:rsidR="004D1EA7" w:rsidRDefault="004D1EA7" w:rsidP="003D1D4D">
      <w:pPr>
        <w:pStyle w:val="3-BodyText"/>
        <w:numPr>
          <w:ilvl w:val="1"/>
          <w:numId w:val="6"/>
        </w:numPr>
        <w:rPr>
          <w:rFonts w:eastAsiaTheme="minorEastAsia"/>
          <w:szCs w:val="22"/>
          <w:lang w:eastAsia="en-US"/>
        </w:rPr>
      </w:pPr>
      <w:r>
        <w:rPr>
          <w:rFonts w:eastAsiaTheme="minorEastAsia"/>
          <w:szCs w:val="22"/>
          <w:lang w:eastAsia="en-US"/>
        </w:rPr>
        <w:t>MIRI vs. PBO (one RCT): LUCENT 2</w:t>
      </w:r>
    </w:p>
    <w:p w14:paraId="5F037BC7" w14:textId="4DA2949D" w:rsidR="004D1EA7" w:rsidRPr="00C149BD" w:rsidRDefault="004D1EA7" w:rsidP="003D1D4D">
      <w:pPr>
        <w:pStyle w:val="3-BodyText"/>
        <w:numPr>
          <w:ilvl w:val="1"/>
          <w:numId w:val="6"/>
        </w:numPr>
        <w:rPr>
          <w:rFonts w:eastAsiaTheme="minorEastAsia"/>
          <w:szCs w:val="22"/>
          <w:lang w:eastAsia="en-US"/>
        </w:rPr>
      </w:pPr>
      <w:r w:rsidRPr="00C149BD">
        <w:rPr>
          <w:rFonts w:eastAsiaTheme="minorEastAsia"/>
          <w:szCs w:val="22"/>
          <w:lang w:eastAsia="en-US"/>
        </w:rPr>
        <w:t xml:space="preserve">VDZ vs. PBO (three RCTs): GEMINI </w:t>
      </w:r>
      <w:r>
        <w:rPr>
          <w:rFonts w:eastAsiaTheme="minorEastAsia"/>
          <w:szCs w:val="22"/>
          <w:lang w:eastAsia="en-US"/>
        </w:rPr>
        <w:t>1</w:t>
      </w:r>
      <w:r w:rsidRPr="00C149BD">
        <w:rPr>
          <w:rFonts w:eastAsiaTheme="minorEastAsia"/>
          <w:szCs w:val="22"/>
          <w:lang w:eastAsia="en-US"/>
        </w:rPr>
        <w:t xml:space="preserve"> (maintenance phase), Motoya</w:t>
      </w:r>
      <w:r>
        <w:rPr>
          <w:rFonts w:eastAsiaTheme="minorEastAsia"/>
          <w:szCs w:val="22"/>
          <w:lang w:eastAsia="en-US"/>
        </w:rPr>
        <w:t xml:space="preserve"> et al</w:t>
      </w:r>
      <w:r w:rsidRPr="00C149BD">
        <w:rPr>
          <w:rFonts w:eastAsiaTheme="minorEastAsia"/>
          <w:szCs w:val="22"/>
          <w:lang w:eastAsia="en-US"/>
        </w:rPr>
        <w:t xml:space="preserve"> 2019 (maintenance phase); VISIBLE 1</w:t>
      </w:r>
    </w:p>
    <w:p w14:paraId="23B0582D" w14:textId="712C2BD7" w:rsidR="004D1EA7" w:rsidRPr="00916999" w:rsidRDefault="004D1EA7" w:rsidP="003D1D4D">
      <w:pPr>
        <w:pStyle w:val="3-BodyText"/>
        <w:numPr>
          <w:ilvl w:val="1"/>
          <w:numId w:val="6"/>
        </w:numPr>
        <w:rPr>
          <w:rFonts w:eastAsiaTheme="minorEastAsia"/>
          <w:szCs w:val="22"/>
          <w:lang w:eastAsia="en-US"/>
        </w:rPr>
      </w:pPr>
      <w:r w:rsidRPr="00916999">
        <w:rPr>
          <w:rFonts w:eastAsiaTheme="minorEastAsia"/>
          <w:szCs w:val="22"/>
          <w:lang w:eastAsia="en-US"/>
        </w:rPr>
        <w:t xml:space="preserve">ADA vs. PBO (two RCTs): ULTRA II (maintenance phase); Suzuki </w:t>
      </w:r>
      <w:r>
        <w:rPr>
          <w:rFonts w:eastAsiaTheme="minorEastAsia"/>
          <w:szCs w:val="22"/>
          <w:lang w:eastAsia="en-US"/>
        </w:rPr>
        <w:t xml:space="preserve">et al </w:t>
      </w:r>
      <w:r w:rsidRPr="00916999">
        <w:rPr>
          <w:rFonts w:eastAsiaTheme="minorEastAsia"/>
          <w:szCs w:val="22"/>
          <w:lang w:eastAsia="en-US"/>
        </w:rPr>
        <w:t>2014 (maintenance phase)</w:t>
      </w:r>
    </w:p>
    <w:p w14:paraId="3F336E18" w14:textId="77777777" w:rsidR="004D1EA7" w:rsidRPr="00F42EEA" w:rsidRDefault="004D1EA7" w:rsidP="003D1D4D">
      <w:pPr>
        <w:pStyle w:val="3-BodyText"/>
        <w:numPr>
          <w:ilvl w:val="1"/>
          <w:numId w:val="6"/>
        </w:numPr>
        <w:rPr>
          <w:rFonts w:eastAsiaTheme="minorEastAsia"/>
          <w:szCs w:val="22"/>
          <w:lang w:eastAsia="en-US"/>
        </w:rPr>
      </w:pPr>
      <w:r w:rsidRPr="00C149BD">
        <w:rPr>
          <w:rFonts w:eastAsiaTheme="minorEastAsia"/>
          <w:szCs w:val="22"/>
          <w:lang w:eastAsia="en-US"/>
        </w:rPr>
        <w:lastRenderedPageBreak/>
        <w:t>UST vs. PBO (one RCT): UNIFI (maintenance phase)</w:t>
      </w:r>
      <w:r>
        <w:rPr>
          <w:rFonts w:eastAsiaTheme="minorEastAsia"/>
          <w:szCs w:val="22"/>
          <w:lang w:eastAsia="en-US"/>
        </w:rPr>
        <w:t>.</w:t>
      </w:r>
    </w:p>
    <w:p w14:paraId="794917D6" w14:textId="08D3558F" w:rsidR="00E46C92" w:rsidRPr="00196815" w:rsidRDefault="004D1EA7" w:rsidP="00A06F1A">
      <w:pPr>
        <w:pStyle w:val="3-BodyText"/>
        <w:numPr>
          <w:ilvl w:val="0"/>
          <w:numId w:val="0"/>
        </w:numPr>
        <w:ind w:left="720"/>
      </w:pPr>
      <w:r w:rsidRPr="00196815">
        <w:t>The PBAC ha</w:t>
      </w:r>
      <w:r w:rsidR="0010022E" w:rsidRPr="00196815">
        <w:t>s</w:t>
      </w:r>
      <w:r w:rsidRPr="00196815">
        <w:t xml:space="preserve"> considered evidence from all of the comparator trials in past decisions for MSUC, with the exception of HIBISCUS I and HIBISCUS II</w:t>
      </w:r>
      <w:r w:rsidR="001E66E8" w:rsidRPr="00196815">
        <w:t xml:space="preserve"> for ADA</w:t>
      </w:r>
      <w:r w:rsidRPr="00196815">
        <w:t>.</w:t>
      </w:r>
      <w:r w:rsidR="00501AF5" w:rsidRPr="00196815">
        <w:t xml:space="preserve"> </w:t>
      </w:r>
      <w:r w:rsidR="00E46C92" w:rsidRPr="00196815">
        <w:t xml:space="preserve">The HIBISCUS trials </w:t>
      </w:r>
      <w:r w:rsidR="001E66E8" w:rsidRPr="00196815">
        <w:t>were placebo-controlled and active-controlled trials evaluating the efficacy and safety of etrolizumab</w:t>
      </w:r>
      <w:r w:rsidR="00A06F1A" w:rsidRPr="00196815">
        <w:t xml:space="preserve"> versus</w:t>
      </w:r>
      <w:r w:rsidR="001E66E8" w:rsidRPr="00196815">
        <w:t xml:space="preserve"> </w:t>
      </w:r>
      <w:r w:rsidR="00A06F1A" w:rsidRPr="00196815">
        <w:t xml:space="preserve">ADA </w:t>
      </w:r>
      <w:r w:rsidR="001E66E8" w:rsidRPr="00196815">
        <w:t>and PBO</w:t>
      </w:r>
      <w:r w:rsidR="00E46C92" w:rsidRPr="00196815">
        <w:t xml:space="preserve"> for induction treatment in MSUC.</w:t>
      </w:r>
    </w:p>
    <w:p w14:paraId="0B6DFE50" w14:textId="59DF074F" w:rsidR="004D1EA7" w:rsidRDefault="004D1EA7" w:rsidP="004D1EA7">
      <w:pPr>
        <w:pStyle w:val="3-BodyText"/>
      </w:pPr>
      <w:r>
        <w:t>The results of the indirect treatment comparison were sourced from an unpublished report by Moura et al 2023. The submission also presented the results of a Bayesian network meta-analysis (NMA) in an unpublished report by Kroep et al 2023 as supportive evidence. The NMA included data from 37 trials and compared 10 interventions (MIRI, VDZ, ADA, UST, UPA, TOF, GOL, IFX, OZA and filgotinib), but the submission did not provide any detail of the additional trials included in the NMA.</w:t>
      </w:r>
    </w:p>
    <w:p w14:paraId="15C20048" w14:textId="24266A84" w:rsidR="004D1EA7" w:rsidRPr="00196815" w:rsidRDefault="004D1EA7" w:rsidP="00A06F1A">
      <w:pPr>
        <w:pStyle w:val="3-BodyText"/>
        <w:rPr>
          <w:iCs/>
        </w:rPr>
      </w:pPr>
      <w:r>
        <w:rPr>
          <w:snapToGrid/>
          <w:lang w:val="en-US"/>
        </w:rPr>
        <w:t xml:space="preserve">Details of the trials presented in the submission are provided in </w:t>
      </w:r>
      <w:r>
        <w:rPr>
          <w:snapToGrid/>
          <w:lang w:val="en-US"/>
        </w:rPr>
        <w:fldChar w:fldCharType="begin" w:fldLock="1"/>
      </w:r>
      <w:r>
        <w:rPr>
          <w:snapToGrid/>
          <w:lang w:val="en-US"/>
        </w:rPr>
        <w:instrText xml:space="preserve"> REF _Ref104803956 \h </w:instrText>
      </w:r>
      <w:r>
        <w:rPr>
          <w:snapToGrid/>
          <w:lang w:val="en-US"/>
        </w:rPr>
      </w:r>
      <w:r>
        <w:rPr>
          <w:snapToGrid/>
          <w:lang w:val="en-US"/>
        </w:rPr>
        <w:fldChar w:fldCharType="separate"/>
      </w:r>
      <w:r w:rsidR="00CC56E0">
        <w:t xml:space="preserve">Table </w:t>
      </w:r>
      <w:r w:rsidR="00CC56E0">
        <w:rPr>
          <w:noProof/>
        </w:rPr>
        <w:t>2</w:t>
      </w:r>
      <w:r>
        <w:rPr>
          <w:snapToGrid/>
          <w:lang w:val="en-US"/>
        </w:rPr>
        <w:fldChar w:fldCharType="end"/>
      </w:r>
      <w:r>
        <w:rPr>
          <w:snapToGrid/>
          <w:lang w:val="en-US"/>
        </w:rPr>
        <w:t xml:space="preserve">. </w:t>
      </w:r>
      <w:r w:rsidRPr="00196815">
        <w:rPr>
          <w:iCs/>
          <w:snapToGrid/>
          <w:lang w:val="en-US"/>
        </w:rPr>
        <w:t xml:space="preserve">The submission excluded </w:t>
      </w:r>
      <w:r w:rsidRPr="00196815">
        <w:rPr>
          <w:iCs/>
        </w:rPr>
        <w:t xml:space="preserve">an ongoing Phase 3, open-label long-term extension study of MIRI SC in patients with MSUC (LUCENT 3; NCT03519945; </w:t>
      </w:r>
      <w:r w:rsidR="00A06F1A" w:rsidRPr="00196815">
        <w:rPr>
          <w:iCs/>
        </w:rPr>
        <w:t xml:space="preserve">no results available; </w:t>
      </w:r>
      <w:r w:rsidRPr="00196815">
        <w:rPr>
          <w:iCs/>
        </w:rPr>
        <w:t>estimated completion April 2029), which is potentially relevant as it evaluates the long-term efficacy and safety of MIRI, with the primary outcome</w:t>
      </w:r>
      <w:r w:rsidR="0010022E" w:rsidRPr="00196815">
        <w:rPr>
          <w:iCs/>
        </w:rPr>
        <w:t xml:space="preserve"> of</w:t>
      </w:r>
      <w:r w:rsidRPr="00196815">
        <w:rPr>
          <w:iCs/>
        </w:rPr>
        <w:t xml:space="preserve"> clinical remission (</w:t>
      </w:r>
      <w:r w:rsidR="0010022E" w:rsidRPr="00196815">
        <w:rPr>
          <w:iCs/>
        </w:rPr>
        <w:t xml:space="preserve">measured by </w:t>
      </w:r>
      <w:r w:rsidRPr="00196815">
        <w:rPr>
          <w:iCs/>
        </w:rPr>
        <w:t>MMS).</w:t>
      </w:r>
    </w:p>
    <w:p w14:paraId="4E918CFE" w14:textId="557BC77F" w:rsidR="004D1EA7" w:rsidRPr="00B85591" w:rsidRDefault="004D1EA7" w:rsidP="004678D2">
      <w:pPr>
        <w:pStyle w:val="TableFigureHeading"/>
      </w:pPr>
      <w:bookmarkStart w:id="24" w:name="_Ref104803956"/>
      <w:r>
        <w:lastRenderedPageBreak/>
        <w:t xml:space="preserve">Table </w:t>
      </w:r>
      <w:r w:rsidR="00A234BA">
        <w:fldChar w:fldCharType="begin" w:fldLock="1"/>
      </w:r>
      <w:r w:rsidR="00A234BA">
        <w:instrText xml:space="preserve"> SEQ Table \* ARABIC </w:instrText>
      </w:r>
      <w:r w:rsidR="00A234BA">
        <w:fldChar w:fldCharType="separate"/>
      </w:r>
      <w:r w:rsidR="0005097F">
        <w:rPr>
          <w:noProof/>
        </w:rPr>
        <w:t>2</w:t>
      </w:r>
      <w:r w:rsidR="00A234BA">
        <w:rPr>
          <w:noProof/>
        </w:rPr>
        <w:fldChar w:fldCharType="end"/>
      </w:r>
      <w:bookmarkEnd w:id="24"/>
      <w:r>
        <w:t>:</w:t>
      </w:r>
      <w:r w:rsidRPr="002E4F02">
        <w:rPr>
          <w:rStyle w:val="CommentReference"/>
          <w:b/>
          <w:szCs w:val="24"/>
        </w:rPr>
        <w:t xml:space="preserve"> Trials and associated reports presented in the </w:t>
      </w:r>
      <w:proofErr w:type="gramStart"/>
      <w:r w:rsidRPr="002E4F02">
        <w:rPr>
          <w:rStyle w:val="CommentReference"/>
          <w:b/>
          <w:szCs w:val="24"/>
        </w:rPr>
        <w:t>submission</w:t>
      </w:r>
      <w:proofErr w:type="gramEnd"/>
    </w:p>
    <w:tbl>
      <w:tblPr>
        <w:tblStyle w:val="TableGridbeth3"/>
        <w:tblW w:w="5000" w:type="pct"/>
        <w:tblCellMar>
          <w:left w:w="28" w:type="dxa"/>
          <w:right w:w="28" w:type="dxa"/>
        </w:tblCellMar>
        <w:tblLook w:val="01E0" w:firstRow="1" w:lastRow="1" w:firstColumn="1" w:lastColumn="1" w:noHBand="0" w:noVBand="0"/>
      </w:tblPr>
      <w:tblGrid>
        <w:gridCol w:w="1272"/>
        <w:gridCol w:w="5044"/>
        <w:gridCol w:w="2701"/>
      </w:tblGrid>
      <w:tr w:rsidR="004D1EA7" w:rsidRPr="0085761D" w14:paraId="52B48499" w14:textId="77777777" w:rsidTr="004D1EA7">
        <w:tc>
          <w:tcPr>
            <w:tcW w:w="705" w:type="pct"/>
            <w:vAlign w:val="center"/>
          </w:tcPr>
          <w:p w14:paraId="40DAC703" w14:textId="77777777" w:rsidR="004D1EA7" w:rsidRPr="0085761D" w:rsidRDefault="004D1EA7" w:rsidP="004678D2">
            <w:pPr>
              <w:keepNext/>
              <w:jc w:val="left"/>
              <w:rPr>
                <w:rFonts w:ascii="Arial Narrow" w:hAnsi="Arial Narrow" w:cs="Times New Roman"/>
                <w:b/>
                <w:bCs/>
                <w:sz w:val="20"/>
                <w:szCs w:val="20"/>
                <w:lang w:eastAsia="en-US"/>
              </w:rPr>
            </w:pPr>
            <w:r w:rsidRPr="0085761D">
              <w:rPr>
                <w:rFonts w:ascii="Arial Narrow" w:hAnsi="Arial Narrow" w:cs="Times New Roman"/>
                <w:b/>
                <w:bCs/>
                <w:sz w:val="20"/>
                <w:szCs w:val="20"/>
                <w:lang w:eastAsia="en-US"/>
              </w:rPr>
              <w:t>Trial ID</w:t>
            </w:r>
          </w:p>
        </w:tc>
        <w:tc>
          <w:tcPr>
            <w:tcW w:w="2797" w:type="pct"/>
            <w:vAlign w:val="center"/>
          </w:tcPr>
          <w:p w14:paraId="241196A8" w14:textId="77777777" w:rsidR="004D1EA7" w:rsidRPr="0085761D" w:rsidRDefault="004D1EA7" w:rsidP="004678D2">
            <w:pPr>
              <w:keepNext/>
              <w:jc w:val="left"/>
              <w:rPr>
                <w:rFonts w:ascii="Arial Narrow" w:hAnsi="Arial Narrow" w:cs="Times New Roman"/>
                <w:b/>
                <w:bCs/>
                <w:sz w:val="20"/>
                <w:szCs w:val="20"/>
                <w:lang w:eastAsia="en-US"/>
              </w:rPr>
            </w:pPr>
            <w:r w:rsidRPr="0085761D">
              <w:rPr>
                <w:rFonts w:ascii="Arial Narrow" w:hAnsi="Arial Narrow" w:cs="Times New Roman"/>
                <w:b/>
                <w:bCs/>
                <w:sz w:val="20"/>
                <w:szCs w:val="20"/>
                <w:lang w:eastAsia="en-US"/>
              </w:rPr>
              <w:t>Protocol title/ Publication title</w:t>
            </w:r>
          </w:p>
        </w:tc>
        <w:tc>
          <w:tcPr>
            <w:tcW w:w="1498" w:type="pct"/>
            <w:vAlign w:val="center"/>
          </w:tcPr>
          <w:p w14:paraId="51CD7955" w14:textId="77777777" w:rsidR="004D1EA7" w:rsidRPr="0085761D" w:rsidRDefault="004D1EA7" w:rsidP="004678D2">
            <w:pPr>
              <w:keepNext/>
              <w:jc w:val="left"/>
              <w:rPr>
                <w:rFonts w:ascii="Arial Narrow" w:hAnsi="Arial Narrow" w:cs="Times New Roman"/>
                <w:b/>
                <w:bCs/>
                <w:sz w:val="20"/>
                <w:szCs w:val="20"/>
                <w:lang w:eastAsia="en-US"/>
              </w:rPr>
            </w:pPr>
            <w:r w:rsidRPr="0085761D">
              <w:rPr>
                <w:rFonts w:ascii="Arial Narrow" w:hAnsi="Arial Narrow" w:cs="Times New Roman"/>
                <w:b/>
                <w:bCs/>
                <w:sz w:val="20"/>
                <w:szCs w:val="20"/>
                <w:lang w:eastAsia="en-US"/>
              </w:rPr>
              <w:t>Publication citation</w:t>
            </w:r>
          </w:p>
        </w:tc>
      </w:tr>
      <w:tr w:rsidR="004D1EA7" w:rsidRPr="0085761D" w14:paraId="7AE3CCBA" w14:textId="77777777" w:rsidTr="004D1EA7">
        <w:tc>
          <w:tcPr>
            <w:tcW w:w="5000" w:type="pct"/>
            <w:gridSpan w:val="3"/>
            <w:tcBorders>
              <w:bottom w:val="single" w:sz="4" w:space="0" w:color="auto"/>
            </w:tcBorders>
            <w:vAlign w:val="center"/>
          </w:tcPr>
          <w:p w14:paraId="724FCFCC" w14:textId="77777777" w:rsidR="004D1EA7" w:rsidRPr="0085761D" w:rsidRDefault="004D1EA7" w:rsidP="004678D2">
            <w:pPr>
              <w:keepNext/>
              <w:jc w:val="left"/>
              <w:rPr>
                <w:rFonts w:ascii="Arial Narrow" w:hAnsi="Arial Narrow" w:cs="Times New Roman"/>
                <w:b/>
                <w:bCs/>
                <w:sz w:val="20"/>
                <w:szCs w:val="20"/>
                <w:lang w:eastAsia="en-US"/>
              </w:rPr>
            </w:pPr>
            <w:r w:rsidRPr="0085761D">
              <w:rPr>
                <w:rFonts w:ascii="Arial Narrow" w:hAnsi="Arial Narrow" w:cs="Times New Roman"/>
                <w:b/>
                <w:bCs/>
                <w:sz w:val="20"/>
                <w:szCs w:val="20"/>
                <w:lang w:eastAsia="en-US"/>
              </w:rPr>
              <w:t>Mirikizumab trials</w:t>
            </w:r>
          </w:p>
        </w:tc>
      </w:tr>
      <w:tr w:rsidR="004D1EA7" w:rsidRPr="0085761D" w14:paraId="2F65F988" w14:textId="77777777" w:rsidTr="004D1EA7">
        <w:trPr>
          <w:trHeight w:val="519"/>
        </w:trPr>
        <w:tc>
          <w:tcPr>
            <w:tcW w:w="705" w:type="pct"/>
            <w:tcBorders>
              <w:bottom w:val="nil"/>
            </w:tcBorders>
            <w:vAlign w:val="center"/>
          </w:tcPr>
          <w:p w14:paraId="1031F316" w14:textId="77777777" w:rsidR="004D1EA7" w:rsidRPr="0085761D" w:rsidRDefault="004D1EA7" w:rsidP="004678D2">
            <w:pPr>
              <w:keepNext/>
              <w:jc w:val="left"/>
              <w:rPr>
                <w:rFonts w:ascii="Arial Narrow" w:hAnsi="Arial Narrow"/>
                <w:sz w:val="20"/>
                <w:szCs w:val="20"/>
                <w:lang w:val="fr-FR"/>
              </w:rPr>
            </w:pPr>
            <w:r w:rsidRPr="0085761D">
              <w:rPr>
                <w:rFonts w:ascii="Arial Narrow" w:hAnsi="Arial Narrow"/>
                <w:sz w:val="20"/>
                <w:szCs w:val="20"/>
                <w:lang w:val="fr-FR"/>
              </w:rPr>
              <w:t>LUCENT 1</w:t>
            </w:r>
          </w:p>
          <w:p w14:paraId="67473BAD" w14:textId="77777777" w:rsidR="004D1EA7" w:rsidRPr="0085761D" w:rsidRDefault="004D1EA7" w:rsidP="004678D2">
            <w:pPr>
              <w:keepNext/>
              <w:jc w:val="left"/>
              <w:rPr>
                <w:rFonts w:ascii="Arial Narrow" w:hAnsi="Arial Narrow"/>
                <w:sz w:val="20"/>
                <w:szCs w:val="20"/>
                <w:lang w:val="fr-FR"/>
              </w:rPr>
            </w:pPr>
            <w:r w:rsidRPr="0085761D">
              <w:rPr>
                <w:rFonts w:ascii="Arial Narrow" w:hAnsi="Arial Narrow"/>
                <w:sz w:val="20"/>
                <w:szCs w:val="20"/>
                <w:lang w:val="fr-FR"/>
              </w:rPr>
              <w:t>(</w:t>
            </w:r>
            <w:r w:rsidRPr="0085761D">
              <w:rPr>
                <w:rFonts w:ascii="Arial Narrow" w:hAnsi="Arial Narrow" w:cs="Times New Roman"/>
                <w:sz w:val="20"/>
                <w:szCs w:val="20"/>
                <w:lang w:val="fr-FR" w:eastAsia="en-US"/>
              </w:rPr>
              <w:t>6T-MC-AMAN)</w:t>
            </w:r>
          </w:p>
          <w:p w14:paraId="32C94DE4" w14:textId="77777777" w:rsidR="004D1EA7" w:rsidRPr="0085761D" w:rsidRDefault="004D1EA7" w:rsidP="004678D2">
            <w:pPr>
              <w:keepNext/>
              <w:jc w:val="left"/>
              <w:rPr>
                <w:rFonts w:ascii="Arial Narrow" w:hAnsi="Arial Narrow" w:cs="Times New Roman"/>
                <w:sz w:val="20"/>
                <w:szCs w:val="20"/>
                <w:lang w:val="fr-FR" w:eastAsia="en-US"/>
              </w:rPr>
            </w:pPr>
            <w:r w:rsidRPr="0085761D">
              <w:rPr>
                <w:rFonts w:ascii="Arial Narrow" w:hAnsi="Arial Narrow"/>
                <w:sz w:val="20"/>
                <w:szCs w:val="20"/>
                <w:lang w:val="fr-FR" w:eastAsia="en-US"/>
              </w:rPr>
              <w:t>NCT03518086</w:t>
            </w:r>
          </w:p>
        </w:tc>
        <w:tc>
          <w:tcPr>
            <w:tcW w:w="2797" w:type="pct"/>
            <w:tcBorders>
              <w:bottom w:val="nil"/>
            </w:tcBorders>
            <w:vAlign w:val="center"/>
          </w:tcPr>
          <w:p w14:paraId="6FBDE8D6"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sz w:val="20"/>
                <w:szCs w:val="20"/>
              </w:rPr>
              <w:t>A phase 3, multicenter, randomized, double-blind, parallel, placebo-controlled study of mirikizumab in conventional-failed and biologic-failed patients with moderately to severely active ulcerative colitis.</w:t>
            </w:r>
          </w:p>
        </w:tc>
        <w:tc>
          <w:tcPr>
            <w:tcW w:w="1498" w:type="pct"/>
            <w:tcBorders>
              <w:bottom w:val="nil"/>
            </w:tcBorders>
            <w:vAlign w:val="center"/>
          </w:tcPr>
          <w:p w14:paraId="639A3EBE"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sz w:val="20"/>
                <w:szCs w:val="20"/>
              </w:rPr>
              <w:t>June 2021</w:t>
            </w:r>
          </w:p>
        </w:tc>
      </w:tr>
      <w:tr w:rsidR="004D1EA7" w:rsidRPr="0085761D" w14:paraId="58CCF2E0" w14:textId="77777777" w:rsidTr="004D1EA7">
        <w:trPr>
          <w:trHeight w:val="519"/>
        </w:trPr>
        <w:tc>
          <w:tcPr>
            <w:tcW w:w="705" w:type="pct"/>
            <w:tcBorders>
              <w:top w:val="nil"/>
              <w:left w:val="single" w:sz="4" w:space="0" w:color="auto"/>
              <w:bottom w:val="single" w:sz="4" w:space="0" w:color="auto"/>
              <w:right w:val="single" w:sz="4" w:space="0" w:color="auto"/>
            </w:tcBorders>
            <w:vAlign w:val="center"/>
          </w:tcPr>
          <w:p w14:paraId="7622AF91" w14:textId="77777777" w:rsidR="004D1EA7" w:rsidRPr="0085761D" w:rsidRDefault="004D1EA7" w:rsidP="004678D2">
            <w:pPr>
              <w:keepNext/>
              <w:jc w:val="left"/>
              <w:rPr>
                <w:rFonts w:ascii="Arial Narrow" w:hAnsi="Arial Narrow"/>
                <w:sz w:val="20"/>
                <w:szCs w:val="20"/>
              </w:rPr>
            </w:pPr>
          </w:p>
        </w:tc>
        <w:tc>
          <w:tcPr>
            <w:tcW w:w="2797" w:type="pct"/>
            <w:tcBorders>
              <w:top w:val="nil"/>
              <w:left w:val="single" w:sz="4" w:space="0" w:color="auto"/>
              <w:bottom w:val="single" w:sz="4" w:space="0" w:color="auto"/>
              <w:right w:val="single" w:sz="4" w:space="0" w:color="auto"/>
            </w:tcBorders>
            <w:vAlign w:val="center"/>
          </w:tcPr>
          <w:p w14:paraId="2BB653B9" w14:textId="77777777" w:rsidR="004D1EA7" w:rsidRPr="0085761D" w:rsidRDefault="004D1EA7" w:rsidP="004678D2">
            <w:pPr>
              <w:keepNext/>
              <w:jc w:val="left"/>
              <w:rPr>
                <w:rFonts w:ascii="Arial Narrow" w:hAnsi="Arial Narrow"/>
                <w:sz w:val="20"/>
                <w:szCs w:val="20"/>
              </w:rPr>
            </w:pPr>
            <w:r w:rsidRPr="0085761D">
              <w:rPr>
                <w:rFonts w:ascii="Arial Narrow" w:hAnsi="Arial Narrow"/>
                <w:sz w:val="20"/>
                <w:szCs w:val="20"/>
                <w:lang w:val="fr-FR"/>
              </w:rPr>
              <w:t xml:space="preserve">D’Haens G, Kobayashi T, Morris N, et al. </w:t>
            </w:r>
            <w:r w:rsidRPr="0085761D">
              <w:rPr>
                <w:rFonts w:ascii="Arial Narrow" w:hAnsi="Arial Narrow"/>
                <w:sz w:val="20"/>
                <w:szCs w:val="20"/>
              </w:rPr>
              <w:t>Efficacy and safety of mirikizumab as induction therapy in patients with moderately to severely active ulcerative colitis: Results from the Phase 3 LUCENT-1 study</w:t>
            </w:r>
          </w:p>
        </w:tc>
        <w:tc>
          <w:tcPr>
            <w:tcW w:w="1498" w:type="pct"/>
            <w:tcBorders>
              <w:top w:val="nil"/>
              <w:left w:val="single" w:sz="4" w:space="0" w:color="auto"/>
              <w:bottom w:val="single" w:sz="4" w:space="0" w:color="auto"/>
              <w:right w:val="single" w:sz="4" w:space="0" w:color="auto"/>
            </w:tcBorders>
            <w:vAlign w:val="center"/>
          </w:tcPr>
          <w:p w14:paraId="0CB6B867" w14:textId="77777777" w:rsidR="004D1EA7" w:rsidRPr="0085761D" w:rsidRDefault="004D1EA7" w:rsidP="004678D2">
            <w:pPr>
              <w:keepNext/>
              <w:jc w:val="left"/>
              <w:rPr>
                <w:rFonts w:ascii="Arial Narrow" w:hAnsi="Arial Narrow"/>
                <w:sz w:val="20"/>
                <w:szCs w:val="20"/>
              </w:rPr>
            </w:pPr>
            <w:r w:rsidRPr="0085761D">
              <w:rPr>
                <w:rFonts w:ascii="Arial Narrow" w:hAnsi="Arial Narrow"/>
                <w:sz w:val="20"/>
                <w:szCs w:val="20"/>
              </w:rPr>
              <w:t>Abstracts of the 17</w:t>
            </w:r>
            <w:r w:rsidRPr="0085761D">
              <w:rPr>
                <w:rFonts w:ascii="Arial Narrow" w:hAnsi="Arial Narrow"/>
                <w:sz w:val="20"/>
                <w:szCs w:val="20"/>
                <w:vertAlign w:val="superscript"/>
              </w:rPr>
              <w:t>th</w:t>
            </w:r>
            <w:r w:rsidRPr="0085761D">
              <w:rPr>
                <w:rFonts w:ascii="Arial Narrow" w:hAnsi="Arial Narrow"/>
                <w:sz w:val="20"/>
                <w:szCs w:val="20"/>
              </w:rPr>
              <w:t xml:space="preserve"> Congress of ECCO – European Crohn’s and Colitis Organisation: OP26</w:t>
            </w:r>
          </w:p>
        </w:tc>
      </w:tr>
      <w:tr w:rsidR="004D1EA7" w:rsidRPr="0085761D" w14:paraId="3544B1F9" w14:textId="77777777" w:rsidTr="004D1EA7">
        <w:trPr>
          <w:trHeight w:val="519"/>
        </w:trPr>
        <w:tc>
          <w:tcPr>
            <w:tcW w:w="705" w:type="pct"/>
            <w:tcBorders>
              <w:top w:val="single" w:sz="4" w:space="0" w:color="auto"/>
              <w:left w:val="single" w:sz="4" w:space="0" w:color="auto"/>
              <w:bottom w:val="nil"/>
              <w:right w:val="single" w:sz="4" w:space="0" w:color="auto"/>
            </w:tcBorders>
            <w:vAlign w:val="center"/>
          </w:tcPr>
          <w:p w14:paraId="498E62B3" w14:textId="77777777" w:rsidR="004D1EA7" w:rsidRPr="0085761D" w:rsidRDefault="004D1EA7" w:rsidP="004678D2">
            <w:pPr>
              <w:keepNext/>
              <w:jc w:val="left"/>
              <w:rPr>
                <w:rFonts w:ascii="Arial Narrow" w:hAnsi="Arial Narrow"/>
                <w:sz w:val="20"/>
                <w:szCs w:val="20"/>
                <w:lang w:val="fr-FR"/>
              </w:rPr>
            </w:pPr>
            <w:r w:rsidRPr="0085761D">
              <w:rPr>
                <w:rFonts w:ascii="Arial Narrow" w:hAnsi="Arial Narrow"/>
                <w:sz w:val="20"/>
                <w:szCs w:val="20"/>
                <w:lang w:val="fr-FR"/>
              </w:rPr>
              <w:t>LUCENT 2</w:t>
            </w:r>
          </w:p>
          <w:p w14:paraId="766D595F" w14:textId="77777777" w:rsidR="004D1EA7" w:rsidRPr="0085761D" w:rsidRDefault="004D1EA7" w:rsidP="004678D2">
            <w:pPr>
              <w:keepNext/>
              <w:jc w:val="left"/>
              <w:rPr>
                <w:rFonts w:ascii="Arial Narrow" w:hAnsi="Arial Narrow"/>
                <w:sz w:val="20"/>
                <w:szCs w:val="20"/>
                <w:lang w:val="fr-FR"/>
              </w:rPr>
            </w:pPr>
            <w:r w:rsidRPr="0085761D">
              <w:rPr>
                <w:rFonts w:ascii="Arial Narrow" w:hAnsi="Arial Narrow"/>
                <w:sz w:val="20"/>
                <w:szCs w:val="20"/>
                <w:lang w:val="fr-FR"/>
              </w:rPr>
              <w:t>(</w:t>
            </w:r>
            <w:r w:rsidRPr="0085761D">
              <w:rPr>
                <w:rFonts w:ascii="Arial Narrow" w:hAnsi="Arial Narrow" w:cs="Times New Roman"/>
                <w:sz w:val="20"/>
                <w:szCs w:val="20"/>
                <w:lang w:val="fr-FR" w:eastAsia="en-US"/>
              </w:rPr>
              <w:t>I6T-MC-AMBG)</w:t>
            </w:r>
          </w:p>
          <w:p w14:paraId="5C0A8460" w14:textId="77777777" w:rsidR="004D1EA7" w:rsidRPr="0085761D" w:rsidRDefault="004D1EA7" w:rsidP="004678D2">
            <w:pPr>
              <w:keepNext/>
              <w:jc w:val="left"/>
              <w:rPr>
                <w:rFonts w:ascii="Arial Narrow" w:hAnsi="Arial Narrow" w:cs="Times New Roman"/>
                <w:sz w:val="20"/>
                <w:szCs w:val="20"/>
                <w:lang w:val="fr-FR" w:eastAsia="en-US"/>
              </w:rPr>
            </w:pPr>
            <w:r w:rsidRPr="0085761D">
              <w:rPr>
                <w:rFonts w:ascii="Arial Narrow" w:hAnsi="Arial Narrow"/>
                <w:sz w:val="20"/>
                <w:szCs w:val="20"/>
                <w:lang w:val="fr-FR"/>
              </w:rPr>
              <w:t>NCT03524092</w:t>
            </w:r>
          </w:p>
        </w:tc>
        <w:tc>
          <w:tcPr>
            <w:tcW w:w="2797" w:type="pct"/>
            <w:tcBorders>
              <w:top w:val="single" w:sz="4" w:space="0" w:color="auto"/>
              <w:left w:val="single" w:sz="4" w:space="0" w:color="auto"/>
              <w:bottom w:val="nil"/>
              <w:right w:val="single" w:sz="4" w:space="0" w:color="auto"/>
            </w:tcBorders>
            <w:vAlign w:val="center"/>
          </w:tcPr>
          <w:p w14:paraId="1A854240"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sz w:val="20"/>
                <w:szCs w:val="20"/>
              </w:rPr>
              <w:t>A phase 3, multicenter, randomized, double-blind, parallel-arm, placebo-controlled maintenance study of mirikizumab in patients with moderately to severely active ulcerative colitis</w:t>
            </w:r>
          </w:p>
        </w:tc>
        <w:tc>
          <w:tcPr>
            <w:tcW w:w="1498" w:type="pct"/>
            <w:tcBorders>
              <w:top w:val="single" w:sz="4" w:space="0" w:color="auto"/>
              <w:left w:val="single" w:sz="4" w:space="0" w:color="auto"/>
              <w:bottom w:val="nil"/>
              <w:right w:val="single" w:sz="4" w:space="0" w:color="auto"/>
            </w:tcBorders>
            <w:vAlign w:val="center"/>
          </w:tcPr>
          <w:p w14:paraId="054B4FE5"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sz w:val="20"/>
                <w:szCs w:val="20"/>
              </w:rPr>
              <w:t>December 2021.</w:t>
            </w:r>
          </w:p>
        </w:tc>
      </w:tr>
      <w:tr w:rsidR="004D1EA7" w:rsidRPr="0085761D" w14:paraId="1E741E43" w14:textId="77777777" w:rsidTr="004D1EA7">
        <w:trPr>
          <w:trHeight w:val="519"/>
        </w:trPr>
        <w:tc>
          <w:tcPr>
            <w:tcW w:w="705" w:type="pct"/>
            <w:tcBorders>
              <w:top w:val="nil"/>
              <w:left w:val="single" w:sz="4" w:space="0" w:color="auto"/>
              <w:bottom w:val="single" w:sz="4" w:space="0" w:color="auto"/>
              <w:right w:val="single" w:sz="4" w:space="0" w:color="auto"/>
            </w:tcBorders>
            <w:vAlign w:val="center"/>
          </w:tcPr>
          <w:p w14:paraId="276C76A0" w14:textId="77777777" w:rsidR="004D1EA7" w:rsidRPr="0085761D" w:rsidRDefault="004D1EA7" w:rsidP="004678D2">
            <w:pPr>
              <w:keepNext/>
              <w:jc w:val="left"/>
              <w:rPr>
                <w:rFonts w:ascii="Arial Narrow" w:hAnsi="Arial Narrow"/>
                <w:sz w:val="20"/>
                <w:szCs w:val="20"/>
              </w:rPr>
            </w:pPr>
          </w:p>
        </w:tc>
        <w:tc>
          <w:tcPr>
            <w:tcW w:w="2797" w:type="pct"/>
            <w:tcBorders>
              <w:top w:val="nil"/>
              <w:left w:val="single" w:sz="4" w:space="0" w:color="auto"/>
              <w:bottom w:val="single" w:sz="4" w:space="0" w:color="auto"/>
              <w:right w:val="single" w:sz="4" w:space="0" w:color="auto"/>
            </w:tcBorders>
            <w:vAlign w:val="center"/>
          </w:tcPr>
          <w:p w14:paraId="070F9173" w14:textId="043BDA32" w:rsidR="004D1EA7" w:rsidRPr="0085761D" w:rsidRDefault="004D1EA7" w:rsidP="004678D2">
            <w:pPr>
              <w:keepNext/>
              <w:jc w:val="left"/>
              <w:rPr>
                <w:rFonts w:ascii="Arial Narrow" w:hAnsi="Arial Narrow"/>
                <w:sz w:val="20"/>
                <w:szCs w:val="20"/>
              </w:rPr>
            </w:pPr>
            <w:r w:rsidRPr="0085761D">
              <w:rPr>
                <w:rFonts w:ascii="Arial Narrow" w:hAnsi="Arial Narrow"/>
                <w:sz w:val="20"/>
                <w:szCs w:val="20"/>
              </w:rPr>
              <w:t>Begun J, Dubinsky MC, Irving PM, et al. Efficacy and safety of mir</w:t>
            </w:r>
            <w:r w:rsidR="00C12F7C">
              <w:rPr>
                <w:rFonts w:ascii="Arial Narrow" w:hAnsi="Arial Narrow"/>
                <w:sz w:val="20"/>
                <w:szCs w:val="20"/>
              </w:rPr>
              <w:t>i</w:t>
            </w:r>
            <w:r w:rsidRPr="0085761D">
              <w:rPr>
                <w:rFonts w:ascii="Arial Narrow" w:hAnsi="Arial Narrow"/>
                <w:sz w:val="20"/>
                <w:szCs w:val="20"/>
              </w:rPr>
              <w:t>kizumab as maintenance therapy in patients with moderately to severely active ulcerative colitis: Results from the phase 3 LUCENT-2 study.</w:t>
            </w:r>
          </w:p>
        </w:tc>
        <w:tc>
          <w:tcPr>
            <w:tcW w:w="1498" w:type="pct"/>
            <w:tcBorders>
              <w:top w:val="nil"/>
              <w:left w:val="single" w:sz="4" w:space="0" w:color="auto"/>
              <w:bottom w:val="single" w:sz="4" w:space="0" w:color="auto"/>
              <w:right w:val="single" w:sz="4" w:space="0" w:color="auto"/>
            </w:tcBorders>
            <w:vAlign w:val="center"/>
          </w:tcPr>
          <w:p w14:paraId="7B4B9A87" w14:textId="77777777" w:rsidR="004D1EA7" w:rsidRPr="0085761D" w:rsidRDefault="004D1EA7" w:rsidP="004678D2">
            <w:pPr>
              <w:keepNext/>
              <w:jc w:val="left"/>
              <w:rPr>
                <w:rFonts w:ascii="Arial Narrow" w:hAnsi="Arial Narrow"/>
                <w:sz w:val="20"/>
                <w:szCs w:val="20"/>
              </w:rPr>
            </w:pPr>
            <w:r w:rsidRPr="00196815">
              <w:rPr>
                <w:rFonts w:ascii="Arial Narrow" w:hAnsi="Arial Narrow" w:cs="Times New Roman"/>
                <w:sz w:val="20"/>
                <w:szCs w:val="20"/>
                <w:lang w:eastAsia="en-US"/>
              </w:rPr>
              <w:t>Gastroenterol &amp; Hepatol 2022;</w:t>
            </w:r>
            <w:r w:rsidRPr="0085761D">
              <w:rPr>
                <w:rFonts w:ascii="Arial Narrow" w:hAnsi="Arial Narrow" w:cs="Times New Roman"/>
                <w:i/>
                <w:iCs/>
                <w:sz w:val="20"/>
                <w:szCs w:val="20"/>
                <w:lang w:eastAsia="en-US"/>
              </w:rPr>
              <w:t xml:space="preserve"> </w:t>
            </w:r>
            <w:r w:rsidRPr="0085761D">
              <w:rPr>
                <w:rFonts w:ascii="Arial Narrow" w:hAnsi="Arial Narrow" w:cs="Times New Roman"/>
                <w:sz w:val="20"/>
                <w:szCs w:val="20"/>
                <w:lang w:eastAsia="en-US"/>
              </w:rPr>
              <w:t xml:space="preserve">18(7) Suple. 2: 3. </w:t>
            </w:r>
          </w:p>
        </w:tc>
      </w:tr>
      <w:tr w:rsidR="004D1EA7" w:rsidRPr="0085761D" w14:paraId="5A74BC13" w14:textId="77777777" w:rsidTr="004D1EA7">
        <w:tc>
          <w:tcPr>
            <w:tcW w:w="5000" w:type="pct"/>
            <w:gridSpan w:val="3"/>
            <w:tcBorders>
              <w:top w:val="single" w:sz="4" w:space="0" w:color="auto"/>
            </w:tcBorders>
            <w:shd w:val="clear" w:color="auto" w:fill="C6D9F1" w:themeFill="text2" w:themeFillTint="33"/>
            <w:vAlign w:val="center"/>
          </w:tcPr>
          <w:p w14:paraId="67B9B57F" w14:textId="77777777" w:rsidR="004D1EA7" w:rsidRPr="0085761D" w:rsidRDefault="004D1EA7" w:rsidP="004678D2">
            <w:pPr>
              <w:keepNext/>
              <w:jc w:val="left"/>
              <w:rPr>
                <w:rFonts w:ascii="Arial Narrow" w:hAnsi="Arial Narrow" w:cs="Times New Roman"/>
                <w:b/>
                <w:bCs/>
                <w:sz w:val="20"/>
                <w:szCs w:val="20"/>
                <w:lang w:eastAsia="en-US"/>
              </w:rPr>
            </w:pPr>
            <w:r w:rsidRPr="0085761D">
              <w:rPr>
                <w:rFonts w:ascii="Arial Narrow" w:hAnsi="Arial Narrow" w:cs="Times New Roman"/>
                <w:b/>
                <w:bCs/>
                <w:sz w:val="20"/>
                <w:szCs w:val="20"/>
                <w:lang w:eastAsia="en-US"/>
              </w:rPr>
              <w:t>Vedolizumab trials</w:t>
            </w:r>
          </w:p>
        </w:tc>
      </w:tr>
      <w:tr w:rsidR="004D1EA7" w:rsidRPr="0085761D" w14:paraId="40C3FC1C" w14:textId="77777777" w:rsidTr="004D1EA7">
        <w:trPr>
          <w:trHeight w:val="423"/>
        </w:trPr>
        <w:tc>
          <w:tcPr>
            <w:tcW w:w="705" w:type="pct"/>
            <w:shd w:val="clear" w:color="auto" w:fill="C6D9F1" w:themeFill="text2" w:themeFillTint="33"/>
            <w:vAlign w:val="center"/>
          </w:tcPr>
          <w:p w14:paraId="4B60172B"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eastAsia="en-US"/>
              </w:rPr>
              <w:t>GEMINI 1</w:t>
            </w:r>
          </w:p>
          <w:p w14:paraId="4065A689"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eastAsia="en-US"/>
              </w:rPr>
              <w:t>NCT00783718</w:t>
            </w:r>
          </w:p>
        </w:tc>
        <w:tc>
          <w:tcPr>
            <w:tcW w:w="2797" w:type="pct"/>
            <w:shd w:val="clear" w:color="auto" w:fill="C6D9F1" w:themeFill="text2" w:themeFillTint="33"/>
            <w:vAlign w:val="center"/>
          </w:tcPr>
          <w:p w14:paraId="16B2AE6A"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eastAsia="en-US"/>
              </w:rPr>
              <w:t xml:space="preserve">Feagan B, Rutgeerts P, Sands B, et al. Vedolizumab as induction and maintenance therapy for ulcerative colitis. </w:t>
            </w:r>
          </w:p>
        </w:tc>
        <w:tc>
          <w:tcPr>
            <w:tcW w:w="1498" w:type="pct"/>
            <w:shd w:val="clear" w:color="auto" w:fill="C6D9F1" w:themeFill="text2" w:themeFillTint="33"/>
            <w:vAlign w:val="center"/>
          </w:tcPr>
          <w:p w14:paraId="5FD9C769" w14:textId="77777777" w:rsidR="004D1EA7" w:rsidRPr="0085761D" w:rsidRDefault="004D1EA7" w:rsidP="004678D2">
            <w:pPr>
              <w:keepNext/>
              <w:jc w:val="left"/>
              <w:rPr>
                <w:rFonts w:ascii="Arial Narrow" w:hAnsi="Arial Narrow" w:cs="Times New Roman"/>
                <w:sz w:val="20"/>
                <w:szCs w:val="20"/>
                <w:lang w:eastAsia="en-US"/>
              </w:rPr>
            </w:pPr>
            <w:r w:rsidRPr="00196815">
              <w:rPr>
                <w:rFonts w:ascii="Arial Narrow" w:hAnsi="Arial Narrow" w:cs="Times New Roman"/>
                <w:sz w:val="20"/>
                <w:szCs w:val="20"/>
                <w:lang w:eastAsia="en-US"/>
              </w:rPr>
              <w:t>N Engl J Med.</w:t>
            </w:r>
            <w:r w:rsidRPr="0085761D">
              <w:rPr>
                <w:rFonts w:ascii="Arial Narrow" w:hAnsi="Arial Narrow" w:cs="Times New Roman"/>
                <w:sz w:val="20"/>
                <w:szCs w:val="20"/>
                <w:lang w:eastAsia="en-US"/>
              </w:rPr>
              <w:t xml:space="preserve"> 2013; 369(8):699-710.</w:t>
            </w:r>
          </w:p>
        </w:tc>
      </w:tr>
      <w:tr w:rsidR="004D1EA7" w:rsidRPr="0085761D" w14:paraId="73CEEA6E" w14:textId="77777777" w:rsidTr="004D1EA7">
        <w:trPr>
          <w:trHeight w:val="56"/>
        </w:trPr>
        <w:tc>
          <w:tcPr>
            <w:tcW w:w="705" w:type="pct"/>
            <w:shd w:val="clear" w:color="auto" w:fill="C6D9F1" w:themeFill="text2" w:themeFillTint="33"/>
            <w:vAlign w:val="center"/>
          </w:tcPr>
          <w:p w14:paraId="39AB8667"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eastAsia="en-US"/>
              </w:rPr>
              <w:t>Motoya 2019</w:t>
            </w:r>
          </w:p>
          <w:p w14:paraId="044FFB28"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eastAsia="en-US"/>
              </w:rPr>
              <w:t>NCT02039505</w:t>
            </w:r>
          </w:p>
        </w:tc>
        <w:tc>
          <w:tcPr>
            <w:tcW w:w="2797" w:type="pct"/>
            <w:shd w:val="clear" w:color="auto" w:fill="C6D9F1" w:themeFill="text2" w:themeFillTint="33"/>
            <w:vAlign w:val="center"/>
          </w:tcPr>
          <w:p w14:paraId="0B62E9ED"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bCs/>
                <w:iCs/>
                <w:sz w:val="20"/>
                <w:szCs w:val="20"/>
                <w:lang w:eastAsia="en-US"/>
              </w:rPr>
              <w:t>Motoya S, Watanabe K, Ogata H, et al. Vedolizumab in Japanese patients with ulcerative colitis: A phase 3, randomized, double-blind, placebo-controlled study.</w:t>
            </w:r>
          </w:p>
        </w:tc>
        <w:tc>
          <w:tcPr>
            <w:tcW w:w="1498" w:type="pct"/>
            <w:shd w:val="clear" w:color="auto" w:fill="C6D9F1" w:themeFill="text2" w:themeFillTint="33"/>
            <w:vAlign w:val="center"/>
          </w:tcPr>
          <w:p w14:paraId="6CB4EC02" w14:textId="77777777" w:rsidR="004D1EA7" w:rsidRPr="0085761D" w:rsidRDefault="004D1EA7" w:rsidP="004678D2">
            <w:pPr>
              <w:keepNext/>
              <w:jc w:val="left"/>
              <w:rPr>
                <w:rFonts w:ascii="Arial Narrow" w:hAnsi="Arial Narrow" w:cs="Times New Roman"/>
                <w:sz w:val="20"/>
                <w:szCs w:val="20"/>
                <w:lang w:eastAsia="en-US"/>
              </w:rPr>
            </w:pPr>
            <w:r w:rsidRPr="00196815">
              <w:rPr>
                <w:rFonts w:ascii="Arial Narrow" w:hAnsi="Arial Narrow" w:cs="Times New Roman"/>
                <w:bCs/>
                <w:iCs/>
                <w:sz w:val="20"/>
                <w:szCs w:val="20"/>
                <w:lang w:val="pt-PT" w:eastAsia="en-US"/>
              </w:rPr>
              <w:t>PLOS ONE</w:t>
            </w:r>
            <w:r w:rsidRPr="0085761D">
              <w:rPr>
                <w:rFonts w:ascii="Arial Narrow" w:hAnsi="Arial Narrow" w:cs="Times New Roman"/>
                <w:bCs/>
                <w:iCs/>
                <w:sz w:val="20"/>
                <w:szCs w:val="20"/>
                <w:lang w:val="pt-PT" w:eastAsia="en-US"/>
              </w:rPr>
              <w:t xml:space="preserve"> February 2019; 14(2):</w:t>
            </w:r>
            <w:r w:rsidRPr="0085761D">
              <w:rPr>
                <w:rFonts w:ascii="Arial Narrow" w:hAnsi="Arial Narrow"/>
                <w:sz w:val="20"/>
                <w:szCs w:val="20"/>
              </w:rPr>
              <w:t xml:space="preserve"> e0212989.</w:t>
            </w:r>
          </w:p>
        </w:tc>
      </w:tr>
      <w:tr w:rsidR="004D1EA7" w:rsidRPr="0085761D" w14:paraId="0711F2A0" w14:textId="77777777" w:rsidTr="004D1EA7">
        <w:trPr>
          <w:trHeight w:val="56"/>
        </w:trPr>
        <w:tc>
          <w:tcPr>
            <w:tcW w:w="705" w:type="pct"/>
            <w:shd w:val="clear" w:color="auto" w:fill="C6D9F1" w:themeFill="text2" w:themeFillTint="33"/>
            <w:vAlign w:val="center"/>
          </w:tcPr>
          <w:p w14:paraId="640478C4"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eastAsia="en-US"/>
              </w:rPr>
              <w:t>VISIBLE 1</w:t>
            </w:r>
          </w:p>
          <w:p w14:paraId="1A99EC52"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eastAsia="en-US"/>
              </w:rPr>
              <w:t>NCT02611830</w:t>
            </w:r>
          </w:p>
        </w:tc>
        <w:tc>
          <w:tcPr>
            <w:tcW w:w="2797" w:type="pct"/>
            <w:shd w:val="clear" w:color="auto" w:fill="C6D9F1" w:themeFill="text2" w:themeFillTint="33"/>
            <w:vAlign w:val="center"/>
          </w:tcPr>
          <w:p w14:paraId="1E0BB599" w14:textId="77777777" w:rsidR="004D1EA7" w:rsidRPr="0085761D" w:rsidRDefault="004D1EA7" w:rsidP="004678D2">
            <w:pPr>
              <w:keepNext/>
              <w:jc w:val="left"/>
              <w:rPr>
                <w:rFonts w:ascii="Arial Narrow" w:hAnsi="Arial Narrow" w:cs="Times New Roman"/>
                <w:bCs/>
                <w:iCs/>
                <w:sz w:val="20"/>
                <w:szCs w:val="20"/>
                <w:lang w:eastAsia="en-US"/>
              </w:rPr>
            </w:pPr>
            <w:r w:rsidRPr="0085761D">
              <w:rPr>
                <w:rFonts w:ascii="Arial Narrow" w:hAnsi="Arial Narrow" w:cs="Times New Roman"/>
                <w:bCs/>
                <w:iCs/>
                <w:sz w:val="20"/>
                <w:szCs w:val="20"/>
                <w:lang w:eastAsia="en-US"/>
              </w:rPr>
              <w:t>Sandborn W, Baert F, Danese S, et al. Efficacy and safety of vedolizumab subcutaneous formulation in a randomized trial of patients with ulcerative colitis.</w:t>
            </w:r>
          </w:p>
        </w:tc>
        <w:tc>
          <w:tcPr>
            <w:tcW w:w="1498" w:type="pct"/>
            <w:shd w:val="clear" w:color="auto" w:fill="C6D9F1" w:themeFill="text2" w:themeFillTint="33"/>
            <w:vAlign w:val="center"/>
          </w:tcPr>
          <w:p w14:paraId="42425DB6" w14:textId="77777777" w:rsidR="004D1EA7" w:rsidRPr="0085761D" w:rsidRDefault="004D1EA7" w:rsidP="004678D2">
            <w:pPr>
              <w:keepNext/>
              <w:jc w:val="left"/>
              <w:rPr>
                <w:rFonts w:ascii="Arial Narrow" w:hAnsi="Arial Narrow" w:cs="Times New Roman"/>
                <w:bCs/>
                <w:i/>
                <w:sz w:val="20"/>
                <w:szCs w:val="20"/>
                <w:lang w:val="pt-PT" w:eastAsia="en-US"/>
              </w:rPr>
            </w:pPr>
            <w:r w:rsidRPr="00196815">
              <w:rPr>
                <w:rFonts w:ascii="Arial Narrow" w:hAnsi="Arial Narrow" w:cs="Times New Roman"/>
                <w:bCs/>
                <w:sz w:val="20"/>
                <w:szCs w:val="20"/>
                <w:lang w:val="pt-PT" w:eastAsia="en-US"/>
              </w:rPr>
              <w:t xml:space="preserve">Gastroenterology </w:t>
            </w:r>
            <w:r w:rsidRPr="0085761D">
              <w:rPr>
                <w:rFonts w:ascii="Arial Narrow" w:hAnsi="Arial Narrow" w:cs="Times New Roman"/>
                <w:bCs/>
                <w:iCs/>
                <w:sz w:val="20"/>
                <w:szCs w:val="20"/>
                <w:lang w:val="pt-PT" w:eastAsia="en-US"/>
              </w:rPr>
              <w:t>2020; 158: 562-572.</w:t>
            </w:r>
          </w:p>
        </w:tc>
      </w:tr>
      <w:tr w:rsidR="004D1EA7" w:rsidRPr="0085761D" w14:paraId="4527B222" w14:textId="77777777" w:rsidTr="004D1EA7">
        <w:tc>
          <w:tcPr>
            <w:tcW w:w="5000" w:type="pct"/>
            <w:gridSpan w:val="3"/>
            <w:shd w:val="clear" w:color="auto" w:fill="auto"/>
            <w:vAlign w:val="center"/>
          </w:tcPr>
          <w:p w14:paraId="56959FFE" w14:textId="77777777" w:rsidR="004D1EA7" w:rsidRPr="0085761D" w:rsidRDefault="004D1EA7" w:rsidP="004678D2">
            <w:pPr>
              <w:keepNext/>
              <w:jc w:val="left"/>
              <w:rPr>
                <w:rFonts w:ascii="Arial Narrow" w:hAnsi="Arial Narrow" w:cs="Times New Roman"/>
                <w:b/>
                <w:bCs/>
                <w:sz w:val="20"/>
                <w:szCs w:val="20"/>
                <w:lang w:eastAsia="en-US"/>
              </w:rPr>
            </w:pPr>
            <w:r w:rsidRPr="0085761D">
              <w:rPr>
                <w:rFonts w:ascii="Arial Narrow" w:hAnsi="Arial Narrow" w:cs="Times New Roman"/>
                <w:b/>
                <w:bCs/>
                <w:sz w:val="20"/>
                <w:szCs w:val="20"/>
                <w:lang w:eastAsia="en-US"/>
              </w:rPr>
              <w:t>Adalimumab trials</w:t>
            </w:r>
          </w:p>
        </w:tc>
      </w:tr>
      <w:tr w:rsidR="004D1EA7" w:rsidRPr="0085761D" w14:paraId="7FB21E95" w14:textId="77777777" w:rsidTr="004D1EA7">
        <w:trPr>
          <w:trHeight w:val="620"/>
        </w:trPr>
        <w:tc>
          <w:tcPr>
            <w:tcW w:w="705" w:type="pct"/>
            <w:shd w:val="clear" w:color="auto" w:fill="C6D9F1" w:themeFill="text2" w:themeFillTint="33"/>
            <w:vAlign w:val="center"/>
          </w:tcPr>
          <w:p w14:paraId="1EE99A8B"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eastAsia="en-US"/>
              </w:rPr>
              <w:t>ULTRA 1</w:t>
            </w:r>
          </w:p>
          <w:p w14:paraId="02DA9852"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eastAsia="en-US"/>
              </w:rPr>
              <w:t>NCT00385736</w:t>
            </w:r>
          </w:p>
        </w:tc>
        <w:tc>
          <w:tcPr>
            <w:tcW w:w="2797" w:type="pct"/>
            <w:shd w:val="clear" w:color="auto" w:fill="C6D9F1" w:themeFill="text2" w:themeFillTint="33"/>
            <w:vAlign w:val="center"/>
          </w:tcPr>
          <w:p w14:paraId="171242C1" w14:textId="77777777" w:rsidR="004D1EA7" w:rsidRPr="0085761D" w:rsidRDefault="004D1EA7" w:rsidP="004678D2">
            <w:pPr>
              <w:keepNext/>
              <w:jc w:val="left"/>
              <w:rPr>
                <w:rFonts w:ascii="Arial Narrow" w:hAnsi="Arial Narrow" w:cs="Times New Roman"/>
                <w:sz w:val="20"/>
                <w:szCs w:val="20"/>
                <w:lang w:eastAsia="en-US"/>
              </w:rPr>
            </w:pPr>
            <w:r w:rsidRPr="0085761D">
              <w:rPr>
                <w:rFonts w:ascii="Arial Narrow" w:hAnsi="Arial Narrow" w:cs="Times New Roman"/>
                <w:sz w:val="20"/>
                <w:szCs w:val="20"/>
                <w:lang w:val="de-DE" w:eastAsia="en-US"/>
              </w:rPr>
              <w:t xml:space="preserve">Reinisch W, Sandborn WJ, Hommes DW, </w:t>
            </w:r>
            <w:r w:rsidRPr="00916F1D">
              <w:rPr>
                <w:rFonts w:ascii="Arial Narrow" w:hAnsi="Arial Narrow" w:cs="Times New Roman"/>
                <w:iCs/>
                <w:sz w:val="20"/>
                <w:szCs w:val="20"/>
                <w:lang w:val="de-DE" w:eastAsia="en-US"/>
              </w:rPr>
              <w:t>et al.</w:t>
            </w:r>
            <w:r w:rsidRPr="0085761D">
              <w:rPr>
                <w:rFonts w:ascii="Arial Narrow" w:hAnsi="Arial Narrow" w:cs="Times New Roman"/>
                <w:sz w:val="20"/>
                <w:szCs w:val="20"/>
                <w:lang w:val="de-DE" w:eastAsia="en-US"/>
              </w:rPr>
              <w:t xml:space="preserve"> </w:t>
            </w:r>
            <w:r w:rsidRPr="0085761D">
              <w:rPr>
                <w:rFonts w:ascii="Arial Narrow" w:hAnsi="Arial Narrow" w:cs="Times New Roman"/>
                <w:sz w:val="20"/>
                <w:szCs w:val="20"/>
                <w:lang w:eastAsia="en-US"/>
              </w:rPr>
              <w:t>Adalimumab for induction of clinical remission in moderately to severely active UC: results of a randomised controlled trial.</w:t>
            </w:r>
          </w:p>
        </w:tc>
        <w:tc>
          <w:tcPr>
            <w:tcW w:w="1498" w:type="pct"/>
            <w:shd w:val="clear" w:color="auto" w:fill="C6D9F1" w:themeFill="text2" w:themeFillTint="33"/>
            <w:vAlign w:val="center"/>
          </w:tcPr>
          <w:p w14:paraId="3297AC1A" w14:textId="77777777" w:rsidR="004D1EA7" w:rsidRPr="0085761D" w:rsidRDefault="004D1EA7" w:rsidP="004678D2">
            <w:pPr>
              <w:keepNext/>
              <w:jc w:val="left"/>
              <w:rPr>
                <w:rFonts w:ascii="Arial Narrow" w:hAnsi="Arial Narrow" w:cs="Times New Roman"/>
                <w:sz w:val="20"/>
                <w:szCs w:val="20"/>
                <w:lang w:eastAsia="en-US"/>
              </w:rPr>
            </w:pPr>
            <w:r w:rsidRPr="00196815">
              <w:rPr>
                <w:rFonts w:ascii="Arial Narrow" w:hAnsi="Arial Narrow" w:cs="Times New Roman"/>
                <w:sz w:val="20"/>
                <w:szCs w:val="20"/>
                <w:lang w:eastAsia="en-US"/>
              </w:rPr>
              <w:t>Gut</w:t>
            </w:r>
            <w:r w:rsidRPr="0085761D">
              <w:rPr>
                <w:rFonts w:ascii="Arial Narrow" w:hAnsi="Arial Narrow" w:cs="Times New Roman"/>
                <w:i/>
                <w:iCs/>
                <w:sz w:val="20"/>
                <w:szCs w:val="20"/>
                <w:lang w:eastAsia="en-US"/>
              </w:rPr>
              <w:t>.</w:t>
            </w:r>
            <w:r w:rsidRPr="0085761D">
              <w:rPr>
                <w:rFonts w:ascii="Arial Narrow" w:hAnsi="Arial Narrow" w:cs="Times New Roman"/>
                <w:sz w:val="20"/>
                <w:szCs w:val="20"/>
                <w:lang w:eastAsia="en-US"/>
              </w:rPr>
              <w:t xml:space="preserve"> 2011;60(6):780-787</w:t>
            </w:r>
          </w:p>
        </w:tc>
      </w:tr>
      <w:tr w:rsidR="004D1EA7" w:rsidRPr="0085761D" w14:paraId="6E1914A9" w14:textId="77777777" w:rsidTr="004D1EA7">
        <w:tc>
          <w:tcPr>
            <w:tcW w:w="705" w:type="pct"/>
            <w:shd w:val="clear" w:color="auto" w:fill="C6D9F1" w:themeFill="text2" w:themeFillTint="33"/>
            <w:vAlign w:val="center"/>
          </w:tcPr>
          <w:p w14:paraId="6F4C42B8"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ULTRA 2</w:t>
            </w:r>
          </w:p>
          <w:p w14:paraId="5BA89224"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NCT00408629</w:t>
            </w:r>
          </w:p>
        </w:tc>
        <w:tc>
          <w:tcPr>
            <w:tcW w:w="2797" w:type="pct"/>
            <w:shd w:val="clear" w:color="auto" w:fill="C6D9F1" w:themeFill="text2" w:themeFillTint="33"/>
            <w:vAlign w:val="center"/>
          </w:tcPr>
          <w:p w14:paraId="6CFB4E4F"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val="de-DE" w:eastAsia="en-US"/>
              </w:rPr>
              <w:t xml:space="preserve">Sandborn WJ, van Assche G, Reinisch W, et al. </w:t>
            </w:r>
            <w:r w:rsidRPr="0085761D">
              <w:rPr>
                <w:rFonts w:ascii="Arial Narrow" w:hAnsi="Arial Narrow" w:cs="Times New Roman"/>
                <w:sz w:val="20"/>
                <w:szCs w:val="20"/>
                <w:lang w:eastAsia="en-US"/>
              </w:rPr>
              <w:t xml:space="preserve">Adalimumab induces and maintains clinical remission in patients with moderate to severe UC. </w:t>
            </w:r>
          </w:p>
        </w:tc>
        <w:tc>
          <w:tcPr>
            <w:tcW w:w="1498" w:type="pct"/>
            <w:shd w:val="clear" w:color="auto" w:fill="C6D9F1" w:themeFill="text2" w:themeFillTint="33"/>
            <w:vAlign w:val="center"/>
          </w:tcPr>
          <w:p w14:paraId="7FF827BA" w14:textId="77777777" w:rsidR="004D1EA7" w:rsidRPr="0085761D" w:rsidRDefault="004D1EA7" w:rsidP="004D1EA7">
            <w:pPr>
              <w:jc w:val="left"/>
              <w:rPr>
                <w:rFonts w:ascii="Arial Narrow" w:hAnsi="Arial Narrow" w:cs="Times New Roman"/>
                <w:sz w:val="20"/>
                <w:szCs w:val="20"/>
                <w:lang w:eastAsia="en-US"/>
              </w:rPr>
            </w:pPr>
            <w:r w:rsidRPr="00196815">
              <w:rPr>
                <w:rFonts w:ascii="Arial Narrow" w:hAnsi="Arial Narrow" w:cs="Times New Roman"/>
                <w:sz w:val="20"/>
                <w:szCs w:val="20"/>
                <w:lang w:eastAsia="en-US"/>
              </w:rPr>
              <w:t>Gastroenterology.</w:t>
            </w:r>
            <w:r w:rsidRPr="0085761D">
              <w:rPr>
                <w:rFonts w:ascii="Arial Narrow" w:hAnsi="Arial Narrow" w:cs="Times New Roman"/>
                <w:sz w:val="20"/>
                <w:szCs w:val="20"/>
                <w:lang w:eastAsia="en-US"/>
              </w:rPr>
              <w:t xml:space="preserve"> 2012;142(2):257-65[e1-3]</w:t>
            </w:r>
          </w:p>
        </w:tc>
      </w:tr>
      <w:tr w:rsidR="004D1EA7" w:rsidRPr="0085761D" w14:paraId="25AFFD88" w14:textId="77777777" w:rsidTr="004D1EA7">
        <w:tc>
          <w:tcPr>
            <w:tcW w:w="705" w:type="pct"/>
            <w:shd w:val="clear" w:color="auto" w:fill="C6D9F1" w:themeFill="text2" w:themeFillTint="33"/>
            <w:vAlign w:val="center"/>
          </w:tcPr>
          <w:p w14:paraId="533A8E9B"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Suzuki 2014</w:t>
            </w:r>
          </w:p>
          <w:p w14:paraId="087DA9DA"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NCT00853099</w:t>
            </w:r>
          </w:p>
        </w:tc>
        <w:tc>
          <w:tcPr>
            <w:tcW w:w="2797" w:type="pct"/>
            <w:shd w:val="clear" w:color="auto" w:fill="C6D9F1" w:themeFill="text2" w:themeFillTint="33"/>
            <w:vAlign w:val="center"/>
          </w:tcPr>
          <w:p w14:paraId="57E9C5FE"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 xml:space="preserve">Suzuki Y, Motoya S, Hanai H, et al. Efficacy and safety of adalimumab in Japanese patients with moderately to severely active ulcerative colitis. </w:t>
            </w:r>
          </w:p>
        </w:tc>
        <w:tc>
          <w:tcPr>
            <w:tcW w:w="1498" w:type="pct"/>
            <w:shd w:val="clear" w:color="auto" w:fill="C6D9F1" w:themeFill="text2" w:themeFillTint="33"/>
            <w:vAlign w:val="center"/>
          </w:tcPr>
          <w:p w14:paraId="3E5D8B26" w14:textId="77777777" w:rsidR="004D1EA7" w:rsidRPr="0085761D" w:rsidRDefault="004D1EA7" w:rsidP="004D1EA7">
            <w:pPr>
              <w:jc w:val="left"/>
              <w:rPr>
                <w:rFonts w:ascii="Arial Narrow" w:hAnsi="Arial Narrow" w:cs="Times New Roman"/>
                <w:sz w:val="20"/>
                <w:szCs w:val="20"/>
                <w:lang w:eastAsia="en-US"/>
              </w:rPr>
            </w:pPr>
            <w:r w:rsidRPr="00196815">
              <w:rPr>
                <w:rFonts w:ascii="Arial Narrow" w:hAnsi="Arial Narrow" w:cs="Times New Roman"/>
                <w:sz w:val="20"/>
                <w:szCs w:val="20"/>
                <w:lang w:eastAsia="en-US"/>
              </w:rPr>
              <w:t>J Gastroenterol.</w:t>
            </w:r>
            <w:r w:rsidRPr="0085761D">
              <w:rPr>
                <w:rFonts w:ascii="Arial Narrow" w:hAnsi="Arial Narrow" w:cs="Times New Roman"/>
                <w:sz w:val="20"/>
                <w:szCs w:val="20"/>
                <w:lang w:eastAsia="en-US"/>
              </w:rPr>
              <w:t xml:space="preserve"> 2014; 49:283-294.</w:t>
            </w:r>
          </w:p>
        </w:tc>
      </w:tr>
      <w:tr w:rsidR="004D1EA7" w:rsidRPr="0085761D" w14:paraId="08F212EB" w14:textId="77777777" w:rsidTr="004D1EA7">
        <w:tc>
          <w:tcPr>
            <w:tcW w:w="705" w:type="pct"/>
            <w:shd w:val="clear" w:color="auto" w:fill="auto"/>
            <w:vAlign w:val="center"/>
          </w:tcPr>
          <w:p w14:paraId="6B9E243E"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HIBISCUS I</w:t>
            </w:r>
          </w:p>
          <w:p w14:paraId="2CE1568F"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NCT02163759</w:t>
            </w:r>
          </w:p>
        </w:tc>
        <w:tc>
          <w:tcPr>
            <w:tcW w:w="2797" w:type="pct"/>
            <w:vMerge w:val="restart"/>
            <w:shd w:val="clear" w:color="auto" w:fill="auto"/>
            <w:vAlign w:val="center"/>
          </w:tcPr>
          <w:p w14:paraId="5BC2857D"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val="it-IT" w:eastAsia="en-US"/>
              </w:rPr>
              <w:t xml:space="preserve">Rubin D, Dotan I, DuVall A, et al. </w:t>
            </w:r>
            <w:r w:rsidRPr="0085761D">
              <w:rPr>
                <w:rFonts w:ascii="Arial Narrow" w:hAnsi="Arial Narrow" w:cs="Times New Roman"/>
                <w:sz w:val="20"/>
                <w:szCs w:val="20"/>
                <w:lang w:eastAsia="en-US"/>
              </w:rPr>
              <w:t>Etrolizumab versus adalimumab or placebo as induction therapy for moderately to severely active ulcerative colitis (HIBISCUS): two phase 3 randomised, controlled trials.</w:t>
            </w:r>
          </w:p>
        </w:tc>
        <w:tc>
          <w:tcPr>
            <w:tcW w:w="1498" w:type="pct"/>
            <w:vMerge w:val="restart"/>
            <w:shd w:val="clear" w:color="auto" w:fill="auto"/>
            <w:vAlign w:val="center"/>
          </w:tcPr>
          <w:p w14:paraId="5087E892" w14:textId="77777777" w:rsidR="004D1EA7" w:rsidRPr="0085761D" w:rsidRDefault="004D1EA7" w:rsidP="004D1EA7">
            <w:pPr>
              <w:jc w:val="left"/>
              <w:rPr>
                <w:rFonts w:ascii="Arial Narrow" w:hAnsi="Arial Narrow" w:cs="Times New Roman"/>
                <w:i/>
                <w:iCs/>
                <w:sz w:val="20"/>
                <w:szCs w:val="20"/>
                <w:lang w:eastAsia="en-US"/>
              </w:rPr>
            </w:pPr>
            <w:r w:rsidRPr="00196815">
              <w:rPr>
                <w:rFonts w:ascii="Arial Narrow" w:hAnsi="Arial Narrow" w:cs="Times New Roman"/>
                <w:sz w:val="20"/>
                <w:szCs w:val="20"/>
                <w:lang w:eastAsia="en-US"/>
              </w:rPr>
              <w:t>Lancet Gastroenterol Hepatol</w:t>
            </w:r>
            <w:r w:rsidRPr="0085761D">
              <w:rPr>
                <w:rFonts w:ascii="Arial Narrow" w:hAnsi="Arial Narrow" w:cs="Times New Roman"/>
                <w:i/>
                <w:iCs/>
                <w:sz w:val="20"/>
                <w:szCs w:val="20"/>
                <w:lang w:eastAsia="en-US"/>
              </w:rPr>
              <w:t xml:space="preserve"> </w:t>
            </w:r>
            <w:r w:rsidRPr="0085761D">
              <w:rPr>
                <w:rFonts w:ascii="Arial Narrow" w:hAnsi="Arial Narrow" w:cs="Times New Roman"/>
                <w:sz w:val="20"/>
                <w:szCs w:val="20"/>
                <w:lang w:eastAsia="en-US"/>
              </w:rPr>
              <w:t>2022; 7:17-27.</w:t>
            </w:r>
          </w:p>
        </w:tc>
      </w:tr>
      <w:tr w:rsidR="004D1EA7" w:rsidRPr="0085761D" w14:paraId="7AEFC948" w14:textId="77777777" w:rsidTr="004D1EA7">
        <w:tc>
          <w:tcPr>
            <w:tcW w:w="705" w:type="pct"/>
            <w:shd w:val="clear" w:color="auto" w:fill="auto"/>
            <w:vAlign w:val="center"/>
          </w:tcPr>
          <w:p w14:paraId="49CC67BC"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HIBISCUS II</w:t>
            </w:r>
          </w:p>
          <w:p w14:paraId="41B47123"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NCT02171429</w:t>
            </w:r>
          </w:p>
        </w:tc>
        <w:tc>
          <w:tcPr>
            <w:tcW w:w="2797" w:type="pct"/>
            <w:vMerge/>
            <w:shd w:val="clear" w:color="auto" w:fill="auto"/>
            <w:vAlign w:val="center"/>
          </w:tcPr>
          <w:p w14:paraId="42651D63" w14:textId="77777777" w:rsidR="004D1EA7" w:rsidRPr="0085761D" w:rsidRDefault="004D1EA7" w:rsidP="004D1EA7">
            <w:pPr>
              <w:jc w:val="left"/>
              <w:rPr>
                <w:rFonts w:ascii="Arial Narrow" w:hAnsi="Arial Narrow" w:cs="Times New Roman"/>
                <w:sz w:val="20"/>
                <w:szCs w:val="20"/>
                <w:lang w:val="it-IT" w:eastAsia="en-US"/>
              </w:rPr>
            </w:pPr>
          </w:p>
        </w:tc>
        <w:tc>
          <w:tcPr>
            <w:tcW w:w="1498" w:type="pct"/>
            <w:vMerge/>
            <w:shd w:val="clear" w:color="auto" w:fill="auto"/>
            <w:vAlign w:val="center"/>
          </w:tcPr>
          <w:p w14:paraId="3C25385B" w14:textId="77777777" w:rsidR="004D1EA7" w:rsidRPr="0085761D" w:rsidRDefault="004D1EA7" w:rsidP="004D1EA7">
            <w:pPr>
              <w:jc w:val="left"/>
              <w:rPr>
                <w:rFonts w:ascii="Arial Narrow" w:hAnsi="Arial Narrow" w:cs="Times New Roman"/>
                <w:i/>
                <w:iCs/>
                <w:sz w:val="20"/>
                <w:szCs w:val="20"/>
                <w:lang w:eastAsia="en-US"/>
              </w:rPr>
            </w:pPr>
          </w:p>
        </w:tc>
      </w:tr>
      <w:tr w:rsidR="004D1EA7" w:rsidRPr="0085761D" w14:paraId="7D48667A" w14:textId="77777777" w:rsidTr="004D1EA7">
        <w:trPr>
          <w:trHeight w:val="297"/>
        </w:trPr>
        <w:tc>
          <w:tcPr>
            <w:tcW w:w="5000" w:type="pct"/>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09C145" w14:textId="77777777" w:rsidR="004D1EA7" w:rsidRPr="0085761D" w:rsidRDefault="004D1EA7" w:rsidP="004D1EA7">
            <w:pPr>
              <w:jc w:val="left"/>
              <w:rPr>
                <w:rFonts w:ascii="Arial Narrow" w:hAnsi="Arial Narrow" w:cs="Times New Roman"/>
                <w:b/>
                <w:bCs/>
                <w:sz w:val="20"/>
                <w:szCs w:val="20"/>
                <w:lang w:eastAsia="en-US"/>
              </w:rPr>
            </w:pPr>
            <w:r w:rsidRPr="0085761D">
              <w:rPr>
                <w:rFonts w:ascii="Arial Narrow" w:hAnsi="Arial Narrow" w:cs="Times New Roman"/>
                <w:b/>
                <w:bCs/>
                <w:sz w:val="20"/>
                <w:szCs w:val="20"/>
                <w:lang w:eastAsia="en-US"/>
              </w:rPr>
              <w:t>Ustekinumab trial</w:t>
            </w:r>
          </w:p>
        </w:tc>
      </w:tr>
      <w:tr w:rsidR="004D1EA7" w:rsidRPr="0085761D" w14:paraId="17D0CE82" w14:textId="77777777" w:rsidTr="004D1EA7">
        <w:trPr>
          <w:trHeight w:val="519"/>
        </w:trPr>
        <w:tc>
          <w:tcPr>
            <w:tcW w:w="705" w:type="pct"/>
            <w:tcBorders>
              <w:top w:val="single" w:sz="4" w:space="0" w:color="auto"/>
              <w:left w:val="single" w:sz="4" w:space="0" w:color="auto"/>
              <w:bottom w:val="nil"/>
              <w:right w:val="single" w:sz="4" w:space="0" w:color="auto"/>
            </w:tcBorders>
            <w:shd w:val="clear" w:color="auto" w:fill="C6D9F1" w:themeFill="text2" w:themeFillTint="33"/>
            <w:vAlign w:val="center"/>
          </w:tcPr>
          <w:p w14:paraId="5D906488"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UNIFI</w:t>
            </w:r>
          </w:p>
          <w:p w14:paraId="076DAC52"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NCT02407236</w:t>
            </w:r>
          </w:p>
        </w:tc>
        <w:tc>
          <w:tcPr>
            <w:tcW w:w="2797" w:type="pct"/>
            <w:tcBorders>
              <w:top w:val="single" w:sz="4" w:space="0" w:color="auto"/>
              <w:left w:val="single" w:sz="4" w:space="0" w:color="auto"/>
              <w:bottom w:val="nil"/>
              <w:right w:val="single" w:sz="4" w:space="0" w:color="auto"/>
            </w:tcBorders>
            <w:shd w:val="clear" w:color="auto" w:fill="C6D9F1" w:themeFill="text2" w:themeFillTint="33"/>
            <w:vAlign w:val="center"/>
          </w:tcPr>
          <w:p w14:paraId="15788362"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Janssen. A phase 3, randomized, double-blind, placebo-controlled, parallel-group, multicenter study to evaluate the safety and efficacy of ustekinumab induction and maintenance therapy in subjects with moderately to severely active ulcerative colitis. UNIFI.</w:t>
            </w:r>
          </w:p>
        </w:tc>
        <w:tc>
          <w:tcPr>
            <w:tcW w:w="1498" w:type="pct"/>
            <w:tcBorders>
              <w:top w:val="single" w:sz="4" w:space="0" w:color="auto"/>
              <w:left w:val="single" w:sz="4" w:space="0" w:color="auto"/>
              <w:bottom w:val="nil"/>
              <w:right w:val="single" w:sz="4" w:space="0" w:color="auto"/>
            </w:tcBorders>
            <w:shd w:val="clear" w:color="auto" w:fill="C6D9F1" w:themeFill="text2" w:themeFillTint="33"/>
            <w:vAlign w:val="center"/>
          </w:tcPr>
          <w:p w14:paraId="4B5505EA"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Clinical study report – report date: 3 December 2018.</w:t>
            </w:r>
          </w:p>
        </w:tc>
      </w:tr>
      <w:tr w:rsidR="004D1EA7" w:rsidRPr="0085761D" w14:paraId="3F6374BD" w14:textId="77777777" w:rsidTr="004D1EA7">
        <w:trPr>
          <w:trHeight w:val="598"/>
        </w:trPr>
        <w:tc>
          <w:tcPr>
            <w:tcW w:w="705" w:type="pct"/>
            <w:tcBorders>
              <w:top w:val="nil"/>
              <w:left w:val="single" w:sz="4" w:space="0" w:color="auto"/>
              <w:bottom w:val="single" w:sz="4" w:space="0" w:color="auto"/>
              <w:right w:val="single" w:sz="4" w:space="0" w:color="auto"/>
            </w:tcBorders>
            <w:shd w:val="clear" w:color="auto" w:fill="C6D9F1" w:themeFill="text2" w:themeFillTint="33"/>
            <w:vAlign w:val="center"/>
          </w:tcPr>
          <w:p w14:paraId="408F054D" w14:textId="77777777" w:rsidR="004D1EA7" w:rsidRPr="0085761D" w:rsidRDefault="004D1EA7" w:rsidP="004D1EA7">
            <w:pPr>
              <w:jc w:val="left"/>
              <w:rPr>
                <w:rFonts w:ascii="Arial Narrow" w:hAnsi="Arial Narrow" w:cs="Times New Roman"/>
                <w:sz w:val="20"/>
                <w:szCs w:val="20"/>
                <w:lang w:eastAsia="en-US"/>
              </w:rPr>
            </w:pPr>
          </w:p>
        </w:tc>
        <w:tc>
          <w:tcPr>
            <w:tcW w:w="2797" w:type="pct"/>
            <w:tcBorders>
              <w:top w:val="nil"/>
              <w:left w:val="single" w:sz="4" w:space="0" w:color="auto"/>
              <w:bottom w:val="single" w:sz="4" w:space="0" w:color="auto"/>
              <w:right w:val="single" w:sz="4" w:space="0" w:color="auto"/>
            </w:tcBorders>
            <w:shd w:val="clear" w:color="auto" w:fill="C6D9F1" w:themeFill="text2" w:themeFillTint="33"/>
            <w:vAlign w:val="center"/>
          </w:tcPr>
          <w:p w14:paraId="49CB3E07" w14:textId="77777777" w:rsidR="004D1EA7" w:rsidRPr="0085761D" w:rsidRDefault="004D1EA7" w:rsidP="004D1EA7">
            <w:pPr>
              <w:jc w:val="left"/>
              <w:rPr>
                <w:rFonts w:ascii="Arial Narrow" w:hAnsi="Arial Narrow" w:cs="Times New Roman"/>
                <w:sz w:val="20"/>
                <w:szCs w:val="20"/>
                <w:lang w:eastAsia="en-US"/>
              </w:rPr>
            </w:pPr>
            <w:r w:rsidRPr="0085761D">
              <w:rPr>
                <w:rFonts w:ascii="Arial Narrow" w:hAnsi="Arial Narrow" w:cs="Times New Roman"/>
                <w:sz w:val="20"/>
                <w:szCs w:val="20"/>
                <w:lang w:eastAsia="en-US"/>
              </w:rPr>
              <w:t xml:space="preserve">Sands BE, Sandborn R, Panaccione CD, </w:t>
            </w:r>
            <w:r w:rsidRPr="00916F1D">
              <w:rPr>
                <w:rFonts w:ascii="Arial Narrow" w:hAnsi="Arial Narrow" w:cs="Times New Roman"/>
                <w:sz w:val="20"/>
                <w:szCs w:val="20"/>
                <w:lang w:eastAsia="en-US"/>
              </w:rPr>
              <w:t>et al.</w:t>
            </w:r>
            <w:r w:rsidRPr="0085761D">
              <w:rPr>
                <w:rFonts w:ascii="Arial Narrow" w:hAnsi="Arial Narrow" w:cs="Times New Roman"/>
                <w:sz w:val="20"/>
                <w:szCs w:val="20"/>
                <w:lang w:eastAsia="en-US"/>
              </w:rPr>
              <w:t xml:space="preserve"> Ustekinumab as induction and maintenance therapy for ulcerative colitis.</w:t>
            </w:r>
          </w:p>
        </w:tc>
        <w:tc>
          <w:tcPr>
            <w:tcW w:w="1498" w:type="pct"/>
            <w:tcBorders>
              <w:top w:val="nil"/>
              <w:left w:val="single" w:sz="4" w:space="0" w:color="auto"/>
              <w:bottom w:val="single" w:sz="4" w:space="0" w:color="auto"/>
              <w:right w:val="single" w:sz="4" w:space="0" w:color="auto"/>
            </w:tcBorders>
            <w:shd w:val="clear" w:color="auto" w:fill="C6D9F1" w:themeFill="text2" w:themeFillTint="33"/>
            <w:vAlign w:val="center"/>
          </w:tcPr>
          <w:p w14:paraId="15177155" w14:textId="77777777" w:rsidR="004D1EA7" w:rsidRPr="0085761D" w:rsidRDefault="004D1EA7" w:rsidP="004D1EA7">
            <w:pPr>
              <w:jc w:val="left"/>
              <w:rPr>
                <w:rFonts w:ascii="Arial Narrow" w:hAnsi="Arial Narrow" w:cs="Times New Roman"/>
                <w:sz w:val="20"/>
                <w:szCs w:val="20"/>
                <w:lang w:eastAsia="en-US"/>
              </w:rPr>
            </w:pPr>
            <w:r w:rsidRPr="00196815">
              <w:rPr>
                <w:rFonts w:ascii="Arial Narrow" w:hAnsi="Arial Narrow" w:cs="Times New Roman"/>
                <w:sz w:val="20"/>
                <w:szCs w:val="20"/>
                <w:lang w:eastAsia="en-US"/>
              </w:rPr>
              <w:t>N Engl J Med</w:t>
            </w:r>
            <w:r w:rsidRPr="0085761D">
              <w:rPr>
                <w:rFonts w:ascii="Arial Narrow" w:hAnsi="Arial Narrow" w:cs="Times New Roman"/>
                <w:i/>
                <w:iCs/>
                <w:sz w:val="20"/>
                <w:szCs w:val="20"/>
                <w:lang w:eastAsia="en-US"/>
              </w:rPr>
              <w:t>.</w:t>
            </w:r>
            <w:r w:rsidRPr="0085761D">
              <w:rPr>
                <w:rFonts w:ascii="Arial Narrow" w:hAnsi="Arial Narrow" w:cs="Times New Roman"/>
                <w:sz w:val="20"/>
                <w:szCs w:val="20"/>
                <w:lang w:eastAsia="en-US"/>
              </w:rPr>
              <w:t xml:space="preserve"> 2019; 381 (13): 1201-1214.</w:t>
            </w:r>
          </w:p>
        </w:tc>
      </w:tr>
    </w:tbl>
    <w:p w14:paraId="65824C9A" w14:textId="77777777" w:rsidR="004D1EA7" w:rsidRPr="0085761D" w:rsidRDefault="004D1EA7" w:rsidP="004D1EA7">
      <w:pPr>
        <w:pStyle w:val="TableFigureFooter"/>
        <w:rPr>
          <w:sz w:val="20"/>
          <w:szCs w:val="20"/>
          <w:lang w:eastAsia="en-US"/>
        </w:rPr>
      </w:pPr>
      <w:r w:rsidRPr="0085761D">
        <w:rPr>
          <w:rFonts w:eastAsiaTheme="minorEastAsia"/>
          <w:sz w:val="20"/>
          <w:szCs w:val="20"/>
          <w:lang w:eastAsia="en-US"/>
        </w:rPr>
        <w:t xml:space="preserve">Source: Table 18, pp.78-79 of the submission. </w:t>
      </w:r>
      <w:r w:rsidRPr="0085761D">
        <w:rPr>
          <w:sz w:val="20"/>
          <w:szCs w:val="20"/>
          <w:shd w:val="clear" w:color="auto" w:fill="C6D9F1" w:themeFill="text2" w:themeFillTint="33"/>
          <w:lang w:eastAsia="en-US"/>
        </w:rPr>
        <w:t>Shaded</w:t>
      </w:r>
      <w:r w:rsidRPr="0085761D">
        <w:rPr>
          <w:sz w:val="20"/>
          <w:szCs w:val="20"/>
          <w:shd w:val="clear" w:color="auto" w:fill="DBE5F1" w:themeFill="accent1" w:themeFillTint="33"/>
          <w:lang w:eastAsia="en-US"/>
        </w:rPr>
        <w:t xml:space="preserve"> </w:t>
      </w:r>
      <w:r w:rsidRPr="0085761D">
        <w:rPr>
          <w:sz w:val="20"/>
          <w:szCs w:val="20"/>
          <w:lang w:eastAsia="en-US"/>
        </w:rPr>
        <w:t>areas indicate data previously seen by the PBAC.</w:t>
      </w:r>
    </w:p>
    <w:p w14:paraId="52C196E5" w14:textId="165C35C6" w:rsidR="004D1EA7" w:rsidRPr="00E23659" w:rsidRDefault="004D1EA7" w:rsidP="00CC56E0">
      <w:pPr>
        <w:pStyle w:val="3-BodyText"/>
        <w:rPr>
          <w:rFonts w:cstheme="minorHAnsi"/>
        </w:rPr>
      </w:pPr>
      <w:r w:rsidRPr="00E70C0C">
        <w:rPr>
          <w:rFonts w:cstheme="minorHAnsi"/>
        </w:rPr>
        <w:t xml:space="preserve">The key features of the included evidence are summarised in </w:t>
      </w:r>
      <w:r w:rsidR="00CC56E0">
        <w:rPr>
          <w:rFonts w:cstheme="minorHAnsi"/>
        </w:rPr>
        <w:t xml:space="preserve">Table </w:t>
      </w:r>
      <w:r w:rsidR="00CC56E0" w:rsidRPr="001E66E8">
        <w:rPr>
          <w:rFonts w:cstheme="minorHAnsi"/>
          <w:b/>
        </w:rPr>
        <w:fldChar w:fldCharType="begin" w:fldLock="1"/>
      </w:r>
      <w:r w:rsidR="00CC56E0" w:rsidRPr="001E66E8">
        <w:rPr>
          <w:rFonts w:cstheme="minorHAnsi"/>
          <w:b/>
        </w:rPr>
        <w:instrText xml:space="preserve"> REF _Ref135048235 \h </w:instrText>
      </w:r>
      <w:r w:rsidR="001E66E8" w:rsidRPr="001E66E8">
        <w:rPr>
          <w:rFonts w:cstheme="minorHAnsi"/>
          <w:b/>
        </w:rPr>
        <w:instrText xml:space="preserve"> \* MERGEFORMAT </w:instrText>
      </w:r>
      <w:r w:rsidR="00CC56E0" w:rsidRPr="001E66E8">
        <w:rPr>
          <w:rFonts w:cstheme="minorHAnsi"/>
          <w:b/>
        </w:rPr>
      </w:r>
      <w:r w:rsidR="00CC56E0" w:rsidRPr="001E66E8">
        <w:rPr>
          <w:rFonts w:cstheme="minorHAnsi"/>
          <w:b/>
        </w:rPr>
        <w:fldChar w:fldCharType="separate"/>
      </w:r>
      <w:r w:rsidR="00CC56E0" w:rsidRPr="001E66E8">
        <w:rPr>
          <w:rStyle w:val="CommentReference"/>
          <w:rFonts w:asciiTheme="minorHAnsi" w:eastAsiaTheme="majorEastAsia" w:hAnsiTheme="minorHAnsi" w:cstheme="minorHAnsi"/>
          <w:b w:val="0"/>
          <w:noProof/>
          <w:sz w:val="24"/>
          <w:szCs w:val="24"/>
        </w:rPr>
        <w:t>3</w:t>
      </w:r>
      <w:r w:rsidR="00CC56E0" w:rsidRPr="001E66E8">
        <w:rPr>
          <w:rFonts w:cstheme="minorHAnsi"/>
          <w:b/>
        </w:rPr>
        <w:fldChar w:fldCharType="end"/>
      </w:r>
      <w:r w:rsidRPr="00E23659">
        <w:rPr>
          <w:rFonts w:cstheme="minorHAnsi"/>
        </w:rPr>
        <w:t>.</w:t>
      </w:r>
      <w:bookmarkStart w:id="25" w:name="_Ref104804098"/>
    </w:p>
    <w:p w14:paraId="67C6BF0F" w14:textId="1FE33A4F" w:rsidR="004D1EA7" w:rsidRPr="00EF13BB" w:rsidRDefault="004D1EA7" w:rsidP="00A06F1A">
      <w:pPr>
        <w:pStyle w:val="3-BodyText"/>
        <w:keepNext/>
        <w:numPr>
          <w:ilvl w:val="0"/>
          <w:numId w:val="0"/>
        </w:numPr>
        <w:spacing w:after="0"/>
        <w:rPr>
          <w:rFonts w:ascii="Arial Narrow" w:eastAsiaTheme="majorEastAsia" w:hAnsi="Arial Narrow" w:cstheme="majorBidi"/>
          <w:b/>
          <w:snapToGrid/>
          <w:sz w:val="20"/>
        </w:rPr>
      </w:pPr>
      <w:bookmarkStart w:id="26" w:name="_Ref135048235"/>
      <w:r w:rsidRPr="00EF13BB">
        <w:rPr>
          <w:rStyle w:val="CommentReference"/>
          <w:rFonts w:eastAsiaTheme="majorEastAsia" w:cstheme="majorBidi"/>
          <w:szCs w:val="24"/>
        </w:rPr>
        <w:lastRenderedPageBreak/>
        <w:t xml:space="preserve">Table </w:t>
      </w:r>
      <w:r w:rsidRPr="00EF13BB">
        <w:rPr>
          <w:rStyle w:val="CommentReference"/>
          <w:rFonts w:eastAsiaTheme="majorEastAsia" w:cstheme="majorBidi"/>
          <w:szCs w:val="24"/>
        </w:rPr>
        <w:fldChar w:fldCharType="begin" w:fldLock="1"/>
      </w:r>
      <w:r w:rsidRPr="00EF13BB">
        <w:rPr>
          <w:rStyle w:val="CommentReference"/>
          <w:rFonts w:eastAsiaTheme="majorEastAsia" w:cstheme="majorBidi"/>
          <w:szCs w:val="24"/>
        </w:rPr>
        <w:instrText xml:space="preserve"> SEQ Table \* ARABIC </w:instrText>
      </w:r>
      <w:r w:rsidRPr="00EF13BB">
        <w:rPr>
          <w:rStyle w:val="CommentReference"/>
          <w:rFonts w:eastAsiaTheme="majorEastAsia" w:cstheme="majorBidi"/>
          <w:szCs w:val="24"/>
        </w:rPr>
        <w:fldChar w:fldCharType="separate"/>
      </w:r>
      <w:r w:rsidR="0005097F">
        <w:rPr>
          <w:rStyle w:val="CommentReference"/>
          <w:rFonts w:eastAsiaTheme="majorEastAsia" w:cstheme="majorBidi"/>
          <w:noProof/>
          <w:szCs w:val="24"/>
        </w:rPr>
        <w:t>3</w:t>
      </w:r>
      <w:r w:rsidRPr="00EF13BB">
        <w:rPr>
          <w:rStyle w:val="CommentReference"/>
          <w:rFonts w:eastAsiaTheme="majorEastAsia" w:cstheme="majorBidi"/>
          <w:szCs w:val="24"/>
        </w:rPr>
        <w:fldChar w:fldCharType="end"/>
      </w:r>
      <w:bookmarkEnd w:id="25"/>
      <w:bookmarkEnd w:id="26"/>
      <w:r w:rsidRPr="00EF13BB">
        <w:rPr>
          <w:rStyle w:val="CommentReference"/>
          <w:rFonts w:eastAsiaTheme="majorEastAsia" w:cstheme="majorBidi"/>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107"/>
        <w:gridCol w:w="972"/>
        <w:gridCol w:w="2079"/>
        <w:gridCol w:w="974"/>
        <w:gridCol w:w="1250"/>
        <w:gridCol w:w="2635"/>
      </w:tblGrid>
      <w:tr w:rsidR="004D1EA7" w:rsidRPr="004F325E" w14:paraId="2B661A75" w14:textId="77777777" w:rsidTr="0005097F">
        <w:trPr>
          <w:cantSplit/>
          <w:tblHeader/>
        </w:trPr>
        <w:tc>
          <w:tcPr>
            <w:tcW w:w="614" w:type="pct"/>
            <w:shd w:val="clear" w:color="auto" w:fill="auto"/>
            <w:vAlign w:val="center"/>
          </w:tcPr>
          <w:p w14:paraId="4E9C838E" w14:textId="77777777" w:rsidR="004D1EA7" w:rsidRPr="004F325E" w:rsidRDefault="004D1EA7" w:rsidP="004D1EA7">
            <w:pPr>
              <w:jc w:val="left"/>
              <w:rPr>
                <w:rFonts w:ascii="Arial Narrow" w:eastAsiaTheme="minorEastAsia" w:hAnsi="Arial Narrow" w:cs="Times New Roman"/>
                <w:b/>
                <w:sz w:val="20"/>
                <w:szCs w:val="20"/>
                <w:lang w:eastAsia="en-US"/>
              </w:rPr>
            </w:pPr>
            <w:r w:rsidRPr="004F325E">
              <w:rPr>
                <w:rFonts w:ascii="Arial Narrow" w:eastAsiaTheme="minorEastAsia" w:hAnsi="Arial Narrow" w:cs="Times New Roman"/>
                <w:b/>
                <w:sz w:val="20"/>
                <w:szCs w:val="20"/>
                <w:lang w:eastAsia="en-US"/>
              </w:rPr>
              <w:t>Trial</w:t>
            </w:r>
          </w:p>
        </w:tc>
        <w:tc>
          <w:tcPr>
            <w:tcW w:w="539" w:type="pct"/>
            <w:shd w:val="clear" w:color="auto" w:fill="auto"/>
            <w:vAlign w:val="center"/>
          </w:tcPr>
          <w:p w14:paraId="656FC802" w14:textId="77777777" w:rsidR="004D1EA7" w:rsidRPr="004F325E" w:rsidRDefault="004D1EA7" w:rsidP="004D1EA7">
            <w:pPr>
              <w:jc w:val="center"/>
              <w:rPr>
                <w:rFonts w:ascii="Arial Narrow" w:eastAsiaTheme="minorEastAsia" w:hAnsi="Arial Narrow" w:cs="Times New Roman"/>
                <w:b/>
                <w:sz w:val="20"/>
                <w:szCs w:val="20"/>
                <w:lang w:eastAsia="en-US"/>
              </w:rPr>
            </w:pPr>
            <w:r w:rsidRPr="004F325E">
              <w:rPr>
                <w:rFonts w:ascii="Arial Narrow" w:eastAsiaTheme="minorEastAsia" w:hAnsi="Arial Narrow" w:cs="Times New Roman"/>
                <w:b/>
                <w:sz w:val="20"/>
                <w:szCs w:val="20"/>
                <w:lang w:eastAsia="en-US"/>
              </w:rPr>
              <w:t>N</w:t>
            </w:r>
          </w:p>
        </w:tc>
        <w:tc>
          <w:tcPr>
            <w:tcW w:w="1153" w:type="pct"/>
            <w:shd w:val="clear" w:color="auto" w:fill="auto"/>
            <w:vAlign w:val="center"/>
          </w:tcPr>
          <w:p w14:paraId="0C58E460" w14:textId="77777777" w:rsidR="004D1EA7" w:rsidRPr="004F325E" w:rsidRDefault="004D1EA7" w:rsidP="004D1EA7">
            <w:pPr>
              <w:jc w:val="center"/>
              <w:rPr>
                <w:rFonts w:ascii="Arial Narrow" w:eastAsiaTheme="minorEastAsia" w:hAnsi="Arial Narrow" w:cs="Times New Roman"/>
                <w:b/>
                <w:sz w:val="20"/>
                <w:szCs w:val="20"/>
                <w:lang w:eastAsia="en-US"/>
              </w:rPr>
            </w:pPr>
            <w:r w:rsidRPr="004F325E">
              <w:rPr>
                <w:rFonts w:ascii="Arial Narrow" w:eastAsiaTheme="minorEastAsia" w:hAnsi="Arial Narrow" w:cs="Times New Roman"/>
                <w:b/>
                <w:sz w:val="20"/>
                <w:szCs w:val="20"/>
                <w:lang w:eastAsia="en-US"/>
              </w:rPr>
              <w:t>Design/ duration</w:t>
            </w:r>
          </w:p>
        </w:tc>
        <w:tc>
          <w:tcPr>
            <w:tcW w:w="540" w:type="pct"/>
            <w:shd w:val="clear" w:color="auto" w:fill="auto"/>
            <w:vAlign w:val="center"/>
          </w:tcPr>
          <w:p w14:paraId="493DDCB7" w14:textId="77777777" w:rsidR="004D1EA7" w:rsidRPr="004F325E" w:rsidRDefault="004D1EA7" w:rsidP="004D1EA7">
            <w:pPr>
              <w:jc w:val="center"/>
              <w:rPr>
                <w:rFonts w:ascii="Arial Narrow" w:eastAsiaTheme="minorEastAsia" w:hAnsi="Arial Narrow" w:cs="Times New Roman"/>
                <w:b/>
                <w:sz w:val="20"/>
                <w:szCs w:val="20"/>
                <w:lang w:eastAsia="en-US"/>
              </w:rPr>
            </w:pPr>
            <w:r w:rsidRPr="004F325E">
              <w:rPr>
                <w:rFonts w:ascii="Arial Narrow" w:eastAsiaTheme="minorEastAsia" w:hAnsi="Arial Narrow" w:cs="Times New Roman"/>
                <w:b/>
                <w:sz w:val="20"/>
                <w:szCs w:val="20"/>
                <w:lang w:eastAsia="en-US"/>
              </w:rPr>
              <w:t>Risk of bias</w:t>
            </w:r>
          </w:p>
        </w:tc>
        <w:tc>
          <w:tcPr>
            <w:tcW w:w="693" w:type="pct"/>
            <w:shd w:val="clear" w:color="auto" w:fill="auto"/>
            <w:vAlign w:val="center"/>
          </w:tcPr>
          <w:p w14:paraId="654927E7" w14:textId="77777777" w:rsidR="004D1EA7" w:rsidRPr="004F325E" w:rsidRDefault="004D1EA7" w:rsidP="004D1EA7">
            <w:pPr>
              <w:jc w:val="center"/>
              <w:rPr>
                <w:rFonts w:ascii="Arial Narrow" w:eastAsiaTheme="minorEastAsia" w:hAnsi="Arial Narrow" w:cs="Times New Roman"/>
                <w:b/>
                <w:sz w:val="20"/>
                <w:szCs w:val="20"/>
                <w:lang w:eastAsia="en-US"/>
              </w:rPr>
            </w:pPr>
            <w:r w:rsidRPr="004F325E">
              <w:rPr>
                <w:rFonts w:ascii="Arial Narrow" w:eastAsiaTheme="minorEastAsia" w:hAnsi="Arial Narrow" w:cs="Times New Roman"/>
                <w:b/>
                <w:sz w:val="20"/>
                <w:szCs w:val="20"/>
                <w:lang w:eastAsia="en-US"/>
              </w:rPr>
              <w:t>Patient population</w:t>
            </w:r>
          </w:p>
        </w:tc>
        <w:tc>
          <w:tcPr>
            <w:tcW w:w="1461" w:type="pct"/>
            <w:shd w:val="clear" w:color="auto" w:fill="auto"/>
            <w:vAlign w:val="center"/>
          </w:tcPr>
          <w:p w14:paraId="428CB770" w14:textId="77777777" w:rsidR="004D1EA7" w:rsidRPr="004F325E" w:rsidRDefault="004D1EA7" w:rsidP="004D1EA7">
            <w:pPr>
              <w:jc w:val="center"/>
              <w:rPr>
                <w:rFonts w:ascii="Arial Narrow" w:eastAsiaTheme="minorEastAsia" w:hAnsi="Arial Narrow" w:cs="Times New Roman"/>
                <w:b/>
                <w:sz w:val="20"/>
                <w:szCs w:val="20"/>
                <w:lang w:eastAsia="en-US"/>
              </w:rPr>
            </w:pPr>
            <w:r w:rsidRPr="004F325E">
              <w:rPr>
                <w:rFonts w:ascii="Arial Narrow" w:eastAsiaTheme="minorEastAsia" w:hAnsi="Arial Narrow" w:cs="Times New Roman"/>
                <w:b/>
                <w:sz w:val="20"/>
                <w:szCs w:val="20"/>
                <w:lang w:eastAsia="en-US"/>
              </w:rPr>
              <w:t>Key outcome(s)</w:t>
            </w:r>
          </w:p>
        </w:tc>
      </w:tr>
      <w:tr w:rsidR="004D1EA7" w:rsidRPr="004F325E" w14:paraId="4E40715A" w14:textId="77777777" w:rsidTr="0005097F">
        <w:trPr>
          <w:cantSplit/>
        </w:trPr>
        <w:tc>
          <w:tcPr>
            <w:tcW w:w="5000" w:type="pct"/>
            <w:gridSpan w:val="6"/>
            <w:shd w:val="clear" w:color="auto" w:fill="auto"/>
            <w:vAlign w:val="center"/>
          </w:tcPr>
          <w:p w14:paraId="0711BB05" w14:textId="77777777" w:rsidR="004D1EA7" w:rsidRPr="004F325E" w:rsidRDefault="004D1EA7" w:rsidP="004D1EA7">
            <w:pPr>
              <w:jc w:val="left"/>
              <w:rPr>
                <w:rFonts w:ascii="Arial Narrow" w:eastAsiaTheme="minorEastAsia" w:hAnsi="Arial Narrow" w:cs="Times New Roman"/>
                <w:b/>
                <w:sz w:val="20"/>
                <w:szCs w:val="20"/>
                <w:lang w:eastAsia="en-US"/>
              </w:rPr>
            </w:pPr>
            <w:r w:rsidRPr="004F325E">
              <w:rPr>
                <w:rFonts w:ascii="Arial Narrow" w:eastAsiaTheme="minorEastAsia" w:hAnsi="Arial Narrow" w:cs="Times New Roman"/>
                <w:b/>
                <w:sz w:val="20"/>
                <w:szCs w:val="20"/>
                <w:lang w:eastAsia="en-US"/>
              </w:rPr>
              <w:t>MIRI vs PBO</w:t>
            </w:r>
          </w:p>
        </w:tc>
      </w:tr>
      <w:tr w:rsidR="004D1EA7" w:rsidRPr="004F325E" w14:paraId="69F766DA" w14:textId="77777777" w:rsidTr="0005097F">
        <w:trPr>
          <w:cantSplit/>
          <w:trHeight w:val="765"/>
        </w:trPr>
        <w:tc>
          <w:tcPr>
            <w:tcW w:w="614" w:type="pct"/>
            <w:shd w:val="clear" w:color="auto" w:fill="auto"/>
            <w:vAlign w:val="center"/>
          </w:tcPr>
          <w:p w14:paraId="19496EED"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LUCENT 1 [induction]</w:t>
            </w:r>
          </w:p>
          <w:p w14:paraId="31313CC9"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2018-2021</w:t>
            </w:r>
          </w:p>
        </w:tc>
        <w:tc>
          <w:tcPr>
            <w:tcW w:w="539" w:type="pct"/>
            <w:shd w:val="clear" w:color="auto" w:fill="auto"/>
            <w:vAlign w:val="center"/>
          </w:tcPr>
          <w:p w14:paraId="48F5B7D2"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1162</w:t>
            </w:r>
          </w:p>
        </w:tc>
        <w:tc>
          <w:tcPr>
            <w:tcW w:w="1153" w:type="pct"/>
            <w:shd w:val="clear" w:color="auto" w:fill="auto"/>
            <w:vAlign w:val="center"/>
          </w:tcPr>
          <w:p w14:paraId="1599D419"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P3, MC, R, PC, DB (12 wk induction)</w:t>
            </w:r>
          </w:p>
        </w:tc>
        <w:tc>
          <w:tcPr>
            <w:tcW w:w="540" w:type="pct"/>
            <w:shd w:val="clear" w:color="auto" w:fill="auto"/>
            <w:vAlign w:val="center"/>
          </w:tcPr>
          <w:p w14:paraId="496A90A2"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Low</w:t>
            </w:r>
          </w:p>
        </w:tc>
        <w:tc>
          <w:tcPr>
            <w:tcW w:w="693" w:type="pct"/>
            <w:shd w:val="clear" w:color="auto" w:fill="auto"/>
            <w:vAlign w:val="center"/>
          </w:tcPr>
          <w:p w14:paraId="183B709E" w14:textId="45621213" w:rsidR="004D1EA7" w:rsidRPr="004F325E" w:rsidRDefault="004D1EA7" w:rsidP="004D1EA7">
            <w:pPr>
              <w:jc w:val="center"/>
              <w:rPr>
                <w:rFonts w:ascii="Arial Narrow" w:eastAsiaTheme="minorEastAsia" w:hAnsi="Arial Narrow" w:cs="Times New Roman"/>
                <w:iCs/>
                <w:sz w:val="20"/>
                <w:szCs w:val="20"/>
                <w:lang w:val="fr-FR" w:eastAsia="en-US"/>
              </w:rPr>
            </w:pPr>
            <w:r w:rsidRPr="004F325E">
              <w:rPr>
                <w:rFonts w:ascii="Arial Narrow" w:eastAsiaTheme="minorEastAsia" w:hAnsi="Arial Narrow" w:cs="Times New Roman"/>
                <w:iCs/>
                <w:sz w:val="20"/>
                <w:szCs w:val="20"/>
                <w:lang w:val="fr-FR" w:eastAsia="en-US"/>
              </w:rPr>
              <w:t>TNFi-e</w:t>
            </w:r>
            <w:r w:rsidR="00F756B4">
              <w:rPr>
                <w:rFonts w:ascii="Arial Narrow" w:eastAsiaTheme="minorEastAsia" w:hAnsi="Arial Narrow" w:cs="Times New Roman"/>
                <w:iCs/>
                <w:sz w:val="20"/>
                <w:szCs w:val="20"/>
                <w:lang w:val="fr-FR" w:eastAsia="en-US"/>
              </w:rPr>
              <w:t> ; TNFi-n</w:t>
            </w:r>
          </w:p>
        </w:tc>
        <w:tc>
          <w:tcPr>
            <w:tcW w:w="1461" w:type="pct"/>
            <w:shd w:val="clear" w:color="auto" w:fill="auto"/>
            <w:vAlign w:val="center"/>
          </w:tcPr>
          <w:p w14:paraId="3B5C281A"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remission (MMS)</w:t>
            </w:r>
          </w:p>
          <w:p w14:paraId="597B4AF4"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response (MMS), endoscopic remission, symptomatic remission</w:t>
            </w:r>
          </w:p>
        </w:tc>
      </w:tr>
      <w:tr w:rsidR="004D1EA7" w:rsidRPr="004F325E" w14:paraId="03FC591F" w14:textId="77777777" w:rsidTr="0005097F">
        <w:trPr>
          <w:cantSplit/>
          <w:trHeight w:val="782"/>
        </w:trPr>
        <w:tc>
          <w:tcPr>
            <w:tcW w:w="614" w:type="pct"/>
            <w:shd w:val="clear" w:color="auto" w:fill="auto"/>
            <w:vAlign w:val="center"/>
          </w:tcPr>
          <w:p w14:paraId="5331AED5"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LUCENT 2 [maintenance]</w:t>
            </w:r>
          </w:p>
          <w:p w14:paraId="340D01F6"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2018-2021</w:t>
            </w:r>
          </w:p>
        </w:tc>
        <w:tc>
          <w:tcPr>
            <w:tcW w:w="539" w:type="pct"/>
            <w:shd w:val="clear" w:color="auto" w:fill="auto"/>
            <w:vAlign w:val="center"/>
          </w:tcPr>
          <w:p w14:paraId="72111960"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MP:544</w:t>
            </w:r>
            <w:r w:rsidRPr="004F325E">
              <w:rPr>
                <w:rFonts w:ascii="Arial Narrow" w:eastAsiaTheme="minorEastAsia" w:hAnsi="Arial Narrow" w:cs="Times New Roman"/>
                <w:sz w:val="20"/>
                <w:szCs w:val="20"/>
                <w:vertAlign w:val="superscript"/>
                <w:lang w:eastAsia="en-US"/>
              </w:rPr>
              <w:t>a</w:t>
            </w:r>
          </w:p>
        </w:tc>
        <w:tc>
          <w:tcPr>
            <w:tcW w:w="1153" w:type="pct"/>
            <w:shd w:val="clear" w:color="auto" w:fill="auto"/>
            <w:vAlign w:val="center"/>
          </w:tcPr>
          <w:p w14:paraId="15075E01"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P3, MC, R, PC, DB (maintenance to Wk 52)</w:t>
            </w:r>
          </w:p>
        </w:tc>
        <w:tc>
          <w:tcPr>
            <w:tcW w:w="540" w:type="pct"/>
            <w:shd w:val="clear" w:color="auto" w:fill="auto"/>
            <w:vAlign w:val="center"/>
          </w:tcPr>
          <w:p w14:paraId="56AE1604" w14:textId="681E9E68" w:rsidR="004D1EA7" w:rsidRPr="00196815" w:rsidRDefault="00074B58" w:rsidP="004D1EA7">
            <w:pPr>
              <w:jc w:val="center"/>
              <w:rPr>
                <w:rFonts w:ascii="Arial Narrow" w:eastAsiaTheme="minorEastAsia" w:hAnsi="Arial Narrow" w:cs="Times New Roman"/>
                <w:sz w:val="20"/>
                <w:szCs w:val="20"/>
                <w:lang w:eastAsia="en-US"/>
              </w:rPr>
            </w:pPr>
            <w:r w:rsidRPr="00196815">
              <w:rPr>
                <w:rFonts w:ascii="Arial Narrow" w:eastAsiaTheme="minorEastAsia" w:hAnsi="Arial Narrow" w:cs="Times New Roman"/>
                <w:sz w:val="20"/>
                <w:szCs w:val="20"/>
                <w:lang w:eastAsia="en-US"/>
              </w:rPr>
              <w:t>Some concerns</w:t>
            </w:r>
          </w:p>
        </w:tc>
        <w:tc>
          <w:tcPr>
            <w:tcW w:w="693" w:type="pct"/>
            <w:shd w:val="clear" w:color="auto" w:fill="auto"/>
            <w:vAlign w:val="center"/>
          </w:tcPr>
          <w:p w14:paraId="6F8F867F" w14:textId="462FDD34" w:rsidR="004D1EA7" w:rsidRPr="004F325E" w:rsidRDefault="00F756B4" w:rsidP="004D1EA7">
            <w:pPr>
              <w:jc w:val="center"/>
              <w:rPr>
                <w:rFonts w:ascii="Arial Narrow" w:eastAsiaTheme="minorEastAsia" w:hAnsi="Arial Narrow" w:cs="Times New Roman"/>
                <w:iCs/>
                <w:sz w:val="20"/>
                <w:szCs w:val="20"/>
                <w:vertAlign w:val="superscript"/>
                <w:lang w:val="fr-FR" w:eastAsia="en-US"/>
              </w:rPr>
            </w:pPr>
            <w:r>
              <w:rPr>
                <w:rFonts w:ascii="Arial Narrow" w:eastAsiaTheme="minorEastAsia" w:hAnsi="Arial Narrow" w:cs="Times New Roman"/>
                <w:iCs/>
                <w:sz w:val="20"/>
                <w:szCs w:val="20"/>
                <w:lang w:val="fr-FR" w:eastAsia="en-US"/>
              </w:rPr>
              <w:t xml:space="preserve">LUCENT 1- </w:t>
            </w:r>
          </w:p>
          <w:p w14:paraId="70279751" w14:textId="77777777" w:rsidR="004D1EA7" w:rsidRPr="004F325E" w:rsidRDefault="004D1EA7" w:rsidP="004D1EA7">
            <w:pPr>
              <w:jc w:val="center"/>
              <w:rPr>
                <w:rFonts w:ascii="Arial Narrow" w:eastAsiaTheme="minorEastAsia" w:hAnsi="Arial Narrow" w:cs="Times New Roman"/>
                <w:iCs/>
                <w:sz w:val="20"/>
                <w:szCs w:val="20"/>
                <w:lang w:val="fr-FR" w:eastAsia="en-US"/>
              </w:rPr>
            </w:pPr>
            <w:r w:rsidRPr="004F325E">
              <w:rPr>
                <w:rFonts w:ascii="Arial Narrow" w:eastAsiaTheme="minorEastAsia" w:hAnsi="Arial Narrow" w:cs="Times New Roman"/>
                <w:iCs/>
                <w:sz w:val="20"/>
                <w:szCs w:val="20"/>
                <w:lang w:val="fr-FR" w:eastAsia="en-US"/>
              </w:rPr>
              <w:t>Wk 12 active responders</w:t>
            </w:r>
          </w:p>
        </w:tc>
        <w:tc>
          <w:tcPr>
            <w:tcW w:w="1461" w:type="pct"/>
            <w:shd w:val="clear" w:color="auto" w:fill="auto"/>
            <w:vAlign w:val="center"/>
          </w:tcPr>
          <w:p w14:paraId="39E4EEE5"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remission (MMS)</w:t>
            </w:r>
          </w:p>
          <w:p w14:paraId="1EAD9365"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response (MMS), endoscopic healing, corticosteroid-free remission</w:t>
            </w:r>
          </w:p>
        </w:tc>
      </w:tr>
      <w:tr w:rsidR="004D1EA7" w:rsidRPr="004F325E" w14:paraId="56B69BDA" w14:textId="77777777" w:rsidTr="0005097F">
        <w:trPr>
          <w:cantSplit/>
        </w:trPr>
        <w:tc>
          <w:tcPr>
            <w:tcW w:w="5000" w:type="pct"/>
            <w:gridSpan w:val="6"/>
            <w:shd w:val="clear" w:color="auto" w:fill="C6D9F1" w:themeFill="text2" w:themeFillTint="33"/>
            <w:vAlign w:val="center"/>
          </w:tcPr>
          <w:p w14:paraId="02F39C0F" w14:textId="77777777" w:rsidR="004D1EA7" w:rsidRPr="004F325E" w:rsidRDefault="004D1EA7" w:rsidP="004D1EA7">
            <w:pPr>
              <w:jc w:val="left"/>
              <w:rPr>
                <w:rFonts w:ascii="Arial Narrow" w:eastAsiaTheme="minorEastAsia" w:hAnsi="Arial Narrow" w:cs="Times New Roman"/>
                <w:b/>
                <w:bCs/>
                <w:sz w:val="20"/>
                <w:szCs w:val="20"/>
                <w:lang w:eastAsia="en-US"/>
              </w:rPr>
            </w:pPr>
            <w:r w:rsidRPr="004F325E">
              <w:rPr>
                <w:rFonts w:ascii="Arial Narrow" w:eastAsiaTheme="minorEastAsia" w:hAnsi="Arial Narrow" w:cs="Times New Roman"/>
                <w:b/>
                <w:bCs/>
                <w:sz w:val="20"/>
                <w:szCs w:val="20"/>
                <w:lang w:eastAsia="en-US"/>
              </w:rPr>
              <w:t>VDZ v PBO</w:t>
            </w:r>
          </w:p>
        </w:tc>
      </w:tr>
      <w:tr w:rsidR="004D1EA7" w:rsidRPr="004F325E" w14:paraId="5E13F3EB" w14:textId="77777777" w:rsidTr="0005097F">
        <w:trPr>
          <w:cantSplit/>
        </w:trPr>
        <w:tc>
          <w:tcPr>
            <w:tcW w:w="614" w:type="pct"/>
            <w:shd w:val="clear" w:color="auto" w:fill="C6D9F1" w:themeFill="text2" w:themeFillTint="33"/>
            <w:vAlign w:val="center"/>
          </w:tcPr>
          <w:p w14:paraId="3685E113"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 xml:space="preserve">GEMINI 1 </w:t>
            </w:r>
          </w:p>
          <w:p w14:paraId="49186F71"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[induction &amp; maintenance]</w:t>
            </w:r>
          </w:p>
        </w:tc>
        <w:tc>
          <w:tcPr>
            <w:tcW w:w="539" w:type="pct"/>
            <w:shd w:val="clear" w:color="auto" w:fill="C6D9F1" w:themeFill="text2" w:themeFillTint="33"/>
            <w:vAlign w:val="center"/>
          </w:tcPr>
          <w:p w14:paraId="49781E36"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Ct1:374</w:t>
            </w:r>
          </w:p>
          <w:p w14:paraId="202BE77E"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Ct2:521</w:t>
            </w:r>
          </w:p>
          <w:p w14:paraId="4F5C9980"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MP:373</w:t>
            </w:r>
          </w:p>
        </w:tc>
        <w:tc>
          <w:tcPr>
            <w:tcW w:w="1153" w:type="pct"/>
            <w:shd w:val="clear" w:color="auto" w:fill="C6D9F1" w:themeFill="text2" w:themeFillTint="33"/>
            <w:vAlign w:val="center"/>
          </w:tcPr>
          <w:p w14:paraId="2E799D57" w14:textId="6B7DDE4A"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P3, MC, R, DB (58</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wk), RWD for maintenance (6</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wk induction, maintenance to Wk 52</w:t>
            </w:r>
            <w:r w:rsidR="00D758C9">
              <w:rPr>
                <w:rFonts w:ascii="Arial Narrow" w:eastAsiaTheme="minorEastAsia" w:hAnsi="Arial Narrow" w:cs="Times New Roman"/>
                <w:sz w:val="20"/>
                <w:szCs w:val="20"/>
                <w:lang w:eastAsia="en-US"/>
              </w:rPr>
              <w:t>)</w:t>
            </w:r>
            <w:r w:rsidRPr="004F325E">
              <w:rPr>
                <w:rFonts w:ascii="Arial Narrow" w:eastAsiaTheme="minorEastAsia" w:hAnsi="Arial Narrow" w:cs="Times New Roman"/>
                <w:sz w:val="20"/>
                <w:szCs w:val="20"/>
                <w:lang w:eastAsia="en-US"/>
              </w:rPr>
              <w:t>, 3-arm. Cohort 1 - randomised induction. Cohort 2</w:t>
            </w:r>
            <w:r w:rsidR="00916F1D">
              <w:rPr>
                <w:rFonts w:ascii="Arial Narrow" w:eastAsiaTheme="minorEastAsia" w:hAnsi="Arial Narrow" w:cs="Times New Roman"/>
                <w:sz w:val="20"/>
                <w:szCs w:val="20"/>
                <w:lang w:eastAsia="en-US"/>
              </w:rPr>
              <w:t xml:space="preserve"> </w:t>
            </w:r>
            <w:r w:rsidRPr="004F325E">
              <w:rPr>
                <w:rFonts w:ascii="Arial Narrow" w:eastAsiaTheme="minorEastAsia" w:hAnsi="Arial Narrow" w:cs="Times New Roman"/>
                <w:sz w:val="20"/>
                <w:szCs w:val="20"/>
                <w:lang w:eastAsia="en-US"/>
              </w:rPr>
              <w:t>- OL induction</w:t>
            </w:r>
          </w:p>
        </w:tc>
        <w:tc>
          <w:tcPr>
            <w:tcW w:w="540" w:type="pct"/>
            <w:shd w:val="clear" w:color="auto" w:fill="C6D9F1" w:themeFill="text2" w:themeFillTint="33"/>
            <w:vAlign w:val="center"/>
          </w:tcPr>
          <w:p w14:paraId="0A95E448"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Low</w:t>
            </w:r>
          </w:p>
          <w:p w14:paraId="3363512F"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 High</w:t>
            </w:r>
          </w:p>
        </w:tc>
        <w:tc>
          <w:tcPr>
            <w:tcW w:w="693" w:type="pct"/>
            <w:shd w:val="clear" w:color="auto" w:fill="C6D9F1" w:themeFill="text2" w:themeFillTint="33"/>
            <w:vAlign w:val="center"/>
          </w:tcPr>
          <w:p w14:paraId="042E464E" w14:textId="77777777" w:rsidR="004D1EA7" w:rsidRPr="002E0837" w:rsidRDefault="004D1EA7" w:rsidP="004D1EA7">
            <w:pPr>
              <w:jc w:val="center"/>
              <w:rPr>
                <w:rFonts w:ascii="Arial Narrow" w:eastAsiaTheme="minorEastAsia" w:hAnsi="Arial Narrow" w:cs="Times New Roman"/>
                <w:iCs/>
                <w:sz w:val="20"/>
                <w:szCs w:val="20"/>
                <w:lang w:val="fr-FR" w:eastAsia="en-US"/>
              </w:rPr>
            </w:pPr>
            <w:r w:rsidRPr="002E0837">
              <w:rPr>
                <w:rFonts w:ascii="Arial Narrow" w:eastAsiaTheme="minorEastAsia" w:hAnsi="Arial Narrow" w:cs="Times New Roman"/>
                <w:iCs/>
                <w:sz w:val="20"/>
                <w:szCs w:val="20"/>
                <w:lang w:val="fr-FR" w:eastAsia="en-US"/>
              </w:rPr>
              <w:t>TNFi-n &amp; TNFi-e.</w:t>
            </w:r>
          </w:p>
          <w:p w14:paraId="7E4BC3B9" w14:textId="77777777" w:rsidR="004D1EA7" w:rsidRPr="002E0837" w:rsidRDefault="004D1EA7" w:rsidP="004D1EA7">
            <w:pPr>
              <w:jc w:val="center"/>
              <w:rPr>
                <w:rFonts w:ascii="Arial Narrow" w:eastAsiaTheme="minorEastAsia" w:hAnsi="Arial Narrow" w:cs="Times New Roman"/>
                <w:sz w:val="20"/>
                <w:szCs w:val="20"/>
                <w:lang w:val="fr-FR" w:eastAsia="en-US"/>
              </w:rPr>
            </w:pPr>
            <w:proofErr w:type="gramStart"/>
            <w:r w:rsidRPr="002E0837">
              <w:rPr>
                <w:rFonts w:ascii="Arial Narrow" w:eastAsiaTheme="minorEastAsia" w:hAnsi="Arial Narrow" w:cs="Times New Roman"/>
                <w:sz w:val="20"/>
                <w:szCs w:val="20"/>
                <w:lang w:val="fr-FR" w:eastAsia="en-US"/>
              </w:rPr>
              <w:t>Maintenance:</w:t>
            </w:r>
            <w:proofErr w:type="gramEnd"/>
            <w:r w:rsidRPr="002E0837">
              <w:rPr>
                <w:rFonts w:ascii="Arial Narrow" w:eastAsiaTheme="minorEastAsia" w:hAnsi="Arial Narrow" w:cs="Times New Roman"/>
                <w:sz w:val="20"/>
                <w:szCs w:val="20"/>
                <w:lang w:val="fr-FR" w:eastAsia="en-US"/>
              </w:rPr>
              <w:t xml:space="preserve"> </w:t>
            </w:r>
          </w:p>
          <w:p w14:paraId="3BA0828C" w14:textId="0744FCE3"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Wk</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6 active responders in cohort 1 and 2.</w:t>
            </w:r>
          </w:p>
        </w:tc>
        <w:tc>
          <w:tcPr>
            <w:tcW w:w="1461" w:type="pct"/>
            <w:shd w:val="clear" w:color="auto" w:fill="C6D9F1" w:themeFill="text2" w:themeFillTint="33"/>
            <w:vAlign w:val="center"/>
          </w:tcPr>
          <w:p w14:paraId="17BD15E5"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xml:space="preserve">: clinical response (FMS) </w:t>
            </w:r>
          </w:p>
          <w:p w14:paraId="4BFDAE49"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remission (FMS), mucosal healing, sustained clinical response, sustained clinical remission, corticosteroid-free remission</w:t>
            </w:r>
          </w:p>
        </w:tc>
      </w:tr>
      <w:tr w:rsidR="004D1EA7" w:rsidRPr="004F325E" w14:paraId="3BB26067" w14:textId="77777777" w:rsidTr="0005097F">
        <w:trPr>
          <w:cantSplit/>
        </w:trPr>
        <w:tc>
          <w:tcPr>
            <w:tcW w:w="614" w:type="pct"/>
            <w:shd w:val="clear" w:color="auto" w:fill="C6D9F1" w:themeFill="text2" w:themeFillTint="33"/>
            <w:vAlign w:val="center"/>
          </w:tcPr>
          <w:p w14:paraId="3E817090" w14:textId="77777777" w:rsidR="004D1EA7" w:rsidRPr="004F325E" w:rsidRDefault="004D1EA7" w:rsidP="004D1EA7">
            <w:pPr>
              <w:jc w:val="left"/>
              <w:rPr>
                <w:rFonts w:ascii="Arial Narrow" w:hAnsi="Arial Narrow"/>
                <w:sz w:val="20"/>
                <w:szCs w:val="20"/>
              </w:rPr>
            </w:pPr>
            <w:r w:rsidRPr="004F325E">
              <w:rPr>
                <w:rFonts w:ascii="Arial Narrow" w:hAnsi="Arial Narrow"/>
                <w:sz w:val="20"/>
                <w:szCs w:val="20"/>
              </w:rPr>
              <w:t xml:space="preserve">Motoya 2019 </w:t>
            </w:r>
          </w:p>
          <w:p w14:paraId="06C81743"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sz w:val="20"/>
                <w:szCs w:val="20"/>
                <w:lang w:eastAsia="en-US"/>
              </w:rPr>
              <w:t>[induction &amp; maintenance]</w:t>
            </w:r>
          </w:p>
        </w:tc>
        <w:tc>
          <w:tcPr>
            <w:tcW w:w="539" w:type="pct"/>
            <w:shd w:val="clear" w:color="auto" w:fill="C6D9F1" w:themeFill="text2" w:themeFillTint="33"/>
            <w:vAlign w:val="center"/>
          </w:tcPr>
          <w:p w14:paraId="45311BBD" w14:textId="7A62B7A3"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Ct1: 246</w:t>
            </w:r>
          </w:p>
          <w:p w14:paraId="0801F68F" w14:textId="77777777" w:rsidR="004D1EA7" w:rsidRPr="004F325E" w:rsidRDefault="004D1EA7" w:rsidP="004D1EA7">
            <w:pPr>
              <w:jc w:val="center"/>
              <w:rPr>
                <w:rFonts w:ascii="Arial Narrow" w:eastAsiaTheme="minorEastAsia" w:hAnsi="Arial Narrow" w:cs="Times New Roman"/>
                <w:sz w:val="20"/>
                <w:szCs w:val="20"/>
                <w:vertAlign w:val="superscript"/>
                <w:lang w:eastAsia="en-US"/>
              </w:rPr>
            </w:pPr>
            <w:r w:rsidRPr="004F325E">
              <w:rPr>
                <w:rFonts w:ascii="Arial Narrow" w:eastAsiaTheme="minorEastAsia" w:hAnsi="Arial Narrow" w:cs="Times New Roman"/>
                <w:sz w:val="20"/>
                <w:szCs w:val="20"/>
                <w:lang w:eastAsia="en-US"/>
              </w:rPr>
              <w:t>IP Ct2: 46</w:t>
            </w:r>
            <w:r w:rsidRPr="004F325E">
              <w:rPr>
                <w:rFonts w:ascii="Arial Narrow" w:eastAsiaTheme="minorEastAsia" w:hAnsi="Arial Narrow" w:cs="Times New Roman"/>
                <w:sz w:val="20"/>
                <w:szCs w:val="20"/>
                <w:vertAlign w:val="superscript"/>
                <w:lang w:eastAsia="en-US"/>
              </w:rPr>
              <w:t>e</w:t>
            </w:r>
          </w:p>
          <w:p w14:paraId="4E5C77B5"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 83</w:t>
            </w:r>
          </w:p>
        </w:tc>
        <w:tc>
          <w:tcPr>
            <w:tcW w:w="1153" w:type="pct"/>
            <w:shd w:val="clear" w:color="auto" w:fill="C6D9F1" w:themeFill="text2" w:themeFillTint="33"/>
            <w:vAlign w:val="center"/>
          </w:tcPr>
          <w:p w14:paraId="4C693797" w14:textId="12C857DF"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P3, MC, R, DB, RWD for maintenance (10</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wk induction, maintenance to Wk</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60).</w:t>
            </w:r>
          </w:p>
          <w:p w14:paraId="7B8677B7" w14:textId="382BD9F5"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Randomised induction</w:t>
            </w:r>
          </w:p>
        </w:tc>
        <w:tc>
          <w:tcPr>
            <w:tcW w:w="540" w:type="pct"/>
            <w:shd w:val="clear" w:color="auto" w:fill="C6D9F1" w:themeFill="text2" w:themeFillTint="33"/>
            <w:vAlign w:val="center"/>
          </w:tcPr>
          <w:p w14:paraId="70AB9BD7"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Low</w:t>
            </w:r>
          </w:p>
          <w:p w14:paraId="02868AC2"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 High</w:t>
            </w:r>
          </w:p>
        </w:tc>
        <w:tc>
          <w:tcPr>
            <w:tcW w:w="693" w:type="pct"/>
            <w:shd w:val="clear" w:color="auto" w:fill="C6D9F1" w:themeFill="text2" w:themeFillTint="33"/>
            <w:vAlign w:val="center"/>
          </w:tcPr>
          <w:p w14:paraId="7E85ED7E" w14:textId="77777777" w:rsidR="004D1EA7" w:rsidRPr="004F325E" w:rsidRDefault="004D1EA7" w:rsidP="004D1EA7">
            <w:pPr>
              <w:jc w:val="center"/>
              <w:rPr>
                <w:rFonts w:ascii="Arial Narrow" w:eastAsiaTheme="minorEastAsia" w:hAnsi="Arial Narrow" w:cs="Times New Roman"/>
                <w:iCs/>
                <w:sz w:val="20"/>
                <w:szCs w:val="20"/>
                <w:lang w:eastAsia="en-US"/>
              </w:rPr>
            </w:pPr>
            <w:r w:rsidRPr="004F325E">
              <w:rPr>
                <w:rFonts w:ascii="Arial Narrow" w:eastAsiaTheme="minorEastAsia" w:hAnsi="Arial Narrow" w:cs="Times New Roman"/>
                <w:iCs/>
                <w:sz w:val="20"/>
                <w:szCs w:val="20"/>
                <w:lang w:eastAsia="en-US"/>
              </w:rPr>
              <w:t>TNFi-n &amp; TNFi-e</w:t>
            </w:r>
          </w:p>
          <w:p w14:paraId="72F503BE" w14:textId="77777777" w:rsidR="004D1EA7" w:rsidRPr="004F325E" w:rsidRDefault="004D1EA7" w:rsidP="004D1EA7">
            <w:pPr>
              <w:jc w:val="center"/>
              <w:rPr>
                <w:rFonts w:ascii="Arial Narrow" w:eastAsiaTheme="minorEastAsia" w:hAnsi="Arial Narrow" w:cs="Times New Roman"/>
                <w:iCs/>
                <w:sz w:val="20"/>
                <w:szCs w:val="20"/>
                <w:lang w:eastAsia="en-US"/>
              </w:rPr>
            </w:pPr>
          </w:p>
        </w:tc>
        <w:tc>
          <w:tcPr>
            <w:tcW w:w="1461" w:type="pct"/>
            <w:shd w:val="clear" w:color="auto" w:fill="C6D9F1" w:themeFill="text2" w:themeFillTint="33"/>
            <w:vAlign w:val="center"/>
          </w:tcPr>
          <w:p w14:paraId="3C9D8271"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response (FMS)</w:t>
            </w:r>
          </w:p>
          <w:p w14:paraId="01A1EA9E"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remission (FMS), mucosal healing</w:t>
            </w:r>
          </w:p>
        </w:tc>
      </w:tr>
      <w:tr w:rsidR="004D1EA7" w:rsidRPr="004F325E" w14:paraId="70743A0D" w14:textId="77777777" w:rsidTr="0005097F">
        <w:trPr>
          <w:cantSplit/>
        </w:trPr>
        <w:tc>
          <w:tcPr>
            <w:tcW w:w="614" w:type="pct"/>
            <w:shd w:val="clear" w:color="auto" w:fill="C6D9F1" w:themeFill="text2" w:themeFillTint="33"/>
            <w:vAlign w:val="center"/>
          </w:tcPr>
          <w:p w14:paraId="45292151" w14:textId="77777777" w:rsidR="004D1EA7" w:rsidRPr="004F325E" w:rsidRDefault="004D1EA7" w:rsidP="004D1EA7">
            <w:pPr>
              <w:jc w:val="left"/>
              <w:rPr>
                <w:rFonts w:ascii="Arial Narrow" w:eastAsiaTheme="minorEastAsia" w:hAnsi="Arial Narrow"/>
                <w:sz w:val="20"/>
                <w:szCs w:val="20"/>
                <w:lang w:eastAsia="en-US"/>
              </w:rPr>
            </w:pPr>
            <w:r w:rsidRPr="004F325E">
              <w:rPr>
                <w:rFonts w:ascii="Arial Narrow" w:eastAsiaTheme="minorEastAsia" w:hAnsi="Arial Narrow"/>
                <w:sz w:val="20"/>
                <w:szCs w:val="20"/>
                <w:lang w:eastAsia="en-US"/>
              </w:rPr>
              <w:t>VISIBLE-1</w:t>
            </w:r>
          </w:p>
          <w:p w14:paraId="55EFF3D2"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sz w:val="20"/>
                <w:szCs w:val="20"/>
                <w:lang w:eastAsia="en-US"/>
              </w:rPr>
              <w:t>[maintenance]</w:t>
            </w:r>
          </w:p>
        </w:tc>
        <w:tc>
          <w:tcPr>
            <w:tcW w:w="539" w:type="pct"/>
            <w:shd w:val="clear" w:color="auto" w:fill="C6D9F1" w:themeFill="text2" w:themeFillTint="33"/>
            <w:vAlign w:val="center"/>
          </w:tcPr>
          <w:p w14:paraId="71699F7F"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w:t>
            </w:r>
            <w:r w:rsidRPr="004F325E">
              <w:rPr>
                <w:rFonts w:ascii="Arial Narrow" w:eastAsiaTheme="minorEastAsia" w:hAnsi="Arial Narrow" w:cs="Times New Roman"/>
                <w:sz w:val="20"/>
                <w:szCs w:val="20"/>
                <w:vertAlign w:val="superscript"/>
                <w:lang w:eastAsia="en-US"/>
              </w:rPr>
              <w:t>f</w:t>
            </w:r>
            <w:r w:rsidRPr="004F325E">
              <w:rPr>
                <w:rFonts w:ascii="Arial Narrow" w:eastAsiaTheme="minorEastAsia" w:hAnsi="Arial Narrow" w:cs="Times New Roman"/>
                <w:sz w:val="20"/>
                <w:szCs w:val="20"/>
                <w:lang w:eastAsia="en-US"/>
              </w:rPr>
              <w:t>: 383</w:t>
            </w:r>
          </w:p>
          <w:p w14:paraId="7C18ADAA"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 216</w:t>
            </w:r>
          </w:p>
        </w:tc>
        <w:tc>
          <w:tcPr>
            <w:tcW w:w="1153" w:type="pct"/>
            <w:shd w:val="clear" w:color="auto" w:fill="C6D9F1" w:themeFill="text2" w:themeFillTint="33"/>
            <w:vAlign w:val="center"/>
          </w:tcPr>
          <w:p w14:paraId="59CB4D90" w14:textId="643D7DAF"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P3, MC, R, DB, RWD for maintenance (6</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wk OL induction, maintenance to Wk</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52, R, DB maintenance).</w:t>
            </w:r>
          </w:p>
        </w:tc>
        <w:tc>
          <w:tcPr>
            <w:tcW w:w="540" w:type="pct"/>
            <w:shd w:val="clear" w:color="auto" w:fill="C6D9F1" w:themeFill="text2" w:themeFillTint="33"/>
            <w:vAlign w:val="center"/>
          </w:tcPr>
          <w:p w14:paraId="676B826C"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 High</w:t>
            </w:r>
          </w:p>
        </w:tc>
        <w:tc>
          <w:tcPr>
            <w:tcW w:w="693" w:type="pct"/>
            <w:shd w:val="clear" w:color="auto" w:fill="C6D9F1" w:themeFill="text2" w:themeFillTint="33"/>
            <w:vAlign w:val="center"/>
          </w:tcPr>
          <w:p w14:paraId="227765C4" w14:textId="77777777" w:rsidR="004D1EA7" w:rsidRPr="004F325E" w:rsidRDefault="004D1EA7" w:rsidP="004D1EA7">
            <w:pPr>
              <w:jc w:val="center"/>
              <w:rPr>
                <w:rFonts w:ascii="Arial Narrow" w:eastAsiaTheme="minorEastAsia" w:hAnsi="Arial Narrow" w:cs="Times New Roman"/>
                <w:iCs/>
                <w:sz w:val="20"/>
                <w:szCs w:val="20"/>
                <w:lang w:eastAsia="en-US"/>
              </w:rPr>
            </w:pPr>
            <w:r w:rsidRPr="004F325E">
              <w:rPr>
                <w:rFonts w:ascii="Arial Narrow" w:eastAsiaTheme="minorEastAsia" w:hAnsi="Arial Narrow" w:cs="Times New Roman"/>
                <w:iCs/>
                <w:sz w:val="20"/>
                <w:szCs w:val="20"/>
                <w:lang w:eastAsia="en-US"/>
              </w:rPr>
              <w:t>TNFi-n &amp; TNFi-e</w:t>
            </w:r>
          </w:p>
          <w:p w14:paraId="5987E5B2" w14:textId="77777777" w:rsidR="004D1EA7" w:rsidRPr="004F325E" w:rsidRDefault="004D1EA7" w:rsidP="004D1EA7">
            <w:pPr>
              <w:jc w:val="center"/>
              <w:rPr>
                <w:rFonts w:ascii="Arial Narrow" w:eastAsiaTheme="minorEastAsia" w:hAnsi="Arial Narrow" w:cs="Times New Roman"/>
                <w:iCs/>
                <w:sz w:val="20"/>
                <w:szCs w:val="20"/>
                <w:lang w:eastAsia="en-US"/>
              </w:rPr>
            </w:pPr>
          </w:p>
        </w:tc>
        <w:tc>
          <w:tcPr>
            <w:tcW w:w="1461" w:type="pct"/>
            <w:shd w:val="clear" w:color="auto" w:fill="C6D9F1" w:themeFill="text2" w:themeFillTint="33"/>
            <w:vAlign w:val="center"/>
          </w:tcPr>
          <w:p w14:paraId="4D83C12B"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remission (FMS)</w:t>
            </w:r>
          </w:p>
          <w:p w14:paraId="529670DA"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mucosal healing, sustained clinical response, sustained clinical remission, corticosteroid-free remission</w:t>
            </w:r>
          </w:p>
        </w:tc>
      </w:tr>
      <w:tr w:rsidR="004D1EA7" w:rsidRPr="004F325E" w14:paraId="075E8CB2" w14:textId="77777777" w:rsidTr="0005097F">
        <w:trPr>
          <w:cantSplit/>
        </w:trPr>
        <w:tc>
          <w:tcPr>
            <w:tcW w:w="5000" w:type="pct"/>
            <w:gridSpan w:val="6"/>
            <w:shd w:val="clear" w:color="auto" w:fill="auto"/>
            <w:vAlign w:val="center"/>
          </w:tcPr>
          <w:p w14:paraId="35E40347" w14:textId="77777777" w:rsidR="004D1EA7" w:rsidRPr="004F325E" w:rsidRDefault="004D1EA7" w:rsidP="004D1EA7">
            <w:pPr>
              <w:jc w:val="left"/>
              <w:rPr>
                <w:rFonts w:ascii="Arial Narrow" w:eastAsiaTheme="minorEastAsia" w:hAnsi="Arial Narrow" w:cs="Times New Roman"/>
                <w:b/>
                <w:bCs/>
                <w:sz w:val="20"/>
                <w:szCs w:val="20"/>
                <w:lang w:eastAsia="en-US"/>
              </w:rPr>
            </w:pPr>
            <w:r w:rsidRPr="004F325E">
              <w:rPr>
                <w:rFonts w:ascii="Arial Narrow" w:eastAsiaTheme="minorEastAsia" w:hAnsi="Arial Narrow" w:cs="Times New Roman"/>
                <w:b/>
                <w:bCs/>
                <w:sz w:val="20"/>
                <w:szCs w:val="20"/>
                <w:lang w:eastAsia="en-US"/>
              </w:rPr>
              <w:t>ADA v PBO</w:t>
            </w:r>
          </w:p>
        </w:tc>
      </w:tr>
      <w:tr w:rsidR="004D1EA7" w:rsidRPr="004F325E" w14:paraId="05006D63" w14:textId="77777777" w:rsidTr="0005097F">
        <w:trPr>
          <w:cantSplit/>
        </w:trPr>
        <w:tc>
          <w:tcPr>
            <w:tcW w:w="614" w:type="pct"/>
            <w:shd w:val="clear" w:color="auto" w:fill="C6D9F1" w:themeFill="text2" w:themeFillTint="33"/>
            <w:vAlign w:val="center"/>
          </w:tcPr>
          <w:p w14:paraId="51482A3B"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ULTRA 1</w:t>
            </w:r>
          </w:p>
          <w:p w14:paraId="588901A8"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[induction]</w:t>
            </w:r>
          </w:p>
        </w:tc>
        <w:tc>
          <w:tcPr>
            <w:tcW w:w="539" w:type="pct"/>
            <w:shd w:val="clear" w:color="auto" w:fill="C6D9F1" w:themeFill="text2" w:themeFillTint="33"/>
            <w:vAlign w:val="center"/>
          </w:tcPr>
          <w:p w14:paraId="1B117D46"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390</w:t>
            </w:r>
          </w:p>
        </w:tc>
        <w:tc>
          <w:tcPr>
            <w:tcW w:w="1153" w:type="pct"/>
            <w:shd w:val="clear" w:color="auto" w:fill="C6D9F1" w:themeFill="text2" w:themeFillTint="33"/>
            <w:vAlign w:val="center"/>
          </w:tcPr>
          <w:p w14:paraId="08FFA7D9" w14:textId="260B894E"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P3, MC, R, PC, DB (8</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wk), 3-arm</w:t>
            </w:r>
          </w:p>
        </w:tc>
        <w:tc>
          <w:tcPr>
            <w:tcW w:w="540" w:type="pct"/>
            <w:shd w:val="clear" w:color="auto" w:fill="C6D9F1" w:themeFill="text2" w:themeFillTint="33"/>
            <w:vAlign w:val="center"/>
          </w:tcPr>
          <w:p w14:paraId="52D6D2E6"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Low</w:t>
            </w:r>
          </w:p>
        </w:tc>
        <w:tc>
          <w:tcPr>
            <w:tcW w:w="693" w:type="pct"/>
            <w:shd w:val="clear" w:color="auto" w:fill="C6D9F1" w:themeFill="text2" w:themeFillTint="33"/>
            <w:vAlign w:val="center"/>
          </w:tcPr>
          <w:p w14:paraId="16659BB2"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iCs/>
                <w:sz w:val="20"/>
                <w:szCs w:val="20"/>
                <w:lang w:eastAsia="en-US"/>
              </w:rPr>
              <w:t>TNFi-n</w:t>
            </w:r>
          </w:p>
        </w:tc>
        <w:tc>
          <w:tcPr>
            <w:tcW w:w="1461" w:type="pct"/>
            <w:shd w:val="clear" w:color="auto" w:fill="C6D9F1" w:themeFill="text2" w:themeFillTint="33"/>
            <w:vAlign w:val="center"/>
          </w:tcPr>
          <w:p w14:paraId="5312C2D8"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remission (FMS)</w:t>
            </w:r>
          </w:p>
          <w:p w14:paraId="11C9C7BE"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response (FMS), mucosal healing</w:t>
            </w:r>
          </w:p>
        </w:tc>
      </w:tr>
      <w:tr w:rsidR="004D1EA7" w:rsidRPr="004F325E" w14:paraId="394E385B" w14:textId="77777777" w:rsidTr="0005097F">
        <w:trPr>
          <w:cantSplit/>
        </w:trPr>
        <w:tc>
          <w:tcPr>
            <w:tcW w:w="614" w:type="pct"/>
            <w:shd w:val="clear" w:color="auto" w:fill="C6D9F1" w:themeFill="text2" w:themeFillTint="33"/>
            <w:vAlign w:val="center"/>
          </w:tcPr>
          <w:p w14:paraId="7C712CA1"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ULTRA 2</w:t>
            </w:r>
          </w:p>
          <w:p w14:paraId="1CCA0923"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[induction &amp; maintenance]</w:t>
            </w:r>
          </w:p>
        </w:tc>
        <w:tc>
          <w:tcPr>
            <w:tcW w:w="539" w:type="pct"/>
            <w:shd w:val="clear" w:color="auto" w:fill="C6D9F1" w:themeFill="text2" w:themeFillTint="33"/>
            <w:vAlign w:val="center"/>
          </w:tcPr>
          <w:p w14:paraId="0DCD45E1"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494</w:t>
            </w:r>
          </w:p>
        </w:tc>
        <w:tc>
          <w:tcPr>
            <w:tcW w:w="1153" w:type="pct"/>
            <w:shd w:val="clear" w:color="auto" w:fill="C6D9F1" w:themeFill="text2" w:themeFillTint="33"/>
            <w:vAlign w:val="center"/>
          </w:tcPr>
          <w:p w14:paraId="16FE8B21" w14:textId="239F29F0"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P3, MC, R, PC, DB (52</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wk)</w:t>
            </w:r>
          </w:p>
        </w:tc>
        <w:tc>
          <w:tcPr>
            <w:tcW w:w="540" w:type="pct"/>
            <w:shd w:val="clear" w:color="auto" w:fill="C6D9F1" w:themeFill="text2" w:themeFillTint="33"/>
            <w:vAlign w:val="center"/>
          </w:tcPr>
          <w:p w14:paraId="3E2C21EB"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Low</w:t>
            </w:r>
          </w:p>
          <w:p w14:paraId="3E1DFF4D"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 High</w:t>
            </w:r>
          </w:p>
        </w:tc>
        <w:tc>
          <w:tcPr>
            <w:tcW w:w="693" w:type="pct"/>
            <w:shd w:val="clear" w:color="auto" w:fill="C6D9F1" w:themeFill="text2" w:themeFillTint="33"/>
            <w:vAlign w:val="center"/>
          </w:tcPr>
          <w:p w14:paraId="1FD7F907"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iCs/>
                <w:sz w:val="20"/>
                <w:szCs w:val="20"/>
                <w:lang w:eastAsia="en-US"/>
              </w:rPr>
              <w:t>TNFi-n &amp; TNFi-e</w:t>
            </w:r>
          </w:p>
        </w:tc>
        <w:tc>
          <w:tcPr>
            <w:tcW w:w="1461" w:type="pct"/>
            <w:shd w:val="clear" w:color="auto" w:fill="C6D9F1" w:themeFill="text2" w:themeFillTint="33"/>
            <w:vAlign w:val="center"/>
          </w:tcPr>
          <w:p w14:paraId="3B794308"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remission (FMS)</w:t>
            </w:r>
          </w:p>
          <w:p w14:paraId="360D5A4E"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response (FMS), mucosal healing, IBDQ response, sustained clinical remission, sustained clinical response, sustained mucosal healing</w:t>
            </w:r>
          </w:p>
        </w:tc>
      </w:tr>
      <w:tr w:rsidR="004D1EA7" w:rsidRPr="004F325E" w14:paraId="7AF069E0" w14:textId="77777777" w:rsidTr="0005097F">
        <w:trPr>
          <w:cantSplit/>
        </w:trPr>
        <w:tc>
          <w:tcPr>
            <w:tcW w:w="614" w:type="pct"/>
            <w:shd w:val="clear" w:color="auto" w:fill="C6D9F1" w:themeFill="text2" w:themeFillTint="33"/>
            <w:vAlign w:val="center"/>
          </w:tcPr>
          <w:p w14:paraId="08D4C29E"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 xml:space="preserve">Suzuki 2014 </w:t>
            </w:r>
          </w:p>
          <w:p w14:paraId="653AECC8"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[induction &amp; maintenance]</w:t>
            </w:r>
          </w:p>
        </w:tc>
        <w:tc>
          <w:tcPr>
            <w:tcW w:w="539" w:type="pct"/>
            <w:shd w:val="clear" w:color="auto" w:fill="C6D9F1" w:themeFill="text2" w:themeFillTint="33"/>
            <w:vAlign w:val="center"/>
          </w:tcPr>
          <w:p w14:paraId="209A9624"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274</w:t>
            </w:r>
          </w:p>
        </w:tc>
        <w:tc>
          <w:tcPr>
            <w:tcW w:w="1153" w:type="pct"/>
            <w:shd w:val="clear" w:color="auto" w:fill="C6D9F1" w:themeFill="text2" w:themeFillTint="33"/>
            <w:vAlign w:val="center"/>
          </w:tcPr>
          <w:p w14:paraId="657EA29E" w14:textId="35DB41C6"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P2/3, MC, R, PC, DB (52</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wk), 3-arm</w:t>
            </w:r>
          </w:p>
        </w:tc>
        <w:tc>
          <w:tcPr>
            <w:tcW w:w="540" w:type="pct"/>
            <w:shd w:val="clear" w:color="auto" w:fill="C6D9F1" w:themeFill="text2" w:themeFillTint="33"/>
            <w:vAlign w:val="center"/>
          </w:tcPr>
          <w:p w14:paraId="46316270"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Low</w:t>
            </w:r>
          </w:p>
          <w:p w14:paraId="6F9A30C3"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 High</w:t>
            </w:r>
          </w:p>
        </w:tc>
        <w:tc>
          <w:tcPr>
            <w:tcW w:w="693" w:type="pct"/>
            <w:shd w:val="clear" w:color="auto" w:fill="C6D9F1" w:themeFill="text2" w:themeFillTint="33"/>
            <w:vAlign w:val="center"/>
          </w:tcPr>
          <w:p w14:paraId="094D8D06" w14:textId="77777777" w:rsidR="004D1EA7" w:rsidRPr="004F325E" w:rsidRDefault="004D1EA7" w:rsidP="004D1EA7">
            <w:pPr>
              <w:jc w:val="center"/>
              <w:rPr>
                <w:rFonts w:ascii="Arial Narrow" w:eastAsiaTheme="minorEastAsia" w:hAnsi="Arial Narrow" w:cs="Times New Roman"/>
                <w:iCs/>
                <w:sz w:val="20"/>
                <w:szCs w:val="20"/>
                <w:lang w:eastAsia="en-US"/>
              </w:rPr>
            </w:pPr>
            <w:r w:rsidRPr="004F325E">
              <w:rPr>
                <w:rFonts w:ascii="Arial Narrow" w:eastAsiaTheme="minorEastAsia" w:hAnsi="Arial Narrow" w:cs="Times New Roman"/>
                <w:iCs/>
                <w:sz w:val="20"/>
                <w:szCs w:val="20"/>
                <w:lang w:eastAsia="en-US"/>
              </w:rPr>
              <w:t>TNFi-n</w:t>
            </w:r>
          </w:p>
          <w:p w14:paraId="7F27CD1B"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iCs/>
                <w:sz w:val="20"/>
                <w:szCs w:val="20"/>
                <w:lang w:eastAsia="en-US"/>
              </w:rPr>
              <w:t>(Japanese)</w:t>
            </w:r>
          </w:p>
        </w:tc>
        <w:tc>
          <w:tcPr>
            <w:tcW w:w="1461" w:type="pct"/>
            <w:shd w:val="clear" w:color="auto" w:fill="C6D9F1" w:themeFill="text2" w:themeFillTint="33"/>
            <w:vAlign w:val="center"/>
          </w:tcPr>
          <w:p w14:paraId="34F49246"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remission (FMS)</w:t>
            </w:r>
          </w:p>
          <w:p w14:paraId="259C5EDF"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response (FMS), mucosal healing</w:t>
            </w:r>
          </w:p>
        </w:tc>
      </w:tr>
      <w:tr w:rsidR="004D1EA7" w:rsidRPr="004F325E" w14:paraId="0A59CFF4" w14:textId="77777777" w:rsidTr="0005097F">
        <w:trPr>
          <w:cantSplit/>
        </w:trPr>
        <w:tc>
          <w:tcPr>
            <w:tcW w:w="614" w:type="pct"/>
            <w:shd w:val="clear" w:color="auto" w:fill="auto"/>
            <w:vAlign w:val="center"/>
          </w:tcPr>
          <w:p w14:paraId="741AA08C"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HIBISCUS I</w:t>
            </w:r>
          </w:p>
          <w:p w14:paraId="3C8E0389"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[induction]</w:t>
            </w:r>
          </w:p>
        </w:tc>
        <w:tc>
          <w:tcPr>
            <w:tcW w:w="539" w:type="pct"/>
            <w:shd w:val="clear" w:color="auto" w:fill="auto"/>
            <w:vAlign w:val="center"/>
          </w:tcPr>
          <w:p w14:paraId="2F2A6F2B"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358</w:t>
            </w:r>
          </w:p>
        </w:tc>
        <w:tc>
          <w:tcPr>
            <w:tcW w:w="1153" w:type="pct"/>
            <w:vMerge w:val="restart"/>
            <w:shd w:val="clear" w:color="auto" w:fill="auto"/>
            <w:vAlign w:val="center"/>
          </w:tcPr>
          <w:p w14:paraId="09F79AA4" w14:textId="377706D2"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P3, MC, R, PC, DB (10</w:t>
            </w:r>
            <w:r w:rsidR="004F325E">
              <w:rPr>
                <w:rFonts w:ascii="Arial Narrow" w:eastAsiaTheme="minorEastAsia" w:hAnsi="Arial Narrow" w:cs="Times New Roman"/>
                <w:sz w:val="20"/>
                <w:szCs w:val="20"/>
                <w:lang w:eastAsia="en-US"/>
              </w:rPr>
              <w:t> </w:t>
            </w:r>
            <w:r w:rsidRPr="004F325E">
              <w:rPr>
                <w:rFonts w:ascii="Arial Narrow" w:eastAsiaTheme="minorEastAsia" w:hAnsi="Arial Narrow" w:cs="Times New Roman"/>
                <w:sz w:val="20"/>
                <w:szCs w:val="20"/>
                <w:lang w:eastAsia="en-US"/>
              </w:rPr>
              <w:t>wk); 3-arm</w:t>
            </w:r>
          </w:p>
        </w:tc>
        <w:tc>
          <w:tcPr>
            <w:tcW w:w="540" w:type="pct"/>
            <w:shd w:val="clear" w:color="auto" w:fill="auto"/>
            <w:vAlign w:val="center"/>
          </w:tcPr>
          <w:p w14:paraId="7AF44D22"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 xml:space="preserve">IP: </w:t>
            </w:r>
            <w:r w:rsidRPr="00196815">
              <w:rPr>
                <w:rFonts w:ascii="Arial Narrow" w:eastAsiaTheme="minorEastAsia" w:hAnsi="Arial Narrow" w:cs="Times New Roman"/>
                <w:sz w:val="20"/>
                <w:szCs w:val="20"/>
                <w:lang w:eastAsia="en-US"/>
              </w:rPr>
              <w:t>Low</w:t>
            </w:r>
          </w:p>
        </w:tc>
        <w:tc>
          <w:tcPr>
            <w:tcW w:w="693" w:type="pct"/>
            <w:vMerge w:val="restart"/>
            <w:shd w:val="clear" w:color="auto" w:fill="auto"/>
            <w:vAlign w:val="center"/>
          </w:tcPr>
          <w:p w14:paraId="093FFD1A" w14:textId="77777777" w:rsidR="004D1EA7" w:rsidRPr="004F325E" w:rsidRDefault="004D1EA7" w:rsidP="004D1EA7">
            <w:pPr>
              <w:jc w:val="center"/>
              <w:rPr>
                <w:rFonts w:ascii="Arial Narrow" w:eastAsiaTheme="minorEastAsia" w:hAnsi="Arial Narrow" w:cs="Times New Roman"/>
                <w:iCs/>
                <w:sz w:val="20"/>
                <w:szCs w:val="20"/>
                <w:lang w:eastAsia="en-US"/>
              </w:rPr>
            </w:pPr>
            <w:r w:rsidRPr="004F325E">
              <w:rPr>
                <w:rFonts w:ascii="Arial Narrow" w:eastAsiaTheme="minorEastAsia" w:hAnsi="Arial Narrow" w:cs="Times New Roman"/>
                <w:iCs/>
                <w:sz w:val="20"/>
                <w:szCs w:val="20"/>
                <w:lang w:eastAsia="en-US"/>
              </w:rPr>
              <w:t>TNFi-n</w:t>
            </w:r>
          </w:p>
        </w:tc>
        <w:tc>
          <w:tcPr>
            <w:tcW w:w="1461" w:type="pct"/>
            <w:vMerge w:val="restart"/>
            <w:shd w:val="clear" w:color="auto" w:fill="auto"/>
            <w:vAlign w:val="center"/>
          </w:tcPr>
          <w:p w14:paraId="76DD89B6"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remission (FMS)</w:t>
            </w:r>
          </w:p>
          <w:p w14:paraId="2BF8FEF5"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response (FMS), endoscopic remission</w:t>
            </w:r>
          </w:p>
        </w:tc>
      </w:tr>
      <w:tr w:rsidR="004D1EA7" w:rsidRPr="004F325E" w14:paraId="55868CDE" w14:textId="77777777" w:rsidTr="0005097F">
        <w:trPr>
          <w:cantSplit/>
        </w:trPr>
        <w:tc>
          <w:tcPr>
            <w:tcW w:w="614" w:type="pct"/>
            <w:shd w:val="clear" w:color="auto" w:fill="auto"/>
            <w:vAlign w:val="center"/>
          </w:tcPr>
          <w:p w14:paraId="328B7A0A"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HIBISCUS II</w:t>
            </w:r>
          </w:p>
          <w:p w14:paraId="2BD5A687"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[induction]</w:t>
            </w:r>
          </w:p>
        </w:tc>
        <w:tc>
          <w:tcPr>
            <w:tcW w:w="539" w:type="pct"/>
            <w:shd w:val="clear" w:color="auto" w:fill="auto"/>
            <w:vAlign w:val="center"/>
          </w:tcPr>
          <w:p w14:paraId="3E625B2A"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358</w:t>
            </w:r>
          </w:p>
        </w:tc>
        <w:tc>
          <w:tcPr>
            <w:tcW w:w="1153" w:type="pct"/>
            <w:vMerge/>
            <w:shd w:val="clear" w:color="auto" w:fill="auto"/>
            <w:vAlign w:val="center"/>
          </w:tcPr>
          <w:p w14:paraId="5E503718" w14:textId="77777777" w:rsidR="004D1EA7" w:rsidRPr="004F325E" w:rsidRDefault="004D1EA7" w:rsidP="004D1EA7">
            <w:pPr>
              <w:jc w:val="left"/>
              <w:rPr>
                <w:rFonts w:ascii="Arial Narrow" w:eastAsiaTheme="minorEastAsia" w:hAnsi="Arial Narrow" w:cs="Times New Roman"/>
                <w:sz w:val="20"/>
                <w:szCs w:val="20"/>
                <w:lang w:eastAsia="en-US"/>
              </w:rPr>
            </w:pPr>
          </w:p>
        </w:tc>
        <w:tc>
          <w:tcPr>
            <w:tcW w:w="540" w:type="pct"/>
            <w:shd w:val="clear" w:color="auto" w:fill="auto"/>
            <w:vAlign w:val="center"/>
          </w:tcPr>
          <w:p w14:paraId="465E6F95"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w:t>
            </w:r>
            <w:r w:rsidRPr="00E23978">
              <w:rPr>
                <w:rFonts w:ascii="Arial Narrow" w:eastAsiaTheme="minorEastAsia" w:hAnsi="Arial Narrow" w:cs="Times New Roman"/>
                <w:i/>
                <w:iCs/>
                <w:sz w:val="20"/>
                <w:szCs w:val="20"/>
                <w:lang w:eastAsia="en-US"/>
              </w:rPr>
              <w:t>:</w:t>
            </w:r>
            <w:r w:rsidRPr="00196815">
              <w:rPr>
                <w:rFonts w:ascii="Arial Narrow" w:eastAsiaTheme="minorEastAsia" w:hAnsi="Arial Narrow" w:cs="Times New Roman"/>
                <w:sz w:val="20"/>
                <w:szCs w:val="20"/>
                <w:lang w:eastAsia="en-US"/>
              </w:rPr>
              <w:t xml:space="preserve"> Low</w:t>
            </w:r>
          </w:p>
        </w:tc>
        <w:tc>
          <w:tcPr>
            <w:tcW w:w="693" w:type="pct"/>
            <w:vMerge/>
            <w:shd w:val="clear" w:color="auto" w:fill="auto"/>
            <w:vAlign w:val="center"/>
          </w:tcPr>
          <w:p w14:paraId="2FEB7521" w14:textId="77777777" w:rsidR="004D1EA7" w:rsidRPr="004F325E" w:rsidRDefault="004D1EA7" w:rsidP="004D1EA7">
            <w:pPr>
              <w:jc w:val="center"/>
              <w:rPr>
                <w:rFonts w:ascii="Arial Narrow" w:eastAsiaTheme="minorEastAsia" w:hAnsi="Arial Narrow" w:cs="Times New Roman"/>
                <w:iCs/>
                <w:sz w:val="20"/>
                <w:szCs w:val="20"/>
                <w:lang w:eastAsia="en-US"/>
              </w:rPr>
            </w:pPr>
          </w:p>
        </w:tc>
        <w:tc>
          <w:tcPr>
            <w:tcW w:w="1461" w:type="pct"/>
            <w:vMerge/>
            <w:shd w:val="clear" w:color="auto" w:fill="auto"/>
            <w:vAlign w:val="center"/>
          </w:tcPr>
          <w:p w14:paraId="76F95032" w14:textId="77777777" w:rsidR="004D1EA7" w:rsidRPr="004F325E" w:rsidRDefault="004D1EA7" w:rsidP="004D1EA7">
            <w:pPr>
              <w:jc w:val="left"/>
              <w:rPr>
                <w:rFonts w:ascii="Arial Narrow" w:eastAsiaTheme="minorEastAsia" w:hAnsi="Arial Narrow" w:cs="Times New Roman"/>
                <w:sz w:val="20"/>
                <w:szCs w:val="20"/>
                <w:lang w:eastAsia="en-US"/>
              </w:rPr>
            </w:pPr>
          </w:p>
        </w:tc>
      </w:tr>
      <w:tr w:rsidR="004D1EA7" w:rsidRPr="004F325E" w14:paraId="443A54BC" w14:textId="77777777" w:rsidTr="0005097F">
        <w:trPr>
          <w:cantSplit/>
          <w:trHeight w:val="269"/>
        </w:trPr>
        <w:tc>
          <w:tcPr>
            <w:tcW w:w="5000" w:type="pct"/>
            <w:gridSpan w:val="6"/>
            <w:shd w:val="clear" w:color="auto" w:fill="C6D9F1" w:themeFill="text2" w:themeFillTint="33"/>
            <w:vAlign w:val="center"/>
          </w:tcPr>
          <w:p w14:paraId="25D7007C"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b/>
                <w:sz w:val="20"/>
                <w:szCs w:val="20"/>
                <w:lang w:eastAsia="en-US"/>
              </w:rPr>
              <w:t>UST v PBO</w:t>
            </w:r>
          </w:p>
        </w:tc>
      </w:tr>
      <w:tr w:rsidR="004D1EA7" w:rsidRPr="004F325E" w14:paraId="086BE7F2" w14:textId="77777777" w:rsidTr="0005097F">
        <w:trPr>
          <w:cantSplit/>
          <w:trHeight w:val="194"/>
        </w:trPr>
        <w:tc>
          <w:tcPr>
            <w:tcW w:w="614" w:type="pct"/>
            <w:shd w:val="clear" w:color="auto" w:fill="C6D9F1" w:themeFill="text2" w:themeFillTint="33"/>
            <w:vAlign w:val="center"/>
          </w:tcPr>
          <w:p w14:paraId="0CD19946"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UNIFI [induction &amp; maintenance]</w:t>
            </w:r>
          </w:p>
        </w:tc>
        <w:tc>
          <w:tcPr>
            <w:tcW w:w="539" w:type="pct"/>
            <w:shd w:val="clear" w:color="auto" w:fill="C6D9F1" w:themeFill="text2" w:themeFillTint="33"/>
            <w:vAlign w:val="center"/>
          </w:tcPr>
          <w:p w14:paraId="5FF1D843"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961.</w:t>
            </w:r>
          </w:p>
          <w:p w14:paraId="5C026744"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MP: 783</w:t>
            </w:r>
            <w:r w:rsidRPr="004F325E">
              <w:rPr>
                <w:rFonts w:ascii="Arial Narrow" w:eastAsiaTheme="minorEastAsia" w:hAnsi="Arial Narrow" w:cs="Times New Roman"/>
                <w:sz w:val="20"/>
                <w:szCs w:val="20"/>
                <w:vertAlign w:val="superscript"/>
                <w:lang w:eastAsia="en-US"/>
              </w:rPr>
              <w:t>c</w:t>
            </w:r>
          </w:p>
        </w:tc>
        <w:tc>
          <w:tcPr>
            <w:tcW w:w="1153" w:type="pct"/>
            <w:shd w:val="clear" w:color="auto" w:fill="C6D9F1" w:themeFill="text2" w:themeFillTint="33"/>
            <w:vAlign w:val="center"/>
          </w:tcPr>
          <w:p w14:paraId="63408F3E"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P3, MC, R, PC, DB (8/16</w:t>
            </w:r>
            <w:r w:rsidRPr="004F325E">
              <w:rPr>
                <w:rFonts w:ascii="Arial Narrow" w:eastAsiaTheme="minorEastAsia" w:hAnsi="Arial Narrow" w:cs="Times New Roman"/>
                <w:sz w:val="20"/>
                <w:szCs w:val="20"/>
                <w:vertAlign w:val="superscript"/>
                <w:lang w:eastAsia="en-US"/>
              </w:rPr>
              <w:t xml:space="preserve">b </w:t>
            </w:r>
            <w:r w:rsidRPr="004F325E">
              <w:rPr>
                <w:rFonts w:ascii="Arial Narrow" w:eastAsiaTheme="minorEastAsia" w:hAnsi="Arial Narrow" w:cs="Times New Roman"/>
                <w:sz w:val="20"/>
                <w:szCs w:val="20"/>
                <w:lang w:eastAsia="en-US"/>
              </w:rPr>
              <w:t>wk induction; maintenance to Wk 52); 3-arm.</w:t>
            </w:r>
          </w:p>
        </w:tc>
        <w:tc>
          <w:tcPr>
            <w:tcW w:w="540" w:type="pct"/>
            <w:shd w:val="clear" w:color="auto" w:fill="C6D9F1" w:themeFill="text2" w:themeFillTint="33"/>
            <w:vAlign w:val="center"/>
          </w:tcPr>
          <w:p w14:paraId="3EC41ACF"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IP: Low</w:t>
            </w:r>
          </w:p>
          <w:p w14:paraId="04455683" w14:textId="6A2A205A"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 xml:space="preserve">MP: </w:t>
            </w:r>
            <w:r w:rsidR="00842EB3" w:rsidRPr="00916F1D">
              <w:rPr>
                <w:rFonts w:ascii="Arial Narrow" w:eastAsiaTheme="minorEastAsia" w:hAnsi="Arial Narrow" w:cs="Times New Roman"/>
                <w:sz w:val="20"/>
                <w:szCs w:val="20"/>
                <w:lang w:eastAsia="en-US"/>
              </w:rPr>
              <w:t>Some concerns</w:t>
            </w:r>
          </w:p>
        </w:tc>
        <w:tc>
          <w:tcPr>
            <w:tcW w:w="693" w:type="pct"/>
            <w:shd w:val="clear" w:color="auto" w:fill="C6D9F1" w:themeFill="text2" w:themeFillTint="33"/>
            <w:vAlign w:val="center"/>
          </w:tcPr>
          <w:p w14:paraId="731494DC" w14:textId="77777777" w:rsidR="004D1EA7" w:rsidRPr="004F325E" w:rsidRDefault="004D1EA7" w:rsidP="004D1EA7">
            <w:pPr>
              <w:jc w:val="center"/>
              <w:rPr>
                <w:rFonts w:ascii="Arial Narrow" w:eastAsiaTheme="minorEastAsia" w:hAnsi="Arial Narrow" w:cs="Times New Roman"/>
                <w:iCs/>
                <w:sz w:val="20"/>
                <w:szCs w:val="20"/>
                <w:lang w:val="fr-FR" w:eastAsia="en-US"/>
              </w:rPr>
            </w:pPr>
            <w:r w:rsidRPr="004F325E">
              <w:rPr>
                <w:rFonts w:ascii="Arial Narrow" w:eastAsiaTheme="minorEastAsia" w:hAnsi="Arial Narrow" w:cs="Times New Roman"/>
                <w:iCs/>
                <w:sz w:val="20"/>
                <w:szCs w:val="20"/>
                <w:lang w:val="fr-FR" w:eastAsia="en-US"/>
              </w:rPr>
              <w:t>TNFi-n &amp; TNFi-e.</w:t>
            </w:r>
          </w:p>
          <w:p w14:paraId="779FC1BE" w14:textId="77777777" w:rsidR="004D1EA7" w:rsidRPr="004F325E" w:rsidRDefault="004D1EA7" w:rsidP="004D1EA7">
            <w:pPr>
              <w:jc w:val="center"/>
              <w:rPr>
                <w:rFonts w:ascii="Arial Narrow" w:eastAsiaTheme="minorEastAsia" w:hAnsi="Arial Narrow" w:cs="Times New Roman"/>
                <w:iCs/>
                <w:sz w:val="20"/>
                <w:szCs w:val="20"/>
                <w:lang w:val="fr-FR" w:eastAsia="en-US"/>
              </w:rPr>
            </w:pPr>
            <w:proofErr w:type="gramStart"/>
            <w:r w:rsidRPr="004F325E">
              <w:rPr>
                <w:rFonts w:ascii="Arial Narrow" w:eastAsiaTheme="minorEastAsia" w:hAnsi="Arial Narrow" w:cs="Times New Roman"/>
                <w:iCs/>
                <w:sz w:val="20"/>
                <w:szCs w:val="20"/>
                <w:lang w:val="fr-FR" w:eastAsia="en-US"/>
              </w:rPr>
              <w:t>Maintenance:</w:t>
            </w:r>
            <w:proofErr w:type="gramEnd"/>
          </w:p>
          <w:p w14:paraId="46D87FBF" w14:textId="77777777" w:rsidR="004D1EA7" w:rsidRPr="004F325E" w:rsidRDefault="004D1EA7" w:rsidP="004D1EA7">
            <w:pPr>
              <w:jc w:val="center"/>
              <w:rPr>
                <w:rFonts w:ascii="Arial Narrow" w:eastAsiaTheme="minorEastAsia" w:hAnsi="Arial Narrow" w:cs="Times New Roman"/>
                <w:sz w:val="20"/>
                <w:szCs w:val="20"/>
                <w:lang w:eastAsia="en-US"/>
              </w:rPr>
            </w:pPr>
            <w:r w:rsidRPr="004F325E">
              <w:rPr>
                <w:rFonts w:ascii="Arial Narrow" w:eastAsiaTheme="minorEastAsia" w:hAnsi="Arial Narrow" w:cs="Times New Roman"/>
                <w:iCs/>
                <w:sz w:val="20"/>
                <w:szCs w:val="20"/>
                <w:lang w:eastAsia="en-US"/>
              </w:rPr>
              <w:t>Wk 8/16 active responders</w:t>
            </w:r>
            <w:r w:rsidRPr="004F325E">
              <w:rPr>
                <w:rFonts w:ascii="Arial Narrow" w:eastAsiaTheme="minorEastAsia" w:hAnsi="Arial Narrow" w:cs="Times New Roman"/>
                <w:iCs/>
                <w:sz w:val="20"/>
                <w:szCs w:val="20"/>
                <w:vertAlign w:val="superscript"/>
                <w:lang w:eastAsia="en-US"/>
              </w:rPr>
              <w:t>d</w:t>
            </w:r>
          </w:p>
        </w:tc>
        <w:tc>
          <w:tcPr>
            <w:tcW w:w="1461" w:type="pct"/>
            <w:shd w:val="clear" w:color="auto" w:fill="C6D9F1" w:themeFill="text2" w:themeFillTint="33"/>
            <w:vAlign w:val="center"/>
          </w:tcPr>
          <w:p w14:paraId="7AA9A79D" w14:textId="77777777"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1</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xml:space="preserve">: clinical remission (FMS) </w:t>
            </w:r>
          </w:p>
          <w:p w14:paraId="59901B15" w14:textId="2AE930C8" w:rsidR="004D1EA7" w:rsidRPr="004F325E" w:rsidRDefault="004D1EA7" w:rsidP="004D1EA7">
            <w:pPr>
              <w:jc w:val="left"/>
              <w:rPr>
                <w:rFonts w:ascii="Arial Narrow" w:eastAsiaTheme="minorEastAsia" w:hAnsi="Arial Narrow" w:cs="Times New Roman"/>
                <w:sz w:val="20"/>
                <w:szCs w:val="20"/>
                <w:lang w:eastAsia="en-US"/>
              </w:rPr>
            </w:pPr>
            <w:r w:rsidRPr="004F325E">
              <w:rPr>
                <w:rFonts w:ascii="Arial Narrow" w:eastAsiaTheme="minorEastAsia" w:hAnsi="Arial Narrow" w:cs="Times New Roman"/>
                <w:sz w:val="20"/>
                <w:szCs w:val="20"/>
                <w:lang w:eastAsia="en-US"/>
              </w:rPr>
              <w:t>2</w:t>
            </w:r>
            <w:r w:rsidRPr="004F325E">
              <w:rPr>
                <w:rFonts w:ascii="Arial Narrow" w:eastAsiaTheme="minorEastAsia" w:hAnsi="Arial Narrow" w:cs="Times New Roman"/>
                <w:sz w:val="20"/>
                <w:szCs w:val="20"/>
                <w:vertAlign w:val="superscript"/>
                <w:lang w:eastAsia="en-US"/>
              </w:rPr>
              <w:t>ary</w:t>
            </w:r>
            <w:r w:rsidRPr="004F325E">
              <w:rPr>
                <w:rFonts w:ascii="Arial Narrow" w:eastAsiaTheme="minorEastAsia" w:hAnsi="Arial Narrow" w:cs="Times New Roman"/>
                <w:sz w:val="20"/>
                <w:szCs w:val="20"/>
                <w:lang w:eastAsia="en-US"/>
              </w:rPr>
              <w:t>: clinical response (FMS), mucosal healing</w:t>
            </w:r>
            <w:r w:rsidR="00916F1D">
              <w:rPr>
                <w:rFonts w:ascii="Arial Narrow" w:eastAsiaTheme="minorEastAsia" w:hAnsi="Arial Narrow" w:cs="Times New Roman"/>
                <w:sz w:val="20"/>
                <w:szCs w:val="20"/>
                <w:lang w:eastAsia="en-US"/>
              </w:rPr>
              <w:t>,</w:t>
            </w:r>
            <w:r w:rsidRPr="004F325E">
              <w:rPr>
                <w:rFonts w:ascii="Arial Narrow" w:eastAsiaTheme="minorEastAsia" w:hAnsi="Arial Narrow" w:cs="Times New Roman"/>
                <w:sz w:val="20"/>
                <w:szCs w:val="20"/>
                <w:lang w:eastAsia="en-US"/>
              </w:rPr>
              <w:t xml:space="preserve"> sustained clinical response, sustained clinical remission, corticosteroid-free remission </w:t>
            </w:r>
          </w:p>
        </w:tc>
      </w:tr>
    </w:tbl>
    <w:p w14:paraId="2EADF74C" w14:textId="63867AB4" w:rsidR="004D1EA7" w:rsidRPr="004F325E" w:rsidRDefault="004D1EA7" w:rsidP="004D1EA7">
      <w:pPr>
        <w:rPr>
          <w:rFonts w:ascii="Arial Narrow" w:hAnsi="Arial Narrow"/>
          <w:sz w:val="20"/>
          <w:szCs w:val="20"/>
          <w:lang w:eastAsia="en-US"/>
        </w:rPr>
      </w:pPr>
      <w:r w:rsidRPr="004F325E">
        <w:rPr>
          <w:rFonts w:ascii="Arial Narrow" w:eastAsiaTheme="minorEastAsia" w:hAnsi="Arial Narrow"/>
          <w:iCs/>
          <w:snapToGrid w:val="0"/>
          <w:sz w:val="20"/>
          <w:szCs w:val="20"/>
          <w:lang w:eastAsia="en-US"/>
        </w:rPr>
        <w:lastRenderedPageBreak/>
        <w:t xml:space="preserve">Source: Table </w:t>
      </w:r>
      <w:r w:rsidR="00F756B4">
        <w:rPr>
          <w:rFonts w:ascii="Arial Narrow" w:eastAsiaTheme="minorEastAsia" w:hAnsi="Arial Narrow"/>
          <w:iCs/>
          <w:snapToGrid w:val="0"/>
          <w:sz w:val="20"/>
          <w:szCs w:val="20"/>
          <w:lang w:eastAsia="en-US"/>
        </w:rPr>
        <w:t>19</w:t>
      </w:r>
      <w:r w:rsidRPr="004F325E">
        <w:rPr>
          <w:rFonts w:ascii="Arial Narrow" w:eastAsiaTheme="minorEastAsia" w:hAnsi="Arial Narrow"/>
          <w:iCs/>
          <w:snapToGrid w:val="0"/>
          <w:sz w:val="20"/>
          <w:szCs w:val="20"/>
          <w:lang w:eastAsia="en-US"/>
        </w:rPr>
        <w:t>-</w:t>
      </w:r>
      <w:r w:rsidR="00F756B4">
        <w:rPr>
          <w:rFonts w:ascii="Arial Narrow" w:eastAsiaTheme="minorEastAsia" w:hAnsi="Arial Narrow"/>
          <w:iCs/>
          <w:snapToGrid w:val="0"/>
          <w:sz w:val="20"/>
          <w:szCs w:val="20"/>
          <w:lang w:eastAsia="en-US"/>
        </w:rPr>
        <w:t>20</w:t>
      </w:r>
      <w:r w:rsidRPr="004F325E">
        <w:rPr>
          <w:rFonts w:ascii="Arial Narrow" w:eastAsiaTheme="minorEastAsia" w:hAnsi="Arial Narrow"/>
          <w:iCs/>
          <w:snapToGrid w:val="0"/>
          <w:sz w:val="20"/>
          <w:szCs w:val="20"/>
          <w:lang w:eastAsia="en-US"/>
        </w:rPr>
        <w:t>, pp8</w:t>
      </w:r>
      <w:r w:rsidR="00F756B4">
        <w:rPr>
          <w:rFonts w:ascii="Arial Narrow" w:eastAsiaTheme="minorEastAsia" w:hAnsi="Arial Narrow"/>
          <w:iCs/>
          <w:snapToGrid w:val="0"/>
          <w:sz w:val="20"/>
          <w:szCs w:val="20"/>
          <w:lang w:eastAsia="en-US"/>
        </w:rPr>
        <w:t>3</w:t>
      </w:r>
      <w:r w:rsidRPr="004F325E">
        <w:rPr>
          <w:rFonts w:ascii="Arial Narrow" w:eastAsiaTheme="minorEastAsia" w:hAnsi="Arial Narrow"/>
          <w:iCs/>
          <w:snapToGrid w:val="0"/>
          <w:sz w:val="20"/>
          <w:szCs w:val="20"/>
          <w:lang w:eastAsia="en-US"/>
        </w:rPr>
        <w:t>-9</w:t>
      </w:r>
      <w:r w:rsidR="00F756B4">
        <w:rPr>
          <w:rFonts w:ascii="Arial Narrow" w:eastAsiaTheme="minorEastAsia" w:hAnsi="Arial Narrow"/>
          <w:iCs/>
          <w:snapToGrid w:val="0"/>
          <w:sz w:val="20"/>
          <w:szCs w:val="20"/>
          <w:lang w:eastAsia="en-US"/>
        </w:rPr>
        <w:t>4</w:t>
      </w:r>
      <w:r w:rsidRPr="004F325E">
        <w:rPr>
          <w:rFonts w:ascii="Arial Narrow" w:eastAsiaTheme="minorEastAsia" w:hAnsi="Arial Narrow"/>
          <w:iCs/>
          <w:snapToGrid w:val="0"/>
          <w:sz w:val="20"/>
          <w:szCs w:val="20"/>
          <w:lang w:eastAsia="en-US"/>
        </w:rPr>
        <w:t xml:space="preserve"> of the submission. </w:t>
      </w:r>
      <w:r w:rsidRPr="004F325E">
        <w:rPr>
          <w:rFonts w:ascii="Arial Narrow" w:hAnsi="Arial Narrow"/>
          <w:iCs/>
          <w:sz w:val="20"/>
          <w:szCs w:val="20"/>
          <w:shd w:val="clear" w:color="auto" w:fill="C6D9F1" w:themeFill="text2" w:themeFillTint="33"/>
          <w:lang w:eastAsia="en-US"/>
        </w:rPr>
        <w:t>Shaded</w:t>
      </w:r>
      <w:r w:rsidRPr="004F325E">
        <w:rPr>
          <w:rFonts w:ascii="Arial Narrow" w:hAnsi="Arial Narrow"/>
          <w:sz w:val="20"/>
          <w:szCs w:val="20"/>
          <w:lang w:eastAsia="en-US"/>
        </w:rPr>
        <w:t xml:space="preserve"> areas indicate data previously seen by the PBAC.</w:t>
      </w:r>
    </w:p>
    <w:p w14:paraId="62F4E3EB" w14:textId="2900DF3E" w:rsidR="004D1EA7" w:rsidRPr="004F325E" w:rsidRDefault="004D1EA7" w:rsidP="004D1EA7">
      <w:pPr>
        <w:pStyle w:val="TableFigureFooter"/>
        <w:spacing w:after="0"/>
        <w:rPr>
          <w:sz w:val="20"/>
          <w:szCs w:val="20"/>
          <w:lang w:eastAsia="en-US"/>
        </w:rPr>
      </w:pPr>
      <w:r w:rsidRPr="004F325E">
        <w:rPr>
          <w:rFonts w:eastAsiaTheme="minorEastAsia" w:cs="Times New Roman"/>
          <w:sz w:val="20"/>
          <w:szCs w:val="20"/>
          <w:lang w:eastAsia="en-US"/>
        </w:rPr>
        <w:t>1</w:t>
      </w:r>
      <w:r w:rsidRPr="004F325E">
        <w:rPr>
          <w:rFonts w:eastAsiaTheme="minorEastAsia" w:cs="Times New Roman"/>
          <w:sz w:val="20"/>
          <w:szCs w:val="20"/>
          <w:vertAlign w:val="superscript"/>
          <w:lang w:eastAsia="en-US"/>
        </w:rPr>
        <w:t>ary</w:t>
      </w:r>
      <w:r w:rsidRPr="004F325E">
        <w:rPr>
          <w:rFonts w:eastAsiaTheme="minorEastAsia" w:cs="Times New Roman"/>
          <w:sz w:val="20"/>
          <w:szCs w:val="20"/>
          <w:lang w:eastAsia="en-US"/>
        </w:rPr>
        <w:t>=primary, 2</w:t>
      </w:r>
      <w:r w:rsidRPr="004F325E">
        <w:rPr>
          <w:rFonts w:eastAsiaTheme="minorEastAsia" w:cs="Times New Roman"/>
          <w:sz w:val="20"/>
          <w:szCs w:val="20"/>
          <w:vertAlign w:val="superscript"/>
          <w:lang w:eastAsia="en-US"/>
        </w:rPr>
        <w:t>ary</w:t>
      </w:r>
      <w:r w:rsidRPr="004F325E">
        <w:rPr>
          <w:rFonts w:eastAsiaTheme="minorEastAsia" w:cs="Times New Roman"/>
          <w:sz w:val="20"/>
          <w:szCs w:val="20"/>
          <w:lang w:eastAsia="en-US"/>
        </w:rPr>
        <w:t>:</w:t>
      </w:r>
      <w:r w:rsidRPr="004F325E">
        <w:rPr>
          <w:rFonts w:eastAsiaTheme="minorEastAsia" w:cs="Times New Roman"/>
          <w:sz w:val="20"/>
          <w:szCs w:val="20"/>
          <w:vertAlign w:val="superscript"/>
          <w:lang w:eastAsia="en-US"/>
        </w:rPr>
        <w:t>=</w:t>
      </w:r>
      <w:r w:rsidRPr="004F325E">
        <w:rPr>
          <w:rFonts w:eastAsiaTheme="minorEastAsia" w:cs="Times New Roman"/>
          <w:sz w:val="20"/>
          <w:szCs w:val="20"/>
          <w:lang w:eastAsia="en-US"/>
        </w:rPr>
        <w:t xml:space="preserve">secondary, </w:t>
      </w:r>
      <w:r w:rsidRPr="004F325E">
        <w:rPr>
          <w:rFonts w:eastAsiaTheme="minorEastAsia"/>
          <w:sz w:val="20"/>
          <w:szCs w:val="20"/>
          <w:lang w:eastAsia="en-US"/>
        </w:rPr>
        <w:t xml:space="preserve">ADA=adalimumab, </w:t>
      </w:r>
      <w:r w:rsidR="004119B6">
        <w:rPr>
          <w:rFonts w:eastAsiaTheme="minorEastAsia"/>
          <w:sz w:val="20"/>
          <w:szCs w:val="20"/>
          <w:lang w:eastAsia="en-US"/>
        </w:rPr>
        <w:t xml:space="preserve">Ct=cohort, </w:t>
      </w:r>
      <w:r w:rsidRPr="004F325E">
        <w:rPr>
          <w:rFonts w:eastAsiaTheme="minorEastAsia"/>
          <w:sz w:val="20"/>
          <w:szCs w:val="20"/>
          <w:lang w:eastAsia="en-US"/>
        </w:rPr>
        <w:t>DB=double blind</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sz w:val="20"/>
          <w:szCs w:val="20"/>
          <w:lang w:eastAsia="en-US"/>
        </w:rPr>
        <w:t>FMS=Full Mayo Score</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cs="Times New Roman"/>
          <w:sz w:val="20"/>
          <w:szCs w:val="20"/>
          <w:lang w:eastAsia="en-US"/>
        </w:rPr>
        <w:t>IBDQ</w:t>
      </w:r>
      <w:r w:rsidRPr="004F325E">
        <w:rPr>
          <w:rFonts w:eastAsiaTheme="minorEastAsia"/>
          <w:sz w:val="20"/>
          <w:szCs w:val="20"/>
          <w:lang w:eastAsia="en-US"/>
        </w:rPr>
        <w:t>= Inflammatory Bowel Disease Questionnaire</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sz w:val="20"/>
          <w:szCs w:val="20"/>
          <w:lang w:eastAsia="en-US"/>
        </w:rPr>
        <w:t>IP=induction phase</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sz w:val="20"/>
          <w:szCs w:val="20"/>
          <w:lang w:eastAsia="en-US"/>
        </w:rPr>
        <w:t>MC=multi-centre</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sz w:val="20"/>
          <w:szCs w:val="20"/>
          <w:lang w:eastAsia="en-US"/>
        </w:rPr>
        <w:t>MIRI = mirikizumab</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sz w:val="20"/>
          <w:szCs w:val="20"/>
          <w:lang w:eastAsia="en-US"/>
        </w:rPr>
        <w:t>MP=maintenance phase</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sz w:val="20"/>
          <w:szCs w:val="20"/>
          <w:lang w:eastAsia="en-US"/>
        </w:rPr>
        <w:t>mITT=modified intention-to-treat</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sz w:val="20"/>
          <w:szCs w:val="20"/>
          <w:lang w:eastAsia="en-US"/>
        </w:rPr>
        <w:t>MMS=Modified Mayo Score</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sz w:val="20"/>
          <w:szCs w:val="20"/>
          <w:lang w:eastAsia="en-US"/>
        </w:rPr>
        <w:t>OL=open label</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008849D0">
        <w:rPr>
          <w:rFonts w:eastAsiaTheme="minorEastAsia"/>
          <w:sz w:val="20"/>
          <w:szCs w:val="20"/>
          <w:lang w:eastAsia="en-US"/>
        </w:rPr>
        <w:t>P2/3=Phase 2</w:t>
      </w:r>
      <w:r w:rsidR="00C3013D">
        <w:rPr>
          <w:rFonts w:eastAsiaTheme="minorEastAsia"/>
          <w:sz w:val="20"/>
          <w:szCs w:val="20"/>
          <w:lang w:eastAsia="en-US"/>
        </w:rPr>
        <w:t>/</w:t>
      </w:r>
      <w:r w:rsidR="008849D0">
        <w:rPr>
          <w:rFonts w:eastAsiaTheme="minorEastAsia"/>
          <w:sz w:val="20"/>
          <w:szCs w:val="20"/>
          <w:lang w:eastAsia="en-US"/>
        </w:rPr>
        <w:t xml:space="preserve">3, </w:t>
      </w:r>
      <w:r w:rsidRPr="004F325E">
        <w:rPr>
          <w:rFonts w:eastAsiaTheme="minorEastAsia"/>
          <w:sz w:val="20"/>
          <w:szCs w:val="20"/>
          <w:lang w:eastAsia="en-US"/>
        </w:rPr>
        <w:t>P3=Phase 3</w:t>
      </w:r>
      <w:r w:rsidR="00180818">
        <w:rPr>
          <w:rFonts w:eastAsiaTheme="minorEastAsia"/>
          <w:sz w:val="20"/>
          <w:szCs w:val="20"/>
          <w:lang w:eastAsia="en-US"/>
        </w:rPr>
        <w:t>,</w:t>
      </w:r>
      <w:r w:rsidR="00180818" w:rsidRPr="004F325E">
        <w:rPr>
          <w:rFonts w:eastAsiaTheme="minorEastAsia"/>
          <w:sz w:val="20"/>
          <w:szCs w:val="20"/>
          <w:lang w:eastAsia="en-US"/>
        </w:rPr>
        <w:t xml:space="preserve"> </w:t>
      </w:r>
      <w:r w:rsidRPr="004F325E">
        <w:rPr>
          <w:rFonts w:eastAsiaTheme="minorEastAsia"/>
          <w:sz w:val="20"/>
          <w:szCs w:val="20"/>
          <w:lang w:eastAsia="en-US"/>
        </w:rPr>
        <w:t>PBO=placebo, PC=placebo-controlled</w:t>
      </w:r>
      <w:r w:rsidR="003A0E55">
        <w:rPr>
          <w:rFonts w:eastAsiaTheme="minorEastAsia"/>
          <w:sz w:val="20"/>
          <w:szCs w:val="20"/>
          <w:lang w:eastAsia="en-US"/>
        </w:rPr>
        <w:t>,</w:t>
      </w:r>
      <w:r w:rsidRPr="004F325E">
        <w:rPr>
          <w:rFonts w:eastAsiaTheme="minorEastAsia"/>
          <w:sz w:val="20"/>
          <w:szCs w:val="20"/>
          <w:lang w:eastAsia="en-US"/>
        </w:rPr>
        <w:t xml:space="preserve"> R=randomised, RWD=randomised withdrawal design, TNFi-e=tumour necrosis factor inhibitor experience, TNFi-n= tumour necrosis factor inhibitor naïve, UST=ustekinumab, VDZ=vedolizumab, Wk=week.</w:t>
      </w:r>
    </w:p>
    <w:p w14:paraId="67D888E2" w14:textId="77777777" w:rsidR="004D1EA7" w:rsidRPr="00196815" w:rsidRDefault="004D1EA7" w:rsidP="004D1EA7">
      <w:pPr>
        <w:pStyle w:val="TableFooter"/>
        <w:tabs>
          <w:tab w:val="left" w:pos="142"/>
        </w:tabs>
        <w:ind w:left="135" w:hanging="135"/>
        <w:rPr>
          <w:sz w:val="20"/>
          <w:szCs w:val="20"/>
        </w:rPr>
      </w:pPr>
      <w:r w:rsidRPr="00196815">
        <w:rPr>
          <w:rFonts w:eastAsiaTheme="minorEastAsia"/>
          <w:snapToGrid w:val="0"/>
          <w:sz w:val="20"/>
          <w:szCs w:val="20"/>
          <w:vertAlign w:val="superscript"/>
          <w:lang w:eastAsia="en-US"/>
        </w:rPr>
        <w:t>a</w:t>
      </w:r>
      <w:r w:rsidRPr="00196815">
        <w:rPr>
          <w:rFonts w:eastAsiaTheme="minorEastAsia"/>
          <w:snapToGrid w:val="0"/>
          <w:sz w:val="20"/>
          <w:szCs w:val="20"/>
          <w:lang w:eastAsia="en-US"/>
        </w:rPr>
        <w:tab/>
        <w:t xml:space="preserve">LUCENT 2: 544 responders to MIRI induction dosing. </w:t>
      </w:r>
      <w:r w:rsidRPr="00196815">
        <w:rPr>
          <w:sz w:val="20"/>
          <w:szCs w:val="20"/>
        </w:rPr>
        <w:t xml:space="preserve">Subjects who were in clinical response to MIRI IV 300 mg, were assigned treatment to MIRI SC or PBO at Week 12 (179 PBO; 365 MIRI). An additional 405 induction non-responders (subjects who were not in clinical response to induction therapy at Week 12; 133 PBO induction non-responders and 272 MIRI induction non-responders) received three additional MIRI IV Q4W doses (open-label extended induction). </w:t>
      </w:r>
    </w:p>
    <w:p w14:paraId="7908301F" w14:textId="77777777" w:rsidR="004D1EA7" w:rsidRPr="00196815" w:rsidRDefault="004D1EA7" w:rsidP="004D1EA7">
      <w:pPr>
        <w:pStyle w:val="TableFooter"/>
        <w:tabs>
          <w:tab w:val="left" w:pos="142"/>
        </w:tabs>
        <w:ind w:left="135" w:hanging="135"/>
        <w:rPr>
          <w:sz w:val="20"/>
          <w:szCs w:val="20"/>
        </w:rPr>
      </w:pPr>
      <w:r w:rsidRPr="00196815">
        <w:rPr>
          <w:rFonts w:eastAsiaTheme="minorEastAsia"/>
          <w:snapToGrid w:val="0"/>
          <w:sz w:val="20"/>
          <w:szCs w:val="20"/>
          <w:vertAlign w:val="superscript"/>
          <w:lang w:eastAsia="en-US"/>
        </w:rPr>
        <w:t>b</w:t>
      </w:r>
      <w:r w:rsidRPr="00196815">
        <w:rPr>
          <w:rFonts w:eastAsiaTheme="minorEastAsia"/>
          <w:snapToGrid w:val="0"/>
          <w:sz w:val="20"/>
          <w:szCs w:val="20"/>
          <w:lang w:eastAsia="en-US"/>
        </w:rPr>
        <w:tab/>
        <w:t xml:space="preserve">UNIFI: </w:t>
      </w:r>
      <w:r w:rsidRPr="00196815">
        <w:rPr>
          <w:sz w:val="20"/>
          <w:szCs w:val="20"/>
        </w:rPr>
        <w:t>At Week 8, subjects who were not in clinical response were assigned treatment as follows: those randomised to PBO at Week 0 received UST IV ~ 6 mg/kg plus PBO SC (to maintain the blind); those randomised to UST at Week 0 received UST 90 mg SC plus PBO IV (to maintain the blind). A total of 417 subjects who were not in clinical response at Week 8 received an additional dose of study agent at Week 8.</w:t>
      </w:r>
    </w:p>
    <w:p w14:paraId="4A2B164A" w14:textId="77777777" w:rsidR="004D1EA7" w:rsidRPr="00196815" w:rsidRDefault="004D1EA7" w:rsidP="004D1EA7">
      <w:pPr>
        <w:pStyle w:val="TableFooter"/>
        <w:tabs>
          <w:tab w:val="left" w:pos="142"/>
        </w:tabs>
        <w:ind w:left="135" w:hanging="135"/>
        <w:rPr>
          <w:sz w:val="20"/>
          <w:szCs w:val="20"/>
        </w:rPr>
      </w:pPr>
      <w:r w:rsidRPr="00196815">
        <w:rPr>
          <w:sz w:val="20"/>
          <w:szCs w:val="20"/>
          <w:vertAlign w:val="superscript"/>
        </w:rPr>
        <w:t>c</w:t>
      </w:r>
      <w:r w:rsidRPr="00196815">
        <w:rPr>
          <w:rFonts w:eastAsiaTheme="minorEastAsia"/>
          <w:snapToGrid w:val="0"/>
          <w:sz w:val="20"/>
          <w:szCs w:val="20"/>
          <w:lang w:eastAsia="en-US"/>
        </w:rPr>
        <w:tab/>
        <w:t xml:space="preserve">UNIFI: </w:t>
      </w:r>
      <w:r w:rsidRPr="00196815">
        <w:rPr>
          <w:sz w:val="20"/>
          <w:szCs w:val="20"/>
        </w:rPr>
        <w:t>Total subjects enrolled in maintenance. Of these, 523 were in the primary population for the maintenance study (clinical response to UST IV induction) and were randomised. 260 subjects were not part of the primary population (PBO induction responders and UST induction delayed responders) and were not randomised.</w:t>
      </w:r>
    </w:p>
    <w:p w14:paraId="7202E6A0" w14:textId="4F0136E1" w:rsidR="004D1EA7" w:rsidRPr="00196815" w:rsidRDefault="004D1EA7" w:rsidP="004D1EA7">
      <w:pPr>
        <w:pStyle w:val="TableFooter"/>
        <w:tabs>
          <w:tab w:val="left" w:pos="142"/>
        </w:tabs>
        <w:ind w:left="135" w:hanging="135"/>
        <w:rPr>
          <w:sz w:val="20"/>
          <w:szCs w:val="20"/>
        </w:rPr>
      </w:pPr>
      <w:r w:rsidRPr="00196815">
        <w:rPr>
          <w:rFonts w:eastAsiaTheme="minorEastAsia"/>
          <w:snapToGrid w:val="0"/>
          <w:sz w:val="20"/>
          <w:szCs w:val="20"/>
          <w:vertAlign w:val="superscript"/>
          <w:lang w:eastAsia="en-US"/>
        </w:rPr>
        <w:t>d</w:t>
      </w:r>
      <w:r w:rsidRPr="00196815">
        <w:rPr>
          <w:rFonts w:eastAsiaTheme="minorEastAsia"/>
          <w:snapToGrid w:val="0"/>
          <w:sz w:val="20"/>
          <w:szCs w:val="20"/>
          <w:lang w:eastAsia="en-US"/>
        </w:rPr>
        <w:tab/>
        <w:t xml:space="preserve">UNIFI: </w:t>
      </w:r>
      <w:r w:rsidRPr="00196815">
        <w:rPr>
          <w:sz w:val="20"/>
          <w:szCs w:val="20"/>
        </w:rPr>
        <w:t>Additional subjects entering the maintenance study not part of the primary population included the following: subjects in clinical response to PBO IV induction received placebo SC; subjects who were delayed responders to UST induction (i.e.</w:t>
      </w:r>
      <w:r w:rsidR="00180818" w:rsidRPr="00196815">
        <w:rPr>
          <w:sz w:val="20"/>
          <w:szCs w:val="20"/>
        </w:rPr>
        <w:t> </w:t>
      </w:r>
      <w:r w:rsidRPr="00196815">
        <w:rPr>
          <w:sz w:val="20"/>
          <w:szCs w:val="20"/>
        </w:rPr>
        <w:t>not in clinical response to UST at Week 8 but were in clinical response at Week 16) received UST 90 mg SC Q8W.</w:t>
      </w:r>
    </w:p>
    <w:p w14:paraId="74568ED8" w14:textId="77777777" w:rsidR="004D1EA7" w:rsidRPr="00196815" w:rsidRDefault="004D1EA7" w:rsidP="004D1EA7">
      <w:pPr>
        <w:pStyle w:val="TableFooter"/>
        <w:tabs>
          <w:tab w:val="left" w:pos="142"/>
        </w:tabs>
        <w:rPr>
          <w:sz w:val="20"/>
          <w:szCs w:val="20"/>
        </w:rPr>
      </w:pPr>
      <w:r w:rsidRPr="00196815">
        <w:rPr>
          <w:rFonts w:eastAsiaTheme="minorEastAsia"/>
          <w:snapToGrid w:val="0"/>
          <w:sz w:val="20"/>
          <w:szCs w:val="20"/>
          <w:vertAlign w:val="superscript"/>
          <w:lang w:eastAsia="en-US"/>
        </w:rPr>
        <w:t>e</w:t>
      </w:r>
      <w:r w:rsidRPr="00196815">
        <w:rPr>
          <w:rFonts w:eastAsiaTheme="minorEastAsia"/>
          <w:snapToGrid w:val="0"/>
          <w:sz w:val="20"/>
          <w:szCs w:val="20"/>
          <w:lang w:eastAsia="en-US"/>
        </w:rPr>
        <w:tab/>
        <w:t xml:space="preserve">Motoya: </w:t>
      </w:r>
      <w:r w:rsidRPr="00196815">
        <w:rPr>
          <w:sz w:val="20"/>
          <w:szCs w:val="20"/>
        </w:rPr>
        <w:t>Cohort 2 patients received open-label VDZ (induction phase).</w:t>
      </w:r>
    </w:p>
    <w:p w14:paraId="37B2E516" w14:textId="77777777" w:rsidR="004D1EA7" w:rsidRPr="00196815" w:rsidRDefault="004D1EA7" w:rsidP="004D1EA7">
      <w:pPr>
        <w:pStyle w:val="TableFooter"/>
        <w:tabs>
          <w:tab w:val="left" w:pos="142"/>
        </w:tabs>
        <w:spacing w:after="120"/>
        <w:rPr>
          <w:sz w:val="20"/>
          <w:szCs w:val="20"/>
        </w:rPr>
      </w:pPr>
      <w:r w:rsidRPr="00196815">
        <w:rPr>
          <w:rFonts w:eastAsiaTheme="minorEastAsia"/>
          <w:snapToGrid w:val="0"/>
          <w:sz w:val="20"/>
          <w:szCs w:val="20"/>
          <w:vertAlign w:val="superscript"/>
          <w:lang w:eastAsia="en-US"/>
        </w:rPr>
        <w:t>f</w:t>
      </w:r>
      <w:r w:rsidRPr="00196815">
        <w:rPr>
          <w:rFonts w:eastAsiaTheme="minorEastAsia"/>
          <w:snapToGrid w:val="0"/>
          <w:sz w:val="20"/>
          <w:szCs w:val="20"/>
          <w:lang w:eastAsia="en-US"/>
        </w:rPr>
        <w:tab/>
        <w:t xml:space="preserve">VISIBLE 1: </w:t>
      </w:r>
      <w:r w:rsidRPr="00196815">
        <w:rPr>
          <w:sz w:val="20"/>
          <w:szCs w:val="20"/>
        </w:rPr>
        <w:t>All patients received open-label VDZ IV induction treatment.</w:t>
      </w:r>
    </w:p>
    <w:p w14:paraId="650B5721" w14:textId="3A6EF48F" w:rsidR="004D1EA7" w:rsidRPr="00EF13BB" w:rsidRDefault="004D1EA7" w:rsidP="004D1EA7">
      <w:pPr>
        <w:pStyle w:val="3-BodyText"/>
      </w:pPr>
      <w:bookmarkStart w:id="27" w:name="_Ref137463893"/>
      <w:r>
        <w:t>T</w:t>
      </w:r>
      <w:r w:rsidRPr="00EF13BB">
        <w:t xml:space="preserve">he induction trials / induction phases were similar in terms of trial design. </w:t>
      </w:r>
      <w:r>
        <w:rPr>
          <w:rFonts w:eastAsiaTheme="minorEastAsia"/>
          <w:szCs w:val="22"/>
          <w:lang w:eastAsia="en-US"/>
        </w:rPr>
        <w:t>T</w:t>
      </w:r>
      <w:r w:rsidRPr="00EF13BB">
        <w:rPr>
          <w:rFonts w:eastAsiaTheme="minorEastAsia"/>
          <w:szCs w:val="22"/>
          <w:lang w:eastAsia="en-US"/>
        </w:rPr>
        <w:t>he maintenance trials / maintenance phases</w:t>
      </w:r>
      <w:r w:rsidR="00E23659">
        <w:rPr>
          <w:rFonts w:eastAsiaTheme="minorEastAsia"/>
          <w:szCs w:val="22"/>
          <w:lang w:eastAsia="en-US"/>
        </w:rPr>
        <w:t xml:space="preserve"> </w:t>
      </w:r>
      <w:r w:rsidRPr="00EF13BB">
        <w:rPr>
          <w:rFonts w:eastAsiaTheme="minorEastAsia"/>
          <w:szCs w:val="22"/>
          <w:lang w:eastAsia="en-US"/>
        </w:rPr>
        <w:t xml:space="preserve">differed in terms of the trial design; the MIRI, UST and VDZ trials used randomised withdrawal designs (active induction clinical responders – based on the MMS for MIRI and FMS for </w:t>
      </w:r>
      <w:r>
        <w:rPr>
          <w:rFonts w:eastAsiaTheme="minorEastAsia"/>
          <w:szCs w:val="22"/>
          <w:lang w:eastAsia="en-US"/>
        </w:rPr>
        <w:t>VDZ</w:t>
      </w:r>
      <w:r w:rsidRPr="00EF13BB">
        <w:rPr>
          <w:rFonts w:eastAsiaTheme="minorEastAsia"/>
          <w:szCs w:val="22"/>
          <w:lang w:eastAsia="en-US"/>
        </w:rPr>
        <w:t xml:space="preserve"> and </w:t>
      </w:r>
      <w:r>
        <w:rPr>
          <w:rFonts w:eastAsiaTheme="minorEastAsia"/>
          <w:szCs w:val="22"/>
          <w:lang w:eastAsia="en-US"/>
        </w:rPr>
        <w:t>UST</w:t>
      </w:r>
      <w:r w:rsidRPr="00EF13BB">
        <w:rPr>
          <w:rFonts w:eastAsiaTheme="minorEastAsia"/>
          <w:szCs w:val="22"/>
          <w:lang w:eastAsia="en-US"/>
        </w:rPr>
        <w:t xml:space="preserve"> - were re-randomised to active versus PBO) whereas the ADA </w:t>
      </w:r>
      <w:r>
        <w:rPr>
          <w:rFonts w:eastAsiaTheme="minorEastAsia"/>
          <w:szCs w:val="22"/>
          <w:lang w:eastAsia="en-US"/>
        </w:rPr>
        <w:t xml:space="preserve">(ULTRA 2 and SUZUKI et al 2014) </w:t>
      </w:r>
      <w:r w:rsidRPr="00EF13BB">
        <w:rPr>
          <w:rFonts w:eastAsiaTheme="minorEastAsia"/>
          <w:szCs w:val="22"/>
          <w:lang w:eastAsia="en-US"/>
        </w:rPr>
        <w:t>trials used treat-through designs (patients were randomised once and continued the same treatment for induction and maintenance therapy).</w:t>
      </w:r>
      <w:bookmarkEnd w:id="27"/>
    </w:p>
    <w:p w14:paraId="7F1A7A88" w14:textId="7A881A77" w:rsidR="004D1EA7" w:rsidRPr="00EF13BB" w:rsidRDefault="004D1EA7" w:rsidP="004D1EA7">
      <w:pPr>
        <w:pStyle w:val="3-BodyText"/>
      </w:pPr>
      <w:r w:rsidRPr="00EF13BB">
        <w:rPr>
          <w:rFonts w:eastAsiaTheme="minorEastAsia"/>
          <w:lang w:eastAsia="en-US"/>
        </w:rPr>
        <w:t>The LUCENT trials for MIRI were multicentre (including Australia), randomi</w:t>
      </w:r>
      <w:r w:rsidR="00E23659">
        <w:rPr>
          <w:rFonts w:eastAsiaTheme="minorEastAsia"/>
          <w:lang w:eastAsia="en-US"/>
        </w:rPr>
        <w:t>s</w:t>
      </w:r>
      <w:r w:rsidRPr="00EF13BB">
        <w:rPr>
          <w:rFonts w:eastAsiaTheme="minorEastAsia"/>
          <w:lang w:eastAsia="en-US"/>
        </w:rPr>
        <w:t>ed, double-blind, parallel-arm, PBO-controlled trials comprising LUCENT 1 (randomised induction trial) and LUCENT 2 (re-randomised responder maintenance trial). Patients who did not achieve clinical response with either MIRI or PBO during LUCENT 1 (</w:t>
      </w:r>
      <w:r>
        <w:rPr>
          <w:rFonts w:eastAsiaTheme="minorEastAsia"/>
          <w:lang w:eastAsia="en-US"/>
        </w:rPr>
        <w:t xml:space="preserve">at </w:t>
      </w:r>
      <w:r w:rsidRPr="00EF13BB">
        <w:rPr>
          <w:rFonts w:eastAsiaTheme="minorEastAsia"/>
          <w:lang w:eastAsia="en-US"/>
        </w:rPr>
        <w:t>12</w:t>
      </w:r>
      <w:r w:rsidR="00180818">
        <w:rPr>
          <w:rFonts w:eastAsiaTheme="minorEastAsia"/>
          <w:lang w:eastAsia="en-US"/>
        </w:rPr>
        <w:t> </w:t>
      </w:r>
      <w:r w:rsidRPr="00EF13BB">
        <w:rPr>
          <w:rFonts w:eastAsiaTheme="minorEastAsia"/>
          <w:lang w:eastAsia="en-US"/>
        </w:rPr>
        <w:t>weeks) received open-label extended induction therapy with MIRI IV 300 mg Q4W (</w:t>
      </w:r>
      <w:r>
        <w:rPr>
          <w:rFonts w:eastAsiaTheme="minorEastAsia"/>
          <w:lang w:eastAsia="en-US"/>
        </w:rPr>
        <w:t xml:space="preserve">additional </w:t>
      </w:r>
      <w:r w:rsidRPr="00EF13BB">
        <w:rPr>
          <w:rFonts w:eastAsiaTheme="minorEastAsia"/>
          <w:lang w:eastAsia="en-US"/>
        </w:rPr>
        <w:t>3 doses over 12 weeks) in LUCENT 2.</w:t>
      </w:r>
    </w:p>
    <w:p w14:paraId="35DBA2AD" w14:textId="4BD9D212" w:rsidR="004D1EA7" w:rsidRPr="003C553C" w:rsidRDefault="004D1EA7" w:rsidP="00D76D25">
      <w:pPr>
        <w:pStyle w:val="3-BodyText"/>
      </w:pPr>
      <w:r w:rsidRPr="003C553C">
        <w:rPr>
          <w:rFonts w:eastAsiaTheme="minorEastAsia"/>
          <w:lang w:eastAsia="en-US"/>
        </w:rPr>
        <w:t>Overall, the risk of bias in the induction trials w</w:t>
      </w:r>
      <w:r>
        <w:rPr>
          <w:rFonts w:eastAsiaTheme="minorEastAsia"/>
          <w:lang w:eastAsia="en-US"/>
        </w:rPr>
        <w:t>as</w:t>
      </w:r>
      <w:r w:rsidRPr="003C553C">
        <w:rPr>
          <w:rFonts w:eastAsiaTheme="minorEastAsia"/>
          <w:lang w:eastAsia="en-US"/>
        </w:rPr>
        <w:t xml:space="preserve"> </w:t>
      </w:r>
      <w:r w:rsidR="00D76D25">
        <w:rPr>
          <w:rFonts w:eastAsiaTheme="minorEastAsia"/>
          <w:lang w:eastAsia="en-US"/>
        </w:rPr>
        <w:t xml:space="preserve">considered </w:t>
      </w:r>
      <w:r w:rsidRPr="003C553C">
        <w:rPr>
          <w:rFonts w:eastAsiaTheme="minorEastAsia"/>
          <w:lang w:eastAsia="en-US"/>
        </w:rPr>
        <w:t xml:space="preserve">low </w:t>
      </w:r>
      <w:r w:rsidR="00D76D25">
        <w:rPr>
          <w:rFonts w:eastAsiaTheme="minorEastAsia"/>
          <w:lang w:eastAsia="en-US"/>
        </w:rPr>
        <w:t xml:space="preserve">whereas there were some concerns </w:t>
      </w:r>
      <w:r w:rsidR="007B71F4">
        <w:rPr>
          <w:rFonts w:eastAsiaTheme="minorEastAsia"/>
          <w:lang w:eastAsia="en-US"/>
        </w:rPr>
        <w:t>of</w:t>
      </w:r>
      <w:r w:rsidR="00D76D25">
        <w:rPr>
          <w:rFonts w:eastAsiaTheme="minorEastAsia"/>
          <w:lang w:eastAsia="en-US"/>
        </w:rPr>
        <w:t xml:space="preserve"> high risk of bias in the maintenance trials.</w:t>
      </w:r>
      <w:r w:rsidRPr="003C553C">
        <w:rPr>
          <w:rFonts w:eastAsiaTheme="minorEastAsia"/>
          <w:lang w:eastAsia="en-US"/>
        </w:rPr>
        <w:t xml:space="preserve"> Although there were higher rates of discontinuation in the PBO group compared to active treatment, in most induction trials the absolute discontinuation rates were relatively low (13% or less), with the exception of </w:t>
      </w:r>
      <w:r>
        <w:rPr>
          <w:rFonts w:eastAsiaTheme="minorEastAsia"/>
          <w:lang w:eastAsia="en-US"/>
        </w:rPr>
        <w:t xml:space="preserve">high rates in </w:t>
      </w:r>
      <w:r w:rsidRPr="004E19E9">
        <w:t>HIBISCUS</w:t>
      </w:r>
      <w:r>
        <w:t xml:space="preserve"> I and II </w:t>
      </w:r>
      <w:r w:rsidRPr="004E19E9">
        <w:t>(76%-94%)</w:t>
      </w:r>
      <w:r>
        <w:t xml:space="preserve"> attributed mostly</w:t>
      </w:r>
      <w:r w:rsidRPr="004E19E9">
        <w:t xml:space="preserve"> to lack of efficacy. T</w:t>
      </w:r>
      <w:r w:rsidRPr="003C553C">
        <w:rPr>
          <w:rFonts w:eastAsiaTheme="minorEastAsia"/>
          <w:lang w:eastAsia="en-US"/>
        </w:rPr>
        <w:t>he maintenance trials generally had high risk of attrition bias due to higher discontinuations</w:t>
      </w:r>
      <w:r w:rsidR="002260BB">
        <w:rPr>
          <w:rFonts w:eastAsiaTheme="minorEastAsia"/>
          <w:lang w:eastAsia="en-US"/>
        </w:rPr>
        <w:t>,</w:t>
      </w:r>
      <w:r>
        <w:rPr>
          <w:rFonts w:eastAsiaTheme="minorEastAsia"/>
          <w:lang w:eastAsia="en-US"/>
        </w:rPr>
        <w:t xml:space="preserve"> most commonly for</w:t>
      </w:r>
      <w:r w:rsidRPr="003C553C">
        <w:rPr>
          <w:rFonts w:eastAsiaTheme="minorEastAsia"/>
          <w:lang w:eastAsia="en-US"/>
        </w:rPr>
        <w:t xml:space="preserve"> adverse events</w:t>
      </w:r>
      <w:r>
        <w:rPr>
          <w:rFonts w:eastAsiaTheme="minorEastAsia"/>
          <w:lang w:eastAsia="en-US"/>
        </w:rPr>
        <w:t xml:space="preserve"> </w:t>
      </w:r>
      <w:r w:rsidRPr="003C553C">
        <w:rPr>
          <w:rFonts w:eastAsiaTheme="minorEastAsia"/>
          <w:lang w:eastAsia="en-US"/>
        </w:rPr>
        <w:t>and loss of effect.</w:t>
      </w:r>
    </w:p>
    <w:p w14:paraId="45FC96A5" w14:textId="77777777" w:rsidR="004D1EA7" w:rsidRPr="00196815" w:rsidRDefault="004D1EA7" w:rsidP="004D1EA7">
      <w:pPr>
        <w:pStyle w:val="3-BodyText"/>
      </w:pPr>
      <w:r w:rsidRPr="00196815">
        <w:rPr>
          <w:rFonts w:eastAsiaTheme="minorEastAsia"/>
          <w:szCs w:val="22"/>
          <w:lang w:eastAsia="en-US"/>
        </w:rPr>
        <w:t>Patient characteristics at baseline were generally balanced across the treatment arms within the trials. Based on available data, there were some differences in patient characteristics across the induction trials / phases, mainly due to differences in the eligibility criteria, including:</w:t>
      </w:r>
    </w:p>
    <w:p w14:paraId="062C22F1" w14:textId="2170D3C7" w:rsidR="004D1EA7" w:rsidRPr="00196815" w:rsidRDefault="004D1EA7" w:rsidP="003D1D4D">
      <w:pPr>
        <w:pStyle w:val="ListParagraph"/>
        <w:numPr>
          <w:ilvl w:val="0"/>
          <w:numId w:val="8"/>
        </w:numPr>
        <w:ind w:left="1040"/>
      </w:pPr>
      <w:r w:rsidRPr="00196815">
        <w:lastRenderedPageBreak/>
        <w:t>Disease location: MIRI trials (LUCENT 1) and ADA trials (HIBISCUS I and HIBISCUS II) included a higher proportion (59-67%) of patients with disease located in the left side of the colon compared to the other included trials (30%-58%). Whilst not reported in MIRI trials,</w:t>
      </w:r>
      <w:r w:rsidR="00FC4DBE" w:rsidRPr="00196815">
        <w:t xml:space="preserve"> a</w:t>
      </w:r>
      <w:r w:rsidRPr="00196815">
        <w:t xml:space="preserve"> varying proportion of patients (9-70%) had extensive disease in the comparator trials.</w:t>
      </w:r>
    </w:p>
    <w:p w14:paraId="664539B6" w14:textId="389627D1" w:rsidR="004D1EA7" w:rsidRPr="00196815" w:rsidRDefault="004D1EA7" w:rsidP="003D1D4D">
      <w:pPr>
        <w:pStyle w:val="ListParagraph"/>
        <w:numPr>
          <w:ilvl w:val="0"/>
          <w:numId w:val="8"/>
        </w:numPr>
        <w:ind w:left="1040"/>
      </w:pPr>
      <w:r w:rsidRPr="00196815">
        <w:t>Duration of disease: ADA trials (HIBISCUS I and HIBISCUS II) had slightly shorter median duration of disease (4.0-4.7 years) compared to the other included trials (5.4-6.1 years).</w:t>
      </w:r>
    </w:p>
    <w:p w14:paraId="08C3E3DF" w14:textId="1A7BA6EE" w:rsidR="004D1EA7" w:rsidRPr="00196815" w:rsidRDefault="004D1EA7" w:rsidP="003D1D4D">
      <w:pPr>
        <w:pStyle w:val="ListParagraph"/>
        <w:numPr>
          <w:ilvl w:val="0"/>
          <w:numId w:val="8"/>
        </w:numPr>
        <w:ind w:left="1040"/>
      </w:pPr>
      <w:r w:rsidRPr="00196815">
        <w:t>Prior use of TNF inhibitors: Of the trials that enrolled patients with prior biologic treatment, the MIRI trial (LUCENT 1) had a slightly lower proportion of patients with prior use of TNF inhibitor (34-39%) compared to the VDZ trials (48-52% in GEMINI</w:t>
      </w:r>
      <w:r w:rsidR="002260BB" w:rsidRPr="00196815">
        <w:t> </w:t>
      </w:r>
      <w:r w:rsidRPr="00196815">
        <w:t>1 and Motoya et al 2019) and ADA trial (39-41% in ULTRA 2).</w:t>
      </w:r>
    </w:p>
    <w:p w14:paraId="5E0992F0" w14:textId="77777777" w:rsidR="004D1EA7" w:rsidRPr="00196815" w:rsidRDefault="004D1EA7" w:rsidP="003D1D4D">
      <w:pPr>
        <w:pStyle w:val="ListParagraph"/>
        <w:numPr>
          <w:ilvl w:val="0"/>
          <w:numId w:val="8"/>
        </w:numPr>
        <w:ind w:left="1040"/>
      </w:pPr>
      <w:r w:rsidRPr="00196815">
        <w:t>Race: Of the trials that reported race, the proportion of Asian patients enrolled in MIRI trials (23-29% in LUCENT 1 and LUCENT 2) were similar to the comparator trials (14-19%) with the exception of Motoya et al 2019 and Suzuki et al 2014 which enrolled all Japanese patients.</w:t>
      </w:r>
    </w:p>
    <w:p w14:paraId="3056F27B" w14:textId="1DC84354" w:rsidR="004D1EA7" w:rsidRPr="00196815" w:rsidRDefault="004D1EA7" w:rsidP="003D1D4D">
      <w:pPr>
        <w:pStyle w:val="ListParagraph"/>
        <w:numPr>
          <w:ilvl w:val="0"/>
          <w:numId w:val="8"/>
        </w:numPr>
        <w:ind w:left="1040"/>
      </w:pPr>
      <w:r w:rsidRPr="00196815">
        <w:t>Mean C-reactive protein (CRP) at baseline: Patients in ULTRA 2 (mean 13.1-14.5</w:t>
      </w:r>
      <w:r w:rsidR="002260BB" w:rsidRPr="00196815">
        <w:t> </w:t>
      </w:r>
      <w:r w:rsidRPr="00196815">
        <w:t>mg/L) and UNIFI trials (mean 9.6-12.1 mg/L) had higher baseline mean CRP compared to the other included induction trials (mean 2.2-4.2 mg/L).</w:t>
      </w:r>
    </w:p>
    <w:p w14:paraId="12A124BD" w14:textId="73893FB8" w:rsidR="004D1EA7" w:rsidRPr="00196815" w:rsidRDefault="004D1EA7" w:rsidP="004D1EA7">
      <w:pPr>
        <w:pStyle w:val="3-BodyText"/>
      </w:pPr>
      <w:r w:rsidRPr="00196815">
        <w:rPr>
          <w:rFonts w:eastAsiaTheme="minorEastAsia"/>
          <w:szCs w:val="22"/>
          <w:lang w:eastAsia="en-US"/>
        </w:rPr>
        <w:t>A comparison of baseline characteristics across the maintenance trials /</w:t>
      </w:r>
      <w:r w:rsidR="002260BB" w:rsidRPr="00196815">
        <w:rPr>
          <w:rFonts w:eastAsiaTheme="minorEastAsia"/>
          <w:szCs w:val="22"/>
          <w:lang w:eastAsia="en-US"/>
        </w:rPr>
        <w:t> </w:t>
      </w:r>
      <w:r w:rsidRPr="00196815">
        <w:rPr>
          <w:rFonts w:eastAsiaTheme="minorEastAsia"/>
          <w:szCs w:val="22"/>
          <w:lang w:eastAsia="en-US"/>
        </w:rPr>
        <w:t>phases was limited because most trials did not report separate characteristics for patients treated with maintenance treatment. Based on available data, patients (i.e. induction responders) enrolled in LUCENT 2 appeared to be fairly similar to patients enrolled in the other maintenance trials (VISIBLE 1 and UNIFI).</w:t>
      </w:r>
    </w:p>
    <w:p w14:paraId="4B0B2826" w14:textId="77777777" w:rsidR="004D1EA7" w:rsidRPr="009D7115" w:rsidRDefault="004D1EA7" w:rsidP="004D1EA7">
      <w:pPr>
        <w:pStyle w:val="3-BodyText"/>
      </w:pPr>
      <w:r w:rsidRPr="009D7115">
        <w:t xml:space="preserve">The submission </w:t>
      </w:r>
      <w:r>
        <w:t>not</w:t>
      </w:r>
      <w:r w:rsidRPr="009D7115">
        <w:t>ed a number of factors that may affect the transitivity of the trials in the indirect comparison including:</w:t>
      </w:r>
    </w:p>
    <w:p w14:paraId="06100A35" w14:textId="391E2FF3" w:rsidR="004D1EA7" w:rsidRDefault="004D1EA7" w:rsidP="003D1D4D">
      <w:pPr>
        <w:pStyle w:val="3-BodyText"/>
        <w:numPr>
          <w:ilvl w:val="0"/>
          <w:numId w:val="8"/>
        </w:numPr>
        <w:ind w:left="1040"/>
      </w:pPr>
      <w:r>
        <w:t>Differences in the trial design for maintenance treatment phase, in particular the MIRI trials were re-randomised responder design whereas the ADA maintenance trials had a treat-through design. P</w:t>
      </w:r>
      <w:r w:rsidRPr="00E701E6">
        <w:t xml:space="preserve">atients entering the maintenance phase in the re-randomised trials </w:t>
      </w:r>
      <w:r>
        <w:t xml:space="preserve">and </w:t>
      </w:r>
      <w:r w:rsidRPr="00E701E6">
        <w:t xml:space="preserve">treat-through trials are different in terms of their study drug exposure and those participating in re-randomised trials who have received active treatment during induction followed by re-randomisation to PBO in maintenance may have a </w:t>
      </w:r>
      <w:r w:rsidR="0061783F">
        <w:t>‘</w:t>
      </w:r>
      <w:r w:rsidRPr="00E701E6">
        <w:t>carry over</w:t>
      </w:r>
      <w:r w:rsidR="0061783F">
        <w:t>’</w:t>
      </w:r>
      <w:r w:rsidRPr="00E701E6">
        <w:t xml:space="preserve"> effect and a heightened level of response at maintenance.</w:t>
      </w:r>
      <w:r w:rsidRPr="003C553C">
        <w:rPr>
          <w:rFonts w:eastAsiaTheme="minorEastAsia"/>
          <w:szCs w:val="22"/>
          <w:lang w:eastAsia="en-US"/>
        </w:rPr>
        <w:t xml:space="preserve"> </w:t>
      </w:r>
      <w:r>
        <w:t xml:space="preserve">To account for this potential bias, both the ITC and NMA ‘adjusted’ the results of the treat-through trials to align with the results of the randomised withdrawal </w:t>
      </w:r>
      <w:r w:rsidRPr="006E14F1">
        <w:t>trials</w:t>
      </w:r>
      <w:r>
        <w:t xml:space="preserve">. </w:t>
      </w:r>
      <w:r>
        <w:rPr>
          <w:bCs/>
        </w:rPr>
        <w:t xml:space="preserve">The method of adjustment was similar to the approach used in </w:t>
      </w:r>
      <w:r>
        <w:rPr>
          <w:bCs/>
        </w:rPr>
        <w:lastRenderedPageBreak/>
        <w:t>several NICE appraisals</w:t>
      </w:r>
      <w:r w:rsidRPr="002260BB">
        <w:rPr>
          <w:rStyle w:val="FootnoteReference"/>
          <w:bCs/>
        </w:rPr>
        <w:footnoteReference w:id="3"/>
      </w:r>
      <w:r w:rsidR="002260BB" w:rsidRPr="002260BB">
        <w:rPr>
          <w:bCs/>
          <w:vertAlign w:val="superscript"/>
        </w:rPr>
        <w:t>,</w:t>
      </w:r>
      <w:r>
        <w:rPr>
          <w:rStyle w:val="FootnoteReference"/>
          <w:bCs/>
        </w:rPr>
        <w:footnoteReference w:id="4"/>
      </w:r>
      <w:r w:rsidR="002260BB" w:rsidRPr="002260BB">
        <w:rPr>
          <w:bCs/>
          <w:vertAlign w:val="superscript"/>
        </w:rPr>
        <w:t>,</w:t>
      </w:r>
      <w:r>
        <w:rPr>
          <w:rStyle w:val="FootnoteReference"/>
          <w:bCs/>
        </w:rPr>
        <w:footnoteReference w:id="5"/>
      </w:r>
      <w:r w:rsidR="002260BB" w:rsidRPr="002260BB">
        <w:rPr>
          <w:bCs/>
          <w:vertAlign w:val="superscript"/>
        </w:rPr>
        <w:t>,</w:t>
      </w:r>
      <w:r>
        <w:rPr>
          <w:rStyle w:val="FootnoteReference"/>
          <w:bCs/>
        </w:rPr>
        <w:footnoteReference w:id="6"/>
      </w:r>
      <w:r w:rsidRPr="006E14F1">
        <w:t xml:space="preserve">. </w:t>
      </w:r>
      <w:r w:rsidRPr="00196815">
        <w:t>The</w:t>
      </w:r>
      <w:r w:rsidR="00026345" w:rsidRPr="00196815">
        <w:t>re</w:t>
      </w:r>
      <w:r w:rsidRPr="00196815">
        <w:t xml:space="preserve"> appeared to be a few errors with the submission’s calculations used to adjust the ADA treat-through trials, although corrected estimates did not change the overall interpretation of the ITC conclusions.</w:t>
      </w:r>
      <w:r w:rsidR="00772763">
        <w:t xml:space="preserve"> </w:t>
      </w:r>
      <w:r w:rsidR="00772763" w:rsidRPr="00FD140C">
        <w:t>The PSCR acknowledged the discrepancies in the ITC results identified by the evaluators, however agreed with the evaluation that the interpretation of the results does not change regardless and reiterated that the superiority of MIRI over ADA was supported by the results of the analyses.</w:t>
      </w:r>
      <w:r w:rsidR="00E86738">
        <w:rPr>
          <w:i/>
          <w:iCs/>
        </w:rPr>
        <w:t xml:space="preserve"> </w:t>
      </w:r>
    </w:p>
    <w:p w14:paraId="306442E9" w14:textId="20A1197C" w:rsidR="004D1EA7" w:rsidRPr="00FB0DB0" w:rsidRDefault="004D1EA7" w:rsidP="003D1D4D">
      <w:pPr>
        <w:pStyle w:val="3-BodyText"/>
        <w:numPr>
          <w:ilvl w:val="0"/>
          <w:numId w:val="8"/>
        </w:numPr>
        <w:ind w:left="1040"/>
        <w:rPr>
          <w:i/>
          <w:iCs/>
        </w:rPr>
      </w:pPr>
      <w:r>
        <w:t>Differences in trial eligibility and baseline characteristics of patients across the trials for induction</w:t>
      </w:r>
      <w:r w:rsidR="00FC4DBE">
        <w:t xml:space="preserve"> </w:t>
      </w:r>
      <w:r>
        <w:t xml:space="preserve">and maintenance. </w:t>
      </w:r>
      <w:r w:rsidRPr="00FB0DB0">
        <w:rPr>
          <w:iCs/>
        </w:rPr>
        <w:t xml:space="preserve">To reduce heterogeneity observed across the population characteristics, the submission conducted separate analyses for the induction and the maintenance phase, and for populations based on prior exposure to </w:t>
      </w:r>
      <w:r w:rsidR="00AF7030">
        <w:rPr>
          <w:iCs/>
        </w:rPr>
        <w:t>bDMARDs/tsDMARDs</w:t>
      </w:r>
      <w:r w:rsidRPr="00FB0DB0">
        <w:rPr>
          <w:iCs/>
        </w:rPr>
        <w:t xml:space="preserve"> therapy.</w:t>
      </w:r>
      <w:r w:rsidRPr="00FB0DB0">
        <w:rPr>
          <w:i/>
        </w:rPr>
        <w:t xml:space="preserve"> </w:t>
      </w:r>
      <w:r w:rsidRPr="001D752B">
        <w:t>However, the categorisation of patients as ‘</w:t>
      </w:r>
      <w:r w:rsidR="00AF7030" w:rsidRPr="001D752B">
        <w:t>bDMARDs/tsDMARDs</w:t>
      </w:r>
      <w:r w:rsidRPr="001D752B">
        <w:t xml:space="preserve"> naïve’ and ‘</w:t>
      </w:r>
      <w:r w:rsidR="00AF7030" w:rsidRPr="001D752B">
        <w:t>bDMARDs/tsDMARDs</w:t>
      </w:r>
      <w:r w:rsidRPr="001D752B">
        <w:t xml:space="preserve"> experienced’ varied in their definitions across the trials. For example, for the </w:t>
      </w:r>
      <w:r w:rsidR="00AF7030" w:rsidRPr="001D752B">
        <w:t>bDMARDs/tsDMARDs</w:t>
      </w:r>
      <w:r w:rsidRPr="001D752B">
        <w:t xml:space="preserve"> subgroup, some trials reported data on a subset of patients who had failed (i.e.</w:t>
      </w:r>
      <w:r w:rsidR="002260BB" w:rsidRPr="001D752B">
        <w:t> </w:t>
      </w:r>
      <w:r w:rsidRPr="001D752B">
        <w:t>intolerant or inadequate responders) on previous biologic therapies</w:t>
      </w:r>
      <w:r w:rsidR="002260BB" w:rsidRPr="001D752B">
        <w:t>,</w:t>
      </w:r>
      <w:r w:rsidRPr="001D752B">
        <w:t xml:space="preserve"> while others reported on data for patients who were exposed to previous biologic therapies (i.e. failed or exposed without failure). Similarly, the naïve populations could have been defined as a lack of failure or a lack of exposure to a previous biologic. It </w:t>
      </w:r>
      <w:r w:rsidR="00026345" w:rsidRPr="001D752B">
        <w:t>wa</w:t>
      </w:r>
      <w:r w:rsidRPr="001D752B">
        <w:t xml:space="preserve">s noted for LUCENT, the submission labelled the subgroups that were </w:t>
      </w:r>
      <w:r w:rsidR="00AF7030" w:rsidRPr="001D752B">
        <w:t>bDMARDs/tsDMARDs</w:t>
      </w:r>
      <w:r w:rsidRPr="001D752B">
        <w:t xml:space="preserve"> naïve and experienced as patients who had not failed previous biologic and failed (inadequate responder) on</w:t>
      </w:r>
      <w:r w:rsidR="00AF404E" w:rsidRPr="001D752B">
        <w:t xml:space="preserve"> a</w:t>
      </w:r>
      <w:r w:rsidRPr="001D752B">
        <w:t xml:space="preserve"> previous biologic, respectively. Despite the heterogeneity, there were often only minor differences in the number of patients in the </w:t>
      </w:r>
      <w:r w:rsidR="002C533D">
        <w:t>‘</w:t>
      </w:r>
      <w:r w:rsidRPr="001D752B">
        <w:t>exposed</w:t>
      </w:r>
      <w:r w:rsidR="002C533D">
        <w:t>’</w:t>
      </w:r>
      <w:r w:rsidRPr="001D752B">
        <w:t xml:space="preserve"> and </w:t>
      </w:r>
      <w:r w:rsidR="002C533D">
        <w:t>‘</w:t>
      </w:r>
      <w:r w:rsidRPr="001D752B">
        <w:t>failure</w:t>
      </w:r>
      <w:r w:rsidR="002C533D">
        <w:t>’</w:t>
      </w:r>
      <w:r w:rsidRPr="001D752B">
        <w:t xml:space="preserve"> subgroups, as patients who were previously treated with a biologic often stop therapy due to reasons associated with failure.</w:t>
      </w:r>
    </w:p>
    <w:p w14:paraId="1167AC34" w14:textId="5F5B5FD8" w:rsidR="004D1EA7" w:rsidRDefault="004D1EA7" w:rsidP="003D1D4D">
      <w:pPr>
        <w:pStyle w:val="3-BodyText"/>
        <w:numPr>
          <w:ilvl w:val="0"/>
          <w:numId w:val="8"/>
        </w:numPr>
        <w:ind w:left="1040"/>
        <w:rPr>
          <w:i/>
        </w:rPr>
      </w:pPr>
      <w:r>
        <w:t xml:space="preserve">Differences in the PBO response rates in the maintenance trials. </w:t>
      </w:r>
      <w:r w:rsidRPr="00FB0DB0">
        <w:rPr>
          <w:iCs/>
        </w:rPr>
        <w:t xml:space="preserve">A number of population characteristics have been shown to impact PBO response (or baseline risk) within trials of ulcerative colitis, such as study location, disease status, disease duration, and prior exposure to biologics. </w:t>
      </w:r>
      <w:r w:rsidRPr="00746A28">
        <w:t xml:space="preserve">The NMA adjusted baseline risk (i.e. PBO response adjustment) using a meta-regression model with baseline risk as a covariate. The methodology followed the NICE DSU technical supplement document </w:t>
      </w:r>
      <w:r>
        <w:t>3</w:t>
      </w:r>
      <w:r w:rsidR="002C533D">
        <w:t>.</w:t>
      </w:r>
      <w:r>
        <w:rPr>
          <w:rStyle w:val="FootnoteReference"/>
          <w:rFonts w:eastAsiaTheme="minorHAnsi"/>
        </w:rPr>
        <w:footnoteReference w:id="7"/>
      </w:r>
    </w:p>
    <w:p w14:paraId="32051283" w14:textId="77777777" w:rsidR="000B4875" w:rsidRPr="000B4875" w:rsidRDefault="004D1EA7" w:rsidP="003D1D4D">
      <w:pPr>
        <w:pStyle w:val="3-BodyText"/>
        <w:numPr>
          <w:ilvl w:val="0"/>
          <w:numId w:val="8"/>
        </w:numPr>
        <w:ind w:left="1040"/>
      </w:pPr>
      <w:r>
        <w:lastRenderedPageBreak/>
        <w:t xml:space="preserve">Differences in the </w:t>
      </w:r>
      <w:r w:rsidRPr="00213A90">
        <w:t>definitions of clinical remission and response in the MIRI trials</w:t>
      </w:r>
      <w:r>
        <w:t xml:space="preserve"> (MMS) and the comparator trials (FMS). </w:t>
      </w:r>
      <w:r w:rsidRPr="00FB0DB0">
        <w:rPr>
          <w:iCs/>
        </w:rPr>
        <w:t>The submission presented post-hoc analyses from LUCENT 1 for MMS vs FMS in clinical remission and clinical response</w:t>
      </w:r>
      <w:r>
        <w:rPr>
          <w:iCs/>
        </w:rPr>
        <w:t>, indicating similar results across the two definitions</w:t>
      </w:r>
      <w:r w:rsidRPr="00FB0DB0">
        <w:rPr>
          <w:iCs/>
        </w:rPr>
        <w:t>.</w:t>
      </w:r>
    </w:p>
    <w:p w14:paraId="0751BAEA" w14:textId="77777777" w:rsidR="004D1EA7" w:rsidRPr="00750047" w:rsidRDefault="004D1EA7" w:rsidP="004D1EA7">
      <w:pPr>
        <w:pStyle w:val="4-SubsectionHeading"/>
      </w:pPr>
      <w:bookmarkStart w:id="28" w:name="_Toc22897641"/>
      <w:bookmarkStart w:id="29" w:name="_Toc135142375"/>
      <w:r w:rsidRPr="00750047">
        <w:t>Comparative effectiveness</w:t>
      </w:r>
      <w:bookmarkEnd w:id="28"/>
      <w:bookmarkEnd w:id="29"/>
    </w:p>
    <w:p w14:paraId="657C628C" w14:textId="77777777" w:rsidR="004D1EA7" w:rsidRDefault="004D1EA7" w:rsidP="004D1EA7">
      <w:pPr>
        <w:pStyle w:val="3-BodyText"/>
      </w:pPr>
      <w:r w:rsidRPr="00750047">
        <w:t xml:space="preserve">The clinically relevant outcomes for MSUC are </w:t>
      </w:r>
      <w:r w:rsidRPr="00695E63">
        <w:t>clinical remission</w:t>
      </w:r>
      <w:r w:rsidRPr="00750047">
        <w:t xml:space="preserve"> (absence of symptoms outcome) and </w:t>
      </w:r>
      <w:r w:rsidRPr="00695E63">
        <w:t>clinical response</w:t>
      </w:r>
      <w:r w:rsidRPr="00750047">
        <w:t xml:space="preserve"> (relative improvement in symptoms outcome), as assessed using the Mayo score.</w:t>
      </w:r>
      <w:r>
        <w:t xml:space="preserve"> </w:t>
      </w:r>
      <w:r w:rsidRPr="00873BB2">
        <w:t xml:space="preserve">The clinical response and clinical remission outcomes </w:t>
      </w:r>
      <w:r>
        <w:t>following</w:t>
      </w:r>
      <w:r w:rsidRPr="00873BB2">
        <w:t xml:space="preserve"> induction therapy were reported at different time points across the trials; Week 12 in the MIRI trial, Week 6-10 in the VDZ trials, Week 8 in the UST trial and Week 8-10 in the ADA trials.</w:t>
      </w:r>
    </w:p>
    <w:p w14:paraId="6FDD6FE5" w14:textId="77777777" w:rsidR="004D1EA7" w:rsidRPr="004660AB" w:rsidRDefault="004D1EA7" w:rsidP="00AF404E">
      <w:pPr>
        <w:pStyle w:val="5-SubsectionSubheading"/>
        <w:rPr>
          <w:bCs/>
        </w:rPr>
      </w:pPr>
      <w:bookmarkStart w:id="30" w:name="_Toc135142376"/>
      <w:r>
        <w:t>Trial results</w:t>
      </w:r>
      <w:bookmarkEnd w:id="30"/>
    </w:p>
    <w:p w14:paraId="012D51A3" w14:textId="25E274AC" w:rsidR="00A66D45" w:rsidRDefault="00CC56E0" w:rsidP="00A66D45">
      <w:pPr>
        <w:pStyle w:val="3-BodyText"/>
      </w:pPr>
      <w:r>
        <w:rPr>
          <w:highlight w:val="yellow"/>
        </w:rPr>
        <w:fldChar w:fldCharType="begin" w:fldLock="1"/>
      </w:r>
      <w:r>
        <w:instrText xml:space="preserve"> REF _Ref135048144 \h </w:instrText>
      </w:r>
      <w:r>
        <w:rPr>
          <w:highlight w:val="yellow"/>
        </w:rPr>
      </w:r>
      <w:r>
        <w:rPr>
          <w:highlight w:val="yellow"/>
        </w:rPr>
        <w:fldChar w:fldCharType="separate"/>
      </w:r>
      <w:r>
        <w:t xml:space="preserve">Table </w:t>
      </w:r>
      <w:r>
        <w:rPr>
          <w:noProof/>
        </w:rPr>
        <w:t>4</w:t>
      </w:r>
      <w:r>
        <w:rPr>
          <w:highlight w:val="yellow"/>
        </w:rPr>
        <w:fldChar w:fldCharType="end"/>
      </w:r>
      <w:r w:rsidR="00A66D45">
        <w:t xml:space="preserve"> </w:t>
      </w:r>
      <w:r w:rsidR="00A66D45" w:rsidRPr="00405470">
        <w:t xml:space="preserve">presents </w:t>
      </w:r>
      <w:r w:rsidR="00405470" w:rsidRPr="00405470">
        <w:t xml:space="preserve">the results of clinical remission and clinical response </w:t>
      </w:r>
      <w:r w:rsidR="00405470">
        <w:t xml:space="preserve">at induction and maintenance </w:t>
      </w:r>
      <w:r w:rsidR="00405470" w:rsidRPr="00405470">
        <w:t xml:space="preserve">from the </w:t>
      </w:r>
      <w:r w:rsidR="00A66D45" w:rsidRPr="00405470">
        <w:t xml:space="preserve">LUCENT I and II </w:t>
      </w:r>
      <w:r w:rsidR="00405470" w:rsidRPr="00405470">
        <w:t>trials</w:t>
      </w:r>
      <w:r w:rsidR="00A66D45">
        <w:t>. For brevity, results of the comparator trials are not presented</w:t>
      </w:r>
      <w:r w:rsidR="00A044D5">
        <w:t xml:space="preserve"> below</w:t>
      </w:r>
      <w:r w:rsidR="00A66D45">
        <w:t>.</w:t>
      </w:r>
    </w:p>
    <w:p w14:paraId="49ED2EEC" w14:textId="4F78CB58" w:rsidR="00405470" w:rsidRDefault="00CC56E0" w:rsidP="007B6B2C">
      <w:pPr>
        <w:pStyle w:val="Caption"/>
      </w:pPr>
      <w:bookmarkStart w:id="31" w:name="_Ref135048144"/>
      <w:r>
        <w:lastRenderedPageBreak/>
        <w:t xml:space="preserve">Table </w:t>
      </w:r>
      <w:r w:rsidR="00A234BA">
        <w:fldChar w:fldCharType="begin" w:fldLock="1"/>
      </w:r>
      <w:r w:rsidR="00A234BA">
        <w:instrText xml:space="preserve"> SEQ Table \* ARABIC </w:instrText>
      </w:r>
      <w:r w:rsidR="00A234BA">
        <w:fldChar w:fldCharType="separate"/>
      </w:r>
      <w:r w:rsidR="0005097F">
        <w:rPr>
          <w:noProof/>
        </w:rPr>
        <w:t>4</w:t>
      </w:r>
      <w:r w:rsidR="00A234BA">
        <w:rPr>
          <w:noProof/>
        </w:rPr>
        <w:fldChar w:fldCharType="end"/>
      </w:r>
      <w:bookmarkEnd w:id="31"/>
      <w:r>
        <w:t xml:space="preserve">: </w:t>
      </w:r>
      <w:r w:rsidR="00405470">
        <w:t>Clinical remission and clinical response for MIRI vs PBO in LUCENT I and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Table 4: Clinical remission and clinical response for MIRI vs PBO in LUCENT I and II."/>
      </w:tblPr>
      <w:tblGrid>
        <w:gridCol w:w="2546"/>
        <w:gridCol w:w="1252"/>
        <w:gridCol w:w="1239"/>
        <w:gridCol w:w="69"/>
        <w:gridCol w:w="1259"/>
        <w:gridCol w:w="47"/>
        <w:gridCol w:w="1280"/>
        <w:gridCol w:w="18"/>
        <w:gridCol w:w="1307"/>
      </w:tblGrid>
      <w:tr w:rsidR="00705899" w:rsidRPr="000754A2" w14:paraId="0D6AD57C" w14:textId="77777777" w:rsidTr="00705899">
        <w:trPr>
          <w:trHeight w:val="170"/>
        </w:trPr>
        <w:tc>
          <w:tcPr>
            <w:tcW w:w="1412" w:type="pct"/>
            <w:tcBorders>
              <w:bottom w:val="single" w:sz="4" w:space="0" w:color="auto"/>
            </w:tcBorders>
            <w:shd w:val="clear" w:color="auto" w:fill="auto"/>
            <w:vAlign w:val="center"/>
          </w:tcPr>
          <w:p w14:paraId="23A96F1D" w14:textId="77777777" w:rsidR="00405470" w:rsidRPr="00BD47FB" w:rsidRDefault="00405470" w:rsidP="007B6B2C">
            <w:pPr>
              <w:keepNext/>
              <w:keepLines/>
              <w:jc w:val="left"/>
              <w:rPr>
                <w:rFonts w:ascii="Arial Narrow" w:hAnsi="Arial Narrow"/>
                <w:b/>
                <w:bCs/>
                <w:iCs/>
                <w:sz w:val="18"/>
                <w:szCs w:val="18"/>
              </w:rPr>
            </w:pPr>
            <w:r w:rsidRPr="00BD47FB">
              <w:rPr>
                <w:rFonts w:ascii="Arial Narrow" w:hAnsi="Arial Narrow"/>
                <w:b/>
                <w:bCs/>
                <w:iCs/>
                <w:sz w:val="18"/>
                <w:szCs w:val="18"/>
              </w:rPr>
              <w:t>Trial</w:t>
            </w:r>
          </w:p>
        </w:tc>
        <w:tc>
          <w:tcPr>
            <w:tcW w:w="694" w:type="pct"/>
            <w:tcBorders>
              <w:bottom w:val="single" w:sz="4" w:space="0" w:color="auto"/>
            </w:tcBorders>
            <w:shd w:val="clear" w:color="auto" w:fill="auto"/>
            <w:vAlign w:val="center"/>
          </w:tcPr>
          <w:p w14:paraId="36186F45" w14:textId="2C176E42"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MIRI n/N (%)</w:t>
            </w:r>
          </w:p>
        </w:tc>
        <w:tc>
          <w:tcPr>
            <w:tcW w:w="725" w:type="pct"/>
            <w:gridSpan w:val="2"/>
            <w:tcBorders>
              <w:bottom w:val="single" w:sz="4" w:space="0" w:color="auto"/>
            </w:tcBorders>
            <w:shd w:val="clear" w:color="auto" w:fill="auto"/>
            <w:vAlign w:val="center"/>
          </w:tcPr>
          <w:p w14:paraId="62718BB2" w14:textId="64875BF5"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PBO n/N (%)</w:t>
            </w:r>
          </w:p>
        </w:tc>
        <w:tc>
          <w:tcPr>
            <w:tcW w:w="724" w:type="pct"/>
            <w:gridSpan w:val="2"/>
            <w:tcBorders>
              <w:bottom w:val="single" w:sz="4" w:space="0" w:color="auto"/>
            </w:tcBorders>
            <w:shd w:val="clear" w:color="auto" w:fill="auto"/>
            <w:vAlign w:val="center"/>
          </w:tcPr>
          <w:p w14:paraId="39091F81"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RR (95% CI)</w:t>
            </w:r>
          </w:p>
        </w:tc>
        <w:tc>
          <w:tcPr>
            <w:tcW w:w="720" w:type="pct"/>
            <w:gridSpan w:val="2"/>
            <w:tcBorders>
              <w:bottom w:val="single" w:sz="4" w:space="0" w:color="auto"/>
            </w:tcBorders>
            <w:shd w:val="clear" w:color="auto" w:fill="auto"/>
            <w:vAlign w:val="center"/>
          </w:tcPr>
          <w:p w14:paraId="2E0A6AA9"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RD (95% CI)</w:t>
            </w:r>
          </w:p>
        </w:tc>
        <w:tc>
          <w:tcPr>
            <w:tcW w:w="724" w:type="pct"/>
            <w:tcBorders>
              <w:bottom w:val="single" w:sz="4" w:space="0" w:color="auto"/>
            </w:tcBorders>
            <w:shd w:val="clear" w:color="auto" w:fill="auto"/>
            <w:vAlign w:val="center"/>
          </w:tcPr>
          <w:p w14:paraId="60AAA438"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OR (95%CI)</w:t>
            </w:r>
          </w:p>
        </w:tc>
      </w:tr>
      <w:tr w:rsidR="00705899" w:rsidRPr="0040334C" w14:paraId="78208E66" w14:textId="77777777" w:rsidTr="00705899">
        <w:trPr>
          <w:trHeight w:val="170"/>
        </w:trPr>
        <w:tc>
          <w:tcPr>
            <w:tcW w:w="5000" w:type="pct"/>
            <w:gridSpan w:val="9"/>
            <w:tcBorders>
              <w:bottom w:val="single" w:sz="4" w:space="0" w:color="auto"/>
            </w:tcBorders>
            <w:shd w:val="clear" w:color="auto" w:fill="auto"/>
            <w:vAlign w:val="center"/>
          </w:tcPr>
          <w:p w14:paraId="781FD44D" w14:textId="58AAEB1A" w:rsidR="00705899" w:rsidRPr="00BD47FB" w:rsidRDefault="00705899" w:rsidP="007B6B2C">
            <w:pPr>
              <w:keepNext/>
              <w:keepLines/>
              <w:jc w:val="left"/>
              <w:rPr>
                <w:rFonts w:ascii="Arial Narrow" w:hAnsi="Arial Narrow"/>
                <w:b/>
                <w:bCs/>
                <w:iCs/>
                <w:sz w:val="18"/>
                <w:szCs w:val="18"/>
              </w:rPr>
            </w:pPr>
            <w:r w:rsidRPr="00BD47FB">
              <w:rPr>
                <w:rFonts w:ascii="Arial Narrow" w:hAnsi="Arial Narrow"/>
                <w:b/>
                <w:iCs/>
                <w:sz w:val="18"/>
                <w:szCs w:val="18"/>
              </w:rPr>
              <w:t>Clinical remission MMS (induction therapy)</w:t>
            </w:r>
          </w:p>
        </w:tc>
      </w:tr>
      <w:tr w:rsidR="00705899" w:rsidRPr="0040334C" w14:paraId="32532490" w14:textId="77777777" w:rsidTr="00705899">
        <w:trPr>
          <w:trHeight w:val="170"/>
        </w:trPr>
        <w:tc>
          <w:tcPr>
            <w:tcW w:w="1412" w:type="pct"/>
            <w:tcBorders>
              <w:bottom w:val="nil"/>
            </w:tcBorders>
            <w:shd w:val="clear" w:color="auto" w:fill="auto"/>
            <w:vAlign w:val="center"/>
          </w:tcPr>
          <w:p w14:paraId="1403C5C9"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ITT</w:t>
            </w:r>
          </w:p>
        </w:tc>
        <w:tc>
          <w:tcPr>
            <w:tcW w:w="694" w:type="pct"/>
            <w:tcBorders>
              <w:bottom w:val="nil"/>
            </w:tcBorders>
            <w:shd w:val="clear" w:color="auto" w:fill="auto"/>
            <w:vAlign w:val="center"/>
          </w:tcPr>
          <w:p w14:paraId="6FC764B1"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210/868 (24.2)</w:t>
            </w:r>
          </w:p>
        </w:tc>
        <w:tc>
          <w:tcPr>
            <w:tcW w:w="725" w:type="pct"/>
            <w:gridSpan w:val="2"/>
            <w:tcBorders>
              <w:bottom w:val="nil"/>
            </w:tcBorders>
            <w:shd w:val="clear" w:color="auto" w:fill="auto"/>
            <w:vAlign w:val="center"/>
          </w:tcPr>
          <w:p w14:paraId="4F6ECEBD"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39/294 (13.3)</w:t>
            </w:r>
          </w:p>
        </w:tc>
        <w:tc>
          <w:tcPr>
            <w:tcW w:w="724" w:type="pct"/>
            <w:gridSpan w:val="2"/>
            <w:tcBorders>
              <w:bottom w:val="nil"/>
            </w:tcBorders>
            <w:shd w:val="clear" w:color="auto" w:fill="auto"/>
            <w:vAlign w:val="center"/>
          </w:tcPr>
          <w:p w14:paraId="68FE0CFD" w14:textId="095AED54"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1.82 (1.33</w:t>
            </w:r>
            <w:r w:rsidR="002C533D">
              <w:rPr>
                <w:rFonts w:ascii="Arial Narrow" w:hAnsi="Arial Narrow"/>
                <w:b/>
                <w:bCs/>
                <w:iCs/>
                <w:sz w:val="18"/>
                <w:szCs w:val="18"/>
              </w:rPr>
              <w:t xml:space="preserve"> </w:t>
            </w:r>
            <w:r w:rsidRPr="00BD47FB">
              <w:rPr>
                <w:rFonts w:ascii="Arial Narrow" w:hAnsi="Arial Narrow"/>
                <w:b/>
                <w:bCs/>
                <w:iCs/>
                <w:sz w:val="18"/>
                <w:szCs w:val="18"/>
              </w:rPr>
              <w:t>,2.50)</w:t>
            </w:r>
          </w:p>
        </w:tc>
        <w:tc>
          <w:tcPr>
            <w:tcW w:w="720" w:type="pct"/>
            <w:gridSpan w:val="2"/>
            <w:tcBorders>
              <w:bottom w:val="nil"/>
            </w:tcBorders>
            <w:shd w:val="clear" w:color="auto" w:fill="auto"/>
            <w:vAlign w:val="center"/>
          </w:tcPr>
          <w:p w14:paraId="75452810" w14:textId="7F80C03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0.11 (0.06,</w:t>
            </w:r>
            <w:r w:rsidR="002C533D">
              <w:rPr>
                <w:rFonts w:ascii="Arial Narrow" w:hAnsi="Arial Narrow"/>
                <w:b/>
                <w:bCs/>
                <w:iCs/>
                <w:sz w:val="18"/>
                <w:szCs w:val="18"/>
              </w:rPr>
              <w:t xml:space="preserve"> </w:t>
            </w:r>
            <w:r w:rsidRPr="00BD47FB">
              <w:rPr>
                <w:rFonts w:ascii="Arial Narrow" w:hAnsi="Arial Narrow"/>
                <w:b/>
                <w:bCs/>
                <w:iCs/>
                <w:sz w:val="18"/>
                <w:szCs w:val="18"/>
              </w:rPr>
              <w:t>0.16)</w:t>
            </w:r>
          </w:p>
        </w:tc>
        <w:tc>
          <w:tcPr>
            <w:tcW w:w="724" w:type="pct"/>
            <w:tcBorders>
              <w:bottom w:val="nil"/>
            </w:tcBorders>
            <w:shd w:val="clear" w:color="auto" w:fill="auto"/>
            <w:vAlign w:val="center"/>
          </w:tcPr>
          <w:p w14:paraId="791EEC10" w14:textId="79BE19C3"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2.09 (1.44,</w:t>
            </w:r>
            <w:r w:rsidR="002C533D">
              <w:rPr>
                <w:rFonts w:ascii="Arial Narrow" w:hAnsi="Arial Narrow"/>
                <w:b/>
                <w:bCs/>
                <w:iCs/>
                <w:sz w:val="18"/>
                <w:szCs w:val="18"/>
              </w:rPr>
              <w:t xml:space="preserve"> </w:t>
            </w:r>
            <w:r w:rsidRPr="00BD47FB">
              <w:rPr>
                <w:rFonts w:ascii="Arial Narrow" w:hAnsi="Arial Narrow"/>
                <w:b/>
                <w:bCs/>
                <w:iCs/>
                <w:sz w:val="18"/>
                <w:szCs w:val="18"/>
              </w:rPr>
              <w:t>3.02)</w:t>
            </w:r>
          </w:p>
        </w:tc>
      </w:tr>
      <w:tr w:rsidR="00705899" w:rsidRPr="0040334C" w14:paraId="3B6AEB46" w14:textId="77777777" w:rsidTr="00705899">
        <w:trPr>
          <w:trHeight w:val="170"/>
        </w:trPr>
        <w:tc>
          <w:tcPr>
            <w:tcW w:w="1412" w:type="pct"/>
            <w:tcBorders>
              <w:top w:val="nil"/>
              <w:bottom w:val="nil"/>
            </w:tcBorders>
            <w:shd w:val="clear" w:color="auto" w:fill="auto"/>
            <w:vAlign w:val="center"/>
          </w:tcPr>
          <w:p w14:paraId="3AAE80CE"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bDMARD-NF</w:t>
            </w:r>
            <w:r w:rsidRPr="00BD47FB">
              <w:rPr>
                <w:rFonts w:ascii="Arial Narrow" w:hAnsi="Arial Narrow"/>
                <w:iCs/>
                <w:sz w:val="18"/>
                <w:szCs w:val="18"/>
                <w:vertAlign w:val="superscript"/>
              </w:rPr>
              <w:t>a</w:t>
            </w:r>
          </w:p>
        </w:tc>
        <w:tc>
          <w:tcPr>
            <w:tcW w:w="694" w:type="pct"/>
            <w:tcBorders>
              <w:top w:val="nil"/>
              <w:bottom w:val="nil"/>
            </w:tcBorders>
            <w:shd w:val="clear" w:color="auto" w:fill="auto"/>
            <w:vAlign w:val="center"/>
          </w:tcPr>
          <w:p w14:paraId="5390262B"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155/507 (30.6)</w:t>
            </w:r>
          </w:p>
        </w:tc>
        <w:tc>
          <w:tcPr>
            <w:tcW w:w="725" w:type="pct"/>
            <w:gridSpan w:val="2"/>
            <w:tcBorders>
              <w:top w:val="nil"/>
              <w:bottom w:val="nil"/>
            </w:tcBorders>
            <w:shd w:val="clear" w:color="auto" w:fill="auto"/>
            <w:vAlign w:val="center"/>
          </w:tcPr>
          <w:p w14:paraId="5C151676"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29/176 (16.5)</w:t>
            </w:r>
          </w:p>
        </w:tc>
        <w:tc>
          <w:tcPr>
            <w:tcW w:w="724" w:type="pct"/>
            <w:gridSpan w:val="2"/>
            <w:tcBorders>
              <w:top w:val="nil"/>
              <w:bottom w:val="nil"/>
            </w:tcBorders>
            <w:shd w:val="clear" w:color="auto" w:fill="auto"/>
            <w:vAlign w:val="center"/>
          </w:tcPr>
          <w:p w14:paraId="300B9AB7" w14:textId="004F6000"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1.86 (1.30,</w:t>
            </w:r>
            <w:r w:rsidR="002C533D">
              <w:rPr>
                <w:rFonts w:ascii="Arial Narrow" w:hAnsi="Arial Narrow"/>
                <w:b/>
                <w:bCs/>
                <w:iCs/>
                <w:sz w:val="18"/>
                <w:szCs w:val="18"/>
              </w:rPr>
              <w:t xml:space="preserve"> </w:t>
            </w:r>
            <w:r w:rsidRPr="00BD47FB">
              <w:rPr>
                <w:rFonts w:ascii="Arial Narrow" w:hAnsi="Arial Narrow"/>
                <w:b/>
                <w:bCs/>
                <w:iCs/>
                <w:sz w:val="18"/>
                <w:szCs w:val="18"/>
              </w:rPr>
              <w:t>2.65)</w:t>
            </w:r>
          </w:p>
        </w:tc>
        <w:tc>
          <w:tcPr>
            <w:tcW w:w="720" w:type="pct"/>
            <w:gridSpan w:val="2"/>
            <w:tcBorders>
              <w:top w:val="nil"/>
              <w:bottom w:val="nil"/>
            </w:tcBorders>
            <w:shd w:val="clear" w:color="auto" w:fill="auto"/>
            <w:vAlign w:val="center"/>
          </w:tcPr>
          <w:p w14:paraId="483B1CE5" w14:textId="46C040AE"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0.14 (0.07,</w:t>
            </w:r>
            <w:r w:rsidR="002C533D">
              <w:rPr>
                <w:rFonts w:ascii="Arial Narrow" w:hAnsi="Arial Narrow"/>
                <w:b/>
                <w:bCs/>
                <w:iCs/>
                <w:sz w:val="18"/>
                <w:szCs w:val="18"/>
              </w:rPr>
              <w:t xml:space="preserve"> </w:t>
            </w:r>
            <w:r w:rsidRPr="00BD47FB">
              <w:rPr>
                <w:rFonts w:ascii="Arial Narrow" w:hAnsi="Arial Narrow"/>
                <w:b/>
                <w:bCs/>
                <w:iCs/>
                <w:sz w:val="18"/>
                <w:szCs w:val="18"/>
              </w:rPr>
              <w:t>0.21)</w:t>
            </w:r>
          </w:p>
        </w:tc>
        <w:tc>
          <w:tcPr>
            <w:tcW w:w="724" w:type="pct"/>
            <w:tcBorders>
              <w:top w:val="nil"/>
              <w:bottom w:val="nil"/>
            </w:tcBorders>
            <w:shd w:val="clear" w:color="auto" w:fill="auto"/>
            <w:vAlign w:val="center"/>
          </w:tcPr>
          <w:p w14:paraId="1ED062CC" w14:textId="0CEF4940"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2.23 (1.44,</w:t>
            </w:r>
            <w:r w:rsidR="002C533D">
              <w:rPr>
                <w:rFonts w:ascii="Arial Narrow" w:hAnsi="Arial Narrow"/>
                <w:b/>
                <w:bCs/>
                <w:iCs/>
                <w:sz w:val="18"/>
                <w:szCs w:val="18"/>
              </w:rPr>
              <w:t xml:space="preserve"> </w:t>
            </w:r>
            <w:r w:rsidRPr="00BD47FB">
              <w:rPr>
                <w:rFonts w:ascii="Arial Narrow" w:hAnsi="Arial Narrow"/>
                <w:b/>
                <w:bCs/>
                <w:iCs/>
                <w:sz w:val="18"/>
                <w:szCs w:val="18"/>
              </w:rPr>
              <w:t>3.47)</w:t>
            </w:r>
          </w:p>
        </w:tc>
      </w:tr>
      <w:tr w:rsidR="00705899" w:rsidRPr="0040334C" w14:paraId="4346EE75" w14:textId="77777777" w:rsidTr="00705899">
        <w:trPr>
          <w:trHeight w:val="170"/>
        </w:trPr>
        <w:tc>
          <w:tcPr>
            <w:tcW w:w="1412" w:type="pct"/>
            <w:tcBorders>
              <w:top w:val="nil"/>
              <w:bottom w:val="nil"/>
            </w:tcBorders>
            <w:shd w:val="clear" w:color="auto" w:fill="auto"/>
            <w:vAlign w:val="center"/>
          </w:tcPr>
          <w:p w14:paraId="0FD0BAFE"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bDMARD-fail</w:t>
            </w:r>
            <w:r w:rsidRPr="00BD47FB">
              <w:rPr>
                <w:rFonts w:ascii="Arial Narrow" w:hAnsi="Arial Narrow"/>
                <w:iCs/>
                <w:sz w:val="18"/>
                <w:szCs w:val="18"/>
                <w:vertAlign w:val="superscript"/>
              </w:rPr>
              <w:t>b #</w:t>
            </w:r>
          </w:p>
        </w:tc>
        <w:tc>
          <w:tcPr>
            <w:tcW w:w="694" w:type="pct"/>
            <w:tcBorders>
              <w:top w:val="nil"/>
              <w:bottom w:val="nil"/>
            </w:tcBorders>
            <w:shd w:val="clear" w:color="auto" w:fill="auto"/>
            <w:vAlign w:val="center"/>
          </w:tcPr>
          <w:p w14:paraId="55A25E97"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55/361 (15.2)</w:t>
            </w:r>
          </w:p>
        </w:tc>
        <w:tc>
          <w:tcPr>
            <w:tcW w:w="725" w:type="pct"/>
            <w:gridSpan w:val="2"/>
            <w:tcBorders>
              <w:top w:val="nil"/>
              <w:bottom w:val="nil"/>
            </w:tcBorders>
            <w:shd w:val="clear" w:color="auto" w:fill="auto"/>
            <w:vAlign w:val="center"/>
          </w:tcPr>
          <w:p w14:paraId="5113A929"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10/118 (8.5)</w:t>
            </w:r>
          </w:p>
        </w:tc>
        <w:tc>
          <w:tcPr>
            <w:tcW w:w="724" w:type="pct"/>
            <w:gridSpan w:val="2"/>
            <w:tcBorders>
              <w:top w:val="nil"/>
              <w:bottom w:val="nil"/>
            </w:tcBorders>
            <w:shd w:val="clear" w:color="auto" w:fill="auto"/>
            <w:vAlign w:val="center"/>
          </w:tcPr>
          <w:p w14:paraId="7A4D6FB8" w14:textId="0022811F"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iCs/>
                <w:sz w:val="18"/>
                <w:szCs w:val="18"/>
              </w:rPr>
              <w:t>1.80 (0.95,</w:t>
            </w:r>
            <w:r w:rsidR="002C533D">
              <w:rPr>
                <w:rFonts w:ascii="Arial Narrow" w:hAnsi="Arial Narrow"/>
                <w:iCs/>
                <w:sz w:val="18"/>
                <w:szCs w:val="18"/>
              </w:rPr>
              <w:t xml:space="preserve"> </w:t>
            </w:r>
            <w:r w:rsidRPr="00BD47FB">
              <w:rPr>
                <w:rFonts w:ascii="Arial Narrow" w:hAnsi="Arial Narrow"/>
                <w:iCs/>
                <w:sz w:val="18"/>
                <w:szCs w:val="18"/>
              </w:rPr>
              <w:t>3.41)</w:t>
            </w:r>
          </w:p>
        </w:tc>
        <w:tc>
          <w:tcPr>
            <w:tcW w:w="720" w:type="pct"/>
            <w:gridSpan w:val="2"/>
            <w:tcBorders>
              <w:top w:val="nil"/>
              <w:bottom w:val="nil"/>
            </w:tcBorders>
            <w:shd w:val="clear" w:color="auto" w:fill="auto"/>
            <w:vAlign w:val="center"/>
          </w:tcPr>
          <w:p w14:paraId="07C3E048" w14:textId="587E20D3"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0.07 (0.01,</w:t>
            </w:r>
            <w:r w:rsidR="002C533D">
              <w:rPr>
                <w:rFonts w:ascii="Arial Narrow" w:hAnsi="Arial Narrow"/>
                <w:b/>
                <w:bCs/>
                <w:iCs/>
                <w:sz w:val="18"/>
                <w:szCs w:val="18"/>
              </w:rPr>
              <w:t xml:space="preserve"> </w:t>
            </w:r>
            <w:r w:rsidRPr="00BD47FB">
              <w:rPr>
                <w:rFonts w:ascii="Arial Narrow" w:hAnsi="Arial Narrow"/>
                <w:b/>
                <w:bCs/>
                <w:iCs/>
                <w:sz w:val="18"/>
                <w:szCs w:val="18"/>
              </w:rPr>
              <w:t>0.13)</w:t>
            </w:r>
          </w:p>
        </w:tc>
        <w:tc>
          <w:tcPr>
            <w:tcW w:w="724" w:type="pct"/>
            <w:tcBorders>
              <w:top w:val="nil"/>
              <w:bottom w:val="nil"/>
            </w:tcBorders>
            <w:shd w:val="clear" w:color="auto" w:fill="auto"/>
            <w:vAlign w:val="center"/>
          </w:tcPr>
          <w:p w14:paraId="007FD625" w14:textId="52D9D605"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iCs/>
                <w:sz w:val="18"/>
                <w:szCs w:val="18"/>
              </w:rPr>
              <w:t>1.94 (0.96,</w:t>
            </w:r>
            <w:r w:rsidR="002C533D">
              <w:rPr>
                <w:rFonts w:ascii="Arial Narrow" w:hAnsi="Arial Narrow"/>
                <w:iCs/>
                <w:sz w:val="18"/>
                <w:szCs w:val="18"/>
              </w:rPr>
              <w:t xml:space="preserve"> </w:t>
            </w:r>
            <w:r w:rsidRPr="00BD47FB">
              <w:rPr>
                <w:rFonts w:ascii="Arial Narrow" w:hAnsi="Arial Narrow"/>
                <w:iCs/>
                <w:sz w:val="18"/>
                <w:szCs w:val="18"/>
              </w:rPr>
              <w:t>3.94)</w:t>
            </w:r>
          </w:p>
        </w:tc>
      </w:tr>
      <w:tr w:rsidR="00705899" w:rsidRPr="0040334C" w14:paraId="0D9C1037" w14:textId="77777777" w:rsidTr="00705899">
        <w:trPr>
          <w:trHeight w:val="170"/>
        </w:trPr>
        <w:tc>
          <w:tcPr>
            <w:tcW w:w="1412" w:type="pct"/>
            <w:tcBorders>
              <w:top w:val="nil"/>
              <w:bottom w:val="nil"/>
            </w:tcBorders>
            <w:shd w:val="clear" w:color="auto" w:fill="auto"/>
            <w:vAlign w:val="center"/>
          </w:tcPr>
          <w:p w14:paraId="1336CE02"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bDMARD-naïve</w:t>
            </w:r>
          </w:p>
        </w:tc>
        <w:tc>
          <w:tcPr>
            <w:tcW w:w="694" w:type="pct"/>
            <w:tcBorders>
              <w:top w:val="nil"/>
              <w:bottom w:val="nil"/>
            </w:tcBorders>
            <w:shd w:val="clear" w:color="auto" w:fill="auto"/>
            <w:vAlign w:val="center"/>
          </w:tcPr>
          <w:p w14:paraId="3889D6F4"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152/492 (30.9)</w:t>
            </w:r>
          </w:p>
        </w:tc>
        <w:tc>
          <w:tcPr>
            <w:tcW w:w="725" w:type="pct"/>
            <w:gridSpan w:val="2"/>
            <w:tcBorders>
              <w:top w:val="nil"/>
              <w:bottom w:val="nil"/>
            </w:tcBorders>
            <w:shd w:val="clear" w:color="auto" w:fill="auto"/>
            <w:vAlign w:val="center"/>
          </w:tcPr>
          <w:p w14:paraId="1B081946"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27/171 (15.8)</w:t>
            </w:r>
          </w:p>
        </w:tc>
        <w:tc>
          <w:tcPr>
            <w:tcW w:w="724" w:type="pct"/>
            <w:gridSpan w:val="2"/>
            <w:tcBorders>
              <w:top w:val="nil"/>
              <w:bottom w:val="nil"/>
            </w:tcBorders>
            <w:shd w:val="clear" w:color="auto" w:fill="auto"/>
            <w:vAlign w:val="center"/>
          </w:tcPr>
          <w:p w14:paraId="20BE429C"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1.96 (1.35, 2.83)</w:t>
            </w:r>
          </w:p>
        </w:tc>
        <w:tc>
          <w:tcPr>
            <w:tcW w:w="720" w:type="pct"/>
            <w:gridSpan w:val="2"/>
            <w:tcBorders>
              <w:top w:val="nil"/>
              <w:bottom w:val="nil"/>
            </w:tcBorders>
            <w:shd w:val="clear" w:color="auto" w:fill="auto"/>
            <w:vAlign w:val="center"/>
          </w:tcPr>
          <w:p w14:paraId="3E0E2CA5"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0.15 (0.08, 0.22)</w:t>
            </w:r>
          </w:p>
        </w:tc>
        <w:tc>
          <w:tcPr>
            <w:tcW w:w="724" w:type="pct"/>
            <w:tcBorders>
              <w:top w:val="nil"/>
              <w:bottom w:val="nil"/>
            </w:tcBorders>
            <w:shd w:val="clear" w:color="auto" w:fill="auto"/>
            <w:vAlign w:val="center"/>
          </w:tcPr>
          <w:p w14:paraId="40D384D7"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2.38 (1.52, 3.75)</w:t>
            </w:r>
          </w:p>
        </w:tc>
      </w:tr>
      <w:tr w:rsidR="00705899" w:rsidRPr="0040334C" w14:paraId="05B36EAE" w14:textId="77777777" w:rsidTr="00705899">
        <w:trPr>
          <w:trHeight w:val="170"/>
        </w:trPr>
        <w:tc>
          <w:tcPr>
            <w:tcW w:w="1412" w:type="pct"/>
            <w:tcBorders>
              <w:top w:val="nil"/>
              <w:bottom w:val="single" w:sz="4" w:space="0" w:color="auto"/>
            </w:tcBorders>
            <w:shd w:val="clear" w:color="auto" w:fill="auto"/>
            <w:vAlign w:val="center"/>
          </w:tcPr>
          <w:p w14:paraId="3726B4DE" w14:textId="681DBBB1"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bDMARD-exp</w:t>
            </w:r>
            <w:r w:rsidRPr="00BD47FB">
              <w:rPr>
                <w:rFonts w:ascii="Arial Narrow" w:hAnsi="Arial Narrow"/>
                <w:iCs/>
                <w:sz w:val="18"/>
                <w:szCs w:val="18"/>
                <w:vertAlign w:val="superscript"/>
              </w:rPr>
              <w:t>c</w:t>
            </w:r>
          </w:p>
        </w:tc>
        <w:tc>
          <w:tcPr>
            <w:tcW w:w="694" w:type="pct"/>
            <w:tcBorders>
              <w:top w:val="nil"/>
              <w:bottom w:val="single" w:sz="4" w:space="0" w:color="auto"/>
            </w:tcBorders>
            <w:shd w:val="clear" w:color="auto" w:fill="auto"/>
            <w:vAlign w:val="center"/>
          </w:tcPr>
          <w:p w14:paraId="62F58CE7"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58/376 (15.4)</w:t>
            </w:r>
          </w:p>
        </w:tc>
        <w:tc>
          <w:tcPr>
            <w:tcW w:w="725" w:type="pct"/>
            <w:gridSpan w:val="2"/>
            <w:tcBorders>
              <w:top w:val="nil"/>
              <w:bottom w:val="single" w:sz="4" w:space="0" w:color="auto"/>
            </w:tcBorders>
            <w:shd w:val="clear" w:color="auto" w:fill="auto"/>
            <w:vAlign w:val="center"/>
          </w:tcPr>
          <w:p w14:paraId="012B551C"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12/123 (9.8)</w:t>
            </w:r>
          </w:p>
        </w:tc>
        <w:tc>
          <w:tcPr>
            <w:tcW w:w="724" w:type="pct"/>
            <w:gridSpan w:val="2"/>
            <w:tcBorders>
              <w:top w:val="nil"/>
              <w:bottom w:val="single" w:sz="4" w:space="0" w:color="auto"/>
            </w:tcBorders>
            <w:shd w:val="clear" w:color="auto" w:fill="auto"/>
            <w:vAlign w:val="center"/>
          </w:tcPr>
          <w:p w14:paraId="766CC8D1"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1.58 (0.88, 2.84)</w:t>
            </w:r>
          </w:p>
        </w:tc>
        <w:tc>
          <w:tcPr>
            <w:tcW w:w="720" w:type="pct"/>
            <w:gridSpan w:val="2"/>
            <w:tcBorders>
              <w:top w:val="nil"/>
              <w:bottom w:val="single" w:sz="4" w:space="0" w:color="auto"/>
            </w:tcBorders>
            <w:shd w:val="clear" w:color="auto" w:fill="auto"/>
            <w:vAlign w:val="center"/>
          </w:tcPr>
          <w:p w14:paraId="4660FC3A" w14:textId="77777777" w:rsidR="00405470" w:rsidRPr="00BD47FB" w:rsidRDefault="00405470" w:rsidP="007B6B2C">
            <w:pPr>
              <w:keepNext/>
              <w:keepLines/>
              <w:jc w:val="center"/>
              <w:rPr>
                <w:rFonts w:ascii="Arial Narrow" w:hAnsi="Arial Narrow"/>
                <w:bCs/>
                <w:iCs/>
                <w:sz w:val="18"/>
                <w:szCs w:val="18"/>
              </w:rPr>
            </w:pPr>
            <w:r w:rsidRPr="00BD47FB">
              <w:rPr>
                <w:rFonts w:ascii="Arial Narrow" w:hAnsi="Arial Narrow"/>
                <w:bCs/>
                <w:iCs/>
                <w:sz w:val="18"/>
                <w:szCs w:val="18"/>
              </w:rPr>
              <w:t>0.06 (-0.01, 0.12)</w:t>
            </w:r>
          </w:p>
        </w:tc>
        <w:tc>
          <w:tcPr>
            <w:tcW w:w="724" w:type="pct"/>
            <w:tcBorders>
              <w:top w:val="nil"/>
              <w:bottom w:val="single" w:sz="4" w:space="0" w:color="auto"/>
            </w:tcBorders>
            <w:shd w:val="clear" w:color="auto" w:fill="auto"/>
            <w:vAlign w:val="center"/>
          </w:tcPr>
          <w:p w14:paraId="11B91DA8"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1.69 (0.87, 3.26)</w:t>
            </w:r>
          </w:p>
        </w:tc>
      </w:tr>
      <w:tr w:rsidR="00705899" w:rsidRPr="000754A2" w14:paraId="21DC22E7" w14:textId="77777777" w:rsidTr="00705899">
        <w:trPr>
          <w:trHeight w:val="170"/>
        </w:trPr>
        <w:tc>
          <w:tcPr>
            <w:tcW w:w="5000" w:type="pct"/>
            <w:gridSpan w:val="9"/>
            <w:tcBorders>
              <w:bottom w:val="single" w:sz="4" w:space="0" w:color="auto"/>
            </w:tcBorders>
            <w:shd w:val="clear" w:color="auto" w:fill="auto"/>
            <w:vAlign w:val="center"/>
          </w:tcPr>
          <w:p w14:paraId="61DACC4A" w14:textId="65F5A048" w:rsidR="00705899" w:rsidRPr="00BD47FB" w:rsidRDefault="00705899" w:rsidP="007B6B2C">
            <w:pPr>
              <w:keepNext/>
              <w:keepLines/>
              <w:jc w:val="left"/>
              <w:rPr>
                <w:rFonts w:ascii="Arial Narrow" w:hAnsi="Arial Narrow"/>
                <w:iCs/>
                <w:sz w:val="18"/>
                <w:szCs w:val="18"/>
              </w:rPr>
            </w:pPr>
            <w:r w:rsidRPr="00BD47FB">
              <w:rPr>
                <w:rFonts w:ascii="Arial Narrow" w:hAnsi="Arial Narrow"/>
                <w:b/>
                <w:iCs/>
                <w:sz w:val="18"/>
                <w:szCs w:val="18"/>
              </w:rPr>
              <w:t>Clinical remission FMS</w:t>
            </w:r>
            <w:r w:rsidRPr="00BD47FB">
              <w:rPr>
                <w:rFonts w:ascii="Arial Narrow" w:hAnsi="Arial Narrow"/>
                <w:b/>
                <w:iCs/>
                <w:sz w:val="18"/>
                <w:szCs w:val="18"/>
                <w:vertAlign w:val="superscript"/>
              </w:rPr>
              <w:t>d</w:t>
            </w:r>
            <w:r w:rsidRPr="00BD47FB">
              <w:rPr>
                <w:rFonts w:ascii="Arial Narrow" w:hAnsi="Arial Narrow"/>
                <w:b/>
                <w:iCs/>
                <w:sz w:val="18"/>
                <w:szCs w:val="18"/>
              </w:rPr>
              <w:t xml:space="preserve"> (induction therapy)</w:t>
            </w:r>
          </w:p>
        </w:tc>
      </w:tr>
      <w:tr w:rsidR="00705899" w:rsidRPr="000754A2" w14:paraId="508A40D2" w14:textId="77777777" w:rsidTr="00705899">
        <w:trPr>
          <w:trHeight w:val="170"/>
        </w:trPr>
        <w:tc>
          <w:tcPr>
            <w:tcW w:w="1412" w:type="pct"/>
            <w:tcBorders>
              <w:bottom w:val="nil"/>
            </w:tcBorders>
            <w:shd w:val="clear" w:color="auto" w:fill="auto"/>
            <w:vAlign w:val="center"/>
          </w:tcPr>
          <w:p w14:paraId="1533C09A"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 xml:space="preserve">LUCENT I Wk12, ITT </w:t>
            </w:r>
          </w:p>
        </w:tc>
        <w:tc>
          <w:tcPr>
            <w:tcW w:w="694" w:type="pct"/>
            <w:tcBorders>
              <w:bottom w:val="nil"/>
            </w:tcBorders>
            <w:shd w:val="clear" w:color="auto" w:fill="auto"/>
            <w:vAlign w:val="center"/>
          </w:tcPr>
          <w:p w14:paraId="7D708EC3"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165/868 (19.0)</w:t>
            </w:r>
          </w:p>
        </w:tc>
        <w:tc>
          <w:tcPr>
            <w:tcW w:w="725" w:type="pct"/>
            <w:gridSpan w:val="2"/>
            <w:tcBorders>
              <w:bottom w:val="nil"/>
            </w:tcBorders>
            <w:shd w:val="clear" w:color="auto" w:fill="auto"/>
            <w:vAlign w:val="center"/>
          </w:tcPr>
          <w:p w14:paraId="6221BF3B"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28/294 (9.5)</w:t>
            </w:r>
          </w:p>
        </w:tc>
        <w:tc>
          <w:tcPr>
            <w:tcW w:w="724" w:type="pct"/>
            <w:gridSpan w:val="2"/>
            <w:tcBorders>
              <w:bottom w:val="nil"/>
            </w:tcBorders>
            <w:shd w:val="clear" w:color="auto" w:fill="auto"/>
            <w:vAlign w:val="center"/>
          </w:tcPr>
          <w:p w14:paraId="43B225F5"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2.00 (1.37,2.91)</w:t>
            </w:r>
          </w:p>
        </w:tc>
        <w:tc>
          <w:tcPr>
            <w:tcW w:w="720" w:type="pct"/>
            <w:gridSpan w:val="2"/>
            <w:tcBorders>
              <w:bottom w:val="nil"/>
            </w:tcBorders>
            <w:shd w:val="clear" w:color="auto" w:fill="auto"/>
            <w:vAlign w:val="center"/>
          </w:tcPr>
          <w:p w14:paraId="2466F495" w14:textId="09F45962"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0.09 (0.05,</w:t>
            </w:r>
            <w:r w:rsidR="002C533D">
              <w:rPr>
                <w:rFonts w:ascii="Arial Narrow" w:hAnsi="Arial Narrow"/>
                <w:b/>
                <w:bCs/>
                <w:iCs/>
                <w:sz w:val="18"/>
                <w:szCs w:val="18"/>
              </w:rPr>
              <w:t xml:space="preserve"> </w:t>
            </w:r>
            <w:r w:rsidRPr="00BD47FB">
              <w:rPr>
                <w:rFonts w:ascii="Arial Narrow" w:hAnsi="Arial Narrow"/>
                <w:b/>
                <w:bCs/>
                <w:iCs/>
                <w:sz w:val="18"/>
                <w:szCs w:val="18"/>
              </w:rPr>
              <w:t>0.14)</w:t>
            </w:r>
          </w:p>
        </w:tc>
        <w:tc>
          <w:tcPr>
            <w:tcW w:w="724" w:type="pct"/>
            <w:tcBorders>
              <w:bottom w:val="nil"/>
            </w:tcBorders>
            <w:shd w:val="clear" w:color="auto" w:fill="auto"/>
            <w:vAlign w:val="center"/>
          </w:tcPr>
          <w:p w14:paraId="1CC1C409" w14:textId="57C1668B"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2.23 (1.46,</w:t>
            </w:r>
            <w:r w:rsidR="002C533D">
              <w:rPr>
                <w:rFonts w:ascii="Arial Narrow" w:hAnsi="Arial Narrow"/>
                <w:b/>
                <w:bCs/>
                <w:iCs/>
                <w:sz w:val="18"/>
                <w:szCs w:val="18"/>
              </w:rPr>
              <w:t xml:space="preserve"> </w:t>
            </w:r>
            <w:r w:rsidRPr="00BD47FB">
              <w:rPr>
                <w:rFonts w:ascii="Arial Narrow" w:hAnsi="Arial Narrow"/>
                <w:b/>
                <w:bCs/>
                <w:iCs/>
                <w:sz w:val="18"/>
                <w:szCs w:val="18"/>
              </w:rPr>
              <w:t>3.41)</w:t>
            </w:r>
          </w:p>
        </w:tc>
      </w:tr>
      <w:tr w:rsidR="00705899" w:rsidRPr="000754A2" w14:paraId="60D21AFF" w14:textId="77777777" w:rsidTr="00705899">
        <w:trPr>
          <w:trHeight w:val="170"/>
        </w:trPr>
        <w:tc>
          <w:tcPr>
            <w:tcW w:w="1412" w:type="pct"/>
            <w:tcBorders>
              <w:top w:val="nil"/>
              <w:bottom w:val="nil"/>
            </w:tcBorders>
            <w:shd w:val="clear" w:color="auto" w:fill="auto"/>
            <w:vAlign w:val="center"/>
          </w:tcPr>
          <w:p w14:paraId="62E590ED"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 xml:space="preserve">LUCENT I Wk12, bDMARD-naive </w:t>
            </w:r>
          </w:p>
        </w:tc>
        <w:tc>
          <w:tcPr>
            <w:tcW w:w="694" w:type="pct"/>
            <w:tcBorders>
              <w:top w:val="nil"/>
              <w:bottom w:val="nil"/>
            </w:tcBorders>
            <w:shd w:val="clear" w:color="auto" w:fill="auto"/>
            <w:vAlign w:val="center"/>
          </w:tcPr>
          <w:p w14:paraId="1BF5CFBB"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725" w:type="pct"/>
            <w:gridSpan w:val="2"/>
            <w:tcBorders>
              <w:top w:val="nil"/>
              <w:bottom w:val="nil"/>
            </w:tcBorders>
            <w:shd w:val="clear" w:color="auto" w:fill="auto"/>
            <w:vAlign w:val="center"/>
          </w:tcPr>
          <w:p w14:paraId="402F0789"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724" w:type="pct"/>
            <w:gridSpan w:val="2"/>
            <w:tcBorders>
              <w:top w:val="nil"/>
              <w:bottom w:val="nil"/>
            </w:tcBorders>
            <w:shd w:val="clear" w:color="auto" w:fill="auto"/>
            <w:vAlign w:val="center"/>
          </w:tcPr>
          <w:p w14:paraId="6740DB00"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720" w:type="pct"/>
            <w:gridSpan w:val="2"/>
            <w:tcBorders>
              <w:top w:val="nil"/>
              <w:bottom w:val="nil"/>
            </w:tcBorders>
            <w:shd w:val="clear" w:color="auto" w:fill="auto"/>
            <w:vAlign w:val="center"/>
          </w:tcPr>
          <w:p w14:paraId="3E1E6CBC"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724" w:type="pct"/>
            <w:tcBorders>
              <w:top w:val="nil"/>
              <w:bottom w:val="nil"/>
            </w:tcBorders>
            <w:shd w:val="clear" w:color="auto" w:fill="auto"/>
            <w:vAlign w:val="center"/>
          </w:tcPr>
          <w:p w14:paraId="303E4B0E"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NR</w:t>
            </w:r>
          </w:p>
        </w:tc>
      </w:tr>
      <w:tr w:rsidR="00705899" w:rsidRPr="000754A2" w14:paraId="61FA8DBF" w14:textId="77777777" w:rsidTr="00705899">
        <w:trPr>
          <w:trHeight w:val="170"/>
        </w:trPr>
        <w:tc>
          <w:tcPr>
            <w:tcW w:w="1412" w:type="pct"/>
            <w:tcBorders>
              <w:top w:val="nil"/>
              <w:bottom w:val="single" w:sz="4" w:space="0" w:color="auto"/>
            </w:tcBorders>
            <w:shd w:val="clear" w:color="auto" w:fill="auto"/>
            <w:vAlign w:val="center"/>
          </w:tcPr>
          <w:p w14:paraId="77628A57"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bDMARD-fail</w:t>
            </w:r>
            <w:r w:rsidRPr="00BD47FB">
              <w:rPr>
                <w:rFonts w:ascii="Arial Narrow" w:hAnsi="Arial Narrow"/>
                <w:iCs/>
                <w:sz w:val="18"/>
                <w:szCs w:val="18"/>
                <w:vertAlign w:val="superscript"/>
              </w:rPr>
              <w:t>e</w:t>
            </w:r>
          </w:p>
        </w:tc>
        <w:tc>
          <w:tcPr>
            <w:tcW w:w="694" w:type="pct"/>
            <w:tcBorders>
              <w:top w:val="nil"/>
              <w:bottom w:val="single" w:sz="4" w:space="0" w:color="auto"/>
            </w:tcBorders>
            <w:shd w:val="clear" w:color="auto" w:fill="auto"/>
            <w:vAlign w:val="center"/>
          </w:tcPr>
          <w:p w14:paraId="1A62266A"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45/361 (12.5)</w:t>
            </w:r>
          </w:p>
        </w:tc>
        <w:tc>
          <w:tcPr>
            <w:tcW w:w="725" w:type="pct"/>
            <w:gridSpan w:val="2"/>
            <w:tcBorders>
              <w:top w:val="nil"/>
              <w:bottom w:val="single" w:sz="4" w:space="0" w:color="auto"/>
            </w:tcBorders>
            <w:shd w:val="clear" w:color="auto" w:fill="auto"/>
            <w:vAlign w:val="center"/>
          </w:tcPr>
          <w:p w14:paraId="42687F42"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5/118 (4.2)</w:t>
            </w:r>
          </w:p>
        </w:tc>
        <w:tc>
          <w:tcPr>
            <w:tcW w:w="724" w:type="pct"/>
            <w:gridSpan w:val="2"/>
            <w:tcBorders>
              <w:top w:val="nil"/>
              <w:bottom w:val="single" w:sz="4" w:space="0" w:color="auto"/>
            </w:tcBorders>
            <w:shd w:val="clear" w:color="auto" w:fill="auto"/>
            <w:vAlign w:val="center"/>
          </w:tcPr>
          <w:p w14:paraId="3DE6DD25" w14:textId="3187D058"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2.94 (1.20,</w:t>
            </w:r>
            <w:r w:rsidR="002C533D">
              <w:rPr>
                <w:rFonts w:ascii="Arial Narrow" w:hAnsi="Arial Narrow"/>
                <w:b/>
                <w:bCs/>
                <w:iCs/>
                <w:sz w:val="18"/>
                <w:szCs w:val="18"/>
              </w:rPr>
              <w:t xml:space="preserve"> </w:t>
            </w:r>
            <w:r w:rsidRPr="00BD47FB">
              <w:rPr>
                <w:rFonts w:ascii="Arial Narrow" w:hAnsi="Arial Narrow"/>
                <w:b/>
                <w:bCs/>
                <w:iCs/>
                <w:sz w:val="18"/>
                <w:szCs w:val="18"/>
              </w:rPr>
              <w:t>7.24)</w:t>
            </w:r>
          </w:p>
        </w:tc>
        <w:tc>
          <w:tcPr>
            <w:tcW w:w="720" w:type="pct"/>
            <w:gridSpan w:val="2"/>
            <w:tcBorders>
              <w:top w:val="nil"/>
              <w:bottom w:val="single" w:sz="4" w:space="0" w:color="auto"/>
            </w:tcBorders>
            <w:shd w:val="clear" w:color="auto" w:fill="auto"/>
            <w:vAlign w:val="center"/>
          </w:tcPr>
          <w:p w14:paraId="5CBEA9EF" w14:textId="42507E62"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0.08 (0.03,</w:t>
            </w:r>
            <w:r w:rsidR="002C533D">
              <w:rPr>
                <w:rFonts w:ascii="Arial Narrow" w:hAnsi="Arial Narrow"/>
                <w:b/>
                <w:bCs/>
                <w:iCs/>
                <w:sz w:val="18"/>
                <w:szCs w:val="18"/>
              </w:rPr>
              <w:t xml:space="preserve"> </w:t>
            </w:r>
            <w:r w:rsidRPr="00BD47FB">
              <w:rPr>
                <w:rFonts w:ascii="Arial Narrow" w:hAnsi="Arial Narrow"/>
                <w:b/>
                <w:bCs/>
                <w:iCs/>
                <w:sz w:val="18"/>
                <w:szCs w:val="18"/>
              </w:rPr>
              <w:t>0.13)</w:t>
            </w:r>
          </w:p>
        </w:tc>
        <w:tc>
          <w:tcPr>
            <w:tcW w:w="724" w:type="pct"/>
            <w:tcBorders>
              <w:top w:val="nil"/>
              <w:bottom w:val="single" w:sz="4" w:space="0" w:color="auto"/>
            </w:tcBorders>
            <w:shd w:val="clear" w:color="auto" w:fill="auto"/>
            <w:vAlign w:val="center"/>
          </w:tcPr>
          <w:p w14:paraId="198A1955" w14:textId="250D5B35"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3.22 (1.25,</w:t>
            </w:r>
            <w:r w:rsidR="002C533D">
              <w:rPr>
                <w:rFonts w:ascii="Arial Narrow" w:hAnsi="Arial Narrow"/>
                <w:b/>
                <w:bCs/>
                <w:iCs/>
                <w:sz w:val="18"/>
                <w:szCs w:val="18"/>
              </w:rPr>
              <w:t xml:space="preserve"> </w:t>
            </w:r>
            <w:r w:rsidRPr="00BD47FB">
              <w:rPr>
                <w:rFonts w:ascii="Arial Narrow" w:hAnsi="Arial Narrow"/>
                <w:b/>
                <w:bCs/>
                <w:iCs/>
                <w:sz w:val="18"/>
                <w:szCs w:val="18"/>
              </w:rPr>
              <w:t>8.31)</w:t>
            </w:r>
          </w:p>
        </w:tc>
      </w:tr>
      <w:tr w:rsidR="00705899" w:rsidRPr="00372804" w14:paraId="4654E087" w14:textId="77777777" w:rsidTr="00705899">
        <w:trPr>
          <w:trHeight w:val="170"/>
        </w:trPr>
        <w:tc>
          <w:tcPr>
            <w:tcW w:w="5000" w:type="pct"/>
            <w:gridSpan w:val="9"/>
            <w:tcBorders>
              <w:bottom w:val="single" w:sz="4" w:space="0" w:color="auto"/>
            </w:tcBorders>
            <w:shd w:val="clear" w:color="auto" w:fill="auto"/>
            <w:vAlign w:val="center"/>
          </w:tcPr>
          <w:p w14:paraId="3BA865C4" w14:textId="57B67581" w:rsidR="00705899" w:rsidRPr="00BD47FB" w:rsidRDefault="00705899" w:rsidP="007B6B2C">
            <w:pPr>
              <w:keepNext/>
              <w:keepLines/>
              <w:jc w:val="left"/>
              <w:rPr>
                <w:rFonts w:ascii="Arial Narrow" w:hAnsi="Arial Narrow"/>
                <w:b/>
                <w:bCs/>
                <w:iCs/>
                <w:sz w:val="18"/>
                <w:szCs w:val="18"/>
              </w:rPr>
            </w:pPr>
            <w:r w:rsidRPr="00BD47FB">
              <w:rPr>
                <w:rFonts w:ascii="Arial Narrow" w:hAnsi="Arial Narrow"/>
                <w:b/>
                <w:iCs/>
                <w:sz w:val="18"/>
                <w:szCs w:val="18"/>
                <w:lang w:val="en-US"/>
              </w:rPr>
              <w:t>Clinical response MMS (induction therapy</w:t>
            </w:r>
            <w:r w:rsidR="002C533D">
              <w:rPr>
                <w:rFonts w:ascii="Arial Narrow" w:hAnsi="Arial Narrow"/>
                <w:b/>
                <w:iCs/>
                <w:sz w:val="18"/>
                <w:szCs w:val="18"/>
                <w:lang w:val="en-US"/>
              </w:rPr>
              <w:t>)</w:t>
            </w:r>
          </w:p>
        </w:tc>
      </w:tr>
      <w:tr w:rsidR="00705899" w:rsidRPr="00372804" w14:paraId="5ED9FC13" w14:textId="77777777" w:rsidTr="00705899">
        <w:trPr>
          <w:trHeight w:val="170"/>
        </w:trPr>
        <w:tc>
          <w:tcPr>
            <w:tcW w:w="1412" w:type="pct"/>
            <w:tcBorders>
              <w:bottom w:val="nil"/>
            </w:tcBorders>
            <w:shd w:val="clear" w:color="auto" w:fill="auto"/>
            <w:vAlign w:val="center"/>
          </w:tcPr>
          <w:p w14:paraId="41366A18"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ITT</w:t>
            </w:r>
          </w:p>
        </w:tc>
        <w:tc>
          <w:tcPr>
            <w:tcW w:w="694" w:type="pct"/>
            <w:tcBorders>
              <w:bottom w:val="nil"/>
            </w:tcBorders>
            <w:shd w:val="clear" w:color="auto" w:fill="auto"/>
            <w:vAlign w:val="center"/>
          </w:tcPr>
          <w:p w14:paraId="5F90E665"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551/868 (63.5)</w:t>
            </w:r>
          </w:p>
        </w:tc>
        <w:tc>
          <w:tcPr>
            <w:tcW w:w="687" w:type="pct"/>
            <w:tcBorders>
              <w:bottom w:val="nil"/>
            </w:tcBorders>
            <w:shd w:val="clear" w:color="auto" w:fill="auto"/>
            <w:vAlign w:val="center"/>
          </w:tcPr>
          <w:p w14:paraId="54E39C10"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124/294 (42.2)</w:t>
            </w:r>
          </w:p>
        </w:tc>
        <w:tc>
          <w:tcPr>
            <w:tcW w:w="736" w:type="pct"/>
            <w:gridSpan w:val="2"/>
            <w:tcBorders>
              <w:bottom w:val="nil"/>
            </w:tcBorders>
            <w:shd w:val="clear" w:color="auto" w:fill="auto"/>
            <w:vAlign w:val="center"/>
          </w:tcPr>
          <w:p w14:paraId="3AE6F6D1"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1.51 (1.30, 1.74)</w:t>
            </w:r>
          </w:p>
        </w:tc>
        <w:tc>
          <w:tcPr>
            <w:tcW w:w="736" w:type="pct"/>
            <w:gridSpan w:val="2"/>
            <w:tcBorders>
              <w:bottom w:val="nil"/>
            </w:tcBorders>
            <w:shd w:val="clear" w:color="auto" w:fill="auto"/>
            <w:vAlign w:val="center"/>
          </w:tcPr>
          <w:p w14:paraId="49978412"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0.21 (0.15, 0.28)</w:t>
            </w:r>
          </w:p>
        </w:tc>
        <w:tc>
          <w:tcPr>
            <w:tcW w:w="734" w:type="pct"/>
            <w:gridSpan w:val="2"/>
            <w:tcBorders>
              <w:bottom w:val="nil"/>
            </w:tcBorders>
            <w:shd w:val="clear" w:color="auto" w:fill="auto"/>
            <w:vAlign w:val="center"/>
          </w:tcPr>
          <w:p w14:paraId="54B27FB4"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2.38 (1.82, 3.12)</w:t>
            </w:r>
          </w:p>
        </w:tc>
      </w:tr>
      <w:tr w:rsidR="00705899" w:rsidRPr="00372804" w14:paraId="5AB51C9E" w14:textId="77777777" w:rsidTr="00705899">
        <w:trPr>
          <w:trHeight w:val="170"/>
        </w:trPr>
        <w:tc>
          <w:tcPr>
            <w:tcW w:w="1412" w:type="pct"/>
            <w:tcBorders>
              <w:top w:val="nil"/>
              <w:bottom w:val="nil"/>
            </w:tcBorders>
            <w:shd w:val="clear" w:color="auto" w:fill="auto"/>
            <w:vAlign w:val="center"/>
          </w:tcPr>
          <w:p w14:paraId="6BA83D04"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bDMARD-NF</w:t>
            </w:r>
            <w:r w:rsidRPr="00BD47FB">
              <w:rPr>
                <w:rFonts w:ascii="Arial Narrow" w:hAnsi="Arial Narrow"/>
                <w:iCs/>
                <w:sz w:val="18"/>
                <w:szCs w:val="18"/>
                <w:vertAlign w:val="superscript"/>
              </w:rPr>
              <w:t>a</w:t>
            </w:r>
          </w:p>
        </w:tc>
        <w:tc>
          <w:tcPr>
            <w:tcW w:w="694" w:type="pct"/>
            <w:tcBorders>
              <w:top w:val="nil"/>
              <w:bottom w:val="nil"/>
            </w:tcBorders>
            <w:shd w:val="clear" w:color="auto" w:fill="auto"/>
            <w:vAlign w:val="center"/>
          </w:tcPr>
          <w:p w14:paraId="3039B3AC"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354/507 (69.8)</w:t>
            </w:r>
          </w:p>
        </w:tc>
        <w:tc>
          <w:tcPr>
            <w:tcW w:w="687" w:type="pct"/>
            <w:tcBorders>
              <w:top w:val="nil"/>
              <w:bottom w:val="nil"/>
            </w:tcBorders>
            <w:shd w:val="clear" w:color="auto" w:fill="auto"/>
            <w:vAlign w:val="center"/>
          </w:tcPr>
          <w:p w14:paraId="30AE92A5"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89/176 (50.6)</w:t>
            </w:r>
          </w:p>
        </w:tc>
        <w:tc>
          <w:tcPr>
            <w:tcW w:w="736" w:type="pct"/>
            <w:gridSpan w:val="2"/>
            <w:tcBorders>
              <w:top w:val="nil"/>
              <w:bottom w:val="nil"/>
            </w:tcBorders>
            <w:shd w:val="clear" w:color="auto" w:fill="auto"/>
            <w:vAlign w:val="center"/>
          </w:tcPr>
          <w:p w14:paraId="343C9085"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1.38 (1.18, 1.62)</w:t>
            </w:r>
          </w:p>
        </w:tc>
        <w:tc>
          <w:tcPr>
            <w:tcW w:w="736" w:type="pct"/>
            <w:gridSpan w:val="2"/>
            <w:tcBorders>
              <w:top w:val="nil"/>
              <w:bottom w:val="nil"/>
            </w:tcBorders>
            <w:shd w:val="clear" w:color="auto" w:fill="auto"/>
            <w:vAlign w:val="center"/>
          </w:tcPr>
          <w:p w14:paraId="12810A39"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0.19 (0.11, 0.28)</w:t>
            </w:r>
          </w:p>
        </w:tc>
        <w:tc>
          <w:tcPr>
            <w:tcW w:w="734" w:type="pct"/>
            <w:gridSpan w:val="2"/>
            <w:tcBorders>
              <w:top w:val="nil"/>
              <w:bottom w:val="nil"/>
            </w:tcBorders>
            <w:shd w:val="clear" w:color="auto" w:fill="auto"/>
            <w:vAlign w:val="center"/>
          </w:tcPr>
          <w:p w14:paraId="7B71E041"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2.26 (1.59, 3.21)</w:t>
            </w:r>
          </w:p>
        </w:tc>
      </w:tr>
      <w:tr w:rsidR="00705899" w:rsidRPr="00372804" w14:paraId="67DABEAC" w14:textId="77777777" w:rsidTr="00705899">
        <w:trPr>
          <w:trHeight w:val="170"/>
        </w:trPr>
        <w:tc>
          <w:tcPr>
            <w:tcW w:w="1412" w:type="pct"/>
            <w:tcBorders>
              <w:top w:val="nil"/>
              <w:bottom w:val="nil"/>
            </w:tcBorders>
            <w:shd w:val="clear" w:color="auto" w:fill="auto"/>
            <w:vAlign w:val="center"/>
          </w:tcPr>
          <w:p w14:paraId="7117AEBD"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bDMARD-fail</w:t>
            </w:r>
            <w:r w:rsidRPr="00BD47FB">
              <w:rPr>
                <w:rFonts w:ascii="Arial Narrow" w:hAnsi="Arial Narrow"/>
                <w:iCs/>
                <w:sz w:val="18"/>
                <w:szCs w:val="18"/>
                <w:vertAlign w:val="superscript"/>
              </w:rPr>
              <w:t>b</w:t>
            </w:r>
          </w:p>
        </w:tc>
        <w:tc>
          <w:tcPr>
            <w:tcW w:w="694" w:type="pct"/>
            <w:tcBorders>
              <w:top w:val="nil"/>
              <w:bottom w:val="nil"/>
            </w:tcBorders>
            <w:shd w:val="clear" w:color="auto" w:fill="auto"/>
            <w:vAlign w:val="center"/>
          </w:tcPr>
          <w:p w14:paraId="34978498"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197/361 (54.6)</w:t>
            </w:r>
          </w:p>
        </w:tc>
        <w:tc>
          <w:tcPr>
            <w:tcW w:w="687" w:type="pct"/>
            <w:tcBorders>
              <w:top w:val="nil"/>
              <w:bottom w:val="nil"/>
            </w:tcBorders>
            <w:shd w:val="clear" w:color="auto" w:fill="auto"/>
            <w:vAlign w:val="center"/>
          </w:tcPr>
          <w:p w14:paraId="33C67F7B"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35/118 (29.7)</w:t>
            </w:r>
          </w:p>
        </w:tc>
        <w:tc>
          <w:tcPr>
            <w:tcW w:w="736" w:type="pct"/>
            <w:gridSpan w:val="2"/>
            <w:tcBorders>
              <w:top w:val="nil"/>
              <w:bottom w:val="nil"/>
            </w:tcBorders>
            <w:shd w:val="clear" w:color="auto" w:fill="auto"/>
            <w:vAlign w:val="center"/>
          </w:tcPr>
          <w:p w14:paraId="6115575D"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1.84 (1.37, 2.47)</w:t>
            </w:r>
          </w:p>
        </w:tc>
        <w:tc>
          <w:tcPr>
            <w:tcW w:w="736" w:type="pct"/>
            <w:gridSpan w:val="2"/>
            <w:tcBorders>
              <w:top w:val="nil"/>
              <w:bottom w:val="nil"/>
            </w:tcBorders>
            <w:shd w:val="clear" w:color="auto" w:fill="auto"/>
            <w:vAlign w:val="center"/>
          </w:tcPr>
          <w:p w14:paraId="0AC58825"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0.25 (0.15, 0.35)</w:t>
            </w:r>
          </w:p>
        </w:tc>
        <w:tc>
          <w:tcPr>
            <w:tcW w:w="734" w:type="pct"/>
            <w:gridSpan w:val="2"/>
            <w:tcBorders>
              <w:top w:val="nil"/>
              <w:bottom w:val="nil"/>
            </w:tcBorders>
            <w:shd w:val="clear" w:color="auto" w:fill="auto"/>
            <w:vAlign w:val="center"/>
          </w:tcPr>
          <w:p w14:paraId="5704A27F"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2.85 (1.82, 4.45)</w:t>
            </w:r>
          </w:p>
        </w:tc>
      </w:tr>
      <w:tr w:rsidR="00705899" w:rsidRPr="00372804" w14:paraId="5C2D596A" w14:textId="77777777" w:rsidTr="00705899">
        <w:trPr>
          <w:trHeight w:val="170"/>
        </w:trPr>
        <w:tc>
          <w:tcPr>
            <w:tcW w:w="1412" w:type="pct"/>
            <w:tcBorders>
              <w:top w:val="nil"/>
              <w:bottom w:val="nil"/>
            </w:tcBorders>
            <w:shd w:val="clear" w:color="auto" w:fill="auto"/>
            <w:vAlign w:val="center"/>
          </w:tcPr>
          <w:p w14:paraId="4DD1B2D6"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bDMARD-naïve</w:t>
            </w:r>
          </w:p>
        </w:tc>
        <w:tc>
          <w:tcPr>
            <w:tcW w:w="694" w:type="pct"/>
            <w:tcBorders>
              <w:top w:val="nil"/>
              <w:bottom w:val="nil"/>
            </w:tcBorders>
            <w:shd w:val="clear" w:color="auto" w:fill="auto"/>
            <w:vAlign w:val="center"/>
          </w:tcPr>
          <w:p w14:paraId="00C69A3B"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345/492 (70.1)</w:t>
            </w:r>
          </w:p>
        </w:tc>
        <w:tc>
          <w:tcPr>
            <w:tcW w:w="687" w:type="pct"/>
            <w:tcBorders>
              <w:top w:val="nil"/>
              <w:bottom w:val="nil"/>
            </w:tcBorders>
            <w:shd w:val="clear" w:color="auto" w:fill="auto"/>
            <w:vAlign w:val="center"/>
          </w:tcPr>
          <w:p w14:paraId="5E177EC8"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86/171 (50.3)</w:t>
            </w:r>
          </w:p>
        </w:tc>
        <w:tc>
          <w:tcPr>
            <w:tcW w:w="736" w:type="pct"/>
            <w:gridSpan w:val="2"/>
            <w:tcBorders>
              <w:top w:val="nil"/>
              <w:bottom w:val="nil"/>
            </w:tcBorders>
            <w:shd w:val="clear" w:color="auto" w:fill="auto"/>
            <w:vAlign w:val="center"/>
          </w:tcPr>
          <w:p w14:paraId="4667A516"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1.39 (1.19, 1.64)</w:t>
            </w:r>
          </w:p>
        </w:tc>
        <w:tc>
          <w:tcPr>
            <w:tcW w:w="736" w:type="pct"/>
            <w:gridSpan w:val="2"/>
            <w:tcBorders>
              <w:top w:val="nil"/>
              <w:bottom w:val="nil"/>
            </w:tcBorders>
            <w:shd w:val="clear" w:color="auto" w:fill="auto"/>
            <w:vAlign w:val="center"/>
          </w:tcPr>
          <w:p w14:paraId="1135078D"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0.20 (0.11, 0.28)</w:t>
            </w:r>
          </w:p>
        </w:tc>
        <w:tc>
          <w:tcPr>
            <w:tcW w:w="734" w:type="pct"/>
            <w:gridSpan w:val="2"/>
            <w:tcBorders>
              <w:top w:val="nil"/>
              <w:bottom w:val="nil"/>
            </w:tcBorders>
            <w:shd w:val="clear" w:color="auto" w:fill="auto"/>
            <w:vAlign w:val="center"/>
          </w:tcPr>
          <w:p w14:paraId="3A6F556F"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2.32 (1.62, 3.31)</w:t>
            </w:r>
          </w:p>
        </w:tc>
      </w:tr>
      <w:tr w:rsidR="00705899" w:rsidRPr="00372804" w14:paraId="15F1AD92" w14:textId="77777777" w:rsidTr="00705899">
        <w:trPr>
          <w:trHeight w:val="170"/>
        </w:trPr>
        <w:tc>
          <w:tcPr>
            <w:tcW w:w="1412" w:type="pct"/>
            <w:tcBorders>
              <w:top w:val="nil"/>
              <w:bottom w:val="single" w:sz="4" w:space="0" w:color="auto"/>
            </w:tcBorders>
            <w:shd w:val="clear" w:color="auto" w:fill="auto"/>
            <w:vAlign w:val="center"/>
          </w:tcPr>
          <w:p w14:paraId="52CC2C65" w14:textId="0DC6A78A"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bDMARD-exp</w:t>
            </w:r>
            <w:r w:rsidRPr="00BD47FB">
              <w:rPr>
                <w:rFonts w:ascii="Arial Narrow" w:hAnsi="Arial Narrow"/>
                <w:iCs/>
                <w:sz w:val="18"/>
                <w:szCs w:val="18"/>
                <w:vertAlign w:val="superscript"/>
              </w:rPr>
              <w:t>c</w:t>
            </w:r>
          </w:p>
        </w:tc>
        <w:tc>
          <w:tcPr>
            <w:tcW w:w="694" w:type="pct"/>
            <w:tcBorders>
              <w:top w:val="nil"/>
              <w:bottom w:val="single" w:sz="4" w:space="0" w:color="auto"/>
            </w:tcBorders>
            <w:shd w:val="clear" w:color="auto" w:fill="auto"/>
            <w:vAlign w:val="center"/>
          </w:tcPr>
          <w:p w14:paraId="7DD00650"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206/376 (54.8)</w:t>
            </w:r>
          </w:p>
        </w:tc>
        <w:tc>
          <w:tcPr>
            <w:tcW w:w="687" w:type="pct"/>
            <w:tcBorders>
              <w:top w:val="nil"/>
              <w:bottom w:val="single" w:sz="4" w:space="0" w:color="auto"/>
            </w:tcBorders>
            <w:shd w:val="clear" w:color="auto" w:fill="auto"/>
            <w:vAlign w:val="center"/>
          </w:tcPr>
          <w:p w14:paraId="308F3349"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38/123 (30.9)</w:t>
            </w:r>
          </w:p>
        </w:tc>
        <w:tc>
          <w:tcPr>
            <w:tcW w:w="736" w:type="pct"/>
            <w:gridSpan w:val="2"/>
            <w:tcBorders>
              <w:top w:val="nil"/>
              <w:bottom w:val="single" w:sz="4" w:space="0" w:color="auto"/>
            </w:tcBorders>
            <w:shd w:val="clear" w:color="auto" w:fill="auto"/>
            <w:vAlign w:val="center"/>
          </w:tcPr>
          <w:p w14:paraId="00AF33B1"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1.77 (1.34, 2.35)</w:t>
            </w:r>
          </w:p>
        </w:tc>
        <w:tc>
          <w:tcPr>
            <w:tcW w:w="736" w:type="pct"/>
            <w:gridSpan w:val="2"/>
            <w:tcBorders>
              <w:top w:val="nil"/>
              <w:bottom w:val="single" w:sz="4" w:space="0" w:color="auto"/>
            </w:tcBorders>
            <w:shd w:val="clear" w:color="auto" w:fill="auto"/>
            <w:vAlign w:val="center"/>
          </w:tcPr>
          <w:p w14:paraId="5C5EBB4E"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0.24 (0.14, 0.33)</w:t>
            </w:r>
          </w:p>
        </w:tc>
        <w:tc>
          <w:tcPr>
            <w:tcW w:w="734" w:type="pct"/>
            <w:gridSpan w:val="2"/>
            <w:tcBorders>
              <w:top w:val="nil"/>
              <w:bottom w:val="single" w:sz="4" w:space="0" w:color="auto"/>
            </w:tcBorders>
            <w:shd w:val="clear" w:color="auto" w:fill="auto"/>
            <w:vAlign w:val="center"/>
          </w:tcPr>
          <w:p w14:paraId="39448D68"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2.71 (1.76, 4.18)</w:t>
            </w:r>
          </w:p>
        </w:tc>
      </w:tr>
      <w:tr w:rsidR="00705899" w:rsidRPr="00372804" w14:paraId="399F7DEC" w14:textId="77777777" w:rsidTr="00705899">
        <w:trPr>
          <w:trHeight w:val="170"/>
        </w:trPr>
        <w:tc>
          <w:tcPr>
            <w:tcW w:w="5000" w:type="pct"/>
            <w:gridSpan w:val="9"/>
            <w:tcBorders>
              <w:bottom w:val="single" w:sz="4" w:space="0" w:color="auto"/>
            </w:tcBorders>
            <w:shd w:val="clear" w:color="auto" w:fill="auto"/>
            <w:vAlign w:val="center"/>
          </w:tcPr>
          <w:p w14:paraId="465157BB" w14:textId="173E5541" w:rsidR="00705899" w:rsidRPr="00BD47FB" w:rsidRDefault="00705899" w:rsidP="007B6B2C">
            <w:pPr>
              <w:keepNext/>
              <w:keepLines/>
              <w:jc w:val="left"/>
              <w:rPr>
                <w:rFonts w:ascii="Arial Narrow" w:hAnsi="Arial Narrow"/>
                <w:b/>
                <w:bCs/>
                <w:iCs/>
                <w:sz w:val="18"/>
                <w:szCs w:val="18"/>
              </w:rPr>
            </w:pPr>
            <w:r w:rsidRPr="00BD47FB">
              <w:rPr>
                <w:rFonts w:ascii="Arial Narrow" w:hAnsi="Arial Narrow"/>
                <w:b/>
                <w:iCs/>
                <w:sz w:val="18"/>
                <w:szCs w:val="18"/>
                <w:lang w:val="en-US"/>
              </w:rPr>
              <w:t>Clinical response FMS</w:t>
            </w:r>
            <w:r w:rsidRPr="00BD47FB">
              <w:rPr>
                <w:rFonts w:ascii="Arial Narrow" w:hAnsi="Arial Narrow"/>
                <w:b/>
                <w:iCs/>
                <w:sz w:val="18"/>
                <w:szCs w:val="18"/>
                <w:vertAlign w:val="superscript"/>
                <w:lang w:val="en-US"/>
              </w:rPr>
              <w:t>d</w:t>
            </w:r>
            <w:r w:rsidRPr="00BD47FB">
              <w:rPr>
                <w:rFonts w:ascii="Arial Narrow" w:hAnsi="Arial Narrow"/>
                <w:b/>
                <w:iCs/>
                <w:sz w:val="18"/>
                <w:szCs w:val="18"/>
                <w:lang w:val="en-US"/>
              </w:rPr>
              <w:t xml:space="preserve"> (induction therapy)</w:t>
            </w:r>
          </w:p>
        </w:tc>
      </w:tr>
      <w:tr w:rsidR="00705899" w:rsidRPr="00372804" w14:paraId="347AB87F" w14:textId="77777777" w:rsidTr="00705899">
        <w:trPr>
          <w:trHeight w:val="170"/>
        </w:trPr>
        <w:tc>
          <w:tcPr>
            <w:tcW w:w="1412" w:type="pct"/>
            <w:tcBorders>
              <w:bottom w:val="nil"/>
            </w:tcBorders>
            <w:shd w:val="clear" w:color="auto" w:fill="auto"/>
            <w:vAlign w:val="center"/>
          </w:tcPr>
          <w:p w14:paraId="36AE8A2C"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 xml:space="preserve">LUCENT I Wk12, ITT </w:t>
            </w:r>
          </w:p>
        </w:tc>
        <w:tc>
          <w:tcPr>
            <w:tcW w:w="694" w:type="pct"/>
            <w:tcBorders>
              <w:bottom w:val="nil"/>
            </w:tcBorders>
            <w:shd w:val="clear" w:color="auto" w:fill="auto"/>
            <w:vAlign w:val="center"/>
          </w:tcPr>
          <w:p w14:paraId="60F77FBE"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521/868 (60.0)</w:t>
            </w:r>
          </w:p>
        </w:tc>
        <w:tc>
          <w:tcPr>
            <w:tcW w:w="687" w:type="pct"/>
            <w:tcBorders>
              <w:bottom w:val="nil"/>
            </w:tcBorders>
            <w:shd w:val="clear" w:color="auto" w:fill="auto"/>
            <w:vAlign w:val="center"/>
          </w:tcPr>
          <w:p w14:paraId="11EC79FD"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117/294 (39.8)</w:t>
            </w:r>
          </w:p>
        </w:tc>
        <w:tc>
          <w:tcPr>
            <w:tcW w:w="736" w:type="pct"/>
            <w:gridSpan w:val="2"/>
            <w:tcBorders>
              <w:bottom w:val="nil"/>
            </w:tcBorders>
            <w:shd w:val="clear" w:color="auto" w:fill="auto"/>
            <w:vAlign w:val="center"/>
          </w:tcPr>
          <w:p w14:paraId="381089D8"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1.51 (1.30, 1.75)</w:t>
            </w:r>
          </w:p>
        </w:tc>
        <w:tc>
          <w:tcPr>
            <w:tcW w:w="736" w:type="pct"/>
            <w:gridSpan w:val="2"/>
            <w:tcBorders>
              <w:bottom w:val="nil"/>
            </w:tcBorders>
            <w:shd w:val="clear" w:color="auto" w:fill="auto"/>
            <w:vAlign w:val="center"/>
          </w:tcPr>
          <w:p w14:paraId="6D850061"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0.20 (0.14, 0.27)</w:t>
            </w:r>
          </w:p>
        </w:tc>
        <w:tc>
          <w:tcPr>
            <w:tcW w:w="734" w:type="pct"/>
            <w:gridSpan w:val="2"/>
            <w:tcBorders>
              <w:bottom w:val="nil"/>
            </w:tcBorders>
            <w:shd w:val="clear" w:color="auto" w:fill="auto"/>
            <w:vAlign w:val="center"/>
          </w:tcPr>
          <w:p w14:paraId="226C6C12"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2.27 (1.73, 2.98)</w:t>
            </w:r>
          </w:p>
        </w:tc>
      </w:tr>
      <w:tr w:rsidR="00705899" w:rsidRPr="00372804" w14:paraId="1C5D58BE" w14:textId="77777777" w:rsidTr="00705899">
        <w:trPr>
          <w:trHeight w:val="170"/>
        </w:trPr>
        <w:tc>
          <w:tcPr>
            <w:tcW w:w="1412" w:type="pct"/>
            <w:tcBorders>
              <w:top w:val="nil"/>
              <w:bottom w:val="nil"/>
            </w:tcBorders>
            <w:shd w:val="clear" w:color="auto" w:fill="auto"/>
            <w:vAlign w:val="center"/>
          </w:tcPr>
          <w:p w14:paraId="63049E53"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 xml:space="preserve">LUCENT I Wk12, bDMARD-naive </w:t>
            </w:r>
          </w:p>
        </w:tc>
        <w:tc>
          <w:tcPr>
            <w:tcW w:w="694" w:type="pct"/>
            <w:tcBorders>
              <w:top w:val="nil"/>
              <w:bottom w:val="nil"/>
            </w:tcBorders>
            <w:shd w:val="clear" w:color="auto" w:fill="auto"/>
            <w:vAlign w:val="center"/>
          </w:tcPr>
          <w:p w14:paraId="433ACD37"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687" w:type="pct"/>
            <w:tcBorders>
              <w:top w:val="nil"/>
              <w:bottom w:val="nil"/>
            </w:tcBorders>
            <w:shd w:val="clear" w:color="auto" w:fill="auto"/>
            <w:vAlign w:val="center"/>
          </w:tcPr>
          <w:p w14:paraId="41DF8282"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736" w:type="pct"/>
            <w:gridSpan w:val="2"/>
            <w:tcBorders>
              <w:top w:val="nil"/>
              <w:bottom w:val="nil"/>
            </w:tcBorders>
            <w:shd w:val="clear" w:color="auto" w:fill="auto"/>
            <w:vAlign w:val="center"/>
          </w:tcPr>
          <w:p w14:paraId="369E92AA" w14:textId="77777777" w:rsidR="00405470" w:rsidRPr="00BD47FB" w:rsidRDefault="00405470" w:rsidP="007B6B2C">
            <w:pPr>
              <w:keepNext/>
              <w:keepLines/>
              <w:jc w:val="center"/>
              <w:rPr>
                <w:rFonts w:ascii="Arial Narrow" w:hAnsi="Arial Narrow"/>
                <w:bCs/>
                <w:iCs/>
                <w:noProof/>
                <w:sz w:val="18"/>
                <w:szCs w:val="18"/>
              </w:rPr>
            </w:pPr>
            <w:r w:rsidRPr="00BD47FB">
              <w:rPr>
                <w:rFonts w:ascii="Arial Narrow" w:hAnsi="Arial Narrow"/>
                <w:bCs/>
                <w:iCs/>
                <w:noProof/>
                <w:sz w:val="18"/>
                <w:szCs w:val="18"/>
              </w:rPr>
              <w:t>NR</w:t>
            </w:r>
          </w:p>
        </w:tc>
        <w:tc>
          <w:tcPr>
            <w:tcW w:w="736" w:type="pct"/>
            <w:gridSpan w:val="2"/>
            <w:tcBorders>
              <w:top w:val="nil"/>
              <w:bottom w:val="nil"/>
            </w:tcBorders>
            <w:shd w:val="clear" w:color="auto" w:fill="auto"/>
            <w:vAlign w:val="center"/>
          </w:tcPr>
          <w:p w14:paraId="7C6D4AA3" w14:textId="77777777" w:rsidR="00405470" w:rsidRPr="00BD47FB" w:rsidRDefault="00405470" w:rsidP="007B6B2C">
            <w:pPr>
              <w:keepNext/>
              <w:keepLines/>
              <w:jc w:val="center"/>
              <w:rPr>
                <w:rFonts w:ascii="Arial Narrow" w:hAnsi="Arial Narrow"/>
                <w:bCs/>
                <w:iCs/>
                <w:noProof/>
                <w:sz w:val="18"/>
                <w:szCs w:val="18"/>
              </w:rPr>
            </w:pPr>
            <w:r w:rsidRPr="00BD47FB">
              <w:rPr>
                <w:rFonts w:ascii="Arial Narrow" w:hAnsi="Arial Narrow"/>
                <w:bCs/>
                <w:iCs/>
                <w:noProof/>
                <w:sz w:val="18"/>
                <w:szCs w:val="18"/>
              </w:rPr>
              <w:t>NR</w:t>
            </w:r>
          </w:p>
        </w:tc>
        <w:tc>
          <w:tcPr>
            <w:tcW w:w="734" w:type="pct"/>
            <w:gridSpan w:val="2"/>
            <w:tcBorders>
              <w:top w:val="nil"/>
              <w:bottom w:val="nil"/>
            </w:tcBorders>
            <w:shd w:val="clear" w:color="auto" w:fill="auto"/>
            <w:vAlign w:val="center"/>
          </w:tcPr>
          <w:p w14:paraId="07D548FA" w14:textId="77777777" w:rsidR="00405470" w:rsidRPr="00BD47FB" w:rsidRDefault="00405470" w:rsidP="007B6B2C">
            <w:pPr>
              <w:keepNext/>
              <w:keepLines/>
              <w:jc w:val="center"/>
              <w:rPr>
                <w:rFonts w:ascii="Arial Narrow" w:hAnsi="Arial Narrow"/>
                <w:bCs/>
                <w:iCs/>
                <w:sz w:val="18"/>
                <w:szCs w:val="18"/>
              </w:rPr>
            </w:pPr>
            <w:r w:rsidRPr="00BD47FB">
              <w:rPr>
                <w:rFonts w:ascii="Arial Narrow" w:hAnsi="Arial Narrow"/>
                <w:bCs/>
                <w:iCs/>
                <w:sz w:val="18"/>
                <w:szCs w:val="18"/>
              </w:rPr>
              <w:t>NR</w:t>
            </w:r>
          </w:p>
        </w:tc>
      </w:tr>
      <w:tr w:rsidR="00705899" w:rsidRPr="00372804" w14:paraId="09DA1970" w14:textId="77777777" w:rsidTr="00705899">
        <w:trPr>
          <w:trHeight w:val="170"/>
        </w:trPr>
        <w:tc>
          <w:tcPr>
            <w:tcW w:w="1412" w:type="pct"/>
            <w:tcBorders>
              <w:top w:val="nil"/>
              <w:bottom w:val="single" w:sz="4" w:space="0" w:color="auto"/>
            </w:tcBorders>
            <w:shd w:val="clear" w:color="auto" w:fill="auto"/>
            <w:vAlign w:val="center"/>
          </w:tcPr>
          <w:p w14:paraId="44223429" w14:textId="77777777" w:rsidR="00405470" w:rsidRPr="00BD47FB" w:rsidRDefault="00405470" w:rsidP="007B6B2C">
            <w:pPr>
              <w:keepNext/>
              <w:keepLines/>
              <w:jc w:val="left"/>
              <w:rPr>
                <w:rFonts w:ascii="Arial Narrow" w:hAnsi="Arial Narrow"/>
                <w:iCs/>
                <w:sz w:val="18"/>
                <w:szCs w:val="18"/>
              </w:rPr>
            </w:pPr>
            <w:r w:rsidRPr="00BD47FB">
              <w:rPr>
                <w:rFonts w:ascii="Arial Narrow" w:hAnsi="Arial Narrow"/>
                <w:iCs/>
                <w:sz w:val="18"/>
                <w:szCs w:val="18"/>
              </w:rPr>
              <w:t>LUCENT I Wk12, bDMARD-fail</w:t>
            </w:r>
            <w:r w:rsidRPr="00BD47FB">
              <w:rPr>
                <w:rFonts w:ascii="Arial Narrow" w:hAnsi="Arial Narrow"/>
                <w:iCs/>
                <w:sz w:val="18"/>
                <w:szCs w:val="18"/>
                <w:vertAlign w:val="superscript"/>
              </w:rPr>
              <w:t>e</w:t>
            </w:r>
          </w:p>
        </w:tc>
        <w:tc>
          <w:tcPr>
            <w:tcW w:w="694" w:type="pct"/>
            <w:tcBorders>
              <w:top w:val="nil"/>
              <w:bottom w:val="single" w:sz="4" w:space="0" w:color="auto"/>
            </w:tcBorders>
            <w:shd w:val="clear" w:color="auto" w:fill="auto"/>
            <w:vAlign w:val="center"/>
          </w:tcPr>
          <w:p w14:paraId="6F37D924"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177/361 (49.0)</w:t>
            </w:r>
          </w:p>
        </w:tc>
        <w:tc>
          <w:tcPr>
            <w:tcW w:w="687" w:type="pct"/>
            <w:tcBorders>
              <w:top w:val="nil"/>
              <w:bottom w:val="single" w:sz="4" w:space="0" w:color="auto"/>
            </w:tcBorders>
            <w:shd w:val="clear" w:color="auto" w:fill="auto"/>
            <w:vAlign w:val="center"/>
          </w:tcPr>
          <w:p w14:paraId="4C922886" w14:textId="77777777" w:rsidR="00405470" w:rsidRPr="00BD47FB" w:rsidRDefault="00405470" w:rsidP="007B6B2C">
            <w:pPr>
              <w:keepNext/>
              <w:keepLines/>
              <w:jc w:val="center"/>
              <w:rPr>
                <w:rFonts w:ascii="Arial Narrow" w:hAnsi="Arial Narrow"/>
                <w:iCs/>
                <w:sz w:val="18"/>
                <w:szCs w:val="18"/>
              </w:rPr>
            </w:pPr>
            <w:r w:rsidRPr="00BD47FB">
              <w:rPr>
                <w:rFonts w:ascii="Arial Narrow" w:hAnsi="Arial Narrow"/>
                <w:iCs/>
                <w:sz w:val="18"/>
                <w:szCs w:val="18"/>
              </w:rPr>
              <w:t>34/118 (28.8)</w:t>
            </w:r>
          </w:p>
        </w:tc>
        <w:tc>
          <w:tcPr>
            <w:tcW w:w="736" w:type="pct"/>
            <w:gridSpan w:val="2"/>
            <w:tcBorders>
              <w:top w:val="nil"/>
              <w:bottom w:val="single" w:sz="4" w:space="0" w:color="auto"/>
            </w:tcBorders>
            <w:shd w:val="clear" w:color="auto" w:fill="auto"/>
            <w:vAlign w:val="center"/>
          </w:tcPr>
          <w:p w14:paraId="1E296CA1"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1.70 (1.26, 2.30)</w:t>
            </w:r>
          </w:p>
        </w:tc>
        <w:tc>
          <w:tcPr>
            <w:tcW w:w="736" w:type="pct"/>
            <w:gridSpan w:val="2"/>
            <w:tcBorders>
              <w:top w:val="nil"/>
              <w:bottom w:val="single" w:sz="4" w:space="0" w:color="auto"/>
            </w:tcBorders>
            <w:shd w:val="clear" w:color="auto" w:fill="auto"/>
            <w:vAlign w:val="center"/>
          </w:tcPr>
          <w:p w14:paraId="36392F0F" w14:textId="77777777" w:rsidR="00405470" w:rsidRPr="00BD47FB" w:rsidRDefault="00405470"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0.20 (0.11, 0.30)</w:t>
            </w:r>
          </w:p>
        </w:tc>
        <w:tc>
          <w:tcPr>
            <w:tcW w:w="734" w:type="pct"/>
            <w:gridSpan w:val="2"/>
            <w:tcBorders>
              <w:top w:val="nil"/>
              <w:bottom w:val="single" w:sz="4" w:space="0" w:color="auto"/>
            </w:tcBorders>
            <w:shd w:val="clear" w:color="auto" w:fill="auto"/>
            <w:vAlign w:val="center"/>
          </w:tcPr>
          <w:p w14:paraId="4ACF32BB" w14:textId="77777777" w:rsidR="00405470" w:rsidRPr="00BD47FB" w:rsidRDefault="00405470" w:rsidP="007B6B2C">
            <w:pPr>
              <w:keepNext/>
              <w:keepLines/>
              <w:jc w:val="center"/>
              <w:rPr>
                <w:rFonts w:ascii="Arial Narrow" w:hAnsi="Arial Narrow"/>
                <w:b/>
                <w:bCs/>
                <w:iCs/>
                <w:sz w:val="18"/>
                <w:szCs w:val="18"/>
              </w:rPr>
            </w:pPr>
            <w:r w:rsidRPr="00BD47FB">
              <w:rPr>
                <w:rFonts w:ascii="Arial Narrow" w:hAnsi="Arial Narrow"/>
                <w:b/>
                <w:bCs/>
                <w:iCs/>
                <w:sz w:val="18"/>
                <w:szCs w:val="18"/>
              </w:rPr>
              <w:t>2.38 (1.52, 3.72)</w:t>
            </w:r>
          </w:p>
        </w:tc>
      </w:tr>
      <w:tr w:rsidR="00705899" w:rsidRPr="008E308F" w14:paraId="2021AA9D" w14:textId="77777777" w:rsidTr="00705899">
        <w:tblPrEx>
          <w:shd w:val="clear" w:color="auto" w:fill="D9D9D9" w:themeFill="background1" w:themeFillShade="D9"/>
        </w:tblPrEx>
        <w:trPr>
          <w:trHeight w:val="112"/>
        </w:trPr>
        <w:tc>
          <w:tcPr>
            <w:tcW w:w="5000" w:type="pct"/>
            <w:gridSpan w:val="9"/>
            <w:tcBorders>
              <w:bottom w:val="single" w:sz="4" w:space="0" w:color="auto"/>
              <w:right w:val="single" w:sz="4" w:space="0" w:color="auto"/>
            </w:tcBorders>
            <w:shd w:val="clear" w:color="auto" w:fill="auto"/>
            <w:vAlign w:val="center"/>
          </w:tcPr>
          <w:p w14:paraId="6544EC14" w14:textId="63DE2B7E" w:rsidR="00705899" w:rsidRPr="00BD47FB" w:rsidRDefault="00705899" w:rsidP="007B6B2C">
            <w:pPr>
              <w:keepNext/>
              <w:keepLines/>
              <w:jc w:val="left"/>
              <w:rPr>
                <w:rFonts w:ascii="Arial Narrow" w:hAnsi="Arial Narrow"/>
                <w:iCs/>
                <w:sz w:val="18"/>
                <w:szCs w:val="18"/>
              </w:rPr>
            </w:pPr>
            <w:r w:rsidRPr="00BD47FB">
              <w:rPr>
                <w:rFonts w:ascii="Arial Narrow" w:hAnsi="Arial Narrow"/>
                <w:b/>
                <w:bCs/>
                <w:iCs/>
                <w:sz w:val="18"/>
                <w:szCs w:val="18"/>
              </w:rPr>
              <w:t>Clinical remission │clinical response following induction treatment (maintenance therapy) MMS</w:t>
            </w:r>
          </w:p>
        </w:tc>
      </w:tr>
      <w:tr w:rsidR="00705899" w:rsidRPr="008E308F" w14:paraId="60C79A8D" w14:textId="77777777" w:rsidTr="00705899">
        <w:tblPrEx>
          <w:shd w:val="clear" w:color="auto" w:fill="D9D9D9" w:themeFill="background1" w:themeFillShade="D9"/>
        </w:tblPrEx>
        <w:trPr>
          <w:trHeight w:val="112"/>
        </w:trPr>
        <w:tc>
          <w:tcPr>
            <w:tcW w:w="1412" w:type="pct"/>
            <w:tcBorders>
              <w:bottom w:val="nil"/>
              <w:right w:val="single" w:sz="4" w:space="0" w:color="auto"/>
            </w:tcBorders>
            <w:shd w:val="clear" w:color="auto" w:fill="auto"/>
            <w:vAlign w:val="center"/>
          </w:tcPr>
          <w:p w14:paraId="469AF95D" w14:textId="77777777" w:rsidR="00705899" w:rsidRPr="00BD47FB" w:rsidRDefault="00705899" w:rsidP="007B6B2C">
            <w:pPr>
              <w:keepNext/>
              <w:keepLines/>
              <w:jc w:val="left"/>
              <w:rPr>
                <w:rFonts w:ascii="Arial Narrow" w:hAnsi="Arial Narrow"/>
                <w:iCs/>
                <w:sz w:val="18"/>
                <w:szCs w:val="18"/>
              </w:rPr>
            </w:pPr>
            <w:r w:rsidRPr="00BD47FB">
              <w:rPr>
                <w:rFonts w:ascii="Arial Narrow" w:hAnsi="Arial Narrow"/>
                <w:iCs/>
                <w:sz w:val="18"/>
                <w:szCs w:val="18"/>
              </w:rPr>
              <w:t>LUCENT 2 Wk52, ITT</w:t>
            </w:r>
          </w:p>
        </w:tc>
        <w:tc>
          <w:tcPr>
            <w:tcW w:w="694" w:type="pct"/>
            <w:tcBorders>
              <w:left w:val="single" w:sz="4" w:space="0" w:color="auto"/>
              <w:bottom w:val="nil"/>
              <w:right w:val="single" w:sz="4" w:space="0" w:color="auto"/>
            </w:tcBorders>
            <w:shd w:val="clear" w:color="auto" w:fill="auto"/>
            <w:vAlign w:val="center"/>
          </w:tcPr>
          <w:p w14:paraId="425D44B2"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182/365 (49.9)</w:t>
            </w:r>
          </w:p>
        </w:tc>
        <w:tc>
          <w:tcPr>
            <w:tcW w:w="687" w:type="pct"/>
            <w:tcBorders>
              <w:left w:val="single" w:sz="4" w:space="0" w:color="auto"/>
              <w:bottom w:val="nil"/>
              <w:right w:val="single" w:sz="4" w:space="0" w:color="auto"/>
            </w:tcBorders>
            <w:shd w:val="clear" w:color="auto" w:fill="auto"/>
            <w:vAlign w:val="center"/>
          </w:tcPr>
          <w:p w14:paraId="0F212753"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45/179 (25.1)</w:t>
            </w:r>
          </w:p>
        </w:tc>
        <w:tc>
          <w:tcPr>
            <w:tcW w:w="736" w:type="pct"/>
            <w:gridSpan w:val="2"/>
            <w:tcBorders>
              <w:top w:val="single" w:sz="4" w:space="0" w:color="auto"/>
              <w:left w:val="single" w:sz="4" w:space="0" w:color="auto"/>
              <w:bottom w:val="nil"/>
              <w:right w:val="single" w:sz="4" w:space="0" w:color="auto"/>
            </w:tcBorders>
            <w:shd w:val="clear" w:color="auto" w:fill="auto"/>
            <w:vAlign w:val="center"/>
          </w:tcPr>
          <w:p w14:paraId="05EE59A5" w14:textId="5C6C4A6E"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1.98 (1.51,</w:t>
            </w:r>
            <w:r w:rsidR="002C533D">
              <w:rPr>
                <w:rFonts w:ascii="Arial Narrow" w:hAnsi="Arial Narrow"/>
                <w:b/>
                <w:bCs/>
                <w:iCs/>
                <w:noProof/>
                <w:sz w:val="18"/>
                <w:szCs w:val="18"/>
              </w:rPr>
              <w:t xml:space="preserve"> </w:t>
            </w:r>
            <w:r w:rsidRPr="00BD47FB">
              <w:rPr>
                <w:rFonts w:ascii="Arial Narrow" w:hAnsi="Arial Narrow"/>
                <w:b/>
                <w:bCs/>
                <w:iCs/>
                <w:noProof/>
                <w:sz w:val="18"/>
                <w:szCs w:val="18"/>
              </w:rPr>
              <w:t>2.61)</w:t>
            </w:r>
          </w:p>
        </w:tc>
        <w:tc>
          <w:tcPr>
            <w:tcW w:w="736" w:type="pct"/>
            <w:gridSpan w:val="2"/>
            <w:tcBorders>
              <w:top w:val="single" w:sz="4" w:space="0" w:color="auto"/>
              <w:left w:val="single" w:sz="4" w:space="0" w:color="auto"/>
              <w:bottom w:val="nil"/>
              <w:right w:val="single" w:sz="4" w:space="0" w:color="auto"/>
            </w:tcBorders>
            <w:shd w:val="clear" w:color="auto" w:fill="auto"/>
            <w:vAlign w:val="center"/>
          </w:tcPr>
          <w:p w14:paraId="23F1D527" w14:textId="417040A4"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0.25 (0.17,</w:t>
            </w:r>
            <w:r w:rsidR="002C533D">
              <w:rPr>
                <w:rFonts w:ascii="Arial Narrow" w:hAnsi="Arial Narrow"/>
                <w:b/>
                <w:bCs/>
                <w:iCs/>
                <w:noProof/>
                <w:sz w:val="18"/>
                <w:szCs w:val="18"/>
              </w:rPr>
              <w:t xml:space="preserve"> </w:t>
            </w:r>
            <w:r w:rsidRPr="00BD47FB">
              <w:rPr>
                <w:rFonts w:ascii="Arial Narrow" w:hAnsi="Arial Narrow"/>
                <w:b/>
                <w:bCs/>
                <w:iCs/>
                <w:noProof/>
                <w:sz w:val="18"/>
                <w:szCs w:val="18"/>
              </w:rPr>
              <w:t>0.33)</w:t>
            </w:r>
          </w:p>
        </w:tc>
        <w:tc>
          <w:tcPr>
            <w:tcW w:w="734" w:type="pct"/>
            <w:gridSpan w:val="2"/>
            <w:tcBorders>
              <w:left w:val="single" w:sz="4" w:space="0" w:color="auto"/>
              <w:bottom w:val="nil"/>
              <w:right w:val="single" w:sz="4" w:space="0" w:color="auto"/>
            </w:tcBorders>
            <w:vAlign w:val="center"/>
          </w:tcPr>
          <w:p w14:paraId="0F8AF437" w14:textId="0A6CB5E3"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2.96 (1.99,</w:t>
            </w:r>
            <w:r w:rsidR="002C533D">
              <w:rPr>
                <w:rFonts w:ascii="Arial Narrow" w:hAnsi="Arial Narrow"/>
                <w:b/>
                <w:bCs/>
                <w:iCs/>
                <w:sz w:val="18"/>
                <w:szCs w:val="18"/>
              </w:rPr>
              <w:t xml:space="preserve"> </w:t>
            </w:r>
            <w:r w:rsidRPr="00BD47FB">
              <w:rPr>
                <w:rFonts w:ascii="Arial Narrow" w:hAnsi="Arial Narrow"/>
                <w:b/>
                <w:bCs/>
                <w:iCs/>
                <w:sz w:val="18"/>
                <w:szCs w:val="18"/>
              </w:rPr>
              <w:t>4.40)</w:t>
            </w:r>
          </w:p>
        </w:tc>
      </w:tr>
      <w:tr w:rsidR="00705899" w:rsidRPr="008E308F" w14:paraId="491879C6" w14:textId="77777777" w:rsidTr="00705899">
        <w:tblPrEx>
          <w:shd w:val="clear" w:color="auto" w:fill="D9D9D9" w:themeFill="background1" w:themeFillShade="D9"/>
        </w:tblPrEx>
        <w:trPr>
          <w:trHeight w:val="112"/>
        </w:trPr>
        <w:tc>
          <w:tcPr>
            <w:tcW w:w="1412" w:type="pct"/>
            <w:tcBorders>
              <w:top w:val="nil"/>
              <w:bottom w:val="nil"/>
              <w:right w:val="single" w:sz="4" w:space="0" w:color="auto"/>
            </w:tcBorders>
            <w:shd w:val="clear" w:color="auto" w:fill="auto"/>
            <w:vAlign w:val="center"/>
          </w:tcPr>
          <w:p w14:paraId="6480F261" w14:textId="24EA8CBF" w:rsidR="00705899" w:rsidRPr="00BD47FB" w:rsidRDefault="00705899" w:rsidP="007B6B2C">
            <w:pPr>
              <w:keepNext/>
              <w:keepLines/>
              <w:jc w:val="left"/>
              <w:rPr>
                <w:rFonts w:ascii="Arial Narrow" w:hAnsi="Arial Narrow"/>
                <w:b/>
                <w:bCs/>
                <w:iCs/>
                <w:sz w:val="18"/>
                <w:szCs w:val="18"/>
              </w:rPr>
            </w:pPr>
            <w:r w:rsidRPr="00BD47FB">
              <w:rPr>
                <w:rFonts w:ascii="Arial Narrow" w:hAnsi="Arial Narrow"/>
                <w:iCs/>
                <w:sz w:val="18"/>
                <w:szCs w:val="18"/>
              </w:rPr>
              <w:t>LUCENT 2 Wk52, bDMARD-NF</w:t>
            </w:r>
            <w:r w:rsidRPr="00BD47FB">
              <w:rPr>
                <w:rFonts w:ascii="Arial Narrow" w:hAnsi="Arial Narrow"/>
                <w:iCs/>
                <w:sz w:val="18"/>
                <w:szCs w:val="18"/>
                <w:vertAlign w:val="superscript"/>
              </w:rPr>
              <w:t>f</w:t>
            </w:r>
          </w:p>
        </w:tc>
        <w:tc>
          <w:tcPr>
            <w:tcW w:w="694" w:type="pct"/>
            <w:tcBorders>
              <w:top w:val="nil"/>
              <w:left w:val="single" w:sz="4" w:space="0" w:color="auto"/>
              <w:bottom w:val="nil"/>
              <w:right w:val="single" w:sz="4" w:space="0" w:color="auto"/>
            </w:tcBorders>
            <w:shd w:val="clear" w:color="auto" w:fill="auto"/>
            <w:vAlign w:val="center"/>
          </w:tcPr>
          <w:p w14:paraId="41DF674D"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123/237 (51.9)</w:t>
            </w:r>
          </w:p>
        </w:tc>
        <w:tc>
          <w:tcPr>
            <w:tcW w:w="687" w:type="pct"/>
            <w:tcBorders>
              <w:top w:val="nil"/>
              <w:left w:val="single" w:sz="4" w:space="0" w:color="auto"/>
              <w:bottom w:val="nil"/>
              <w:right w:val="single" w:sz="4" w:space="0" w:color="auto"/>
            </w:tcBorders>
            <w:shd w:val="clear" w:color="auto" w:fill="auto"/>
            <w:vAlign w:val="center"/>
          </w:tcPr>
          <w:p w14:paraId="328ADCAD"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35/115 (30.4)</w:t>
            </w:r>
          </w:p>
        </w:tc>
        <w:tc>
          <w:tcPr>
            <w:tcW w:w="736" w:type="pct"/>
            <w:gridSpan w:val="2"/>
            <w:tcBorders>
              <w:top w:val="nil"/>
              <w:left w:val="single" w:sz="4" w:space="0" w:color="auto"/>
              <w:bottom w:val="nil"/>
              <w:right w:val="single" w:sz="4" w:space="0" w:color="auto"/>
            </w:tcBorders>
            <w:shd w:val="clear" w:color="auto" w:fill="auto"/>
            <w:vAlign w:val="center"/>
          </w:tcPr>
          <w:p w14:paraId="14409B50" w14:textId="078A84EF"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1.71 (1.26,</w:t>
            </w:r>
            <w:r w:rsidR="002C533D">
              <w:rPr>
                <w:rFonts w:ascii="Arial Narrow" w:hAnsi="Arial Narrow"/>
                <w:b/>
                <w:bCs/>
                <w:iCs/>
                <w:noProof/>
                <w:sz w:val="18"/>
                <w:szCs w:val="18"/>
              </w:rPr>
              <w:t xml:space="preserve"> </w:t>
            </w:r>
            <w:r w:rsidRPr="00BD47FB">
              <w:rPr>
                <w:rFonts w:ascii="Arial Narrow" w:hAnsi="Arial Narrow"/>
                <w:b/>
                <w:bCs/>
                <w:iCs/>
                <w:noProof/>
                <w:sz w:val="18"/>
                <w:szCs w:val="18"/>
              </w:rPr>
              <w:t>2.31)</w:t>
            </w:r>
          </w:p>
        </w:tc>
        <w:tc>
          <w:tcPr>
            <w:tcW w:w="736" w:type="pct"/>
            <w:gridSpan w:val="2"/>
            <w:tcBorders>
              <w:top w:val="nil"/>
              <w:left w:val="single" w:sz="4" w:space="0" w:color="auto"/>
              <w:bottom w:val="nil"/>
              <w:right w:val="single" w:sz="4" w:space="0" w:color="auto"/>
            </w:tcBorders>
            <w:shd w:val="clear" w:color="auto" w:fill="auto"/>
            <w:vAlign w:val="center"/>
          </w:tcPr>
          <w:p w14:paraId="0D9303F6" w14:textId="681A7287"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0.21 (0.11,</w:t>
            </w:r>
            <w:r w:rsidR="002C533D">
              <w:rPr>
                <w:rFonts w:ascii="Arial Narrow" w:hAnsi="Arial Narrow"/>
                <w:b/>
                <w:bCs/>
                <w:iCs/>
                <w:noProof/>
                <w:sz w:val="18"/>
                <w:szCs w:val="18"/>
              </w:rPr>
              <w:t xml:space="preserve"> </w:t>
            </w:r>
            <w:r w:rsidRPr="00BD47FB">
              <w:rPr>
                <w:rFonts w:ascii="Arial Narrow" w:hAnsi="Arial Narrow"/>
                <w:b/>
                <w:bCs/>
                <w:iCs/>
                <w:noProof/>
                <w:sz w:val="18"/>
                <w:szCs w:val="18"/>
              </w:rPr>
              <w:t>0.32)</w:t>
            </w:r>
          </w:p>
        </w:tc>
        <w:tc>
          <w:tcPr>
            <w:tcW w:w="734" w:type="pct"/>
            <w:gridSpan w:val="2"/>
            <w:tcBorders>
              <w:top w:val="nil"/>
              <w:left w:val="single" w:sz="4" w:space="0" w:color="auto"/>
              <w:bottom w:val="nil"/>
              <w:right w:val="single" w:sz="4" w:space="0" w:color="auto"/>
            </w:tcBorders>
            <w:vAlign w:val="center"/>
          </w:tcPr>
          <w:p w14:paraId="5C0BBB2C" w14:textId="59A89D9A"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2.47 (1.54,</w:t>
            </w:r>
            <w:r w:rsidR="002C533D">
              <w:rPr>
                <w:rFonts w:ascii="Arial Narrow" w:hAnsi="Arial Narrow"/>
                <w:b/>
                <w:bCs/>
                <w:iCs/>
                <w:sz w:val="18"/>
                <w:szCs w:val="18"/>
              </w:rPr>
              <w:t xml:space="preserve"> </w:t>
            </w:r>
            <w:r w:rsidRPr="00BD47FB">
              <w:rPr>
                <w:rFonts w:ascii="Arial Narrow" w:hAnsi="Arial Narrow"/>
                <w:b/>
                <w:bCs/>
                <w:iCs/>
                <w:sz w:val="18"/>
                <w:szCs w:val="18"/>
              </w:rPr>
              <w:t>3.95)</w:t>
            </w:r>
          </w:p>
        </w:tc>
      </w:tr>
      <w:tr w:rsidR="00705899" w:rsidRPr="008E308F" w14:paraId="36B52B42" w14:textId="77777777" w:rsidTr="00705899">
        <w:tblPrEx>
          <w:shd w:val="clear" w:color="auto" w:fill="D9D9D9" w:themeFill="background1" w:themeFillShade="D9"/>
        </w:tblPrEx>
        <w:trPr>
          <w:trHeight w:val="112"/>
        </w:trPr>
        <w:tc>
          <w:tcPr>
            <w:tcW w:w="1412" w:type="pct"/>
            <w:tcBorders>
              <w:top w:val="nil"/>
              <w:bottom w:val="nil"/>
              <w:right w:val="single" w:sz="4" w:space="0" w:color="auto"/>
            </w:tcBorders>
            <w:shd w:val="clear" w:color="auto" w:fill="auto"/>
            <w:vAlign w:val="center"/>
          </w:tcPr>
          <w:p w14:paraId="4B048542" w14:textId="3567BFE1" w:rsidR="00705899" w:rsidRPr="00BD47FB" w:rsidRDefault="00705899" w:rsidP="007B6B2C">
            <w:pPr>
              <w:keepNext/>
              <w:keepLines/>
              <w:jc w:val="left"/>
              <w:rPr>
                <w:rFonts w:ascii="Arial Narrow" w:hAnsi="Arial Narrow"/>
                <w:b/>
                <w:bCs/>
                <w:iCs/>
                <w:sz w:val="18"/>
                <w:szCs w:val="18"/>
              </w:rPr>
            </w:pPr>
            <w:r w:rsidRPr="00BD47FB">
              <w:rPr>
                <w:rFonts w:ascii="Arial Narrow" w:hAnsi="Arial Narrow"/>
                <w:iCs/>
                <w:sz w:val="18"/>
                <w:szCs w:val="18"/>
              </w:rPr>
              <w:t>LUCENT 2 Wk52, bDMARD-fail</w:t>
            </w:r>
            <w:r w:rsidRPr="00BD47FB">
              <w:rPr>
                <w:rFonts w:ascii="Arial Narrow" w:hAnsi="Arial Narrow"/>
                <w:iCs/>
                <w:sz w:val="18"/>
                <w:szCs w:val="18"/>
                <w:vertAlign w:val="superscript"/>
              </w:rPr>
              <w:t>g</w:t>
            </w:r>
          </w:p>
        </w:tc>
        <w:tc>
          <w:tcPr>
            <w:tcW w:w="694" w:type="pct"/>
            <w:tcBorders>
              <w:top w:val="nil"/>
              <w:left w:val="single" w:sz="4" w:space="0" w:color="auto"/>
              <w:bottom w:val="nil"/>
              <w:right w:val="single" w:sz="4" w:space="0" w:color="auto"/>
            </w:tcBorders>
            <w:shd w:val="clear" w:color="auto" w:fill="auto"/>
            <w:vAlign w:val="center"/>
          </w:tcPr>
          <w:p w14:paraId="07791723"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59/128 (46.1)</w:t>
            </w:r>
          </w:p>
        </w:tc>
        <w:tc>
          <w:tcPr>
            <w:tcW w:w="687" w:type="pct"/>
            <w:tcBorders>
              <w:top w:val="nil"/>
              <w:left w:val="single" w:sz="4" w:space="0" w:color="auto"/>
              <w:bottom w:val="nil"/>
              <w:right w:val="single" w:sz="4" w:space="0" w:color="auto"/>
            </w:tcBorders>
            <w:shd w:val="clear" w:color="auto" w:fill="auto"/>
            <w:vAlign w:val="center"/>
          </w:tcPr>
          <w:p w14:paraId="4B794B3E"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10/64 (15.6)</w:t>
            </w:r>
          </w:p>
        </w:tc>
        <w:tc>
          <w:tcPr>
            <w:tcW w:w="736" w:type="pct"/>
            <w:gridSpan w:val="2"/>
            <w:tcBorders>
              <w:top w:val="nil"/>
              <w:left w:val="single" w:sz="4" w:space="0" w:color="auto"/>
              <w:bottom w:val="nil"/>
              <w:right w:val="single" w:sz="4" w:space="0" w:color="auto"/>
            </w:tcBorders>
            <w:shd w:val="clear" w:color="auto" w:fill="auto"/>
            <w:vAlign w:val="center"/>
          </w:tcPr>
          <w:p w14:paraId="074865D7" w14:textId="34B300C0"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2.95 (1.62,</w:t>
            </w:r>
            <w:r w:rsidR="002C533D">
              <w:rPr>
                <w:rFonts w:ascii="Arial Narrow" w:hAnsi="Arial Narrow"/>
                <w:b/>
                <w:bCs/>
                <w:iCs/>
                <w:noProof/>
                <w:sz w:val="18"/>
                <w:szCs w:val="18"/>
              </w:rPr>
              <w:t xml:space="preserve"> </w:t>
            </w:r>
            <w:r w:rsidRPr="00BD47FB">
              <w:rPr>
                <w:rFonts w:ascii="Arial Narrow" w:hAnsi="Arial Narrow"/>
                <w:b/>
                <w:bCs/>
                <w:iCs/>
                <w:noProof/>
                <w:sz w:val="18"/>
                <w:szCs w:val="18"/>
              </w:rPr>
              <w:t>5.37)</w:t>
            </w:r>
          </w:p>
        </w:tc>
        <w:tc>
          <w:tcPr>
            <w:tcW w:w="736" w:type="pct"/>
            <w:gridSpan w:val="2"/>
            <w:tcBorders>
              <w:top w:val="nil"/>
              <w:left w:val="single" w:sz="4" w:space="0" w:color="auto"/>
              <w:bottom w:val="nil"/>
              <w:right w:val="single" w:sz="4" w:space="0" w:color="auto"/>
            </w:tcBorders>
            <w:shd w:val="clear" w:color="auto" w:fill="auto"/>
            <w:vAlign w:val="center"/>
          </w:tcPr>
          <w:p w14:paraId="7F779430" w14:textId="52309D7E"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0.30 (0.18,</w:t>
            </w:r>
            <w:r w:rsidR="002C533D">
              <w:rPr>
                <w:rFonts w:ascii="Arial Narrow" w:hAnsi="Arial Narrow"/>
                <w:b/>
                <w:bCs/>
                <w:iCs/>
                <w:noProof/>
                <w:sz w:val="18"/>
                <w:szCs w:val="18"/>
              </w:rPr>
              <w:t xml:space="preserve"> </w:t>
            </w:r>
            <w:r w:rsidRPr="00BD47FB">
              <w:rPr>
                <w:rFonts w:ascii="Arial Narrow" w:hAnsi="Arial Narrow"/>
                <w:b/>
                <w:bCs/>
                <w:iCs/>
                <w:noProof/>
                <w:sz w:val="18"/>
                <w:szCs w:val="18"/>
              </w:rPr>
              <w:t>0.43)</w:t>
            </w:r>
          </w:p>
        </w:tc>
        <w:tc>
          <w:tcPr>
            <w:tcW w:w="734" w:type="pct"/>
            <w:gridSpan w:val="2"/>
            <w:tcBorders>
              <w:top w:val="nil"/>
              <w:left w:val="single" w:sz="4" w:space="0" w:color="auto"/>
              <w:bottom w:val="nil"/>
              <w:right w:val="single" w:sz="4" w:space="0" w:color="auto"/>
            </w:tcBorders>
            <w:vAlign w:val="center"/>
          </w:tcPr>
          <w:p w14:paraId="297CE049" w14:textId="2E16B926"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4.62 (2.16,</w:t>
            </w:r>
            <w:r w:rsidR="002C533D">
              <w:rPr>
                <w:rFonts w:ascii="Arial Narrow" w:hAnsi="Arial Narrow"/>
                <w:b/>
                <w:bCs/>
                <w:iCs/>
                <w:sz w:val="18"/>
                <w:szCs w:val="18"/>
              </w:rPr>
              <w:t xml:space="preserve"> </w:t>
            </w:r>
            <w:r w:rsidRPr="00BD47FB">
              <w:rPr>
                <w:rFonts w:ascii="Arial Narrow" w:hAnsi="Arial Narrow"/>
                <w:b/>
                <w:bCs/>
                <w:iCs/>
                <w:sz w:val="18"/>
                <w:szCs w:val="18"/>
              </w:rPr>
              <w:t>9.86)</w:t>
            </w:r>
          </w:p>
        </w:tc>
      </w:tr>
      <w:tr w:rsidR="00705899" w:rsidRPr="008E308F" w14:paraId="2D9B2608" w14:textId="77777777" w:rsidTr="00705899">
        <w:tblPrEx>
          <w:shd w:val="clear" w:color="auto" w:fill="D9D9D9" w:themeFill="background1" w:themeFillShade="D9"/>
        </w:tblPrEx>
        <w:trPr>
          <w:trHeight w:val="112"/>
        </w:trPr>
        <w:tc>
          <w:tcPr>
            <w:tcW w:w="1412" w:type="pct"/>
            <w:tcBorders>
              <w:top w:val="nil"/>
              <w:bottom w:val="nil"/>
              <w:right w:val="single" w:sz="4" w:space="0" w:color="auto"/>
            </w:tcBorders>
            <w:shd w:val="clear" w:color="auto" w:fill="auto"/>
            <w:vAlign w:val="center"/>
          </w:tcPr>
          <w:p w14:paraId="5F495B8A" w14:textId="77777777" w:rsidR="00705899" w:rsidRPr="00BD47FB" w:rsidRDefault="00705899" w:rsidP="007B6B2C">
            <w:pPr>
              <w:keepNext/>
              <w:keepLines/>
              <w:jc w:val="left"/>
              <w:rPr>
                <w:rFonts w:ascii="Arial Narrow" w:hAnsi="Arial Narrow"/>
                <w:iCs/>
                <w:sz w:val="18"/>
                <w:szCs w:val="18"/>
              </w:rPr>
            </w:pPr>
            <w:r w:rsidRPr="00BD47FB">
              <w:rPr>
                <w:rFonts w:ascii="Arial Narrow" w:hAnsi="Arial Narrow"/>
                <w:iCs/>
                <w:sz w:val="18"/>
                <w:szCs w:val="18"/>
              </w:rPr>
              <w:t>LUCENT 2 Wk52, bDMARD-naïve</w:t>
            </w:r>
          </w:p>
        </w:tc>
        <w:tc>
          <w:tcPr>
            <w:tcW w:w="694" w:type="pct"/>
            <w:tcBorders>
              <w:top w:val="nil"/>
              <w:left w:val="single" w:sz="4" w:space="0" w:color="auto"/>
              <w:bottom w:val="nil"/>
              <w:right w:val="single" w:sz="4" w:space="0" w:color="auto"/>
            </w:tcBorders>
            <w:shd w:val="clear" w:color="auto" w:fill="auto"/>
            <w:vAlign w:val="center"/>
          </w:tcPr>
          <w:p w14:paraId="1C49B1CC"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118/229 (51.5)</w:t>
            </w:r>
          </w:p>
        </w:tc>
        <w:tc>
          <w:tcPr>
            <w:tcW w:w="687" w:type="pct"/>
            <w:tcBorders>
              <w:top w:val="nil"/>
              <w:left w:val="single" w:sz="4" w:space="0" w:color="auto"/>
              <w:bottom w:val="nil"/>
              <w:right w:val="single" w:sz="4" w:space="0" w:color="auto"/>
            </w:tcBorders>
            <w:shd w:val="clear" w:color="auto" w:fill="auto"/>
            <w:vAlign w:val="center"/>
          </w:tcPr>
          <w:p w14:paraId="5236B1D4"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35/114 (30.7)</w:t>
            </w:r>
          </w:p>
        </w:tc>
        <w:tc>
          <w:tcPr>
            <w:tcW w:w="736" w:type="pct"/>
            <w:gridSpan w:val="2"/>
            <w:tcBorders>
              <w:top w:val="nil"/>
              <w:left w:val="single" w:sz="4" w:space="0" w:color="auto"/>
              <w:bottom w:val="nil"/>
              <w:right w:val="single" w:sz="4" w:space="0" w:color="auto"/>
            </w:tcBorders>
            <w:shd w:val="clear" w:color="auto" w:fill="auto"/>
            <w:vAlign w:val="center"/>
          </w:tcPr>
          <w:p w14:paraId="1751003D" w14:textId="77777777"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1.68 (1.24, 2.27)</w:t>
            </w:r>
          </w:p>
        </w:tc>
        <w:tc>
          <w:tcPr>
            <w:tcW w:w="736" w:type="pct"/>
            <w:gridSpan w:val="2"/>
            <w:tcBorders>
              <w:top w:val="nil"/>
              <w:left w:val="single" w:sz="4" w:space="0" w:color="auto"/>
              <w:bottom w:val="nil"/>
              <w:right w:val="single" w:sz="4" w:space="0" w:color="auto"/>
            </w:tcBorders>
            <w:shd w:val="clear" w:color="auto" w:fill="auto"/>
            <w:vAlign w:val="center"/>
          </w:tcPr>
          <w:p w14:paraId="1982DF0E" w14:textId="77777777"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0.21 (0.10, 0.31)</w:t>
            </w:r>
          </w:p>
        </w:tc>
        <w:tc>
          <w:tcPr>
            <w:tcW w:w="734" w:type="pct"/>
            <w:gridSpan w:val="2"/>
            <w:tcBorders>
              <w:top w:val="nil"/>
              <w:left w:val="single" w:sz="4" w:space="0" w:color="auto"/>
              <w:bottom w:val="nil"/>
              <w:right w:val="single" w:sz="4" w:space="0" w:color="auto"/>
            </w:tcBorders>
            <w:vAlign w:val="center"/>
          </w:tcPr>
          <w:p w14:paraId="4CB3ED15" w14:textId="77777777"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2.40 (1.49, 3.86)</w:t>
            </w:r>
          </w:p>
        </w:tc>
      </w:tr>
      <w:tr w:rsidR="00705899" w:rsidRPr="008E308F" w14:paraId="7A4E5A33" w14:textId="77777777" w:rsidTr="00705899">
        <w:tblPrEx>
          <w:shd w:val="clear" w:color="auto" w:fill="D9D9D9" w:themeFill="background1" w:themeFillShade="D9"/>
        </w:tblPrEx>
        <w:trPr>
          <w:trHeight w:val="112"/>
        </w:trPr>
        <w:tc>
          <w:tcPr>
            <w:tcW w:w="1412" w:type="pct"/>
            <w:tcBorders>
              <w:top w:val="nil"/>
              <w:bottom w:val="single" w:sz="4" w:space="0" w:color="auto"/>
              <w:right w:val="single" w:sz="4" w:space="0" w:color="auto"/>
            </w:tcBorders>
            <w:shd w:val="clear" w:color="auto" w:fill="auto"/>
            <w:vAlign w:val="center"/>
          </w:tcPr>
          <w:p w14:paraId="340ECDDC" w14:textId="19160C29" w:rsidR="00705899" w:rsidRPr="00BD47FB" w:rsidRDefault="00705899" w:rsidP="007B6B2C">
            <w:pPr>
              <w:keepNext/>
              <w:keepLines/>
              <w:jc w:val="left"/>
              <w:rPr>
                <w:rFonts w:ascii="Arial Narrow" w:hAnsi="Arial Narrow"/>
                <w:iCs/>
                <w:sz w:val="18"/>
                <w:szCs w:val="18"/>
              </w:rPr>
            </w:pPr>
            <w:r w:rsidRPr="00BD47FB">
              <w:rPr>
                <w:rFonts w:ascii="Arial Narrow" w:hAnsi="Arial Narrow"/>
                <w:iCs/>
                <w:sz w:val="18"/>
                <w:szCs w:val="18"/>
              </w:rPr>
              <w:t>LUCENT 2 Wk52, bDMARD-exp</w:t>
            </w:r>
            <w:r w:rsidRPr="00BD47FB">
              <w:rPr>
                <w:rFonts w:ascii="Arial Narrow" w:hAnsi="Arial Narrow"/>
                <w:iCs/>
                <w:sz w:val="18"/>
                <w:szCs w:val="18"/>
                <w:vertAlign w:val="superscript"/>
              </w:rPr>
              <w:t>h</w:t>
            </w:r>
          </w:p>
        </w:tc>
        <w:tc>
          <w:tcPr>
            <w:tcW w:w="694" w:type="pct"/>
            <w:tcBorders>
              <w:top w:val="nil"/>
              <w:left w:val="single" w:sz="4" w:space="0" w:color="auto"/>
              <w:bottom w:val="single" w:sz="4" w:space="0" w:color="auto"/>
              <w:right w:val="single" w:sz="4" w:space="0" w:color="auto"/>
            </w:tcBorders>
            <w:shd w:val="clear" w:color="auto" w:fill="auto"/>
            <w:vAlign w:val="center"/>
          </w:tcPr>
          <w:p w14:paraId="36FC394E"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64/136 (47.1)</w:t>
            </w:r>
          </w:p>
        </w:tc>
        <w:tc>
          <w:tcPr>
            <w:tcW w:w="687" w:type="pct"/>
            <w:tcBorders>
              <w:top w:val="nil"/>
              <w:left w:val="single" w:sz="4" w:space="0" w:color="auto"/>
              <w:bottom w:val="single" w:sz="4" w:space="0" w:color="auto"/>
              <w:right w:val="single" w:sz="4" w:space="0" w:color="auto"/>
            </w:tcBorders>
            <w:shd w:val="clear" w:color="auto" w:fill="auto"/>
            <w:vAlign w:val="center"/>
          </w:tcPr>
          <w:p w14:paraId="052F2AA6"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10/65 (15.4)</w:t>
            </w:r>
          </w:p>
        </w:tc>
        <w:tc>
          <w:tcPr>
            <w:tcW w:w="736" w:type="pct"/>
            <w:gridSpan w:val="2"/>
            <w:tcBorders>
              <w:top w:val="nil"/>
              <w:left w:val="single" w:sz="4" w:space="0" w:color="auto"/>
              <w:bottom w:val="single" w:sz="4" w:space="0" w:color="auto"/>
              <w:right w:val="single" w:sz="4" w:space="0" w:color="auto"/>
            </w:tcBorders>
            <w:shd w:val="clear" w:color="auto" w:fill="auto"/>
            <w:vAlign w:val="center"/>
          </w:tcPr>
          <w:p w14:paraId="7D83D674" w14:textId="77777777"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3.06 (1.68, 5.56)</w:t>
            </w:r>
          </w:p>
        </w:tc>
        <w:tc>
          <w:tcPr>
            <w:tcW w:w="736" w:type="pct"/>
            <w:gridSpan w:val="2"/>
            <w:tcBorders>
              <w:top w:val="nil"/>
              <w:left w:val="single" w:sz="4" w:space="0" w:color="auto"/>
              <w:bottom w:val="single" w:sz="4" w:space="0" w:color="auto"/>
              <w:right w:val="single" w:sz="4" w:space="0" w:color="auto"/>
            </w:tcBorders>
            <w:shd w:val="clear" w:color="auto" w:fill="auto"/>
            <w:vAlign w:val="center"/>
          </w:tcPr>
          <w:p w14:paraId="45C70A2A" w14:textId="77777777" w:rsidR="00705899" w:rsidRPr="00BD47FB" w:rsidRDefault="00705899" w:rsidP="007B6B2C">
            <w:pPr>
              <w:keepNext/>
              <w:keepLines/>
              <w:jc w:val="center"/>
              <w:rPr>
                <w:rFonts w:ascii="Arial Narrow" w:hAnsi="Arial Narrow"/>
                <w:b/>
                <w:bCs/>
                <w:iCs/>
                <w:noProof/>
                <w:sz w:val="18"/>
                <w:szCs w:val="18"/>
              </w:rPr>
            </w:pPr>
            <w:r w:rsidRPr="00BD47FB">
              <w:rPr>
                <w:rFonts w:ascii="Arial Narrow" w:hAnsi="Arial Narrow"/>
                <w:b/>
                <w:bCs/>
                <w:iCs/>
                <w:noProof/>
                <w:sz w:val="18"/>
                <w:szCs w:val="18"/>
              </w:rPr>
              <w:t>0.32 (0.20, 0.44)</w:t>
            </w:r>
          </w:p>
        </w:tc>
        <w:tc>
          <w:tcPr>
            <w:tcW w:w="734" w:type="pct"/>
            <w:gridSpan w:val="2"/>
            <w:tcBorders>
              <w:top w:val="nil"/>
              <w:left w:val="single" w:sz="4" w:space="0" w:color="auto"/>
              <w:bottom w:val="single" w:sz="4" w:space="0" w:color="auto"/>
              <w:right w:val="single" w:sz="4" w:space="0" w:color="auto"/>
            </w:tcBorders>
            <w:vAlign w:val="center"/>
          </w:tcPr>
          <w:p w14:paraId="7FDDC7FE" w14:textId="77777777"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4.89 (2.30, 10.38)</w:t>
            </w:r>
          </w:p>
        </w:tc>
      </w:tr>
      <w:tr w:rsidR="00705899" w:rsidRPr="00401F2D" w14:paraId="67645288" w14:textId="77777777" w:rsidTr="00705899">
        <w:tblPrEx>
          <w:shd w:val="clear" w:color="auto" w:fill="D9D9D9" w:themeFill="background1" w:themeFillShade="D9"/>
        </w:tblPrEx>
        <w:trPr>
          <w:trHeight w:val="170"/>
        </w:trPr>
        <w:tc>
          <w:tcPr>
            <w:tcW w:w="5000" w:type="pct"/>
            <w:gridSpan w:val="9"/>
            <w:tcBorders>
              <w:bottom w:val="single" w:sz="4" w:space="0" w:color="auto"/>
              <w:right w:val="single" w:sz="4" w:space="0" w:color="auto"/>
            </w:tcBorders>
            <w:shd w:val="clear" w:color="auto" w:fill="auto"/>
            <w:vAlign w:val="center"/>
          </w:tcPr>
          <w:p w14:paraId="71265A55" w14:textId="7F591D60" w:rsidR="00705899" w:rsidRPr="00BD47FB" w:rsidRDefault="00705899" w:rsidP="007B6B2C">
            <w:pPr>
              <w:keepNext/>
              <w:keepLines/>
              <w:jc w:val="left"/>
              <w:rPr>
                <w:rFonts w:ascii="Arial Narrow" w:hAnsi="Arial Narrow"/>
                <w:b/>
                <w:bCs/>
                <w:iCs/>
                <w:sz w:val="18"/>
                <w:szCs w:val="18"/>
              </w:rPr>
            </w:pPr>
            <w:r w:rsidRPr="00BD47FB">
              <w:rPr>
                <w:rFonts w:ascii="Arial Narrow" w:hAnsi="Arial Narrow"/>
                <w:b/>
                <w:bCs/>
                <w:iCs/>
                <w:sz w:val="18"/>
                <w:szCs w:val="18"/>
              </w:rPr>
              <w:t>Clinical response │clinical response following induction treatment (maintenance therapy) MMS</w:t>
            </w:r>
          </w:p>
        </w:tc>
      </w:tr>
      <w:tr w:rsidR="00705899" w:rsidRPr="00401F2D" w14:paraId="7AC9F81E" w14:textId="77777777" w:rsidTr="00705899">
        <w:tblPrEx>
          <w:shd w:val="clear" w:color="auto" w:fill="D9D9D9" w:themeFill="background1" w:themeFillShade="D9"/>
        </w:tblPrEx>
        <w:trPr>
          <w:trHeight w:val="170"/>
        </w:trPr>
        <w:tc>
          <w:tcPr>
            <w:tcW w:w="1412" w:type="pct"/>
            <w:tcBorders>
              <w:bottom w:val="nil"/>
            </w:tcBorders>
            <w:shd w:val="clear" w:color="auto" w:fill="auto"/>
            <w:vAlign w:val="center"/>
          </w:tcPr>
          <w:p w14:paraId="0EBF1BBA" w14:textId="77777777" w:rsidR="00705899" w:rsidRPr="00BD47FB" w:rsidRDefault="00705899" w:rsidP="007B6B2C">
            <w:pPr>
              <w:keepNext/>
              <w:keepLines/>
              <w:jc w:val="left"/>
              <w:rPr>
                <w:rFonts w:ascii="Arial Narrow" w:hAnsi="Arial Narrow"/>
                <w:iCs/>
                <w:sz w:val="18"/>
                <w:szCs w:val="18"/>
                <w:lang w:val="fr-FR"/>
              </w:rPr>
            </w:pPr>
            <w:r w:rsidRPr="00BD47FB">
              <w:rPr>
                <w:rFonts w:ascii="Arial Narrow" w:hAnsi="Arial Narrow"/>
                <w:iCs/>
                <w:sz w:val="18"/>
                <w:szCs w:val="18"/>
              </w:rPr>
              <w:t>LUCENT 2 Wk52, ITT</w:t>
            </w:r>
          </w:p>
        </w:tc>
        <w:tc>
          <w:tcPr>
            <w:tcW w:w="694" w:type="pct"/>
            <w:tcBorders>
              <w:bottom w:val="nil"/>
            </w:tcBorders>
            <w:shd w:val="clear" w:color="auto" w:fill="auto"/>
            <w:vAlign w:val="center"/>
          </w:tcPr>
          <w:p w14:paraId="54976CC3"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293/365 (80.3)</w:t>
            </w:r>
          </w:p>
        </w:tc>
        <w:tc>
          <w:tcPr>
            <w:tcW w:w="687" w:type="pct"/>
            <w:tcBorders>
              <w:bottom w:val="nil"/>
              <w:right w:val="single" w:sz="4" w:space="0" w:color="auto"/>
            </w:tcBorders>
            <w:shd w:val="clear" w:color="auto" w:fill="auto"/>
            <w:vAlign w:val="center"/>
          </w:tcPr>
          <w:p w14:paraId="50344589"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88/179 (49.2)</w:t>
            </w:r>
          </w:p>
        </w:tc>
        <w:tc>
          <w:tcPr>
            <w:tcW w:w="736" w:type="pct"/>
            <w:gridSpan w:val="2"/>
            <w:tcBorders>
              <w:top w:val="single" w:sz="4" w:space="0" w:color="auto"/>
              <w:left w:val="single" w:sz="4" w:space="0" w:color="auto"/>
              <w:bottom w:val="nil"/>
              <w:right w:val="single" w:sz="4" w:space="0" w:color="auto"/>
            </w:tcBorders>
            <w:shd w:val="clear" w:color="auto" w:fill="auto"/>
            <w:vAlign w:val="center"/>
          </w:tcPr>
          <w:p w14:paraId="005C8AAA" w14:textId="38C9C07F"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1.63 (1.40,</w:t>
            </w:r>
            <w:r w:rsidR="002C533D">
              <w:rPr>
                <w:rFonts w:ascii="Arial Narrow" w:hAnsi="Arial Narrow"/>
                <w:b/>
                <w:bCs/>
                <w:iCs/>
                <w:sz w:val="18"/>
                <w:szCs w:val="18"/>
              </w:rPr>
              <w:t xml:space="preserve"> </w:t>
            </w:r>
            <w:r w:rsidRPr="00BD47FB">
              <w:rPr>
                <w:rFonts w:ascii="Arial Narrow" w:hAnsi="Arial Narrow"/>
                <w:b/>
                <w:bCs/>
                <w:iCs/>
                <w:sz w:val="18"/>
                <w:szCs w:val="18"/>
              </w:rPr>
              <w:t>1.91)</w:t>
            </w:r>
          </w:p>
        </w:tc>
        <w:tc>
          <w:tcPr>
            <w:tcW w:w="736" w:type="pct"/>
            <w:gridSpan w:val="2"/>
            <w:tcBorders>
              <w:top w:val="single" w:sz="4" w:space="0" w:color="auto"/>
              <w:left w:val="single" w:sz="4" w:space="0" w:color="auto"/>
              <w:bottom w:val="nil"/>
              <w:right w:val="single" w:sz="4" w:space="0" w:color="auto"/>
            </w:tcBorders>
            <w:shd w:val="clear" w:color="auto" w:fill="auto"/>
            <w:vAlign w:val="center"/>
          </w:tcPr>
          <w:p w14:paraId="794052D4" w14:textId="2EEA8BE0"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0.31 (0.23,</w:t>
            </w:r>
            <w:r w:rsidR="002C533D">
              <w:rPr>
                <w:rFonts w:ascii="Arial Narrow" w:hAnsi="Arial Narrow"/>
                <w:b/>
                <w:bCs/>
                <w:iCs/>
                <w:sz w:val="18"/>
                <w:szCs w:val="18"/>
              </w:rPr>
              <w:t xml:space="preserve"> </w:t>
            </w:r>
            <w:r w:rsidRPr="00BD47FB">
              <w:rPr>
                <w:rFonts w:ascii="Arial Narrow" w:hAnsi="Arial Narrow"/>
                <w:b/>
                <w:bCs/>
                <w:iCs/>
                <w:sz w:val="18"/>
                <w:szCs w:val="18"/>
              </w:rPr>
              <w:t>0.39)</w:t>
            </w:r>
          </w:p>
        </w:tc>
        <w:tc>
          <w:tcPr>
            <w:tcW w:w="734" w:type="pct"/>
            <w:gridSpan w:val="2"/>
            <w:tcBorders>
              <w:top w:val="single" w:sz="4" w:space="0" w:color="auto"/>
              <w:left w:val="single" w:sz="4" w:space="0" w:color="auto"/>
              <w:bottom w:val="nil"/>
              <w:right w:val="single" w:sz="4" w:space="0" w:color="auto"/>
            </w:tcBorders>
          </w:tcPr>
          <w:p w14:paraId="33B67C43" w14:textId="7704CBA4"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4.21 (2.85,</w:t>
            </w:r>
            <w:r w:rsidR="002C533D">
              <w:rPr>
                <w:rFonts w:ascii="Arial Narrow" w:hAnsi="Arial Narrow"/>
                <w:b/>
                <w:bCs/>
                <w:iCs/>
                <w:sz w:val="18"/>
                <w:szCs w:val="18"/>
              </w:rPr>
              <w:t xml:space="preserve"> </w:t>
            </w:r>
            <w:r w:rsidRPr="00BD47FB">
              <w:rPr>
                <w:rFonts w:ascii="Arial Narrow" w:hAnsi="Arial Narrow"/>
                <w:b/>
                <w:bCs/>
                <w:iCs/>
                <w:sz w:val="18"/>
                <w:szCs w:val="18"/>
              </w:rPr>
              <w:t>6.22)</w:t>
            </w:r>
          </w:p>
        </w:tc>
      </w:tr>
      <w:tr w:rsidR="00705899" w:rsidRPr="00401F2D" w14:paraId="356316EB" w14:textId="77777777" w:rsidTr="00705899">
        <w:tblPrEx>
          <w:shd w:val="clear" w:color="auto" w:fill="D9D9D9" w:themeFill="background1" w:themeFillShade="D9"/>
        </w:tblPrEx>
        <w:trPr>
          <w:trHeight w:val="170"/>
        </w:trPr>
        <w:tc>
          <w:tcPr>
            <w:tcW w:w="1412" w:type="pct"/>
            <w:tcBorders>
              <w:top w:val="nil"/>
              <w:bottom w:val="nil"/>
            </w:tcBorders>
            <w:shd w:val="clear" w:color="auto" w:fill="auto"/>
            <w:vAlign w:val="center"/>
          </w:tcPr>
          <w:p w14:paraId="314098AD" w14:textId="1675CBDB" w:rsidR="00705899" w:rsidRPr="00BD47FB" w:rsidRDefault="00705899" w:rsidP="007B6B2C">
            <w:pPr>
              <w:keepNext/>
              <w:keepLines/>
              <w:jc w:val="left"/>
              <w:rPr>
                <w:rFonts w:ascii="Arial Narrow" w:hAnsi="Arial Narrow"/>
                <w:iCs/>
                <w:sz w:val="18"/>
                <w:szCs w:val="18"/>
                <w:lang w:val="fr-FR"/>
              </w:rPr>
            </w:pPr>
            <w:r w:rsidRPr="00BD47FB">
              <w:rPr>
                <w:rFonts w:ascii="Arial Narrow" w:hAnsi="Arial Narrow"/>
                <w:iCs/>
                <w:sz w:val="18"/>
                <w:szCs w:val="18"/>
              </w:rPr>
              <w:t>LUCENT 2 Wk52, bDMARD NF</w:t>
            </w:r>
            <w:r w:rsidRPr="00BD47FB">
              <w:rPr>
                <w:rFonts w:ascii="Arial Narrow" w:hAnsi="Arial Narrow"/>
                <w:iCs/>
                <w:sz w:val="18"/>
                <w:szCs w:val="18"/>
                <w:vertAlign w:val="superscript"/>
              </w:rPr>
              <w:t>f</w:t>
            </w:r>
          </w:p>
        </w:tc>
        <w:tc>
          <w:tcPr>
            <w:tcW w:w="694" w:type="pct"/>
            <w:tcBorders>
              <w:top w:val="nil"/>
              <w:bottom w:val="nil"/>
            </w:tcBorders>
            <w:shd w:val="clear" w:color="auto" w:fill="auto"/>
            <w:vAlign w:val="center"/>
          </w:tcPr>
          <w:p w14:paraId="162DEF67"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202/237 (85.2)</w:t>
            </w:r>
          </w:p>
        </w:tc>
        <w:tc>
          <w:tcPr>
            <w:tcW w:w="687" w:type="pct"/>
            <w:tcBorders>
              <w:top w:val="nil"/>
              <w:bottom w:val="nil"/>
              <w:right w:val="single" w:sz="4" w:space="0" w:color="auto"/>
            </w:tcBorders>
            <w:shd w:val="clear" w:color="auto" w:fill="auto"/>
            <w:vAlign w:val="center"/>
          </w:tcPr>
          <w:p w14:paraId="7B4611FD"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62/115 (53.9)</w:t>
            </w:r>
          </w:p>
        </w:tc>
        <w:tc>
          <w:tcPr>
            <w:tcW w:w="736" w:type="pct"/>
            <w:gridSpan w:val="2"/>
            <w:tcBorders>
              <w:top w:val="nil"/>
              <w:left w:val="single" w:sz="4" w:space="0" w:color="auto"/>
              <w:bottom w:val="nil"/>
              <w:right w:val="single" w:sz="4" w:space="0" w:color="auto"/>
            </w:tcBorders>
            <w:shd w:val="clear" w:color="auto" w:fill="auto"/>
            <w:vAlign w:val="center"/>
          </w:tcPr>
          <w:p w14:paraId="4A2D135E" w14:textId="0E05466C"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1.58 (1.32,</w:t>
            </w:r>
            <w:r w:rsidR="002C533D">
              <w:rPr>
                <w:rFonts w:ascii="Arial Narrow" w:hAnsi="Arial Narrow"/>
                <w:b/>
                <w:bCs/>
                <w:iCs/>
                <w:sz w:val="18"/>
                <w:szCs w:val="18"/>
              </w:rPr>
              <w:t xml:space="preserve"> </w:t>
            </w:r>
            <w:r w:rsidRPr="00BD47FB">
              <w:rPr>
                <w:rFonts w:ascii="Arial Narrow" w:hAnsi="Arial Narrow"/>
                <w:b/>
                <w:bCs/>
                <w:iCs/>
                <w:sz w:val="18"/>
                <w:szCs w:val="18"/>
              </w:rPr>
              <w:t>1.89)</w:t>
            </w:r>
          </w:p>
        </w:tc>
        <w:tc>
          <w:tcPr>
            <w:tcW w:w="736" w:type="pct"/>
            <w:gridSpan w:val="2"/>
            <w:tcBorders>
              <w:top w:val="nil"/>
              <w:left w:val="single" w:sz="4" w:space="0" w:color="auto"/>
              <w:bottom w:val="nil"/>
              <w:right w:val="single" w:sz="4" w:space="0" w:color="auto"/>
            </w:tcBorders>
            <w:shd w:val="clear" w:color="auto" w:fill="auto"/>
            <w:vAlign w:val="center"/>
          </w:tcPr>
          <w:p w14:paraId="3E4CCBC0" w14:textId="7B6B49D0"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0.31 (0.21,</w:t>
            </w:r>
            <w:r w:rsidR="002C533D">
              <w:rPr>
                <w:rFonts w:ascii="Arial Narrow" w:hAnsi="Arial Narrow"/>
                <w:b/>
                <w:bCs/>
                <w:iCs/>
                <w:sz w:val="18"/>
                <w:szCs w:val="18"/>
              </w:rPr>
              <w:t xml:space="preserve"> </w:t>
            </w:r>
            <w:r w:rsidRPr="00BD47FB">
              <w:rPr>
                <w:rFonts w:ascii="Arial Narrow" w:hAnsi="Arial Narrow"/>
                <w:b/>
                <w:bCs/>
                <w:iCs/>
                <w:sz w:val="18"/>
                <w:szCs w:val="18"/>
              </w:rPr>
              <w:t>0.41)</w:t>
            </w:r>
          </w:p>
        </w:tc>
        <w:tc>
          <w:tcPr>
            <w:tcW w:w="734" w:type="pct"/>
            <w:gridSpan w:val="2"/>
            <w:tcBorders>
              <w:top w:val="nil"/>
              <w:left w:val="single" w:sz="4" w:space="0" w:color="auto"/>
              <w:bottom w:val="nil"/>
              <w:right w:val="single" w:sz="4" w:space="0" w:color="auto"/>
            </w:tcBorders>
          </w:tcPr>
          <w:p w14:paraId="23314CFC" w14:textId="5DFBB3AF"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4.93 (2.95,</w:t>
            </w:r>
            <w:r w:rsidR="002C533D">
              <w:rPr>
                <w:rFonts w:ascii="Arial Narrow" w:hAnsi="Arial Narrow"/>
                <w:b/>
                <w:bCs/>
                <w:iCs/>
                <w:sz w:val="18"/>
                <w:szCs w:val="18"/>
              </w:rPr>
              <w:t xml:space="preserve"> </w:t>
            </w:r>
            <w:r w:rsidRPr="00BD47FB">
              <w:rPr>
                <w:rFonts w:ascii="Arial Narrow" w:hAnsi="Arial Narrow"/>
                <w:b/>
                <w:bCs/>
                <w:iCs/>
                <w:sz w:val="18"/>
                <w:szCs w:val="18"/>
              </w:rPr>
              <w:t>8.24)</w:t>
            </w:r>
          </w:p>
        </w:tc>
      </w:tr>
      <w:tr w:rsidR="00705899" w:rsidRPr="00401F2D" w14:paraId="061EB6E7" w14:textId="77777777" w:rsidTr="00705899">
        <w:tblPrEx>
          <w:shd w:val="clear" w:color="auto" w:fill="D9D9D9" w:themeFill="background1" w:themeFillShade="D9"/>
        </w:tblPrEx>
        <w:trPr>
          <w:trHeight w:val="170"/>
        </w:trPr>
        <w:tc>
          <w:tcPr>
            <w:tcW w:w="1412" w:type="pct"/>
            <w:tcBorders>
              <w:top w:val="nil"/>
              <w:bottom w:val="nil"/>
            </w:tcBorders>
            <w:shd w:val="clear" w:color="auto" w:fill="auto"/>
            <w:vAlign w:val="center"/>
          </w:tcPr>
          <w:p w14:paraId="35731821" w14:textId="7DDD4F1E" w:rsidR="00705899" w:rsidRPr="00BD47FB" w:rsidRDefault="00705899" w:rsidP="007B6B2C">
            <w:pPr>
              <w:keepNext/>
              <w:keepLines/>
              <w:jc w:val="left"/>
              <w:rPr>
                <w:rFonts w:ascii="Arial Narrow" w:hAnsi="Arial Narrow"/>
                <w:iCs/>
                <w:sz w:val="18"/>
                <w:szCs w:val="18"/>
                <w:lang w:val="fr-FR"/>
              </w:rPr>
            </w:pPr>
            <w:r w:rsidRPr="00BD47FB">
              <w:rPr>
                <w:rFonts w:ascii="Arial Narrow" w:hAnsi="Arial Narrow"/>
                <w:iCs/>
                <w:sz w:val="18"/>
                <w:szCs w:val="18"/>
              </w:rPr>
              <w:t>LUCENT 2 Wk52, bDMARD fail</w:t>
            </w:r>
            <w:r w:rsidRPr="00BD47FB">
              <w:rPr>
                <w:rFonts w:ascii="Arial Narrow" w:hAnsi="Arial Narrow"/>
                <w:iCs/>
                <w:sz w:val="18"/>
                <w:szCs w:val="18"/>
                <w:vertAlign w:val="superscript"/>
              </w:rPr>
              <w:t>g</w:t>
            </w:r>
          </w:p>
        </w:tc>
        <w:tc>
          <w:tcPr>
            <w:tcW w:w="694" w:type="pct"/>
            <w:tcBorders>
              <w:top w:val="nil"/>
              <w:bottom w:val="nil"/>
            </w:tcBorders>
            <w:shd w:val="clear" w:color="auto" w:fill="auto"/>
            <w:vAlign w:val="center"/>
          </w:tcPr>
          <w:p w14:paraId="1B716CE7"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91/128 (71.1)</w:t>
            </w:r>
          </w:p>
        </w:tc>
        <w:tc>
          <w:tcPr>
            <w:tcW w:w="687" w:type="pct"/>
            <w:tcBorders>
              <w:top w:val="nil"/>
              <w:bottom w:val="nil"/>
              <w:right w:val="single" w:sz="4" w:space="0" w:color="auto"/>
            </w:tcBorders>
            <w:shd w:val="clear" w:color="auto" w:fill="auto"/>
            <w:vAlign w:val="center"/>
          </w:tcPr>
          <w:p w14:paraId="696B9542"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26/64 (40.6)</w:t>
            </w:r>
          </w:p>
        </w:tc>
        <w:tc>
          <w:tcPr>
            <w:tcW w:w="736" w:type="pct"/>
            <w:gridSpan w:val="2"/>
            <w:tcBorders>
              <w:top w:val="nil"/>
              <w:left w:val="single" w:sz="4" w:space="0" w:color="auto"/>
              <w:bottom w:val="nil"/>
              <w:right w:val="single" w:sz="4" w:space="0" w:color="auto"/>
            </w:tcBorders>
            <w:shd w:val="clear" w:color="auto" w:fill="auto"/>
            <w:vAlign w:val="center"/>
          </w:tcPr>
          <w:p w14:paraId="5F49FFC8" w14:textId="1C293BFC"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1.75 (1.28,</w:t>
            </w:r>
            <w:r w:rsidR="002C533D">
              <w:rPr>
                <w:rFonts w:ascii="Arial Narrow" w:hAnsi="Arial Narrow"/>
                <w:b/>
                <w:bCs/>
                <w:iCs/>
                <w:sz w:val="18"/>
                <w:szCs w:val="18"/>
              </w:rPr>
              <w:t xml:space="preserve"> </w:t>
            </w:r>
            <w:r w:rsidRPr="00BD47FB">
              <w:rPr>
                <w:rFonts w:ascii="Arial Narrow" w:hAnsi="Arial Narrow"/>
                <w:b/>
                <w:bCs/>
                <w:iCs/>
                <w:sz w:val="18"/>
                <w:szCs w:val="18"/>
              </w:rPr>
              <w:t>2.40)</w:t>
            </w:r>
          </w:p>
        </w:tc>
        <w:tc>
          <w:tcPr>
            <w:tcW w:w="736" w:type="pct"/>
            <w:gridSpan w:val="2"/>
            <w:tcBorders>
              <w:top w:val="nil"/>
              <w:left w:val="single" w:sz="4" w:space="0" w:color="auto"/>
              <w:bottom w:val="nil"/>
              <w:right w:val="single" w:sz="4" w:space="0" w:color="auto"/>
            </w:tcBorders>
            <w:shd w:val="clear" w:color="auto" w:fill="auto"/>
            <w:vAlign w:val="center"/>
          </w:tcPr>
          <w:p w14:paraId="34E690B2" w14:textId="74EEEC3D"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0.30 (0.16,</w:t>
            </w:r>
            <w:r w:rsidR="002C533D">
              <w:rPr>
                <w:rFonts w:ascii="Arial Narrow" w:hAnsi="Arial Narrow"/>
                <w:b/>
                <w:bCs/>
                <w:iCs/>
                <w:sz w:val="18"/>
                <w:szCs w:val="18"/>
              </w:rPr>
              <w:t xml:space="preserve"> </w:t>
            </w:r>
            <w:r w:rsidRPr="00BD47FB">
              <w:rPr>
                <w:rFonts w:ascii="Arial Narrow" w:hAnsi="Arial Narrow"/>
                <w:b/>
                <w:bCs/>
                <w:iCs/>
                <w:sz w:val="18"/>
                <w:szCs w:val="18"/>
              </w:rPr>
              <w:t>0.45)</w:t>
            </w:r>
          </w:p>
        </w:tc>
        <w:tc>
          <w:tcPr>
            <w:tcW w:w="734" w:type="pct"/>
            <w:gridSpan w:val="2"/>
            <w:tcBorders>
              <w:top w:val="nil"/>
              <w:left w:val="single" w:sz="4" w:space="0" w:color="auto"/>
              <w:bottom w:val="nil"/>
              <w:right w:val="single" w:sz="4" w:space="0" w:color="auto"/>
            </w:tcBorders>
          </w:tcPr>
          <w:p w14:paraId="0C49CBDE" w14:textId="0CE9DB1F"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3.59 (1.92,</w:t>
            </w:r>
            <w:r w:rsidR="002C533D">
              <w:rPr>
                <w:rFonts w:ascii="Arial Narrow" w:hAnsi="Arial Narrow"/>
                <w:b/>
                <w:bCs/>
                <w:iCs/>
                <w:sz w:val="18"/>
                <w:szCs w:val="18"/>
              </w:rPr>
              <w:t xml:space="preserve"> </w:t>
            </w:r>
            <w:r w:rsidRPr="00BD47FB">
              <w:rPr>
                <w:rFonts w:ascii="Arial Narrow" w:hAnsi="Arial Narrow"/>
                <w:b/>
                <w:bCs/>
                <w:iCs/>
                <w:sz w:val="18"/>
                <w:szCs w:val="18"/>
              </w:rPr>
              <w:t>6.74)</w:t>
            </w:r>
          </w:p>
        </w:tc>
      </w:tr>
      <w:tr w:rsidR="00705899" w:rsidRPr="00401F2D" w14:paraId="23C90C43" w14:textId="77777777" w:rsidTr="00705899">
        <w:tblPrEx>
          <w:shd w:val="clear" w:color="auto" w:fill="D9D9D9" w:themeFill="background1" w:themeFillShade="D9"/>
        </w:tblPrEx>
        <w:trPr>
          <w:trHeight w:val="170"/>
        </w:trPr>
        <w:tc>
          <w:tcPr>
            <w:tcW w:w="1412" w:type="pct"/>
            <w:tcBorders>
              <w:top w:val="nil"/>
              <w:bottom w:val="nil"/>
            </w:tcBorders>
            <w:shd w:val="clear" w:color="auto" w:fill="auto"/>
            <w:vAlign w:val="center"/>
          </w:tcPr>
          <w:p w14:paraId="635B78AF" w14:textId="77777777" w:rsidR="00705899" w:rsidRPr="00BD47FB" w:rsidRDefault="00705899" w:rsidP="007B6B2C">
            <w:pPr>
              <w:keepNext/>
              <w:keepLines/>
              <w:jc w:val="left"/>
              <w:rPr>
                <w:rFonts w:ascii="Arial Narrow" w:hAnsi="Arial Narrow"/>
                <w:iCs/>
                <w:sz w:val="18"/>
                <w:szCs w:val="18"/>
              </w:rPr>
            </w:pPr>
            <w:r w:rsidRPr="00BD47FB">
              <w:rPr>
                <w:rFonts w:ascii="Arial Narrow" w:hAnsi="Arial Narrow"/>
                <w:iCs/>
                <w:sz w:val="18"/>
                <w:szCs w:val="18"/>
              </w:rPr>
              <w:t>LUCENT 2 Wk52, bDMARD-naïve</w:t>
            </w:r>
          </w:p>
        </w:tc>
        <w:tc>
          <w:tcPr>
            <w:tcW w:w="694" w:type="pct"/>
            <w:tcBorders>
              <w:top w:val="nil"/>
              <w:bottom w:val="nil"/>
            </w:tcBorders>
            <w:shd w:val="clear" w:color="auto" w:fill="auto"/>
            <w:vAlign w:val="center"/>
          </w:tcPr>
          <w:p w14:paraId="4731B754"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687" w:type="pct"/>
            <w:tcBorders>
              <w:top w:val="nil"/>
              <w:bottom w:val="nil"/>
              <w:right w:val="single" w:sz="4" w:space="0" w:color="auto"/>
            </w:tcBorders>
            <w:shd w:val="clear" w:color="auto" w:fill="auto"/>
            <w:vAlign w:val="center"/>
          </w:tcPr>
          <w:p w14:paraId="5952DE9E"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736" w:type="pct"/>
            <w:gridSpan w:val="2"/>
            <w:tcBorders>
              <w:top w:val="nil"/>
              <w:left w:val="single" w:sz="4" w:space="0" w:color="auto"/>
              <w:bottom w:val="nil"/>
              <w:right w:val="single" w:sz="4" w:space="0" w:color="auto"/>
            </w:tcBorders>
            <w:shd w:val="clear" w:color="auto" w:fill="auto"/>
            <w:vAlign w:val="center"/>
          </w:tcPr>
          <w:p w14:paraId="5B3329B7" w14:textId="77777777"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w:t>
            </w:r>
          </w:p>
        </w:tc>
        <w:tc>
          <w:tcPr>
            <w:tcW w:w="736" w:type="pct"/>
            <w:gridSpan w:val="2"/>
            <w:tcBorders>
              <w:top w:val="nil"/>
              <w:left w:val="single" w:sz="4" w:space="0" w:color="auto"/>
              <w:bottom w:val="nil"/>
              <w:right w:val="single" w:sz="4" w:space="0" w:color="auto"/>
            </w:tcBorders>
            <w:shd w:val="clear" w:color="auto" w:fill="auto"/>
            <w:vAlign w:val="center"/>
          </w:tcPr>
          <w:p w14:paraId="54D434E9" w14:textId="77777777"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w:t>
            </w:r>
          </w:p>
        </w:tc>
        <w:tc>
          <w:tcPr>
            <w:tcW w:w="734" w:type="pct"/>
            <w:gridSpan w:val="2"/>
            <w:tcBorders>
              <w:top w:val="nil"/>
              <w:left w:val="single" w:sz="4" w:space="0" w:color="auto"/>
              <w:bottom w:val="nil"/>
              <w:right w:val="single" w:sz="4" w:space="0" w:color="auto"/>
            </w:tcBorders>
          </w:tcPr>
          <w:p w14:paraId="6BFEA9E8" w14:textId="77777777"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w:t>
            </w:r>
          </w:p>
        </w:tc>
      </w:tr>
      <w:tr w:rsidR="00705899" w:rsidRPr="00401F2D" w14:paraId="187128B9" w14:textId="77777777" w:rsidTr="00705899">
        <w:tblPrEx>
          <w:shd w:val="clear" w:color="auto" w:fill="D9D9D9" w:themeFill="background1" w:themeFillShade="D9"/>
        </w:tblPrEx>
        <w:trPr>
          <w:trHeight w:val="170"/>
        </w:trPr>
        <w:tc>
          <w:tcPr>
            <w:tcW w:w="1412" w:type="pct"/>
            <w:tcBorders>
              <w:top w:val="nil"/>
            </w:tcBorders>
            <w:shd w:val="clear" w:color="auto" w:fill="auto"/>
            <w:vAlign w:val="center"/>
          </w:tcPr>
          <w:p w14:paraId="72E83E3A" w14:textId="17BC3003" w:rsidR="00705899" w:rsidRPr="00BD47FB" w:rsidRDefault="00705899" w:rsidP="007B6B2C">
            <w:pPr>
              <w:keepNext/>
              <w:keepLines/>
              <w:jc w:val="left"/>
              <w:rPr>
                <w:rFonts w:ascii="Arial Narrow" w:hAnsi="Arial Narrow"/>
                <w:iCs/>
                <w:sz w:val="18"/>
                <w:szCs w:val="18"/>
              </w:rPr>
            </w:pPr>
            <w:r w:rsidRPr="00BD47FB">
              <w:rPr>
                <w:rFonts w:ascii="Arial Narrow" w:hAnsi="Arial Narrow"/>
                <w:iCs/>
                <w:sz w:val="18"/>
                <w:szCs w:val="18"/>
              </w:rPr>
              <w:t>LUCENT 2 Wk52, bDMARD-exp</w:t>
            </w:r>
            <w:r w:rsidRPr="00BD47FB">
              <w:rPr>
                <w:rFonts w:ascii="Arial Narrow" w:hAnsi="Arial Narrow"/>
                <w:iCs/>
                <w:sz w:val="18"/>
                <w:szCs w:val="18"/>
                <w:vertAlign w:val="superscript"/>
              </w:rPr>
              <w:t>h</w:t>
            </w:r>
          </w:p>
        </w:tc>
        <w:tc>
          <w:tcPr>
            <w:tcW w:w="694" w:type="pct"/>
            <w:tcBorders>
              <w:top w:val="nil"/>
            </w:tcBorders>
            <w:shd w:val="clear" w:color="auto" w:fill="auto"/>
            <w:vAlign w:val="center"/>
          </w:tcPr>
          <w:p w14:paraId="52A839BF"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687" w:type="pct"/>
            <w:tcBorders>
              <w:top w:val="nil"/>
              <w:right w:val="single" w:sz="4" w:space="0" w:color="auto"/>
            </w:tcBorders>
            <w:shd w:val="clear" w:color="auto" w:fill="auto"/>
            <w:vAlign w:val="center"/>
          </w:tcPr>
          <w:p w14:paraId="1ABC25D6" w14:textId="77777777" w:rsidR="00705899" w:rsidRPr="00BD47FB" w:rsidRDefault="00705899" w:rsidP="007B6B2C">
            <w:pPr>
              <w:keepNext/>
              <w:keepLines/>
              <w:jc w:val="center"/>
              <w:rPr>
                <w:rFonts w:ascii="Arial Narrow" w:hAnsi="Arial Narrow"/>
                <w:iCs/>
                <w:sz w:val="18"/>
                <w:szCs w:val="18"/>
              </w:rPr>
            </w:pPr>
            <w:r w:rsidRPr="00BD47FB">
              <w:rPr>
                <w:rFonts w:ascii="Arial Narrow" w:hAnsi="Arial Narrow"/>
                <w:iCs/>
                <w:sz w:val="18"/>
                <w:szCs w:val="18"/>
              </w:rPr>
              <w:t>NR</w:t>
            </w:r>
          </w:p>
        </w:tc>
        <w:tc>
          <w:tcPr>
            <w:tcW w:w="736" w:type="pct"/>
            <w:gridSpan w:val="2"/>
            <w:tcBorders>
              <w:top w:val="nil"/>
              <w:left w:val="single" w:sz="4" w:space="0" w:color="auto"/>
              <w:bottom w:val="single" w:sz="4" w:space="0" w:color="auto"/>
              <w:right w:val="single" w:sz="4" w:space="0" w:color="auto"/>
            </w:tcBorders>
            <w:shd w:val="clear" w:color="auto" w:fill="auto"/>
            <w:vAlign w:val="center"/>
          </w:tcPr>
          <w:p w14:paraId="3F04473A" w14:textId="77777777"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w:t>
            </w:r>
          </w:p>
        </w:tc>
        <w:tc>
          <w:tcPr>
            <w:tcW w:w="736" w:type="pct"/>
            <w:gridSpan w:val="2"/>
            <w:tcBorders>
              <w:top w:val="nil"/>
              <w:left w:val="single" w:sz="4" w:space="0" w:color="auto"/>
              <w:bottom w:val="single" w:sz="4" w:space="0" w:color="auto"/>
              <w:right w:val="single" w:sz="4" w:space="0" w:color="auto"/>
            </w:tcBorders>
            <w:shd w:val="clear" w:color="auto" w:fill="auto"/>
            <w:vAlign w:val="center"/>
          </w:tcPr>
          <w:p w14:paraId="222D56A9" w14:textId="77777777"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w:t>
            </w:r>
          </w:p>
        </w:tc>
        <w:tc>
          <w:tcPr>
            <w:tcW w:w="734" w:type="pct"/>
            <w:gridSpan w:val="2"/>
            <w:tcBorders>
              <w:top w:val="nil"/>
              <w:left w:val="single" w:sz="4" w:space="0" w:color="auto"/>
              <w:bottom w:val="single" w:sz="4" w:space="0" w:color="auto"/>
              <w:right w:val="single" w:sz="4" w:space="0" w:color="auto"/>
            </w:tcBorders>
          </w:tcPr>
          <w:p w14:paraId="40625C06" w14:textId="77777777" w:rsidR="00705899" w:rsidRPr="00BD47FB" w:rsidRDefault="00705899" w:rsidP="007B6B2C">
            <w:pPr>
              <w:keepNext/>
              <w:keepLines/>
              <w:jc w:val="center"/>
              <w:rPr>
                <w:rFonts w:ascii="Arial Narrow" w:hAnsi="Arial Narrow"/>
                <w:b/>
                <w:bCs/>
                <w:iCs/>
                <w:sz w:val="18"/>
                <w:szCs w:val="18"/>
              </w:rPr>
            </w:pPr>
            <w:r w:rsidRPr="00BD47FB">
              <w:rPr>
                <w:rFonts w:ascii="Arial Narrow" w:hAnsi="Arial Narrow"/>
                <w:b/>
                <w:bCs/>
                <w:iCs/>
                <w:sz w:val="18"/>
                <w:szCs w:val="18"/>
              </w:rPr>
              <w:t>-</w:t>
            </w:r>
          </w:p>
        </w:tc>
      </w:tr>
    </w:tbl>
    <w:p w14:paraId="1E12972A" w14:textId="1B28DE74" w:rsidR="00405470" w:rsidRDefault="00405470" w:rsidP="007B6B2C">
      <w:pPr>
        <w:pStyle w:val="3-BodyText"/>
        <w:keepNext/>
        <w:keepLines/>
        <w:numPr>
          <w:ilvl w:val="0"/>
          <w:numId w:val="0"/>
        </w:numPr>
        <w:spacing w:after="0"/>
        <w:rPr>
          <w:rFonts w:ascii="Arial Narrow" w:hAnsi="Arial Narrow"/>
          <w:sz w:val="18"/>
          <w:szCs w:val="16"/>
        </w:rPr>
      </w:pPr>
      <w:r w:rsidRPr="00C1699C">
        <w:rPr>
          <w:rFonts w:ascii="Arial Narrow" w:hAnsi="Arial Narrow"/>
          <w:sz w:val="18"/>
          <w:szCs w:val="16"/>
        </w:rPr>
        <w:t>Source: Table</w:t>
      </w:r>
      <w:r>
        <w:rPr>
          <w:rFonts w:ascii="Arial Narrow" w:hAnsi="Arial Narrow"/>
          <w:sz w:val="18"/>
          <w:szCs w:val="16"/>
        </w:rPr>
        <w:t>s</w:t>
      </w:r>
      <w:r w:rsidRPr="00C1699C">
        <w:rPr>
          <w:rFonts w:ascii="Arial Narrow" w:hAnsi="Arial Narrow"/>
          <w:sz w:val="18"/>
          <w:szCs w:val="16"/>
        </w:rPr>
        <w:t xml:space="preserve"> 45</w:t>
      </w:r>
      <w:r>
        <w:rPr>
          <w:rFonts w:ascii="Arial Narrow" w:hAnsi="Arial Narrow"/>
          <w:sz w:val="18"/>
          <w:szCs w:val="16"/>
        </w:rPr>
        <w:t>-46</w:t>
      </w:r>
      <w:r w:rsidRPr="00C1699C">
        <w:rPr>
          <w:rFonts w:ascii="Arial Narrow" w:hAnsi="Arial Narrow"/>
          <w:sz w:val="18"/>
          <w:szCs w:val="16"/>
        </w:rPr>
        <w:t>, p</w:t>
      </w:r>
      <w:r>
        <w:rPr>
          <w:rFonts w:ascii="Arial Narrow" w:hAnsi="Arial Narrow"/>
          <w:sz w:val="18"/>
          <w:szCs w:val="16"/>
        </w:rPr>
        <w:t>p</w:t>
      </w:r>
      <w:r w:rsidRPr="00C1699C">
        <w:rPr>
          <w:rFonts w:ascii="Arial Narrow" w:hAnsi="Arial Narrow"/>
          <w:sz w:val="18"/>
          <w:szCs w:val="16"/>
        </w:rPr>
        <w:t>142</w:t>
      </w:r>
      <w:r>
        <w:rPr>
          <w:rFonts w:ascii="Arial Narrow" w:hAnsi="Arial Narrow"/>
          <w:sz w:val="18"/>
          <w:szCs w:val="16"/>
        </w:rPr>
        <w:t>-143</w:t>
      </w:r>
      <w:r w:rsidRPr="00C1699C">
        <w:rPr>
          <w:rFonts w:ascii="Arial Narrow" w:hAnsi="Arial Narrow"/>
          <w:sz w:val="18"/>
          <w:szCs w:val="16"/>
        </w:rPr>
        <w:t xml:space="preserve">, </w:t>
      </w:r>
      <w:r w:rsidR="00705899" w:rsidRPr="00705899">
        <w:rPr>
          <w:rFonts w:ascii="Arial Narrow" w:hAnsi="Arial Narrow"/>
          <w:sz w:val="18"/>
          <w:szCs w:val="16"/>
        </w:rPr>
        <w:t xml:space="preserve">Table 47, p145, </w:t>
      </w:r>
      <w:r w:rsidRPr="00C1699C">
        <w:rPr>
          <w:rFonts w:ascii="Arial Narrow" w:hAnsi="Arial Narrow"/>
          <w:sz w:val="18"/>
          <w:szCs w:val="16"/>
        </w:rPr>
        <w:t>Table 52</w:t>
      </w:r>
      <w:r>
        <w:rPr>
          <w:rFonts w:ascii="Arial Narrow" w:hAnsi="Arial Narrow"/>
          <w:sz w:val="18"/>
          <w:szCs w:val="16"/>
        </w:rPr>
        <w:t>-</w:t>
      </w:r>
      <w:r w:rsidR="00705899">
        <w:rPr>
          <w:rFonts w:ascii="Arial Narrow" w:hAnsi="Arial Narrow"/>
          <w:sz w:val="18"/>
          <w:szCs w:val="16"/>
        </w:rPr>
        <w:t>70</w:t>
      </w:r>
      <w:r w:rsidRPr="00C1699C">
        <w:rPr>
          <w:rFonts w:ascii="Arial Narrow" w:hAnsi="Arial Narrow"/>
          <w:sz w:val="18"/>
          <w:szCs w:val="16"/>
        </w:rPr>
        <w:t>, p</w:t>
      </w:r>
      <w:r>
        <w:rPr>
          <w:rFonts w:ascii="Arial Narrow" w:hAnsi="Arial Narrow"/>
          <w:sz w:val="18"/>
          <w:szCs w:val="16"/>
        </w:rPr>
        <w:t>p</w:t>
      </w:r>
      <w:r w:rsidRPr="00C1699C">
        <w:rPr>
          <w:rFonts w:ascii="Arial Narrow" w:hAnsi="Arial Narrow"/>
          <w:sz w:val="18"/>
          <w:szCs w:val="16"/>
        </w:rPr>
        <w:t>163</w:t>
      </w:r>
      <w:r>
        <w:rPr>
          <w:rFonts w:ascii="Arial Narrow" w:hAnsi="Arial Narrow"/>
          <w:sz w:val="18"/>
          <w:szCs w:val="16"/>
        </w:rPr>
        <w:t>-1</w:t>
      </w:r>
      <w:r w:rsidR="00705899">
        <w:rPr>
          <w:rFonts w:ascii="Arial Narrow" w:hAnsi="Arial Narrow"/>
          <w:sz w:val="18"/>
          <w:szCs w:val="16"/>
        </w:rPr>
        <w:t>80</w:t>
      </w:r>
      <w:r w:rsidR="00CC56E0">
        <w:rPr>
          <w:rFonts w:ascii="Arial Narrow" w:hAnsi="Arial Narrow"/>
          <w:sz w:val="18"/>
          <w:szCs w:val="16"/>
        </w:rPr>
        <w:t xml:space="preserve"> of the submission.</w:t>
      </w:r>
    </w:p>
    <w:p w14:paraId="3D7630C9" w14:textId="77777777" w:rsidR="00405470" w:rsidRPr="004D1CC5" w:rsidRDefault="00405470" w:rsidP="007B6B2C">
      <w:pPr>
        <w:keepNext/>
        <w:keepLines/>
        <w:rPr>
          <w:rFonts w:ascii="Arial Narrow" w:hAnsi="Arial Narrow"/>
          <w:sz w:val="18"/>
          <w:szCs w:val="18"/>
        </w:rPr>
      </w:pPr>
      <w:r w:rsidRPr="004D1CC5">
        <w:rPr>
          <w:rFonts w:ascii="Arial Narrow" w:hAnsi="Arial Narrow"/>
          <w:sz w:val="18"/>
          <w:szCs w:val="18"/>
        </w:rPr>
        <w:t>ADA=adalimumab</w:t>
      </w:r>
      <w:r>
        <w:rPr>
          <w:rFonts w:ascii="Arial Narrow" w:hAnsi="Arial Narrow"/>
          <w:sz w:val="18"/>
          <w:szCs w:val="18"/>
        </w:rPr>
        <w:t>,</w:t>
      </w:r>
      <w:r w:rsidRPr="004D1CC5">
        <w:rPr>
          <w:rFonts w:ascii="Arial Narrow" w:hAnsi="Arial Narrow"/>
          <w:sz w:val="18"/>
          <w:szCs w:val="18"/>
        </w:rPr>
        <w:t xml:space="preserve"> </w:t>
      </w:r>
      <w:r>
        <w:rPr>
          <w:rFonts w:ascii="Arial Narrow" w:hAnsi="Arial Narrow"/>
          <w:sz w:val="18"/>
          <w:szCs w:val="18"/>
        </w:rPr>
        <w:t xml:space="preserve">CI=confidence interval, </w:t>
      </w:r>
      <w:r w:rsidRPr="004D1CC5">
        <w:rPr>
          <w:rFonts w:ascii="Arial Narrow" w:hAnsi="Arial Narrow"/>
          <w:sz w:val="18"/>
          <w:szCs w:val="18"/>
        </w:rPr>
        <w:t>bDMARD=biologic disease-modifying antirheumatic drugs</w:t>
      </w:r>
      <w:r>
        <w:rPr>
          <w:rFonts w:ascii="Arial Narrow" w:hAnsi="Arial Narrow"/>
          <w:sz w:val="18"/>
          <w:szCs w:val="18"/>
        </w:rPr>
        <w:t>,</w:t>
      </w:r>
      <w:r w:rsidRPr="004D1CC5">
        <w:rPr>
          <w:rFonts w:ascii="Arial Narrow" w:hAnsi="Arial Narrow"/>
          <w:sz w:val="18"/>
          <w:szCs w:val="18"/>
        </w:rPr>
        <w:t xml:space="preserve"> FMS=full Mayo score</w:t>
      </w:r>
      <w:r>
        <w:rPr>
          <w:rFonts w:ascii="Arial Narrow" w:hAnsi="Arial Narrow"/>
          <w:sz w:val="18"/>
          <w:szCs w:val="18"/>
        </w:rPr>
        <w:t>,</w:t>
      </w:r>
      <w:r w:rsidRPr="004D1CC5">
        <w:rPr>
          <w:rFonts w:ascii="Arial Narrow" w:hAnsi="Arial Narrow"/>
          <w:sz w:val="18"/>
          <w:szCs w:val="18"/>
        </w:rPr>
        <w:t xml:space="preserve"> ITT=intention to treat</w:t>
      </w:r>
      <w:r>
        <w:rPr>
          <w:rFonts w:ascii="Arial Narrow" w:hAnsi="Arial Narrow"/>
          <w:sz w:val="18"/>
          <w:szCs w:val="18"/>
        </w:rPr>
        <w:t>,</w:t>
      </w:r>
      <w:r w:rsidRPr="004D1CC5">
        <w:rPr>
          <w:rFonts w:ascii="Arial Narrow" w:hAnsi="Arial Narrow"/>
          <w:sz w:val="18"/>
          <w:szCs w:val="18"/>
        </w:rPr>
        <w:t xml:space="preserve"> IV=intravenous</w:t>
      </w:r>
      <w:r>
        <w:rPr>
          <w:rFonts w:ascii="Arial Narrow" w:hAnsi="Arial Narrow"/>
          <w:sz w:val="18"/>
          <w:szCs w:val="18"/>
        </w:rPr>
        <w:t>,</w:t>
      </w:r>
      <w:r w:rsidRPr="004D1CC5">
        <w:rPr>
          <w:rFonts w:ascii="Arial Narrow" w:hAnsi="Arial Narrow"/>
          <w:sz w:val="18"/>
          <w:szCs w:val="18"/>
        </w:rPr>
        <w:t xml:space="preserve"> JAKi=janus kinase inhibitor</w:t>
      </w:r>
      <w:r>
        <w:rPr>
          <w:rFonts w:ascii="Arial Narrow" w:hAnsi="Arial Narrow"/>
          <w:sz w:val="18"/>
          <w:szCs w:val="18"/>
        </w:rPr>
        <w:t>,</w:t>
      </w:r>
      <w:r w:rsidRPr="004D1CC5">
        <w:rPr>
          <w:rFonts w:ascii="Arial Narrow" w:hAnsi="Arial Narrow"/>
          <w:sz w:val="18"/>
          <w:szCs w:val="18"/>
        </w:rPr>
        <w:t xml:space="preserve"> MA=meta-analysis</w:t>
      </w:r>
      <w:r>
        <w:rPr>
          <w:rFonts w:ascii="Arial Narrow" w:hAnsi="Arial Narrow"/>
          <w:sz w:val="18"/>
          <w:szCs w:val="18"/>
        </w:rPr>
        <w:t>,</w:t>
      </w:r>
      <w:r w:rsidRPr="004D1CC5">
        <w:rPr>
          <w:rFonts w:ascii="Arial Narrow" w:hAnsi="Arial Narrow"/>
          <w:sz w:val="18"/>
          <w:szCs w:val="18"/>
        </w:rPr>
        <w:t xml:space="preserve"> MIRI=mirikizumab</w:t>
      </w:r>
      <w:r>
        <w:rPr>
          <w:rFonts w:ascii="Arial Narrow" w:hAnsi="Arial Narrow"/>
          <w:sz w:val="18"/>
          <w:szCs w:val="18"/>
        </w:rPr>
        <w:t>,</w:t>
      </w:r>
      <w:r w:rsidRPr="004D1CC5">
        <w:rPr>
          <w:rFonts w:ascii="Arial Narrow" w:hAnsi="Arial Narrow"/>
          <w:sz w:val="18"/>
          <w:szCs w:val="18"/>
        </w:rPr>
        <w:t xml:space="preserve"> MMS=modified Mayo score</w:t>
      </w:r>
      <w:r>
        <w:rPr>
          <w:rFonts w:ascii="Arial Narrow" w:hAnsi="Arial Narrow"/>
          <w:sz w:val="18"/>
          <w:szCs w:val="18"/>
        </w:rPr>
        <w:t>,</w:t>
      </w:r>
      <w:r w:rsidRPr="004D1CC5">
        <w:rPr>
          <w:rFonts w:ascii="Arial Narrow" w:hAnsi="Arial Narrow"/>
          <w:sz w:val="18"/>
          <w:szCs w:val="18"/>
        </w:rPr>
        <w:t xml:space="preserve"> NF=not failed</w:t>
      </w:r>
      <w:r>
        <w:rPr>
          <w:rFonts w:ascii="Arial Narrow" w:hAnsi="Arial Narrow"/>
          <w:sz w:val="18"/>
          <w:szCs w:val="18"/>
        </w:rPr>
        <w:t>,</w:t>
      </w:r>
      <w:r w:rsidRPr="004D1CC5">
        <w:rPr>
          <w:rFonts w:ascii="Arial Narrow" w:hAnsi="Arial Narrow"/>
          <w:sz w:val="18"/>
          <w:szCs w:val="18"/>
        </w:rPr>
        <w:t xml:space="preserve"> </w:t>
      </w:r>
      <w:r>
        <w:rPr>
          <w:rFonts w:ascii="Arial Narrow" w:hAnsi="Arial Narrow"/>
          <w:sz w:val="18"/>
          <w:szCs w:val="18"/>
        </w:rPr>
        <w:t xml:space="preserve">NR=not reported, OR=odds ratio, </w:t>
      </w:r>
      <w:r w:rsidRPr="004D1CC5">
        <w:rPr>
          <w:rFonts w:ascii="Arial Narrow" w:hAnsi="Arial Narrow"/>
          <w:sz w:val="18"/>
          <w:szCs w:val="18"/>
        </w:rPr>
        <w:t>PBO=placebo</w:t>
      </w:r>
      <w:r>
        <w:rPr>
          <w:rFonts w:ascii="Arial Narrow" w:hAnsi="Arial Narrow"/>
          <w:sz w:val="18"/>
          <w:szCs w:val="18"/>
        </w:rPr>
        <w:t>,</w:t>
      </w:r>
      <w:r w:rsidRPr="004D1CC5">
        <w:rPr>
          <w:rFonts w:ascii="Arial Narrow" w:hAnsi="Arial Narrow"/>
          <w:sz w:val="18"/>
          <w:szCs w:val="18"/>
        </w:rPr>
        <w:t xml:space="preserve"> </w:t>
      </w:r>
      <w:r>
        <w:rPr>
          <w:rFonts w:ascii="Arial Narrow" w:hAnsi="Arial Narrow"/>
          <w:sz w:val="18"/>
          <w:szCs w:val="18"/>
        </w:rPr>
        <w:t xml:space="preserve">RD=risk difference, </w:t>
      </w:r>
      <w:r w:rsidRPr="004D1CC5">
        <w:rPr>
          <w:rFonts w:ascii="Arial Narrow" w:hAnsi="Arial Narrow"/>
          <w:sz w:val="18"/>
          <w:szCs w:val="18"/>
        </w:rPr>
        <w:t>RE=random effects</w:t>
      </w:r>
      <w:r>
        <w:rPr>
          <w:rFonts w:ascii="Arial Narrow" w:hAnsi="Arial Narrow"/>
          <w:sz w:val="18"/>
          <w:szCs w:val="18"/>
        </w:rPr>
        <w:t>, RR=relative risk,</w:t>
      </w:r>
      <w:r w:rsidRPr="004D1CC5">
        <w:rPr>
          <w:rFonts w:ascii="Arial Narrow" w:hAnsi="Arial Narrow"/>
          <w:sz w:val="18"/>
          <w:szCs w:val="18"/>
        </w:rPr>
        <w:t xml:space="preserve"> TNF=tumour necrosis factor</w:t>
      </w:r>
      <w:r>
        <w:rPr>
          <w:rFonts w:ascii="Arial Narrow" w:hAnsi="Arial Narrow"/>
          <w:sz w:val="18"/>
          <w:szCs w:val="18"/>
        </w:rPr>
        <w:t>,</w:t>
      </w:r>
      <w:r w:rsidRPr="004D1CC5">
        <w:rPr>
          <w:rFonts w:ascii="Arial Narrow" w:hAnsi="Arial Narrow"/>
          <w:sz w:val="18"/>
          <w:szCs w:val="18"/>
        </w:rPr>
        <w:t xml:space="preserve"> </w:t>
      </w:r>
      <w:r w:rsidRPr="007F161F">
        <w:rPr>
          <w:rFonts w:ascii="Arial Narrow" w:hAnsi="Arial Narrow"/>
          <w:sz w:val="18"/>
          <w:szCs w:val="18"/>
        </w:rPr>
        <w:t>tsDMARD=targeted synthetic disease modifying anti-rheumatic drugs</w:t>
      </w:r>
      <w:r>
        <w:rPr>
          <w:rFonts w:ascii="Arial Narrow" w:hAnsi="Arial Narrow"/>
          <w:sz w:val="18"/>
          <w:szCs w:val="18"/>
        </w:rPr>
        <w:t>,</w:t>
      </w:r>
      <w:r w:rsidRPr="007F161F">
        <w:rPr>
          <w:rFonts w:ascii="Arial Narrow" w:hAnsi="Arial Narrow"/>
          <w:sz w:val="18"/>
          <w:szCs w:val="18"/>
        </w:rPr>
        <w:t xml:space="preserve"> </w:t>
      </w:r>
      <w:r w:rsidRPr="004D1CC5">
        <w:rPr>
          <w:rFonts w:ascii="Arial Narrow" w:hAnsi="Arial Narrow"/>
          <w:sz w:val="18"/>
          <w:szCs w:val="18"/>
        </w:rPr>
        <w:t>UC=ulcerative colitis</w:t>
      </w:r>
      <w:r>
        <w:rPr>
          <w:rFonts w:ascii="Arial Narrow" w:hAnsi="Arial Narrow"/>
          <w:sz w:val="18"/>
          <w:szCs w:val="18"/>
        </w:rPr>
        <w:t>,</w:t>
      </w:r>
      <w:r w:rsidRPr="004D1CC5">
        <w:rPr>
          <w:rFonts w:ascii="Arial Narrow" w:hAnsi="Arial Narrow"/>
          <w:sz w:val="18"/>
          <w:szCs w:val="18"/>
        </w:rPr>
        <w:t xml:space="preserve"> UST=ustekinumab</w:t>
      </w:r>
      <w:r>
        <w:rPr>
          <w:rFonts w:ascii="Arial Narrow" w:hAnsi="Arial Narrow"/>
          <w:sz w:val="18"/>
          <w:szCs w:val="18"/>
        </w:rPr>
        <w:t>,</w:t>
      </w:r>
      <w:r w:rsidRPr="004D1CC5">
        <w:rPr>
          <w:rFonts w:ascii="Arial Narrow" w:hAnsi="Arial Narrow"/>
          <w:sz w:val="18"/>
          <w:szCs w:val="18"/>
        </w:rPr>
        <w:t xml:space="preserve"> VDZ=vedolizumab</w:t>
      </w:r>
      <w:r>
        <w:rPr>
          <w:rFonts w:ascii="Arial Narrow" w:hAnsi="Arial Narrow"/>
          <w:sz w:val="18"/>
          <w:szCs w:val="18"/>
        </w:rPr>
        <w:t>, wk=week.</w:t>
      </w:r>
    </w:p>
    <w:p w14:paraId="7A3A5B4B" w14:textId="77777777" w:rsidR="00405470" w:rsidRDefault="00405470" w:rsidP="007B6B2C">
      <w:pPr>
        <w:keepNext/>
        <w:keepLines/>
        <w:tabs>
          <w:tab w:val="left" w:pos="142"/>
        </w:tabs>
        <w:ind w:left="135" w:hanging="135"/>
        <w:rPr>
          <w:rFonts w:ascii="Arial Narrow" w:hAnsi="Arial Narrow"/>
          <w:sz w:val="18"/>
          <w:szCs w:val="16"/>
        </w:rPr>
      </w:pPr>
      <w:r>
        <w:rPr>
          <w:rFonts w:ascii="Arial Narrow" w:hAnsi="Arial Narrow"/>
          <w:sz w:val="18"/>
          <w:szCs w:val="16"/>
        </w:rPr>
        <w:t>#</w:t>
      </w:r>
      <w:r>
        <w:rPr>
          <w:rFonts w:ascii="Arial Narrow" w:hAnsi="Arial Narrow"/>
          <w:sz w:val="18"/>
          <w:szCs w:val="16"/>
        </w:rPr>
        <w:tab/>
        <w:t xml:space="preserve">Fail defined as those who </w:t>
      </w:r>
      <w:r w:rsidRPr="00C70F3E">
        <w:rPr>
          <w:rFonts w:ascii="Arial Narrow" w:hAnsi="Arial Narrow"/>
          <w:sz w:val="18"/>
          <w:szCs w:val="16"/>
        </w:rPr>
        <w:t>have an inadequate response to, loss of response to, or are intolerant to biologic therapy for UC</w:t>
      </w:r>
      <w:r>
        <w:rPr>
          <w:rFonts w:ascii="Arial Narrow" w:hAnsi="Arial Narrow"/>
          <w:sz w:val="18"/>
          <w:szCs w:val="16"/>
        </w:rPr>
        <w:t>.</w:t>
      </w:r>
    </w:p>
    <w:p w14:paraId="2BCD4901" w14:textId="77777777" w:rsidR="00405470" w:rsidRDefault="00405470" w:rsidP="007B6B2C">
      <w:pPr>
        <w:keepNext/>
        <w:keepLines/>
        <w:tabs>
          <w:tab w:val="left" w:pos="142"/>
        </w:tabs>
        <w:ind w:left="135" w:hanging="135"/>
        <w:rPr>
          <w:rFonts w:ascii="Arial Narrow" w:hAnsi="Arial Narrow"/>
          <w:sz w:val="18"/>
          <w:szCs w:val="16"/>
        </w:rPr>
      </w:pPr>
      <w:r>
        <w:rPr>
          <w:rFonts w:ascii="Arial Narrow" w:hAnsi="Arial Narrow"/>
          <w:sz w:val="18"/>
          <w:szCs w:val="16"/>
        </w:rPr>
        <w:t>a</w:t>
      </w:r>
      <w:r>
        <w:rPr>
          <w:rFonts w:ascii="Arial Narrow" w:hAnsi="Arial Narrow"/>
          <w:sz w:val="18"/>
          <w:szCs w:val="16"/>
        </w:rPr>
        <w:tab/>
        <w:t>Results for the subgroup in LUCENT 1 who have not failed prior biologic or tofacitinib therapy</w:t>
      </w:r>
      <w:r w:rsidRPr="00572438">
        <w:rPr>
          <w:rFonts w:ascii="Arial Narrow" w:hAnsi="Arial Narrow"/>
          <w:sz w:val="18"/>
          <w:szCs w:val="16"/>
        </w:rPr>
        <w:t xml:space="preserve"> </w:t>
      </w:r>
      <w:r>
        <w:rPr>
          <w:rFonts w:ascii="Arial Narrow" w:hAnsi="Arial Narrow"/>
          <w:sz w:val="18"/>
          <w:szCs w:val="16"/>
        </w:rPr>
        <w:t>(i.e. patients not exposed to prior biologic and patients exposed but not failed prior biologic). The submission incorrectly labelled this subgroup as ‘bDMARDs/tsDMARDs naïve population’.</w:t>
      </w:r>
    </w:p>
    <w:p w14:paraId="7D766F78" w14:textId="77777777" w:rsidR="00405470" w:rsidRDefault="00405470" w:rsidP="007B6B2C">
      <w:pPr>
        <w:keepNext/>
        <w:keepLines/>
        <w:tabs>
          <w:tab w:val="left" w:pos="142"/>
        </w:tabs>
        <w:ind w:left="135" w:hanging="135"/>
        <w:rPr>
          <w:rFonts w:ascii="Arial Narrow" w:hAnsi="Arial Narrow"/>
          <w:sz w:val="18"/>
          <w:szCs w:val="16"/>
        </w:rPr>
      </w:pPr>
      <w:r>
        <w:rPr>
          <w:rFonts w:ascii="Arial Narrow" w:hAnsi="Arial Narrow"/>
          <w:sz w:val="18"/>
          <w:szCs w:val="16"/>
        </w:rPr>
        <w:t>b</w:t>
      </w:r>
      <w:r>
        <w:rPr>
          <w:rFonts w:ascii="Arial Narrow" w:hAnsi="Arial Narrow"/>
          <w:sz w:val="18"/>
          <w:szCs w:val="16"/>
        </w:rPr>
        <w:tab/>
        <w:t>The submission labelled this subgroup as ‘bDMARDs/tsDMARDs experienced population’. In LUCENT 1, results presented only for the subgroup with prior biologic exposure and failed at least one therapy (excluding patients exposed to prior biologic but have not failed therapy).</w:t>
      </w:r>
    </w:p>
    <w:p w14:paraId="439F5311" w14:textId="77777777" w:rsidR="00405470" w:rsidRDefault="00405470" w:rsidP="007B6B2C">
      <w:pPr>
        <w:keepNext/>
        <w:keepLines/>
        <w:tabs>
          <w:tab w:val="left" w:pos="142"/>
        </w:tabs>
        <w:ind w:left="135" w:hanging="135"/>
        <w:rPr>
          <w:rFonts w:ascii="Arial Narrow" w:hAnsi="Arial Narrow"/>
          <w:sz w:val="18"/>
          <w:szCs w:val="16"/>
        </w:rPr>
      </w:pPr>
      <w:r>
        <w:rPr>
          <w:rFonts w:ascii="Arial Narrow" w:hAnsi="Arial Narrow"/>
          <w:sz w:val="18"/>
          <w:szCs w:val="16"/>
        </w:rPr>
        <w:t>c</w:t>
      </w:r>
      <w:r>
        <w:rPr>
          <w:rFonts w:ascii="Arial Narrow" w:hAnsi="Arial Narrow"/>
          <w:sz w:val="18"/>
          <w:szCs w:val="16"/>
        </w:rPr>
        <w:tab/>
        <w:t xml:space="preserve">Subgroup with any prior biologic exposure in LUCENT 1 (i.e. patients exposed but not failed and exposed and failed at least one therapy). </w:t>
      </w:r>
    </w:p>
    <w:p w14:paraId="52429269" w14:textId="77777777" w:rsidR="00405470" w:rsidRDefault="00405470" w:rsidP="007B6B2C">
      <w:pPr>
        <w:keepNext/>
        <w:keepLines/>
        <w:tabs>
          <w:tab w:val="left" w:pos="142"/>
        </w:tabs>
        <w:ind w:left="135" w:hanging="135"/>
        <w:rPr>
          <w:rFonts w:ascii="Arial Narrow" w:hAnsi="Arial Narrow"/>
          <w:sz w:val="18"/>
          <w:szCs w:val="16"/>
        </w:rPr>
      </w:pPr>
      <w:r>
        <w:rPr>
          <w:rFonts w:ascii="Arial Narrow" w:hAnsi="Arial Narrow"/>
          <w:sz w:val="18"/>
          <w:szCs w:val="16"/>
        </w:rPr>
        <w:t>d</w:t>
      </w:r>
      <w:r>
        <w:rPr>
          <w:rFonts w:ascii="Arial Narrow" w:hAnsi="Arial Narrow"/>
          <w:sz w:val="18"/>
          <w:szCs w:val="16"/>
        </w:rPr>
        <w:tab/>
        <w:t xml:space="preserve">The submission conducted </w:t>
      </w:r>
      <w:r w:rsidRPr="00D1496C">
        <w:rPr>
          <w:rFonts w:ascii="Arial Narrow" w:hAnsi="Arial Narrow"/>
          <w:sz w:val="18"/>
          <w:szCs w:val="16"/>
        </w:rPr>
        <w:t>post hoc sensitivity analysis o</w:t>
      </w:r>
      <w:r>
        <w:rPr>
          <w:rFonts w:ascii="Arial Narrow" w:hAnsi="Arial Narrow"/>
          <w:sz w:val="18"/>
          <w:szCs w:val="16"/>
        </w:rPr>
        <w:t>n</w:t>
      </w:r>
      <w:r w:rsidRPr="00D1496C">
        <w:rPr>
          <w:rFonts w:ascii="Arial Narrow" w:hAnsi="Arial Narrow"/>
          <w:sz w:val="18"/>
          <w:szCs w:val="16"/>
        </w:rPr>
        <w:t xml:space="preserve"> the LUCENT 1 induction data where the definitions of the key endpoints of clinical remission and clinical response </w:t>
      </w:r>
      <w:r>
        <w:rPr>
          <w:rFonts w:ascii="Arial Narrow" w:hAnsi="Arial Narrow"/>
          <w:sz w:val="18"/>
          <w:szCs w:val="16"/>
        </w:rPr>
        <w:t xml:space="preserve">based on MMS were </w:t>
      </w:r>
      <w:r w:rsidRPr="00D1496C">
        <w:rPr>
          <w:rFonts w:ascii="Arial Narrow" w:hAnsi="Arial Narrow"/>
          <w:sz w:val="18"/>
          <w:szCs w:val="16"/>
        </w:rPr>
        <w:t>reconstructed</w:t>
      </w:r>
      <w:r>
        <w:rPr>
          <w:rFonts w:ascii="Arial Narrow" w:hAnsi="Arial Narrow"/>
          <w:sz w:val="18"/>
          <w:szCs w:val="16"/>
        </w:rPr>
        <w:t xml:space="preserve"> for</w:t>
      </w:r>
      <w:r w:rsidRPr="00D1496C">
        <w:rPr>
          <w:rFonts w:ascii="Arial Narrow" w:hAnsi="Arial Narrow"/>
          <w:sz w:val="18"/>
          <w:szCs w:val="16"/>
        </w:rPr>
        <w:t xml:space="preserve"> FMS</w:t>
      </w:r>
      <w:r>
        <w:rPr>
          <w:rFonts w:ascii="Arial Narrow" w:hAnsi="Arial Narrow"/>
          <w:sz w:val="18"/>
          <w:szCs w:val="16"/>
        </w:rPr>
        <w:t xml:space="preserve"> (Attachment 4.1 of the submission).</w:t>
      </w:r>
    </w:p>
    <w:p w14:paraId="5EF79AD0" w14:textId="77777777" w:rsidR="00405470" w:rsidRDefault="00405470" w:rsidP="007B6B2C">
      <w:pPr>
        <w:keepNext/>
        <w:keepLines/>
        <w:tabs>
          <w:tab w:val="left" w:pos="142"/>
        </w:tabs>
        <w:ind w:left="135" w:hanging="135"/>
        <w:rPr>
          <w:rFonts w:ascii="Arial Narrow" w:hAnsi="Arial Narrow"/>
          <w:sz w:val="18"/>
          <w:szCs w:val="16"/>
        </w:rPr>
      </w:pPr>
      <w:r>
        <w:rPr>
          <w:rFonts w:ascii="Arial Narrow" w:hAnsi="Arial Narrow"/>
          <w:sz w:val="18"/>
          <w:szCs w:val="16"/>
        </w:rPr>
        <w:t>e</w:t>
      </w:r>
      <w:r>
        <w:rPr>
          <w:rFonts w:ascii="Arial Narrow" w:hAnsi="Arial Narrow"/>
          <w:sz w:val="18"/>
          <w:szCs w:val="16"/>
        </w:rPr>
        <w:tab/>
      </w:r>
      <w:r w:rsidRPr="00502550">
        <w:rPr>
          <w:rFonts w:ascii="Arial Narrow" w:hAnsi="Arial Narrow"/>
          <w:sz w:val="18"/>
          <w:szCs w:val="16"/>
        </w:rPr>
        <w:t xml:space="preserve">The submission </w:t>
      </w:r>
      <w:r>
        <w:rPr>
          <w:rFonts w:ascii="Arial Narrow" w:hAnsi="Arial Narrow"/>
          <w:sz w:val="18"/>
          <w:szCs w:val="16"/>
        </w:rPr>
        <w:t>labelled</w:t>
      </w:r>
      <w:r w:rsidRPr="00502550">
        <w:rPr>
          <w:rFonts w:ascii="Arial Narrow" w:hAnsi="Arial Narrow"/>
          <w:sz w:val="18"/>
          <w:szCs w:val="16"/>
        </w:rPr>
        <w:t xml:space="preserve"> this subgroup as ‘</w:t>
      </w:r>
      <w:r>
        <w:rPr>
          <w:rFonts w:ascii="Arial Narrow" w:hAnsi="Arial Narrow"/>
          <w:sz w:val="18"/>
          <w:szCs w:val="16"/>
        </w:rPr>
        <w:t>bDMARDs/tsDMARDs</w:t>
      </w:r>
      <w:r w:rsidRPr="00502550">
        <w:rPr>
          <w:rFonts w:ascii="Arial Narrow" w:hAnsi="Arial Narrow"/>
          <w:sz w:val="18"/>
          <w:szCs w:val="16"/>
        </w:rPr>
        <w:t xml:space="preserve"> experienced population’</w:t>
      </w:r>
      <w:r>
        <w:rPr>
          <w:rFonts w:ascii="Arial Narrow" w:hAnsi="Arial Narrow"/>
          <w:sz w:val="18"/>
          <w:szCs w:val="16"/>
        </w:rPr>
        <w:t xml:space="preserve">. Based on the denominator, the results were only for the </w:t>
      </w:r>
      <w:r w:rsidRPr="00502550">
        <w:rPr>
          <w:rFonts w:ascii="Arial Narrow" w:hAnsi="Arial Narrow"/>
          <w:sz w:val="18"/>
          <w:szCs w:val="16"/>
        </w:rPr>
        <w:t xml:space="preserve">subgroup in LUCENT </w:t>
      </w:r>
      <w:r>
        <w:rPr>
          <w:rFonts w:ascii="Arial Narrow" w:hAnsi="Arial Narrow"/>
          <w:sz w:val="18"/>
          <w:szCs w:val="16"/>
        </w:rPr>
        <w:t xml:space="preserve">1 </w:t>
      </w:r>
      <w:r w:rsidRPr="00502550">
        <w:rPr>
          <w:rFonts w:ascii="Arial Narrow" w:hAnsi="Arial Narrow"/>
          <w:sz w:val="18"/>
          <w:szCs w:val="16"/>
        </w:rPr>
        <w:t>who had prior biologic exposure and failed at least one therapy</w:t>
      </w:r>
      <w:r>
        <w:rPr>
          <w:rFonts w:ascii="Arial Narrow" w:hAnsi="Arial Narrow"/>
          <w:sz w:val="18"/>
          <w:szCs w:val="16"/>
        </w:rPr>
        <w:t>. It</w:t>
      </w:r>
      <w:r w:rsidRPr="00502550">
        <w:rPr>
          <w:rFonts w:ascii="Arial Narrow" w:hAnsi="Arial Narrow"/>
          <w:sz w:val="18"/>
          <w:szCs w:val="16"/>
        </w:rPr>
        <w:t xml:space="preserve"> excluded the subgroup exposed to prior biologic but </w:t>
      </w:r>
      <w:r>
        <w:rPr>
          <w:rFonts w:ascii="Arial Narrow" w:hAnsi="Arial Narrow"/>
          <w:sz w:val="18"/>
          <w:szCs w:val="16"/>
        </w:rPr>
        <w:t xml:space="preserve">have </w:t>
      </w:r>
      <w:r w:rsidRPr="00502550">
        <w:rPr>
          <w:rFonts w:ascii="Arial Narrow" w:hAnsi="Arial Narrow"/>
          <w:sz w:val="18"/>
          <w:szCs w:val="16"/>
        </w:rPr>
        <w:t>not failed therapy.</w:t>
      </w:r>
    </w:p>
    <w:p w14:paraId="5CEA24A5" w14:textId="3EC76F0F" w:rsidR="00705899" w:rsidRDefault="00705899" w:rsidP="007B6B2C">
      <w:pPr>
        <w:keepNext/>
        <w:keepLines/>
        <w:tabs>
          <w:tab w:val="left" w:pos="142"/>
        </w:tabs>
        <w:ind w:left="135" w:hanging="135"/>
        <w:rPr>
          <w:rFonts w:ascii="Arial Narrow" w:hAnsi="Arial Narrow"/>
          <w:sz w:val="18"/>
          <w:szCs w:val="16"/>
        </w:rPr>
      </w:pPr>
      <w:r>
        <w:rPr>
          <w:rFonts w:ascii="Arial Narrow" w:hAnsi="Arial Narrow"/>
          <w:sz w:val="18"/>
          <w:szCs w:val="16"/>
        </w:rPr>
        <w:t>f</w:t>
      </w:r>
      <w:r>
        <w:rPr>
          <w:rFonts w:ascii="Arial Narrow" w:hAnsi="Arial Narrow"/>
          <w:sz w:val="18"/>
          <w:szCs w:val="16"/>
        </w:rPr>
        <w:tab/>
        <w:t>The submission labelled this subgroup as ‘bDMARDs/tsDMARDs naïve population’. However, based on the denominator, the results were for the subgroup in LUCENT 2 who have not failed prior biologic or tofacitinib therapy</w:t>
      </w:r>
      <w:r w:rsidRPr="00572438">
        <w:rPr>
          <w:rFonts w:ascii="Arial Narrow" w:hAnsi="Arial Narrow"/>
          <w:sz w:val="18"/>
          <w:szCs w:val="16"/>
        </w:rPr>
        <w:t xml:space="preserve"> </w:t>
      </w:r>
      <w:r>
        <w:rPr>
          <w:rFonts w:ascii="Arial Narrow" w:hAnsi="Arial Narrow"/>
          <w:sz w:val="18"/>
          <w:szCs w:val="16"/>
        </w:rPr>
        <w:t xml:space="preserve">(i.e. patients not exposed to prior biologic and patients exposed but not failed prior biologic). </w:t>
      </w:r>
    </w:p>
    <w:p w14:paraId="1D8CA682" w14:textId="06EFB7C1" w:rsidR="00705899" w:rsidRDefault="00705899" w:rsidP="007B6B2C">
      <w:pPr>
        <w:keepNext/>
        <w:keepLines/>
        <w:tabs>
          <w:tab w:val="left" w:pos="142"/>
        </w:tabs>
        <w:ind w:left="135" w:hanging="135"/>
        <w:rPr>
          <w:rFonts w:ascii="Arial Narrow" w:hAnsi="Arial Narrow"/>
          <w:sz w:val="18"/>
          <w:szCs w:val="16"/>
        </w:rPr>
      </w:pPr>
      <w:r>
        <w:rPr>
          <w:rFonts w:ascii="Arial Narrow" w:hAnsi="Arial Narrow"/>
          <w:sz w:val="18"/>
          <w:szCs w:val="16"/>
        </w:rPr>
        <w:t>g</w:t>
      </w:r>
      <w:r>
        <w:rPr>
          <w:rFonts w:ascii="Arial Narrow" w:hAnsi="Arial Narrow"/>
          <w:sz w:val="18"/>
          <w:szCs w:val="16"/>
        </w:rPr>
        <w:tab/>
        <w:t>The submission labelled this subgroup as ‘bDMARDs/tsDMARDs experienced population’. However, based on the denominator, the results were only for the subgroup in LUCENT 2 with prior biologic exposure and failed at least one therapy (excluding patients exposed to prior biologic but have not failed therapy).</w:t>
      </w:r>
    </w:p>
    <w:p w14:paraId="37DC9787" w14:textId="1E362D1F" w:rsidR="00705899" w:rsidRDefault="00705899" w:rsidP="00A044D5">
      <w:pPr>
        <w:tabs>
          <w:tab w:val="left" w:pos="142"/>
        </w:tabs>
        <w:spacing w:after="120"/>
        <w:ind w:left="136" w:hanging="136"/>
        <w:rPr>
          <w:rFonts w:ascii="Arial Narrow" w:hAnsi="Arial Narrow"/>
          <w:sz w:val="18"/>
          <w:szCs w:val="16"/>
        </w:rPr>
      </w:pPr>
      <w:r>
        <w:rPr>
          <w:rFonts w:ascii="Arial Narrow" w:hAnsi="Arial Narrow"/>
          <w:sz w:val="18"/>
          <w:szCs w:val="16"/>
        </w:rPr>
        <w:t>h</w:t>
      </w:r>
      <w:r>
        <w:rPr>
          <w:rFonts w:ascii="Arial Narrow" w:hAnsi="Arial Narrow"/>
          <w:sz w:val="18"/>
          <w:szCs w:val="16"/>
        </w:rPr>
        <w:tab/>
        <w:t xml:space="preserve">Subgroup with any prior biologic exposure in LUCENT 2 (i.e. patients exposed but not failed and exposed and failed at least one therapy). </w:t>
      </w:r>
    </w:p>
    <w:p w14:paraId="1D1A98A2" w14:textId="7EFE69C9" w:rsidR="004D1EA7" w:rsidRDefault="004D1EA7" w:rsidP="004D1EA7">
      <w:pPr>
        <w:pStyle w:val="3-BodyText"/>
      </w:pPr>
      <w:r w:rsidRPr="00E95B7D">
        <w:lastRenderedPageBreak/>
        <w:t xml:space="preserve">For induction treatment, the trial results demonstrated that more patients achieved clinical remission and/or clinical response following induction treatment with MIRI, VDZ, ADA and UST compared to PBO, irrespective of the population (ITT, </w:t>
      </w:r>
      <w:r w:rsidR="00AF7030">
        <w:t>bDMARDs/tsDMARDs</w:t>
      </w:r>
      <w:r w:rsidRPr="00E95B7D">
        <w:t xml:space="preserve"> experienced or </w:t>
      </w:r>
      <w:r w:rsidR="00AF7030">
        <w:t>bDMARDs/tsDMARDs</w:t>
      </w:r>
      <w:r w:rsidRPr="00E95B7D">
        <w:t xml:space="preserve"> naïve subgroup), and irrespective of the Mayo scoring method.</w:t>
      </w:r>
    </w:p>
    <w:p w14:paraId="205E3CD2" w14:textId="77777777" w:rsidR="004D1EA7" w:rsidRPr="00E95B7D" w:rsidRDefault="004D1EA7" w:rsidP="004D1EA7">
      <w:pPr>
        <w:pStyle w:val="3-BodyText"/>
      </w:pPr>
      <w:r w:rsidRPr="00E95B7D">
        <w:t>For maintenance treatment, the trial results demonstrated that patients with clinical response to induction treatment were more likely to maintain clinical response and achieve clinical remission at Week 52 to 60 with MIRI, VDZ and UST compared to PBO, irrespective of the population. In contrast, the results for the ADA (adjusted) trial results were mixed, with no difference in the proportion of patients maintaining clinical response at Week 52 but a higher proportion of patients achieving clinical remission at Week 52 in the ITT population with ADA compared to PBO.</w:t>
      </w:r>
    </w:p>
    <w:p w14:paraId="5A500015" w14:textId="77777777" w:rsidR="004D1EA7" w:rsidRDefault="004D1EA7" w:rsidP="00AF404E">
      <w:pPr>
        <w:pStyle w:val="5-SubsectionSubheading"/>
        <w:rPr>
          <w:bCs/>
        </w:rPr>
      </w:pPr>
      <w:bookmarkStart w:id="32" w:name="_Toc135142377"/>
      <w:r w:rsidRPr="008A07D6">
        <w:t>Indirect treatment comparisons (ITCs)</w:t>
      </w:r>
      <w:bookmarkEnd w:id="32"/>
    </w:p>
    <w:p w14:paraId="4A1FFD85" w14:textId="63AEEB5B" w:rsidR="00026345" w:rsidRDefault="004D1EA7" w:rsidP="004D1EA7">
      <w:pPr>
        <w:pStyle w:val="3-BodyText"/>
        <w:rPr>
          <w:i/>
        </w:rPr>
      </w:pPr>
      <w:r>
        <w:fldChar w:fldCharType="begin" w:fldLock="1"/>
      </w:r>
      <w:r>
        <w:instrText xml:space="preserve"> REF _Ref134220425 \h </w:instrText>
      </w:r>
      <w:r>
        <w:fldChar w:fldCharType="separate"/>
      </w:r>
      <w:r w:rsidR="00CC56E0" w:rsidRPr="0017668E">
        <w:t xml:space="preserve">Table </w:t>
      </w:r>
      <w:r w:rsidR="00CC56E0">
        <w:rPr>
          <w:noProof/>
        </w:rPr>
        <w:t>5</w:t>
      </w:r>
      <w:r>
        <w:fldChar w:fldCharType="end"/>
      </w:r>
      <w:r w:rsidRPr="008A07D6">
        <w:t xml:space="preserve"> and </w:t>
      </w:r>
      <w:r>
        <w:fldChar w:fldCharType="begin" w:fldLock="1"/>
      </w:r>
      <w:r>
        <w:instrText xml:space="preserve"> REF _Ref134220483 \h </w:instrText>
      </w:r>
      <w:r>
        <w:fldChar w:fldCharType="separate"/>
      </w:r>
      <w:r w:rsidR="00CC56E0">
        <w:t xml:space="preserve">Table </w:t>
      </w:r>
      <w:r w:rsidR="00CC56E0">
        <w:rPr>
          <w:noProof/>
        </w:rPr>
        <w:t>6</w:t>
      </w:r>
      <w:r>
        <w:fldChar w:fldCharType="end"/>
      </w:r>
      <w:r w:rsidRPr="008A07D6">
        <w:t xml:space="preserve"> </w:t>
      </w:r>
      <w:r>
        <w:t>summarise</w:t>
      </w:r>
      <w:r w:rsidRPr="008A07D6">
        <w:t xml:space="preserve"> the results of the </w:t>
      </w:r>
      <w:r>
        <w:t>ITC</w:t>
      </w:r>
      <w:r w:rsidRPr="008A07D6">
        <w:t xml:space="preserve"> for clinical remission and clinical response outcomes for induction treatment (at Week 6, 8, 10 or 12) and maintenance treatment (at Week 52/60)</w:t>
      </w:r>
      <w:r>
        <w:t>,</w:t>
      </w:r>
      <w:r w:rsidRPr="008A07D6">
        <w:t xml:space="preserve"> respectively.</w:t>
      </w:r>
      <w:r w:rsidRPr="00E95B7D">
        <w:t xml:space="preserve"> </w:t>
      </w:r>
      <w:r w:rsidRPr="001D752B">
        <w:rPr>
          <w:iCs/>
        </w:rPr>
        <w:t xml:space="preserve">The ITC report by Moura et al 2023 stated that the calculations were performed in R using the netmeta package, but the estimates differed to those calculated independently during the evaluation using the standard Bucher formulas. Given these discrepancies, the table below presents </w:t>
      </w:r>
      <w:r w:rsidR="000B484F" w:rsidRPr="001D752B">
        <w:rPr>
          <w:iCs/>
        </w:rPr>
        <w:t>the results calculated independently during the evaluation</w:t>
      </w:r>
      <w:r w:rsidR="00C34CE9">
        <w:rPr>
          <w:iCs/>
        </w:rPr>
        <w:t>.</w:t>
      </w:r>
      <w:r w:rsidR="000B484F" w:rsidRPr="001D752B">
        <w:rPr>
          <w:iCs/>
        </w:rPr>
        <w:t xml:space="preserve"> </w:t>
      </w:r>
    </w:p>
    <w:p w14:paraId="484DB3A1" w14:textId="02381E80" w:rsidR="004D1EA7" w:rsidRDefault="004D1EA7" w:rsidP="007B6B2C">
      <w:pPr>
        <w:pStyle w:val="Caption"/>
        <w:rPr>
          <w:szCs w:val="20"/>
        </w:rPr>
      </w:pPr>
      <w:bookmarkStart w:id="33" w:name="_Ref134220425"/>
      <w:bookmarkStart w:id="34" w:name="_Hlk134801061"/>
      <w:r w:rsidRPr="0017668E">
        <w:lastRenderedPageBreak/>
        <w:t xml:space="preserve">Table </w:t>
      </w:r>
      <w:r w:rsidR="00A234BA">
        <w:fldChar w:fldCharType="begin" w:fldLock="1"/>
      </w:r>
      <w:r w:rsidR="00A234BA">
        <w:instrText xml:space="preserve"> SEQ Table \* ARABIC </w:instrText>
      </w:r>
      <w:r w:rsidR="00A234BA">
        <w:fldChar w:fldCharType="separate"/>
      </w:r>
      <w:r w:rsidR="0005097F">
        <w:rPr>
          <w:noProof/>
        </w:rPr>
        <w:t>5</w:t>
      </w:r>
      <w:r w:rsidR="00A234BA">
        <w:rPr>
          <w:noProof/>
        </w:rPr>
        <w:fldChar w:fldCharType="end"/>
      </w:r>
      <w:bookmarkEnd w:id="33"/>
      <w:r w:rsidRPr="0017668E">
        <w:rPr>
          <w:szCs w:val="20"/>
        </w:rPr>
        <w:t>: Summary</w:t>
      </w:r>
      <w:r w:rsidRPr="008A07D6">
        <w:rPr>
          <w:szCs w:val="20"/>
        </w:rPr>
        <w:t xml:space="preserve"> of ITCs</w:t>
      </w:r>
      <w:r w:rsidR="00D7254C">
        <w:rPr>
          <w:szCs w:val="20"/>
        </w:rPr>
        <w:t>*</w:t>
      </w:r>
      <w:r w:rsidRPr="008A07D6">
        <w:rPr>
          <w:szCs w:val="20"/>
        </w:rPr>
        <w:t xml:space="preserve"> comparing MIRI versus VDZ, ADA and UST (INDUCTION)</w:t>
      </w:r>
    </w:p>
    <w:tbl>
      <w:tblPr>
        <w:tblStyle w:val="TableGrid"/>
        <w:tblW w:w="5000" w:type="pct"/>
        <w:tblCellMar>
          <w:left w:w="28" w:type="dxa"/>
          <w:right w:w="28" w:type="dxa"/>
        </w:tblCellMar>
        <w:tblLook w:val="04A0" w:firstRow="1" w:lastRow="0" w:firstColumn="1" w:lastColumn="0" w:noHBand="0" w:noVBand="1"/>
      </w:tblPr>
      <w:tblGrid>
        <w:gridCol w:w="3680"/>
        <w:gridCol w:w="1277"/>
        <w:gridCol w:w="1390"/>
        <w:gridCol w:w="1335"/>
        <w:gridCol w:w="1335"/>
      </w:tblGrid>
      <w:tr w:rsidR="00D7254C" w:rsidRPr="000A528D" w14:paraId="2A696FC2" w14:textId="77777777" w:rsidTr="006B51DB">
        <w:tc>
          <w:tcPr>
            <w:tcW w:w="2041" w:type="pct"/>
            <w:vMerge w:val="restart"/>
          </w:tcPr>
          <w:p w14:paraId="62A1D413" w14:textId="77777777" w:rsidR="00D7254C" w:rsidRPr="000A528D" w:rsidRDefault="00D7254C" w:rsidP="007B6B2C">
            <w:pPr>
              <w:keepNext/>
              <w:keepLines/>
              <w:rPr>
                <w:rFonts w:ascii="Arial Narrow" w:hAnsi="Arial Narrow"/>
                <w:sz w:val="18"/>
                <w:szCs w:val="18"/>
              </w:rPr>
            </w:pPr>
            <w:r w:rsidRPr="000A528D">
              <w:rPr>
                <w:rFonts w:ascii="Arial Narrow" w:hAnsi="Arial Narrow"/>
                <w:b/>
                <w:sz w:val="18"/>
                <w:szCs w:val="18"/>
              </w:rPr>
              <w:t>ITC Commentary</w:t>
            </w:r>
          </w:p>
        </w:tc>
        <w:tc>
          <w:tcPr>
            <w:tcW w:w="1479" w:type="pct"/>
            <w:gridSpan w:val="2"/>
            <w:vAlign w:val="center"/>
          </w:tcPr>
          <w:p w14:paraId="7551DAA1" w14:textId="77777777" w:rsidR="00D7254C" w:rsidRPr="000A528D" w:rsidRDefault="00D7254C" w:rsidP="007B6B2C">
            <w:pPr>
              <w:keepNext/>
              <w:keepLines/>
              <w:jc w:val="center"/>
              <w:rPr>
                <w:rFonts w:ascii="Arial Narrow" w:hAnsi="Arial Narrow"/>
                <w:b/>
                <w:bCs/>
                <w:sz w:val="18"/>
                <w:szCs w:val="18"/>
              </w:rPr>
            </w:pPr>
            <w:r w:rsidRPr="000A528D">
              <w:rPr>
                <w:rFonts w:ascii="Arial Narrow" w:hAnsi="Arial Narrow"/>
                <w:b/>
                <w:bCs/>
                <w:sz w:val="18"/>
                <w:szCs w:val="18"/>
              </w:rPr>
              <w:t>Remission (Wk 6/8/10/12)</w:t>
            </w:r>
          </w:p>
        </w:tc>
        <w:tc>
          <w:tcPr>
            <w:tcW w:w="1480" w:type="pct"/>
            <w:gridSpan w:val="2"/>
            <w:vAlign w:val="center"/>
          </w:tcPr>
          <w:p w14:paraId="603D4ABF" w14:textId="77777777" w:rsidR="00D7254C" w:rsidRPr="000A528D" w:rsidRDefault="00D7254C" w:rsidP="007B6B2C">
            <w:pPr>
              <w:keepNext/>
              <w:keepLines/>
              <w:jc w:val="center"/>
              <w:rPr>
                <w:rFonts w:ascii="Arial Narrow" w:hAnsi="Arial Narrow"/>
                <w:b/>
                <w:bCs/>
                <w:sz w:val="18"/>
                <w:szCs w:val="18"/>
              </w:rPr>
            </w:pPr>
            <w:r w:rsidRPr="000A528D">
              <w:rPr>
                <w:rFonts w:ascii="Arial Narrow" w:hAnsi="Arial Narrow"/>
                <w:b/>
                <w:bCs/>
                <w:noProof/>
                <w:sz w:val="18"/>
                <w:szCs w:val="18"/>
              </w:rPr>
              <w:t>Response (Wk 6/8/10/12)</w:t>
            </w:r>
          </w:p>
        </w:tc>
      </w:tr>
      <w:tr w:rsidR="00D7254C" w:rsidRPr="000A528D" w14:paraId="4393BB3B" w14:textId="77777777" w:rsidTr="006B51DB">
        <w:tc>
          <w:tcPr>
            <w:tcW w:w="2041" w:type="pct"/>
            <w:vMerge/>
          </w:tcPr>
          <w:p w14:paraId="29F12E4F" w14:textId="77777777" w:rsidR="00D7254C" w:rsidRPr="000A528D" w:rsidRDefault="00D7254C" w:rsidP="007B6B2C">
            <w:pPr>
              <w:keepNext/>
              <w:keepLines/>
              <w:rPr>
                <w:rFonts w:ascii="Arial Narrow" w:hAnsi="Arial Narrow"/>
                <w:sz w:val="18"/>
                <w:szCs w:val="18"/>
              </w:rPr>
            </w:pPr>
          </w:p>
        </w:tc>
        <w:tc>
          <w:tcPr>
            <w:tcW w:w="708" w:type="pct"/>
            <w:vAlign w:val="center"/>
          </w:tcPr>
          <w:p w14:paraId="248A5575" w14:textId="77777777" w:rsidR="00D7254C" w:rsidRPr="000A528D" w:rsidRDefault="00D7254C" w:rsidP="007B6B2C">
            <w:pPr>
              <w:keepNext/>
              <w:keepLines/>
              <w:jc w:val="center"/>
              <w:rPr>
                <w:rFonts w:ascii="Arial Narrow" w:hAnsi="Arial Narrow"/>
                <w:b/>
                <w:bCs/>
                <w:sz w:val="18"/>
                <w:szCs w:val="18"/>
              </w:rPr>
            </w:pPr>
            <w:r w:rsidRPr="000A528D">
              <w:rPr>
                <w:rFonts w:ascii="Arial Narrow" w:hAnsi="Arial Narrow"/>
                <w:b/>
                <w:bCs/>
                <w:noProof/>
                <w:sz w:val="18"/>
                <w:szCs w:val="18"/>
              </w:rPr>
              <w:t>RR (95% CI)</w:t>
            </w:r>
          </w:p>
        </w:tc>
        <w:tc>
          <w:tcPr>
            <w:tcW w:w="771" w:type="pct"/>
            <w:vAlign w:val="center"/>
          </w:tcPr>
          <w:p w14:paraId="69FD2B4A" w14:textId="77777777" w:rsidR="00D7254C" w:rsidRPr="000A528D" w:rsidRDefault="00D7254C" w:rsidP="007B6B2C">
            <w:pPr>
              <w:keepNext/>
              <w:keepLines/>
              <w:jc w:val="center"/>
              <w:rPr>
                <w:rFonts w:ascii="Arial Narrow" w:hAnsi="Arial Narrow"/>
                <w:b/>
                <w:bCs/>
                <w:sz w:val="18"/>
                <w:szCs w:val="18"/>
              </w:rPr>
            </w:pPr>
            <w:r w:rsidRPr="000A528D">
              <w:rPr>
                <w:rFonts w:ascii="Arial Narrow" w:hAnsi="Arial Narrow"/>
                <w:b/>
                <w:bCs/>
                <w:sz w:val="18"/>
                <w:szCs w:val="18"/>
              </w:rPr>
              <w:t xml:space="preserve">RD (95% CI)  </w:t>
            </w:r>
          </w:p>
        </w:tc>
        <w:tc>
          <w:tcPr>
            <w:tcW w:w="740" w:type="pct"/>
            <w:vAlign w:val="center"/>
          </w:tcPr>
          <w:p w14:paraId="3072A228" w14:textId="77777777" w:rsidR="00D7254C" w:rsidRPr="000A528D" w:rsidRDefault="00D7254C" w:rsidP="007B6B2C">
            <w:pPr>
              <w:keepNext/>
              <w:keepLines/>
              <w:jc w:val="center"/>
              <w:rPr>
                <w:rFonts w:ascii="Arial Narrow" w:hAnsi="Arial Narrow"/>
                <w:b/>
                <w:bCs/>
                <w:sz w:val="18"/>
                <w:szCs w:val="18"/>
              </w:rPr>
            </w:pPr>
            <w:r w:rsidRPr="000A528D">
              <w:rPr>
                <w:rFonts w:ascii="Arial Narrow" w:hAnsi="Arial Narrow"/>
                <w:b/>
                <w:bCs/>
                <w:noProof/>
                <w:sz w:val="18"/>
                <w:szCs w:val="18"/>
              </w:rPr>
              <w:t>RR (95% CI)</w:t>
            </w:r>
          </w:p>
        </w:tc>
        <w:tc>
          <w:tcPr>
            <w:tcW w:w="740" w:type="pct"/>
            <w:vAlign w:val="center"/>
          </w:tcPr>
          <w:p w14:paraId="38C39E11" w14:textId="77777777" w:rsidR="00D7254C" w:rsidRPr="000A528D" w:rsidRDefault="00D7254C" w:rsidP="007B6B2C">
            <w:pPr>
              <w:keepNext/>
              <w:keepLines/>
              <w:jc w:val="center"/>
              <w:rPr>
                <w:rFonts w:ascii="Arial Narrow" w:hAnsi="Arial Narrow"/>
                <w:b/>
                <w:bCs/>
                <w:sz w:val="18"/>
                <w:szCs w:val="18"/>
              </w:rPr>
            </w:pPr>
            <w:r w:rsidRPr="000A528D">
              <w:rPr>
                <w:rFonts w:ascii="Arial Narrow" w:hAnsi="Arial Narrow"/>
                <w:b/>
                <w:bCs/>
                <w:sz w:val="18"/>
                <w:szCs w:val="18"/>
              </w:rPr>
              <w:t xml:space="preserve">RD (95% CI)  </w:t>
            </w:r>
          </w:p>
        </w:tc>
      </w:tr>
      <w:tr w:rsidR="00D7254C" w:rsidRPr="000A528D" w14:paraId="56F11209" w14:textId="77777777" w:rsidTr="006B51DB">
        <w:tc>
          <w:tcPr>
            <w:tcW w:w="2041" w:type="pct"/>
            <w:tcBorders>
              <w:top w:val="nil"/>
              <w:bottom w:val="nil"/>
            </w:tcBorders>
            <w:vAlign w:val="center"/>
          </w:tcPr>
          <w:p w14:paraId="1582A419" w14:textId="77777777" w:rsidR="00D7254C" w:rsidRPr="000A528D" w:rsidRDefault="00D7254C" w:rsidP="007B6B2C">
            <w:pPr>
              <w:keepNext/>
              <w:keepLines/>
              <w:jc w:val="right"/>
              <w:rPr>
                <w:rFonts w:ascii="Arial Narrow" w:hAnsi="Arial Narrow"/>
                <w:b/>
                <w:bCs/>
                <w:sz w:val="18"/>
                <w:szCs w:val="18"/>
              </w:rPr>
            </w:pPr>
            <w:r w:rsidRPr="000A528D">
              <w:rPr>
                <w:rFonts w:ascii="Arial Narrow" w:hAnsi="Arial Narrow"/>
                <w:b/>
                <w:bCs/>
                <w:sz w:val="18"/>
                <w:szCs w:val="18"/>
              </w:rPr>
              <w:t>ITT</w:t>
            </w:r>
          </w:p>
        </w:tc>
        <w:tc>
          <w:tcPr>
            <w:tcW w:w="708" w:type="pct"/>
            <w:tcBorders>
              <w:top w:val="nil"/>
              <w:bottom w:val="nil"/>
            </w:tcBorders>
            <w:vAlign w:val="center"/>
          </w:tcPr>
          <w:p w14:paraId="4FDE0881" w14:textId="77777777" w:rsidR="00D7254C" w:rsidRPr="001D752B" w:rsidRDefault="00D7254C" w:rsidP="007B6B2C">
            <w:pPr>
              <w:keepNext/>
              <w:keepLines/>
              <w:jc w:val="center"/>
              <w:rPr>
                <w:rFonts w:ascii="Arial Narrow" w:hAnsi="Arial Narrow"/>
                <w:sz w:val="18"/>
                <w:szCs w:val="18"/>
              </w:rPr>
            </w:pPr>
          </w:p>
        </w:tc>
        <w:tc>
          <w:tcPr>
            <w:tcW w:w="771" w:type="pct"/>
            <w:tcBorders>
              <w:top w:val="nil"/>
              <w:bottom w:val="nil"/>
            </w:tcBorders>
            <w:vAlign w:val="center"/>
          </w:tcPr>
          <w:p w14:paraId="13F92A43" w14:textId="77777777" w:rsidR="00D7254C" w:rsidRPr="001D752B" w:rsidRDefault="00D7254C" w:rsidP="007B6B2C">
            <w:pPr>
              <w:keepNext/>
              <w:keepLines/>
              <w:jc w:val="center"/>
              <w:rPr>
                <w:rFonts w:ascii="Arial Narrow" w:hAnsi="Arial Narrow"/>
                <w:sz w:val="18"/>
                <w:szCs w:val="18"/>
              </w:rPr>
            </w:pPr>
          </w:p>
        </w:tc>
        <w:tc>
          <w:tcPr>
            <w:tcW w:w="740" w:type="pct"/>
            <w:tcBorders>
              <w:top w:val="nil"/>
              <w:bottom w:val="nil"/>
            </w:tcBorders>
            <w:vAlign w:val="center"/>
          </w:tcPr>
          <w:p w14:paraId="58D7074F" w14:textId="77777777" w:rsidR="00D7254C" w:rsidRPr="001D752B" w:rsidRDefault="00D7254C" w:rsidP="007B6B2C">
            <w:pPr>
              <w:keepNext/>
              <w:keepLines/>
              <w:jc w:val="center"/>
              <w:rPr>
                <w:rFonts w:ascii="Arial Narrow" w:hAnsi="Arial Narrow"/>
                <w:sz w:val="18"/>
                <w:szCs w:val="18"/>
              </w:rPr>
            </w:pPr>
          </w:p>
        </w:tc>
        <w:tc>
          <w:tcPr>
            <w:tcW w:w="740" w:type="pct"/>
            <w:tcBorders>
              <w:top w:val="nil"/>
              <w:bottom w:val="nil"/>
            </w:tcBorders>
            <w:vAlign w:val="center"/>
          </w:tcPr>
          <w:p w14:paraId="4C4039AA" w14:textId="77777777" w:rsidR="00D7254C" w:rsidRPr="001D752B" w:rsidRDefault="00D7254C" w:rsidP="007B6B2C">
            <w:pPr>
              <w:keepNext/>
              <w:keepLines/>
              <w:jc w:val="center"/>
              <w:rPr>
                <w:rFonts w:ascii="Arial Narrow" w:hAnsi="Arial Narrow"/>
                <w:sz w:val="18"/>
                <w:szCs w:val="18"/>
              </w:rPr>
            </w:pPr>
          </w:p>
        </w:tc>
      </w:tr>
      <w:tr w:rsidR="00D7254C" w:rsidRPr="000A528D" w14:paraId="7B5912D9" w14:textId="77777777" w:rsidTr="006B51DB">
        <w:tc>
          <w:tcPr>
            <w:tcW w:w="2041" w:type="pct"/>
            <w:tcBorders>
              <w:top w:val="nil"/>
              <w:bottom w:val="nil"/>
            </w:tcBorders>
            <w:vAlign w:val="center"/>
          </w:tcPr>
          <w:p w14:paraId="794DD6F5" w14:textId="77777777" w:rsidR="00D7254C" w:rsidRPr="000A528D" w:rsidRDefault="00D7254C" w:rsidP="007B6B2C">
            <w:pPr>
              <w:keepNext/>
              <w:keepLines/>
              <w:jc w:val="right"/>
              <w:rPr>
                <w:rFonts w:ascii="Arial Narrow" w:hAnsi="Arial Narrow"/>
                <w:sz w:val="18"/>
                <w:szCs w:val="18"/>
                <w:lang w:val="it-IT"/>
              </w:rPr>
            </w:pPr>
            <w:r w:rsidRPr="000A528D">
              <w:rPr>
                <w:rFonts w:ascii="Arial Narrow" w:hAnsi="Arial Narrow"/>
                <w:iCs/>
                <w:sz w:val="18"/>
                <w:szCs w:val="18"/>
                <w:lang w:val="it-IT"/>
              </w:rPr>
              <w:t>MIRI (LUCENT I, MMS) v VDZ (MA RE, FMS)</w:t>
            </w:r>
          </w:p>
        </w:tc>
        <w:tc>
          <w:tcPr>
            <w:tcW w:w="708" w:type="pct"/>
            <w:tcBorders>
              <w:top w:val="nil"/>
              <w:bottom w:val="nil"/>
            </w:tcBorders>
            <w:vAlign w:val="center"/>
          </w:tcPr>
          <w:p w14:paraId="3A3C603A"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0.85 (0.38,1.88)</w:t>
            </w:r>
          </w:p>
        </w:tc>
        <w:tc>
          <w:tcPr>
            <w:tcW w:w="771" w:type="pct"/>
            <w:tcBorders>
              <w:top w:val="nil"/>
              <w:bottom w:val="nil"/>
            </w:tcBorders>
            <w:vAlign w:val="center"/>
          </w:tcPr>
          <w:p w14:paraId="39446836"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0.01 (-0.06,0.08)</w:t>
            </w:r>
          </w:p>
        </w:tc>
        <w:tc>
          <w:tcPr>
            <w:tcW w:w="740" w:type="pct"/>
            <w:tcBorders>
              <w:top w:val="nil"/>
              <w:bottom w:val="nil"/>
            </w:tcBorders>
            <w:vAlign w:val="center"/>
          </w:tcPr>
          <w:p w14:paraId="105EC2FA"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1.00 (0.64,1.56)</w:t>
            </w:r>
          </w:p>
        </w:tc>
        <w:tc>
          <w:tcPr>
            <w:tcW w:w="740" w:type="pct"/>
            <w:tcBorders>
              <w:top w:val="nil"/>
              <w:bottom w:val="nil"/>
            </w:tcBorders>
            <w:vAlign w:val="center"/>
          </w:tcPr>
          <w:p w14:paraId="1E6A9EC1"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0.06 (-0.10,0.22)</w:t>
            </w:r>
          </w:p>
        </w:tc>
      </w:tr>
      <w:tr w:rsidR="00D7254C" w:rsidRPr="000A528D" w14:paraId="677BF6B3" w14:textId="77777777" w:rsidTr="006B51DB">
        <w:tc>
          <w:tcPr>
            <w:tcW w:w="2041" w:type="pct"/>
            <w:tcBorders>
              <w:top w:val="nil"/>
              <w:bottom w:val="nil"/>
            </w:tcBorders>
            <w:vAlign w:val="center"/>
          </w:tcPr>
          <w:p w14:paraId="23350CA4" w14:textId="77777777" w:rsidR="00D7254C" w:rsidRPr="000A528D" w:rsidRDefault="00D7254C" w:rsidP="007B6B2C">
            <w:pPr>
              <w:keepNext/>
              <w:keepLines/>
              <w:jc w:val="right"/>
              <w:rPr>
                <w:rFonts w:ascii="Arial Narrow" w:hAnsi="Arial Narrow"/>
                <w:sz w:val="18"/>
                <w:szCs w:val="18"/>
                <w:lang w:val="it-IT"/>
              </w:rPr>
            </w:pPr>
            <w:r w:rsidRPr="000A528D">
              <w:rPr>
                <w:rFonts w:ascii="Arial Narrow" w:hAnsi="Arial Narrow"/>
                <w:iCs/>
                <w:sz w:val="18"/>
                <w:szCs w:val="18"/>
                <w:lang w:val="it-IT"/>
              </w:rPr>
              <w:t>MIRI (LUCENT I, FMS) v VDZ (MA RE, FMS)</w:t>
            </w:r>
          </w:p>
        </w:tc>
        <w:tc>
          <w:tcPr>
            <w:tcW w:w="708" w:type="pct"/>
            <w:tcBorders>
              <w:top w:val="nil"/>
              <w:bottom w:val="nil"/>
            </w:tcBorders>
            <w:vAlign w:val="center"/>
          </w:tcPr>
          <w:p w14:paraId="4532A228"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0.93 (0.41,2.12)</w:t>
            </w:r>
          </w:p>
        </w:tc>
        <w:tc>
          <w:tcPr>
            <w:tcW w:w="771" w:type="pct"/>
            <w:tcBorders>
              <w:top w:val="nil"/>
              <w:bottom w:val="nil"/>
            </w:tcBorders>
            <w:vAlign w:val="center"/>
          </w:tcPr>
          <w:p w14:paraId="4283A34F"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-0.01 (-0.08,0.06)</w:t>
            </w:r>
          </w:p>
        </w:tc>
        <w:tc>
          <w:tcPr>
            <w:tcW w:w="740" w:type="pct"/>
            <w:tcBorders>
              <w:top w:val="nil"/>
              <w:bottom w:val="nil"/>
            </w:tcBorders>
            <w:vAlign w:val="center"/>
          </w:tcPr>
          <w:p w14:paraId="4F1CF22D"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1.00 (0.64,1.56)</w:t>
            </w:r>
          </w:p>
        </w:tc>
        <w:tc>
          <w:tcPr>
            <w:tcW w:w="740" w:type="pct"/>
            <w:tcBorders>
              <w:top w:val="nil"/>
              <w:bottom w:val="nil"/>
            </w:tcBorders>
            <w:vAlign w:val="center"/>
          </w:tcPr>
          <w:p w14:paraId="24839871"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0.05 (-0.11,0.21)</w:t>
            </w:r>
          </w:p>
        </w:tc>
      </w:tr>
      <w:tr w:rsidR="00D7254C" w:rsidRPr="000A528D" w14:paraId="4B164981" w14:textId="77777777" w:rsidTr="006B51DB">
        <w:tc>
          <w:tcPr>
            <w:tcW w:w="2041" w:type="pct"/>
            <w:tcBorders>
              <w:top w:val="nil"/>
              <w:bottom w:val="nil"/>
            </w:tcBorders>
            <w:vAlign w:val="center"/>
          </w:tcPr>
          <w:p w14:paraId="19B40E17" w14:textId="77777777" w:rsidR="00D7254C" w:rsidRPr="000A528D" w:rsidRDefault="00D7254C" w:rsidP="007B6B2C">
            <w:pPr>
              <w:keepNext/>
              <w:keepLines/>
              <w:jc w:val="right"/>
              <w:rPr>
                <w:rFonts w:ascii="Arial Narrow" w:hAnsi="Arial Narrow"/>
                <w:sz w:val="18"/>
                <w:szCs w:val="18"/>
                <w:lang w:val="it-IT"/>
              </w:rPr>
            </w:pPr>
            <w:r w:rsidRPr="000A528D">
              <w:rPr>
                <w:rFonts w:ascii="Arial Narrow" w:hAnsi="Arial Narrow"/>
                <w:iCs/>
                <w:sz w:val="18"/>
                <w:szCs w:val="18"/>
                <w:lang w:val="it-IT"/>
              </w:rPr>
              <w:t>MIRI (LUCENT I, MMS) v ADA (MA RE, FMS)</w:t>
            </w:r>
          </w:p>
        </w:tc>
        <w:tc>
          <w:tcPr>
            <w:tcW w:w="708" w:type="pct"/>
            <w:tcBorders>
              <w:top w:val="nil"/>
              <w:bottom w:val="nil"/>
            </w:tcBorders>
            <w:vAlign w:val="center"/>
          </w:tcPr>
          <w:p w14:paraId="2B8D52C3"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0.97 (0.60,1.56)</w:t>
            </w:r>
          </w:p>
        </w:tc>
        <w:tc>
          <w:tcPr>
            <w:tcW w:w="771" w:type="pct"/>
            <w:tcBorders>
              <w:top w:val="nil"/>
              <w:bottom w:val="nil"/>
            </w:tcBorders>
            <w:vAlign w:val="center"/>
          </w:tcPr>
          <w:p w14:paraId="67ACC47A"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0.02 (-0.06,0.10)</w:t>
            </w:r>
          </w:p>
        </w:tc>
        <w:tc>
          <w:tcPr>
            <w:tcW w:w="740" w:type="pct"/>
            <w:tcBorders>
              <w:top w:val="nil"/>
              <w:bottom w:val="nil"/>
            </w:tcBorders>
            <w:vAlign w:val="center"/>
          </w:tcPr>
          <w:p w14:paraId="69FA5AA7" w14:textId="5E345409"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1.15 (0.95,1.39)</w:t>
            </w:r>
          </w:p>
        </w:tc>
        <w:tc>
          <w:tcPr>
            <w:tcW w:w="740" w:type="pct"/>
            <w:tcBorders>
              <w:top w:val="nil"/>
              <w:bottom w:val="nil"/>
            </w:tcBorders>
            <w:vAlign w:val="center"/>
          </w:tcPr>
          <w:p w14:paraId="4474ACCF" w14:textId="1888CC2B"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0.08 (-0.01,0.17)</w:t>
            </w:r>
          </w:p>
        </w:tc>
      </w:tr>
      <w:tr w:rsidR="00D7254C" w:rsidRPr="000A528D" w14:paraId="6E346814" w14:textId="77777777" w:rsidTr="006B51DB">
        <w:tc>
          <w:tcPr>
            <w:tcW w:w="2041" w:type="pct"/>
            <w:tcBorders>
              <w:top w:val="nil"/>
              <w:bottom w:val="nil"/>
            </w:tcBorders>
            <w:vAlign w:val="center"/>
          </w:tcPr>
          <w:p w14:paraId="310EBE91" w14:textId="77777777" w:rsidR="00D7254C" w:rsidRPr="000A528D" w:rsidRDefault="00D7254C" w:rsidP="007B6B2C">
            <w:pPr>
              <w:keepNext/>
              <w:keepLines/>
              <w:jc w:val="right"/>
              <w:rPr>
                <w:rFonts w:ascii="Arial Narrow" w:hAnsi="Arial Narrow"/>
                <w:iCs/>
                <w:sz w:val="18"/>
                <w:szCs w:val="18"/>
                <w:lang w:val="it-IT"/>
              </w:rPr>
            </w:pPr>
            <w:r w:rsidRPr="000A528D">
              <w:rPr>
                <w:rFonts w:ascii="Arial Narrow" w:hAnsi="Arial Narrow"/>
                <w:iCs/>
                <w:sz w:val="18"/>
                <w:szCs w:val="18"/>
                <w:lang w:val="it-IT"/>
              </w:rPr>
              <w:t>MIRI (LUCENT I, MMS) v ADA (MA RE, FMS, exclude HIBISCUS I/II)</w:t>
            </w:r>
          </w:p>
        </w:tc>
        <w:tc>
          <w:tcPr>
            <w:tcW w:w="708" w:type="pct"/>
            <w:tcBorders>
              <w:top w:val="nil"/>
              <w:bottom w:val="nil"/>
            </w:tcBorders>
            <w:vAlign w:val="center"/>
          </w:tcPr>
          <w:p w14:paraId="1DB19F50"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1.15 (0.68,1.94)</w:t>
            </w:r>
          </w:p>
        </w:tc>
        <w:tc>
          <w:tcPr>
            <w:tcW w:w="771" w:type="pct"/>
            <w:tcBorders>
              <w:top w:val="nil"/>
              <w:bottom w:val="nil"/>
            </w:tcBorders>
            <w:vAlign w:val="center"/>
          </w:tcPr>
          <w:p w14:paraId="42398359"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0.06 (-0.01,0.13)</w:t>
            </w:r>
          </w:p>
        </w:tc>
        <w:tc>
          <w:tcPr>
            <w:tcW w:w="740" w:type="pct"/>
            <w:tcBorders>
              <w:top w:val="nil"/>
              <w:bottom w:val="nil"/>
            </w:tcBorders>
            <w:vAlign w:val="center"/>
          </w:tcPr>
          <w:p w14:paraId="3370CB85" w14:textId="530D3A81"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1.11 (0.90,1.36)</w:t>
            </w:r>
          </w:p>
        </w:tc>
        <w:tc>
          <w:tcPr>
            <w:tcW w:w="740" w:type="pct"/>
            <w:tcBorders>
              <w:top w:val="nil"/>
              <w:bottom w:val="nil"/>
            </w:tcBorders>
            <w:vAlign w:val="center"/>
          </w:tcPr>
          <w:p w14:paraId="093C6D29" w14:textId="3D8A3923"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0.07 (-0.02,0.16)</w:t>
            </w:r>
          </w:p>
        </w:tc>
      </w:tr>
      <w:tr w:rsidR="00D7254C" w:rsidRPr="000A528D" w14:paraId="17EB3650" w14:textId="77777777" w:rsidTr="006B51DB">
        <w:tc>
          <w:tcPr>
            <w:tcW w:w="2041" w:type="pct"/>
            <w:tcBorders>
              <w:top w:val="nil"/>
              <w:bottom w:val="nil"/>
            </w:tcBorders>
            <w:vAlign w:val="center"/>
          </w:tcPr>
          <w:p w14:paraId="6B89AB38" w14:textId="77777777" w:rsidR="00D7254C" w:rsidRPr="000A528D" w:rsidRDefault="00D7254C" w:rsidP="007B6B2C">
            <w:pPr>
              <w:keepNext/>
              <w:keepLines/>
              <w:jc w:val="right"/>
              <w:rPr>
                <w:rFonts w:ascii="Arial Narrow" w:hAnsi="Arial Narrow"/>
                <w:sz w:val="18"/>
                <w:szCs w:val="18"/>
                <w:lang w:val="it-IT"/>
              </w:rPr>
            </w:pPr>
            <w:r w:rsidRPr="000A528D">
              <w:rPr>
                <w:rFonts w:ascii="Arial Narrow" w:hAnsi="Arial Narrow"/>
                <w:iCs/>
                <w:sz w:val="18"/>
                <w:szCs w:val="18"/>
                <w:lang w:val="it-IT"/>
              </w:rPr>
              <w:t>MIRI (LUCENT I, FMS) v ADA (MA RE, FMS)</w:t>
            </w:r>
          </w:p>
        </w:tc>
        <w:tc>
          <w:tcPr>
            <w:tcW w:w="708" w:type="pct"/>
            <w:tcBorders>
              <w:top w:val="nil"/>
              <w:bottom w:val="nil"/>
            </w:tcBorders>
            <w:vAlign w:val="center"/>
          </w:tcPr>
          <w:p w14:paraId="1B7A692D"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1.06 (0.63,1.79)</w:t>
            </w:r>
          </w:p>
        </w:tc>
        <w:tc>
          <w:tcPr>
            <w:tcW w:w="771" w:type="pct"/>
            <w:tcBorders>
              <w:top w:val="nil"/>
              <w:bottom w:val="nil"/>
            </w:tcBorders>
            <w:vAlign w:val="center"/>
          </w:tcPr>
          <w:p w14:paraId="42219121"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0.00 (-0.08,0.08)</w:t>
            </w:r>
          </w:p>
        </w:tc>
        <w:tc>
          <w:tcPr>
            <w:tcW w:w="740" w:type="pct"/>
            <w:tcBorders>
              <w:top w:val="nil"/>
              <w:bottom w:val="nil"/>
            </w:tcBorders>
            <w:vAlign w:val="center"/>
          </w:tcPr>
          <w:p w14:paraId="1CC97828"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1.15 (0.95,1.40)</w:t>
            </w:r>
          </w:p>
        </w:tc>
        <w:tc>
          <w:tcPr>
            <w:tcW w:w="740" w:type="pct"/>
            <w:tcBorders>
              <w:top w:val="nil"/>
              <w:bottom w:val="nil"/>
            </w:tcBorders>
            <w:vAlign w:val="center"/>
          </w:tcPr>
          <w:p w14:paraId="78134FD9"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0.07 (-0.02,0.16)</w:t>
            </w:r>
          </w:p>
        </w:tc>
      </w:tr>
      <w:tr w:rsidR="00D7254C" w:rsidRPr="000A528D" w14:paraId="59228D92" w14:textId="77777777" w:rsidTr="006B51DB">
        <w:tc>
          <w:tcPr>
            <w:tcW w:w="2041" w:type="pct"/>
            <w:tcBorders>
              <w:top w:val="nil"/>
              <w:bottom w:val="nil"/>
            </w:tcBorders>
            <w:vAlign w:val="center"/>
          </w:tcPr>
          <w:p w14:paraId="358F65EB" w14:textId="77777777" w:rsidR="00D7254C" w:rsidRPr="000A528D" w:rsidRDefault="00D7254C" w:rsidP="007B6B2C">
            <w:pPr>
              <w:keepNext/>
              <w:keepLines/>
              <w:jc w:val="right"/>
              <w:rPr>
                <w:rFonts w:ascii="Arial Narrow" w:hAnsi="Arial Narrow"/>
                <w:iCs/>
                <w:sz w:val="18"/>
                <w:szCs w:val="18"/>
                <w:lang w:val="it-IT"/>
              </w:rPr>
            </w:pPr>
            <w:r w:rsidRPr="000A528D">
              <w:rPr>
                <w:rFonts w:ascii="Arial Narrow" w:hAnsi="Arial Narrow"/>
                <w:iCs/>
                <w:sz w:val="18"/>
                <w:szCs w:val="18"/>
                <w:lang w:val="pt-PT"/>
              </w:rPr>
              <w:t>MIRI (LUCENT I, FMS) v ADA (MA RE, FMS, exclude HIBISCUS I/II)</w:t>
            </w:r>
          </w:p>
        </w:tc>
        <w:tc>
          <w:tcPr>
            <w:tcW w:w="708" w:type="pct"/>
            <w:tcBorders>
              <w:top w:val="nil"/>
              <w:bottom w:val="nil"/>
            </w:tcBorders>
            <w:vAlign w:val="center"/>
          </w:tcPr>
          <w:p w14:paraId="5945AD74"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71" w:type="pct"/>
            <w:tcBorders>
              <w:top w:val="nil"/>
              <w:bottom w:val="nil"/>
            </w:tcBorders>
            <w:vAlign w:val="center"/>
          </w:tcPr>
          <w:p w14:paraId="611C271C"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40" w:type="pct"/>
            <w:tcBorders>
              <w:top w:val="nil"/>
              <w:bottom w:val="nil"/>
            </w:tcBorders>
            <w:vAlign w:val="center"/>
          </w:tcPr>
          <w:p w14:paraId="10155390" w14:textId="7ABEB81F"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1.11 (0.90,1.37)</w:t>
            </w:r>
          </w:p>
        </w:tc>
        <w:tc>
          <w:tcPr>
            <w:tcW w:w="740" w:type="pct"/>
            <w:tcBorders>
              <w:top w:val="nil"/>
              <w:bottom w:val="nil"/>
            </w:tcBorders>
            <w:vAlign w:val="center"/>
          </w:tcPr>
          <w:p w14:paraId="1D336E7E" w14:textId="1E2407DA"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0.06 (-0.03,0.15)</w:t>
            </w:r>
          </w:p>
        </w:tc>
      </w:tr>
      <w:tr w:rsidR="00D7254C" w:rsidRPr="000A528D" w14:paraId="3119E649" w14:textId="77777777" w:rsidTr="006B51DB">
        <w:tc>
          <w:tcPr>
            <w:tcW w:w="2041" w:type="pct"/>
            <w:tcBorders>
              <w:top w:val="nil"/>
              <w:bottom w:val="nil"/>
            </w:tcBorders>
            <w:vAlign w:val="center"/>
          </w:tcPr>
          <w:p w14:paraId="1D9E03EA" w14:textId="77777777" w:rsidR="00D7254C" w:rsidRPr="000A528D" w:rsidRDefault="00D7254C" w:rsidP="007B6B2C">
            <w:pPr>
              <w:keepNext/>
              <w:keepLines/>
              <w:jc w:val="right"/>
              <w:rPr>
                <w:rFonts w:ascii="Arial Narrow" w:hAnsi="Arial Narrow"/>
                <w:sz w:val="18"/>
                <w:szCs w:val="18"/>
              </w:rPr>
            </w:pPr>
            <w:r w:rsidRPr="000A528D">
              <w:rPr>
                <w:rFonts w:ascii="Arial Narrow" w:hAnsi="Arial Narrow"/>
                <w:iCs/>
                <w:sz w:val="18"/>
                <w:szCs w:val="18"/>
                <w:lang w:val="it-IT"/>
              </w:rPr>
              <w:t>MIRI (LUCENT I, MMS) v UST (UNIFI, FMS)</w:t>
            </w:r>
          </w:p>
        </w:tc>
        <w:tc>
          <w:tcPr>
            <w:tcW w:w="708" w:type="pct"/>
            <w:tcBorders>
              <w:top w:val="nil"/>
              <w:bottom w:val="nil"/>
            </w:tcBorders>
            <w:vAlign w:val="center"/>
          </w:tcPr>
          <w:p w14:paraId="5208F4BC" w14:textId="2E312404"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0.63 (0.34,1</w:t>
            </w:r>
            <w:r w:rsidR="00726579">
              <w:rPr>
                <w:rFonts w:ascii="Arial Narrow" w:hAnsi="Arial Narrow"/>
                <w:sz w:val="18"/>
                <w:szCs w:val="18"/>
              </w:rPr>
              <w:t>.</w:t>
            </w:r>
            <w:r w:rsidRPr="001D752B">
              <w:rPr>
                <w:rFonts w:ascii="Arial Narrow" w:hAnsi="Arial Narrow"/>
                <w:sz w:val="18"/>
                <w:szCs w:val="18"/>
              </w:rPr>
              <w:t>16)</w:t>
            </w:r>
          </w:p>
        </w:tc>
        <w:tc>
          <w:tcPr>
            <w:tcW w:w="771" w:type="pct"/>
            <w:tcBorders>
              <w:top w:val="nil"/>
              <w:bottom w:val="nil"/>
            </w:tcBorders>
          </w:tcPr>
          <w:p w14:paraId="3CA1AA23"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0.01 (-0.06,0.08)</w:t>
            </w:r>
          </w:p>
        </w:tc>
        <w:tc>
          <w:tcPr>
            <w:tcW w:w="740" w:type="pct"/>
            <w:tcBorders>
              <w:top w:val="nil"/>
              <w:bottom w:val="nil"/>
            </w:tcBorders>
            <w:vAlign w:val="center"/>
          </w:tcPr>
          <w:p w14:paraId="2108D264" w14:textId="77777777"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0.77 (0.61,0.97)</w:t>
            </w:r>
          </w:p>
        </w:tc>
        <w:tc>
          <w:tcPr>
            <w:tcW w:w="740" w:type="pct"/>
            <w:tcBorders>
              <w:top w:val="nil"/>
              <w:bottom w:val="nil"/>
            </w:tcBorders>
            <w:vAlign w:val="center"/>
          </w:tcPr>
          <w:p w14:paraId="6A7BF95A"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-0.09 (-0.19,0.01)</w:t>
            </w:r>
          </w:p>
        </w:tc>
      </w:tr>
      <w:tr w:rsidR="00D7254C" w:rsidRPr="000A528D" w14:paraId="7AD42FC3" w14:textId="77777777" w:rsidTr="006B51DB">
        <w:tc>
          <w:tcPr>
            <w:tcW w:w="2041" w:type="pct"/>
            <w:tcBorders>
              <w:top w:val="nil"/>
              <w:bottom w:val="nil"/>
            </w:tcBorders>
            <w:vAlign w:val="center"/>
          </w:tcPr>
          <w:p w14:paraId="49A44A46" w14:textId="77777777" w:rsidR="00D7254C" w:rsidRPr="000A528D" w:rsidRDefault="00D7254C" w:rsidP="007B6B2C">
            <w:pPr>
              <w:keepNext/>
              <w:keepLines/>
              <w:jc w:val="right"/>
              <w:rPr>
                <w:rFonts w:ascii="Arial Narrow" w:hAnsi="Arial Narrow"/>
                <w:sz w:val="18"/>
                <w:szCs w:val="18"/>
              </w:rPr>
            </w:pPr>
            <w:r w:rsidRPr="000A528D">
              <w:rPr>
                <w:rFonts w:ascii="Arial Narrow" w:hAnsi="Arial Narrow"/>
                <w:iCs/>
                <w:sz w:val="18"/>
                <w:szCs w:val="18"/>
                <w:lang w:val="it-IT"/>
              </w:rPr>
              <w:t>MIRI (LUCENT I, FMS) v UST (UNIFI, FMS)</w:t>
            </w:r>
          </w:p>
        </w:tc>
        <w:tc>
          <w:tcPr>
            <w:tcW w:w="708" w:type="pct"/>
            <w:tcBorders>
              <w:top w:val="nil"/>
              <w:bottom w:val="nil"/>
            </w:tcBorders>
            <w:vAlign w:val="center"/>
          </w:tcPr>
          <w:p w14:paraId="3EC22B68"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0.69 (0.36,1.31)</w:t>
            </w:r>
          </w:p>
        </w:tc>
        <w:tc>
          <w:tcPr>
            <w:tcW w:w="771" w:type="pct"/>
            <w:tcBorders>
              <w:top w:val="nil"/>
              <w:bottom w:val="nil"/>
            </w:tcBorders>
            <w:vAlign w:val="center"/>
          </w:tcPr>
          <w:p w14:paraId="3A0815AA"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-0.01 (-0.07,0.05)</w:t>
            </w:r>
          </w:p>
        </w:tc>
        <w:tc>
          <w:tcPr>
            <w:tcW w:w="740" w:type="pct"/>
            <w:tcBorders>
              <w:top w:val="nil"/>
              <w:bottom w:val="nil"/>
            </w:tcBorders>
            <w:vAlign w:val="center"/>
          </w:tcPr>
          <w:p w14:paraId="6333EF46" w14:textId="77777777"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0.77 (0.60,0.97)</w:t>
            </w:r>
          </w:p>
        </w:tc>
        <w:tc>
          <w:tcPr>
            <w:tcW w:w="740" w:type="pct"/>
            <w:tcBorders>
              <w:top w:val="nil"/>
              <w:bottom w:val="nil"/>
            </w:tcBorders>
            <w:vAlign w:val="center"/>
          </w:tcPr>
          <w:p w14:paraId="5A6F4C6F"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-0.10 (-0.20,0.00)</w:t>
            </w:r>
          </w:p>
        </w:tc>
      </w:tr>
      <w:tr w:rsidR="00D7254C" w:rsidRPr="000A528D" w14:paraId="7D26CC5E" w14:textId="77777777" w:rsidTr="006B51DB">
        <w:tc>
          <w:tcPr>
            <w:tcW w:w="2041" w:type="pct"/>
            <w:tcBorders>
              <w:top w:val="nil"/>
              <w:bottom w:val="nil"/>
            </w:tcBorders>
            <w:vAlign w:val="center"/>
          </w:tcPr>
          <w:p w14:paraId="39394C31" w14:textId="26FCACAC" w:rsidR="00D7254C" w:rsidRPr="000A528D" w:rsidRDefault="00AF7030" w:rsidP="007B6B2C">
            <w:pPr>
              <w:keepNext/>
              <w:keepLines/>
              <w:jc w:val="right"/>
              <w:rPr>
                <w:rFonts w:ascii="Arial Narrow" w:hAnsi="Arial Narrow"/>
                <w:iCs/>
                <w:sz w:val="18"/>
                <w:szCs w:val="18"/>
              </w:rPr>
            </w:pPr>
            <w:r w:rsidRPr="000A528D">
              <w:rPr>
                <w:rFonts w:ascii="Arial Narrow" w:hAnsi="Arial Narrow"/>
                <w:b/>
                <w:bCs/>
                <w:iCs/>
                <w:sz w:val="18"/>
                <w:szCs w:val="18"/>
              </w:rPr>
              <w:t>bDMARDs/tsDMARDs</w:t>
            </w:r>
            <w:r w:rsidR="00D7254C" w:rsidRPr="000A528D">
              <w:rPr>
                <w:rFonts w:ascii="Arial Narrow" w:hAnsi="Arial Narrow"/>
                <w:b/>
                <w:bCs/>
                <w:iCs/>
                <w:sz w:val="18"/>
                <w:szCs w:val="18"/>
              </w:rPr>
              <w:t>-naive</w:t>
            </w:r>
          </w:p>
        </w:tc>
        <w:tc>
          <w:tcPr>
            <w:tcW w:w="708" w:type="pct"/>
            <w:tcBorders>
              <w:top w:val="nil"/>
              <w:bottom w:val="nil"/>
            </w:tcBorders>
            <w:vAlign w:val="center"/>
          </w:tcPr>
          <w:p w14:paraId="662CD37B" w14:textId="77777777" w:rsidR="00D7254C" w:rsidRPr="001D752B" w:rsidRDefault="00D7254C" w:rsidP="007B6B2C">
            <w:pPr>
              <w:keepNext/>
              <w:keepLines/>
              <w:jc w:val="center"/>
              <w:rPr>
                <w:rFonts w:ascii="Arial Narrow" w:hAnsi="Arial Narrow"/>
                <w:sz w:val="18"/>
                <w:szCs w:val="18"/>
              </w:rPr>
            </w:pPr>
          </w:p>
        </w:tc>
        <w:tc>
          <w:tcPr>
            <w:tcW w:w="771" w:type="pct"/>
            <w:tcBorders>
              <w:top w:val="nil"/>
              <w:bottom w:val="nil"/>
            </w:tcBorders>
            <w:vAlign w:val="center"/>
          </w:tcPr>
          <w:p w14:paraId="60BA1429" w14:textId="77777777" w:rsidR="00D7254C" w:rsidRPr="001D752B" w:rsidRDefault="00D7254C" w:rsidP="007B6B2C">
            <w:pPr>
              <w:keepNext/>
              <w:keepLines/>
              <w:jc w:val="center"/>
              <w:rPr>
                <w:rFonts w:ascii="Arial Narrow" w:hAnsi="Arial Narrow"/>
                <w:sz w:val="18"/>
                <w:szCs w:val="18"/>
              </w:rPr>
            </w:pPr>
          </w:p>
        </w:tc>
        <w:tc>
          <w:tcPr>
            <w:tcW w:w="740" w:type="pct"/>
            <w:tcBorders>
              <w:top w:val="nil"/>
              <w:bottom w:val="nil"/>
            </w:tcBorders>
            <w:vAlign w:val="center"/>
          </w:tcPr>
          <w:p w14:paraId="5DA45A1C" w14:textId="77777777" w:rsidR="00D7254C" w:rsidRPr="001D752B" w:rsidRDefault="00D7254C" w:rsidP="007B6B2C">
            <w:pPr>
              <w:keepNext/>
              <w:keepLines/>
              <w:jc w:val="center"/>
              <w:rPr>
                <w:rFonts w:ascii="Arial Narrow" w:hAnsi="Arial Narrow"/>
                <w:sz w:val="18"/>
                <w:szCs w:val="18"/>
              </w:rPr>
            </w:pPr>
          </w:p>
        </w:tc>
        <w:tc>
          <w:tcPr>
            <w:tcW w:w="740" w:type="pct"/>
            <w:tcBorders>
              <w:top w:val="nil"/>
              <w:bottom w:val="nil"/>
            </w:tcBorders>
            <w:vAlign w:val="center"/>
          </w:tcPr>
          <w:p w14:paraId="0521CF9F" w14:textId="77777777" w:rsidR="00D7254C" w:rsidRPr="001D752B" w:rsidRDefault="00D7254C" w:rsidP="007B6B2C">
            <w:pPr>
              <w:keepNext/>
              <w:keepLines/>
              <w:jc w:val="center"/>
              <w:rPr>
                <w:rFonts w:ascii="Arial Narrow" w:hAnsi="Arial Narrow"/>
                <w:sz w:val="18"/>
                <w:szCs w:val="18"/>
              </w:rPr>
            </w:pPr>
          </w:p>
        </w:tc>
      </w:tr>
      <w:tr w:rsidR="00D7254C" w:rsidRPr="000A528D" w14:paraId="133B6D96" w14:textId="77777777" w:rsidTr="006B51DB">
        <w:tc>
          <w:tcPr>
            <w:tcW w:w="2041" w:type="pct"/>
            <w:tcBorders>
              <w:top w:val="nil"/>
              <w:bottom w:val="nil"/>
            </w:tcBorders>
            <w:vAlign w:val="center"/>
          </w:tcPr>
          <w:p w14:paraId="547B2889" w14:textId="77777777" w:rsidR="00D7254C" w:rsidRPr="000A528D" w:rsidRDefault="00D7254C" w:rsidP="007B6B2C">
            <w:pPr>
              <w:keepNext/>
              <w:keepLines/>
              <w:jc w:val="right"/>
              <w:rPr>
                <w:rFonts w:ascii="Arial Narrow" w:hAnsi="Arial Narrow"/>
                <w:iCs/>
                <w:sz w:val="18"/>
                <w:szCs w:val="18"/>
                <w:lang w:val="it-IT"/>
              </w:rPr>
            </w:pPr>
            <w:r w:rsidRPr="000A528D">
              <w:rPr>
                <w:rFonts w:ascii="Arial Narrow" w:hAnsi="Arial Narrow"/>
                <w:iCs/>
                <w:sz w:val="18"/>
                <w:szCs w:val="18"/>
                <w:lang w:val="it-IT"/>
              </w:rPr>
              <w:t>MIRI (LUCENT I, MMS) v VDZ (MA RE, FMS)</w:t>
            </w:r>
          </w:p>
        </w:tc>
        <w:tc>
          <w:tcPr>
            <w:tcW w:w="708" w:type="pct"/>
            <w:tcBorders>
              <w:top w:val="nil"/>
              <w:bottom w:val="nil"/>
            </w:tcBorders>
            <w:vAlign w:val="center"/>
          </w:tcPr>
          <w:p w14:paraId="13CEE950" w14:textId="209850BF"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0.78 (0.38,1.59)</w:t>
            </w:r>
          </w:p>
        </w:tc>
        <w:tc>
          <w:tcPr>
            <w:tcW w:w="771" w:type="pct"/>
            <w:tcBorders>
              <w:top w:val="nil"/>
              <w:bottom w:val="nil"/>
            </w:tcBorders>
            <w:vAlign w:val="center"/>
          </w:tcPr>
          <w:p w14:paraId="03D957DD" w14:textId="697886E3"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-0.01 (-0.11,0.09)</w:t>
            </w:r>
          </w:p>
        </w:tc>
        <w:tc>
          <w:tcPr>
            <w:tcW w:w="740" w:type="pct"/>
            <w:tcBorders>
              <w:top w:val="nil"/>
              <w:bottom w:val="nil"/>
            </w:tcBorders>
            <w:vAlign w:val="center"/>
          </w:tcPr>
          <w:p w14:paraId="440C7CCC" w14:textId="01AA7740"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0.80 (0.56,1.14)</w:t>
            </w:r>
          </w:p>
        </w:tc>
        <w:tc>
          <w:tcPr>
            <w:tcW w:w="740" w:type="pct"/>
            <w:tcBorders>
              <w:top w:val="nil"/>
              <w:bottom w:val="nil"/>
            </w:tcBorders>
            <w:vAlign w:val="center"/>
          </w:tcPr>
          <w:p w14:paraId="2E1C6AD6" w14:textId="31469563"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-0.03 (-0.17,0.11)</w:t>
            </w:r>
          </w:p>
        </w:tc>
      </w:tr>
      <w:tr w:rsidR="00D7254C" w:rsidRPr="000A528D" w14:paraId="0015ABAC" w14:textId="77777777" w:rsidTr="006B51DB">
        <w:tc>
          <w:tcPr>
            <w:tcW w:w="2041" w:type="pct"/>
            <w:tcBorders>
              <w:top w:val="nil"/>
              <w:bottom w:val="nil"/>
            </w:tcBorders>
            <w:vAlign w:val="center"/>
          </w:tcPr>
          <w:p w14:paraId="69E7BECC" w14:textId="77777777" w:rsidR="00D7254C" w:rsidRPr="000A528D" w:rsidRDefault="00D7254C" w:rsidP="007B6B2C">
            <w:pPr>
              <w:keepNext/>
              <w:keepLines/>
              <w:jc w:val="right"/>
              <w:rPr>
                <w:rFonts w:ascii="Arial Narrow" w:hAnsi="Arial Narrow"/>
                <w:iCs/>
                <w:sz w:val="18"/>
                <w:szCs w:val="18"/>
                <w:lang w:val="it-IT"/>
              </w:rPr>
            </w:pPr>
            <w:r w:rsidRPr="000A528D">
              <w:rPr>
                <w:rFonts w:ascii="Arial Narrow" w:hAnsi="Arial Narrow"/>
                <w:iCs/>
                <w:sz w:val="18"/>
                <w:szCs w:val="18"/>
                <w:lang w:val="it-IT"/>
              </w:rPr>
              <w:t>MIRI (LUCENT I, FMS) v VDZ (MA RE, FMS)</w:t>
            </w:r>
          </w:p>
        </w:tc>
        <w:tc>
          <w:tcPr>
            <w:tcW w:w="708" w:type="pct"/>
            <w:tcBorders>
              <w:top w:val="nil"/>
              <w:bottom w:val="nil"/>
            </w:tcBorders>
            <w:vAlign w:val="center"/>
          </w:tcPr>
          <w:p w14:paraId="7A8F97DC"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71" w:type="pct"/>
            <w:tcBorders>
              <w:top w:val="nil"/>
              <w:bottom w:val="nil"/>
            </w:tcBorders>
            <w:vAlign w:val="center"/>
          </w:tcPr>
          <w:p w14:paraId="71C1C782"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40" w:type="pct"/>
            <w:tcBorders>
              <w:top w:val="nil"/>
              <w:bottom w:val="nil"/>
            </w:tcBorders>
            <w:vAlign w:val="center"/>
          </w:tcPr>
          <w:p w14:paraId="320FB858"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40" w:type="pct"/>
            <w:tcBorders>
              <w:top w:val="nil"/>
              <w:bottom w:val="nil"/>
            </w:tcBorders>
            <w:vAlign w:val="center"/>
          </w:tcPr>
          <w:p w14:paraId="201FD406"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r>
      <w:tr w:rsidR="00D7254C" w:rsidRPr="000A528D" w14:paraId="46B94F70" w14:textId="77777777" w:rsidTr="006B51DB">
        <w:tc>
          <w:tcPr>
            <w:tcW w:w="2041" w:type="pct"/>
            <w:tcBorders>
              <w:top w:val="nil"/>
              <w:bottom w:val="nil"/>
            </w:tcBorders>
            <w:vAlign w:val="center"/>
          </w:tcPr>
          <w:p w14:paraId="5A678F85" w14:textId="77777777" w:rsidR="00D7254C" w:rsidRPr="000A528D" w:rsidRDefault="00D7254C" w:rsidP="007B6B2C">
            <w:pPr>
              <w:keepNext/>
              <w:keepLines/>
              <w:jc w:val="right"/>
              <w:rPr>
                <w:rFonts w:ascii="Arial Narrow" w:hAnsi="Arial Narrow"/>
                <w:iCs/>
                <w:sz w:val="18"/>
                <w:szCs w:val="18"/>
                <w:lang w:val="it-IT"/>
              </w:rPr>
            </w:pPr>
            <w:r w:rsidRPr="000A528D">
              <w:rPr>
                <w:rFonts w:ascii="Arial Narrow" w:hAnsi="Arial Narrow"/>
                <w:iCs/>
                <w:sz w:val="18"/>
                <w:szCs w:val="18"/>
                <w:lang w:val="it-IT"/>
              </w:rPr>
              <w:t>MIRI (LUCENT I, MMS) v ADA (MA RE, FMS)</w:t>
            </w:r>
          </w:p>
        </w:tc>
        <w:tc>
          <w:tcPr>
            <w:tcW w:w="708" w:type="pct"/>
            <w:tcBorders>
              <w:top w:val="nil"/>
              <w:bottom w:val="nil"/>
            </w:tcBorders>
            <w:vAlign w:val="center"/>
          </w:tcPr>
          <w:p w14:paraId="51F9B756" w14:textId="35CD508F"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1.01 (0.60,1.70)</w:t>
            </w:r>
          </w:p>
        </w:tc>
        <w:tc>
          <w:tcPr>
            <w:tcW w:w="771" w:type="pct"/>
            <w:tcBorders>
              <w:top w:val="nil"/>
              <w:bottom w:val="nil"/>
            </w:tcBorders>
            <w:vAlign w:val="center"/>
          </w:tcPr>
          <w:p w14:paraId="73FB336F" w14:textId="788D8D74"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0.05 (-0.04,0.14)</w:t>
            </w:r>
          </w:p>
        </w:tc>
        <w:tc>
          <w:tcPr>
            <w:tcW w:w="740" w:type="pct"/>
            <w:tcBorders>
              <w:top w:val="nil"/>
              <w:bottom w:val="nil"/>
            </w:tcBorders>
            <w:vAlign w:val="center"/>
          </w:tcPr>
          <w:p w14:paraId="06F11753" w14:textId="03AD7AA4"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1.05 (0.86,1.29)</w:t>
            </w:r>
          </w:p>
        </w:tc>
        <w:tc>
          <w:tcPr>
            <w:tcW w:w="740" w:type="pct"/>
            <w:tcBorders>
              <w:top w:val="nil"/>
              <w:bottom w:val="nil"/>
            </w:tcBorders>
            <w:vAlign w:val="center"/>
          </w:tcPr>
          <w:p w14:paraId="6A187124" w14:textId="7BDDBD16"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0.07 (-0.03,0.17)</w:t>
            </w:r>
          </w:p>
        </w:tc>
      </w:tr>
      <w:tr w:rsidR="00D7254C" w:rsidRPr="000A528D" w14:paraId="6F80A974" w14:textId="77777777" w:rsidTr="006B51DB">
        <w:tc>
          <w:tcPr>
            <w:tcW w:w="2041" w:type="pct"/>
            <w:tcBorders>
              <w:top w:val="nil"/>
              <w:bottom w:val="nil"/>
            </w:tcBorders>
            <w:vAlign w:val="center"/>
          </w:tcPr>
          <w:p w14:paraId="4E2961F7" w14:textId="77777777" w:rsidR="00D7254C" w:rsidRPr="000A528D" w:rsidRDefault="00D7254C" w:rsidP="007B6B2C">
            <w:pPr>
              <w:keepNext/>
              <w:keepLines/>
              <w:jc w:val="right"/>
              <w:rPr>
                <w:rFonts w:ascii="Arial Narrow" w:hAnsi="Arial Narrow"/>
                <w:iCs/>
                <w:sz w:val="18"/>
                <w:szCs w:val="18"/>
                <w:lang w:val="it-IT"/>
              </w:rPr>
            </w:pPr>
            <w:r w:rsidRPr="000A528D">
              <w:rPr>
                <w:rFonts w:ascii="Arial Narrow" w:hAnsi="Arial Narrow"/>
                <w:iCs/>
                <w:sz w:val="18"/>
                <w:szCs w:val="18"/>
                <w:lang w:val="pt-PT"/>
              </w:rPr>
              <w:t>MIRI (LUCENT I, MMS) v ADA (MA RE, FMS, exclude HIBISCUS I/II)</w:t>
            </w:r>
          </w:p>
        </w:tc>
        <w:tc>
          <w:tcPr>
            <w:tcW w:w="708" w:type="pct"/>
            <w:tcBorders>
              <w:top w:val="nil"/>
              <w:bottom w:val="nil"/>
            </w:tcBorders>
            <w:vAlign w:val="center"/>
          </w:tcPr>
          <w:p w14:paraId="24A01840"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71" w:type="pct"/>
            <w:tcBorders>
              <w:top w:val="nil"/>
              <w:bottom w:val="nil"/>
            </w:tcBorders>
            <w:vAlign w:val="center"/>
          </w:tcPr>
          <w:p w14:paraId="2CCF08B9"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40" w:type="pct"/>
            <w:tcBorders>
              <w:top w:val="nil"/>
              <w:bottom w:val="nil"/>
            </w:tcBorders>
            <w:vAlign w:val="center"/>
          </w:tcPr>
          <w:p w14:paraId="1D8E60E6" w14:textId="27AA0AE2"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1.01 (0.81,1.26)</w:t>
            </w:r>
          </w:p>
        </w:tc>
        <w:tc>
          <w:tcPr>
            <w:tcW w:w="740" w:type="pct"/>
            <w:tcBorders>
              <w:top w:val="nil"/>
              <w:bottom w:val="nil"/>
            </w:tcBorders>
            <w:vAlign w:val="center"/>
          </w:tcPr>
          <w:p w14:paraId="7A281A2A" w14:textId="51B85A28"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0.05 (-0.06,0.16)</w:t>
            </w:r>
          </w:p>
        </w:tc>
      </w:tr>
      <w:tr w:rsidR="00D7254C" w:rsidRPr="000A528D" w14:paraId="479FD6E6" w14:textId="77777777" w:rsidTr="006B51DB">
        <w:tc>
          <w:tcPr>
            <w:tcW w:w="2041" w:type="pct"/>
            <w:tcBorders>
              <w:top w:val="nil"/>
              <w:bottom w:val="nil"/>
            </w:tcBorders>
            <w:vAlign w:val="center"/>
          </w:tcPr>
          <w:p w14:paraId="35F1AC12" w14:textId="77777777" w:rsidR="00D7254C" w:rsidRPr="000A528D" w:rsidRDefault="00D7254C" w:rsidP="007B6B2C">
            <w:pPr>
              <w:keepNext/>
              <w:keepLines/>
              <w:jc w:val="right"/>
              <w:rPr>
                <w:rFonts w:ascii="Arial Narrow" w:hAnsi="Arial Narrow"/>
                <w:iCs/>
                <w:sz w:val="18"/>
                <w:szCs w:val="18"/>
                <w:lang w:val="it-IT"/>
              </w:rPr>
            </w:pPr>
            <w:r w:rsidRPr="000A528D">
              <w:rPr>
                <w:rFonts w:ascii="Arial Narrow" w:hAnsi="Arial Narrow"/>
                <w:iCs/>
                <w:sz w:val="18"/>
                <w:szCs w:val="18"/>
                <w:lang w:val="it-IT"/>
              </w:rPr>
              <w:t>MIRI (LUCENT I, MMS) v UST (UNIFI, FMS)</w:t>
            </w:r>
          </w:p>
        </w:tc>
        <w:tc>
          <w:tcPr>
            <w:tcW w:w="708" w:type="pct"/>
            <w:tcBorders>
              <w:top w:val="nil"/>
              <w:bottom w:val="nil"/>
            </w:tcBorders>
            <w:vAlign w:val="center"/>
          </w:tcPr>
          <w:p w14:paraId="1362FBCB" w14:textId="4FDB9419"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1.06 (0.53,2.12)</w:t>
            </w:r>
          </w:p>
        </w:tc>
        <w:tc>
          <w:tcPr>
            <w:tcW w:w="771" w:type="pct"/>
            <w:tcBorders>
              <w:top w:val="nil"/>
              <w:bottom w:val="nil"/>
            </w:tcBorders>
            <w:vAlign w:val="center"/>
          </w:tcPr>
          <w:p w14:paraId="576258A3" w14:textId="283AF31E"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0.07 (-0.03,0.17)</w:t>
            </w:r>
          </w:p>
        </w:tc>
        <w:tc>
          <w:tcPr>
            <w:tcW w:w="740" w:type="pct"/>
            <w:tcBorders>
              <w:top w:val="nil"/>
              <w:bottom w:val="nil"/>
            </w:tcBorders>
            <w:vAlign w:val="center"/>
          </w:tcPr>
          <w:p w14:paraId="72EF4066" w14:textId="10476616"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0.75 (0.56,1.00)</w:t>
            </w:r>
          </w:p>
        </w:tc>
        <w:tc>
          <w:tcPr>
            <w:tcW w:w="740" w:type="pct"/>
            <w:tcBorders>
              <w:top w:val="nil"/>
              <w:bottom w:val="nil"/>
            </w:tcBorders>
            <w:vAlign w:val="center"/>
          </w:tcPr>
          <w:p w14:paraId="5F868B6E"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-0.11 (-0.25,0.03)</w:t>
            </w:r>
          </w:p>
        </w:tc>
      </w:tr>
      <w:tr w:rsidR="00D7254C" w:rsidRPr="000A528D" w14:paraId="681E4475" w14:textId="77777777" w:rsidTr="006B51DB">
        <w:tc>
          <w:tcPr>
            <w:tcW w:w="2041" w:type="pct"/>
            <w:tcBorders>
              <w:top w:val="nil"/>
              <w:bottom w:val="nil"/>
            </w:tcBorders>
            <w:vAlign w:val="center"/>
          </w:tcPr>
          <w:p w14:paraId="5A040A86" w14:textId="2B1E9D6B" w:rsidR="00D7254C" w:rsidRPr="000A528D" w:rsidRDefault="00AF7030" w:rsidP="007B6B2C">
            <w:pPr>
              <w:keepNext/>
              <w:keepLines/>
              <w:jc w:val="right"/>
              <w:rPr>
                <w:rFonts w:ascii="Arial Narrow" w:hAnsi="Arial Narrow"/>
                <w:b/>
                <w:bCs/>
                <w:sz w:val="18"/>
                <w:szCs w:val="18"/>
              </w:rPr>
            </w:pPr>
            <w:r w:rsidRPr="000A528D">
              <w:rPr>
                <w:rFonts w:ascii="Arial Narrow" w:hAnsi="Arial Narrow"/>
                <w:b/>
                <w:bCs/>
                <w:iCs/>
                <w:sz w:val="18"/>
                <w:szCs w:val="18"/>
              </w:rPr>
              <w:t>bDMARDs/tsDMARDs</w:t>
            </w:r>
            <w:r w:rsidR="00D7254C" w:rsidRPr="000A528D">
              <w:rPr>
                <w:rFonts w:ascii="Arial Narrow" w:hAnsi="Arial Narrow"/>
                <w:b/>
                <w:bCs/>
                <w:iCs/>
                <w:sz w:val="18"/>
                <w:szCs w:val="18"/>
              </w:rPr>
              <w:t xml:space="preserve">-experienced </w:t>
            </w:r>
          </w:p>
        </w:tc>
        <w:tc>
          <w:tcPr>
            <w:tcW w:w="708" w:type="pct"/>
            <w:tcBorders>
              <w:top w:val="nil"/>
              <w:bottom w:val="nil"/>
            </w:tcBorders>
            <w:vAlign w:val="center"/>
          </w:tcPr>
          <w:p w14:paraId="68148FC4" w14:textId="77777777" w:rsidR="00D7254C" w:rsidRPr="001D752B" w:rsidRDefault="00D7254C" w:rsidP="007B6B2C">
            <w:pPr>
              <w:keepNext/>
              <w:keepLines/>
              <w:jc w:val="center"/>
              <w:rPr>
                <w:rFonts w:ascii="Arial Narrow" w:hAnsi="Arial Narrow"/>
                <w:sz w:val="18"/>
                <w:szCs w:val="18"/>
              </w:rPr>
            </w:pPr>
          </w:p>
        </w:tc>
        <w:tc>
          <w:tcPr>
            <w:tcW w:w="771" w:type="pct"/>
            <w:tcBorders>
              <w:top w:val="nil"/>
              <w:bottom w:val="nil"/>
            </w:tcBorders>
            <w:vAlign w:val="center"/>
          </w:tcPr>
          <w:p w14:paraId="77DC5147" w14:textId="77777777" w:rsidR="00D7254C" w:rsidRPr="001D752B" w:rsidRDefault="00D7254C" w:rsidP="007B6B2C">
            <w:pPr>
              <w:keepNext/>
              <w:keepLines/>
              <w:jc w:val="center"/>
              <w:rPr>
                <w:rFonts w:ascii="Arial Narrow" w:hAnsi="Arial Narrow"/>
                <w:sz w:val="18"/>
                <w:szCs w:val="18"/>
              </w:rPr>
            </w:pPr>
          </w:p>
        </w:tc>
        <w:tc>
          <w:tcPr>
            <w:tcW w:w="740" w:type="pct"/>
            <w:tcBorders>
              <w:top w:val="nil"/>
              <w:bottom w:val="nil"/>
            </w:tcBorders>
            <w:vAlign w:val="center"/>
          </w:tcPr>
          <w:p w14:paraId="5A271364" w14:textId="77777777" w:rsidR="00D7254C" w:rsidRPr="001D752B" w:rsidRDefault="00D7254C" w:rsidP="007B6B2C">
            <w:pPr>
              <w:keepNext/>
              <w:keepLines/>
              <w:jc w:val="center"/>
              <w:rPr>
                <w:rFonts w:ascii="Arial Narrow" w:hAnsi="Arial Narrow"/>
                <w:sz w:val="18"/>
                <w:szCs w:val="18"/>
              </w:rPr>
            </w:pPr>
          </w:p>
        </w:tc>
        <w:tc>
          <w:tcPr>
            <w:tcW w:w="740" w:type="pct"/>
            <w:tcBorders>
              <w:top w:val="nil"/>
              <w:bottom w:val="nil"/>
            </w:tcBorders>
            <w:vAlign w:val="center"/>
          </w:tcPr>
          <w:p w14:paraId="281FD43F" w14:textId="77777777" w:rsidR="00D7254C" w:rsidRPr="001D752B" w:rsidRDefault="00D7254C" w:rsidP="007B6B2C">
            <w:pPr>
              <w:keepNext/>
              <w:keepLines/>
              <w:jc w:val="center"/>
              <w:rPr>
                <w:rFonts w:ascii="Arial Narrow" w:hAnsi="Arial Narrow"/>
                <w:sz w:val="18"/>
                <w:szCs w:val="18"/>
              </w:rPr>
            </w:pPr>
          </w:p>
        </w:tc>
      </w:tr>
      <w:tr w:rsidR="00D7254C" w:rsidRPr="000A528D" w14:paraId="37470353" w14:textId="77777777" w:rsidTr="006B51DB">
        <w:tc>
          <w:tcPr>
            <w:tcW w:w="2041" w:type="pct"/>
            <w:tcBorders>
              <w:top w:val="nil"/>
              <w:bottom w:val="nil"/>
            </w:tcBorders>
            <w:vAlign w:val="center"/>
          </w:tcPr>
          <w:p w14:paraId="6C3538F5" w14:textId="77777777" w:rsidR="00D7254C" w:rsidRPr="000A528D" w:rsidRDefault="00D7254C" w:rsidP="007B6B2C">
            <w:pPr>
              <w:keepNext/>
              <w:keepLines/>
              <w:jc w:val="right"/>
              <w:rPr>
                <w:rFonts w:ascii="Arial Narrow" w:hAnsi="Arial Narrow"/>
                <w:b/>
                <w:bCs/>
                <w:sz w:val="18"/>
                <w:szCs w:val="18"/>
                <w:lang w:val="it-IT"/>
              </w:rPr>
            </w:pPr>
            <w:r w:rsidRPr="000A528D">
              <w:rPr>
                <w:rFonts w:ascii="Arial Narrow" w:hAnsi="Arial Narrow"/>
                <w:iCs/>
                <w:sz w:val="18"/>
                <w:szCs w:val="18"/>
                <w:lang w:val="it-IT"/>
              </w:rPr>
              <w:t>MIRI (LUCENT I, MMS) v VDZ (MA RE, FMS)</w:t>
            </w:r>
          </w:p>
        </w:tc>
        <w:tc>
          <w:tcPr>
            <w:tcW w:w="708" w:type="pct"/>
            <w:tcBorders>
              <w:top w:val="nil"/>
              <w:bottom w:val="nil"/>
            </w:tcBorders>
            <w:vAlign w:val="center"/>
          </w:tcPr>
          <w:p w14:paraId="50D703E4" w14:textId="4429BD13"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1.03 (0.29,3.65)</w:t>
            </w:r>
          </w:p>
        </w:tc>
        <w:tc>
          <w:tcPr>
            <w:tcW w:w="771" w:type="pct"/>
            <w:tcBorders>
              <w:top w:val="nil"/>
              <w:bottom w:val="nil"/>
            </w:tcBorders>
            <w:vAlign w:val="center"/>
          </w:tcPr>
          <w:p w14:paraId="63BD2974" w14:textId="57C6EF82"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0.02 (-0.07,0.11)</w:t>
            </w:r>
          </w:p>
        </w:tc>
        <w:tc>
          <w:tcPr>
            <w:tcW w:w="740" w:type="pct"/>
            <w:tcBorders>
              <w:top w:val="nil"/>
              <w:bottom w:val="nil"/>
            </w:tcBorders>
            <w:vAlign w:val="center"/>
          </w:tcPr>
          <w:p w14:paraId="6AEC28FF" w14:textId="64B33EA1"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1.33 (0.62,2.84)</w:t>
            </w:r>
          </w:p>
        </w:tc>
        <w:tc>
          <w:tcPr>
            <w:tcW w:w="740" w:type="pct"/>
            <w:tcBorders>
              <w:top w:val="nil"/>
              <w:bottom w:val="nil"/>
            </w:tcBorders>
            <w:vAlign w:val="center"/>
          </w:tcPr>
          <w:p w14:paraId="00EDA106" w14:textId="417049FB"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0.15 (-0.08,0.38)</w:t>
            </w:r>
          </w:p>
        </w:tc>
      </w:tr>
      <w:tr w:rsidR="00D7254C" w:rsidRPr="000A528D" w14:paraId="64ABCE55" w14:textId="77777777" w:rsidTr="006B51DB">
        <w:tc>
          <w:tcPr>
            <w:tcW w:w="2041" w:type="pct"/>
            <w:tcBorders>
              <w:top w:val="nil"/>
              <w:bottom w:val="nil"/>
            </w:tcBorders>
            <w:vAlign w:val="center"/>
          </w:tcPr>
          <w:p w14:paraId="3A575E12" w14:textId="77777777" w:rsidR="00D7254C" w:rsidRPr="000A528D" w:rsidRDefault="00D7254C" w:rsidP="007B6B2C">
            <w:pPr>
              <w:keepNext/>
              <w:keepLines/>
              <w:jc w:val="right"/>
              <w:rPr>
                <w:rFonts w:ascii="Arial Narrow" w:hAnsi="Arial Narrow"/>
                <w:b/>
                <w:bCs/>
                <w:sz w:val="18"/>
                <w:szCs w:val="18"/>
                <w:lang w:val="it-IT"/>
              </w:rPr>
            </w:pPr>
            <w:r w:rsidRPr="000A528D">
              <w:rPr>
                <w:rFonts w:ascii="Arial Narrow" w:hAnsi="Arial Narrow"/>
                <w:iCs/>
                <w:sz w:val="18"/>
                <w:szCs w:val="18"/>
                <w:lang w:val="it-IT"/>
              </w:rPr>
              <w:t>MIRI (LUCENT I, FMS) v VDZ (MA RE, FMS)</w:t>
            </w:r>
          </w:p>
        </w:tc>
        <w:tc>
          <w:tcPr>
            <w:tcW w:w="708" w:type="pct"/>
            <w:tcBorders>
              <w:top w:val="nil"/>
              <w:bottom w:val="nil"/>
            </w:tcBorders>
            <w:vAlign w:val="center"/>
          </w:tcPr>
          <w:p w14:paraId="44C0B274" w14:textId="706CCC88"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1.91 (0.45,8</w:t>
            </w:r>
            <w:r w:rsidR="00726579">
              <w:rPr>
                <w:rFonts w:ascii="Arial Narrow" w:hAnsi="Arial Narrow"/>
                <w:sz w:val="18"/>
                <w:szCs w:val="18"/>
              </w:rPr>
              <w:t>.</w:t>
            </w:r>
            <w:r w:rsidRPr="001D752B">
              <w:rPr>
                <w:rFonts w:ascii="Arial Narrow" w:hAnsi="Arial Narrow"/>
                <w:sz w:val="18"/>
                <w:szCs w:val="18"/>
              </w:rPr>
              <w:t>07)</w:t>
            </w:r>
          </w:p>
        </w:tc>
        <w:tc>
          <w:tcPr>
            <w:tcW w:w="771" w:type="pct"/>
            <w:tcBorders>
              <w:top w:val="nil"/>
              <w:bottom w:val="nil"/>
            </w:tcBorders>
            <w:vAlign w:val="center"/>
          </w:tcPr>
          <w:p w14:paraId="2F8AE4C8" w14:textId="22E21EDE"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0.04 (-0.04,0.12)</w:t>
            </w:r>
          </w:p>
        </w:tc>
        <w:tc>
          <w:tcPr>
            <w:tcW w:w="740" w:type="pct"/>
            <w:tcBorders>
              <w:top w:val="nil"/>
              <w:bottom w:val="nil"/>
            </w:tcBorders>
            <w:vAlign w:val="center"/>
          </w:tcPr>
          <w:p w14:paraId="7E77A1EC" w14:textId="6976EEE0"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1.28 (0.60,2.74)</w:t>
            </w:r>
          </w:p>
        </w:tc>
        <w:tc>
          <w:tcPr>
            <w:tcW w:w="740" w:type="pct"/>
            <w:tcBorders>
              <w:top w:val="nil"/>
              <w:bottom w:val="nil"/>
            </w:tcBorders>
            <w:vAlign w:val="center"/>
          </w:tcPr>
          <w:p w14:paraId="4E8BCFB2" w14:textId="0BD2FFC6"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0.11 (-0.12,0.34)</w:t>
            </w:r>
          </w:p>
        </w:tc>
      </w:tr>
      <w:tr w:rsidR="00D7254C" w:rsidRPr="000A528D" w14:paraId="5BE180A7" w14:textId="77777777" w:rsidTr="006B51DB">
        <w:tc>
          <w:tcPr>
            <w:tcW w:w="2041" w:type="pct"/>
            <w:tcBorders>
              <w:top w:val="nil"/>
              <w:bottom w:val="nil"/>
            </w:tcBorders>
            <w:vAlign w:val="center"/>
          </w:tcPr>
          <w:p w14:paraId="2E177795" w14:textId="18EF5FCA" w:rsidR="00D7254C" w:rsidRPr="000A528D" w:rsidRDefault="00D7254C" w:rsidP="007B6B2C">
            <w:pPr>
              <w:keepNext/>
              <w:keepLines/>
              <w:jc w:val="right"/>
              <w:rPr>
                <w:rFonts w:ascii="Arial Narrow" w:hAnsi="Arial Narrow"/>
                <w:sz w:val="18"/>
                <w:szCs w:val="18"/>
                <w:lang w:val="it-IT"/>
              </w:rPr>
            </w:pPr>
            <w:r w:rsidRPr="000A528D">
              <w:rPr>
                <w:rFonts w:ascii="Arial Narrow" w:hAnsi="Arial Narrow"/>
                <w:iCs/>
                <w:sz w:val="18"/>
                <w:szCs w:val="18"/>
                <w:lang w:val="it-IT"/>
              </w:rPr>
              <w:t>MIRI (LUCENT I, MMS) v ADA (ULTRA 2, FMS)</w:t>
            </w:r>
          </w:p>
        </w:tc>
        <w:tc>
          <w:tcPr>
            <w:tcW w:w="708" w:type="pct"/>
            <w:tcBorders>
              <w:top w:val="nil"/>
              <w:bottom w:val="nil"/>
            </w:tcBorders>
            <w:vAlign w:val="center"/>
          </w:tcPr>
          <w:p w14:paraId="55536DC3" w14:textId="22D1B46F"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1.19 (0.39,3.63)</w:t>
            </w:r>
          </w:p>
        </w:tc>
        <w:tc>
          <w:tcPr>
            <w:tcW w:w="771" w:type="pct"/>
            <w:tcBorders>
              <w:top w:val="nil"/>
              <w:bottom w:val="nil"/>
            </w:tcBorders>
            <w:vAlign w:val="center"/>
          </w:tcPr>
          <w:p w14:paraId="7CA6BB7C" w14:textId="6BAB3A22"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0.04 (-0.06,0.14)</w:t>
            </w:r>
          </w:p>
        </w:tc>
        <w:tc>
          <w:tcPr>
            <w:tcW w:w="740" w:type="pct"/>
            <w:tcBorders>
              <w:top w:val="nil"/>
              <w:bottom w:val="nil"/>
            </w:tcBorders>
            <w:vAlign w:val="center"/>
          </w:tcPr>
          <w:p w14:paraId="23738899" w14:textId="7C9B3616"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1.38 (0.85,2.25)</w:t>
            </w:r>
          </w:p>
        </w:tc>
        <w:tc>
          <w:tcPr>
            <w:tcW w:w="740" w:type="pct"/>
            <w:tcBorders>
              <w:top w:val="nil"/>
              <w:bottom w:val="nil"/>
            </w:tcBorders>
            <w:vAlign w:val="center"/>
          </w:tcPr>
          <w:p w14:paraId="224C157F" w14:textId="38AAFD63"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0.16 (0.00,0.32)</w:t>
            </w:r>
          </w:p>
        </w:tc>
      </w:tr>
      <w:tr w:rsidR="00D7254C" w:rsidRPr="000A528D" w14:paraId="423B4E47" w14:textId="77777777" w:rsidTr="006B51DB">
        <w:tc>
          <w:tcPr>
            <w:tcW w:w="2041" w:type="pct"/>
            <w:tcBorders>
              <w:top w:val="nil"/>
              <w:bottom w:val="nil"/>
            </w:tcBorders>
            <w:vAlign w:val="center"/>
          </w:tcPr>
          <w:p w14:paraId="75116680" w14:textId="323A8EE4" w:rsidR="00D7254C" w:rsidRPr="000A528D" w:rsidRDefault="00D7254C" w:rsidP="007B6B2C">
            <w:pPr>
              <w:keepNext/>
              <w:keepLines/>
              <w:jc w:val="right"/>
              <w:rPr>
                <w:rFonts w:ascii="Arial Narrow" w:hAnsi="Arial Narrow"/>
                <w:iCs/>
                <w:sz w:val="18"/>
                <w:szCs w:val="18"/>
                <w:lang w:val="it-IT"/>
              </w:rPr>
            </w:pPr>
            <w:r w:rsidRPr="000A528D">
              <w:rPr>
                <w:rFonts w:ascii="Arial Narrow" w:hAnsi="Arial Narrow"/>
                <w:iCs/>
                <w:sz w:val="18"/>
                <w:szCs w:val="18"/>
                <w:lang w:val="it-IT"/>
              </w:rPr>
              <w:t>MIRI (LUCENT I, FMS) v ADA (ULTRA 2, FMS)</w:t>
            </w:r>
          </w:p>
        </w:tc>
        <w:tc>
          <w:tcPr>
            <w:tcW w:w="708" w:type="pct"/>
            <w:tcBorders>
              <w:top w:val="nil"/>
              <w:bottom w:val="nil"/>
            </w:tcBorders>
            <w:vAlign w:val="center"/>
          </w:tcPr>
          <w:p w14:paraId="3796228E" w14:textId="7C214143"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2.21 (0.60,8.18)</w:t>
            </w:r>
          </w:p>
        </w:tc>
        <w:tc>
          <w:tcPr>
            <w:tcW w:w="771" w:type="pct"/>
            <w:tcBorders>
              <w:top w:val="nil"/>
              <w:bottom w:val="nil"/>
            </w:tcBorders>
            <w:vAlign w:val="center"/>
          </w:tcPr>
          <w:p w14:paraId="15B8645A" w14:textId="6C78A6FD"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0.06 (-0.03,0.15)</w:t>
            </w:r>
          </w:p>
        </w:tc>
        <w:tc>
          <w:tcPr>
            <w:tcW w:w="740" w:type="pct"/>
            <w:tcBorders>
              <w:top w:val="nil"/>
              <w:bottom w:val="nil"/>
            </w:tcBorders>
            <w:vAlign w:val="center"/>
          </w:tcPr>
          <w:p w14:paraId="5DEE7E1A" w14:textId="10147A0E"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1.33 (0.81,2.19)</w:t>
            </w:r>
          </w:p>
        </w:tc>
        <w:tc>
          <w:tcPr>
            <w:tcW w:w="740" w:type="pct"/>
            <w:tcBorders>
              <w:top w:val="nil"/>
              <w:bottom w:val="nil"/>
            </w:tcBorders>
            <w:vAlign w:val="center"/>
          </w:tcPr>
          <w:p w14:paraId="21688822" w14:textId="12C78A1F"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0.12 (-0.04,0.28)</w:t>
            </w:r>
          </w:p>
        </w:tc>
      </w:tr>
      <w:tr w:rsidR="00D7254C" w:rsidRPr="000A528D" w14:paraId="5910EEF4" w14:textId="77777777" w:rsidTr="006B51DB">
        <w:tc>
          <w:tcPr>
            <w:tcW w:w="2041" w:type="pct"/>
            <w:tcBorders>
              <w:top w:val="nil"/>
              <w:bottom w:val="nil"/>
            </w:tcBorders>
            <w:vAlign w:val="center"/>
          </w:tcPr>
          <w:p w14:paraId="7836D008" w14:textId="77777777" w:rsidR="00D7254C" w:rsidRPr="000A528D" w:rsidRDefault="00D7254C" w:rsidP="007B6B2C">
            <w:pPr>
              <w:keepNext/>
              <w:keepLines/>
              <w:jc w:val="right"/>
              <w:rPr>
                <w:rFonts w:ascii="Arial Narrow" w:hAnsi="Arial Narrow"/>
                <w:b/>
                <w:bCs/>
                <w:sz w:val="18"/>
                <w:szCs w:val="18"/>
              </w:rPr>
            </w:pPr>
            <w:r w:rsidRPr="000A528D">
              <w:rPr>
                <w:rFonts w:ascii="Arial Narrow" w:hAnsi="Arial Narrow"/>
                <w:iCs/>
                <w:sz w:val="18"/>
                <w:szCs w:val="18"/>
                <w:lang w:val="it-IT"/>
              </w:rPr>
              <w:t>MIRI (LUCENT I, MMS) v UST (UNIFI, FMS)</w:t>
            </w:r>
          </w:p>
        </w:tc>
        <w:tc>
          <w:tcPr>
            <w:tcW w:w="708" w:type="pct"/>
            <w:tcBorders>
              <w:top w:val="nil"/>
              <w:bottom w:val="nil"/>
            </w:tcBorders>
            <w:vAlign w:val="center"/>
          </w:tcPr>
          <w:p w14:paraId="69D7C5BB" w14:textId="5CA68AA2"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0.16 (0.03,0.73)</w:t>
            </w:r>
          </w:p>
        </w:tc>
        <w:tc>
          <w:tcPr>
            <w:tcW w:w="771" w:type="pct"/>
            <w:tcBorders>
              <w:top w:val="nil"/>
              <w:bottom w:val="nil"/>
            </w:tcBorders>
            <w:vAlign w:val="center"/>
          </w:tcPr>
          <w:p w14:paraId="15C97678" w14:textId="1ED50049"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-0.05 (-0.14,0.04)</w:t>
            </w:r>
          </w:p>
        </w:tc>
        <w:tc>
          <w:tcPr>
            <w:tcW w:w="740" w:type="pct"/>
            <w:tcBorders>
              <w:top w:val="nil"/>
              <w:bottom w:val="nil"/>
            </w:tcBorders>
            <w:vAlign w:val="center"/>
          </w:tcPr>
          <w:p w14:paraId="6CD2A3C5" w14:textId="015E0C8F"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0.85 (0.57,1.26)</w:t>
            </w:r>
          </w:p>
        </w:tc>
        <w:tc>
          <w:tcPr>
            <w:tcW w:w="740" w:type="pct"/>
            <w:tcBorders>
              <w:top w:val="nil"/>
              <w:bottom w:val="nil"/>
            </w:tcBorders>
            <w:vAlign w:val="center"/>
          </w:tcPr>
          <w:p w14:paraId="67E1B606" w14:textId="0C0A81DC"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-0.06 (-0.20,0.08)</w:t>
            </w:r>
          </w:p>
        </w:tc>
      </w:tr>
      <w:tr w:rsidR="00D7254C" w:rsidRPr="000A528D" w14:paraId="1313B9D9" w14:textId="77777777" w:rsidTr="006B51DB">
        <w:tc>
          <w:tcPr>
            <w:tcW w:w="2041" w:type="pct"/>
            <w:tcBorders>
              <w:top w:val="nil"/>
              <w:bottom w:val="single" w:sz="4" w:space="0" w:color="auto"/>
            </w:tcBorders>
            <w:vAlign w:val="center"/>
          </w:tcPr>
          <w:p w14:paraId="79ABDA42" w14:textId="77777777" w:rsidR="00D7254C" w:rsidRPr="000A528D" w:rsidRDefault="00D7254C" w:rsidP="007B6B2C">
            <w:pPr>
              <w:keepNext/>
              <w:keepLines/>
              <w:jc w:val="right"/>
              <w:rPr>
                <w:rFonts w:ascii="Arial Narrow" w:hAnsi="Arial Narrow"/>
                <w:b/>
                <w:bCs/>
                <w:sz w:val="18"/>
                <w:szCs w:val="18"/>
              </w:rPr>
            </w:pPr>
            <w:r w:rsidRPr="000A528D">
              <w:rPr>
                <w:rFonts w:ascii="Arial Narrow" w:hAnsi="Arial Narrow"/>
                <w:iCs/>
                <w:sz w:val="18"/>
                <w:szCs w:val="18"/>
                <w:lang w:val="it-IT"/>
              </w:rPr>
              <w:t>MIRI (LUCENT I, FMS) v UST (UNIFI, FMS)</w:t>
            </w:r>
          </w:p>
        </w:tc>
        <w:tc>
          <w:tcPr>
            <w:tcW w:w="708" w:type="pct"/>
            <w:tcBorders>
              <w:top w:val="nil"/>
              <w:bottom w:val="single" w:sz="4" w:space="0" w:color="auto"/>
            </w:tcBorders>
            <w:vAlign w:val="center"/>
          </w:tcPr>
          <w:p w14:paraId="50E10B17" w14:textId="2E3F7982"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0.29 (0.05,1</w:t>
            </w:r>
            <w:r w:rsidR="006E7745">
              <w:rPr>
                <w:rFonts w:ascii="Arial Narrow" w:hAnsi="Arial Narrow"/>
                <w:sz w:val="18"/>
                <w:szCs w:val="18"/>
              </w:rPr>
              <w:t>.</w:t>
            </w:r>
            <w:r w:rsidRPr="001D752B">
              <w:rPr>
                <w:rFonts w:ascii="Arial Narrow" w:hAnsi="Arial Narrow"/>
                <w:sz w:val="18"/>
                <w:szCs w:val="18"/>
              </w:rPr>
              <w:t>57)</w:t>
            </w:r>
          </w:p>
        </w:tc>
        <w:tc>
          <w:tcPr>
            <w:tcW w:w="771" w:type="pct"/>
            <w:tcBorders>
              <w:top w:val="nil"/>
              <w:bottom w:val="single" w:sz="4" w:space="0" w:color="auto"/>
            </w:tcBorders>
            <w:vAlign w:val="center"/>
          </w:tcPr>
          <w:p w14:paraId="64734799" w14:textId="4B76923D"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-0.03 (-0.10,0.04)</w:t>
            </w:r>
          </w:p>
        </w:tc>
        <w:tc>
          <w:tcPr>
            <w:tcW w:w="740" w:type="pct"/>
            <w:tcBorders>
              <w:top w:val="nil"/>
              <w:bottom w:val="single" w:sz="4" w:space="0" w:color="auto"/>
            </w:tcBorders>
            <w:vAlign w:val="center"/>
          </w:tcPr>
          <w:p w14:paraId="358E950B" w14:textId="36D0BFE2"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0.81 (0.54,1.23)</w:t>
            </w:r>
          </w:p>
        </w:tc>
        <w:tc>
          <w:tcPr>
            <w:tcW w:w="740" w:type="pct"/>
            <w:tcBorders>
              <w:top w:val="nil"/>
              <w:bottom w:val="single" w:sz="4" w:space="0" w:color="auto"/>
            </w:tcBorders>
            <w:vAlign w:val="center"/>
          </w:tcPr>
          <w:p w14:paraId="39F8A661" w14:textId="0A248A0D"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-0.10 (-0.24,0.04)</w:t>
            </w:r>
          </w:p>
        </w:tc>
      </w:tr>
    </w:tbl>
    <w:p w14:paraId="35F062B4" w14:textId="175F4F23" w:rsidR="004D1EA7" w:rsidRPr="005E644C" w:rsidRDefault="00C7356D" w:rsidP="007B6B2C">
      <w:pPr>
        <w:keepNext/>
        <w:keepLines/>
        <w:rPr>
          <w:rFonts w:ascii="Arial Narrow" w:hAnsi="Arial Narrow"/>
          <w:sz w:val="18"/>
          <w:szCs w:val="18"/>
        </w:rPr>
      </w:pPr>
      <w:r>
        <w:rPr>
          <w:rFonts w:ascii="Arial Narrow" w:hAnsi="Arial Narrow"/>
          <w:sz w:val="18"/>
          <w:szCs w:val="18"/>
        </w:rPr>
        <w:t>*</w:t>
      </w:r>
      <w:r w:rsidR="004D1EA7" w:rsidRPr="005E644C">
        <w:rPr>
          <w:rFonts w:ascii="Arial Narrow" w:hAnsi="Arial Narrow"/>
          <w:sz w:val="18"/>
          <w:szCs w:val="18"/>
        </w:rPr>
        <w:t>Source: Tables 45-46, pp142-143, Tables 52-61, pp163-170, Tables 71-80, pp182-191, Tables 87-92, pp199-203, Table 99, pp212-213 of the submission; Tables 8-19, pp28-32, Tables 32-39, pp45-48, Tables 48-59, pp59-66 of Attachment A4.1 Lilly 2019-8488 OH20061_UC_Australia ICTs_final report_8Feb2023_clean.docx.</w:t>
      </w:r>
    </w:p>
    <w:p w14:paraId="62076450" w14:textId="7D1BB6C9" w:rsidR="004D1EA7" w:rsidRDefault="004D1EA7" w:rsidP="007B6B2C">
      <w:pPr>
        <w:keepNext/>
        <w:keepLines/>
        <w:rPr>
          <w:rFonts w:ascii="Arial Narrow" w:hAnsi="Arial Narrow"/>
          <w:sz w:val="18"/>
          <w:szCs w:val="18"/>
        </w:rPr>
      </w:pPr>
      <w:r w:rsidRPr="005E644C">
        <w:rPr>
          <w:rFonts w:ascii="Arial Narrow" w:hAnsi="Arial Narrow"/>
          <w:sz w:val="18"/>
          <w:szCs w:val="18"/>
        </w:rPr>
        <w:t>ADA=adalimumab</w:t>
      </w:r>
      <w:r w:rsidR="00535639" w:rsidRPr="005E644C">
        <w:rPr>
          <w:rFonts w:ascii="Arial Narrow" w:hAnsi="Arial Narrow"/>
          <w:sz w:val="18"/>
          <w:szCs w:val="18"/>
        </w:rPr>
        <w:t>,</w:t>
      </w:r>
      <w:r w:rsidRPr="005E644C">
        <w:rPr>
          <w:rFonts w:ascii="Arial Narrow" w:hAnsi="Arial Narrow"/>
          <w:sz w:val="18"/>
          <w:szCs w:val="18"/>
        </w:rPr>
        <w:t xml:space="preserve"> bDMARD=biologic disease-modifying antirheumatic drugs</w:t>
      </w:r>
      <w:r w:rsidR="00535639" w:rsidRPr="005E644C">
        <w:rPr>
          <w:rFonts w:ascii="Arial Narrow" w:hAnsi="Arial Narrow"/>
          <w:sz w:val="18"/>
          <w:szCs w:val="18"/>
        </w:rPr>
        <w:t>,</w:t>
      </w:r>
      <w:r w:rsidRPr="005E644C">
        <w:rPr>
          <w:rFonts w:ascii="Arial Narrow" w:hAnsi="Arial Narrow"/>
          <w:sz w:val="18"/>
          <w:szCs w:val="18"/>
        </w:rPr>
        <w:t xml:space="preserve"> </w:t>
      </w:r>
      <w:r w:rsidR="00C14AEC">
        <w:rPr>
          <w:rFonts w:ascii="Arial Narrow" w:hAnsi="Arial Narrow"/>
          <w:sz w:val="18"/>
          <w:szCs w:val="18"/>
        </w:rPr>
        <w:t xml:space="preserve">CI=confidence interval, </w:t>
      </w:r>
      <w:r w:rsidRPr="005E644C">
        <w:rPr>
          <w:rFonts w:ascii="Arial Narrow" w:hAnsi="Arial Narrow"/>
          <w:sz w:val="18"/>
          <w:szCs w:val="18"/>
        </w:rPr>
        <w:t>FMS=full Mayo score</w:t>
      </w:r>
      <w:r w:rsidR="00535639" w:rsidRPr="005E644C">
        <w:rPr>
          <w:rFonts w:ascii="Arial Narrow" w:hAnsi="Arial Narrow"/>
          <w:sz w:val="18"/>
          <w:szCs w:val="18"/>
        </w:rPr>
        <w:t>,</w:t>
      </w:r>
      <w:r w:rsidRPr="005E644C">
        <w:rPr>
          <w:rFonts w:ascii="Arial Narrow" w:hAnsi="Arial Narrow"/>
          <w:sz w:val="18"/>
          <w:szCs w:val="18"/>
        </w:rPr>
        <w:t xml:space="preserve"> IR=inadequate response</w:t>
      </w:r>
      <w:r w:rsidR="00535639" w:rsidRPr="005E644C">
        <w:rPr>
          <w:rFonts w:ascii="Arial Narrow" w:hAnsi="Arial Narrow"/>
          <w:sz w:val="18"/>
          <w:szCs w:val="18"/>
        </w:rPr>
        <w:t>,</w:t>
      </w:r>
      <w:r w:rsidR="000F2CC1" w:rsidRPr="005E644C">
        <w:rPr>
          <w:rFonts w:ascii="Arial Narrow" w:hAnsi="Arial Narrow"/>
          <w:sz w:val="18"/>
          <w:szCs w:val="18"/>
        </w:rPr>
        <w:t xml:space="preserve"> ITC=indirect treatment comparison,</w:t>
      </w:r>
      <w:r w:rsidRPr="005E644C">
        <w:rPr>
          <w:rFonts w:ascii="Arial Narrow" w:hAnsi="Arial Narrow"/>
          <w:sz w:val="18"/>
          <w:szCs w:val="18"/>
        </w:rPr>
        <w:t xml:space="preserve"> </w:t>
      </w:r>
      <w:r w:rsidR="00D7254C" w:rsidRPr="005E644C">
        <w:rPr>
          <w:rFonts w:ascii="Arial Narrow" w:hAnsi="Arial Narrow"/>
          <w:sz w:val="18"/>
          <w:szCs w:val="18"/>
        </w:rPr>
        <w:t xml:space="preserve">ITT=intention to treat, </w:t>
      </w:r>
      <w:r w:rsidRPr="005E644C">
        <w:rPr>
          <w:rFonts w:ascii="Arial Narrow" w:hAnsi="Arial Narrow"/>
          <w:sz w:val="18"/>
          <w:szCs w:val="18"/>
        </w:rPr>
        <w:t>IV=intravenous</w:t>
      </w:r>
      <w:r w:rsidR="00535639" w:rsidRPr="005E644C">
        <w:rPr>
          <w:rFonts w:ascii="Arial Narrow" w:hAnsi="Arial Narrow"/>
          <w:sz w:val="18"/>
          <w:szCs w:val="18"/>
        </w:rPr>
        <w:t>,</w:t>
      </w:r>
      <w:r w:rsidRPr="005E644C">
        <w:rPr>
          <w:rFonts w:ascii="Arial Narrow" w:hAnsi="Arial Narrow"/>
          <w:sz w:val="18"/>
          <w:szCs w:val="18"/>
        </w:rPr>
        <w:t xml:space="preserve"> JAKi=janus kinase inhibitor</w:t>
      </w:r>
      <w:r w:rsidR="00535639" w:rsidRPr="005E644C">
        <w:rPr>
          <w:rFonts w:ascii="Arial Narrow" w:hAnsi="Arial Narrow"/>
          <w:sz w:val="18"/>
          <w:szCs w:val="18"/>
        </w:rPr>
        <w:t>,</w:t>
      </w:r>
      <w:r w:rsidRPr="005E644C">
        <w:rPr>
          <w:rFonts w:ascii="Arial Narrow" w:hAnsi="Arial Narrow"/>
          <w:sz w:val="18"/>
          <w:szCs w:val="18"/>
        </w:rPr>
        <w:t xml:space="preserve"> MA=meta-analysis</w:t>
      </w:r>
      <w:r w:rsidR="00535639" w:rsidRPr="005E644C">
        <w:rPr>
          <w:rFonts w:ascii="Arial Narrow" w:hAnsi="Arial Narrow"/>
          <w:sz w:val="18"/>
          <w:szCs w:val="18"/>
        </w:rPr>
        <w:t>,</w:t>
      </w:r>
      <w:r w:rsidRPr="005E644C">
        <w:rPr>
          <w:rFonts w:ascii="Arial Narrow" w:hAnsi="Arial Narrow"/>
          <w:sz w:val="18"/>
          <w:szCs w:val="18"/>
        </w:rPr>
        <w:t xml:space="preserve"> MIRI=mirikizumab</w:t>
      </w:r>
      <w:r w:rsidR="00535639" w:rsidRPr="005E644C">
        <w:rPr>
          <w:rFonts w:ascii="Arial Narrow" w:hAnsi="Arial Narrow"/>
          <w:sz w:val="18"/>
          <w:szCs w:val="18"/>
        </w:rPr>
        <w:t>,</w:t>
      </w:r>
      <w:r w:rsidRPr="005E644C">
        <w:rPr>
          <w:rFonts w:ascii="Arial Narrow" w:hAnsi="Arial Narrow"/>
          <w:sz w:val="18"/>
          <w:szCs w:val="18"/>
        </w:rPr>
        <w:t xml:space="preserve"> MMS=modified Mayo score</w:t>
      </w:r>
      <w:r w:rsidR="00535639" w:rsidRPr="005E644C">
        <w:rPr>
          <w:rFonts w:ascii="Arial Narrow" w:hAnsi="Arial Narrow"/>
          <w:sz w:val="18"/>
          <w:szCs w:val="18"/>
        </w:rPr>
        <w:t>,</w:t>
      </w:r>
      <w:r w:rsidRPr="005E644C">
        <w:rPr>
          <w:rFonts w:ascii="Arial Narrow" w:hAnsi="Arial Narrow"/>
          <w:sz w:val="18"/>
          <w:szCs w:val="18"/>
        </w:rPr>
        <w:t xml:space="preserve"> NF=not failed</w:t>
      </w:r>
      <w:r w:rsidR="00535639" w:rsidRPr="005E644C">
        <w:rPr>
          <w:rFonts w:ascii="Arial Narrow" w:hAnsi="Arial Narrow"/>
          <w:sz w:val="18"/>
          <w:szCs w:val="18"/>
        </w:rPr>
        <w:t>,</w:t>
      </w:r>
      <w:r w:rsidRPr="005E644C">
        <w:rPr>
          <w:rFonts w:ascii="Arial Narrow" w:hAnsi="Arial Narrow"/>
          <w:sz w:val="18"/>
          <w:szCs w:val="18"/>
        </w:rPr>
        <w:t xml:space="preserve"> PBO=placebo</w:t>
      </w:r>
      <w:r w:rsidR="00535639" w:rsidRPr="005E644C">
        <w:rPr>
          <w:rFonts w:ascii="Arial Narrow" w:hAnsi="Arial Narrow"/>
          <w:sz w:val="18"/>
          <w:szCs w:val="18"/>
        </w:rPr>
        <w:t>,</w:t>
      </w:r>
      <w:r w:rsidR="00D7254C" w:rsidRPr="005E644C">
        <w:rPr>
          <w:rFonts w:ascii="Arial Narrow" w:hAnsi="Arial Narrow"/>
          <w:sz w:val="18"/>
          <w:szCs w:val="18"/>
        </w:rPr>
        <w:t xml:space="preserve"> RD=risk difference,</w:t>
      </w:r>
      <w:r w:rsidRPr="005E644C">
        <w:rPr>
          <w:rFonts w:ascii="Arial Narrow" w:hAnsi="Arial Narrow"/>
          <w:sz w:val="18"/>
          <w:szCs w:val="18"/>
        </w:rPr>
        <w:t xml:space="preserve"> RE=random effects</w:t>
      </w:r>
      <w:r w:rsidR="00535639" w:rsidRPr="005E644C">
        <w:rPr>
          <w:rFonts w:ascii="Arial Narrow" w:hAnsi="Arial Narrow"/>
          <w:sz w:val="18"/>
          <w:szCs w:val="18"/>
        </w:rPr>
        <w:t>,</w:t>
      </w:r>
      <w:r w:rsidRPr="005E644C">
        <w:rPr>
          <w:rFonts w:ascii="Arial Narrow" w:hAnsi="Arial Narrow"/>
          <w:sz w:val="18"/>
          <w:szCs w:val="18"/>
        </w:rPr>
        <w:t xml:space="preserve"> </w:t>
      </w:r>
      <w:r w:rsidR="00D7254C" w:rsidRPr="005E644C">
        <w:rPr>
          <w:rFonts w:ascii="Arial Narrow" w:hAnsi="Arial Narrow"/>
          <w:sz w:val="18"/>
          <w:szCs w:val="18"/>
        </w:rPr>
        <w:t xml:space="preserve">RR=relative risk, </w:t>
      </w:r>
      <w:r w:rsidRPr="005E644C">
        <w:rPr>
          <w:rFonts w:ascii="Arial Narrow" w:hAnsi="Arial Narrow"/>
          <w:sz w:val="18"/>
          <w:szCs w:val="18"/>
        </w:rPr>
        <w:t>TNF=tumour necrosis factor</w:t>
      </w:r>
      <w:r w:rsidR="00535639" w:rsidRPr="005E644C">
        <w:rPr>
          <w:rFonts w:ascii="Arial Narrow" w:hAnsi="Arial Narrow"/>
          <w:sz w:val="18"/>
          <w:szCs w:val="18"/>
        </w:rPr>
        <w:t>,</w:t>
      </w:r>
      <w:r w:rsidRPr="005E644C">
        <w:rPr>
          <w:rFonts w:ascii="Arial Narrow" w:hAnsi="Arial Narrow"/>
          <w:sz w:val="18"/>
          <w:szCs w:val="18"/>
        </w:rPr>
        <w:t xml:space="preserve"> </w:t>
      </w:r>
      <w:r w:rsidR="007F161F">
        <w:rPr>
          <w:rFonts w:ascii="Arial Narrow" w:hAnsi="Arial Narrow"/>
          <w:sz w:val="18"/>
          <w:szCs w:val="18"/>
        </w:rPr>
        <w:t>tsDMARD=</w:t>
      </w:r>
      <w:r w:rsidR="007F161F" w:rsidRPr="007F161F">
        <w:rPr>
          <w:rFonts w:ascii="Arial Narrow" w:hAnsi="Arial Narrow"/>
          <w:sz w:val="18"/>
          <w:szCs w:val="18"/>
        </w:rPr>
        <w:t>targeted synthetic disease modifying anti-rheumatic drugs</w:t>
      </w:r>
      <w:r w:rsidR="007F161F">
        <w:rPr>
          <w:rFonts w:ascii="Arial Narrow" w:hAnsi="Arial Narrow"/>
          <w:sz w:val="18"/>
          <w:szCs w:val="18"/>
        </w:rPr>
        <w:t>,</w:t>
      </w:r>
      <w:r w:rsidR="007F161F" w:rsidRPr="007F161F">
        <w:rPr>
          <w:rFonts w:ascii="Arial Narrow" w:hAnsi="Arial Narrow"/>
          <w:sz w:val="18"/>
          <w:szCs w:val="18"/>
        </w:rPr>
        <w:t xml:space="preserve"> </w:t>
      </w:r>
      <w:r w:rsidRPr="005E644C">
        <w:rPr>
          <w:rFonts w:ascii="Arial Narrow" w:hAnsi="Arial Narrow"/>
          <w:sz w:val="18"/>
          <w:szCs w:val="18"/>
        </w:rPr>
        <w:t>UC=ulcerative colitis</w:t>
      </w:r>
      <w:r w:rsidR="00535639" w:rsidRPr="005E644C">
        <w:rPr>
          <w:rFonts w:ascii="Arial Narrow" w:hAnsi="Arial Narrow"/>
          <w:sz w:val="18"/>
          <w:szCs w:val="18"/>
        </w:rPr>
        <w:t>,</w:t>
      </w:r>
      <w:r w:rsidRPr="005E644C">
        <w:rPr>
          <w:rFonts w:ascii="Arial Narrow" w:hAnsi="Arial Narrow"/>
          <w:sz w:val="18"/>
          <w:szCs w:val="18"/>
        </w:rPr>
        <w:t xml:space="preserve"> UST=ustekinumab</w:t>
      </w:r>
      <w:r w:rsidR="00535639" w:rsidRPr="005E644C">
        <w:rPr>
          <w:rFonts w:ascii="Arial Narrow" w:hAnsi="Arial Narrow"/>
          <w:sz w:val="18"/>
          <w:szCs w:val="18"/>
        </w:rPr>
        <w:t>,</w:t>
      </w:r>
      <w:r w:rsidRPr="005E644C">
        <w:rPr>
          <w:rFonts w:ascii="Arial Narrow" w:hAnsi="Arial Narrow"/>
          <w:sz w:val="18"/>
          <w:szCs w:val="18"/>
        </w:rPr>
        <w:t xml:space="preserve"> VDZ=vedolizumab</w:t>
      </w:r>
      <w:r w:rsidR="000F2CC1" w:rsidRPr="005E644C">
        <w:rPr>
          <w:rFonts w:ascii="Arial Narrow" w:hAnsi="Arial Narrow"/>
          <w:sz w:val="18"/>
          <w:szCs w:val="18"/>
        </w:rPr>
        <w:t>, Wk=week</w:t>
      </w:r>
      <w:r w:rsidRPr="005E644C">
        <w:rPr>
          <w:rFonts w:ascii="Arial Narrow" w:hAnsi="Arial Narrow"/>
          <w:sz w:val="18"/>
          <w:szCs w:val="18"/>
        </w:rPr>
        <w:t>.</w:t>
      </w:r>
    </w:p>
    <w:p w14:paraId="2B404192" w14:textId="09720128" w:rsidR="00C7356D" w:rsidRPr="00C7356D" w:rsidRDefault="00F756B4" w:rsidP="007B6B2C">
      <w:pPr>
        <w:keepNext/>
        <w:keepLines/>
        <w:rPr>
          <w:rFonts w:ascii="Arial Narrow" w:hAnsi="Arial Narrow"/>
          <w:i/>
          <w:iCs/>
          <w:sz w:val="18"/>
          <w:szCs w:val="18"/>
        </w:rPr>
      </w:pPr>
      <w:r w:rsidRPr="00F756B4">
        <w:rPr>
          <w:rFonts w:ascii="Open Sans" w:hAnsi="Open Sans" w:cs="Open Sans"/>
          <w:i/>
          <w:iCs/>
          <w:color w:val="222222"/>
          <w:sz w:val="20"/>
          <w:szCs w:val="20"/>
          <w:shd w:val="clear" w:color="auto" w:fill="FFFFFF"/>
          <w:vertAlign w:val="superscript"/>
        </w:rPr>
        <w:t>*</w:t>
      </w:r>
      <w:r>
        <w:rPr>
          <w:rFonts w:ascii="Open Sans" w:hAnsi="Open Sans" w:cs="Open Sans"/>
          <w:i/>
          <w:iCs/>
          <w:color w:val="222222"/>
          <w:sz w:val="20"/>
          <w:szCs w:val="20"/>
          <w:shd w:val="clear" w:color="auto" w:fill="FFFFFF"/>
        </w:rPr>
        <w:t xml:space="preserve"> </w:t>
      </w:r>
      <w:r w:rsidRPr="00F756B4">
        <w:rPr>
          <w:rFonts w:ascii="Arial Narrow" w:hAnsi="Arial Narrow" w:cs="Open Sans"/>
          <w:i/>
          <w:iCs/>
          <w:color w:val="222222"/>
          <w:sz w:val="18"/>
          <w:szCs w:val="18"/>
          <w:shd w:val="clear" w:color="auto" w:fill="FFFFFF"/>
        </w:rPr>
        <w:t xml:space="preserve">Note that the results </w:t>
      </w:r>
      <w:r w:rsidRPr="006B3F90">
        <w:rPr>
          <w:rFonts w:ascii="Arial Narrow" w:hAnsi="Arial Narrow" w:cs="Open Sans"/>
          <w:i/>
          <w:iCs/>
          <w:sz w:val="18"/>
          <w:szCs w:val="18"/>
          <w:shd w:val="clear" w:color="auto" w:fill="FFFFFF"/>
        </w:rPr>
        <w:t>presented in Table 5 are derived from post-hoc analyses conducted during the evaluation</w:t>
      </w:r>
      <w:r w:rsidRPr="006B3F90">
        <w:rPr>
          <w:rFonts w:ascii="Arial Narrow" w:hAnsi="Arial Narrow" w:cs="Open Sans"/>
          <w:i/>
          <w:iCs/>
          <w:strike/>
          <w:sz w:val="18"/>
          <w:szCs w:val="18"/>
          <w:shd w:val="clear" w:color="auto" w:fill="FFFFFF"/>
        </w:rPr>
        <w:t xml:space="preserve"> </w:t>
      </w:r>
      <w:r w:rsidRPr="006B3F90">
        <w:rPr>
          <w:rFonts w:ascii="Arial Narrow" w:hAnsi="Arial Narrow" w:cs="Open Sans"/>
          <w:i/>
          <w:iCs/>
          <w:sz w:val="18"/>
          <w:szCs w:val="18"/>
          <w:shd w:val="clear" w:color="auto" w:fill="FFFFFF"/>
        </w:rPr>
        <w:t xml:space="preserve">specifically for the purposes of informing the PBAC consideration. These analyses were not part of the pre-specified statistical plan for the included studies Interpretation of the results and their application should therefore </w:t>
      </w:r>
      <w:r w:rsidRPr="00F756B4">
        <w:rPr>
          <w:rFonts w:ascii="Arial Narrow" w:hAnsi="Arial Narrow" w:cs="Open Sans"/>
          <w:i/>
          <w:iCs/>
          <w:color w:val="222222"/>
          <w:sz w:val="18"/>
          <w:szCs w:val="18"/>
          <w:shd w:val="clear" w:color="auto" w:fill="FFFFFF"/>
        </w:rPr>
        <w:t>be limited to seeking to understand the basis for the PBAC outcome and should not be used for any other purpose.</w:t>
      </w:r>
    </w:p>
    <w:bookmarkEnd w:id="34"/>
    <w:p w14:paraId="5B77F665" w14:textId="3DF6B924" w:rsidR="004D1EA7" w:rsidRDefault="004D1EA7" w:rsidP="00C92091">
      <w:pPr>
        <w:tabs>
          <w:tab w:val="left" w:pos="142"/>
        </w:tabs>
      </w:pPr>
    </w:p>
    <w:p w14:paraId="24346C97" w14:textId="66260CC8" w:rsidR="004D1EA7" w:rsidRDefault="004D1EA7" w:rsidP="007B6B2C">
      <w:pPr>
        <w:pStyle w:val="Caption"/>
        <w:rPr>
          <w:szCs w:val="20"/>
        </w:rPr>
      </w:pPr>
      <w:bookmarkStart w:id="35" w:name="_Ref134220483"/>
      <w:bookmarkStart w:id="36" w:name="_Hlk134803168"/>
      <w:r>
        <w:lastRenderedPageBreak/>
        <w:t xml:space="preserve">Table </w:t>
      </w:r>
      <w:r w:rsidR="00A234BA">
        <w:fldChar w:fldCharType="begin" w:fldLock="1"/>
      </w:r>
      <w:r w:rsidR="00A234BA">
        <w:instrText xml:space="preserve"> SEQ Table \* ARABIC </w:instrText>
      </w:r>
      <w:r w:rsidR="00A234BA">
        <w:fldChar w:fldCharType="separate"/>
      </w:r>
      <w:r w:rsidR="0005097F">
        <w:rPr>
          <w:noProof/>
        </w:rPr>
        <w:t>6</w:t>
      </w:r>
      <w:r w:rsidR="00A234BA">
        <w:rPr>
          <w:noProof/>
        </w:rPr>
        <w:fldChar w:fldCharType="end"/>
      </w:r>
      <w:bookmarkEnd w:id="35"/>
      <w:r w:rsidRPr="0017668E">
        <w:rPr>
          <w:szCs w:val="20"/>
        </w:rPr>
        <w:t>:</w:t>
      </w:r>
      <w:r>
        <w:rPr>
          <w:szCs w:val="20"/>
        </w:rPr>
        <w:t xml:space="preserve"> Summary of ITCs</w:t>
      </w:r>
      <w:r w:rsidR="00D7254C">
        <w:rPr>
          <w:szCs w:val="20"/>
        </w:rPr>
        <w:t>*</w:t>
      </w:r>
      <w:r>
        <w:rPr>
          <w:szCs w:val="20"/>
        </w:rPr>
        <w:t xml:space="preserve"> </w:t>
      </w:r>
      <w:r w:rsidRPr="00401F2D">
        <w:rPr>
          <w:szCs w:val="20"/>
        </w:rPr>
        <w:t xml:space="preserve">comparing </w:t>
      </w:r>
      <w:r>
        <w:rPr>
          <w:szCs w:val="20"/>
        </w:rPr>
        <w:t xml:space="preserve">MIRI </w:t>
      </w:r>
      <w:r w:rsidRPr="00401F2D">
        <w:rPr>
          <w:szCs w:val="20"/>
        </w:rPr>
        <w:t>versus VDZ</w:t>
      </w:r>
      <w:r>
        <w:rPr>
          <w:szCs w:val="20"/>
        </w:rPr>
        <w:t>, ADA and UST (MAINTENANCE)</w:t>
      </w:r>
    </w:p>
    <w:tbl>
      <w:tblPr>
        <w:tblStyle w:val="TableGrid"/>
        <w:tblW w:w="5000" w:type="pct"/>
        <w:tblCellMar>
          <w:left w:w="28" w:type="dxa"/>
          <w:right w:w="28" w:type="dxa"/>
        </w:tblCellMar>
        <w:tblLook w:val="04A0" w:firstRow="1" w:lastRow="0" w:firstColumn="1" w:lastColumn="0" w:noHBand="0" w:noVBand="1"/>
      </w:tblPr>
      <w:tblGrid>
        <w:gridCol w:w="3824"/>
        <w:gridCol w:w="1299"/>
        <w:gridCol w:w="1298"/>
        <w:gridCol w:w="1298"/>
        <w:gridCol w:w="1298"/>
      </w:tblGrid>
      <w:tr w:rsidR="00D7254C" w:rsidRPr="000A528D" w14:paraId="1984F7E8" w14:textId="77777777" w:rsidTr="000A528D">
        <w:tc>
          <w:tcPr>
            <w:tcW w:w="2120" w:type="pct"/>
            <w:vMerge w:val="restart"/>
          </w:tcPr>
          <w:p w14:paraId="7353419B" w14:textId="77777777" w:rsidR="00D7254C" w:rsidRPr="000A528D" w:rsidRDefault="00D7254C" w:rsidP="007B6B2C">
            <w:pPr>
              <w:keepNext/>
              <w:keepLines/>
              <w:rPr>
                <w:rFonts w:ascii="Arial Narrow" w:hAnsi="Arial Narrow"/>
                <w:b/>
                <w:bCs/>
                <w:sz w:val="18"/>
                <w:szCs w:val="18"/>
              </w:rPr>
            </w:pPr>
            <w:r w:rsidRPr="000A528D">
              <w:rPr>
                <w:rFonts w:ascii="Arial Narrow" w:hAnsi="Arial Narrow"/>
                <w:b/>
                <w:bCs/>
                <w:sz w:val="18"/>
                <w:szCs w:val="18"/>
              </w:rPr>
              <w:t>ITC Commentary</w:t>
            </w:r>
          </w:p>
        </w:tc>
        <w:tc>
          <w:tcPr>
            <w:tcW w:w="1440" w:type="pct"/>
            <w:gridSpan w:val="2"/>
            <w:tcBorders>
              <w:bottom w:val="single" w:sz="4" w:space="0" w:color="auto"/>
            </w:tcBorders>
            <w:vAlign w:val="center"/>
          </w:tcPr>
          <w:p w14:paraId="5C08C839" w14:textId="77777777" w:rsidR="00D7254C" w:rsidRPr="000A528D" w:rsidRDefault="00D7254C" w:rsidP="007B6B2C">
            <w:pPr>
              <w:keepNext/>
              <w:keepLines/>
              <w:jc w:val="center"/>
              <w:rPr>
                <w:rFonts w:ascii="Arial Narrow" w:hAnsi="Arial Narrow"/>
                <w:sz w:val="18"/>
                <w:szCs w:val="18"/>
              </w:rPr>
            </w:pPr>
            <w:r w:rsidRPr="000A528D">
              <w:rPr>
                <w:rFonts w:ascii="Arial Narrow" w:hAnsi="Arial Narrow"/>
                <w:b/>
                <w:bCs/>
                <w:sz w:val="18"/>
                <w:szCs w:val="18"/>
              </w:rPr>
              <w:t>Remission (</w:t>
            </w:r>
            <w:r w:rsidRPr="000A528D">
              <w:rPr>
                <w:rFonts w:ascii="Arial Narrow" w:hAnsi="Arial Narrow"/>
                <w:b/>
                <w:sz w:val="18"/>
                <w:szCs w:val="18"/>
              </w:rPr>
              <w:t>Wk 52/60) │ Ind. response</w:t>
            </w:r>
          </w:p>
        </w:tc>
        <w:tc>
          <w:tcPr>
            <w:tcW w:w="1440" w:type="pct"/>
            <w:gridSpan w:val="2"/>
            <w:tcBorders>
              <w:bottom w:val="single" w:sz="4" w:space="0" w:color="auto"/>
            </w:tcBorders>
            <w:vAlign w:val="center"/>
          </w:tcPr>
          <w:p w14:paraId="57F628B8" w14:textId="77777777" w:rsidR="00D7254C" w:rsidRPr="000A528D" w:rsidRDefault="00D7254C" w:rsidP="007B6B2C">
            <w:pPr>
              <w:keepNext/>
              <w:keepLines/>
              <w:jc w:val="center"/>
              <w:rPr>
                <w:rFonts w:ascii="Arial Narrow" w:hAnsi="Arial Narrow"/>
                <w:sz w:val="18"/>
                <w:szCs w:val="18"/>
              </w:rPr>
            </w:pPr>
            <w:r w:rsidRPr="000A528D">
              <w:rPr>
                <w:rFonts w:ascii="Arial Narrow" w:hAnsi="Arial Narrow"/>
                <w:b/>
                <w:bCs/>
                <w:sz w:val="18"/>
                <w:szCs w:val="18"/>
              </w:rPr>
              <w:t>Response (</w:t>
            </w:r>
            <w:r w:rsidRPr="000A528D">
              <w:rPr>
                <w:rFonts w:ascii="Arial Narrow" w:hAnsi="Arial Narrow"/>
                <w:b/>
                <w:sz w:val="18"/>
                <w:szCs w:val="18"/>
              </w:rPr>
              <w:t>Wk 52/60) │ Ind. response</w:t>
            </w:r>
          </w:p>
        </w:tc>
      </w:tr>
      <w:tr w:rsidR="00D7254C" w:rsidRPr="000A528D" w14:paraId="700463F9" w14:textId="77777777" w:rsidTr="000A528D">
        <w:tc>
          <w:tcPr>
            <w:tcW w:w="2120" w:type="pct"/>
            <w:vMerge/>
            <w:tcBorders>
              <w:bottom w:val="single" w:sz="4" w:space="0" w:color="auto"/>
            </w:tcBorders>
          </w:tcPr>
          <w:p w14:paraId="1D2749B0" w14:textId="77777777" w:rsidR="00D7254C" w:rsidRPr="000A528D" w:rsidRDefault="00D7254C" w:rsidP="007B6B2C">
            <w:pPr>
              <w:keepNext/>
              <w:keepLines/>
              <w:rPr>
                <w:rFonts w:ascii="Arial Narrow" w:hAnsi="Arial Narrow"/>
                <w:b/>
                <w:bCs/>
                <w:sz w:val="18"/>
                <w:szCs w:val="18"/>
              </w:rPr>
            </w:pPr>
          </w:p>
        </w:tc>
        <w:tc>
          <w:tcPr>
            <w:tcW w:w="720" w:type="pct"/>
            <w:tcBorders>
              <w:bottom w:val="single" w:sz="4" w:space="0" w:color="auto"/>
            </w:tcBorders>
            <w:vAlign w:val="center"/>
          </w:tcPr>
          <w:p w14:paraId="0742A694" w14:textId="77777777" w:rsidR="00D7254C" w:rsidRPr="000A528D" w:rsidRDefault="00D7254C" w:rsidP="007B6B2C">
            <w:pPr>
              <w:keepNext/>
              <w:keepLines/>
              <w:jc w:val="center"/>
              <w:rPr>
                <w:rFonts w:ascii="Arial Narrow" w:hAnsi="Arial Narrow"/>
                <w:sz w:val="18"/>
                <w:szCs w:val="18"/>
                <w:highlight w:val="yellow"/>
              </w:rPr>
            </w:pPr>
            <w:r w:rsidRPr="000A528D">
              <w:rPr>
                <w:rFonts w:ascii="Arial Narrow" w:hAnsi="Arial Narrow"/>
                <w:b/>
                <w:bCs/>
                <w:noProof/>
                <w:sz w:val="18"/>
                <w:szCs w:val="18"/>
              </w:rPr>
              <w:t>RR (95% CI)</w:t>
            </w:r>
          </w:p>
        </w:tc>
        <w:tc>
          <w:tcPr>
            <w:tcW w:w="720" w:type="pct"/>
            <w:tcBorders>
              <w:bottom w:val="single" w:sz="4" w:space="0" w:color="auto"/>
            </w:tcBorders>
            <w:vAlign w:val="center"/>
          </w:tcPr>
          <w:p w14:paraId="22FD33BD" w14:textId="77777777" w:rsidR="00D7254C" w:rsidRPr="000A528D" w:rsidRDefault="00D7254C" w:rsidP="007B6B2C">
            <w:pPr>
              <w:keepNext/>
              <w:keepLines/>
              <w:jc w:val="center"/>
              <w:rPr>
                <w:rFonts w:ascii="Arial Narrow" w:hAnsi="Arial Narrow"/>
                <w:sz w:val="18"/>
                <w:szCs w:val="18"/>
              </w:rPr>
            </w:pPr>
            <w:r w:rsidRPr="000A528D">
              <w:rPr>
                <w:rFonts w:ascii="Arial Narrow" w:hAnsi="Arial Narrow"/>
                <w:b/>
                <w:bCs/>
                <w:noProof/>
                <w:sz w:val="18"/>
                <w:szCs w:val="18"/>
              </w:rPr>
              <w:t>RD (95% CI)</w:t>
            </w:r>
          </w:p>
        </w:tc>
        <w:tc>
          <w:tcPr>
            <w:tcW w:w="720" w:type="pct"/>
            <w:tcBorders>
              <w:bottom w:val="single" w:sz="4" w:space="0" w:color="auto"/>
            </w:tcBorders>
            <w:vAlign w:val="center"/>
          </w:tcPr>
          <w:p w14:paraId="66B6A76F" w14:textId="77777777" w:rsidR="00D7254C" w:rsidRPr="000A528D" w:rsidRDefault="00D7254C" w:rsidP="007B6B2C">
            <w:pPr>
              <w:keepNext/>
              <w:keepLines/>
              <w:jc w:val="center"/>
              <w:rPr>
                <w:rFonts w:ascii="Arial Narrow" w:hAnsi="Arial Narrow"/>
                <w:sz w:val="18"/>
                <w:szCs w:val="18"/>
                <w:highlight w:val="yellow"/>
              </w:rPr>
            </w:pPr>
            <w:r w:rsidRPr="000A528D">
              <w:rPr>
                <w:rFonts w:ascii="Arial Narrow" w:hAnsi="Arial Narrow"/>
                <w:b/>
                <w:bCs/>
                <w:noProof/>
                <w:sz w:val="18"/>
                <w:szCs w:val="18"/>
              </w:rPr>
              <w:t>RR (95% CI)</w:t>
            </w:r>
          </w:p>
        </w:tc>
        <w:tc>
          <w:tcPr>
            <w:tcW w:w="720" w:type="pct"/>
            <w:tcBorders>
              <w:bottom w:val="single" w:sz="4" w:space="0" w:color="auto"/>
            </w:tcBorders>
            <w:vAlign w:val="center"/>
          </w:tcPr>
          <w:p w14:paraId="08423BFF" w14:textId="77777777" w:rsidR="00D7254C" w:rsidRPr="000A528D" w:rsidRDefault="00D7254C" w:rsidP="007B6B2C">
            <w:pPr>
              <w:keepNext/>
              <w:keepLines/>
              <w:jc w:val="center"/>
              <w:rPr>
                <w:rFonts w:ascii="Arial Narrow" w:hAnsi="Arial Narrow"/>
                <w:sz w:val="18"/>
                <w:szCs w:val="18"/>
              </w:rPr>
            </w:pPr>
            <w:r w:rsidRPr="000A528D">
              <w:rPr>
                <w:rFonts w:ascii="Arial Narrow" w:hAnsi="Arial Narrow"/>
                <w:b/>
                <w:bCs/>
                <w:noProof/>
                <w:sz w:val="18"/>
                <w:szCs w:val="18"/>
              </w:rPr>
              <w:t>RD (95% CI)</w:t>
            </w:r>
          </w:p>
        </w:tc>
      </w:tr>
      <w:tr w:rsidR="00D7254C" w:rsidRPr="000A528D" w14:paraId="50D8C258" w14:textId="77777777" w:rsidTr="000A528D">
        <w:tc>
          <w:tcPr>
            <w:tcW w:w="2120" w:type="pct"/>
            <w:tcBorders>
              <w:top w:val="nil"/>
              <w:bottom w:val="nil"/>
            </w:tcBorders>
            <w:vAlign w:val="center"/>
          </w:tcPr>
          <w:p w14:paraId="737C4C74" w14:textId="77777777" w:rsidR="00D7254C" w:rsidRPr="001D752B" w:rsidRDefault="00D7254C" w:rsidP="007B6B2C">
            <w:pPr>
              <w:keepNext/>
              <w:keepLines/>
              <w:jc w:val="right"/>
              <w:rPr>
                <w:rFonts w:ascii="Arial Narrow" w:hAnsi="Arial Narrow"/>
                <w:sz w:val="18"/>
                <w:szCs w:val="18"/>
              </w:rPr>
            </w:pPr>
            <w:r w:rsidRPr="001D752B">
              <w:rPr>
                <w:rFonts w:ascii="Arial Narrow" w:hAnsi="Arial Narrow"/>
                <w:b/>
                <w:bCs/>
                <w:sz w:val="18"/>
                <w:szCs w:val="18"/>
              </w:rPr>
              <w:t>ITT</w:t>
            </w:r>
          </w:p>
        </w:tc>
        <w:tc>
          <w:tcPr>
            <w:tcW w:w="720" w:type="pct"/>
            <w:tcBorders>
              <w:top w:val="nil"/>
              <w:bottom w:val="nil"/>
            </w:tcBorders>
            <w:vAlign w:val="center"/>
          </w:tcPr>
          <w:p w14:paraId="028DE7DE" w14:textId="77777777" w:rsidR="00D7254C" w:rsidRPr="001D752B" w:rsidRDefault="00D7254C" w:rsidP="007B6B2C">
            <w:pPr>
              <w:keepNext/>
              <w:keepLines/>
              <w:jc w:val="center"/>
              <w:rPr>
                <w:rFonts w:ascii="Arial Narrow" w:hAnsi="Arial Narrow"/>
                <w:sz w:val="18"/>
                <w:szCs w:val="18"/>
              </w:rPr>
            </w:pPr>
          </w:p>
        </w:tc>
        <w:tc>
          <w:tcPr>
            <w:tcW w:w="720" w:type="pct"/>
            <w:tcBorders>
              <w:top w:val="nil"/>
              <w:bottom w:val="nil"/>
            </w:tcBorders>
            <w:vAlign w:val="center"/>
          </w:tcPr>
          <w:p w14:paraId="1904EE84" w14:textId="77777777" w:rsidR="00D7254C" w:rsidRPr="001D752B" w:rsidRDefault="00D7254C" w:rsidP="007B6B2C">
            <w:pPr>
              <w:keepNext/>
              <w:keepLines/>
              <w:jc w:val="center"/>
              <w:rPr>
                <w:rFonts w:ascii="Arial Narrow" w:hAnsi="Arial Narrow"/>
                <w:sz w:val="18"/>
                <w:szCs w:val="18"/>
              </w:rPr>
            </w:pPr>
          </w:p>
        </w:tc>
        <w:tc>
          <w:tcPr>
            <w:tcW w:w="720" w:type="pct"/>
            <w:tcBorders>
              <w:top w:val="nil"/>
              <w:bottom w:val="nil"/>
            </w:tcBorders>
            <w:vAlign w:val="center"/>
          </w:tcPr>
          <w:p w14:paraId="6D3F00A4" w14:textId="77777777" w:rsidR="00D7254C" w:rsidRPr="001D752B" w:rsidRDefault="00D7254C" w:rsidP="007B6B2C">
            <w:pPr>
              <w:keepNext/>
              <w:keepLines/>
              <w:jc w:val="center"/>
              <w:rPr>
                <w:rFonts w:ascii="Arial Narrow" w:hAnsi="Arial Narrow"/>
                <w:sz w:val="18"/>
                <w:szCs w:val="18"/>
              </w:rPr>
            </w:pPr>
          </w:p>
        </w:tc>
        <w:tc>
          <w:tcPr>
            <w:tcW w:w="720" w:type="pct"/>
            <w:tcBorders>
              <w:top w:val="nil"/>
              <w:bottom w:val="nil"/>
            </w:tcBorders>
            <w:vAlign w:val="center"/>
          </w:tcPr>
          <w:p w14:paraId="25087762" w14:textId="77777777" w:rsidR="00D7254C" w:rsidRPr="001D752B" w:rsidRDefault="00D7254C" w:rsidP="007B6B2C">
            <w:pPr>
              <w:keepNext/>
              <w:keepLines/>
              <w:jc w:val="center"/>
              <w:rPr>
                <w:rFonts w:ascii="Arial Narrow" w:hAnsi="Arial Narrow"/>
                <w:sz w:val="18"/>
                <w:szCs w:val="18"/>
              </w:rPr>
            </w:pPr>
          </w:p>
        </w:tc>
      </w:tr>
      <w:tr w:rsidR="00D7254C" w:rsidRPr="000A528D" w14:paraId="550A031B" w14:textId="77777777" w:rsidTr="000A528D">
        <w:tc>
          <w:tcPr>
            <w:tcW w:w="2120" w:type="pct"/>
            <w:tcBorders>
              <w:top w:val="nil"/>
              <w:bottom w:val="nil"/>
            </w:tcBorders>
            <w:vAlign w:val="center"/>
          </w:tcPr>
          <w:p w14:paraId="26A47858"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VDZ IV (MA RE, FMS)</w:t>
            </w:r>
          </w:p>
        </w:tc>
        <w:tc>
          <w:tcPr>
            <w:tcW w:w="720" w:type="pct"/>
            <w:tcBorders>
              <w:top w:val="nil"/>
              <w:bottom w:val="nil"/>
            </w:tcBorders>
            <w:vAlign w:val="center"/>
          </w:tcPr>
          <w:p w14:paraId="0EA9A1A9"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0.84 (0.55,1.26)</w:t>
            </w:r>
          </w:p>
        </w:tc>
        <w:tc>
          <w:tcPr>
            <w:tcW w:w="720" w:type="pct"/>
            <w:tcBorders>
              <w:top w:val="nil"/>
              <w:bottom w:val="nil"/>
            </w:tcBorders>
            <w:vAlign w:val="center"/>
          </w:tcPr>
          <w:p w14:paraId="1CAB9422"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-0.01 (-0.13,0.11)</w:t>
            </w:r>
          </w:p>
        </w:tc>
        <w:tc>
          <w:tcPr>
            <w:tcW w:w="720" w:type="pct"/>
            <w:tcBorders>
              <w:top w:val="nil"/>
              <w:bottom w:val="nil"/>
            </w:tcBorders>
            <w:vAlign w:val="center"/>
          </w:tcPr>
          <w:p w14:paraId="7D5E979E" w14:textId="4EDAFA0A"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0.72 (0.54,0.96)</w:t>
            </w:r>
          </w:p>
        </w:tc>
        <w:tc>
          <w:tcPr>
            <w:tcW w:w="720" w:type="pct"/>
            <w:tcBorders>
              <w:top w:val="nil"/>
              <w:bottom w:val="nil"/>
            </w:tcBorders>
            <w:vAlign w:val="center"/>
          </w:tcPr>
          <w:p w14:paraId="30EB7C3D" w14:textId="686A253D"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-0.04 (-0.16,0.08)</w:t>
            </w:r>
          </w:p>
        </w:tc>
      </w:tr>
      <w:tr w:rsidR="00D7254C" w:rsidRPr="000A528D" w14:paraId="1BC54451" w14:textId="77777777" w:rsidTr="000A528D">
        <w:tc>
          <w:tcPr>
            <w:tcW w:w="2120" w:type="pct"/>
            <w:tcBorders>
              <w:top w:val="nil"/>
              <w:bottom w:val="nil"/>
            </w:tcBorders>
            <w:vAlign w:val="center"/>
          </w:tcPr>
          <w:p w14:paraId="7C25FF91"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VDZ IV/SC (MA RE, FMS)</w:t>
            </w:r>
          </w:p>
        </w:tc>
        <w:tc>
          <w:tcPr>
            <w:tcW w:w="720" w:type="pct"/>
            <w:tcBorders>
              <w:top w:val="nil"/>
              <w:bottom w:val="nil"/>
            </w:tcBorders>
            <w:vAlign w:val="center"/>
          </w:tcPr>
          <w:p w14:paraId="58CA58EE" w14:textId="6A6ED765"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0.82 (0.55,1.24)</w:t>
            </w:r>
          </w:p>
        </w:tc>
        <w:tc>
          <w:tcPr>
            <w:tcW w:w="720" w:type="pct"/>
            <w:tcBorders>
              <w:top w:val="nil"/>
              <w:bottom w:val="nil"/>
            </w:tcBorders>
            <w:vAlign w:val="center"/>
          </w:tcPr>
          <w:p w14:paraId="65C29B05" w14:textId="6D556CF8"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-0.03 (-0.14,0.08)</w:t>
            </w:r>
          </w:p>
        </w:tc>
        <w:tc>
          <w:tcPr>
            <w:tcW w:w="720" w:type="pct"/>
            <w:tcBorders>
              <w:top w:val="nil"/>
              <w:bottom w:val="nil"/>
            </w:tcBorders>
            <w:vAlign w:val="center"/>
          </w:tcPr>
          <w:p w14:paraId="75C1F29E" w14:textId="77777777"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0.73 (0.56,0.97)</w:t>
            </w:r>
          </w:p>
        </w:tc>
        <w:tc>
          <w:tcPr>
            <w:tcW w:w="720" w:type="pct"/>
            <w:tcBorders>
              <w:top w:val="nil"/>
              <w:bottom w:val="nil"/>
            </w:tcBorders>
            <w:vAlign w:val="center"/>
          </w:tcPr>
          <w:p w14:paraId="2C859581"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-0.03 (-0.14,0.08)</w:t>
            </w:r>
          </w:p>
        </w:tc>
      </w:tr>
      <w:tr w:rsidR="00D7254C" w:rsidRPr="000A528D" w14:paraId="7A58499F" w14:textId="77777777" w:rsidTr="000A528D">
        <w:tc>
          <w:tcPr>
            <w:tcW w:w="2120" w:type="pct"/>
            <w:tcBorders>
              <w:top w:val="nil"/>
              <w:bottom w:val="nil"/>
            </w:tcBorders>
            <w:vAlign w:val="center"/>
          </w:tcPr>
          <w:p w14:paraId="79DA91B7"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ADA (MA RE, FMS)</w:t>
            </w:r>
          </w:p>
        </w:tc>
        <w:tc>
          <w:tcPr>
            <w:tcW w:w="720" w:type="pct"/>
            <w:tcBorders>
              <w:top w:val="nil"/>
              <w:bottom w:val="nil"/>
            </w:tcBorders>
            <w:vAlign w:val="center"/>
          </w:tcPr>
          <w:p w14:paraId="511525D2" w14:textId="394A2AB6"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1.23 (0.57,2.66)</w:t>
            </w:r>
          </w:p>
        </w:tc>
        <w:tc>
          <w:tcPr>
            <w:tcW w:w="720" w:type="pct"/>
            <w:tcBorders>
              <w:top w:val="nil"/>
              <w:bottom w:val="nil"/>
            </w:tcBorders>
            <w:vAlign w:val="center"/>
          </w:tcPr>
          <w:p w14:paraId="3358CB5F"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0.09 (-0.16,0.34)</w:t>
            </w:r>
          </w:p>
        </w:tc>
        <w:tc>
          <w:tcPr>
            <w:tcW w:w="720" w:type="pct"/>
            <w:tcBorders>
              <w:top w:val="nil"/>
              <w:bottom w:val="nil"/>
            </w:tcBorders>
            <w:vAlign w:val="center"/>
          </w:tcPr>
          <w:p w14:paraId="707ECC6F"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1.16 (0.84,1.61)</w:t>
            </w:r>
          </w:p>
        </w:tc>
        <w:tc>
          <w:tcPr>
            <w:tcW w:w="720" w:type="pct"/>
            <w:tcBorders>
              <w:top w:val="nil"/>
              <w:bottom w:val="nil"/>
            </w:tcBorders>
            <w:vAlign w:val="center"/>
          </w:tcPr>
          <w:p w14:paraId="4B759EC2" w14:textId="77777777"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0.17 (0.03,0.31)</w:t>
            </w:r>
          </w:p>
        </w:tc>
      </w:tr>
      <w:tr w:rsidR="00D7254C" w:rsidRPr="000A528D" w14:paraId="79447EF9" w14:textId="77777777" w:rsidTr="000A528D">
        <w:tc>
          <w:tcPr>
            <w:tcW w:w="2120" w:type="pct"/>
            <w:tcBorders>
              <w:top w:val="nil"/>
              <w:bottom w:val="nil"/>
            </w:tcBorders>
            <w:vAlign w:val="center"/>
          </w:tcPr>
          <w:p w14:paraId="280D4E1A"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ADA corrected (MA RE, FMS)</w:t>
            </w:r>
          </w:p>
        </w:tc>
        <w:tc>
          <w:tcPr>
            <w:tcW w:w="720" w:type="pct"/>
            <w:tcBorders>
              <w:top w:val="nil"/>
              <w:bottom w:val="nil"/>
            </w:tcBorders>
            <w:vAlign w:val="center"/>
          </w:tcPr>
          <w:p w14:paraId="217A004E"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20" w:type="pct"/>
            <w:tcBorders>
              <w:top w:val="nil"/>
              <w:bottom w:val="nil"/>
            </w:tcBorders>
            <w:vAlign w:val="center"/>
          </w:tcPr>
          <w:p w14:paraId="606A8767"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20" w:type="pct"/>
            <w:tcBorders>
              <w:top w:val="nil"/>
              <w:bottom w:val="nil"/>
            </w:tcBorders>
            <w:vAlign w:val="center"/>
          </w:tcPr>
          <w:p w14:paraId="71D956CD" w14:textId="014252AB"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1.20 (0.87,1.65)</w:t>
            </w:r>
          </w:p>
        </w:tc>
        <w:tc>
          <w:tcPr>
            <w:tcW w:w="720" w:type="pct"/>
            <w:tcBorders>
              <w:top w:val="nil"/>
              <w:bottom w:val="nil"/>
            </w:tcBorders>
            <w:vAlign w:val="center"/>
          </w:tcPr>
          <w:p w14:paraId="39E3F541" w14:textId="4B237B10"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0.18 (0.03,0.32)</w:t>
            </w:r>
          </w:p>
        </w:tc>
      </w:tr>
      <w:tr w:rsidR="00D7254C" w:rsidRPr="000A528D" w14:paraId="795ABCDF" w14:textId="77777777" w:rsidTr="000A528D">
        <w:tc>
          <w:tcPr>
            <w:tcW w:w="2120" w:type="pct"/>
            <w:tcBorders>
              <w:top w:val="nil"/>
              <w:bottom w:val="nil"/>
            </w:tcBorders>
            <w:vAlign w:val="center"/>
          </w:tcPr>
          <w:p w14:paraId="53C817C8" w14:textId="77777777" w:rsidR="00D7254C" w:rsidRPr="001D752B" w:rsidRDefault="00D7254C" w:rsidP="007B6B2C">
            <w:pPr>
              <w:keepNext/>
              <w:keepLines/>
              <w:jc w:val="right"/>
              <w:rPr>
                <w:rFonts w:ascii="Arial Narrow" w:hAnsi="Arial Narrow"/>
                <w:sz w:val="18"/>
                <w:szCs w:val="18"/>
                <w:lang w:val="fr-FR"/>
              </w:rPr>
            </w:pPr>
            <w:r w:rsidRPr="001D752B">
              <w:rPr>
                <w:rFonts w:ascii="Arial Narrow" w:hAnsi="Arial Narrow"/>
                <w:sz w:val="18"/>
                <w:szCs w:val="18"/>
                <w:lang w:val="fr-FR"/>
              </w:rPr>
              <w:t>MIRI (LUCENT 2, MMS) v UST (UNIFI, FMS)</w:t>
            </w:r>
          </w:p>
        </w:tc>
        <w:tc>
          <w:tcPr>
            <w:tcW w:w="720" w:type="pct"/>
            <w:tcBorders>
              <w:top w:val="nil"/>
              <w:bottom w:val="nil"/>
            </w:tcBorders>
            <w:vAlign w:val="center"/>
          </w:tcPr>
          <w:p w14:paraId="3E454147"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1.16 (0.78,1.73)</w:t>
            </w:r>
          </w:p>
        </w:tc>
        <w:tc>
          <w:tcPr>
            <w:tcW w:w="720" w:type="pct"/>
            <w:tcBorders>
              <w:top w:val="nil"/>
              <w:bottom w:val="nil"/>
            </w:tcBorders>
            <w:vAlign w:val="center"/>
          </w:tcPr>
          <w:p w14:paraId="01E610AC"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0.08 (-0.03,0.19)</w:t>
            </w:r>
          </w:p>
        </w:tc>
        <w:tc>
          <w:tcPr>
            <w:tcW w:w="720" w:type="pct"/>
            <w:tcBorders>
              <w:top w:val="nil"/>
              <w:bottom w:val="nil"/>
            </w:tcBorders>
            <w:vAlign w:val="center"/>
          </w:tcPr>
          <w:p w14:paraId="721A3BB9"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1.04 (0.82,1.33)</w:t>
            </w:r>
          </w:p>
        </w:tc>
        <w:tc>
          <w:tcPr>
            <w:tcW w:w="720" w:type="pct"/>
            <w:tcBorders>
              <w:top w:val="nil"/>
              <w:bottom w:val="nil"/>
            </w:tcBorders>
            <w:vAlign w:val="center"/>
          </w:tcPr>
          <w:p w14:paraId="73720C9C"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0.06 (-0.06,0.18)</w:t>
            </w:r>
          </w:p>
        </w:tc>
      </w:tr>
      <w:tr w:rsidR="00D7254C" w:rsidRPr="000A528D" w14:paraId="2E8C9466" w14:textId="77777777" w:rsidTr="000A528D">
        <w:tc>
          <w:tcPr>
            <w:tcW w:w="2120" w:type="pct"/>
            <w:tcBorders>
              <w:top w:val="nil"/>
              <w:bottom w:val="nil"/>
            </w:tcBorders>
            <w:vAlign w:val="center"/>
          </w:tcPr>
          <w:p w14:paraId="290CAF20" w14:textId="5361569A" w:rsidR="00D7254C" w:rsidRPr="001D752B" w:rsidRDefault="00AF7030" w:rsidP="007B6B2C">
            <w:pPr>
              <w:keepNext/>
              <w:keepLines/>
              <w:jc w:val="right"/>
              <w:rPr>
                <w:rFonts w:ascii="Arial Narrow" w:hAnsi="Arial Narrow"/>
                <w:sz w:val="18"/>
                <w:szCs w:val="18"/>
              </w:rPr>
            </w:pPr>
            <w:r w:rsidRPr="001D752B">
              <w:rPr>
                <w:rFonts w:ascii="Arial Narrow" w:hAnsi="Arial Narrow"/>
                <w:b/>
                <w:bCs/>
                <w:sz w:val="18"/>
                <w:szCs w:val="18"/>
              </w:rPr>
              <w:t>bDMARDs/tsDMARDs</w:t>
            </w:r>
            <w:r w:rsidR="00D7254C" w:rsidRPr="001D752B">
              <w:rPr>
                <w:rFonts w:ascii="Arial Narrow" w:hAnsi="Arial Narrow"/>
                <w:b/>
                <w:bCs/>
                <w:sz w:val="18"/>
                <w:szCs w:val="18"/>
              </w:rPr>
              <w:t>-naive</w:t>
            </w:r>
          </w:p>
        </w:tc>
        <w:tc>
          <w:tcPr>
            <w:tcW w:w="720" w:type="pct"/>
            <w:tcBorders>
              <w:top w:val="nil"/>
              <w:bottom w:val="nil"/>
            </w:tcBorders>
            <w:vAlign w:val="center"/>
          </w:tcPr>
          <w:p w14:paraId="66A718B1" w14:textId="77777777" w:rsidR="00D7254C" w:rsidRPr="001D752B" w:rsidRDefault="00D7254C" w:rsidP="007B6B2C">
            <w:pPr>
              <w:keepNext/>
              <w:keepLines/>
              <w:jc w:val="center"/>
              <w:rPr>
                <w:rFonts w:ascii="Arial Narrow" w:hAnsi="Arial Narrow"/>
                <w:sz w:val="18"/>
                <w:szCs w:val="18"/>
              </w:rPr>
            </w:pPr>
          </w:p>
        </w:tc>
        <w:tc>
          <w:tcPr>
            <w:tcW w:w="720" w:type="pct"/>
            <w:tcBorders>
              <w:top w:val="nil"/>
              <w:bottom w:val="nil"/>
            </w:tcBorders>
            <w:vAlign w:val="center"/>
          </w:tcPr>
          <w:p w14:paraId="336B35BD" w14:textId="77777777" w:rsidR="00D7254C" w:rsidRPr="001D752B" w:rsidRDefault="00D7254C" w:rsidP="007B6B2C">
            <w:pPr>
              <w:keepNext/>
              <w:keepLines/>
              <w:jc w:val="center"/>
              <w:rPr>
                <w:rFonts w:ascii="Arial Narrow" w:hAnsi="Arial Narrow"/>
                <w:sz w:val="18"/>
                <w:szCs w:val="18"/>
              </w:rPr>
            </w:pPr>
          </w:p>
        </w:tc>
        <w:tc>
          <w:tcPr>
            <w:tcW w:w="720" w:type="pct"/>
            <w:tcBorders>
              <w:top w:val="nil"/>
              <w:bottom w:val="nil"/>
            </w:tcBorders>
            <w:vAlign w:val="center"/>
          </w:tcPr>
          <w:p w14:paraId="32F95BAB" w14:textId="77777777" w:rsidR="00D7254C" w:rsidRPr="001D752B" w:rsidRDefault="00D7254C" w:rsidP="007B6B2C">
            <w:pPr>
              <w:keepNext/>
              <w:keepLines/>
              <w:jc w:val="center"/>
              <w:rPr>
                <w:rFonts w:ascii="Arial Narrow" w:hAnsi="Arial Narrow"/>
                <w:sz w:val="18"/>
                <w:szCs w:val="18"/>
              </w:rPr>
            </w:pPr>
          </w:p>
        </w:tc>
        <w:tc>
          <w:tcPr>
            <w:tcW w:w="720" w:type="pct"/>
            <w:tcBorders>
              <w:top w:val="nil"/>
              <w:bottom w:val="nil"/>
            </w:tcBorders>
            <w:vAlign w:val="center"/>
          </w:tcPr>
          <w:p w14:paraId="233E77F4" w14:textId="77777777" w:rsidR="00D7254C" w:rsidRPr="001D752B" w:rsidRDefault="00D7254C" w:rsidP="007B6B2C">
            <w:pPr>
              <w:keepNext/>
              <w:keepLines/>
              <w:jc w:val="center"/>
              <w:rPr>
                <w:rFonts w:ascii="Arial Narrow" w:hAnsi="Arial Narrow"/>
                <w:sz w:val="18"/>
                <w:szCs w:val="18"/>
              </w:rPr>
            </w:pPr>
          </w:p>
        </w:tc>
      </w:tr>
      <w:tr w:rsidR="00D7254C" w:rsidRPr="000A528D" w14:paraId="5C6EFE0A" w14:textId="77777777" w:rsidTr="000A528D">
        <w:tc>
          <w:tcPr>
            <w:tcW w:w="2120" w:type="pct"/>
            <w:tcBorders>
              <w:top w:val="nil"/>
              <w:bottom w:val="nil"/>
            </w:tcBorders>
            <w:vAlign w:val="center"/>
          </w:tcPr>
          <w:p w14:paraId="6225CED7"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VDZ IV (MA RE, FMS)</w:t>
            </w:r>
          </w:p>
        </w:tc>
        <w:tc>
          <w:tcPr>
            <w:tcW w:w="720" w:type="pct"/>
            <w:tcBorders>
              <w:top w:val="nil"/>
              <w:bottom w:val="nil"/>
            </w:tcBorders>
            <w:vAlign w:val="center"/>
          </w:tcPr>
          <w:p w14:paraId="5F7CFA60" w14:textId="70C9991E"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0.78 (0.49,1.24)</w:t>
            </w:r>
          </w:p>
        </w:tc>
        <w:tc>
          <w:tcPr>
            <w:tcW w:w="720" w:type="pct"/>
            <w:tcBorders>
              <w:top w:val="nil"/>
              <w:bottom w:val="nil"/>
            </w:tcBorders>
            <w:vAlign w:val="center"/>
          </w:tcPr>
          <w:p w14:paraId="589E20C5" w14:textId="41B73F8E"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-0.06 (-0.21,0.09)</w:t>
            </w:r>
          </w:p>
        </w:tc>
        <w:tc>
          <w:tcPr>
            <w:tcW w:w="720" w:type="pct"/>
            <w:tcBorders>
              <w:top w:val="nil"/>
              <w:bottom w:val="nil"/>
            </w:tcBorders>
            <w:vAlign w:val="center"/>
          </w:tcPr>
          <w:p w14:paraId="455C14FC" w14:textId="16974379"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0.71 (0.49,1.09)</w:t>
            </w:r>
          </w:p>
        </w:tc>
        <w:tc>
          <w:tcPr>
            <w:tcW w:w="720" w:type="pct"/>
            <w:tcBorders>
              <w:top w:val="nil"/>
              <w:bottom w:val="nil"/>
            </w:tcBorders>
            <w:vAlign w:val="center"/>
          </w:tcPr>
          <w:p w14:paraId="789DE534" w14:textId="24A7A7BE"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-0.06 (-0.22,0.10)</w:t>
            </w:r>
          </w:p>
        </w:tc>
      </w:tr>
      <w:tr w:rsidR="00D7254C" w:rsidRPr="000A528D" w14:paraId="4076ED83" w14:textId="77777777" w:rsidTr="000A528D">
        <w:tc>
          <w:tcPr>
            <w:tcW w:w="2120" w:type="pct"/>
            <w:tcBorders>
              <w:top w:val="nil"/>
              <w:bottom w:val="nil"/>
            </w:tcBorders>
            <w:vAlign w:val="center"/>
          </w:tcPr>
          <w:p w14:paraId="2914B31B"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VDZ IV/SC (MA RE, FMS)</w:t>
            </w:r>
          </w:p>
        </w:tc>
        <w:tc>
          <w:tcPr>
            <w:tcW w:w="720" w:type="pct"/>
            <w:tcBorders>
              <w:top w:val="nil"/>
              <w:bottom w:val="nil"/>
            </w:tcBorders>
            <w:vAlign w:val="center"/>
          </w:tcPr>
          <w:p w14:paraId="1A27D4C0" w14:textId="010416A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0.77 (0.49,1.24)</w:t>
            </w:r>
          </w:p>
        </w:tc>
        <w:tc>
          <w:tcPr>
            <w:tcW w:w="720" w:type="pct"/>
            <w:tcBorders>
              <w:top w:val="nil"/>
              <w:bottom w:val="nil"/>
            </w:tcBorders>
            <w:vAlign w:val="center"/>
          </w:tcPr>
          <w:p w14:paraId="0519773C" w14:textId="2E0DEFF9"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-0.08 (-0.23,0.07)</w:t>
            </w:r>
          </w:p>
        </w:tc>
        <w:tc>
          <w:tcPr>
            <w:tcW w:w="720" w:type="pct"/>
            <w:tcBorders>
              <w:top w:val="nil"/>
              <w:bottom w:val="nil"/>
            </w:tcBorders>
            <w:vAlign w:val="center"/>
          </w:tcPr>
          <w:p w14:paraId="3CFFF617"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20" w:type="pct"/>
            <w:tcBorders>
              <w:top w:val="nil"/>
              <w:bottom w:val="nil"/>
            </w:tcBorders>
            <w:vAlign w:val="center"/>
          </w:tcPr>
          <w:p w14:paraId="42909A29"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r>
      <w:tr w:rsidR="00D7254C" w:rsidRPr="000A528D" w14:paraId="503903F6" w14:textId="77777777" w:rsidTr="000A528D">
        <w:tc>
          <w:tcPr>
            <w:tcW w:w="2120" w:type="pct"/>
            <w:tcBorders>
              <w:top w:val="nil"/>
              <w:bottom w:val="nil"/>
            </w:tcBorders>
            <w:vAlign w:val="center"/>
          </w:tcPr>
          <w:p w14:paraId="2D829388"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ADA (MA RE, FMS)</w:t>
            </w:r>
          </w:p>
        </w:tc>
        <w:tc>
          <w:tcPr>
            <w:tcW w:w="720" w:type="pct"/>
            <w:tcBorders>
              <w:top w:val="nil"/>
              <w:bottom w:val="nil"/>
            </w:tcBorders>
            <w:vAlign w:val="center"/>
          </w:tcPr>
          <w:p w14:paraId="05629330" w14:textId="32CD0C65"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1.13 (0.43,2.93)</w:t>
            </w:r>
          </w:p>
        </w:tc>
        <w:tc>
          <w:tcPr>
            <w:tcW w:w="720" w:type="pct"/>
            <w:tcBorders>
              <w:top w:val="nil"/>
              <w:bottom w:val="nil"/>
            </w:tcBorders>
            <w:vAlign w:val="center"/>
          </w:tcPr>
          <w:p w14:paraId="31B5568E" w14:textId="67BBDE93"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0.07 (-0.24,0.38)</w:t>
            </w:r>
          </w:p>
        </w:tc>
        <w:tc>
          <w:tcPr>
            <w:tcW w:w="720" w:type="pct"/>
            <w:tcBorders>
              <w:top w:val="nil"/>
              <w:bottom w:val="nil"/>
            </w:tcBorders>
            <w:vAlign w:val="center"/>
          </w:tcPr>
          <w:p w14:paraId="14C64F51" w14:textId="10B54EA8"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1.23 (0.87,1.75)</w:t>
            </w:r>
          </w:p>
        </w:tc>
        <w:tc>
          <w:tcPr>
            <w:tcW w:w="720" w:type="pct"/>
            <w:tcBorders>
              <w:top w:val="nil"/>
              <w:bottom w:val="nil"/>
            </w:tcBorders>
            <w:vAlign w:val="center"/>
          </w:tcPr>
          <w:p w14:paraId="16DDA614" w14:textId="2B34FB51"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0.19 (0.03,0.35)</w:t>
            </w:r>
          </w:p>
        </w:tc>
      </w:tr>
      <w:tr w:rsidR="00D7254C" w:rsidRPr="000A528D" w14:paraId="4930D872" w14:textId="77777777" w:rsidTr="000A528D">
        <w:tc>
          <w:tcPr>
            <w:tcW w:w="2120" w:type="pct"/>
            <w:tcBorders>
              <w:top w:val="nil"/>
              <w:bottom w:val="nil"/>
            </w:tcBorders>
            <w:vAlign w:val="center"/>
          </w:tcPr>
          <w:p w14:paraId="3659E523"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ADA corrected (MA RE, FMS)</w:t>
            </w:r>
          </w:p>
        </w:tc>
        <w:tc>
          <w:tcPr>
            <w:tcW w:w="720" w:type="pct"/>
            <w:tcBorders>
              <w:top w:val="nil"/>
              <w:bottom w:val="nil"/>
            </w:tcBorders>
            <w:vAlign w:val="center"/>
          </w:tcPr>
          <w:p w14:paraId="31B8315A"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20" w:type="pct"/>
            <w:tcBorders>
              <w:top w:val="nil"/>
              <w:bottom w:val="nil"/>
            </w:tcBorders>
            <w:vAlign w:val="center"/>
          </w:tcPr>
          <w:p w14:paraId="024A2809"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20" w:type="pct"/>
            <w:tcBorders>
              <w:top w:val="nil"/>
              <w:bottom w:val="nil"/>
            </w:tcBorders>
            <w:vAlign w:val="center"/>
          </w:tcPr>
          <w:p w14:paraId="71EE88AE" w14:textId="5E12C250"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1.27 (0.90,1.80)</w:t>
            </w:r>
          </w:p>
        </w:tc>
        <w:tc>
          <w:tcPr>
            <w:tcW w:w="720" w:type="pct"/>
            <w:tcBorders>
              <w:top w:val="nil"/>
              <w:bottom w:val="nil"/>
            </w:tcBorders>
            <w:vAlign w:val="center"/>
          </w:tcPr>
          <w:p w14:paraId="66FE69E1" w14:textId="3DAE4F21"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0.16 (-0.05,0.37)</w:t>
            </w:r>
          </w:p>
        </w:tc>
      </w:tr>
      <w:tr w:rsidR="00D7254C" w:rsidRPr="000A528D" w14:paraId="04C0B2B8" w14:textId="77777777" w:rsidTr="000A528D">
        <w:tc>
          <w:tcPr>
            <w:tcW w:w="2120" w:type="pct"/>
            <w:tcBorders>
              <w:top w:val="nil"/>
              <w:bottom w:val="nil"/>
            </w:tcBorders>
            <w:vAlign w:val="center"/>
          </w:tcPr>
          <w:p w14:paraId="71EC62FB" w14:textId="77777777" w:rsidR="00D7254C" w:rsidRPr="001D752B" w:rsidRDefault="00D7254C" w:rsidP="007B6B2C">
            <w:pPr>
              <w:keepNext/>
              <w:keepLines/>
              <w:jc w:val="right"/>
              <w:rPr>
                <w:rFonts w:ascii="Arial Narrow" w:hAnsi="Arial Narrow"/>
                <w:sz w:val="18"/>
                <w:szCs w:val="18"/>
                <w:lang w:val="fr-FR"/>
              </w:rPr>
            </w:pPr>
            <w:r w:rsidRPr="001D752B">
              <w:rPr>
                <w:rFonts w:ascii="Arial Narrow" w:hAnsi="Arial Narrow"/>
                <w:sz w:val="18"/>
                <w:szCs w:val="18"/>
                <w:lang w:val="fr-FR"/>
              </w:rPr>
              <w:t>MIRI (LUCENT 2, MMS) v UST (UNIFI, FMS)</w:t>
            </w:r>
          </w:p>
        </w:tc>
        <w:tc>
          <w:tcPr>
            <w:tcW w:w="720" w:type="pct"/>
            <w:tcBorders>
              <w:top w:val="nil"/>
              <w:bottom w:val="nil"/>
            </w:tcBorders>
            <w:vAlign w:val="center"/>
          </w:tcPr>
          <w:p w14:paraId="149E21A9" w14:textId="7F6154DB"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1.11 (0.70,1.75)</w:t>
            </w:r>
          </w:p>
        </w:tc>
        <w:tc>
          <w:tcPr>
            <w:tcW w:w="720" w:type="pct"/>
            <w:tcBorders>
              <w:top w:val="nil"/>
              <w:bottom w:val="nil"/>
            </w:tcBorders>
            <w:vAlign w:val="center"/>
          </w:tcPr>
          <w:p w14:paraId="117E0838" w14:textId="2D56934E"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0.04 (-0.12,0.20)</w:t>
            </w:r>
          </w:p>
        </w:tc>
        <w:tc>
          <w:tcPr>
            <w:tcW w:w="720" w:type="pct"/>
            <w:tcBorders>
              <w:top w:val="nil"/>
              <w:bottom w:val="nil"/>
            </w:tcBorders>
            <w:vAlign w:val="center"/>
          </w:tcPr>
          <w:p w14:paraId="2B0E0C2F" w14:textId="631E8379"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1.07 (0.81,1.43)</w:t>
            </w:r>
          </w:p>
        </w:tc>
        <w:tc>
          <w:tcPr>
            <w:tcW w:w="720" w:type="pct"/>
            <w:tcBorders>
              <w:top w:val="nil"/>
              <w:bottom w:val="nil"/>
            </w:tcBorders>
            <w:vAlign w:val="center"/>
          </w:tcPr>
          <w:p w14:paraId="54F6379F"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0.06 (-0.10,0.22)</w:t>
            </w:r>
          </w:p>
        </w:tc>
      </w:tr>
      <w:tr w:rsidR="00D7254C" w:rsidRPr="000A528D" w14:paraId="6393F422" w14:textId="77777777" w:rsidTr="000A528D">
        <w:tc>
          <w:tcPr>
            <w:tcW w:w="2120" w:type="pct"/>
            <w:tcBorders>
              <w:top w:val="nil"/>
              <w:bottom w:val="nil"/>
            </w:tcBorders>
            <w:vAlign w:val="center"/>
          </w:tcPr>
          <w:p w14:paraId="6F94FC28" w14:textId="4CB1F446" w:rsidR="00D7254C" w:rsidRPr="001D752B" w:rsidRDefault="00AF7030" w:rsidP="007B6B2C">
            <w:pPr>
              <w:keepNext/>
              <w:keepLines/>
              <w:jc w:val="right"/>
              <w:rPr>
                <w:rFonts w:ascii="Arial Narrow" w:hAnsi="Arial Narrow"/>
                <w:sz w:val="18"/>
                <w:szCs w:val="18"/>
              </w:rPr>
            </w:pPr>
            <w:r w:rsidRPr="001D752B">
              <w:rPr>
                <w:rFonts w:ascii="Arial Narrow" w:hAnsi="Arial Narrow"/>
                <w:b/>
                <w:bCs/>
                <w:sz w:val="18"/>
                <w:szCs w:val="18"/>
              </w:rPr>
              <w:t>bDMARDs/tsDMARDs</w:t>
            </w:r>
            <w:r w:rsidR="00D7254C" w:rsidRPr="001D752B">
              <w:rPr>
                <w:rFonts w:ascii="Arial Narrow" w:hAnsi="Arial Narrow"/>
                <w:b/>
                <w:bCs/>
                <w:sz w:val="18"/>
                <w:szCs w:val="18"/>
              </w:rPr>
              <w:t xml:space="preserve">-experienced </w:t>
            </w:r>
          </w:p>
        </w:tc>
        <w:tc>
          <w:tcPr>
            <w:tcW w:w="720" w:type="pct"/>
            <w:tcBorders>
              <w:top w:val="nil"/>
              <w:bottom w:val="nil"/>
            </w:tcBorders>
            <w:vAlign w:val="center"/>
          </w:tcPr>
          <w:p w14:paraId="419A7707" w14:textId="77777777" w:rsidR="00D7254C" w:rsidRPr="001D752B" w:rsidRDefault="00D7254C" w:rsidP="007B6B2C">
            <w:pPr>
              <w:keepNext/>
              <w:keepLines/>
              <w:jc w:val="center"/>
              <w:rPr>
                <w:rFonts w:ascii="Arial Narrow" w:hAnsi="Arial Narrow"/>
                <w:sz w:val="18"/>
                <w:szCs w:val="18"/>
              </w:rPr>
            </w:pPr>
          </w:p>
        </w:tc>
        <w:tc>
          <w:tcPr>
            <w:tcW w:w="720" w:type="pct"/>
            <w:tcBorders>
              <w:top w:val="nil"/>
              <w:bottom w:val="nil"/>
            </w:tcBorders>
            <w:vAlign w:val="center"/>
          </w:tcPr>
          <w:p w14:paraId="5DD521FB" w14:textId="77777777" w:rsidR="00D7254C" w:rsidRPr="001D752B" w:rsidRDefault="00D7254C" w:rsidP="007B6B2C">
            <w:pPr>
              <w:keepNext/>
              <w:keepLines/>
              <w:jc w:val="center"/>
              <w:rPr>
                <w:rFonts w:ascii="Arial Narrow" w:hAnsi="Arial Narrow"/>
                <w:sz w:val="18"/>
                <w:szCs w:val="18"/>
              </w:rPr>
            </w:pPr>
          </w:p>
        </w:tc>
        <w:tc>
          <w:tcPr>
            <w:tcW w:w="720" w:type="pct"/>
            <w:tcBorders>
              <w:top w:val="nil"/>
              <w:bottom w:val="nil"/>
            </w:tcBorders>
            <w:vAlign w:val="center"/>
          </w:tcPr>
          <w:p w14:paraId="54857D3D" w14:textId="77777777" w:rsidR="00D7254C" w:rsidRPr="001D752B" w:rsidRDefault="00D7254C" w:rsidP="007B6B2C">
            <w:pPr>
              <w:keepNext/>
              <w:keepLines/>
              <w:jc w:val="center"/>
              <w:rPr>
                <w:rFonts w:ascii="Arial Narrow" w:hAnsi="Arial Narrow"/>
                <w:sz w:val="18"/>
                <w:szCs w:val="18"/>
              </w:rPr>
            </w:pPr>
          </w:p>
        </w:tc>
        <w:tc>
          <w:tcPr>
            <w:tcW w:w="720" w:type="pct"/>
            <w:tcBorders>
              <w:top w:val="nil"/>
              <w:bottom w:val="nil"/>
            </w:tcBorders>
            <w:vAlign w:val="center"/>
          </w:tcPr>
          <w:p w14:paraId="20226BF2" w14:textId="77777777" w:rsidR="00D7254C" w:rsidRPr="001D752B" w:rsidRDefault="00D7254C" w:rsidP="007B6B2C">
            <w:pPr>
              <w:keepNext/>
              <w:keepLines/>
              <w:jc w:val="center"/>
              <w:rPr>
                <w:rFonts w:ascii="Arial Narrow" w:hAnsi="Arial Narrow"/>
                <w:sz w:val="18"/>
                <w:szCs w:val="18"/>
              </w:rPr>
            </w:pPr>
          </w:p>
        </w:tc>
      </w:tr>
      <w:tr w:rsidR="00D7254C" w:rsidRPr="000A528D" w14:paraId="74963554" w14:textId="77777777" w:rsidTr="000A528D">
        <w:tc>
          <w:tcPr>
            <w:tcW w:w="2120" w:type="pct"/>
            <w:tcBorders>
              <w:top w:val="nil"/>
              <w:bottom w:val="nil"/>
            </w:tcBorders>
            <w:vAlign w:val="center"/>
          </w:tcPr>
          <w:p w14:paraId="3E09B8A8"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VDZ IV (MA RE, FMS)</w:t>
            </w:r>
          </w:p>
        </w:tc>
        <w:tc>
          <w:tcPr>
            <w:tcW w:w="720" w:type="pct"/>
            <w:tcBorders>
              <w:top w:val="nil"/>
              <w:bottom w:val="nil"/>
            </w:tcBorders>
            <w:vAlign w:val="center"/>
          </w:tcPr>
          <w:p w14:paraId="15FDEBFC" w14:textId="5401516A"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0.75 (0.28,2.02)</w:t>
            </w:r>
          </w:p>
        </w:tc>
        <w:tc>
          <w:tcPr>
            <w:tcW w:w="720" w:type="pct"/>
            <w:tcBorders>
              <w:top w:val="nil"/>
              <w:bottom w:val="nil"/>
            </w:tcBorders>
            <w:vAlign w:val="center"/>
          </w:tcPr>
          <w:p w14:paraId="4952EC0D" w14:textId="6D5DF25F"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0.02 (-0.15,0.19)</w:t>
            </w:r>
          </w:p>
        </w:tc>
        <w:tc>
          <w:tcPr>
            <w:tcW w:w="720" w:type="pct"/>
            <w:tcBorders>
              <w:top w:val="nil"/>
              <w:bottom w:val="nil"/>
            </w:tcBorders>
            <w:vAlign w:val="center"/>
          </w:tcPr>
          <w:p w14:paraId="0D368FD5" w14:textId="705FE20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0.76 (0.40,1.45)</w:t>
            </w:r>
          </w:p>
        </w:tc>
        <w:tc>
          <w:tcPr>
            <w:tcW w:w="720" w:type="pct"/>
            <w:tcBorders>
              <w:top w:val="nil"/>
              <w:bottom w:val="nil"/>
            </w:tcBorders>
            <w:vAlign w:val="center"/>
          </w:tcPr>
          <w:p w14:paraId="0138A172" w14:textId="4423E0AB"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0.00 (-0.22</w:t>
            </w:r>
            <w:r w:rsidR="00B304A8">
              <w:rPr>
                <w:rFonts w:ascii="Arial Narrow" w:hAnsi="Arial Narrow"/>
                <w:sz w:val="18"/>
                <w:szCs w:val="18"/>
              </w:rPr>
              <w:t>,</w:t>
            </w:r>
            <w:r w:rsidRPr="001D752B">
              <w:rPr>
                <w:rFonts w:ascii="Arial Narrow" w:hAnsi="Arial Narrow"/>
                <w:sz w:val="18"/>
                <w:szCs w:val="18"/>
              </w:rPr>
              <w:t>0.22)</w:t>
            </w:r>
          </w:p>
        </w:tc>
      </w:tr>
      <w:tr w:rsidR="00D7254C" w:rsidRPr="000A528D" w14:paraId="69387F70" w14:textId="77777777" w:rsidTr="000A528D">
        <w:tc>
          <w:tcPr>
            <w:tcW w:w="2120" w:type="pct"/>
            <w:tcBorders>
              <w:top w:val="nil"/>
              <w:bottom w:val="nil"/>
            </w:tcBorders>
            <w:vAlign w:val="center"/>
          </w:tcPr>
          <w:p w14:paraId="4188CA15"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VDZ IV/SC (MA RE, FMS)</w:t>
            </w:r>
          </w:p>
        </w:tc>
        <w:tc>
          <w:tcPr>
            <w:tcW w:w="720" w:type="pct"/>
            <w:tcBorders>
              <w:top w:val="nil"/>
              <w:bottom w:val="nil"/>
            </w:tcBorders>
            <w:vAlign w:val="center"/>
          </w:tcPr>
          <w:p w14:paraId="37BD62AB" w14:textId="519D3316"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0.73 (0.27,1.96)</w:t>
            </w:r>
          </w:p>
        </w:tc>
        <w:tc>
          <w:tcPr>
            <w:tcW w:w="720" w:type="pct"/>
            <w:tcBorders>
              <w:top w:val="nil"/>
              <w:bottom w:val="nil"/>
            </w:tcBorders>
            <w:vAlign w:val="center"/>
          </w:tcPr>
          <w:p w14:paraId="777F0831" w14:textId="48281AF3"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0.02 (-0.14,0.18)</w:t>
            </w:r>
          </w:p>
        </w:tc>
        <w:tc>
          <w:tcPr>
            <w:tcW w:w="720" w:type="pct"/>
            <w:tcBorders>
              <w:top w:val="nil"/>
              <w:bottom w:val="nil"/>
            </w:tcBorders>
            <w:vAlign w:val="center"/>
          </w:tcPr>
          <w:p w14:paraId="5F6A4A57"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c>
          <w:tcPr>
            <w:tcW w:w="720" w:type="pct"/>
            <w:tcBorders>
              <w:top w:val="nil"/>
              <w:bottom w:val="nil"/>
            </w:tcBorders>
            <w:vAlign w:val="center"/>
          </w:tcPr>
          <w:p w14:paraId="0BB2E644"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w:t>
            </w:r>
          </w:p>
        </w:tc>
      </w:tr>
      <w:tr w:rsidR="00D7254C" w:rsidRPr="000A528D" w14:paraId="50A0D3F7" w14:textId="77777777" w:rsidTr="000A528D">
        <w:tc>
          <w:tcPr>
            <w:tcW w:w="2120" w:type="pct"/>
            <w:tcBorders>
              <w:top w:val="nil"/>
              <w:bottom w:val="nil"/>
            </w:tcBorders>
            <w:vAlign w:val="center"/>
          </w:tcPr>
          <w:p w14:paraId="377DE97E" w14:textId="77777777" w:rsidR="00D7254C" w:rsidRPr="001D752B" w:rsidRDefault="00D7254C" w:rsidP="007B6B2C">
            <w:pPr>
              <w:keepNext/>
              <w:keepLines/>
              <w:jc w:val="right"/>
              <w:rPr>
                <w:rFonts w:ascii="Arial Narrow" w:hAnsi="Arial Narrow"/>
                <w:sz w:val="18"/>
                <w:szCs w:val="18"/>
                <w:lang w:val="it-IT"/>
              </w:rPr>
            </w:pPr>
            <w:r w:rsidRPr="001D752B">
              <w:rPr>
                <w:rFonts w:ascii="Arial Narrow" w:hAnsi="Arial Narrow"/>
                <w:sz w:val="18"/>
                <w:szCs w:val="18"/>
                <w:lang w:val="it-IT"/>
              </w:rPr>
              <w:t>MIRI (LUCENT 2, MMS) v ADA (ULTRA 2, FMS)</w:t>
            </w:r>
          </w:p>
        </w:tc>
        <w:tc>
          <w:tcPr>
            <w:tcW w:w="720" w:type="pct"/>
            <w:tcBorders>
              <w:top w:val="nil"/>
              <w:bottom w:val="nil"/>
            </w:tcBorders>
            <w:vAlign w:val="center"/>
          </w:tcPr>
          <w:p w14:paraId="74735FA3" w14:textId="16BDBC32"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1.42 (0.36,5.59)</w:t>
            </w:r>
          </w:p>
        </w:tc>
        <w:tc>
          <w:tcPr>
            <w:tcW w:w="720" w:type="pct"/>
            <w:tcBorders>
              <w:top w:val="nil"/>
              <w:bottom w:val="nil"/>
            </w:tcBorders>
            <w:vAlign w:val="center"/>
          </w:tcPr>
          <w:p w14:paraId="0928DA64" w14:textId="459EC09B"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0.20 (-0.01,0.41)</w:t>
            </w:r>
          </w:p>
        </w:tc>
        <w:tc>
          <w:tcPr>
            <w:tcW w:w="720" w:type="pct"/>
            <w:tcBorders>
              <w:top w:val="nil"/>
              <w:bottom w:val="nil"/>
            </w:tcBorders>
            <w:vAlign w:val="center"/>
          </w:tcPr>
          <w:p w14:paraId="7F4EF0A3" w14:textId="44043486"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0.87 (0.37,2.07)</w:t>
            </w:r>
          </w:p>
        </w:tc>
        <w:tc>
          <w:tcPr>
            <w:tcW w:w="720" w:type="pct"/>
            <w:tcBorders>
              <w:top w:val="nil"/>
              <w:bottom w:val="nil"/>
            </w:tcBorders>
            <w:vAlign w:val="center"/>
          </w:tcPr>
          <w:p w14:paraId="127293E8" w14:textId="77777777"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0.09 (-0.17,0.35)</w:t>
            </w:r>
          </w:p>
        </w:tc>
      </w:tr>
      <w:tr w:rsidR="00D7254C" w:rsidRPr="000A528D" w14:paraId="57A732D2" w14:textId="77777777" w:rsidTr="000A528D">
        <w:tc>
          <w:tcPr>
            <w:tcW w:w="2120" w:type="pct"/>
            <w:tcBorders>
              <w:top w:val="nil"/>
              <w:bottom w:val="single" w:sz="4" w:space="0" w:color="auto"/>
            </w:tcBorders>
            <w:vAlign w:val="center"/>
          </w:tcPr>
          <w:p w14:paraId="44F09CC5" w14:textId="77777777" w:rsidR="00D7254C" w:rsidRPr="001D752B" w:rsidRDefault="00D7254C" w:rsidP="007B6B2C">
            <w:pPr>
              <w:keepNext/>
              <w:keepLines/>
              <w:jc w:val="right"/>
              <w:rPr>
                <w:rFonts w:ascii="Arial Narrow" w:hAnsi="Arial Narrow"/>
                <w:sz w:val="18"/>
                <w:szCs w:val="18"/>
                <w:lang w:val="fr-FR"/>
              </w:rPr>
            </w:pPr>
            <w:r w:rsidRPr="001D752B">
              <w:rPr>
                <w:rFonts w:ascii="Arial Narrow" w:hAnsi="Arial Narrow"/>
                <w:sz w:val="18"/>
                <w:szCs w:val="18"/>
                <w:lang w:val="fr-FR"/>
              </w:rPr>
              <w:t>MIRI (LUCENT 2, MMS) v UST (UNIFI, FMS)</w:t>
            </w:r>
          </w:p>
        </w:tc>
        <w:tc>
          <w:tcPr>
            <w:tcW w:w="720" w:type="pct"/>
            <w:tcBorders>
              <w:top w:val="nil"/>
              <w:bottom w:val="single" w:sz="4" w:space="0" w:color="auto"/>
            </w:tcBorders>
            <w:vAlign w:val="center"/>
          </w:tcPr>
          <w:p w14:paraId="5DBB1CF0" w14:textId="07E97E8B"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1.62 (0.74,3.55)</w:t>
            </w:r>
          </w:p>
        </w:tc>
        <w:tc>
          <w:tcPr>
            <w:tcW w:w="720" w:type="pct"/>
            <w:tcBorders>
              <w:top w:val="nil"/>
              <w:bottom w:val="single" w:sz="4" w:space="0" w:color="auto"/>
            </w:tcBorders>
            <w:vAlign w:val="center"/>
          </w:tcPr>
          <w:p w14:paraId="6E520830" w14:textId="764FDC76" w:rsidR="00D7254C" w:rsidRPr="001D752B" w:rsidRDefault="00D7254C" w:rsidP="007B6B2C">
            <w:pPr>
              <w:keepNext/>
              <w:keepLines/>
              <w:jc w:val="center"/>
              <w:rPr>
                <w:rFonts w:ascii="Arial Narrow" w:hAnsi="Arial Narrow"/>
                <w:b/>
                <w:sz w:val="18"/>
                <w:szCs w:val="18"/>
              </w:rPr>
            </w:pPr>
            <w:r w:rsidRPr="001D752B">
              <w:rPr>
                <w:rFonts w:ascii="Arial Narrow" w:hAnsi="Arial Narrow"/>
                <w:b/>
                <w:sz w:val="18"/>
                <w:szCs w:val="18"/>
              </w:rPr>
              <w:t>0.17 (0.01,0.33)</w:t>
            </w:r>
          </w:p>
        </w:tc>
        <w:tc>
          <w:tcPr>
            <w:tcW w:w="720" w:type="pct"/>
            <w:tcBorders>
              <w:top w:val="nil"/>
              <w:bottom w:val="single" w:sz="4" w:space="0" w:color="auto"/>
            </w:tcBorders>
            <w:vAlign w:val="center"/>
          </w:tcPr>
          <w:p w14:paraId="5C1113F2" w14:textId="296F0F38"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1.11 (0.72,1.70)</w:t>
            </w:r>
          </w:p>
        </w:tc>
        <w:tc>
          <w:tcPr>
            <w:tcW w:w="720" w:type="pct"/>
            <w:tcBorders>
              <w:top w:val="nil"/>
              <w:bottom w:val="single" w:sz="4" w:space="0" w:color="auto"/>
            </w:tcBorders>
            <w:vAlign w:val="center"/>
          </w:tcPr>
          <w:p w14:paraId="16370428" w14:textId="2F6EDDC8" w:rsidR="00D7254C" w:rsidRPr="001D752B" w:rsidRDefault="00D7254C" w:rsidP="007B6B2C">
            <w:pPr>
              <w:keepNext/>
              <w:keepLines/>
              <w:jc w:val="center"/>
              <w:rPr>
                <w:rFonts w:ascii="Arial Narrow" w:hAnsi="Arial Narrow"/>
                <w:sz w:val="18"/>
                <w:szCs w:val="18"/>
              </w:rPr>
            </w:pPr>
            <w:r w:rsidRPr="001D752B">
              <w:rPr>
                <w:rFonts w:ascii="Arial Narrow" w:hAnsi="Arial Narrow"/>
                <w:sz w:val="18"/>
                <w:szCs w:val="18"/>
              </w:rPr>
              <w:t>0.08 (-0.11</w:t>
            </w:r>
            <w:r w:rsidR="00B304A8">
              <w:rPr>
                <w:rFonts w:ascii="Arial Narrow" w:hAnsi="Arial Narrow"/>
                <w:sz w:val="18"/>
                <w:szCs w:val="18"/>
              </w:rPr>
              <w:t>,</w:t>
            </w:r>
            <w:r w:rsidRPr="001D752B">
              <w:rPr>
                <w:rFonts w:ascii="Arial Narrow" w:hAnsi="Arial Narrow"/>
                <w:sz w:val="18"/>
                <w:szCs w:val="18"/>
              </w:rPr>
              <w:t>0.27)</w:t>
            </w:r>
          </w:p>
        </w:tc>
      </w:tr>
    </w:tbl>
    <w:p w14:paraId="326AFE54" w14:textId="09585137" w:rsidR="004D1EA7" w:rsidRPr="005E644C" w:rsidRDefault="00C7356D" w:rsidP="007B6B2C">
      <w:pPr>
        <w:keepNext/>
        <w:keepLines/>
        <w:rPr>
          <w:rFonts w:ascii="Arial Narrow" w:hAnsi="Arial Narrow"/>
          <w:sz w:val="18"/>
          <w:szCs w:val="18"/>
        </w:rPr>
      </w:pPr>
      <w:r>
        <w:rPr>
          <w:rFonts w:ascii="Arial Narrow" w:hAnsi="Arial Narrow"/>
          <w:sz w:val="18"/>
          <w:szCs w:val="18"/>
        </w:rPr>
        <w:t>*</w:t>
      </w:r>
      <w:r w:rsidR="004D1EA7" w:rsidRPr="005E644C">
        <w:rPr>
          <w:rFonts w:ascii="Arial Narrow" w:hAnsi="Arial Narrow"/>
          <w:sz w:val="18"/>
          <w:szCs w:val="18"/>
        </w:rPr>
        <w:t>Source: Table 47, p145, Tables 62-63, pp172-173, Tables 65-70, pp176-180, Tables 81-86, pp193-197, Tables 93-99, pp205-213 of the submission; Tables 20-31, pp36-41, Tables 40-47, pp52-55, Tables 60-71, pp70-75, Tables 80 and 85, pp83-84, Table 93, p87 of Attachment A4.1 Lilly 2019-8488 OH20061_UC_Australia ICTs_final report_8Feb2023_clean.docx.</w:t>
      </w:r>
    </w:p>
    <w:p w14:paraId="4DAB98FB" w14:textId="35435BE4" w:rsidR="004D1EA7" w:rsidRPr="005E644C" w:rsidRDefault="004D1EA7" w:rsidP="007B6B2C">
      <w:pPr>
        <w:keepNext/>
        <w:keepLines/>
        <w:rPr>
          <w:rFonts w:ascii="Arial Narrow" w:hAnsi="Arial Narrow"/>
          <w:sz w:val="18"/>
          <w:szCs w:val="18"/>
        </w:rPr>
      </w:pPr>
      <w:r w:rsidRPr="005E644C">
        <w:rPr>
          <w:rFonts w:ascii="Arial Narrow" w:hAnsi="Arial Narrow"/>
          <w:sz w:val="18"/>
          <w:szCs w:val="18"/>
        </w:rPr>
        <w:t>ADA=adalimumab</w:t>
      </w:r>
      <w:r w:rsidR="005B56E9" w:rsidRPr="005E644C">
        <w:rPr>
          <w:rFonts w:ascii="Arial Narrow" w:hAnsi="Arial Narrow"/>
          <w:sz w:val="18"/>
          <w:szCs w:val="18"/>
        </w:rPr>
        <w:t>,</w:t>
      </w:r>
      <w:r w:rsidRPr="005E644C">
        <w:rPr>
          <w:rFonts w:ascii="Arial Narrow" w:hAnsi="Arial Narrow"/>
          <w:sz w:val="18"/>
          <w:szCs w:val="18"/>
        </w:rPr>
        <w:t xml:space="preserve"> bDMARD=biologic disease-modifying antirheumatic drugs</w:t>
      </w:r>
      <w:r w:rsidR="005B56E9" w:rsidRPr="005E644C">
        <w:rPr>
          <w:rFonts w:ascii="Arial Narrow" w:hAnsi="Arial Narrow"/>
          <w:sz w:val="18"/>
          <w:szCs w:val="18"/>
        </w:rPr>
        <w:t>,</w:t>
      </w:r>
      <w:r w:rsidRPr="005E644C">
        <w:rPr>
          <w:rFonts w:ascii="Arial Narrow" w:hAnsi="Arial Narrow"/>
          <w:sz w:val="18"/>
          <w:szCs w:val="18"/>
        </w:rPr>
        <w:t xml:space="preserve"> </w:t>
      </w:r>
      <w:r w:rsidR="00C14AEC">
        <w:rPr>
          <w:rFonts w:ascii="Arial Narrow" w:hAnsi="Arial Narrow"/>
          <w:sz w:val="18"/>
          <w:szCs w:val="18"/>
        </w:rPr>
        <w:t xml:space="preserve">CI=confidence interval, </w:t>
      </w:r>
      <w:r w:rsidRPr="005E644C">
        <w:rPr>
          <w:rFonts w:ascii="Arial Narrow" w:hAnsi="Arial Narrow"/>
          <w:sz w:val="18"/>
          <w:szCs w:val="18"/>
        </w:rPr>
        <w:t>FMS=full Mayo score</w:t>
      </w:r>
      <w:r w:rsidR="005B56E9" w:rsidRPr="005E644C">
        <w:rPr>
          <w:rFonts w:ascii="Arial Narrow" w:hAnsi="Arial Narrow"/>
          <w:sz w:val="18"/>
          <w:szCs w:val="18"/>
        </w:rPr>
        <w:t>,</w:t>
      </w:r>
      <w:r w:rsidR="004E2AB3">
        <w:rPr>
          <w:rFonts w:ascii="Arial Narrow" w:hAnsi="Arial Narrow"/>
          <w:sz w:val="18"/>
          <w:szCs w:val="18"/>
        </w:rPr>
        <w:t xml:space="preserve"> Ind=induction,</w:t>
      </w:r>
      <w:r w:rsidR="00344A18" w:rsidRPr="005E644C">
        <w:rPr>
          <w:rFonts w:ascii="Arial Narrow" w:hAnsi="Arial Narrow"/>
          <w:sz w:val="18"/>
          <w:szCs w:val="18"/>
        </w:rPr>
        <w:t xml:space="preserve"> ITC=indirect treatment comparisons,</w:t>
      </w:r>
      <w:r w:rsidRPr="005E644C">
        <w:rPr>
          <w:rFonts w:ascii="Arial Narrow" w:hAnsi="Arial Narrow"/>
          <w:sz w:val="18"/>
          <w:szCs w:val="18"/>
        </w:rPr>
        <w:t xml:space="preserve"> ITT=intention to treat</w:t>
      </w:r>
      <w:r w:rsidR="005B56E9" w:rsidRPr="005E644C">
        <w:rPr>
          <w:rFonts w:ascii="Arial Narrow" w:hAnsi="Arial Narrow"/>
          <w:sz w:val="18"/>
          <w:szCs w:val="18"/>
        </w:rPr>
        <w:t>,</w:t>
      </w:r>
      <w:r w:rsidRPr="005E644C">
        <w:rPr>
          <w:rFonts w:ascii="Arial Narrow" w:hAnsi="Arial Narrow"/>
          <w:sz w:val="18"/>
          <w:szCs w:val="18"/>
        </w:rPr>
        <w:t xml:space="preserve"> IV=intravenous</w:t>
      </w:r>
      <w:r w:rsidR="005B56E9" w:rsidRPr="005E644C">
        <w:rPr>
          <w:rFonts w:ascii="Arial Narrow" w:hAnsi="Arial Narrow"/>
          <w:sz w:val="18"/>
          <w:szCs w:val="18"/>
        </w:rPr>
        <w:t>,</w:t>
      </w:r>
      <w:r w:rsidRPr="005E644C">
        <w:rPr>
          <w:rFonts w:ascii="Arial Narrow" w:hAnsi="Arial Narrow"/>
          <w:sz w:val="18"/>
          <w:szCs w:val="18"/>
        </w:rPr>
        <w:t xml:space="preserve"> JAKi=janus kinase inhibitor</w:t>
      </w:r>
      <w:r w:rsidR="005B56E9" w:rsidRPr="005E644C">
        <w:rPr>
          <w:rFonts w:ascii="Arial Narrow" w:hAnsi="Arial Narrow"/>
          <w:sz w:val="18"/>
          <w:szCs w:val="18"/>
        </w:rPr>
        <w:t>,</w:t>
      </w:r>
      <w:r w:rsidRPr="005E644C">
        <w:rPr>
          <w:rFonts w:ascii="Arial Narrow" w:hAnsi="Arial Narrow"/>
          <w:sz w:val="18"/>
          <w:szCs w:val="18"/>
        </w:rPr>
        <w:t xml:space="preserve"> MA=meta-analysis</w:t>
      </w:r>
      <w:r w:rsidR="005B56E9" w:rsidRPr="005E644C">
        <w:rPr>
          <w:rFonts w:ascii="Arial Narrow" w:hAnsi="Arial Narrow"/>
          <w:sz w:val="18"/>
          <w:szCs w:val="18"/>
        </w:rPr>
        <w:t>,</w:t>
      </w:r>
      <w:r w:rsidRPr="005E644C">
        <w:rPr>
          <w:rFonts w:ascii="Arial Narrow" w:hAnsi="Arial Narrow"/>
          <w:sz w:val="18"/>
          <w:szCs w:val="18"/>
        </w:rPr>
        <w:t xml:space="preserve"> MIRI=mirikizumab</w:t>
      </w:r>
      <w:r w:rsidR="005B56E9" w:rsidRPr="005E644C">
        <w:rPr>
          <w:rFonts w:ascii="Arial Narrow" w:hAnsi="Arial Narrow"/>
          <w:sz w:val="18"/>
          <w:szCs w:val="18"/>
        </w:rPr>
        <w:t>,</w:t>
      </w:r>
      <w:r w:rsidRPr="005E644C">
        <w:rPr>
          <w:rFonts w:ascii="Arial Narrow" w:hAnsi="Arial Narrow"/>
          <w:sz w:val="18"/>
          <w:szCs w:val="18"/>
        </w:rPr>
        <w:t xml:space="preserve"> MMS=modified Mayo score</w:t>
      </w:r>
      <w:r w:rsidR="005B56E9" w:rsidRPr="005E644C">
        <w:rPr>
          <w:rFonts w:ascii="Arial Narrow" w:hAnsi="Arial Narrow"/>
          <w:sz w:val="18"/>
          <w:szCs w:val="18"/>
        </w:rPr>
        <w:t>,</w:t>
      </w:r>
      <w:r w:rsidRPr="005E644C">
        <w:rPr>
          <w:rFonts w:ascii="Arial Narrow" w:hAnsi="Arial Narrow"/>
          <w:sz w:val="18"/>
          <w:szCs w:val="18"/>
        </w:rPr>
        <w:t xml:space="preserve"> NF=not failed</w:t>
      </w:r>
      <w:r w:rsidR="005B56E9" w:rsidRPr="005E644C">
        <w:rPr>
          <w:rFonts w:ascii="Arial Narrow" w:hAnsi="Arial Narrow"/>
          <w:sz w:val="18"/>
          <w:szCs w:val="18"/>
        </w:rPr>
        <w:t>,</w:t>
      </w:r>
      <w:r w:rsidRPr="005E644C">
        <w:rPr>
          <w:rFonts w:ascii="Arial Narrow" w:hAnsi="Arial Narrow"/>
          <w:sz w:val="18"/>
          <w:szCs w:val="18"/>
        </w:rPr>
        <w:t xml:space="preserve"> PBO=placebo</w:t>
      </w:r>
      <w:r w:rsidR="005B56E9" w:rsidRPr="005E644C">
        <w:rPr>
          <w:rFonts w:ascii="Arial Narrow" w:hAnsi="Arial Narrow"/>
          <w:sz w:val="18"/>
          <w:szCs w:val="18"/>
        </w:rPr>
        <w:t>,</w:t>
      </w:r>
      <w:r w:rsidR="00D7254C" w:rsidRPr="005E644C">
        <w:rPr>
          <w:rFonts w:ascii="Arial Narrow" w:hAnsi="Arial Narrow"/>
          <w:sz w:val="18"/>
          <w:szCs w:val="18"/>
        </w:rPr>
        <w:t xml:space="preserve"> RD=risk difference,</w:t>
      </w:r>
      <w:r w:rsidRPr="005E644C">
        <w:rPr>
          <w:rFonts w:ascii="Arial Narrow" w:hAnsi="Arial Narrow"/>
          <w:sz w:val="18"/>
          <w:szCs w:val="18"/>
        </w:rPr>
        <w:t xml:space="preserve"> RE=random effects</w:t>
      </w:r>
      <w:r w:rsidR="005B56E9" w:rsidRPr="005E644C">
        <w:rPr>
          <w:rFonts w:ascii="Arial Narrow" w:hAnsi="Arial Narrow"/>
          <w:sz w:val="18"/>
          <w:szCs w:val="18"/>
        </w:rPr>
        <w:t>,</w:t>
      </w:r>
      <w:r w:rsidR="00D7254C" w:rsidRPr="005E644C">
        <w:rPr>
          <w:rFonts w:ascii="Arial Narrow" w:hAnsi="Arial Narrow"/>
          <w:sz w:val="18"/>
          <w:szCs w:val="18"/>
        </w:rPr>
        <w:t xml:space="preserve"> RR=relative risk,</w:t>
      </w:r>
      <w:r w:rsidR="00344A18" w:rsidRPr="005E644C">
        <w:rPr>
          <w:rFonts w:ascii="Arial Narrow" w:hAnsi="Arial Narrow"/>
          <w:sz w:val="18"/>
          <w:szCs w:val="18"/>
        </w:rPr>
        <w:t xml:space="preserve"> SC=subcutaneous</w:t>
      </w:r>
      <w:r w:rsidR="005B56E9" w:rsidRPr="005E644C">
        <w:rPr>
          <w:rFonts w:ascii="Arial Narrow" w:hAnsi="Arial Narrow"/>
          <w:sz w:val="18"/>
          <w:szCs w:val="18"/>
        </w:rPr>
        <w:t>,</w:t>
      </w:r>
      <w:r w:rsidRPr="005E644C">
        <w:rPr>
          <w:rFonts w:ascii="Arial Narrow" w:hAnsi="Arial Narrow"/>
          <w:sz w:val="18"/>
          <w:szCs w:val="18"/>
        </w:rPr>
        <w:t xml:space="preserve"> TNF=tumour necrosis factor; </w:t>
      </w:r>
      <w:r w:rsidR="007F161F">
        <w:rPr>
          <w:rFonts w:ascii="Arial Narrow" w:hAnsi="Arial Narrow"/>
          <w:sz w:val="18"/>
          <w:szCs w:val="18"/>
        </w:rPr>
        <w:t>tsDMARD=</w:t>
      </w:r>
      <w:r w:rsidR="007F161F" w:rsidRPr="007F161F">
        <w:rPr>
          <w:rFonts w:ascii="Arial Narrow" w:hAnsi="Arial Narrow"/>
          <w:sz w:val="18"/>
          <w:szCs w:val="18"/>
        </w:rPr>
        <w:t>targeted synthetic disease modifying anti-rheumatic drugs</w:t>
      </w:r>
      <w:r w:rsidR="007F161F">
        <w:rPr>
          <w:rFonts w:ascii="Arial Narrow" w:hAnsi="Arial Narrow"/>
          <w:sz w:val="18"/>
          <w:szCs w:val="18"/>
        </w:rPr>
        <w:t>,</w:t>
      </w:r>
      <w:r w:rsidR="007F161F" w:rsidRPr="007F161F">
        <w:rPr>
          <w:rFonts w:ascii="Arial Narrow" w:hAnsi="Arial Narrow"/>
          <w:sz w:val="18"/>
          <w:szCs w:val="18"/>
        </w:rPr>
        <w:t xml:space="preserve"> </w:t>
      </w:r>
      <w:r w:rsidRPr="005E644C">
        <w:rPr>
          <w:rFonts w:ascii="Arial Narrow" w:hAnsi="Arial Narrow"/>
          <w:sz w:val="18"/>
          <w:szCs w:val="18"/>
        </w:rPr>
        <w:t>UC=ulcerative colitis</w:t>
      </w:r>
      <w:r w:rsidR="005B56E9" w:rsidRPr="005E644C">
        <w:rPr>
          <w:rFonts w:ascii="Arial Narrow" w:hAnsi="Arial Narrow"/>
          <w:sz w:val="18"/>
          <w:szCs w:val="18"/>
        </w:rPr>
        <w:t>,</w:t>
      </w:r>
      <w:r w:rsidRPr="005E644C">
        <w:rPr>
          <w:rFonts w:ascii="Arial Narrow" w:hAnsi="Arial Narrow"/>
          <w:sz w:val="18"/>
          <w:szCs w:val="18"/>
        </w:rPr>
        <w:t xml:space="preserve"> UST=ustekinumab</w:t>
      </w:r>
      <w:r w:rsidR="005B56E9" w:rsidRPr="005E644C">
        <w:rPr>
          <w:rFonts w:ascii="Arial Narrow" w:hAnsi="Arial Narrow"/>
          <w:sz w:val="18"/>
          <w:szCs w:val="18"/>
        </w:rPr>
        <w:t>,</w:t>
      </w:r>
      <w:r w:rsidRPr="005E644C">
        <w:rPr>
          <w:rFonts w:ascii="Arial Narrow" w:hAnsi="Arial Narrow"/>
          <w:sz w:val="18"/>
          <w:szCs w:val="18"/>
        </w:rPr>
        <w:t xml:space="preserve"> VDZ=vedolizumab</w:t>
      </w:r>
      <w:r w:rsidR="00344A18" w:rsidRPr="005E644C">
        <w:rPr>
          <w:rFonts w:ascii="Arial Narrow" w:hAnsi="Arial Narrow"/>
          <w:sz w:val="18"/>
          <w:szCs w:val="18"/>
        </w:rPr>
        <w:t>, wk=week</w:t>
      </w:r>
      <w:r w:rsidRPr="005E644C">
        <w:rPr>
          <w:rFonts w:ascii="Arial Narrow" w:hAnsi="Arial Narrow"/>
          <w:sz w:val="18"/>
          <w:szCs w:val="18"/>
        </w:rPr>
        <w:t>.</w:t>
      </w:r>
    </w:p>
    <w:p w14:paraId="2F35FFDC" w14:textId="00585076" w:rsidR="00C7356D" w:rsidRPr="007B6B2C" w:rsidRDefault="00F756B4" w:rsidP="007B6B2C">
      <w:pPr>
        <w:keepNext/>
        <w:keepLines/>
        <w:spacing w:after="120"/>
        <w:rPr>
          <w:rFonts w:ascii="Arial Narrow" w:hAnsi="Arial Narrow"/>
          <w:i/>
          <w:iCs/>
          <w:sz w:val="18"/>
          <w:szCs w:val="18"/>
        </w:rPr>
      </w:pPr>
      <w:r w:rsidRPr="00F756B4">
        <w:rPr>
          <w:rFonts w:ascii="Open Sans" w:hAnsi="Open Sans" w:cs="Open Sans"/>
          <w:i/>
          <w:iCs/>
          <w:color w:val="222222"/>
          <w:sz w:val="20"/>
          <w:szCs w:val="20"/>
          <w:shd w:val="clear" w:color="auto" w:fill="FFFFFF"/>
          <w:vertAlign w:val="superscript"/>
        </w:rPr>
        <w:t>*</w:t>
      </w:r>
      <w:r>
        <w:rPr>
          <w:rFonts w:ascii="Open Sans" w:hAnsi="Open Sans" w:cs="Open Sans"/>
          <w:i/>
          <w:iCs/>
          <w:color w:val="222222"/>
          <w:sz w:val="20"/>
          <w:szCs w:val="20"/>
          <w:shd w:val="clear" w:color="auto" w:fill="FFFFFF"/>
        </w:rPr>
        <w:t xml:space="preserve"> </w:t>
      </w:r>
      <w:r w:rsidRPr="00F756B4">
        <w:rPr>
          <w:rFonts w:ascii="Arial Narrow" w:hAnsi="Arial Narrow" w:cs="Open Sans"/>
          <w:i/>
          <w:iCs/>
          <w:color w:val="222222"/>
          <w:sz w:val="18"/>
          <w:szCs w:val="18"/>
          <w:shd w:val="clear" w:color="auto" w:fill="FFFFFF"/>
        </w:rPr>
        <w:t xml:space="preserve">Note that the results presented in </w:t>
      </w:r>
      <w:r w:rsidRPr="006B3F90">
        <w:rPr>
          <w:rFonts w:ascii="Arial Narrow" w:hAnsi="Arial Narrow" w:cs="Open Sans"/>
          <w:i/>
          <w:iCs/>
          <w:sz w:val="18"/>
          <w:szCs w:val="18"/>
          <w:shd w:val="clear" w:color="auto" w:fill="FFFFFF"/>
        </w:rPr>
        <w:t>Table 6 are derived from post-hoc analyses conducted during the evaluation</w:t>
      </w:r>
      <w:r w:rsidRPr="006B3F90">
        <w:rPr>
          <w:rFonts w:ascii="Arial Narrow" w:hAnsi="Arial Narrow" w:cs="Open Sans"/>
          <w:i/>
          <w:iCs/>
          <w:strike/>
          <w:sz w:val="18"/>
          <w:szCs w:val="18"/>
          <w:shd w:val="clear" w:color="auto" w:fill="FFFFFF"/>
        </w:rPr>
        <w:t xml:space="preserve"> </w:t>
      </w:r>
      <w:r w:rsidRPr="006B3F90">
        <w:rPr>
          <w:rFonts w:ascii="Arial Narrow" w:hAnsi="Arial Narrow" w:cs="Open Sans"/>
          <w:i/>
          <w:iCs/>
          <w:sz w:val="18"/>
          <w:szCs w:val="18"/>
          <w:shd w:val="clear" w:color="auto" w:fill="FFFFFF"/>
        </w:rPr>
        <w:t xml:space="preserve">specifically for the purposes of informing the PBAC consideration. These analyses were not part of the pre-specified statistical plan for the included studies.  Interpretation </w:t>
      </w:r>
      <w:r w:rsidRPr="00F756B4">
        <w:rPr>
          <w:rFonts w:ascii="Arial Narrow" w:hAnsi="Arial Narrow" w:cs="Open Sans"/>
          <w:i/>
          <w:iCs/>
          <w:color w:val="222222"/>
          <w:sz w:val="18"/>
          <w:szCs w:val="18"/>
          <w:shd w:val="clear" w:color="auto" w:fill="FFFFFF"/>
        </w:rPr>
        <w:t>of the results and their application should therefore be limited to seeking to understand the basis for the PBAC outcome and should not be used for any other purpose.</w:t>
      </w:r>
    </w:p>
    <w:bookmarkEnd w:id="36"/>
    <w:p w14:paraId="273B40F3" w14:textId="77777777" w:rsidR="004D1EA7" w:rsidRPr="001D752B" w:rsidRDefault="004D1EA7" w:rsidP="004D1EA7">
      <w:pPr>
        <w:pStyle w:val="3-BodyText"/>
      </w:pPr>
      <w:r w:rsidRPr="001D752B">
        <w:t>The results of the ITC showed that:</w:t>
      </w:r>
    </w:p>
    <w:p w14:paraId="27376B64" w14:textId="25631658" w:rsidR="004D1EA7" w:rsidRPr="001D752B" w:rsidRDefault="004D1EA7" w:rsidP="003D1D4D">
      <w:pPr>
        <w:pStyle w:val="ListParagraph"/>
        <w:numPr>
          <w:ilvl w:val="0"/>
          <w:numId w:val="8"/>
        </w:numPr>
        <w:ind w:left="1040"/>
        <w:rPr>
          <w:rFonts w:cs="Calibri"/>
          <w:bCs/>
          <w:lang w:val="en-US" w:eastAsia="nl-NL"/>
        </w:rPr>
      </w:pPr>
      <w:r w:rsidRPr="001D752B">
        <w:rPr>
          <w:rFonts w:cs="Calibri"/>
          <w:bCs/>
          <w:lang w:val="en-US" w:eastAsia="nl-NL"/>
        </w:rPr>
        <w:t xml:space="preserve">MIRI vs VDZ: There were generally no statistically significant differences between the two treatments for induction or maintenance treatment, with the exception of one comparison favouring VDZ </w:t>
      </w:r>
      <w:r w:rsidR="00026345" w:rsidRPr="001D752B">
        <w:rPr>
          <w:rFonts w:cs="Calibri"/>
          <w:bCs/>
          <w:lang w:val="en-US" w:eastAsia="nl-NL"/>
        </w:rPr>
        <w:t xml:space="preserve">over MIRI </w:t>
      </w:r>
      <w:r w:rsidRPr="001D752B">
        <w:rPr>
          <w:rFonts w:cs="Calibri"/>
          <w:bCs/>
          <w:lang w:val="en-US" w:eastAsia="nl-NL"/>
        </w:rPr>
        <w:t xml:space="preserve">using the </w:t>
      </w:r>
      <w:r w:rsidR="009C76EF" w:rsidRPr="001D752B">
        <w:rPr>
          <w:rFonts w:cs="Calibri"/>
          <w:bCs/>
          <w:lang w:val="en-US" w:eastAsia="nl-NL"/>
        </w:rPr>
        <w:t>relative risk (</w:t>
      </w:r>
      <w:r w:rsidRPr="001D752B">
        <w:rPr>
          <w:rFonts w:cs="Calibri"/>
          <w:bCs/>
          <w:lang w:val="en-US" w:eastAsia="nl-NL"/>
        </w:rPr>
        <w:t>RR</w:t>
      </w:r>
      <w:r w:rsidR="009C76EF" w:rsidRPr="001D752B">
        <w:rPr>
          <w:rFonts w:cs="Calibri"/>
          <w:bCs/>
          <w:lang w:val="en-US" w:eastAsia="nl-NL"/>
        </w:rPr>
        <w:t>)</w:t>
      </w:r>
      <w:r w:rsidRPr="001D752B">
        <w:rPr>
          <w:rFonts w:cs="Calibri"/>
          <w:bCs/>
          <w:lang w:val="en-US" w:eastAsia="nl-NL"/>
        </w:rPr>
        <w:t xml:space="preserve"> statistic</w:t>
      </w:r>
      <w:r w:rsidR="00E86FB2" w:rsidRPr="001D752B">
        <w:rPr>
          <w:rFonts w:cs="Calibri"/>
          <w:bCs/>
          <w:lang w:val="en-US" w:eastAsia="nl-NL"/>
        </w:rPr>
        <w:t xml:space="preserve"> for maintenance of response</w:t>
      </w:r>
      <w:r w:rsidRPr="001D752B">
        <w:rPr>
          <w:rFonts w:cs="Calibri"/>
          <w:bCs/>
          <w:lang w:val="en-US" w:eastAsia="nl-NL"/>
        </w:rPr>
        <w:t xml:space="preserve">. The results using the RD statistic showed no difference between the two treatments for induction or maintenance treatment. </w:t>
      </w:r>
    </w:p>
    <w:p w14:paraId="141FAF40" w14:textId="30BA2473" w:rsidR="004D1EA7" w:rsidRPr="001D752B" w:rsidRDefault="004D1EA7" w:rsidP="003D1D4D">
      <w:pPr>
        <w:pStyle w:val="ListParagraph"/>
        <w:numPr>
          <w:ilvl w:val="0"/>
          <w:numId w:val="8"/>
        </w:numPr>
        <w:ind w:left="1040"/>
        <w:rPr>
          <w:rFonts w:cs="Calibri"/>
          <w:bCs/>
          <w:lang w:val="en-US" w:eastAsia="nl-NL"/>
        </w:rPr>
      </w:pPr>
      <w:r w:rsidRPr="001D752B">
        <w:rPr>
          <w:rFonts w:cs="Calibri"/>
          <w:bCs/>
          <w:lang w:val="en-US" w:eastAsia="nl-NL"/>
        </w:rPr>
        <w:t xml:space="preserve">MIRI vs ADA: There were generally no statistically significant differences between the two treatments for induction or maintenance treatment, with the exception of a few comparisons that favoured MIRI over ADA using the </w:t>
      </w:r>
      <w:r w:rsidR="009C76EF" w:rsidRPr="001D752B">
        <w:rPr>
          <w:rFonts w:cs="Calibri"/>
          <w:bCs/>
          <w:lang w:val="en-US" w:eastAsia="nl-NL"/>
        </w:rPr>
        <w:t>risk difference (</w:t>
      </w:r>
      <w:r w:rsidRPr="001D752B">
        <w:rPr>
          <w:rFonts w:cs="Calibri"/>
          <w:bCs/>
          <w:lang w:val="en-US" w:eastAsia="nl-NL"/>
        </w:rPr>
        <w:t>RD</w:t>
      </w:r>
      <w:r w:rsidR="009C76EF" w:rsidRPr="001D752B">
        <w:rPr>
          <w:rFonts w:cs="Calibri"/>
          <w:bCs/>
          <w:lang w:val="en-US" w:eastAsia="nl-NL"/>
        </w:rPr>
        <w:t>)</w:t>
      </w:r>
      <w:r w:rsidRPr="001D752B">
        <w:rPr>
          <w:rFonts w:cs="Calibri"/>
          <w:bCs/>
          <w:lang w:val="en-US" w:eastAsia="nl-NL"/>
        </w:rPr>
        <w:t xml:space="preserve"> statistic. The results using the RR statistic showed no difference between the two treatments for induction or maintenance treatment. </w:t>
      </w:r>
    </w:p>
    <w:p w14:paraId="1E92EE83" w14:textId="70ACB4AF" w:rsidR="004D1EA7" w:rsidRDefault="004D1EA7" w:rsidP="003D1D4D">
      <w:pPr>
        <w:pStyle w:val="ListParagraph"/>
        <w:numPr>
          <w:ilvl w:val="0"/>
          <w:numId w:val="8"/>
        </w:numPr>
        <w:ind w:left="1040"/>
        <w:rPr>
          <w:rFonts w:cs="Calibri"/>
        </w:rPr>
      </w:pPr>
      <w:r w:rsidRPr="001D752B">
        <w:rPr>
          <w:rFonts w:cs="Calibri"/>
        </w:rPr>
        <w:t xml:space="preserve">MIRI vs UST: There were generally no statistically significant differences between the two treatments for induction or maintenance treatment, with the exception of a few comparisons favouring UST over MIRI in the </w:t>
      </w:r>
      <w:r w:rsidR="00AF7030" w:rsidRPr="001D752B">
        <w:rPr>
          <w:rFonts w:cs="Calibri"/>
        </w:rPr>
        <w:t>bDMARDs/tsDMARDs</w:t>
      </w:r>
      <w:r w:rsidRPr="001D752B">
        <w:rPr>
          <w:rFonts w:cs="Calibri"/>
        </w:rPr>
        <w:t xml:space="preserve"> experienced subgroup using the RR statistic. Results using the RD statistic showed no difference between the two treatments for induction or maintenance treatment.</w:t>
      </w:r>
    </w:p>
    <w:p w14:paraId="3A343C43" w14:textId="436C92F0" w:rsidR="00C92091" w:rsidRDefault="0015494A" w:rsidP="00B5201D">
      <w:pPr>
        <w:pStyle w:val="3-BodyText"/>
      </w:pPr>
      <w:bookmarkStart w:id="37" w:name="_Ref140157192"/>
      <w:r w:rsidRPr="00FD140C">
        <w:lastRenderedPageBreak/>
        <w:t>The PSCR argued OR is the more appropriate relative effect measure in the context of ITCs compared to RR, as the use of RR can lead to inferential fallacies, whilst the OR consistently informs inference with respect to the direction of effect</w:t>
      </w:r>
      <w:r w:rsidRPr="00FD140C">
        <w:rPr>
          <w:rStyle w:val="FootnoteReference"/>
        </w:rPr>
        <w:footnoteReference w:id="8"/>
      </w:r>
      <w:r w:rsidRPr="00FD140C">
        <w:t>.</w:t>
      </w:r>
      <w:r w:rsidR="00AE1ABA" w:rsidRPr="00FD140C">
        <w:t xml:space="preserve"> The </w:t>
      </w:r>
      <w:r w:rsidR="00F246C5" w:rsidRPr="00FD140C">
        <w:t xml:space="preserve">PSCR further argued the results based on OR and RD support a claim that that MIRI provides improved outcomes compared to ADA, based on the ‘near statistically significant and statistically significant’ results for induction and maintenance in the ITT population, and the results within the biologic-naïve and experienced subgroup analyses. The ESC considered the argument that OR should be considered more appropriate than RR was not particularly compelling and was of the view the totality of the evidence should be considered. The ESC considered that while some of the analyses produced statistically significant results favouring MIRI over ADA, </w:t>
      </w:r>
      <w:r w:rsidR="00B304A8">
        <w:t xml:space="preserve">it </w:t>
      </w:r>
      <w:r w:rsidR="00F246C5" w:rsidRPr="00FD140C">
        <w:t>considered the transitivity issues and differences in maintenance trial designs (discussed in the 'Clinical trials' section) made interpretation of the ITCs challenging. The ESC also noted the authors of the ITC report (referred to elsewhere in this advice) also concluded that MIRI had similar efficacy compared to ADA.</w:t>
      </w:r>
      <w:bookmarkEnd w:id="37"/>
      <w:r w:rsidR="00C81D3D">
        <w:t xml:space="preserve"> </w:t>
      </w:r>
    </w:p>
    <w:p w14:paraId="77DEF979" w14:textId="40157E49" w:rsidR="00C81D3D" w:rsidRPr="00FD140C" w:rsidRDefault="00C81D3D" w:rsidP="00B5201D">
      <w:pPr>
        <w:pStyle w:val="3-BodyText"/>
      </w:pPr>
      <w:r w:rsidRPr="00326A92">
        <w:rPr>
          <w:lang w:val="en-GB"/>
        </w:rPr>
        <w:t xml:space="preserve">The PBAC noted arguments in the PSCR and Pre-PBAC Responses about reliance on different statistics, such as the odds ratio over the relative risk (paragraph </w:t>
      </w:r>
      <w:r w:rsidRPr="00326A92">
        <w:rPr>
          <w:lang w:val="en-GB"/>
        </w:rPr>
        <w:fldChar w:fldCharType="begin" w:fldLock="1"/>
      </w:r>
      <w:r w:rsidRPr="00326A92">
        <w:rPr>
          <w:lang w:val="en-GB"/>
        </w:rPr>
        <w:instrText xml:space="preserve"> REF _Ref140157192 \r \h </w:instrText>
      </w:r>
      <w:r>
        <w:rPr>
          <w:lang w:val="en-GB"/>
        </w:rPr>
        <w:instrText xml:space="preserve"> \* MERGEFORMAT </w:instrText>
      </w:r>
      <w:r w:rsidRPr="00326A92">
        <w:rPr>
          <w:lang w:val="en-GB"/>
        </w:rPr>
      </w:r>
      <w:r w:rsidRPr="00326A92">
        <w:rPr>
          <w:lang w:val="en-GB"/>
        </w:rPr>
        <w:fldChar w:fldCharType="separate"/>
      </w:r>
      <w:r w:rsidRPr="00326A92">
        <w:rPr>
          <w:lang w:val="en-GB"/>
        </w:rPr>
        <w:t>6.20</w:t>
      </w:r>
      <w:r w:rsidRPr="00326A92">
        <w:rPr>
          <w:lang w:val="en-GB"/>
        </w:rPr>
        <w:fldChar w:fldCharType="end"/>
      </w:r>
      <w:r w:rsidRPr="00326A92">
        <w:rPr>
          <w:lang w:val="en-GB"/>
        </w:rPr>
        <w:t xml:space="preserve"> refers),</w:t>
      </w:r>
      <w:r>
        <w:rPr>
          <w:lang w:val="en-GB"/>
        </w:rPr>
        <w:t xml:space="preserve"> and further noted results based on the odds ratio were not presented In the submission (only after the evaluation was completed).</w:t>
      </w:r>
      <w:r w:rsidRPr="00326A92">
        <w:rPr>
          <w:lang w:val="en-GB"/>
        </w:rPr>
        <w:t xml:space="preserve"> </w:t>
      </w:r>
      <w:r>
        <w:rPr>
          <w:lang w:val="en-GB"/>
        </w:rPr>
        <w:t>Overall, the PBAC</w:t>
      </w:r>
      <w:r w:rsidRPr="00326A92">
        <w:rPr>
          <w:lang w:val="en-GB"/>
        </w:rPr>
        <w:t xml:space="preserve"> considered the differences in whether</w:t>
      </w:r>
      <w:r>
        <w:rPr>
          <w:lang w:val="en-GB"/>
        </w:rPr>
        <w:t xml:space="preserve"> the</w:t>
      </w:r>
      <w:r w:rsidRPr="00326A92">
        <w:rPr>
          <w:lang w:val="en-GB"/>
        </w:rPr>
        <w:t xml:space="preserve"> results</w:t>
      </w:r>
      <w:r>
        <w:rPr>
          <w:lang w:val="en-GB"/>
        </w:rPr>
        <w:t xml:space="preserve"> based on odds ratio</w:t>
      </w:r>
      <w:r w:rsidRPr="00326A92">
        <w:rPr>
          <w:lang w:val="en-GB"/>
        </w:rPr>
        <w:t xml:space="preserve"> were statistically significant appeared primarily driven by a smaller standard error with the odds ratio rather than being driven by any inherent interpretation issue with the relative risk.  </w:t>
      </w:r>
    </w:p>
    <w:p w14:paraId="05D4DD47" w14:textId="7A1E2D5D" w:rsidR="004D1EA7" w:rsidRPr="00063795" w:rsidRDefault="004D1EA7" w:rsidP="00AF404E">
      <w:pPr>
        <w:pStyle w:val="5-SubsectionSubheading"/>
        <w:rPr>
          <w:bCs/>
        </w:rPr>
      </w:pPr>
      <w:bookmarkStart w:id="38" w:name="_Toc135142378"/>
      <w:r>
        <w:t>Network meta-analyses (NMAs)</w:t>
      </w:r>
      <w:bookmarkEnd w:id="38"/>
    </w:p>
    <w:p w14:paraId="52399D6C" w14:textId="31E43F9B" w:rsidR="004D1EA7" w:rsidRPr="00DD00AA" w:rsidRDefault="004D1EA7" w:rsidP="004D1EA7">
      <w:pPr>
        <w:pStyle w:val="3-BodyText"/>
        <w:rPr>
          <w:i/>
        </w:rPr>
      </w:pPr>
      <w:r w:rsidRPr="00E95B7D">
        <w:t>The NMA estimated all comparisons under a Bayesian framework using a Monte Carlo Markov Chain. The outcomes of clinical response and remission were analysed using a multimodal model with probit link.</w:t>
      </w:r>
      <w:r w:rsidRPr="00DD00AA">
        <w:t xml:space="preserve"> </w:t>
      </w:r>
      <w:r>
        <w:t xml:space="preserve">As discussed, the NMA also estimated models with and without an adjustment for baseline risk (PBO response rates) using both fixed effects and random effects models. The submission stated that the unadjusted (random effect) results for induction and the adjusted (fixed effect) results for maintenance were the preferred models based on goodness of fit for both subgroup populations. </w:t>
      </w:r>
      <w:r w:rsidRPr="001D752B">
        <w:t xml:space="preserve">Despite this statement, the submission only presented results using a random effects model for the </w:t>
      </w:r>
      <w:r w:rsidR="00AF7030" w:rsidRPr="001D752B">
        <w:t>bDMARDs/tsDMARDs</w:t>
      </w:r>
      <w:r w:rsidRPr="001D752B">
        <w:t xml:space="preserve"> naïve population and results using a fixed effects model for the </w:t>
      </w:r>
      <w:r w:rsidR="00AF7030" w:rsidRPr="001D752B">
        <w:t>bDMARDs/tsDMARDs</w:t>
      </w:r>
      <w:r w:rsidRPr="001D752B">
        <w:t xml:space="preserve"> experienced. </w:t>
      </w:r>
      <w:r w:rsidRPr="0028762B">
        <w:t xml:space="preserve">In addition, the source document only presented results of the random effects model for the </w:t>
      </w:r>
      <w:r w:rsidR="00AF7030" w:rsidRPr="0028762B">
        <w:t>bDMARDs/tsDMARDs</w:t>
      </w:r>
      <w:r w:rsidRPr="0028762B">
        <w:t xml:space="preserve"> naïve population for induction and results of the fixed effects model for all other comparisons.</w:t>
      </w:r>
      <w:r w:rsidRPr="001D752B">
        <w:t xml:space="preserve"> There were also a number of discrepancies between results presented in the main body of the submission and the source document using the same model.</w:t>
      </w:r>
    </w:p>
    <w:p w14:paraId="07590DA8" w14:textId="01759FCC" w:rsidR="004D1EA7" w:rsidRDefault="004D1EA7" w:rsidP="004D1EA7">
      <w:pPr>
        <w:pStyle w:val="3-BodyText"/>
        <w:rPr>
          <w:i/>
        </w:rPr>
      </w:pPr>
      <w:r w:rsidRPr="0028762B">
        <w:rPr>
          <w:bCs/>
        </w:rPr>
        <w:lastRenderedPageBreak/>
        <w:fldChar w:fldCharType="begin" w:fldLock="1"/>
      </w:r>
      <w:r w:rsidRPr="0028762B">
        <w:rPr>
          <w:bCs/>
        </w:rPr>
        <w:instrText xml:space="preserve"> REF _Ref134433816 \h </w:instrText>
      </w:r>
      <w:r w:rsidR="008B48E0" w:rsidRPr="0028762B">
        <w:rPr>
          <w:bCs/>
        </w:rPr>
        <w:instrText xml:space="preserve"> \* MERGEFORMAT </w:instrText>
      </w:r>
      <w:r w:rsidRPr="0028762B">
        <w:rPr>
          <w:bCs/>
        </w:rPr>
      </w:r>
      <w:r w:rsidRPr="0028762B">
        <w:rPr>
          <w:bCs/>
        </w:rPr>
        <w:fldChar w:fldCharType="separate"/>
      </w:r>
      <w:r w:rsidR="0005097F">
        <w:t>Table 7</w:t>
      </w:r>
      <w:r w:rsidRPr="0028762B">
        <w:rPr>
          <w:bCs/>
        </w:rPr>
        <w:fldChar w:fldCharType="end"/>
      </w:r>
      <w:r w:rsidR="00154EE9" w:rsidRPr="0028762B">
        <w:rPr>
          <w:bCs/>
        </w:rPr>
        <w:t xml:space="preserve"> </w:t>
      </w:r>
      <w:r w:rsidRPr="0028762B">
        <w:rPr>
          <w:bCs/>
        </w:rPr>
        <w:t>presents the results of NMA comparing MIRI versus VDZ, UST and ADA by prior biologic treatment (</w:t>
      </w:r>
      <w:r w:rsidR="00AF7030" w:rsidRPr="0028762B">
        <w:t>bDMARDs/tsDMARDs</w:t>
      </w:r>
      <w:r w:rsidRPr="0028762B">
        <w:t xml:space="preserve"> naïve and </w:t>
      </w:r>
      <w:r w:rsidR="00AF7030" w:rsidRPr="0028762B">
        <w:t>bDMARDs/tsDMARDs</w:t>
      </w:r>
      <w:r w:rsidRPr="0028762B">
        <w:t xml:space="preserve"> experienced populations) presented in the submission.</w:t>
      </w:r>
      <w:r>
        <w:t xml:space="preserve"> </w:t>
      </w:r>
      <w:r w:rsidRPr="001D752B">
        <w:t>For completeness, the table also includes corresponding results from the ITC (using the OR statistic).</w:t>
      </w:r>
    </w:p>
    <w:p w14:paraId="7E6D9C33" w14:textId="73F8F212" w:rsidR="004D1EA7" w:rsidRPr="00730754" w:rsidRDefault="0005097F" w:rsidP="0005097F">
      <w:pPr>
        <w:pStyle w:val="Caption"/>
      </w:pPr>
      <w:bookmarkStart w:id="39" w:name="_Ref134433816"/>
      <w:r>
        <w:t xml:space="preserve">Table </w:t>
      </w:r>
      <w:r w:rsidR="00A234BA">
        <w:fldChar w:fldCharType="begin" w:fldLock="1"/>
      </w:r>
      <w:r w:rsidR="00A234BA">
        <w:instrText xml:space="preserve"> SEQ Table \* ARABIC </w:instrText>
      </w:r>
      <w:r w:rsidR="00A234BA">
        <w:fldChar w:fldCharType="separate"/>
      </w:r>
      <w:r>
        <w:rPr>
          <w:noProof/>
        </w:rPr>
        <w:t>7</w:t>
      </w:r>
      <w:r w:rsidR="00A234BA">
        <w:rPr>
          <w:noProof/>
        </w:rPr>
        <w:fldChar w:fldCharType="end"/>
      </w:r>
      <w:bookmarkEnd w:id="39"/>
      <w:r w:rsidR="004D1EA7" w:rsidRPr="00A52546">
        <w:rPr>
          <w:szCs w:val="20"/>
        </w:rPr>
        <w:t>: Summary</w:t>
      </w:r>
      <w:r w:rsidR="004D1EA7" w:rsidRPr="00730754">
        <w:rPr>
          <w:szCs w:val="20"/>
        </w:rPr>
        <w:t xml:space="preserve"> of ITC and NMA comparing MIRI versus VDZ, ADA and UST</w:t>
      </w:r>
    </w:p>
    <w:tbl>
      <w:tblPr>
        <w:tblStyle w:val="TableGrid"/>
        <w:tblW w:w="0" w:type="auto"/>
        <w:tblLayout w:type="fixed"/>
        <w:tblCellMar>
          <w:left w:w="28" w:type="dxa"/>
          <w:right w:w="28" w:type="dxa"/>
        </w:tblCellMar>
        <w:tblLook w:val="04A0" w:firstRow="1" w:lastRow="0" w:firstColumn="1" w:lastColumn="0" w:noHBand="0" w:noVBand="1"/>
      </w:tblPr>
      <w:tblGrid>
        <w:gridCol w:w="1838"/>
        <w:gridCol w:w="1196"/>
        <w:gridCol w:w="1197"/>
        <w:gridCol w:w="1196"/>
        <w:gridCol w:w="1197"/>
        <w:gridCol w:w="1196"/>
        <w:gridCol w:w="1197"/>
      </w:tblGrid>
      <w:tr w:rsidR="004D1EA7" w:rsidRPr="00092266" w14:paraId="0325D22F" w14:textId="77777777" w:rsidTr="00744475">
        <w:trPr>
          <w:tblHeader/>
        </w:trPr>
        <w:tc>
          <w:tcPr>
            <w:tcW w:w="1838" w:type="dxa"/>
            <w:vMerge w:val="restart"/>
          </w:tcPr>
          <w:p w14:paraId="4E0E5D3E" w14:textId="77777777" w:rsidR="004D1EA7" w:rsidRPr="00BD47FB" w:rsidRDefault="004D1EA7" w:rsidP="004D1EA7">
            <w:pPr>
              <w:rPr>
                <w:rFonts w:ascii="Arial Narrow" w:hAnsi="Arial Narrow"/>
                <w:sz w:val="20"/>
                <w:szCs w:val="20"/>
              </w:rPr>
            </w:pPr>
            <w:bookmarkStart w:id="40" w:name="_Hlk134805050"/>
          </w:p>
        </w:tc>
        <w:tc>
          <w:tcPr>
            <w:tcW w:w="7179" w:type="dxa"/>
            <w:gridSpan w:val="6"/>
            <w:vAlign w:val="center"/>
          </w:tcPr>
          <w:p w14:paraId="181BF229" w14:textId="77777777" w:rsidR="004D1EA7" w:rsidRPr="00092266" w:rsidRDefault="004D1EA7" w:rsidP="004D1EA7">
            <w:pPr>
              <w:jc w:val="center"/>
              <w:rPr>
                <w:rFonts w:ascii="Arial Narrow" w:hAnsi="Arial Narrow"/>
                <w:b/>
                <w:bCs/>
                <w:noProof/>
                <w:sz w:val="18"/>
                <w:szCs w:val="18"/>
              </w:rPr>
            </w:pPr>
            <w:r w:rsidRPr="00092266">
              <w:rPr>
                <w:rFonts w:ascii="Arial Narrow" w:hAnsi="Arial Narrow"/>
                <w:b/>
                <w:bCs/>
                <w:noProof/>
                <w:sz w:val="18"/>
                <w:szCs w:val="18"/>
              </w:rPr>
              <w:t>OR (95% CI)</w:t>
            </w:r>
          </w:p>
        </w:tc>
      </w:tr>
      <w:tr w:rsidR="00A63A2A" w:rsidRPr="00092266" w14:paraId="0DE1188A" w14:textId="77777777" w:rsidTr="00744475">
        <w:trPr>
          <w:tblHeader/>
        </w:trPr>
        <w:tc>
          <w:tcPr>
            <w:tcW w:w="1838" w:type="dxa"/>
            <w:vMerge/>
          </w:tcPr>
          <w:p w14:paraId="5CFD0CE5" w14:textId="77777777" w:rsidR="004D1EA7" w:rsidRPr="00092266" w:rsidRDefault="004D1EA7" w:rsidP="004D1EA7">
            <w:pPr>
              <w:rPr>
                <w:rFonts w:ascii="Arial Narrow" w:hAnsi="Arial Narrow"/>
                <w:sz w:val="20"/>
                <w:szCs w:val="20"/>
              </w:rPr>
            </w:pPr>
          </w:p>
        </w:tc>
        <w:tc>
          <w:tcPr>
            <w:tcW w:w="1196" w:type="dxa"/>
            <w:vAlign w:val="center"/>
          </w:tcPr>
          <w:p w14:paraId="72E49365" w14:textId="4461D0CB" w:rsidR="004D1EA7" w:rsidRPr="00092266" w:rsidRDefault="004D1EA7" w:rsidP="004D1EA7">
            <w:pPr>
              <w:jc w:val="center"/>
              <w:rPr>
                <w:rFonts w:ascii="Arial Narrow" w:hAnsi="Arial Narrow"/>
                <w:b/>
                <w:bCs/>
                <w:sz w:val="18"/>
                <w:szCs w:val="18"/>
              </w:rPr>
            </w:pPr>
            <w:r w:rsidRPr="00092266">
              <w:rPr>
                <w:rFonts w:ascii="Arial Narrow" w:hAnsi="Arial Narrow"/>
                <w:b/>
                <w:bCs/>
                <w:sz w:val="18"/>
                <w:szCs w:val="18"/>
              </w:rPr>
              <w:t>ITC</w:t>
            </w:r>
            <w:r w:rsidR="00744475" w:rsidRPr="00092266">
              <w:rPr>
                <w:rFonts w:ascii="Arial Narrow" w:hAnsi="Arial Narrow"/>
                <w:b/>
                <w:bCs/>
                <w:sz w:val="18"/>
                <w:szCs w:val="18"/>
              </w:rPr>
              <w:t>,</w:t>
            </w:r>
          </w:p>
          <w:p w14:paraId="45F7713E" w14:textId="77777777" w:rsidR="004D1EA7" w:rsidRPr="00092266" w:rsidRDefault="004D1EA7" w:rsidP="004D1EA7">
            <w:pPr>
              <w:jc w:val="center"/>
              <w:rPr>
                <w:rFonts w:ascii="Arial Narrow" w:hAnsi="Arial Narrow"/>
                <w:b/>
                <w:bCs/>
                <w:sz w:val="18"/>
                <w:szCs w:val="18"/>
              </w:rPr>
            </w:pPr>
            <w:r w:rsidRPr="00092266">
              <w:rPr>
                <w:rFonts w:ascii="Arial Narrow" w:hAnsi="Arial Narrow"/>
                <w:b/>
                <w:bCs/>
                <w:sz w:val="18"/>
                <w:szCs w:val="18"/>
              </w:rPr>
              <w:t>Submission</w:t>
            </w:r>
          </w:p>
        </w:tc>
        <w:tc>
          <w:tcPr>
            <w:tcW w:w="1197" w:type="dxa"/>
            <w:vAlign w:val="center"/>
          </w:tcPr>
          <w:p w14:paraId="40C03290" w14:textId="706A5520" w:rsidR="004D1EA7" w:rsidRPr="00092266" w:rsidRDefault="004D1EA7" w:rsidP="004D1EA7">
            <w:pPr>
              <w:jc w:val="center"/>
              <w:rPr>
                <w:rFonts w:ascii="Arial Narrow" w:hAnsi="Arial Narrow"/>
                <w:b/>
                <w:bCs/>
                <w:sz w:val="18"/>
                <w:szCs w:val="18"/>
              </w:rPr>
            </w:pPr>
            <w:r w:rsidRPr="00092266">
              <w:rPr>
                <w:rFonts w:ascii="Arial Narrow" w:hAnsi="Arial Narrow"/>
                <w:b/>
                <w:bCs/>
                <w:sz w:val="18"/>
                <w:szCs w:val="18"/>
              </w:rPr>
              <w:t>ITC</w:t>
            </w:r>
            <w:r w:rsidR="00744475" w:rsidRPr="00092266">
              <w:rPr>
                <w:rFonts w:ascii="Arial Narrow" w:hAnsi="Arial Narrow"/>
                <w:b/>
                <w:bCs/>
                <w:sz w:val="18"/>
                <w:szCs w:val="18"/>
              </w:rPr>
              <w:t>,</w:t>
            </w:r>
          </w:p>
          <w:p w14:paraId="28608C64" w14:textId="77777777" w:rsidR="004D1EA7" w:rsidRPr="00092266" w:rsidRDefault="004D1EA7" w:rsidP="004D1EA7">
            <w:pPr>
              <w:jc w:val="center"/>
              <w:rPr>
                <w:rFonts w:ascii="Arial Narrow" w:hAnsi="Arial Narrow"/>
                <w:b/>
                <w:bCs/>
                <w:sz w:val="18"/>
                <w:szCs w:val="18"/>
              </w:rPr>
            </w:pPr>
            <w:r w:rsidRPr="00092266">
              <w:rPr>
                <w:rFonts w:ascii="Arial Narrow" w:hAnsi="Arial Narrow"/>
                <w:b/>
                <w:bCs/>
                <w:sz w:val="18"/>
                <w:szCs w:val="18"/>
              </w:rPr>
              <w:t>Commentary</w:t>
            </w:r>
          </w:p>
        </w:tc>
        <w:tc>
          <w:tcPr>
            <w:tcW w:w="1196" w:type="dxa"/>
            <w:vAlign w:val="center"/>
          </w:tcPr>
          <w:p w14:paraId="00EADDAA" w14:textId="5D813DFB" w:rsidR="004D1EA7" w:rsidRPr="00092266" w:rsidRDefault="004D1EA7" w:rsidP="00744475">
            <w:pPr>
              <w:jc w:val="center"/>
              <w:rPr>
                <w:rFonts w:ascii="Arial Narrow" w:hAnsi="Arial Narrow"/>
                <w:b/>
                <w:bCs/>
                <w:sz w:val="18"/>
                <w:szCs w:val="18"/>
              </w:rPr>
            </w:pPr>
            <w:r w:rsidRPr="00092266">
              <w:rPr>
                <w:rFonts w:ascii="Arial Narrow" w:hAnsi="Arial Narrow"/>
                <w:b/>
                <w:bCs/>
                <w:sz w:val="18"/>
                <w:szCs w:val="18"/>
              </w:rPr>
              <w:t>NMA Unadjusted BL</w:t>
            </w:r>
            <w:r w:rsidR="00744475" w:rsidRPr="00092266">
              <w:rPr>
                <w:rFonts w:ascii="Arial Narrow" w:hAnsi="Arial Narrow"/>
                <w:b/>
                <w:bCs/>
                <w:sz w:val="18"/>
                <w:szCs w:val="18"/>
              </w:rPr>
              <w:t xml:space="preserve">, </w:t>
            </w:r>
            <w:r w:rsidRPr="00092266">
              <w:rPr>
                <w:rFonts w:ascii="Arial Narrow" w:hAnsi="Arial Narrow"/>
                <w:b/>
                <w:bCs/>
                <w:sz w:val="18"/>
                <w:szCs w:val="18"/>
              </w:rPr>
              <w:t>Submission</w:t>
            </w:r>
          </w:p>
        </w:tc>
        <w:tc>
          <w:tcPr>
            <w:tcW w:w="1197" w:type="dxa"/>
            <w:vAlign w:val="center"/>
          </w:tcPr>
          <w:p w14:paraId="2424229C" w14:textId="754A2E85" w:rsidR="004D1EA7" w:rsidRPr="00092266" w:rsidRDefault="004D1EA7" w:rsidP="00744475">
            <w:pPr>
              <w:jc w:val="center"/>
              <w:rPr>
                <w:rFonts w:ascii="Arial Narrow" w:hAnsi="Arial Narrow"/>
                <w:b/>
                <w:bCs/>
                <w:sz w:val="18"/>
                <w:szCs w:val="18"/>
              </w:rPr>
            </w:pPr>
            <w:r w:rsidRPr="00092266">
              <w:rPr>
                <w:rFonts w:ascii="Arial Narrow" w:hAnsi="Arial Narrow"/>
                <w:b/>
                <w:bCs/>
                <w:sz w:val="18"/>
                <w:szCs w:val="18"/>
              </w:rPr>
              <w:t>NMA Adjusted BL</w:t>
            </w:r>
            <w:r w:rsidR="00744475" w:rsidRPr="00092266">
              <w:rPr>
                <w:rFonts w:ascii="Arial Narrow" w:hAnsi="Arial Narrow"/>
                <w:b/>
                <w:bCs/>
                <w:sz w:val="18"/>
                <w:szCs w:val="18"/>
              </w:rPr>
              <w:t xml:space="preserve">, </w:t>
            </w:r>
            <w:r w:rsidRPr="00092266">
              <w:rPr>
                <w:rFonts w:ascii="Arial Narrow" w:hAnsi="Arial Narrow"/>
                <w:b/>
                <w:bCs/>
                <w:sz w:val="18"/>
                <w:szCs w:val="18"/>
              </w:rPr>
              <w:t>Submission</w:t>
            </w:r>
          </w:p>
        </w:tc>
        <w:tc>
          <w:tcPr>
            <w:tcW w:w="1196" w:type="dxa"/>
            <w:vAlign w:val="center"/>
          </w:tcPr>
          <w:p w14:paraId="3F228805" w14:textId="2DE0D1FA" w:rsidR="004D1EA7" w:rsidRPr="00092266" w:rsidRDefault="004D1EA7" w:rsidP="00744475">
            <w:pPr>
              <w:jc w:val="center"/>
              <w:rPr>
                <w:rFonts w:ascii="Arial Narrow" w:hAnsi="Arial Narrow"/>
                <w:b/>
                <w:bCs/>
                <w:sz w:val="18"/>
                <w:szCs w:val="18"/>
              </w:rPr>
            </w:pPr>
            <w:r w:rsidRPr="00092266">
              <w:rPr>
                <w:rFonts w:ascii="Arial Narrow" w:hAnsi="Arial Narrow"/>
                <w:b/>
                <w:bCs/>
                <w:sz w:val="18"/>
                <w:szCs w:val="18"/>
              </w:rPr>
              <w:t>NMA Unadjusted BL</w:t>
            </w:r>
            <w:r w:rsidR="00744475" w:rsidRPr="00092266">
              <w:rPr>
                <w:rFonts w:ascii="Arial Narrow" w:hAnsi="Arial Narrow"/>
                <w:b/>
                <w:bCs/>
                <w:sz w:val="18"/>
                <w:szCs w:val="18"/>
              </w:rPr>
              <w:t>, Attachment</w:t>
            </w:r>
          </w:p>
        </w:tc>
        <w:tc>
          <w:tcPr>
            <w:tcW w:w="1197" w:type="dxa"/>
            <w:vAlign w:val="center"/>
          </w:tcPr>
          <w:p w14:paraId="795D5DB6" w14:textId="06F24A42" w:rsidR="004D1EA7" w:rsidRPr="00092266" w:rsidRDefault="004D1EA7" w:rsidP="00744475">
            <w:pPr>
              <w:jc w:val="center"/>
              <w:rPr>
                <w:rFonts w:ascii="Arial Narrow" w:hAnsi="Arial Narrow"/>
                <w:b/>
                <w:bCs/>
                <w:sz w:val="18"/>
                <w:szCs w:val="18"/>
              </w:rPr>
            </w:pPr>
            <w:r w:rsidRPr="00092266">
              <w:rPr>
                <w:rFonts w:ascii="Arial Narrow" w:hAnsi="Arial Narrow"/>
                <w:b/>
                <w:bCs/>
                <w:sz w:val="18"/>
                <w:szCs w:val="18"/>
              </w:rPr>
              <w:t>NMA Adjusted BL</w:t>
            </w:r>
            <w:r w:rsidR="00744475" w:rsidRPr="00092266">
              <w:rPr>
                <w:rFonts w:ascii="Arial Narrow" w:hAnsi="Arial Narrow"/>
                <w:b/>
                <w:bCs/>
                <w:sz w:val="18"/>
                <w:szCs w:val="18"/>
              </w:rPr>
              <w:t>, Attachment</w:t>
            </w:r>
          </w:p>
        </w:tc>
      </w:tr>
      <w:tr w:rsidR="0030303D" w:rsidRPr="00092266" w14:paraId="080CC3DE" w14:textId="77777777" w:rsidTr="00A63A2A">
        <w:tc>
          <w:tcPr>
            <w:tcW w:w="9017" w:type="dxa"/>
            <w:gridSpan w:val="7"/>
            <w:vAlign w:val="center"/>
          </w:tcPr>
          <w:p w14:paraId="42D532DB" w14:textId="4F596572" w:rsidR="0030303D" w:rsidRPr="00092266" w:rsidRDefault="0030303D" w:rsidP="0030303D">
            <w:pPr>
              <w:jc w:val="left"/>
              <w:rPr>
                <w:rFonts w:ascii="Arial Narrow" w:hAnsi="Arial Narrow"/>
                <w:sz w:val="18"/>
                <w:szCs w:val="18"/>
              </w:rPr>
            </w:pPr>
            <w:r w:rsidRPr="00092266">
              <w:rPr>
                <w:rFonts w:ascii="Arial Narrow" w:hAnsi="Arial Narrow"/>
                <w:b/>
                <w:bCs/>
                <w:sz w:val="18"/>
                <w:szCs w:val="18"/>
              </w:rPr>
              <w:t>INDUCTION: Remission</w:t>
            </w:r>
            <w:r w:rsidR="00744475" w:rsidRPr="00092266">
              <w:rPr>
                <w:rFonts w:ascii="Arial Narrow" w:hAnsi="Arial Narrow"/>
                <w:b/>
                <w:bCs/>
                <w:sz w:val="18"/>
                <w:szCs w:val="18"/>
              </w:rPr>
              <w:t>,</w:t>
            </w:r>
            <w:r w:rsidR="00744475" w:rsidRPr="00092266">
              <w:rPr>
                <w:rFonts w:ascii="Arial Narrow" w:hAnsi="Arial Narrow"/>
                <w:b/>
                <w:bCs/>
                <w:sz w:val="20"/>
                <w:szCs w:val="20"/>
                <w:lang w:val="it-IT"/>
              </w:rPr>
              <w:t xml:space="preserve"> bDMARDs/tsDMARDs-</w:t>
            </w:r>
            <w:r w:rsidR="00E630DA" w:rsidRPr="00092266">
              <w:t xml:space="preserve"> </w:t>
            </w:r>
            <w:r w:rsidR="00E630DA" w:rsidRPr="00092266">
              <w:rPr>
                <w:rFonts w:ascii="Arial Narrow" w:hAnsi="Arial Narrow"/>
                <w:b/>
                <w:bCs/>
                <w:sz w:val="20"/>
                <w:szCs w:val="20"/>
                <w:lang w:val="it-IT"/>
              </w:rPr>
              <w:t>naïve</w:t>
            </w:r>
          </w:p>
        </w:tc>
      </w:tr>
      <w:tr w:rsidR="00A63A2A" w:rsidRPr="00092266" w14:paraId="601D3FC9" w14:textId="77777777" w:rsidTr="00744475">
        <w:tc>
          <w:tcPr>
            <w:tcW w:w="1838" w:type="dxa"/>
            <w:vAlign w:val="center"/>
          </w:tcPr>
          <w:p w14:paraId="6CC2D9FD" w14:textId="3A8F6F6D" w:rsidR="004D1EA7" w:rsidRPr="00092266" w:rsidRDefault="004D1EA7" w:rsidP="004D1EA7">
            <w:pPr>
              <w:jc w:val="right"/>
              <w:rPr>
                <w:rFonts w:ascii="Arial Narrow" w:hAnsi="Arial Narrow"/>
                <w:sz w:val="20"/>
                <w:szCs w:val="20"/>
              </w:rPr>
            </w:pPr>
          </w:p>
        </w:tc>
        <w:tc>
          <w:tcPr>
            <w:tcW w:w="1196" w:type="dxa"/>
            <w:vAlign w:val="center"/>
          </w:tcPr>
          <w:p w14:paraId="0A319D8C" w14:textId="77777777" w:rsidR="004D1EA7" w:rsidRPr="00092266" w:rsidRDefault="004D1EA7" w:rsidP="004D1EA7">
            <w:pPr>
              <w:jc w:val="center"/>
              <w:rPr>
                <w:rFonts w:ascii="Arial Narrow" w:hAnsi="Arial Narrow"/>
                <w:sz w:val="18"/>
                <w:szCs w:val="18"/>
              </w:rPr>
            </w:pPr>
          </w:p>
        </w:tc>
        <w:tc>
          <w:tcPr>
            <w:tcW w:w="1197" w:type="dxa"/>
            <w:vAlign w:val="center"/>
          </w:tcPr>
          <w:p w14:paraId="2C75C739" w14:textId="77777777" w:rsidR="004D1EA7" w:rsidRPr="00092266" w:rsidRDefault="004D1EA7" w:rsidP="004D1EA7">
            <w:pPr>
              <w:jc w:val="center"/>
              <w:rPr>
                <w:rFonts w:ascii="Arial Narrow" w:hAnsi="Arial Narrow"/>
                <w:sz w:val="18"/>
                <w:szCs w:val="18"/>
              </w:rPr>
            </w:pPr>
          </w:p>
        </w:tc>
        <w:tc>
          <w:tcPr>
            <w:tcW w:w="1196" w:type="dxa"/>
            <w:vAlign w:val="center"/>
          </w:tcPr>
          <w:p w14:paraId="3D68947F"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r w:rsidRPr="00092266">
              <w:rPr>
                <w:rFonts w:ascii="Arial Narrow" w:hAnsi="Arial Narrow"/>
                <w:sz w:val="18"/>
                <w:szCs w:val="18"/>
                <w:vertAlign w:val="superscript"/>
              </w:rPr>
              <w:t>#</w:t>
            </w:r>
          </w:p>
        </w:tc>
        <w:tc>
          <w:tcPr>
            <w:tcW w:w="1197" w:type="dxa"/>
            <w:vAlign w:val="center"/>
          </w:tcPr>
          <w:p w14:paraId="7015AE37"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r w:rsidRPr="00092266">
              <w:rPr>
                <w:rFonts w:ascii="Arial Narrow" w:hAnsi="Arial Narrow"/>
                <w:sz w:val="18"/>
                <w:szCs w:val="18"/>
                <w:vertAlign w:val="superscript"/>
              </w:rPr>
              <w:t>^</w:t>
            </w:r>
          </w:p>
        </w:tc>
        <w:tc>
          <w:tcPr>
            <w:tcW w:w="1196" w:type="dxa"/>
            <w:vAlign w:val="center"/>
          </w:tcPr>
          <w:p w14:paraId="0AC96B45"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p>
        </w:tc>
        <w:tc>
          <w:tcPr>
            <w:tcW w:w="1197" w:type="dxa"/>
            <w:vAlign w:val="center"/>
          </w:tcPr>
          <w:p w14:paraId="6C24F022"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p>
        </w:tc>
      </w:tr>
      <w:tr w:rsidR="00A63A2A" w:rsidRPr="00092266" w14:paraId="7B5660BF" w14:textId="77777777" w:rsidTr="00744475">
        <w:tc>
          <w:tcPr>
            <w:tcW w:w="1838" w:type="dxa"/>
            <w:vAlign w:val="center"/>
          </w:tcPr>
          <w:p w14:paraId="5D24F08A" w14:textId="77777777" w:rsidR="004D1EA7" w:rsidRPr="00092266" w:rsidRDefault="004D1EA7" w:rsidP="004D1EA7">
            <w:pPr>
              <w:jc w:val="right"/>
              <w:rPr>
                <w:rFonts w:ascii="Arial Narrow" w:hAnsi="Arial Narrow"/>
                <w:sz w:val="20"/>
                <w:szCs w:val="20"/>
              </w:rPr>
            </w:pPr>
            <w:r w:rsidRPr="00092266">
              <w:rPr>
                <w:rFonts w:ascii="Arial Narrow" w:hAnsi="Arial Narrow"/>
                <w:sz w:val="20"/>
                <w:szCs w:val="20"/>
                <w:lang w:val="it-IT"/>
              </w:rPr>
              <w:t>MIRI v VDZ IV</w:t>
            </w:r>
          </w:p>
        </w:tc>
        <w:tc>
          <w:tcPr>
            <w:tcW w:w="1196" w:type="dxa"/>
            <w:vAlign w:val="center"/>
          </w:tcPr>
          <w:p w14:paraId="6D2CB4E6"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0.72 (0.31,1.65)</w:t>
            </w:r>
          </w:p>
        </w:tc>
        <w:tc>
          <w:tcPr>
            <w:tcW w:w="1197" w:type="dxa"/>
            <w:vAlign w:val="center"/>
          </w:tcPr>
          <w:p w14:paraId="6724C26E"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0.77 (0.33, 1.77)</w:t>
            </w:r>
            <w:r w:rsidRPr="00092266">
              <w:rPr>
                <w:rFonts w:ascii="Arial Narrow" w:hAnsi="Arial Narrow"/>
                <w:sz w:val="18"/>
                <w:szCs w:val="18"/>
                <w:vertAlign w:val="superscript"/>
              </w:rPr>
              <w:t>a</w:t>
            </w:r>
          </w:p>
        </w:tc>
        <w:tc>
          <w:tcPr>
            <w:tcW w:w="1196" w:type="dxa"/>
            <w:vAlign w:val="center"/>
          </w:tcPr>
          <w:p w14:paraId="0843DEF0" w14:textId="1DCAEDBB" w:rsidR="004D1EA7" w:rsidRPr="00092266" w:rsidRDefault="004D1EA7" w:rsidP="004D1EA7">
            <w:pPr>
              <w:jc w:val="center"/>
              <w:rPr>
                <w:rFonts w:ascii="Arial Narrow" w:hAnsi="Arial Narrow"/>
                <w:sz w:val="18"/>
                <w:szCs w:val="18"/>
              </w:rPr>
            </w:pPr>
            <w:r w:rsidRPr="00092266">
              <w:rPr>
                <w:rFonts w:ascii="Arial Narrow" w:hAnsi="Arial Narrow"/>
                <w:sz w:val="18"/>
                <w:szCs w:val="18"/>
              </w:rPr>
              <w:t>0.71 (0.36,</w:t>
            </w:r>
            <w:r w:rsidR="00E70CE4" w:rsidRPr="00092266">
              <w:rPr>
                <w:rFonts w:ascii="Arial Narrow" w:hAnsi="Arial Narrow"/>
                <w:sz w:val="18"/>
                <w:szCs w:val="18"/>
              </w:rPr>
              <w:t xml:space="preserve"> </w:t>
            </w:r>
            <w:r w:rsidRPr="00092266">
              <w:rPr>
                <w:rFonts w:ascii="Arial Narrow" w:hAnsi="Arial Narrow"/>
                <w:sz w:val="18"/>
                <w:szCs w:val="18"/>
              </w:rPr>
              <w:t>1.46)</w:t>
            </w:r>
          </w:p>
        </w:tc>
        <w:tc>
          <w:tcPr>
            <w:tcW w:w="1197" w:type="dxa"/>
            <w:vAlign w:val="center"/>
          </w:tcPr>
          <w:p w14:paraId="2ECC6306" w14:textId="5E347720" w:rsidR="004D1EA7" w:rsidRPr="00092266" w:rsidRDefault="004D1EA7" w:rsidP="004D1EA7">
            <w:pPr>
              <w:jc w:val="center"/>
              <w:rPr>
                <w:rFonts w:ascii="Arial Narrow" w:hAnsi="Arial Narrow"/>
                <w:sz w:val="18"/>
                <w:szCs w:val="18"/>
              </w:rPr>
            </w:pPr>
            <w:r w:rsidRPr="00092266">
              <w:rPr>
                <w:rFonts w:ascii="Arial Narrow" w:hAnsi="Arial Narrow"/>
                <w:sz w:val="18"/>
                <w:szCs w:val="18"/>
              </w:rPr>
              <w:t>0.95 (0.37,</w:t>
            </w:r>
            <w:r w:rsidR="00E70CE4" w:rsidRPr="00092266">
              <w:rPr>
                <w:rFonts w:ascii="Arial Narrow" w:hAnsi="Arial Narrow"/>
                <w:sz w:val="18"/>
                <w:szCs w:val="18"/>
              </w:rPr>
              <w:t xml:space="preserve"> </w:t>
            </w:r>
            <w:r w:rsidRPr="00092266">
              <w:rPr>
                <w:rFonts w:ascii="Arial Narrow" w:hAnsi="Arial Narrow"/>
                <w:sz w:val="18"/>
                <w:szCs w:val="18"/>
              </w:rPr>
              <w:t>2.37)</w:t>
            </w:r>
          </w:p>
        </w:tc>
        <w:tc>
          <w:tcPr>
            <w:tcW w:w="1196" w:type="dxa"/>
            <w:vAlign w:val="center"/>
          </w:tcPr>
          <w:p w14:paraId="71FF9BBE" w14:textId="0D0ED004" w:rsidR="004D1EA7" w:rsidRPr="00092266" w:rsidRDefault="004D1EA7" w:rsidP="004D1EA7">
            <w:pPr>
              <w:jc w:val="center"/>
              <w:rPr>
                <w:rFonts w:ascii="Arial Narrow" w:hAnsi="Arial Narrow"/>
                <w:sz w:val="18"/>
                <w:szCs w:val="18"/>
              </w:rPr>
            </w:pPr>
            <w:r w:rsidRPr="00092266">
              <w:rPr>
                <w:rFonts w:ascii="Arial Narrow" w:hAnsi="Arial Narrow"/>
                <w:sz w:val="18"/>
                <w:szCs w:val="18"/>
              </w:rPr>
              <w:t>0.66 (0.33,</w:t>
            </w:r>
            <w:r w:rsidR="00E70CE4" w:rsidRPr="00092266">
              <w:rPr>
                <w:rFonts w:ascii="Arial Narrow" w:hAnsi="Arial Narrow"/>
                <w:sz w:val="18"/>
                <w:szCs w:val="18"/>
              </w:rPr>
              <w:t xml:space="preserve"> </w:t>
            </w:r>
            <w:r w:rsidRPr="00092266">
              <w:rPr>
                <w:rFonts w:ascii="Arial Narrow" w:hAnsi="Arial Narrow"/>
                <w:sz w:val="18"/>
                <w:szCs w:val="18"/>
              </w:rPr>
              <w:t>1.34)</w:t>
            </w:r>
          </w:p>
        </w:tc>
        <w:tc>
          <w:tcPr>
            <w:tcW w:w="1197" w:type="dxa"/>
            <w:vAlign w:val="center"/>
          </w:tcPr>
          <w:p w14:paraId="7606BB8F" w14:textId="0C4EDBF5" w:rsidR="004D1EA7" w:rsidRPr="00092266" w:rsidRDefault="004D1EA7" w:rsidP="004D1EA7">
            <w:pPr>
              <w:jc w:val="center"/>
              <w:rPr>
                <w:rFonts w:ascii="Arial Narrow" w:hAnsi="Arial Narrow"/>
                <w:sz w:val="18"/>
                <w:szCs w:val="18"/>
              </w:rPr>
            </w:pPr>
            <w:r w:rsidRPr="00092266">
              <w:rPr>
                <w:rFonts w:ascii="Arial Narrow" w:hAnsi="Arial Narrow"/>
                <w:sz w:val="18"/>
                <w:szCs w:val="18"/>
              </w:rPr>
              <w:t>0.91 (0.46,</w:t>
            </w:r>
            <w:r w:rsidR="00E70CE4" w:rsidRPr="00092266">
              <w:rPr>
                <w:rFonts w:ascii="Arial Narrow" w:hAnsi="Arial Narrow"/>
                <w:sz w:val="18"/>
                <w:szCs w:val="18"/>
              </w:rPr>
              <w:t xml:space="preserve"> </w:t>
            </w:r>
            <w:r w:rsidRPr="00092266">
              <w:rPr>
                <w:rFonts w:ascii="Arial Narrow" w:hAnsi="Arial Narrow"/>
                <w:sz w:val="18"/>
                <w:szCs w:val="18"/>
              </w:rPr>
              <w:t>1.82)</w:t>
            </w:r>
          </w:p>
        </w:tc>
      </w:tr>
      <w:tr w:rsidR="00A63A2A" w:rsidRPr="00092266" w14:paraId="4ECF0BC8" w14:textId="77777777" w:rsidTr="00744475">
        <w:tc>
          <w:tcPr>
            <w:tcW w:w="1838" w:type="dxa"/>
            <w:vAlign w:val="center"/>
          </w:tcPr>
          <w:p w14:paraId="5828E242" w14:textId="77777777" w:rsidR="004D1EA7" w:rsidRPr="00092266" w:rsidRDefault="004D1EA7" w:rsidP="004D1EA7">
            <w:pPr>
              <w:jc w:val="right"/>
              <w:rPr>
                <w:rFonts w:ascii="Arial Narrow" w:hAnsi="Arial Narrow"/>
                <w:sz w:val="20"/>
                <w:szCs w:val="20"/>
              </w:rPr>
            </w:pPr>
            <w:r w:rsidRPr="00092266">
              <w:rPr>
                <w:rFonts w:ascii="Arial Narrow" w:hAnsi="Arial Narrow"/>
                <w:sz w:val="20"/>
                <w:szCs w:val="20"/>
                <w:lang w:val="it-IT"/>
              </w:rPr>
              <w:t>MIRI v ADA</w:t>
            </w:r>
          </w:p>
        </w:tc>
        <w:tc>
          <w:tcPr>
            <w:tcW w:w="1196" w:type="dxa"/>
            <w:vAlign w:val="center"/>
          </w:tcPr>
          <w:p w14:paraId="337CE767" w14:textId="485909D0" w:rsidR="004D1EA7" w:rsidRPr="00092266" w:rsidRDefault="004D1EA7" w:rsidP="004D1EA7">
            <w:pPr>
              <w:jc w:val="center"/>
              <w:rPr>
                <w:rFonts w:ascii="Arial Narrow" w:hAnsi="Arial Narrow"/>
                <w:sz w:val="18"/>
                <w:szCs w:val="18"/>
              </w:rPr>
            </w:pPr>
            <w:r w:rsidRPr="00092266">
              <w:rPr>
                <w:rFonts w:ascii="Arial Narrow" w:hAnsi="Arial Narrow"/>
                <w:sz w:val="18"/>
                <w:szCs w:val="18"/>
              </w:rPr>
              <w:t>1.02 (0.44,</w:t>
            </w:r>
            <w:r w:rsidR="00E70CE4" w:rsidRPr="00092266">
              <w:rPr>
                <w:rFonts w:ascii="Arial Narrow" w:hAnsi="Arial Narrow"/>
                <w:sz w:val="18"/>
                <w:szCs w:val="18"/>
              </w:rPr>
              <w:t xml:space="preserve"> </w:t>
            </w:r>
            <w:r w:rsidRPr="00092266">
              <w:rPr>
                <w:rFonts w:ascii="Arial Narrow" w:hAnsi="Arial Narrow"/>
                <w:sz w:val="18"/>
                <w:szCs w:val="18"/>
              </w:rPr>
              <w:t>2.36)</w:t>
            </w:r>
          </w:p>
        </w:tc>
        <w:tc>
          <w:tcPr>
            <w:tcW w:w="1197" w:type="dxa"/>
            <w:vAlign w:val="center"/>
          </w:tcPr>
          <w:p w14:paraId="59C623B2" w14:textId="1ADA592A" w:rsidR="004D1EA7" w:rsidRPr="00092266" w:rsidRDefault="004D1EA7" w:rsidP="004D1EA7">
            <w:pPr>
              <w:jc w:val="center"/>
              <w:rPr>
                <w:rFonts w:ascii="Arial Narrow" w:hAnsi="Arial Narrow"/>
                <w:sz w:val="18"/>
                <w:szCs w:val="18"/>
              </w:rPr>
            </w:pPr>
            <w:r w:rsidRPr="00092266">
              <w:rPr>
                <w:rFonts w:ascii="Arial Narrow" w:hAnsi="Arial Narrow"/>
                <w:sz w:val="18"/>
                <w:szCs w:val="18"/>
              </w:rPr>
              <w:t>1.00 (0.40,</w:t>
            </w:r>
            <w:r w:rsidR="00E70CE4" w:rsidRPr="00092266">
              <w:rPr>
                <w:rFonts w:ascii="Arial Narrow" w:hAnsi="Arial Narrow"/>
                <w:sz w:val="18"/>
                <w:szCs w:val="18"/>
              </w:rPr>
              <w:t xml:space="preserve"> </w:t>
            </w:r>
            <w:r w:rsidRPr="00092266">
              <w:rPr>
                <w:rFonts w:ascii="Arial Narrow" w:hAnsi="Arial Narrow"/>
                <w:sz w:val="18"/>
                <w:szCs w:val="18"/>
              </w:rPr>
              <w:t>2.46)</w:t>
            </w:r>
            <w:r w:rsidRPr="00092266">
              <w:rPr>
                <w:rFonts w:ascii="Arial Narrow" w:hAnsi="Arial Narrow"/>
                <w:sz w:val="18"/>
                <w:szCs w:val="18"/>
                <w:vertAlign w:val="superscript"/>
              </w:rPr>
              <w:t>a</w:t>
            </w:r>
          </w:p>
        </w:tc>
        <w:tc>
          <w:tcPr>
            <w:tcW w:w="1196" w:type="dxa"/>
            <w:vAlign w:val="center"/>
          </w:tcPr>
          <w:p w14:paraId="2154563B" w14:textId="459B699D" w:rsidR="004D1EA7" w:rsidRPr="00092266" w:rsidRDefault="004D1EA7" w:rsidP="004D1EA7">
            <w:pPr>
              <w:jc w:val="center"/>
              <w:rPr>
                <w:rFonts w:ascii="Arial Narrow" w:hAnsi="Arial Narrow"/>
                <w:sz w:val="18"/>
                <w:szCs w:val="18"/>
              </w:rPr>
            </w:pPr>
            <w:r w:rsidRPr="00092266">
              <w:rPr>
                <w:rFonts w:ascii="Arial Narrow" w:hAnsi="Arial Narrow"/>
                <w:sz w:val="18"/>
                <w:szCs w:val="18"/>
              </w:rPr>
              <w:t>1.28 (0.66,</w:t>
            </w:r>
            <w:r w:rsidR="00E70CE4" w:rsidRPr="00092266">
              <w:rPr>
                <w:rFonts w:ascii="Arial Narrow" w:hAnsi="Arial Narrow"/>
                <w:sz w:val="18"/>
                <w:szCs w:val="18"/>
              </w:rPr>
              <w:t xml:space="preserve"> </w:t>
            </w:r>
            <w:r w:rsidRPr="00092266">
              <w:rPr>
                <w:rFonts w:ascii="Arial Narrow" w:hAnsi="Arial Narrow"/>
                <w:sz w:val="18"/>
                <w:szCs w:val="18"/>
              </w:rPr>
              <w:t>2.52)</w:t>
            </w:r>
          </w:p>
        </w:tc>
        <w:tc>
          <w:tcPr>
            <w:tcW w:w="1197" w:type="dxa"/>
            <w:vAlign w:val="center"/>
          </w:tcPr>
          <w:p w14:paraId="3B7CE4DC" w14:textId="762F7F34" w:rsidR="004D1EA7" w:rsidRPr="00092266" w:rsidRDefault="004D1EA7" w:rsidP="004D1EA7">
            <w:pPr>
              <w:jc w:val="center"/>
              <w:rPr>
                <w:rFonts w:ascii="Arial Narrow" w:hAnsi="Arial Narrow"/>
                <w:sz w:val="18"/>
                <w:szCs w:val="18"/>
              </w:rPr>
            </w:pPr>
            <w:r w:rsidRPr="00092266">
              <w:rPr>
                <w:rFonts w:ascii="Arial Narrow" w:hAnsi="Arial Narrow"/>
                <w:sz w:val="18"/>
                <w:szCs w:val="18"/>
              </w:rPr>
              <w:t>1.58 (0.67,</w:t>
            </w:r>
            <w:r w:rsidR="00E70CE4" w:rsidRPr="00092266">
              <w:rPr>
                <w:rFonts w:ascii="Arial Narrow" w:hAnsi="Arial Narrow"/>
                <w:sz w:val="18"/>
                <w:szCs w:val="18"/>
              </w:rPr>
              <w:t xml:space="preserve"> </w:t>
            </w:r>
            <w:r w:rsidRPr="00092266">
              <w:rPr>
                <w:rFonts w:ascii="Arial Narrow" w:hAnsi="Arial Narrow"/>
                <w:sz w:val="18"/>
                <w:szCs w:val="18"/>
              </w:rPr>
              <w:t>3.55)</w:t>
            </w:r>
          </w:p>
        </w:tc>
        <w:tc>
          <w:tcPr>
            <w:tcW w:w="1196" w:type="dxa"/>
            <w:vAlign w:val="center"/>
          </w:tcPr>
          <w:p w14:paraId="41649414" w14:textId="172FDF8F" w:rsidR="004D1EA7" w:rsidRPr="00092266" w:rsidRDefault="004D1EA7" w:rsidP="004D1EA7">
            <w:pPr>
              <w:jc w:val="center"/>
              <w:rPr>
                <w:rFonts w:ascii="Arial Narrow" w:hAnsi="Arial Narrow"/>
                <w:sz w:val="18"/>
                <w:szCs w:val="18"/>
              </w:rPr>
            </w:pPr>
            <w:r w:rsidRPr="00092266">
              <w:rPr>
                <w:rFonts w:ascii="Arial Narrow" w:hAnsi="Arial Narrow"/>
                <w:sz w:val="18"/>
                <w:szCs w:val="18"/>
              </w:rPr>
              <w:t>1.15 (0.59,</w:t>
            </w:r>
            <w:r w:rsidR="00E70CE4" w:rsidRPr="00092266">
              <w:rPr>
                <w:rFonts w:ascii="Arial Narrow" w:hAnsi="Arial Narrow"/>
                <w:sz w:val="18"/>
                <w:szCs w:val="18"/>
              </w:rPr>
              <w:t xml:space="preserve"> </w:t>
            </w:r>
            <w:r w:rsidRPr="00092266">
              <w:rPr>
                <w:rFonts w:ascii="Arial Narrow" w:hAnsi="Arial Narrow"/>
                <w:sz w:val="18"/>
                <w:szCs w:val="18"/>
              </w:rPr>
              <w:t>2.15)</w:t>
            </w:r>
          </w:p>
        </w:tc>
        <w:tc>
          <w:tcPr>
            <w:tcW w:w="1197" w:type="dxa"/>
            <w:vAlign w:val="center"/>
          </w:tcPr>
          <w:p w14:paraId="4A919A08" w14:textId="22A0398F" w:rsidR="004D1EA7" w:rsidRPr="00092266" w:rsidRDefault="004D1EA7" w:rsidP="004D1EA7">
            <w:pPr>
              <w:jc w:val="center"/>
              <w:rPr>
                <w:rFonts w:ascii="Arial Narrow" w:hAnsi="Arial Narrow"/>
                <w:sz w:val="18"/>
                <w:szCs w:val="18"/>
              </w:rPr>
            </w:pPr>
            <w:r w:rsidRPr="00092266">
              <w:rPr>
                <w:rFonts w:ascii="Arial Narrow" w:hAnsi="Arial Narrow"/>
                <w:sz w:val="18"/>
                <w:szCs w:val="18"/>
              </w:rPr>
              <w:t>1.57 (0.83,</w:t>
            </w:r>
            <w:r w:rsidR="00E70CE4" w:rsidRPr="00092266">
              <w:rPr>
                <w:rFonts w:ascii="Arial Narrow" w:hAnsi="Arial Narrow"/>
                <w:sz w:val="18"/>
                <w:szCs w:val="18"/>
              </w:rPr>
              <w:t xml:space="preserve"> </w:t>
            </w:r>
            <w:r w:rsidRPr="00092266">
              <w:rPr>
                <w:rFonts w:ascii="Arial Narrow" w:hAnsi="Arial Narrow"/>
                <w:sz w:val="18"/>
                <w:szCs w:val="18"/>
              </w:rPr>
              <w:t>3.05)</w:t>
            </w:r>
          </w:p>
        </w:tc>
      </w:tr>
      <w:tr w:rsidR="00A63A2A" w:rsidRPr="00092266" w14:paraId="2E1B9647" w14:textId="77777777" w:rsidTr="00744475">
        <w:tc>
          <w:tcPr>
            <w:tcW w:w="1838" w:type="dxa"/>
            <w:vAlign w:val="center"/>
          </w:tcPr>
          <w:p w14:paraId="7803E08E" w14:textId="77777777" w:rsidR="004D1EA7" w:rsidRPr="00092266" w:rsidRDefault="004D1EA7" w:rsidP="004D1EA7">
            <w:pPr>
              <w:jc w:val="right"/>
              <w:rPr>
                <w:rFonts w:ascii="Arial Narrow" w:hAnsi="Arial Narrow"/>
                <w:sz w:val="20"/>
                <w:szCs w:val="20"/>
              </w:rPr>
            </w:pPr>
            <w:r w:rsidRPr="00092266">
              <w:rPr>
                <w:rFonts w:ascii="Arial Narrow" w:hAnsi="Arial Narrow"/>
                <w:sz w:val="20"/>
                <w:szCs w:val="20"/>
                <w:lang w:val="it-IT"/>
              </w:rPr>
              <w:t>MIRI v UST</w:t>
            </w:r>
          </w:p>
        </w:tc>
        <w:tc>
          <w:tcPr>
            <w:tcW w:w="1196" w:type="dxa"/>
            <w:vAlign w:val="center"/>
          </w:tcPr>
          <w:p w14:paraId="47CA8CD0" w14:textId="77CCD6CC" w:rsidR="004D1EA7" w:rsidRPr="00092266" w:rsidRDefault="004D1EA7" w:rsidP="004D1EA7">
            <w:pPr>
              <w:jc w:val="center"/>
              <w:rPr>
                <w:rFonts w:ascii="Arial Narrow" w:hAnsi="Arial Narrow"/>
                <w:sz w:val="18"/>
                <w:szCs w:val="18"/>
              </w:rPr>
            </w:pPr>
            <w:r w:rsidRPr="00092266">
              <w:rPr>
                <w:rFonts w:ascii="Arial Narrow" w:hAnsi="Arial Narrow"/>
                <w:sz w:val="18"/>
                <w:szCs w:val="18"/>
              </w:rPr>
              <w:t>1.09 (0.49,</w:t>
            </w:r>
            <w:r w:rsidR="00E70CE4" w:rsidRPr="00092266">
              <w:rPr>
                <w:rFonts w:ascii="Arial Narrow" w:hAnsi="Arial Narrow"/>
                <w:sz w:val="18"/>
                <w:szCs w:val="18"/>
              </w:rPr>
              <w:t xml:space="preserve"> </w:t>
            </w:r>
            <w:r w:rsidRPr="00092266">
              <w:rPr>
                <w:rFonts w:ascii="Arial Narrow" w:hAnsi="Arial Narrow"/>
                <w:sz w:val="18"/>
                <w:szCs w:val="18"/>
              </w:rPr>
              <w:t>2.45)</w:t>
            </w:r>
          </w:p>
        </w:tc>
        <w:tc>
          <w:tcPr>
            <w:tcW w:w="1197" w:type="dxa"/>
            <w:vAlign w:val="center"/>
          </w:tcPr>
          <w:p w14:paraId="4088F0B0" w14:textId="085944A0" w:rsidR="004D1EA7" w:rsidRPr="00092266" w:rsidRDefault="004D1EA7" w:rsidP="004D1EA7">
            <w:pPr>
              <w:jc w:val="center"/>
              <w:rPr>
                <w:rFonts w:ascii="Arial Narrow" w:hAnsi="Arial Narrow"/>
                <w:sz w:val="18"/>
                <w:szCs w:val="18"/>
              </w:rPr>
            </w:pPr>
            <w:r w:rsidRPr="00092266">
              <w:rPr>
                <w:rFonts w:ascii="Arial Narrow" w:hAnsi="Arial Narrow"/>
                <w:sz w:val="18"/>
                <w:szCs w:val="18"/>
              </w:rPr>
              <w:t>1.17 (0.52,</w:t>
            </w:r>
            <w:r w:rsidR="00E70CE4" w:rsidRPr="00092266">
              <w:rPr>
                <w:rFonts w:ascii="Arial Narrow" w:hAnsi="Arial Narrow"/>
                <w:sz w:val="18"/>
                <w:szCs w:val="18"/>
              </w:rPr>
              <w:t xml:space="preserve"> </w:t>
            </w:r>
            <w:r w:rsidRPr="00092266">
              <w:rPr>
                <w:rFonts w:ascii="Arial Narrow" w:hAnsi="Arial Narrow"/>
                <w:sz w:val="18"/>
                <w:szCs w:val="18"/>
              </w:rPr>
              <w:t>2.63)</w:t>
            </w:r>
            <w:r w:rsidRPr="00092266">
              <w:rPr>
                <w:rFonts w:ascii="Arial Narrow" w:hAnsi="Arial Narrow"/>
                <w:sz w:val="18"/>
                <w:szCs w:val="18"/>
                <w:vertAlign w:val="superscript"/>
              </w:rPr>
              <w:t>a</w:t>
            </w:r>
          </w:p>
        </w:tc>
        <w:tc>
          <w:tcPr>
            <w:tcW w:w="1196" w:type="dxa"/>
            <w:vAlign w:val="center"/>
          </w:tcPr>
          <w:p w14:paraId="608663B5" w14:textId="63AA72FB" w:rsidR="004D1EA7" w:rsidRPr="00092266" w:rsidRDefault="004D1EA7" w:rsidP="004D1EA7">
            <w:pPr>
              <w:jc w:val="center"/>
              <w:rPr>
                <w:rFonts w:ascii="Arial Narrow" w:hAnsi="Arial Narrow"/>
                <w:sz w:val="18"/>
                <w:szCs w:val="18"/>
              </w:rPr>
            </w:pPr>
            <w:r w:rsidRPr="00092266">
              <w:rPr>
                <w:rFonts w:ascii="Arial Narrow" w:hAnsi="Arial Narrow"/>
                <w:sz w:val="18"/>
                <w:szCs w:val="18"/>
              </w:rPr>
              <w:t>0.77 (0.34,</w:t>
            </w:r>
            <w:r w:rsidR="00E70CE4" w:rsidRPr="00092266">
              <w:rPr>
                <w:rFonts w:ascii="Arial Narrow" w:hAnsi="Arial Narrow"/>
                <w:sz w:val="18"/>
                <w:szCs w:val="18"/>
              </w:rPr>
              <w:t xml:space="preserve"> </w:t>
            </w:r>
            <w:r w:rsidRPr="00092266">
              <w:rPr>
                <w:rFonts w:ascii="Arial Narrow" w:hAnsi="Arial Narrow"/>
                <w:sz w:val="18"/>
                <w:szCs w:val="18"/>
              </w:rPr>
              <w:t>1.80)</w:t>
            </w:r>
          </w:p>
        </w:tc>
        <w:tc>
          <w:tcPr>
            <w:tcW w:w="1197" w:type="dxa"/>
            <w:vAlign w:val="center"/>
          </w:tcPr>
          <w:p w14:paraId="1EABF371" w14:textId="1D0A049E" w:rsidR="004D1EA7" w:rsidRPr="00092266" w:rsidRDefault="004D1EA7" w:rsidP="004D1EA7">
            <w:pPr>
              <w:jc w:val="center"/>
              <w:rPr>
                <w:rFonts w:ascii="Arial Narrow" w:hAnsi="Arial Narrow"/>
                <w:sz w:val="18"/>
                <w:szCs w:val="18"/>
              </w:rPr>
            </w:pPr>
            <w:r w:rsidRPr="00092266">
              <w:rPr>
                <w:rFonts w:ascii="Arial Narrow" w:hAnsi="Arial Narrow"/>
                <w:sz w:val="18"/>
                <w:szCs w:val="18"/>
              </w:rPr>
              <w:t>0.99 (0.35,</w:t>
            </w:r>
            <w:r w:rsidR="00E70CE4" w:rsidRPr="00092266">
              <w:rPr>
                <w:rFonts w:ascii="Arial Narrow" w:hAnsi="Arial Narrow"/>
                <w:sz w:val="18"/>
                <w:szCs w:val="18"/>
              </w:rPr>
              <w:t xml:space="preserve"> </w:t>
            </w:r>
            <w:r w:rsidRPr="00092266">
              <w:rPr>
                <w:rFonts w:ascii="Arial Narrow" w:hAnsi="Arial Narrow"/>
                <w:sz w:val="18"/>
                <w:szCs w:val="18"/>
              </w:rPr>
              <w:t>2.64)</w:t>
            </w:r>
          </w:p>
        </w:tc>
        <w:tc>
          <w:tcPr>
            <w:tcW w:w="1196" w:type="dxa"/>
            <w:vAlign w:val="center"/>
          </w:tcPr>
          <w:p w14:paraId="45A703FA" w14:textId="245FD76C" w:rsidR="004D1EA7" w:rsidRPr="00092266" w:rsidRDefault="004D1EA7" w:rsidP="004D1EA7">
            <w:pPr>
              <w:jc w:val="center"/>
              <w:rPr>
                <w:rFonts w:ascii="Arial Narrow" w:hAnsi="Arial Narrow"/>
                <w:sz w:val="18"/>
                <w:szCs w:val="18"/>
              </w:rPr>
            </w:pPr>
            <w:r w:rsidRPr="00092266">
              <w:rPr>
                <w:rFonts w:ascii="Arial Narrow" w:hAnsi="Arial Narrow"/>
                <w:sz w:val="18"/>
                <w:szCs w:val="18"/>
              </w:rPr>
              <w:t>0.77 (0.33,</w:t>
            </w:r>
            <w:r w:rsidR="00E70CE4" w:rsidRPr="00092266">
              <w:rPr>
                <w:rFonts w:ascii="Arial Narrow" w:hAnsi="Arial Narrow"/>
                <w:sz w:val="18"/>
                <w:szCs w:val="18"/>
              </w:rPr>
              <w:t xml:space="preserve"> </w:t>
            </w:r>
            <w:r w:rsidRPr="00092266">
              <w:rPr>
                <w:rFonts w:ascii="Arial Narrow" w:hAnsi="Arial Narrow"/>
                <w:sz w:val="18"/>
                <w:szCs w:val="18"/>
              </w:rPr>
              <w:t>1.80)</w:t>
            </w:r>
          </w:p>
        </w:tc>
        <w:tc>
          <w:tcPr>
            <w:tcW w:w="1197" w:type="dxa"/>
            <w:vAlign w:val="center"/>
          </w:tcPr>
          <w:p w14:paraId="33506410" w14:textId="0BD822A7" w:rsidR="004D1EA7" w:rsidRPr="00092266" w:rsidRDefault="004D1EA7" w:rsidP="004D1EA7">
            <w:pPr>
              <w:jc w:val="center"/>
              <w:rPr>
                <w:rFonts w:ascii="Arial Narrow" w:hAnsi="Arial Narrow"/>
                <w:sz w:val="18"/>
                <w:szCs w:val="18"/>
              </w:rPr>
            </w:pPr>
            <w:r w:rsidRPr="00092266">
              <w:rPr>
                <w:rFonts w:ascii="Arial Narrow" w:hAnsi="Arial Narrow"/>
                <w:sz w:val="18"/>
                <w:szCs w:val="18"/>
              </w:rPr>
              <w:t>0.95 (0.42,</w:t>
            </w:r>
            <w:r w:rsidR="00E70CE4" w:rsidRPr="00092266">
              <w:rPr>
                <w:rFonts w:ascii="Arial Narrow" w:hAnsi="Arial Narrow"/>
                <w:sz w:val="18"/>
                <w:szCs w:val="18"/>
              </w:rPr>
              <w:t xml:space="preserve"> </w:t>
            </w:r>
            <w:r w:rsidRPr="00092266">
              <w:rPr>
                <w:rFonts w:ascii="Arial Narrow" w:hAnsi="Arial Narrow"/>
                <w:sz w:val="18"/>
                <w:szCs w:val="18"/>
              </w:rPr>
              <w:t>2.04)</w:t>
            </w:r>
          </w:p>
        </w:tc>
      </w:tr>
      <w:tr w:rsidR="00744475" w:rsidRPr="00092266" w14:paraId="69723114" w14:textId="77777777" w:rsidTr="00744475">
        <w:tc>
          <w:tcPr>
            <w:tcW w:w="9017" w:type="dxa"/>
            <w:gridSpan w:val="7"/>
            <w:vAlign w:val="center"/>
          </w:tcPr>
          <w:p w14:paraId="69E3F671" w14:textId="1485B6EA" w:rsidR="00744475" w:rsidRPr="00092266" w:rsidRDefault="00744475" w:rsidP="00744475">
            <w:pPr>
              <w:jc w:val="left"/>
              <w:rPr>
                <w:rFonts w:ascii="Arial Narrow" w:hAnsi="Arial Narrow"/>
                <w:sz w:val="18"/>
                <w:szCs w:val="18"/>
              </w:rPr>
            </w:pPr>
            <w:r w:rsidRPr="00092266">
              <w:rPr>
                <w:rFonts w:ascii="Arial Narrow" w:hAnsi="Arial Narrow"/>
                <w:b/>
                <w:bCs/>
                <w:sz w:val="18"/>
                <w:szCs w:val="18"/>
              </w:rPr>
              <w:t>INDUCTION: Remission,</w:t>
            </w:r>
            <w:r w:rsidRPr="00092266">
              <w:rPr>
                <w:rFonts w:ascii="Arial Narrow" w:hAnsi="Arial Narrow"/>
                <w:b/>
                <w:bCs/>
                <w:sz w:val="20"/>
                <w:szCs w:val="20"/>
              </w:rPr>
              <w:t xml:space="preserve"> bDMARDs/tsDMARDs-experienced</w:t>
            </w:r>
          </w:p>
        </w:tc>
      </w:tr>
      <w:tr w:rsidR="00A63A2A" w:rsidRPr="00092266" w14:paraId="14B9F361" w14:textId="77777777" w:rsidTr="00744475">
        <w:tc>
          <w:tcPr>
            <w:tcW w:w="1838" w:type="dxa"/>
            <w:vAlign w:val="center"/>
          </w:tcPr>
          <w:p w14:paraId="7360DAD0" w14:textId="15058257" w:rsidR="004D1EA7" w:rsidRPr="00092266" w:rsidRDefault="004D1EA7" w:rsidP="004D1EA7">
            <w:pPr>
              <w:jc w:val="right"/>
              <w:rPr>
                <w:rFonts w:ascii="Arial Narrow" w:hAnsi="Arial Narrow"/>
                <w:sz w:val="20"/>
                <w:szCs w:val="20"/>
              </w:rPr>
            </w:pPr>
          </w:p>
        </w:tc>
        <w:tc>
          <w:tcPr>
            <w:tcW w:w="1196" w:type="dxa"/>
            <w:vAlign w:val="center"/>
          </w:tcPr>
          <w:p w14:paraId="65B7402B" w14:textId="77777777" w:rsidR="004D1EA7" w:rsidRPr="00092266" w:rsidRDefault="004D1EA7" w:rsidP="004D1EA7">
            <w:pPr>
              <w:jc w:val="center"/>
              <w:rPr>
                <w:rFonts w:ascii="Arial Narrow" w:hAnsi="Arial Narrow"/>
                <w:sz w:val="18"/>
                <w:szCs w:val="18"/>
              </w:rPr>
            </w:pPr>
          </w:p>
        </w:tc>
        <w:tc>
          <w:tcPr>
            <w:tcW w:w="1197" w:type="dxa"/>
            <w:vAlign w:val="center"/>
          </w:tcPr>
          <w:p w14:paraId="42258CF5" w14:textId="77777777" w:rsidR="004D1EA7" w:rsidRPr="00092266" w:rsidRDefault="004D1EA7" w:rsidP="004D1EA7">
            <w:pPr>
              <w:jc w:val="center"/>
              <w:rPr>
                <w:rFonts w:ascii="Arial Narrow" w:hAnsi="Arial Narrow"/>
                <w:sz w:val="18"/>
                <w:szCs w:val="18"/>
              </w:rPr>
            </w:pPr>
          </w:p>
        </w:tc>
        <w:tc>
          <w:tcPr>
            <w:tcW w:w="1196" w:type="dxa"/>
            <w:vAlign w:val="center"/>
          </w:tcPr>
          <w:p w14:paraId="359D7CF4"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r w:rsidRPr="00092266">
              <w:rPr>
                <w:rFonts w:ascii="Arial Narrow" w:hAnsi="Arial Narrow"/>
                <w:sz w:val="18"/>
                <w:szCs w:val="18"/>
                <w:vertAlign w:val="superscript"/>
              </w:rPr>
              <w:t>‡</w:t>
            </w:r>
          </w:p>
        </w:tc>
        <w:tc>
          <w:tcPr>
            <w:tcW w:w="1197" w:type="dxa"/>
            <w:vAlign w:val="center"/>
          </w:tcPr>
          <w:p w14:paraId="75CF7055"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r w:rsidRPr="00092266">
              <w:rPr>
                <w:rFonts w:ascii="Arial Narrow" w:hAnsi="Arial Narrow"/>
                <w:sz w:val="18"/>
                <w:szCs w:val="18"/>
                <w:vertAlign w:val="superscript"/>
              </w:rPr>
              <w:sym w:font="Symbol" w:char="F0E0"/>
            </w:r>
          </w:p>
        </w:tc>
        <w:tc>
          <w:tcPr>
            <w:tcW w:w="1196" w:type="dxa"/>
            <w:vAlign w:val="center"/>
          </w:tcPr>
          <w:p w14:paraId="321568F6"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c>
          <w:tcPr>
            <w:tcW w:w="1197" w:type="dxa"/>
            <w:vAlign w:val="center"/>
          </w:tcPr>
          <w:p w14:paraId="7A687769"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r>
      <w:tr w:rsidR="00A63A2A" w:rsidRPr="00092266" w14:paraId="1DCD9BDA" w14:textId="77777777" w:rsidTr="00744475">
        <w:tc>
          <w:tcPr>
            <w:tcW w:w="1838" w:type="dxa"/>
            <w:vAlign w:val="center"/>
          </w:tcPr>
          <w:p w14:paraId="3CBA8A02" w14:textId="77777777" w:rsidR="004D1EA7" w:rsidRPr="00092266" w:rsidRDefault="004D1EA7" w:rsidP="004D1EA7">
            <w:pPr>
              <w:jc w:val="right"/>
              <w:rPr>
                <w:rFonts w:ascii="Arial Narrow" w:hAnsi="Arial Narrow"/>
                <w:sz w:val="20"/>
                <w:szCs w:val="20"/>
              </w:rPr>
            </w:pPr>
            <w:r w:rsidRPr="00092266">
              <w:rPr>
                <w:rFonts w:ascii="Arial Narrow" w:hAnsi="Arial Narrow"/>
                <w:sz w:val="20"/>
                <w:szCs w:val="20"/>
                <w:lang w:val="it-IT"/>
              </w:rPr>
              <w:t>MIRI v VDZ IV</w:t>
            </w:r>
          </w:p>
        </w:tc>
        <w:tc>
          <w:tcPr>
            <w:tcW w:w="1196" w:type="dxa"/>
            <w:vAlign w:val="center"/>
          </w:tcPr>
          <w:p w14:paraId="5B4D4A4A" w14:textId="7DB62107" w:rsidR="004D1EA7" w:rsidRPr="00092266" w:rsidRDefault="004D1EA7" w:rsidP="004D1EA7">
            <w:pPr>
              <w:jc w:val="center"/>
              <w:rPr>
                <w:rFonts w:ascii="Arial Narrow" w:hAnsi="Arial Narrow"/>
                <w:sz w:val="18"/>
                <w:szCs w:val="18"/>
              </w:rPr>
            </w:pPr>
            <w:r w:rsidRPr="00092266">
              <w:rPr>
                <w:rFonts w:ascii="Arial Narrow" w:hAnsi="Arial Narrow"/>
                <w:sz w:val="18"/>
                <w:szCs w:val="18"/>
              </w:rPr>
              <w:t>1.20 (0.23,</w:t>
            </w:r>
            <w:r w:rsidR="00E70CE4" w:rsidRPr="00092266">
              <w:rPr>
                <w:rFonts w:ascii="Arial Narrow" w:hAnsi="Arial Narrow"/>
                <w:sz w:val="18"/>
                <w:szCs w:val="18"/>
              </w:rPr>
              <w:t xml:space="preserve"> </w:t>
            </w:r>
            <w:r w:rsidRPr="00092266">
              <w:rPr>
                <w:rFonts w:ascii="Arial Narrow" w:hAnsi="Arial Narrow"/>
                <w:sz w:val="18"/>
                <w:szCs w:val="18"/>
              </w:rPr>
              <w:t>6.39)</w:t>
            </w:r>
          </w:p>
        </w:tc>
        <w:tc>
          <w:tcPr>
            <w:tcW w:w="1197" w:type="dxa"/>
            <w:vAlign w:val="center"/>
          </w:tcPr>
          <w:p w14:paraId="3F27D160" w14:textId="4F1E0ADE" w:rsidR="004D1EA7" w:rsidRPr="00092266" w:rsidRDefault="004D1EA7" w:rsidP="004D1EA7">
            <w:pPr>
              <w:jc w:val="center"/>
              <w:rPr>
                <w:rFonts w:ascii="Arial Narrow" w:hAnsi="Arial Narrow"/>
                <w:sz w:val="18"/>
                <w:szCs w:val="18"/>
              </w:rPr>
            </w:pPr>
            <w:r w:rsidRPr="00092266">
              <w:rPr>
                <w:rFonts w:ascii="Arial Narrow" w:hAnsi="Arial Narrow"/>
                <w:sz w:val="18"/>
                <w:szCs w:val="18"/>
              </w:rPr>
              <w:t>1.04 (0.27,</w:t>
            </w:r>
            <w:r w:rsidR="00E70CE4" w:rsidRPr="00092266">
              <w:rPr>
                <w:rFonts w:ascii="Arial Narrow" w:hAnsi="Arial Narrow"/>
                <w:sz w:val="18"/>
                <w:szCs w:val="18"/>
              </w:rPr>
              <w:t xml:space="preserve"> </w:t>
            </w:r>
            <w:r w:rsidRPr="00092266">
              <w:rPr>
                <w:rFonts w:ascii="Arial Narrow" w:hAnsi="Arial Narrow"/>
                <w:sz w:val="18"/>
                <w:szCs w:val="18"/>
              </w:rPr>
              <w:t>4.09)</w:t>
            </w:r>
            <w:r w:rsidRPr="00092266">
              <w:rPr>
                <w:rFonts w:ascii="Arial Narrow" w:hAnsi="Arial Narrow"/>
                <w:sz w:val="18"/>
                <w:szCs w:val="18"/>
                <w:vertAlign w:val="superscript"/>
              </w:rPr>
              <w:t>b</w:t>
            </w:r>
          </w:p>
        </w:tc>
        <w:tc>
          <w:tcPr>
            <w:tcW w:w="1196" w:type="dxa"/>
            <w:vAlign w:val="center"/>
          </w:tcPr>
          <w:p w14:paraId="75981734" w14:textId="18432AF1" w:rsidR="004D1EA7" w:rsidRPr="00092266" w:rsidRDefault="004D1EA7" w:rsidP="004D1EA7">
            <w:pPr>
              <w:jc w:val="center"/>
              <w:rPr>
                <w:rFonts w:ascii="Arial Narrow" w:hAnsi="Arial Narrow"/>
                <w:sz w:val="18"/>
                <w:szCs w:val="18"/>
              </w:rPr>
            </w:pPr>
            <w:r w:rsidRPr="00092266">
              <w:rPr>
                <w:rFonts w:ascii="Arial Narrow" w:hAnsi="Arial Narrow"/>
                <w:sz w:val="18"/>
                <w:szCs w:val="18"/>
              </w:rPr>
              <w:t>1.34 (0.64,</w:t>
            </w:r>
            <w:r w:rsidR="00E70CE4" w:rsidRPr="00092266">
              <w:rPr>
                <w:rFonts w:ascii="Arial Narrow" w:hAnsi="Arial Narrow"/>
                <w:sz w:val="18"/>
                <w:szCs w:val="18"/>
              </w:rPr>
              <w:t xml:space="preserve"> </w:t>
            </w:r>
            <w:r w:rsidRPr="00092266">
              <w:rPr>
                <w:rFonts w:ascii="Arial Narrow" w:hAnsi="Arial Narrow"/>
                <w:sz w:val="18"/>
                <w:szCs w:val="18"/>
              </w:rPr>
              <w:t>2.82</w:t>
            </w:r>
            <w:r w:rsidR="00E70CE4" w:rsidRPr="00092266">
              <w:rPr>
                <w:rFonts w:ascii="Arial Narrow" w:hAnsi="Arial Narrow"/>
                <w:sz w:val="18"/>
                <w:szCs w:val="18"/>
              </w:rPr>
              <w:t>)</w:t>
            </w:r>
          </w:p>
        </w:tc>
        <w:tc>
          <w:tcPr>
            <w:tcW w:w="1197" w:type="dxa"/>
            <w:vAlign w:val="center"/>
          </w:tcPr>
          <w:p w14:paraId="66BF2318" w14:textId="63D32B27" w:rsidR="004D1EA7" w:rsidRPr="00092266" w:rsidRDefault="004D1EA7" w:rsidP="004D1EA7">
            <w:pPr>
              <w:jc w:val="center"/>
              <w:rPr>
                <w:rFonts w:ascii="Arial Narrow" w:hAnsi="Arial Narrow"/>
                <w:sz w:val="18"/>
                <w:szCs w:val="18"/>
              </w:rPr>
            </w:pPr>
            <w:r w:rsidRPr="00092266">
              <w:rPr>
                <w:rFonts w:ascii="Arial Narrow" w:hAnsi="Arial Narrow"/>
                <w:sz w:val="18"/>
                <w:szCs w:val="18"/>
              </w:rPr>
              <w:t>1.39 (0.29,</w:t>
            </w:r>
            <w:r w:rsidR="00E70CE4" w:rsidRPr="00092266">
              <w:rPr>
                <w:rFonts w:ascii="Arial Narrow" w:hAnsi="Arial Narrow"/>
                <w:sz w:val="18"/>
                <w:szCs w:val="18"/>
              </w:rPr>
              <w:t xml:space="preserve"> </w:t>
            </w:r>
            <w:r w:rsidRPr="00092266">
              <w:rPr>
                <w:rFonts w:ascii="Arial Narrow" w:hAnsi="Arial Narrow"/>
                <w:sz w:val="18"/>
                <w:szCs w:val="18"/>
              </w:rPr>
              <w:t>3.31)</w:t>
            </w:r>
          </w:p>
        </w:tc>
        <w:tc>
          <w:tcPr>
            <w:tcW w:w="1196" w:type="dxa"/>
            <w:vAlign w:val="center"/>
          </w:tcPr>
          <w:p w14:paraId="4DB23DA3" w14:textId="372B5B93" w:rsidR="004D1EA7" w:rsidRPr="00092266" w:rsidRDefault="004D1EA7" w:rsidP="004D1EA7">
            <w:pPr>
              <w:jc w:val="center"/>
              <w:rPr>
                <w:rFonts w:ascii="Arial Narrow" w:hAnsi="Arial Narrow"/>
                <w:sz w:val="18"/>
                <w:szCs w:val="18"/>
              </w:rPr>
            </w:pPr>
            <w:r w:rsidRPr="00092266">
              <w:rPr>
                <w:rFonts w:ascii="Arial Narrow" w:hAnsi="Arial Narrow"/>
                <w:sz w:val="18"/>
                <w:szCs w:val="18"/>
              </w:rPr>
              <w:t>1.35 (0.64,</w:t>
            </w:r>
            <w:r w:rsidR="00E70CE4" w:rsidRPr="00092266">
              <w:rPr>
                <w:rFonts w:ascii="Arial Narrow" w:hAnsi="Arial Narrow"/>
                <w:sz w:val="18"/>
                <w:szCs w:val="18"/>
              </w:rPr>
              <w:t xml:space="preserve"> </w:t>
            </w:r>
            <w:r w:rsidRPr="00092266">
              <w:rPr>
                <w:rFonts w:ascii="Arial Narrow" w:hAnsi="Arial Narrow"/>
                <w:sz w:val="18"/>
                <w:szCs w:val="18"/>
              </w:rPr>
              <w:t>2.92)</w:t>
            </w:r>
          </w:p>
        </w:tc>
        <w:tc>
          <w:tcPr>
            <w:tcW w:w="1197" w:type="dxa"/>
            <w:vAlign w:val="center"/>
          </w:tcPr>
          <w:p w14:paraId="49F381F6" w14:textId="1564D92B" w:rsidR="004D1EA7" w:rsidRPr="00092266" w:rsidRDefault="004D1EA7" w:rsidP="004D1EA7">
            <w:pPr>
              <w:jc w:val="center"/>
              <w:rPr>
                <w:rFonts w:ascii="Arial Narrow" w:hAnsi="Arial Narrow"/>
                <w:sz w:val="18"/>
                <w:szCs w:val="18"/>
              </w:rPr>
            </w:pPr>
            <w:r w:rsidRPr="00092266">
              <w:rPr>
                <w:rFonts w:ascii="Arial Narrow" w:hAnsi="Arial Narrow"/>
                <w:sz w:val="18"/>
                <w:szCs w:val="18"/>
              </w:rPr>
              <w:t>1.37 (0.39,</w:t>
            </w:r>
            <w:r w:rsidR="00E70CE4" w:rsidRPr="00092266">
              <w:rPr>
                <w:rFonts w:ascii="Arial Narrow" w:hAnsi="Arial Narrow"/>
                <w:sz w:val="18"/>
                <w:szCs w:val="18"/>
              </w:rPr>
              <w:t xml:space="preserve"> </w:t>
            </w:r>
            <w:r w:rsidRPr="00092266">
              <w:rPr>
                <w:rFonts w:ascii="Arial Narrow" w:hAnsi="Arial Narrow"/>
                <w:sz w:val="18"/>
                <w:szCs w:val="18"/>
              </w:rPr>
              <w:t>3.00)</w:t>
            </w:r>
          </w:p>
        </w:tc>
      </w:tr>
      <w:tr w:rsidR="00A63A2A" w:rsidRPr="00092266" w14:paraId="3D070BE3" w14:textId="77777777" w:rsidTr="00744475">
        <w:tc>
          <w:tcPr>
            <w:tcW w:w="1838" w:type="dxa"/>
            <w:vAlign w:val="center"/>
          </w:tcPr>
          <w:p w14:paraId="707011F0" w14:textId="77777777" w:rsidR="004D1EA7" w:rsidRPr="00092266" w:rsidRDefault="004D1EA7" w:rsidP="004D1EA7">
            <w:pPr>
              <w:jc w:val="right"/>
              <w:rPr>
                <w:rFonts w:ascii="Arial Narrow" w:hAnsi="Arial Narrow"/>
                <w:sz w:val="20"/>
                <w:szCs w:val="20"/>
              </w:rPr>
            </w:pPr>
            <w:r w:rsidRPr="00092266">
              <w:rPr>
                <w:rFonts w:ascii="Arial Narrow" w:hAnsi="Arial Narrow"/>
                <w:sz w:val="20"/>
                <w:szCs w:val="20"/>
                <w:lang w:val="it-IT"/>
              </w:rPr>
              <w:t>MIRI v ADA</w:t>
            </w:r>
          </w:p>
        </w:tc>
        <w:tc>
          <w:tcPr>
            <w:tcW w:w="1196" w:type="dxa"/>
            <w:vAlign w:val="center"/>
          </w:tcPr>
          <w:p w14:paraId="166D0CF1" w14:textId="101FDE5D" w:rsidR="004D1EA7" w:rsidRPr="00092266" w:rsidRDefault="004D1EA7" w:rsidP="004D1EA7">
            <w:pPr>
              <w:jc w:val="center"/>
              <w:rPr>
                <w:rFonts w:ascii="Arial Narrow" w:hAnsi="Arial Narrow"/>
                <w:sz w:val="18"/>
                <w:szCs w:val="18"/>
              </w:rPr>
            </w:pPr>
            <w:r w:rsidRPr="00092266">
              <w:rPr>
                <w:rFonts w:ascii="Arial Narrow" w:hAnsi="Arial Narrow"/>
                <w:sz w:val="18"/>
                <w:szCs w:val="18"/>
              </w:rPr>
              <w:t>1.43 (0.41,</w:t>
            </w:r>
            <w:r w:rsidR="00E70CE4" w:rsidRPr="00092266">
              <w:rPr>
                <w:rFonts w:ascii="Arial Narrow" w:hAnsi="Arial Narrow"/>
                <w:sz w:val="18"/>
                <w:szCs w:val="18"/>
              </w:rPr>
              <w:t xml:space="preserve"> </w:t>
            </w:r>
            <w:r w:rsidRPr="00092266">
              <w:rPr>
                <w:rFonts w:ascii="Arial Narrow" w:hAnsi="Arial Narrow"/>
                <w:sz w:val="18"/>
                <w:szCs w:val="18"/>
              </w:rPr>
              <w:t>4.99)</w:t>
            </w:r>
          </w:p>
        </w:tc>
        <w:tc>
          <w:tcPr>
            <w:tcW w:w="1197" w:type="dxa"/>
            <w:vAlign w:val="center"/>
          </w:tcPr>
          <w:p w14:paraId="70962AA0" w14:textId="31A245AA" w:rsidR="004D1EA7" w:rsidRPr="00092266" w:rsidRDefault="004D1EA7" w:rsidP="004D1EA7">
            <w:pPr>
              <w:jc w:val="center"/>
              <w:rPr>
                <w:rFonts w:ascii="Arial Narrow" w:hAnsi="Arial Narrow"/>
                <w:sz w:val="18"/>
                <w:szCs w:val="18"/>
              </w:rPr>
            </w:pPr>
            <w:r w:rsidRPr="00092266">
              <w:rPr>
                <w:rFonts w:ascii="Arial Narrow" w:hAnsi="Arial Narrow"/>
                <w:sz w:val="18"/>
                <w:szCs w:val="18"/>
              </w:rPr>
              <w:t>1.24 (0.37,</w:t>
            </w:r>
            <w:r w:rsidR="00E70CE4" w:rsidRPr="00092266">
              <w:rPr>
                <w:rFonts w:ascii="Arial Narrow" w:hAnsi="Arial Narrow"/>
                <w:sz w:val="18"/>
                <w:szCs w:val="18"/>
              </w:rPr>
              <w:t xml:space="preserve"> </w:t>
            </w:r>
            <w:r w:rsidRPr="00092266">
              <w:rPr>
                <w:rFonts w:ascii="Arial Narrow" w:hAnsi="Arial Narrow"/>
                <w:sz w:val="18"/>
                <w:szCs w:val="18"/>
              </w:rPr>
              <w:t>4.20)</w:t>
            </w:r>
            <w:r w:rsidRPr="00092266">
              <w:rPr>
                <w:rFonts w:ascii="Arial Narrow" w:hAnsi="Arial Narrow"/>
                <w:sz w:val="18"/>
                <w:szCs w:val="18"/>
                <w:vertAlign w:val="superscript"/>
              </w:rPr>
              <w:t>b</w:t>
            </w:r>
          </w:p>
        </w:tc>
        <w:tc>
          <w:tcPr>
            <w:tcW w:w="1196" w:type="dxa"/>
            <w:vAlign w:val="center"/>
          </w:tcPr>
          <w:p w14:paraId="4BEE3B5A" w14:textId="39576738"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3.16 (1.41,</w:t>
            </w:r>
            <w:r w:rsidR="00E70CE4" w:rsidRPr="00092266">
              <w:rPr>
                <w:rFonts w:ascii="Arial Narrow" w:hAnsi="Arial Narrow"/>
                <w:b/>
                <w:sz w:val="18"/>
                <w:szCs w:val="18"/>
              </w:rPr>
              <w:t xml:space="preserve"> </w:t>
            </w:r>
            <w:r w:rsidRPr="00092266">
              <w:rPr>
                <w:rFonts w:ascii="Arial Narrow" w:hAnsi="Arial Narrow"/>
                <w:b/>
                <w:sz w:val="18"/>
                <w:szCs w:val="18"/>
              </w:rPr>
              <w:t>7.42)</w:t>
            </w:r>
          </w:p>
        </w:tc>
        <w:tc>
          <w:tcPr>
            <w:tcW w:w="1197" w:type="dxa"/>
            <w:vAlign w:val="center"/>
          </w:tcPr>
          <w:p w14:paraId="0D67D606" w14:textId="691FAEBA" w:rsidR="004D1EA7" w:rsidRPr="00092266" w:rsidRDefault="004D1EA7" w:rsidP="004D1EA7">
            <w:pPr>
              <w:jc w:val="center"/>
              <w:rPr>
                <w:rFonts w:ascii="Arial Narrow" w:hAnsi="Arial Narrow"/>
                <w:sz w:val="18"/>
                <w:szCs w:val="18"/>
              </w:rPr>
            </w:pPr>
            <w:r w:rsidRPr="00092266">
              <w:rPr>
                <w:rFonts w:ascii="Arial Narrow" w:hAnsi="Arial Narrow"/>
                <w:sz w:val="18"/>
                <w:szCs w:val="18"/>
              </w:rPr>
              <w:t>3.13 (0.91,</w:t>
            </w:r>
            <w:r w:rsidR="00E70CE4" w:rsidRPr="00092266">
              <w:rPr>
                <w:rFonts w:ascii="Arial Narrow" w:hAnsi="Arial Narrow"/>
                <w:sz w:val="18"/>
                <w:szCs w:val="18"/>
              </w:rPr>
              <w:t xml:space="preserve"> </w:t>
            </w:r>
            <w:r w:rsidRPr="00092266">
              <w:rPr>
                <w:rFonts w:ascii="Arial Narrow" w:hAnsi="Arial Narrow"/>
                <w:sz w:val="18"/>
                <w:szCs w:val="18"/>
              </w:rPr>
              <w:t>9.99)</w:t>
            </w:r>
          </w:p>
        </w:tc>
        <w:tc>
          <w:tcPr>
            <w:tcW w:w="1196" w:type="dxa"/>
            <w:vAlign w:val="center"/>
          </w:tcPr>
          <w:p w14:paraId="638A4DFD" w14:textId="7F7EF82C"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3.19 (1.41,</w:t>
            </w:r>
            <w:r w:rsidR="00E70CE4" w:rsidRPr="00092266">
              <w:rPr>
                <w:rFonts w:ascii="Arial Narrow" w:hAnsi="Arial Narrow"/>
                <w:b/>
                <w:sz w:val="18"/>
                <w:szCs w:val="18"/>
              </w:rPr>
              <w:t xml:space="preserve"> </w:t>
            </w:r>
            <w:r w:rsidRPr="00092266">
              <w:rPr>
                <w:rFonts w:ascii="Arial Narrow" w:hAnsi="Arial Narrow"/>
                <w:b/>
                <w:sz w:val="18"/>
                <w:szCs w:val="18"/>
              </w:rPr>
              <w:t>7.74)</w:t>
            </w:r>
          </w:p>
        </w:tc>
        <w:tc>
          <w:tcPr>
            <w:tcW w:w="1197" w:type="dxa"/>
            <w:vAlign w:val="center"/>
          </w:tcPr>
          <w:p w14:paraId="4BDECA63" w14:textId="4503B1AF"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3.15 (1.13,</w:t>
            </w:r>
            <w:r w:rsidR="00E70CE4" w:rsidRPr="00092266">
              <w:rPr>
                <w:rFonts w:ascii="Arial Narrow" w:hAnsi="Arial Narrow"/>
                <w:b/>
                <w:sz w:val="18"/>
                <w:szCs w:val="18"/>
              </w:rPr>
              <w:t xml:space="preserve"> </w:t>
            </w:r>
            <w:r w:rsidRPr="00092266">
              <w:rPr>
                <w:rFonts w:ascii="Arial Narrow" w:hAnsi="Arial Narrow"/>
                <w:b/>
                <w:sz w:val="18"/>
                <w:szCs w:val="18"/>
              </w:rPr>
              <w:t>8.90)</w:t>
            </w:r>
          </w:p>
        </w:tc>
      </w:tr>
      <w:tr w:rsidR="00A63A2A" w:rsidRPr="00092266" w14:paraId="6475DCF3" w14:textId="77777777" w:rsidTr="00744475">
        <w:tc>
          <w:tcPr>
            <w:tcW w:w="1838" w:type="dxa"/>
            <w:vAlign w:val="center"/>
          </w:tcPr>
          <w:p w14:paraId="525FC7B9" w14:textId="77777777" w:rsidR="004D1EA7" w:rsidRPr="00092266" w:rsidRDefault="004D1EA7" w:rsidP="004D1EA7">
            <w:pPr>
              <w:jc w:val="right"/>
              <w:rPr>
                <w:rFonts w:ascii="Arial Narrow" w:hAnsi="Arial Narrow"/>
                <w:sz w:val="20"/>
                <w:szCs w:val="20"/>
              </w:rPr>
            </w:pPr>
            <w:r w:rsidRPr="00092266">
              <w:rPr>
                <w:rFonts w:ascii="Arial Narrow" w:hAnsi="Arial Narrow"/>
                <w:sz w:val="20"/>
                <w:szCs w:val="20"/>
                <w:lang w:val="it-IT"/>
              </w:rPr>
              <w:t>MIRI v UST</w:t>
            </w:r>
          </w:p>
        </w:tc>
        <w:tc>
          <w:tcPr>
            <w:tcW w:w="1196" w:type="dxa"/>
            <w:vAlign w:val="center"/>
          </w:tcPr>
          <w:p w14:paraId="3F7DF041" w14:textId="39C47099"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0.17 (0.03,</w:t>
            </w:r>
            <w:r w:rsidR="00E70CE4" w:rsidRPr="00092266">
              <w:rPr>
                <w:rFonts w:ascii="Arial Narrow" w:hAnsi="Arial Narrow"/>
                <w:b/>
                <w:sz w:val="18"/>
                <w:szCs w:val="18"/>
              </w:rPr>
              <w:t xml:space="preserve"> </w:t>
            </w:r>
            <w:r w:rsidRPr="00092266">
              <w:rPr>
                <w:rFonts w:ascii="Arial Narrow" w:hAnsi="Arial Narrow"/>
                <w:b/>
                <w:sz w:val="18"/>
                <w:szCs w:val="18"/>
              </w:rPr>
              <w:t>0.86)</w:t>
            </w:r>
          </w:p>
        </w:tc>
        <w:tc>
          <w:tcPr>
            <w:tcW w:w="1197" w:type="dxa"/>
            <w:vAlign w:val="center"/>
          </w:tcPr>
          <w:p w14:paraId="5D76C49B" w14:textId="4020783F" w:rsidR="004D1EA7" w:rsidRPr="00092266" w:rsidRDefault="004D1EA7" w:rsidP="004D1EA7">
            <w:pPr>
              <w:jc w:val="center"/>
              <w:rPr>
                <w:rFonts w:ascii="Arial Narrow" w:hAnsi="Arial Narrow"/>
                <w:sz w:val="18"/>
                <w:szCs w:val="18"/>
              </w:rPr>
            </w:pPr>
            <w:r w:rsidRPr="00092266">
              <w:rPr>
                <w:rFonts w:ascii="Arial Narrow" w:hAnsi="Arial Narrow"/>
                <w:sz w:val="18"/>
                <w:szCs w:val="18"/>
              </w:rPr>
              <w:t>0.15 (0.03,</w:t>
            </w:r>
            <w:r w:rsidR="00E70CE4" w:rsidRPr="00092266">
              <w:rPr>
                <w:rFonts w:ascii="Arial Narrow" w:hAnsi="Arial Narrow"/>
                <w:sz w:val="18"/>
                <w:szCs w:val="18"/>
              </w:rPr>
              <w:t xml:space="preserve"> </w:t>
            </w:r>
            <w:r w:rsidRPr="00092266">
              <w:rPr>
                <w:rFonts w:ascii="Arial Narrow" w:hAnsi="Arial Narrow"/>
                <w:sz w:val="18"/>
                <w:szCs w:val="18"/>
              </w:rPr>
              <w:t>0.73)</w:t>
            </w:r>
            <w:r w:rsidRPr="00092266">
              <w:rPr>
                <w:rFonts w:ascii="Arial Narrow" w:hAnsi="Arial Narrow"/>
                <w:sz w:val="18"/>
                <w:szCs w:val="18"/>
                <w:vertAlign w:val="superscript"/>
              </w:rPr>
              <w:t>b</w:t>
            </w:r>
          </w:p>
        </w:tc>
        <w:tc>
          <w:tcPr>
            <w:tcW w:w="1196" w:type="dxa"/>
            <w:vAlign w:val="center"/>
          </w:tcPr>
          <w:p w14:paraId="306143BA" w14:textId="38B1DA7C" w:rsidR="004D1EA7" w:rsidRPr="00092266" w:rsidRDefault="004D1EA7" w:rsidP="004D1EA7">
            <w:pPr>
              <w:jc w:val="center"/>
              <w:rPr>
                <w:rFonts w:ascii="Arial Narrow" w:hAnsi="Arial Narrow"/>
                <w:sz w:val="18"/>
                <w:szCs w:val="18"/>
              </w:rPr>
            </w:pPr>
            <w:r w:rsidRPr="00092266">
              <w:rPr>
                <w:rFonts w:ascii="Arial Narrow" w:hAnsi="Arial Narrow"/>
                <w:sz w:val="18"/>
                <w:szCs w:val="18"/>
              </w:rPr>
              <w:t>0.69 (0.34,</w:t>
            </w:r>
            <w:r w:rsidR="00E70CE4" w:rsidRPr="00092266">
              <w:rPr>
                <w:rFonts w:ascii="Arial Narrow" w:hAnsi="Arial Narrow"/>
                <w:sz w:val="18"/>
                <w:szCs w:val="18"/>
              </w:rPr>
              <w:t xml:space="preserve"> </w:t>
            </w:r>
            <w:r w:rsidRPr="00092266">
              <w:rPr>
                <w:rFonts w:ascii="Arial Narrow" w:hAnsi="Arial Narrow"/>
                <w:sz w:val="18"/>
                <w:szCs w:val="18"/>
              </w:rPr>
              <w:t>1.41)</w:t>
            </w:r>
          </w:p>
        </w:tc>
        <w:tc>
          <w:tcPr>
            <w:tcW w:w="1197" w:type="dxa"/>
            <w:vAlign w:val="center"/>
          </w:tcPr>
          <w:p w14:paraId="1E70131C" w14:textId="1A179978" w:rsidR="004D1EA7" w:rsidRPr="00092266" w:rsidRDefault="004D1EA7" w:rsidP="004D1EA7">
            <w:pPr>
              <w:jc w:val="center"/>
              <w:rPr>
                <w:rFonts w:ascii="Arial Narrow" w:hAnsi="Arial Narrow"/>
                <w:sz w:val="18"/>
                <w:szCs w:val="18"/>
              </w:rPr>
            </w:pPr>
            <w:r w:rsidRPr="00092266">
              <w:rPr>
                <w:rFonts w:ascii="Arial Narrow" w:hAnsi="Arial Narrow"/>
                <w:sz w:val="18"/>
                <w:szCs w:val="18"/>
              </w:rPr>
              <w:t>0.70 (0.14,</w:t>
            </w:r>
            <w:r w:rsidR="00E70CE4" w:rsidRPr="00092266">
              <w:rPr>
                <w:rFonts w:ascii="Arial Narrow" w:hAnsi="Arial Narrow"/>
                <w:sz w:val="18"/>
                <w:szCs w:val="18"/>
              </w:rPr>
              <w:t xml:space="preserve"> </w:t>
            </w:r>
            <w:r w:rsidRPr="00092266">
              <w:rPr>
                <w:rFonts w:ascii="Arial Narrow" w:hAnsi="Arial Narrow"/>
                <w:sz w:val="18"/>
                <w:szCs w:val="18"/>
              </w:rPr>
              <w:t>1.73)</w:t>
            </w:r>
          </w:p>
        </w:tc>
        <w:tc>
          <w:tcPr>
            <w:tcW w:w="1196" w:type="dxa"/>
            <w:vAlign w:val="center"/>
          </w:tcPr>
          <w:p w14:paraId="4C99D929" w14:textId="166762F1" w:rsidR="004D1EA7" w:rsidRPr="00092266" w:rsidRDefault="004D1EA7" w:rsidP="004D1EA7">
            <w:pPr>
              <w:jc w:val="center"/>
              <w:rPr>
                <w:rFonts w:ascii="Arial Narrow" w:hAnsi="Arial Narrow"/>
                <w:sz w:val="18"/>
                <w:szCs w:val="18"/>
              </w:rPr>
            </w:pPr>
            <w:r w:rsidRPr="00092266">
              <w:rPr>
                <w:rFonts w:ascii="Arial Narrow" w:hAnsi="Arial Narrow"/>
                <w:sz w:val="18"/>
                <w:szCs w:val="18"/>
              </w:rPr>
              <w:t>0.69 (0.34,</w:t>
            </w:r>
            <w:r w:rsidR="00E70CE4" w:rsidRPr="00092266">
              <w:rPr>
                <w:rFonts w:ascii="Arial Narrow" w:hAnsi="Arial Narrow"/>
                <w:sz w:val="18"/>
                <w:szCs w:val="18"/>
              </w:rPr>
              <w:t xml:space="preserve"> </w:t>
            </w:r>
            <w:r w:rsidRPr="00092266">
              <w:rPr>
                <w:rFonts w:ascii="Arial Narrow" w:hAnsi="Arial Narrow"/>
                <w:sz w:val="18"/>
                <w:szCs w:val="18"/>
              </w:rPr>
              <w:t>1.41)</w:t>
            </w:r>
          </w:p>
        </w:tc>
        <w:tc>
          <w:tcPr>
            <w:tcW w:w="1197" w:type="dxa"/>
            <w:vAlign w:val="center"/>
          </w:tcPr>
          <w:p w14:paraId="452CD861" w14:textId="174B82EE" w:rsidR="004D1EA7" w:rsidRPr="00092266" w:rsidRDefault="004D1EA7" w:rsidP="004D1EA7">
            <w:pPr>
              <w:jc w:val="center"/>
              <w:rPr>
                <w:rFonts w:ascii="Arial Narrow" w:hAnsi="Arial Narrow"/>
                <w:sz w:val="18"/>
                <w:szCs w:val="18"/>
              </w:rPr>
            </w:pPr>
            <w:r w:rsidRPr="00092266">
              <w:rPr>
                <w:rFonts w:ascii="Arial Narrow" w:hAnsi="Arial Narrow"/>
                <w:sz w:val="18"/>
                <w:szCs w:val="18"/>
              </w:rPr>
              <w:t>0.70 (0.21,</w:t>
            </w:r>
            <w:r w:rsidR="00E70CE4" w:rsidRPr="00092266">
              <w:rPr>
                <w:rFonts w:ascii="Arial Narrow" w:hAnsi="Arial Narrow"/>
                <w:sz w:val="18"/>
                <w:szCs w:val="18"/>
              </w:rPr>
              <w:t xml:space="preserve"> </w:t>
            </w:r>
            <w:r w:rsidRPr="00092266">
              <w:rPr>
                <w:rFonts w:ascii="Arial Narrow" w:hAnsi="Arial Narrow"/>
                <w:sz w:val="18"/>
                <w:szCs w:val="18"/>
              </w:rPr>
              <w:t>1.43)</w:t>
            </w:r>
          </w:p>
        </w:tc>
      </w:tr>
      <w:tr w:rsidR="0030303D" w:rsidRPr="00092266" w14:paraId="077E351F" w14:textId="77777777" w:rsidTr="00A63A2A">
        <w:tc>
          <w:tcPr>
            <w:tcW w:w="9017" w:type="dxa"/>
            <w:gridSpan w:val="7"/>
            <w:vAlign w:val="center"/>
          </w:tcPr>
          <w:p w14:paraId="08BE4C35" w14:textId="3395A7BF" w:rsidR="0030303D" w:rsidRPr="00092266" w:rsidRDefault="0030303D" w:rsidP="0030303D">
            <w:pPr>
              <w:jc w:val="left"/>
              <w:rPr>
                <w:rFonts w:ascii="Arial Narrow" w:hAnsi="Arial Narrow"/>
                <w:sz w:val="18"/>
                <w:szCs w:val="18"/>
              </w:rPr>
            </w:pPr>
            <w:r w:rsidRPr="00092266">
              <w:rPr>
                <w:rFonts w:ascii="Arial Narrow" w:hAnsi="Arial Narrow"/>
                <w:b/>
                <w:bCs/>
                <w:sz w:val="18"/>
                <w:szCs w:val="18"/>
              </w:rPr>
              <w:t>INDUCTION: Response</w:t>
            </w:r>
            <w:r w:rsidR="00744475" w:rsidRPr="00092266">
              <w:rPr>
                <w:rFonts w:ascii="Arial Narrow" w:hAnsi="Arial Narrow"/>
                <w:b/>
                <w:bCs/>
                <w:sz w:val="18"/>
                <w:szCs w:val="18"/>
              </w:rPr>
              <w:t xml:space="preserve">, </w:t>
            </w:r>
            <w:r w:rsidR="00744475" w:rsidRPr="00092266">
              <w:rPr>
                <w:rFonts w:ascii="Arial Narrow" w:hAnsi="Arial Narrow"/>
                <w:b/>
                <w:bCs/>
                <w:sz w:val="20"/>
                <w:szCs w:val="20"/>
                <w:lang w:val="it-IT"/>
              </w:rPr>
              <w:t>bDMARDs/tsDMARDs-</w:t>
            </w:r>
            <w:r w:rsidR="00E630DA" w:rsidRPr="00092266">
              <w:t xml:space="preserve"> </w:t>
            </w:r>
            <w:r w:rsidR="00E630DA" w:rsidRPr="00092266">
              <w:rPr>
                <w:rFonts w:ascii="Arial Narrow" w:hAnsi="Arial Narrow"/>
                <w:b/>
                <w:bCs/>
                <w:sz w:val="20"/>
                <w:szCs w:val="20"/>
                <w:lang w:val="it-IT"/>
              </w:rPr>
              <w:t>naïve</w:t>
            </w:r>
          </w:p>
        </w:tc>
      </w:tr>
      <w:tr w:rsidR="00A63A2A" w:rsidRPr="00092266" w14:paraId="10D31F5F" w14:textId="77777777" w:rsidTr="00744475">
        <w:tc>
          <w:tcPr>
            <w:tcW w:w="1838" w:type="dxa"/>
            <w:vAlign w:val="center"/>
          </w:tcPr>
          <w:p w14:paraId="0FC88BA7" w14:textId="19398B04" w:rsidR="004D1EA7" w:rsidRPr="00092266" w:rsidRDefault="004D1EA7" w:rsidP="00744475">
            <w:pPr>
              <w:jc w:val="right"/>
              <w:rPr>
                <w:rFonts w:ascii="Arial Narrow" w:hAnsi="Arial Narrow"/>
                <w:sz w:val="20"/>
                <w:szCs w:val="20"/>
                <w:lang w:val="it-IT"/>
              </w:rPr>
            </w:pPr>
          </w:p>
        </w:tc>
        <w:tc>
          <w:tcPr>
            <w:tcW w:w="1196" w:type="dxa"/>
            <w:vAlign w:val="center"/>
          </w:tcPr>
          <w:p w14:paraId="1BA251A6" w14:textId="77777777" w:rsidR="004D1EA7" w:rsidRPr="00092266" w:rsidRDefault="004D1EA7" w:rsidP="004D1EA7">
            <w:pPr>
              <w:jc w:val="center"/>
              <w:rPr>
                <w:rFonts w:ascii="Arial Narrow" w:hAnsi="Arial Narrow"/>
                <w:sz w:val="18"/>
                <w:szCs w:val="18"/>
              </w:rPr>
            </w:pPr>
          </w:p>
        </w:tc>
        <w:tc>
          <w:tcPr>
            <w:tcW w:w="1197" w:type="dxa"/>
            <w:vAlign w:val="center"/>
          </w:tcPr>
          <w:p w14:paraId="3D2307D3" w14:textId="77777777" w:rsidR="004D1EA7" w:rsidRPr="00092266" w:rsidRDefault="004D1EA7" w:rsidP="004D1EA7">
            <w:pPr>
              <w:jc w:val="center"/>
              <w:rPr>
                <w:rFonts w:ascii="Arial Narrow" w:hAnsi="Arial Narrow"/>
                <w:sz w:val="18"/>
                <w:szCs w:val="18"/>
              </w:rPr>
            </w:pPr>
          </w:p>
        </w:tc>
        <w:tc>
          <w:tcPr>
            <w:tcW w:w="1196" w:type="dxa"/>
            <w:vAlign w:val="center"/>
          </w:tcPr>
          <w:p w14:paraId="03EFFE2D"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r w:rsidRPr="00092266">
              <w:rPr>
                <w:rFonts w:ascii="Arial Narrow" w:hAnsi="Arial Narrow"/>
                <w:sz w:val="18"/>
                <w:szCs w:val="18"/>
                <w:vertAlign w:val="superscript"/>
              </w:rPr>
              <w:t>#</w:t>
            </w:r>
          </w:p>
        </w:tc>
        <w:tc>
          <w:tcPr>
            <w:tcW w:w="1197" w:type="dxa"/>
            <w:vAlign w:val="center"/>
          </w:tcPr>
          <w:p w14:paraId="28F6B3A1"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r w:rsidRPr="00092266">
              <w:rPr>
                <w:rFonts w:ascii="Arial Narrow" w:hAnsi="Arial Narrow"/>
                <w:sz w:val="18"/>
                <w:szCs w:val="18"/>
                <w:vertAlign w:val="superscript"/>
              </w:rPr>
              <w:t>^</w:t>
            </w:r>
          </w:p>
        </w:tc>
        <w:tc>
          <w:tcPr>
            <w:tcW w:w="1196" w:type="dxa"/>
            <w:vAlign w:val="center"/>
          </w:tcPr>
          <w:p w14:paraId="1B55F292"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p>
        </w:tc>
        <w:tc>
          <w:tcPr>
            <w:tcW w:w="1197" w:type="dxa"/>
            <w:vAlign w:val="center"/>
          </w:tcPr>
          <w:p w14:paraId="4B477EAA"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p>
        </w:tc>
      </w:tr>
      <w:tr w:rsidR="00A63A2A" w:rsidRPr="00092266" w14:paraId="618ED3D2" w14:textId="77777777" w:rsidTr="00744475">
        <w:tc>
          <w:tcPr>
            <w:tcW w:w="1838" w:type="dxa"/>
            <w:vAlign w:val="center"/>
          </w:tcPr>
          <w:p w14:paraId="0E672A4D"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VDZ IV</w:t>
            </w:r>
          </w:p>
        </w:tc>
        <w:tc>
          <w:tcPr>
            <w:tcW w:w="1196" w:type="dxa"/>
            <w:vAlign w:val="center"/>
          </w:tcPr>
          <w:p w14:paraId="26CE7496" w14:textId="1C8BC13F" w:rsidR="004D1EA7" w:rsidRPr="00092266" w:rsidRDefault="004D1EA7" w:rsidP="004D1EA7">
            <w:pPr>
              <w:jc w:val="center"/>
              <w:rPr>
                <w:rFonts w:ascii="Arial Narrow" w:hAnsi="Arial Narrow"/>
                <w:sz w:val="18"/>
                <w:szCs w:val="18"/>
              </w:rPr>
            </w:pPr>
            <w:r w:rsidRPr="00092266">
              <w:rPr>
                <w:rFonts w:ascii="Arial Narrow" w:hAnsi="Arial Narrow"/>
                <w:sz w:val="18"/>
                <w:szCs w:val="18"/>
              </w:rPr>
              <w:t>0.86 (0.47,</w:t>
            </w:r>
            <w:r w:rsidR="00E70CE4" w:rsidRPr="00092266">
              <w:rPr>
                <w:rFonts w:ascii="Arial Narrow" w:hAnsi="Arial Narrow"/>
                <w:sz w:val="18"/>
                <w:szCs w:val="18"/>
              </w:rPr>
              <w:t xml:space="preserve"> </w:t>
            </w:r>
            <w:r w:rsidRPr="00092266">
              <w:rPr>
                <w:rFonts w:ascii="Arial Narrow" w:hAnsi="Arial Narrow"/>
                <w:sz w:val="18"/>
                <w:szCs w:val="18"/>
              </w:rPr>
              <w:t>1.56)</w:t>
            </w:r>
          </w:p>
        </w:tc>
        <w:tc>
          <w:tcPr>
            <w:tcW w:w="1197" w:type="dxa"/>
            <w:vAlign w:val="center"/>
          </w:tcPr>
          <w:p w14:paraId="595B6333" w14:textId="3881415D" w:rsidR="004D1EA7" w:rsidRPr="00092266" w:rsidRDefault="004D1EA7" w:rsidP="004D1EA7">
            <w:pPr>
              <w:jc w:val="center"/>
              <w:rPr>
                <w:rFonts w:ascii="Arial Narrow" w:hAnsi="Arial Narrow"/>
                <w:sz w:val="18"/>
                <w:szCs w:val="18"/>
              </w:rPr>
            </w:pPr>
            <w:r w:rsidRPr="00092266">
              <w:rPr>
                <w:rFonts w:ascii="Arial Narrow" w:hAnsi="Arial Narrow"/>
                <w:sz w:val="18"/>
                <w:szCs w:val="18"/>
              </w:rPr>
              <w:t>0.88 (0.48,</w:t>
            </w:r>
            <w:r w:rsidR="00E70CE4" w:rsidRPr="00092266">
              <w:rPr>
                <w:rFonts w:ascii="Arial Narrow" w:hAnsi="Arial Narrow"/>
                <w:sz w:val="18"/>
                <w:szCs w:val="18"/>
              </w:rPr>
              <w:t xml:space="preserve"> </w:t>
            </w:r>
            <w:r w:rsidRPr="00092266">
              <w:rPr>
                <w:rFonts w:ascii="Arial Narrow" w:hAnsi="Arial Narrow"/>
                <w:sz w:val="18"/>
                <w:szCs w:val="18"/>
              </w:rPr>
              <w:t>1.61)</w:t>
            </w:r>
            <w:r w:rsidRPr="00092266">
              <w:rPr>
                <w:rFonts w:ascii="Arial Narrow" w:hAnsi="Arial Narrow"/>
                <w:sz w:val="18"/>
                <w:szCs w:val="18"/>
                <w:vertAlign w:val="superscript"/>
              </w:rPr>
              <w:t>a</w:t>
            </w:r>
          </w:p>
        </w:tc>
        <w:tc>
          <w:tcPr>
            <w:tcW w:w="1196" w:type="dxa"/>
            <w:vAlign w:val="center"/>
          </w:tcPr>
          <w:p w14:paraId="21F98B06" w14:textId="51B55E75" w:rsidR="004D1EA7" w:rsidRPr="00092266" w:rsidRDefault="004D1EA7" w:rsidP="004D1EA7">
            <w:pPr>
              <w:jc w:val="center"/>
              <w:rPr>
                <w:rFonts w:ascii="Arial Narrow" w:hAnsi="Arial Narrow"/>
                <w:sz w:val="18"/>
                <w:szCs w:val="18"/>
              </w:rPr>
            </w:pPr>
            <w:r w:rsidRPr="00092266">
              <w:rPr>
                <w:rFonts w:ascii="Arial Narrow" w:hAnsi="Arial Narrow"/>
                <w:sz w:val="18"/>
                <w:szCs w:val="18"/>
              </w:rPr>
              <w:t>0.73 (0.38,</w:t>
            </w:r>
            <w:r w:rsidR="00E70CE4" w:rsidRPr="00092266">
              <w:rPr>
                <w:rFonts w:ascii="Arial Narrow" w:hAnsi="Arial Narrow"/>
                <w:sz w:val="18"/>
                <w:szCs w:val="18"/>
              </w:rPr>
              <w:t xml:space="preserve"> </w:t>
            </w:r>
            <w:r w:rsidRPr="00092266">
              <w:rPr>
                <w:rFonts w:ascii="Arial Narrow" w:hAnsi="Arial Narrow"/>
                <w:sz w:val="18"/>
                <w:szCs w:val="18"/>
              </w:rPr>
              <w:t>1.44)</w:t>
            </w:r>
          </w:p>
        </w:tc>
        <w:tc>
          <w:tcPr>
            <w:tcW w:w="1197" w:type="dxa"/>
            <w:vAlign w:val="center"/>
          </w:tcPr>
          <w:p w14:paraId="7D572371" w14:textId="35F587E5" w:rsidR="004D1EA7" w:rsidRPr="00092266" w:rsidRDefault="004D1EA7" w:rsidP="004D1EA7">
            <w:pPr>
              <w:jc w:val="center"/>
              <w:rPr>
                <w:rFonts w:ascii="Arial Narrow" w:hAnsi="Arial Narrow"/>
                <w:sz w:val="18"/>
                <w:szCs w:val="18"/>
              </w:rPr>
            </w:pPr>
            <w:r w:rsidRPr="00092266">
              <w:rPr>
                <w:rFonts w:ascii="Arial Narrow" w:hAnsi="Arial Narrow"/>
                <w:sz w:val="18"/>
                <w:szCs w:val="18"/>
              </w:rPr>
              <w:t>0.95 (0.40,</w:t>
            </w:r>
            <w:r w:rsidR="00E70CE4" w:rsidRPr="00092266">
              <w:rPr>
                <w:rFonts w:ascii="Arial Narrow" w:hAnsi="Arial Narrow"/>
                <w:sz w:val="18"/>
                <w:szCs w:val="18"/>
              </w:rPr>
              <w:t xml:space="preserve"> </w:t>
            </w:r>
            <w:r w:rsidRPr="00092266">
              <w:rPr>
                <w:rFonts w:ascii="Arial Narrow" w:hAnsi="Arial Narrow"/>
                <w:sz w:val="18"/>
                <w:szCs w:val="18"/>
              </w:rPr>
              <w:t>2.33)</w:t>
            </w:r>
          </w:p>
        </w:tc>
        <w:tc>
          <w:tcPr>
            <w:tcW w:w="1196" w:type="dxa"/>
            <w:vAlign w:val="center"/>
          </w:tcPr>
          <w:p w14:paraId="12F7A415" w14:textId="276B2A6B" w:rsidR="004D1EA7" w:rsidRPr="00092266" w:rsidRDefault="004D1EA7" w:rsidP="004D1EA7">
            <w:pPr>
              <w:jc w:val="center"/>
              <w:rPr>
                <w:rFonts w:ascii="Arial Narrow" w:hAnsi="Arial Narrow"/>
                <w:sz w:val="18"/>
                <w:szCs w:val="18"/>
              </w:rPr>
            </w:pPr>
            <w:r w:rsidRPr="00092266">
              <w:rPr>
                <w:rFonts w:ascii="Arial Narrow" w:hAnsi="Arial Narrow"/>
                <w:sz w:val="18"/>
                <w:szCs w:val="18"/>
              </w:rPr>
              <w:t>0.68 (0.36,</w:t>
            </w:r>
            <w:r w:rsidR="00E70CE4" w:rsidRPr="00092266">
              <w:rPr>
                <w:rFonts w:ascii="Arial Narrow" w:hAnsi="Arial Narrow"/>
                <w:sz w:val="18"/>
                <w:szCs w:val="18"/>
              </w:rPr>
              <w:t xml:space="preserve"> </w:t>
            </w:r>
            <w:r w:rsidRPr="00092266">
              <w:rPr>
                <w:rFonts w:ascii="Arial Narrow" w:hAnsi="Arial Narrow"/>
                <w:sz w:val="18"/>
                <w:szCs w:val="18"/>
              </w:rPr>
              <w:t>1.32)</w:t>
            </w:r>
          </w:p>
        </w:tc>
        <w:tc>
          <w:tcPr>
            <w:tcW w:w="1197" w:type="dxa"/>
            <w:vAlign w:val="center"/>
          </w:tcPr>
          <w:p w14:paraId="415E8130" w14:textId="5547169F" w:rsidR="004D1EA7" w:rsidRPr="00092266" w:rsidRDefault="004D1EA7" w:rsidP="004D1EA7">
            <w:pPr>
              <w:jc w:val="center"/>
              <w:rPr>
                <w:rFonts w:ascii="Arial Narrow" w:hAnsi="Arial Narrow"/>
                <w:sz w:val="18"/>
                <w:szCs w:val="18"/>
              </w:rPr>
            </w:pPr>
            <w:r w:rsidRPr="00092266">
              <w:rPr>
                <w:rFonts w:ascii="Arial Narrow" w:hAnsi="Arial Narrow"/>
                <w:sz w:val="18"/>
                <w:szCs w:val="18"/>
              </w:rPr>
              <w:t>0.91 (0.49,</w:t>
            </w:r>
            <w:r w:rsidR="00E70CE4" w:rsidRPr="00092266">
              <w:rPr>
                <w:rFonts w:ascii="Arial Narrow" w:hAnsi="Arial Narrow"/>
                <w:sz w:val="18"/>
                <w:szCs w:val="18"/>
              </w:rPr>
              <w:t xml:space="preserve"> </w:t>
            </w:r>
            <w:r w:rsidRPr="00092266">
              <w:rPr>
                <w:rFonts w:ascii="Arial Narrow" w:hAnsi="Arial Narrow"/>
                <w:sz w:val="18"/>
                <w:szCs w:val="18"/>
              </w:rPr>
              <w:t>1.76)</w:t>
            </w:r>
          </w:p>
        </w:tc>
      </w:tr>
      <w:tr w:rsidR="00A63A2A" w:rsidRPr="00092266" w14:paraId="7D64717A" w14:textId="77777777" w:rsidTr="00744475">
        <w:tc>
          <w:tcPr>
            <w:tcW w:w="1838" w:type="dxa"/>
            <w:vAlign w:val="center"/>
          </w:tcPr>
          <w:p w14:paraId="6CB7D9B4"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ADA</w:t>
            </w:r>
          </w:p>
        </w:tc>
        <w:tc>
          <w:tcPr>
            <w:tcW w:w="1196" w:type="dxa"/>
            <w:vAlign w:val="center"/>
          </w:tcPr>
          <w:p w14:paraId="6427CA05" w14:textId="233BC41B" w:rsidR="004D1EA7" w:rsidRPr="00092266" w:rsidRDefault="004D1EA7" w:rsidP="004D1EA7">
            <w:pPr>
              <w:jc w:val="center"/>
              <w:rPr>
                <w:rFonts w:ascii="Arial Narrow" w:hAnsi="Arial Narrow"/>
                <w:sz w:val="18"/>
                <w:szCs w:val="18"/>
              </w:rPr>
            </w:pPr>
            <w:r w:rsidRPr="00092266">
              <w:rPr>
                <w:rFonts w:ascii="Arial Narrow" w:hAnsi="Arial Narrow"/>
                <w:sz w:val="18"/>
                <w:szCs w:val="18"/>
              </w:rPr>
              <w:t>1.34 (0.87,</w:t>
            </w:r>
            <w:r w:rsidR="00E70CE4" w:rsidRPr="00092266">
              <w:rPr>
                <w:rFonts w:ascii="Arial Narrow" w:hAnsi="Arial Narrow"/>
                <w:sz w:val="18"/>
                <w:szCs w:val="18"/>
              </w:rPr>
              <w:t xml:space="preserve"> </w:t>
            </w:r>
            <w:r w:rsidRPr="00092266">
              <w:rPr>
                <w:rFonts w:ascii="Arial Narrow" w:hAnsi="Arial Narrow"/>
                <w:sz w:val="18"/>
                <w:szCs w:val="18"/>
              </w:rPr>
              <w:t>2.04)</w:t>
            </w:r>
          </w:p>
        </w:tc>
        <w:tc>
          <w:tcPr>
            <w:tcW w:w="1197" w:type="dxa"/>
            <w:vAlign w:val="center"/>
          </w:tcPr>
          <w:p w14:paraId="657E16ED" w14:textId="068E7166" w:rsidR="004D1EA7" w:rsidRPr="00092266" w:rsidRDefault="004D1EA7" w:rsidP="004D1EA7">
            <w:pPr>
              <w:jc w:val="center"/>
              <w:rPr>
                <w:rFonts w:ascii="Arial Narrow" w:hAnsi="Arial Narrow"/>
                <w:sz w:val="16"/>
                <w:szCs w:val="16"/>
              </w:rPr>
            </w:pPr>
            <w:r w:rsidRPr="00092266">
              <w:rPr>
                <w:rFonts w:ascii="Arial Narrow" w:hAnsi="Arial Narrow"/>
                <w:sz w:val="16"/>
                <w:szCs w:val="16"/>
              </w:rPr>
              <w:t>1.36 (0.89,</w:t>
            </w:r>
            <w:r w:rsidR="00E70CE4" w:rsidRPr="00092266">
              <w:rPr>
                <w:rFonts w:ascii="Arial Narrow" w:hAnsi="Arial Narrow"/>
                <w:sz w:val="16"/>
                <w:szCs w:val="16"/>
              </w:rPr>
              <w:t xml:space="preserve"> </w:t>
            </w:r>
            <w:r w:rsidRPr="00092266">
              <w:rPr>
                <w:rFonts w:ascii="Arial Narrow" w:hAnsi="Arial Narrow"/>
                <w:sz w:val="16"/>
                <w:szCs w:val="16"/>
              </w:rPr>
              <w:t>2.10)</w:t>
            </w:r>
            <w:r w:rsidRPr="00092266">
              <w:rPr>
                <w:rFonts w:ascii="Arial Narrow" w:hAnsi="Arial Narrow"/>
                <w:sz w:val="16"/>
                <w:szCs w:val="16"/>
                <w:vertAlign w:val="superscript"/>
              </w:rPr>
              <w:t>a</w:t>
            </w:r>
            <w:r w:rsidR="00E70CE4" w:rsidRPr="00092266">
              <w:rPr>
                <w:rFonts w:ascii="Arial Narrow" w:hAnsi="Arial Narrow"/>
                <w:sz w:val="16"/>
                <w:szCs w:val="16"/>
                <w:vertAlign w:val="superscript"/>
              </w:rPr>
              <w:t>,</w:t>
            </w:r>
            <w:r w:rsidRPr="00092266">
              <w:rPr>
                <w:rFonts w:ascii="Arial Narrow" w:hAnsi="Arial Narrow"/>
                <w:sz w:val="16"/>
                <w:szCs w:val="16"/>
                <w:vertAlign w:val="superscript"/>
              </w:rPr>
              <w:t>c</w:t>
            </w:r>
          </w:p>
        </w:tc>
        <w:tc>
          <w:tcPr>
            <w:tcW w:w="1196" w:type="dxa"/>
            <w:vAlign w:val="center"/>
          </w:tcPr>
          <w:p w14:paraId="31427EA1" w14:textId="21A0FBF8" w:rsidR="004D1EA7" w:rsidRPr="00092266" w:rsidRDefault="004D1EA7" w:rsidP="004D1EA7">
            <w:pPr>
              <w:jc w:val="center"/>
              <w:rPr>
                <w:rFonts w:ascii="Arial Narrow" w:hAnsi="Arial Narrow"/>
                <w:sz w:val="18"/>
                <w:szCs w:val="18"/>
              </w:rPr>
            </w:pPr>
            <w:r w:rsidRPr="00092266">
              <w:rPr>
                <w:rFonts w:ascii="Arial Narrow" w:hAnsi="Arial Narrow"/>
                <w:sz w:val="18"/>
                <w:szCs w:val="18"/>
              </w:rPr>
              <w:t>1.25 (0.69,</w:t>
            </w:r>
            <w:r w:rsidR="00E70CE4" w:rsidRPr="00092266">
              <w:rPr>
                <w:rFonts w:ascii="Arial Narrow" w:hAnsi="Arial Narrow"/>
                <w:sz w:val="18"/>
                <w:szCs w:val="18"/>
              </w:rPr>
              <w:t xml:space="preserve"> </w:t>
            </w:r>
            <w:r w:rsidRPr="00092266">
              <w:rPr>
                <w:rFonts w:ascii="Arial Narrow" w:hAnsi="Arial Narrow"/>
                <w:sz w:val="18"/>
                <w:szCs w:val="18"/>
              </w:rPr>
              <w:t>2.35)</w:t>
            </w:r>
          </w:p>
        </w:tc>
        <w:tc>
          <w:tcPr>
            <w:tcW w:w="1197" w:type="dxa"/>
            <w:vAlign w:val="center"/>
          </w:tcPr>
          <w:p w14:paraId="5F00BBFB" w14:textId="37EF2F7D" w:rsidR="004D1EA7" w:rsidRPr="00092266" w:rsidRDefault="004D1EA7" w:rsidP="004D1EA7">
            <w:pPr>
              <w:jc w:val="center"/>
              <w:rPr>
                <w:rFonts w:ascii="Arial Narrow" w:hAnsi="Arial Narrow"/>
                <w:sz w:val="18"/>
                <w:szCs w:val="18"/>
              </w:rPr>
            </w:pPr>
            <w:r w:rsidRPr="00092266">
              <w:rPr>
                <w:rFonts w:ascii="Arial Narrow" w:hAnsi="Arial Narrow"/>
                <w:sz w:val="18"/>
                <w:szCs w:val="18"/>
              </w:rPr>
              <w:t>1.53 (0.70,</w:t>
            </w:r>
            <w:r w:rsidR="00E70CE4" w:rsidRPr="00092266">
              <w:rPr>
                <w:rFonts w:ascii="Arial Narrow" w:hAnsi="Arial Narrow"/>
                <w:sz w:val="18"/>
                <w:szCs w:val="18"/>
              </w:rPr>
              <w:t xml:space="preserve"> </w:t>
            </w:r>
            <w:r w:rsidRPr="00092266">
              <w:rPr>
                <w:rFonts w:ascii="Arial Narrow" w:hAnsi="Arial Narrow"/>
                <w:sz w:val="18"/>
                <w:szCs w:val="18"/>
              </w:rPr>
              <w:t>3.36)</w:t>
            </w:r>
          </w:p>
        </w:tc>
        <w:tc>
          <w:tcPr>
            <w:tcW w:w="1196" w:type="dxa"/>
            <w:vAlign w:val="center"/>
          </w:tcPr>
          <w:p w14:paraId="3A386FB0" w14:textId="6DFD9271" w:rsidR="004D1EA7" w:rsidRPr="00092266" w:rsidRDefault="004D1EA7" w:rsidP="004D1EA7">
            <w:pPr>
              <w:jc w:val="center"/>
              <w:rPr>
                <w:rFonts w:ascii="Arial Narrow" w:hAnsi="Arial Narrow"/>
                <w:sz w:val="18"/>
                <w:szCs w:val="18"/>
              </w:rPr>
            </w:pPr>
            <w:r w:rsidRPr="00092266">
              <w:rPr>
                <w:rFonts w:ascii="Arial Narrow" w:hAnsi="Arial Narrow"/>
                <w:sz w:val="18"/>
                <w:szCs w:val="18"/>
              </w:rPr>
              <w:t>1.14 (0.62,</w:t>
            </w:r>
            <w:r w:rsidR="00E70CE4" w:rsidRPr="00092266">
              <w:rPr>
                <w:rFonts w:ascii="Arial Narrow" w:hAnsi="Arial Narrow"/>
                <w:sz w:val="18"/>
                <w:szCs w:val="18"/>
              </w:rPr>
              <w:t xml:space="preserve"> </w:t>
            </w:r>
            <w:r w:rsidRPr="00092266">
              <w:rPr>
                <w:rFonts w:ascii="Arial Narrow" w:hAnsi="Arial Narrow"/>
                <w:sz w:val="18"/>
                <w:szCs w:val="18"/>
              </w:rPr>
              <w:t>2.01)</w:t>
            </w:r>
          </w:p>
        </w:tc>
        <w:tc>
          <w:tcPr>
            <w:tcW w:w="1197" w:type="dxa"/>
            <w:vAlign w:val="center"/>
          </w:tcPr>
          <w:p w14:paraId="2221952C" w14:textId="33E7F68F" w:rsidR="004D1EA7" w:rsidRPr="00092266" w:rsidRDefault="004D1EA7" w:rsidP="004D1EA7">
            <w:pPr>
              <w:jc w:val="center"/>
              <w:rPr>
                <w:rFonts w:ascii="Arial Narrow" w:hAnsi="Arial Narrow"/>
                <w:sz w:val="18"/>
                <w:szCs w:val="18"/>
              </w:rPr>
            </w:pPr>
            <w:r w:rsidRPr="00092266">
              <w:rPr>
                <w:rFonts w:ascii="Arial Narrow" w:hAnsi="Arial Narrow"/>
                <w:sz w:val="18"/>
                <w:szCs w:val="18"/>
              </w:rPr>
              <w:t>1.51 (0.84,</w:t>
            </w:r>
            <w:r w:rsidR="00E70CE4" w:rsidRPr="00092266">
              <w:rPr>
                <w:rFonts w:ascii="Arial Narrow" w:hAnsi="Arial Narrow"/>
                <w:sz w:val="18"/>
                <w:szCs w:val="18"/>
              </w:rPr>
              <w:t xml:space="preserve"> </w:t>
            </w:r>
            <w:r w:rsidRPr="00092266">
              <w:rPr>
                <w:rFonts w:ascii="Arial Narrow" w:hAnsi="Arial Narrow"/>
                <w:sz w:val="18"/>
                <w:szCs w:val="18"/>
              </w:rPr>
              <w:t>2.79)</w:t>
            </w:r>
          </w:p>
        </w:tc>
      </w:tr>
      <w:tr w:rsidR="00A63A2A" w:rsidRPr="00092266" w14:paraId="3CAE4307" w14:textId="77777777" w:rsidTr="00744475">
        <w:tc>
          <w:tcPr>
            <w:tcW w:w="1838" w:type="dxa"/>
            <w:vAlign w:val="center"/>
          </w:tcPr>
          <w:p w14:paraId="116253E1"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UST</w:t>
            </w:r>
          </w:p>
        </w:tc>
        <w:tc>
          <w:tcPr>
            <w:tcW w:w="1196" w:type="dxa"/>
            <w:vAlign w:val="center"/>
          </w:tcPr>
          <w:p w14:paraId="04388A47" w14:textId="64EA8904" w:rsidR="004D1EA7" w:rsidRPr="00092266" w:rsidRDefault="004D1EA7" w:rsidP="004D1EA7">
            <w:pPr>
              <w:jc w:val="center"/>
              <w:rPr>
                <w:rFonts w:ascii="Arial Narrow" w:hAnsi="Arial Narrow"/>
                <w:sz w:val="18"/>
                <w:szCs w:val="18"/>
              </w:rPr>
            </w:pPr>
            <w:r w:rsidRPr="00092266">
              <w:rPr>
                <w:rFonts w:ascii="Arial Narrow" w:hAnsi="Arial Narrow"/>
                <w:sz w:val="18"/>
                <w:szCs w:val="18"/>
              </w:rPr>
              <w:t>0.63 (0.35,</w:t>
            </w:r>
            <w:r w:rsidR="00E70CE4" w:rsidRPr="00092266">
              <w:rPr>
                <w:rFonts w:ascii="Arial Narrow" w:hAnsi="Arial Narrow"/>
                <w:sz w:val="18"/>
                <w:szCs w:val="18"/>
              </w:rPr>
              <w:t xml:space="preserve"> </w:t>
            </w:r>
            <w:r w:rsidRPr="00092266">
              <w:rPr>
                <w:rFonts w:ascii="Arial Narrow" w:hAnsi="Arial Narrow"/>
                <w:sz w:val="18"/>
                <w:szCs w:val="18"/>
              </w:rPr>
              <w:t>1.14)</w:t>
            </w:r>
          </w:p>
        </w:tc>
        <w:tc>
          <w:tcPr>
            <w:tcW w:w="1197" w:type="dxa"/>
            <w:vAlign w:val="center"/>
          </w:tcPr>
          <w:p w14:paraId="081D675D" w14:textId="149739B8" w:rsidR="004D1EA7" w:rsidRPr="00092266" w:rsidRDefault="004D1EA7" w:rsidP="004D1EA7">
            <w:pPr>
              <w:jc w:val="center"/>
              <w:rPr>
                <w:rFonts w:ascii="Arial Narrow" w:hAnsi="Arial Narrow"/>
                <w:sz w:val="18"/>
                <w:szCs w:val="18"/>
              </w:rPr>
            </w:pPr>
            <w:r w:rsidRPr="00092266">
              <w:rPr>
                <w:rFonts w:ascii="Arial Narrow" w:hAnsi="Arial Narrow"/>
                <w:sz w:val="18"/>
                <w:szCs w:val="18"/>
              </w:rPr>
              <w:t>0.65 (0.36,</w:t>
            </w:r>
            <w:r w:rsidR="00E70CE4" w:rsidRPr="00092266">
              <w:rPr>
                <w:rFonts w:ascii="Arial Narrow" w:hAnsi="Arial Narrow"/>
                <w:sz w:val="18"/>
                <w:szCs w:val="18"/>
              </w:rPr>
              <w:t xml:space="preserve"> </w:t>
            </w:r>
            <w:r w:rsidRPr="00092266">
              <w:rPr>
                <w:rFonts w:ascii="Arial Narrow" w:hAnsi="Arial Narrow"/>
                <w:sz w:val="18"/>
                <w:szCs w:val="18"/>
              </w:rPr>
              <w:t>1.17)</w:t>
            </w:r>
            <w:r w:rsidRPr="00092266">
              <w:rPr>
                <w:rFonts w:ascii="Arial Narrow" w:hAnsi="Arial Narrow"/>
                <w:sz w:val="18"/>
                <w:szCs w:val="18"/>
                <w:vertAlign w:val="superscript"/>
              </w:rPr>
              <w:t>a</w:t>
            </w:r>
          </w:p>
        </w:tc>
        <w:tc>
          <w:tcPr>
            <w:tcW w:w="1196" w:type="dxa"/>
            <w:vAlign w:val="center"/>
          </w:tcPr>
          <w:p w14:paraId="6B131CA5" w14:textId="088E0477" w:rsidR="004D1EA7" w:rsidRPr="00092266" w:rsidRDefault="004D1EA7" w:rsidP="004D1EA7">
            <w:pPr>
              <w:jc w:val="center"/>
              <w:rPr>
                <w:rFonts w:ascii="Arial Narrow" w:hAnsi="Arial Narrow"/>
                <w:sz w:val="18"/>
                <w:szCs w:val="18"/>
              </w:rPr>
            </w:pPr>
            <w:r w:rsidRPr="00092266">
              <w:rPr>
                <w:rFonts w:ascii="Arial Narrow" w:hAnsi="Arial Narrow"/>
                <w:sz w:val="18"/>
                <w:szCs w:val="18"/>
              </w:rPr>
              <w:t>0.78 (0.36,</w:t>
            </w:r>
            <w:r w:rsidR="00E70CE4" w:rsidRPr="00092266">
              <w:rPr>
                <w:rFonts w:ascii="Arial Narrow" w:hAnsi="Arial Narrow"/>
                <w:sz w:val="18"/>
                <w:szCs w:val="18"/>
              </w:rPr>
              <w:t xml:space="preserve"> </w:t>
            </w:r>
            <w:r w:rsidRPr="00092266">
              <w:rPr>
                <w:rFonts w:ascii="Arial Narrow" w:hAnsi="Arial Narrow"/>
                <w:sz w:val="18"/>
                <w:szCs w:val="18"/>
              </w:rPr>
              <w:t>1.73)</w:t>
            </w:r>
          </w:p>
        </w:tc>
        <w:tc>
          <w:tcPr>
            <w:tcW w:w="1197" w:type="dxa"/>
            <w:vAlign w:val="center"/>
          </w:tcPr>
          <w:p w14:paraId="573ED92E" w14:textId="4B4DFAAF" w:rsidR="004D1EA7" w:rsidRPr="00092266" w:rsidRDefault="004D1EA7" w:rsidP="004D1EA7">
            <w:pPr>
              <w:jc w:val="center"/>
              <w:rPr>
                <w:rFonts w:ascii="Arial Narrow" w:hAnsi="Arial Narrow"/>
                <w:sz w:val="18"/>
                <w:szCs w:val="18"/>
              </w:rPr>
            </w:pPr>
            <w:r w:rsidRPr="00092266">
              <w:rPr>
                <w:rFonts w:ascii="Arial Narrow" w:hAnsi="Arial Narrow"/>
                <w:sz w:val="18"/>
                <w:szCs w:val="18"/>
              </w:rPr>
              <w:t>0.99 (0.37,</w:t>
            </w:r>
            <w:r w:rsidR="00E70CE4" w:rsidRPr="00092266">
              <w:rPr>
                <w:rFonts w:ascii="Arial Narrow" w:hAnsi="Arial Narrow"/>
                <w:sz w:val="18"/>
                <w:szCs w:val="18"/>
              </w:rPr>
              <w:t xml:space="preserve"> </w:t>
            </w:r>
            <w:r w:rsidRPr="00092266">
              <w:rPr>
                <w:rFonts w:ascii="Arial Narrow" w:hAnsi="Arial Narrow"/>
                <w:sz w:val="18"/>
                <w:szCs w:val="18"/>
              </w:rPr>
              <w:t>2.54)</w:t>
            </w:r>
          </w:p>
        </w:tc>
        <w:tc>
          <w:tcPr>
            <w:tcW w:w="1196" w:type="dxa"/>
            <w:vAlign w:val="center"/>
          </w:tcPr>
          <w:p w14:paraId="211EA1A4" w14:textId="0996E0EC" w:rsidR="004D1EA7" w:rsidRPr="00092266" w:rsidRDefault="004D1EA7" w:rsidP="004D1EA7">
            <w:pPr>
              <w:jc w:val="center"/>
              <w:rPr>
                <w:rFonts w:ascii="Arial Narrow" w:hAnsi="Arial Narrow"/>
                <w:sz w:val="18"/>
                <w:szCs w:val="18"/>
              </w:rPr>
            </w:pPr>
            <w:r w:rsidRPr="00092266">
              <w:rPr>
                <w:rFonts w:ascii="Arial Narrow" w:hAnsi="Arial Narrow"/>
                <w:sz w:val="18"/>
                <w:szCs w:val="18"/>
              </w:rPr>
              <w:t>0.78 (0.36,</w:t>
            </w:r>
            <w:r w:rsidR="00E70CE4" w:rsidRPr="00092266">
              <w:rPr>
                <w:rFonts w:ascii="Arial Narrow" w:hAnsi="Arial Narrow"/>
                <w:sz w:val="18"/>
                <w:szCs w:val="18"/>
              </w:rPr>
              <w:t xml:space="preserve"> </w:t>
            </w:r>
            <w:r w:rsidRPr="00092266">
              <w:rPr>
                <w:rFonts w:ascii="Arial Narrow" w:hAnsi="Arial Narrow"/>
                <w:sz w:val="18"/>
                <w:szCs w:val="18"/>
              </w:rPr>
              <w:t>1.70)</w:t>
            </w:r>
          </w:p>
        </w:tc>
        <w:tc>
          <w:tcPr>
            <w:tcW w:w="1197" w:type="dxa"/>
            <w:vAlign w:val="center"/>
          </w:tcPr>
          <w:p w14:paraId="2F2BC195" w14:textId="7C3F6CF0" w:rsidR="004D1EA7" w:rsidRPr="00092266" w:rsidRDefault="004D1EA7" w:rsidP="004D1EA7">
            <w:pPr>
              <w:jc w:val="center"/>
              <w:rPr>
                <w:rFonts w:ascii="Arial Narrow" w:hAnsi="Arial Narrow"/>
                <w:sz w:val="18"/>
                <w:szCs w:val="18"/>
              </w:rPr>
            </w:pPr>
            <w:r w:rsidRPr="00092266">
              <w:rPr>
                <w:rFonts w:ascii="Arial Narrow" w:hAnsi="Arial Narrow"/>
                <w:sz w:val="18"/>
                <w:szCs w:val="18"/>
              </w:rPr>
              <w:t>0.95 (0.46,</w:t>
            </w:r>
            <w:r w:rsidR="00E70CE4" w:rsidRPr="00092266">
              <w:rPr>
                <w:rFonts w:ascii="Arial Narrow" w:hAnsi="Arial Narrow"/>
                <w:sz w:val="18"/>
                <w:szCs w:val="18"/>
              </w:rPr>
              <w:t xml:space="preserve"> </w:t>
            </w:r>
            <w:r w:rsidRPr="00092266">
              <w:rPr>
                <w:rFonts w:ascii="Arial Narrow" w:hAnsi="Arial Narrow"/>
                <w:sz w:val="18"/>
                <w:szCs w:val="18"/>
              </w:rPr>
              <w:t>1.94)</w:t>
            </w:r>
          </w:p>
        </w:tc>
      </w:tr>
      <w:tr w:rsidR="00744475" w:rsidRPr="00092266" w14:paraId="73F6137B" w14:textId="77777777" w:rsidTr="00744475">
        <w:tc>
          <w:tcPr>
            <w:tcW w:w="9017" w:type="dxa"/>
            <w:gridSpan w:val="7"/>
            <w:vAlign w:val="center"/>
          </w:tcPr>
          <w:p w14:paraId="2C3B248E" w14:textId="64E2F353" w:rsidR="00744475" w:rsidRPr="00092266" w:rsidRDefault="00744475" w:rsidP="00744475">
            <w:pPr>
              <w:jc w:val="left"/>
              <w:rPr>
                <w:rFonts w:ascii="Arial Narrow" w:hAnsi="Arial Narrow"/>
                <w:sz w:val="18"/>
                <w:szCs w:val="18"/>
              </w:rPr>
            </w:pPr>
            <w:r w:rsidRPr="00092266">
              <w:rPr>
                <w:rFonts w:ascii="Arial Narrow" w:hAnsi="Arial Narrow"/>
                <w:b/>
                <w:bCs/>
                <w:sz w:val="18"/>
                <w:szCs w:val="18"/>
              </w:rPr>
              <w:t xml:space="preserve">INDUCTION: Response, </w:t>
            </w:r>
            <w:r w:rsidRPr="00092266">
              <w:rPr>
                <w:rFonts w:ascii="Arial Narrow" w:hAnsi="Arial Narrow"/>
                <w:b/>
                <w:bCs/>
                <w:sz w:val="20"/>
                <w:szCs w:val="20"/>
                <w:lang w:val="it-IT"/>
              </w:rPr>
              <w:t>bDMARDs/tsDMARDs-</w:t>
            </w:r>
            <w:r w:rsidRPr="00092266">
              <w:rPr>
                <w:rFonts w:ascii="Arial Narrow" w:hAnsi="Arial Narrow"/>
                <w:b/>
                <w:bCs/>
                <w:sz w:val="20"/>
                <w:szCs w:val="20"/>
              </w:rPr>
              <w:t>experienced</w:t>
            </w:r>
          </w:p>
        </w:tc>
      </w:tr>
      <w:tr w:rsidR="00A63A2A" w:rsidRPr="00092266" w14:paraId="28ACE3B2" w14:textId="77777777" w:rsidTr="00A044D5">
        <w:trPr>
          <w:trHeight w:val="50"/>
        </w:trPr>
        <w:tc>
          <w:tcPr>
            <w:tcW w:w="1838" w:type="dxa"/>
            <w:vAlign w:val="center"/>
          </w:tcPr>
          <w:p w14:paraId="044E2B7A" w14:textId="0E87FE08" w:rsidR="004D1EA7" w:rsidRPr="00092266" w:rsidRDefault="004D1EA7" w:rsidP="004D1EA7">
            <w:pPr>
              <w:jc w:val="right"/>
              <w:rPr>
                <w:rFonts w:ascii="Arial Narrow" w:hAnsi="Arial Narrow"/>
                <w:sz w:val="20"/>
                <w:szCs w:val="20"/>
                <w:lang w:val="it-IT"/>
              </w:rPr>
            </w:pPr>
          </w:p>
        </w:tc>
        <w:tc>
          <w:tcPr>
            <w:tcW w:w="1196" w:type="dxa"/>
            <w:vAlign w:val="center"/>
          </w:tcPr>
          <w:p w14:paraId="45E6A92F" w14:textId="77777777" w:rsidR="004D1EA7" w:rsidRPr="00092266" w:rsidRDefault="004D1EA7" w:rsidP="004D1EA7">
            <w:pPr>
              <w:jc w:val="center"/>
              <w:rPr>
                <w:rFonts w:ascii="Arial Narrow" w:hAnsi="Arial Narrow"/>
                <w:sz w:val="18"/>
                <w:szCs w:val="18"/>
              </w:rPr>
            </w:pPr>
          </w:p>
        </w:tc>
        <w:tc>
          <w:tcPr>
            <w:tcW w:w="1197" w:type="dxa"/>
            <w:vAlign w:val="center"/>
          </w:tcPr>
          <w:p w14:paraId="3CF53CF3" w14:textId="77777777" w:rsidR="004D1EA7" w:rsidRPr="00092266" w:rsidRDefault="004D1EA7" w:rsidP="004D1EA7">
            <w:pPr>
              <w:jc w:val="center"/>
              <w:rPr>
                <w:rFonts w:ascii="Arial Narrow" w:hAnsi="Arial Narrow"/>
                <w:sz w:val="18"/>
                <w:szCs w:val="18"/>
              </w:rPr>
            </w:pPr>
          </w:p>
        </w:tc>
        <w:tc>
          <w:tcPr>
            <w:tcW w:w="1196" w:type="dxa"/>
            <w:vAlign w:val="center"/>
          </w:tcPr>
          <w:p w14:paraId="27301E0E"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r w:rsidRPr="00092266">
              <w:rPr>
                <w:rFonts w:ascii="Arial Narrow" w:hAnsi="Arial Narrow"/>
                <w:sz w:val="18"/>
                <w:szCs w:val="18"/>
                <w:vertAlign w:val="superscript"/>
              </w:rPr>
              <w:t>‡</w:t>
            </w:r>
          </w:p>
        </w:tc>
        <w:tc>
          <w:tcPr>
            <w:tcW w:w="1197" w:type="dxa"/>
            <w:vAlign w:val="center"/>
          </w:tcPr>
          <w:p w14:paraId="7BFDC883"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r w:rsidRPr="00092266">
              <w:rPr>
                <w:rFonts w:ascii="Arial Narrow" w:hAnsi="Arial Narrow"/>
                <w:sz w:val="18"/>
                <w:szCs w:val="18"/>
                <w:vertAlign w:val="superscript"/>
              </w:rPr>
              <w:sym w:font="Symbol" w:char="F0E0"/>
            </w:r>
          </w:p>
        </w:tc>
        <w:tc>
          <w:tcPr>
            <w:tcW w:w="1196" w:type="dxa"/>
            <w:vAlign w:val="center"/>
          </w:tcPr>
          <w:p w14:paraId="52024A17"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c>
          <w:tcPr>
            <w:tcW w:w="1197" w:type="dxa"/>
            <w:vAlign w:val="center"/>
          </w:tcPr>
          <w:p w14:paraId="3CE141FA"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r>
      <w:tr w:rsidR="00A63A2A" w:rsidRPr="00092266" w14:paraId="59D07099" w14:textId="77777777" w:rsidTr="00744475">
        <w:tc>
          <w:tcPr>
            <w:tcW w:w="1838" w:type="dxa"/>
            <w:vAlign w:val="center"/>
          </w:tcPr>
          <w:p w14:paraId="0BA7EF45"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VDZ IV</w:t>
            </w:r>
          </w:p>
        </w:tc>
        <w:tc>
          <w:tcPr>
            <w:tcW w:w="1196" w:type="dxa"/>
            <w:vAlign w:val="center"/>
          </w:tcPr>
          <w:p w14:paraId="4492E81B" w14:textId="28431DAA" w:rsidR="004D1EA7" w:rsidRPr="00092266" w:rsidRDefault="004D1EA7" w:rsidP="004D1EA7">
            <w:pPr>
              <w:jc w:val="center"/>
              <w:rPr>
                <w:rFonts w:ascii="Arial Narrow" w:hAnsi="Arial Narrow"/>
                <w:sz w:val="18"/>
                <w:szCs w:val="18"/>
              </w:rPr>
            </w:pPr>
            <w:r w:rsidRPr="00092266">
              <w:rPr>
                <w:rFonts w:ascii="Arial Narrow" w:hAnsi="Arial Narrow"/>
                <w:sz w:val="18"/>
                <w:szCs w:val="18"/>
              </w:rPr>
              <w:t>1.89 (0.39,</w:t>
            </w:r>
            <w:r w:rsidR="00E70CE4" w:rsidRPr="00092266">
              <w:rPr>
                <w:rFonts w:ascii="Arial Narrow" w:hAnsi="Arial Narrow"/>
                <w:sz w:val="18"/>
                <w:szCs w:val="18"/>
              </w:rPr>
              <w:t xml:space="preserve"> </w:t>
            </w:r>
            <w:r w:rsidRPr="00092266">
              <w:rPr>
                <w:rFonts w:ascii="Arial Narrow" w:hAnsi="Arial Narrow"/>
                <w:sz w:val="18"/>
                <w:szCs w:val="18"/>
              </w:rPr>
              <w:t>9.22)</w:t>
            </w:r>
          </w:p>
        </w:tc>
        <w:tc>
          <w:tcPr>
            <w:tcW w:w="1197" w:type="dxa"/>
            <w:vAlign w:val="center"/>
          </w:tcPr>
          <w:p w14:paraId="52DF3CEF" w14:textId="31D5BA95" w:rsidR="004D1EA7" w:rsidRPr="00092266" w:rsidRDefault="004D1EA7" w:rsidP="004D1EA7">
            <w:pPr>
              <w:jc w:val="center"/>
              <w:rPr>
                <w:rFonts w:ascii="Arial Narrow" w:hAnsi="Arial Narrow"/>
                <w:sz w:val="18"/>
                <w:szCs w:val="18"/>
              </w:rPr>
            </w:pPr>
            <w:r w:rsidRPr="00092266">
              <w:rPr>
                <w:rFonts w:ascii="Arial Narrow" w:hAnsi="Arial Narrow"/>
                <w:sz w:val="18"/>
                <w:szCs w:val="18"/>
              </w:rPr>
              <w:t>1.79 (0.61,</w:t>
            </w:r>
            <w:r w:rsidR="00E70CE4" w:rsidRPr="00092266">
              <w:rPr>
                <w:rFonts w:ascii="Arial Narrow" w:hAnsi="Arial Narrow"/>
                <w:sz w:val="18"/>
                <w:szCs w:val="18"/>
              </w:rPr>
              <w:t xml:space="preserve"> </w:t>
            </w:r>
            <w:r w:rsidRPr="00092266">
              <w:rPr>
                <w:rFonts w:ascii="Arial Narrow" w:hAnsi="Arial Narrow"/>
                <w:sz w:val="18"/>
                <w:szCs w:val="18"/>
              </w:rPr>
              <w:t>5.28)</w:t>
            </w:r>
            <w:r w:rsidRPr="00092266">
              <w:rPr>
                <w:rFonts w:ascii="Arial Narrow" w:hAnsi="Arial Narrow"/>
                <w:sz w:val="18"/>
                <w:szCs w:val="18"/>
                <w:vertAlign w:val="superscript"/>
              </w:rPr>
              <w:t>b</w:t>
            </w:r>
          </w:p>
        </w:tc>
        <w:tc>
          <w:tcPr>
            <w:tcW w:w="1196" w:type="dxa"/>
            <w:vAlign w:val="center"/>
          </w:tcPr>
          <w:p w14:paraId="59317098" w14:textId="6F63A5F7" w:rsidR="004D1EA7" w:rsidRPr="00092266" w:rsidRDefault="004D1EA7" w:rsidP="004D1EA7">
            <w:pPr>
              <w:jc w:val="center"/>
              <w:rPr>
                <w:rFonts w:ascii="Arial Narrow" w:hAnsi="Arial Narrow"/>
                <w:sz w:val="18"/>
                <w:szCs w:val="18"/>
              </w:rPr>
            </w:pPr>
            <w:r w:rsidRPr="00092266">
              <w:rPr>
                <w:rFonts w:ascii="Arial Narrow" w:hAnsi="Arial Narrow"/>
                <w:sz w:val="18"/>
                <w:szCs w:val="18"/>
              </w:rPr>
              <w:t>1.27 (0.69,</w:t>
            </w:r>
            <w:r w:rsidR="00E70CE4" w:rsidRPr="00092266">
              <w:rPr>
                <w:rFonts w:ascii="Arial Narrow" w:hAnsi="Arial Narrow"/>
                <w:sz w:val="18"/>
                <w:szCs w:val="18"/>
              </w:rPr>
              <w:t xml:space="preserve"> </w:t>
            </w:r>
            <w:r w:rsidRPr="00092266">
              <w:rPr>
                <w:rFonts w:ascii="Arial Narrow" w:hAnsi="Arial Narrow"/>
                <w:sz w:val="18"/>
                <w:szCs w:val="18"/>
              </w:rPr>
              <w:t>2.30)</w:t>
            </w:r>
          </w:p>
        </w:tc>
        <w:tc>
          <w:tcPr>
            <w:tcW w:w="1197" w:type="dxa"/>
            <w:vAlign w:val="center"/>
          </w:tcPr>
          <w:p w14:paraId="58B953E7" w14:textId="5CE2EBA4" w:rsidR="004D1EA7" w:rsidRPr="00092266" w:rsidRDefault="004D1EA7" w:rsidP="004D1EA7">
            <w:pPr>
              <w:jc w:val="center"/>
              <w:rPr>
                <w:rFonts w:ascii="Arial Narrow" w:hAnsi="Arial Narrow"/>
                <w:sz w:val="18"/>
                <w:szCs w:val="18"/>
              </w:rPr>
            </w:pPr>
            <w:r w:rsidRPr="00092266">
              <w:rPr>
                <w:rFonts w:ascii="Arial Narrow" w:hAnsi="Arial Narrow"/>
                <w:sz w:val="18"/>
                <w:szCs w:val="18"/>
              </w:rPr>
              <w:t>1.30 (0.39,</w:t>
            </w:r>
            <w:r w:rsidR="00E70CE4" w:rsidRPr="00092266">
              <w:rPr>
                <w:rFonts w:ascii="Arial Narrow" w:hAnsi="Arial Narrow"/>
                <w:sz w:val="18"/>
                <w:szCs w:val="18"/>
              </w:rPr>
              <w:t xml:space="preserve"> </w:t>
            </w:r>
            <w:r w:rsidRPr="00092266">
              <w:rPr>
                <w:rFonts w:ascii="Arial Narrow" w:hAnsi="Arial Narrow"/>
                <w:sz w:val="18"/>
                <w:szCs w:val="18"/>
              </w:rPr>
              <w:t>2.69)</w:t>
            </w:r>
          </w:p>
        </w:tc>
        <w:tc>
          <w:tcPr>
            <w:tcW w:w="1196" w:type="dxa"/>
            <w:vAlign w:val="center"/>
          </w:tcPr>
          <w:p w14:paraId="58D4B935" w14:textId="0876D69C" w:rsidR="004D1EA7" w:rsidRPr="00092266" w:rsidRDefault="004D1EA7" w:rsidP="004D1EA7">
            <w:pPr>
              <w:jc w:val="center"/>
              <w:rPr>
                <w:rFonts w:ascii="Arial Narrow" w:hAnsi="Arial Narrow"/>
                <w:sz w:val="18"/>
                <w:szCs w:val="18"/>
              </w:rPr>
            </w:pPr>
            <w:r w:rsidRPr="00092266">
              <w:rPr>
                <w:rFonts w:ascii="Arial Narrow" w:hAnsi="Arial Narrow"/>
                <w:sz w:val="18"/>
                <w:szCs w:val="18"/>
              </w:rPr>
              <w:t>1.27 (0.70,</w:t>
            </w:r>
            <w:r w:rsidR="00E70CE4" w:rsidRPr="00092266">
              <w:rPr>
                <w:rFonts w:ascii="Arial Narrow" w:hAnsi="Arial Narrow"/>
                <w:sz w:val="18"/>
                <w:szCs w:val="18"/>
              </w:rPr>
              <w:t xml:space="preserve"> </w:t>
            </w:r>
            <w:r w:rsidRPr="00092266">
              <w:rPr>
                <w:rFonts w:ascii="Arial Narrow" w:hAnsi="Arial Narrow"/>
                <w:sz w:val="18"/>
                <w:szCs w:val="18"/>
              </w:rPr>
              <w:t>2.33)</w:t>
            </w:r>
          </w:p>
        </w:tc>
        <w:tc>
          <w:tcPr>
            <w:tcW w:w="1197" w:type="dxa"/>
            <w:vAlign w:val="center"/>
          </w:tcPr>
          <w:p w14:paraId="73D1FC7E" w14:textId="5213E4F4" w:rsidR="004D1EA7" w:rsidRPr="00092266" w:rsidRDefault="004D1EA7" w:rsidP="004D1EA7">
            <w:pPr>
              <w:jc w:val="center"/>
              <w:rPr>
                <w:rFonts w:ascii="Arial Narrow" w:hAnsi="Arial Narrow"/>
                <w:sz w:val="18"/>
                <w:szCs w:val="18"/>
              </w:rPr>
            </w:pPr>
            <w:r w:rsidRPr="00092266">
              <w:rPr>
                <w:rFonts w:ascii="Arial Narrow" w:hAnsi="Arial Narrow"/>
                <w:sz w:val="18"/>
                <w:szCs w:val="18"/>
              </w:rPr>
              <w:t>1.29 (0.49,</w:t>
            </w:r>
            <w:r w:rsidR="00E70CE4" w:rsidRPr="00092266">
              <w:rPr>
                <w:rFonts w:ascii="Arial Narrow" w:hAnsi="Arial Narrow"/>
                <w:sz w:val="18"/>
                <w:szCs w:val="18"/>
              </w:rPr>
              <w:t xml:space="preserve"> </w:t>
            </w:r>
            <w:r w:rsidRPr="00092266">
              <w:rPr>
                <w:rFonts w:ascii="Arial Narrow" w:hAnsi="Arial Narrow"/>
                <w:sz w:val="18"/>
                <w:szCs w:val="18"/>
              </w:rPr>
              <w:t>2.40)</w:t>
            </w:r>
          </w:p>
        </w:tc>
      </w:tr>
      <w:tr w:rsidR="00A63A2A" w:rsidRPr="00092266" w14:paraId="244C55D4" w14:textId="77777777" w:rsidTr="00744475">
        <w:tc>
          <w:tcPr>
            <w:tcW w:w="1838" w:type="dxa"/>
            <w:vAlign w:val="center"/>
          </w:tcPr>
          <w:p w14:paraId="413537FB"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ADA</w:t>
            </w:r>
          </w:p>
        </w:tc>
        <w:tc>
          <w:tcPr>
            <w:tcW w:w="1196" w:type="dxa"/>
            <w:vAlign w:val="center"/>
          </w:tcPr>
          <w:p w14:paraId="31B1788B" w14:textId="60434D04" w:rsidR="004D1EA7" w:rsidRPr="00092266" w:rsidRDefault="004D1EA7" w:rsidP="004D1EA7">
            <w:pPr>
              <w:jc w:val="center"/>
              <w:rPr>
                <w:rFonts w:ascii="Arial Narrow" w:hAnsi="Arial Narrow"/>
                <w:sz w:val="18"/>
                <w:szCs w:val="18"/>
              </w:rPr>
            </w:pPr>
            <w:r w:rsidRPr="00092266">
              <w:rPr>
                <w:rFonts w:ascii="Arial Narrow" w:hAnsi="Arial Narrow"/>
                <w:sz w:val="18"/>
                <w:szCs w:val="18"/>
              </w:rPr>
              <w:t>1.98 (0.94,</w:t>
            </w:r>
            <w:r w:rsidR="00E70CE4" w:rsidRPr="00092266">
              <w:rPr>
                <w:rFonts w:ascii="Arial Narrow" w:hAnsi="Arial Narrow"/>
                <w:sz w:val="18"/>
                <w:szCs w:val="18"/>
              </w:rPr>
              <w:t xml:space="preserve"> </w:t>
            </w:r>
            <w:r w:rsidRPr="00092266">
              <w:rPr>
                <w:rFonts w:ascii="Arial Narrow" w:hAnsi="Arial Narrow"/>
                <w:sz w:val="18"/>
                <w:szCs w:val="18"/>
              </w:rPr>
              <w:t>4.16)</w:t>
            </w:r>
          </w:p>
        </w:tc>
        <w:tc>
          <w:tcPr>
            <w:tcW w:w="1197" w:type="dxa"/>
            <w:vAlign w:val="center"/>
          </w:tcPr>
          <w:p w14:paraId="006A369B" w14:textId="4938DC81" w:rsidR="004D1EA7" w:rsidRPr="00092266" w:rsidRDefault="00744475" w:rsidP="004D1EA7">
            <w:pPr>
              <w:jc w:val="center"/>
              <w:rPr>
                <w:rFonts w:ascii="Arial Narrow" w:hAnsi="Arial Narrow"/>
                <w:sz w:val="18"/>
                <w:szCs w:val="18"/>
              </w:rPr>
            </w:pPr>
            <w:r w:rsidRPr="00092266">
              <w:rPr>
                <w:rFonts w:ascii="Arial Narrow" w:hAnsi="Arial Narrow"/>
                <w:sz w:val="18"/>
                <w:szCs w:val="18"/>
              </w:rPr>
              <w:t>1.88</w:t>
            </w:r>
            <w:r w:rsidR="004D1EA7" w:rsidRPr="00092266">
              <w:rPr>
                <w:rFonts w:ascii="Arial Narrow" w:hAnsi="Arial Narrow"/>
                <w:sz w:val="18"/>
                <w:szCs w:val="18"/>
              </w:rPr>
              <w:t>(0.90,3.94)</w:t>
            </w:r>
            <w:r w:rsidR="004D1EA7" w:rsidRPr="00092266">
              <w:rPr>
                <w:rFonts w:ascii="Arial Narrow" w:hAnsi="Arial Narrow"/>
                <w:sz w:val="18"/>
                <w:szCs w:val="18"/>
                <w:vertAlign w:val="superscript"/>
              </w:rPr>
              <w:t>b</w:t>
            </w:r>
            <w:r w:rsidR="00E70CE4" w:rsidRPr="00092266">
              <w:rPr>
                <w:rFonts w:ascii="Arial Narrow" w:hAnsi="Arial Narrow"/>
                <w:sz w:val="18"/>
                <w:szCs w:val="18"/>
                <w:vertAlign w:val="superscript"/>
              </w:rPr>
              <w:t>,</w:t>
            </w:r>
            <w:r w:rsidR="004D1EA7" w:rsidRPr="00092266">
              <w:rPr>
                <w:rFonts w:ascii="Arial Narrow" w:hAnsi="Arial Narrow"/>
                <w:sz w:val="18"/>
                <w:szCs w:val="18"/>
                <w:vertAlign w:val="superscript"/>
              </w:rPr>
              <w:t>d</w:t>
            </w:r>
          </w:p>
        </w:tc>
        <w:tc>
          <w:tcPr>
            <w:tcW w:w="1196" w:type="dxa"/>
            <w:vAlign w:val="center"/>
          </w:tcPr>
          <w:p w14:paraId="05BD7E14" w14:textId="74C8B038" w:rsidR="004D1EA7" w:rsidRPr="00092266" w:rsidRDefault="004D1EA7" w:rsidP="004D1EA7">
            <w:pPr>
              <w:jc w:val="center"/>
              <w:rPr>
                <w:rFonts w:ascii="Arial Narrow" w:hAnsi="Arial Narrow"/>
                <w:sz w:val="18"/>
                <w:szCs w:val="18"/>
              </w:rPr>
            </w:pPr>
            <w:r w:rsidRPr="00092266">
              <w:rPr>
                <w:rFonts w:ascii="Arial Narrow" w:hAnsi="Arial Narrow"/>
                <w:b/>
                <w:sz w:val="18"/>
                <w:szCs w:val="18"/>
              </w:rPr>
              <w:t>2.45 (1.31,</w:t>
            </w:r>
            <w:r w:rsidR="00E70CE4" w:rsidRPr="00092266">
              <w:rPr>
                <w:rFonts w:ascii="Arial Narrow" w:hAnsi="Arial Narrow"/>
                <w:b/>
                <w:sz w:val="18"/>
                <w:szCs w:val="18"/>
              </w:rPr>
              <w:t xml:space="preserve"> </w:t>
            </w:r>
            <w:r w:rsidRPr="00092266">
              <w:rPr>
                <w:rFonts w:ascii="Arial Narrow" w:hAnsi="Arial Narrow"/>
                <w:b/>
                <w:sz w:val="18"/>
                <w:szCs w:val="18"/>
              </w:rPr>
              <w:t>4.65)</w:t>
            </w:r>
          </w:p>
        </w:tc>
        <w:tc>
          <w:tcPr>
            <w:tcW w:w="1197" w:type="dxa"/>
            <w:vAlign w:val="center"/>
          </w:tcPr>
          <w:p w14:paraId="519A675C" w14:textId="521D4DA7" w:rsidR="004D1EA7" w:rsidRPr="00092266" w:rsidRDefault="004D1EA7" w:rsidP="004D1EA7">
            <w:pPr>
              <w:jc w:val="center"/>
              <w:rPr>
                <w:rFonts w:ascii="Arial Narrow" w:hAnsi="Arial Narrow"/>
                <w:sz w:val="18"/>
                <w:szCs w:val="18"/>
              </w:rPr>
            </w:pPr>
            <w:r w:rsidRPr="00092266">
              <w:rPr>
                <w:rFonts w:ascii="Arial Narrow" w:hAnsi="Arial Narrow"/>
                <w:sz w:val="18"/>
                <w:szCs w:val="18"/>
              </w:rPr>
              <w:t>2.45 (0.93,</w:t>
            </w:r>
            <w:r w:rsidR="00E70CE4" w:rsidRPr="00092266">
              <w:rPr>
                <w:rFonts w:ascii="Arial Narrow" w:hAnsi="Arial Narrow"/>
                <w:sz w:val="18"/>
                <w:szCs w:val="18"/>
              </w:rPr>
              <w:t xml:space="preserve"> </w:t>
            </w:r>
            <w:r w:rsidRPr="00092266">
              <w:rPr>
                <w:rFonts w:ascii="Arial Narrow" w:hAnsi="Arial Narrow"/>
                <w:sz w:val="18"/>
                <w:szCs w:val="18"/>
              </w:rPr>
              <w:t>5.88)</w:t>
            </w:r>
          </w:p>
        </w:tc>
        <w:tc>
          <w:tcPr>
            <w:tcW w:w="1196" w:type="dxa"/>
            <w:vAlign w:val="center"/>
          </w:tcPr>
          <w:p w14:paraId="2B7C0C33" w14:textId="25701CBA"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2.46 (1.31,</w:t>
            </w:r>
            <w:r w:rsidR="00E70CE4" w:rsidRPr="00092266">
              <w:rPr>
                <w:rFonts w:ascii="Arial Narrow" w:hAnsi="Arial Narrow"/>
                <w:b/>
                <w:sz w:val="18"/>
                <w:szCs w:val="18"/>
              </w:rPr>
              <w:t xml:space="preserve"> </w:t>
            </w:r>
            <w:r w:rsidRPr="00092266">
              <w:rPr>
                <w:rFonts w:ascii="Arial Narrow" w:hAnsi="Arial Narrow"/>
                <w:b/>
                <w:sz w:val="18"/>
                <w:szCs w:val="18"/>
              </w:rPr>
              <w:t>4.77)</w:t>
            </w:r>
          </w:p>
        </w:tc>
        <w:tc>
          <w:tcPr>
            <w:tcW w:w="1197" w:type="dxa"/>
            <w:vAlign w:val="center"/>
          </w:tcPr>
          <w:p w14:paraId="50ECB799" w14:textId="590AD992"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2.44 (1.10,</w:t>
            </w:r>
            <w:r w:rsidR="00E70CE4" w:rsidRPr="00092266">
              <w:rPr>
                <w:rFonts w:ascii="Arial Narrow" w:hAnsi="Arial Narrow"/>
                <w:b/>
                <w:sz w:val="18"/>
                <w:szCs w:val="18"/>
              </w:rPr>
              <w:t xml:space="preserve"> </w:t>
            </w:r>
            <w:r w:rsidRPr="00092266">
              <w:rPr>
                <w:rFonts w:ascii="Arial Narrow" w:hAnsi="Arial Narrow"/>
                <w:b/>
                <w:sz w:val="18"/>
                <w:szCs w:val="18"/>
              </w:rPr>
              <w:t>5.16)</w:t>
            </w:r>
          </w:p>
        </w:tc>
      </w:tr>
      <w:tr w:rsidR="00A63A2A" w:rsidRPr="00092266" w14:paraId="6B9427FB" w14:textId="77777777" w:rsidTr="00744475">
        <w:tc>
          <w:tcPr>
            <w:tcW w:w="1838" w:type="dxa"/>
            <w:vAlign w:val="center"/>
          </w:tcPr>
          <w:p w14:paraId="1F85796A"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UST</w:t>
            </w:r>
          </w:p>
        </w:tc>
        <w:tc>
          <w:tcPr>
            <w:tcW w:w="1196" w:type="dxa"/>
            <w:vAlign w:val="center"/>
          </w:tcPr>
          <w:p w14:paraId="5E8F915A" w14:textId="10499341" w:rsidR="004D1EA7" w:rsidRPr="00092266" w:rsidRDefault="004D1EA7" w:rsidP="004D1EA7">
            <w:pPr>
              <w:jc w:val="center"/>
              <w:rPr>
                <w:rFonts w:ascii="Arial Narrow" w:hAnsi="Arial Narrow"/>
                <w:sz w:val="18"/>
                <w:szCs w:val="18"/>
              </w:rPr>
            </w:pPr>
            <w:r w:rsidRPr="00092266">
              <w:rPr>
                <w:rFonts w:ascii="Arial Narrow" w:hAnsi="Arial Narrow"/>
                <w:sz w:val="18"/>
                <w:szCs w:val="18"/>
              </w:rPr>
              <w:t>0.80 (0.42,</w:t>
            </w:r>
            <w:r w:rsidR="00E70CE4" w:rsidRPr="00092266">
              <w:rPr>
                <w:rFonts w:ascii="Arial Narrow" w:hAnsi="Arial Narrow"/>
                <w:sz w:val="18"/>
                <w:szCs w:val="18"/>
              </w:rPr>
              <w:t xml:space="preserve"> </w:t>
            </w:r>
            <w:r w:rsidRPr="00092266">
              <w:rPr>
                <w:rFonts w:ascii="Arial Narrow" w:hAnsi="Arial Narrow"/>
                <w:sz w:val="18"/>
                <w:szCs w:val="18"/>
              </w:rPr>
              <w:t>1.52)</w:t>
            </w:r>
          </w:p>
        </w:tc>
        <w:tc>
          <w:tcPr>
            <w:tcW w:w="1197" w:type="dxa"/>
            <w:vAlign w:val="center"/>
          </w:tcPr>
          <w:p w14:paraId="44C80C3A" w14:textId="71A2D696" w:rsidR="004D1EA7" w:rsidRPr="00092266" w:rsidRDefault="004D1EA7" w:rsidP="004D1EA7">
            <w:pPr>
              <w:jc w:val="center"/>
              <w:rPr>
                <w:rFonts w:ascii="Arial Narrow" w:hAnsi="Arial Narrow"/>
                <w:sz w:val="18"/>
                <w:szCs w:val="18"/>
              </w:rPr>
            </w:pPr>
            <w:r w:rsidRPr="00092266">
              <w:rPr>
                <w:rFonts w:ascii="Arial Narrow" w:hAnsi="Arial Narrow"/>
                <w:sz w:val="18"/>
                <w:szCs w:val="18"/>
              </w:rPr>
              <w:t>0.76 (0.35,</w:t>
            </w:r>
            <w:r w:rsidR="00E70CE4" w:rsidRPr="00092266">
              <w:rPr>
                <w:rFonts w:ascii="Arial Narrow" w:hAnsi="Arial Narrow"/>
                <w:sz w:val="18"/>
                <w:szCs w:val="18"/>
              </w:rPr>
              <w:t xml:space="preserve"> </w:t>
            </w:r>
            <w:r w:rsidRPr="00092266">
              <w:rPr>
                <w:rFonts w:ascii="Arial Narrow" w:hAnsi="Arial Narrow"/>
                <w:sz w:val="18"/>
                <w:szCs w:val="18"/>
              </w:rPr>
              <w:t>1.27)</w:t>
            </w:r>
            <w:r w:rsidRPr="00092266">
              <w:rPr>
                <w:rFonts w:ascii="Arial Narrow" w:hAnsi="Arial Narrow"/>
                <w:sz w:val="18"/>
                <w:szCs w:val="18"/>
                <w:vertAlign w:val="superscript"/>
              </w:rPr>
              <w:t>b</w:t>
            </w:r>
          </w:p>
        </w:tc>
        <w:tc>
          <w:tcPr>
            <w:tcW w:w="1196" w:type="dxa"/>
            <w:vAlign w:val="center"/>
          </w:tcPr>
          <w:p w14:paraId="4989E170" w14:textId="0F0F3E9E" w:rsidR="004D1EA7" w:rsidRPr="00092266" w:rsidRDefault="004D1EA7" w:rsidP="004D1EA7">
            <w:pPr>
              <w:jc w:val="center"/>
              <w:rPr>
                <w:rFonts w:ascii="Arial Narrow" w:hAnsi="Arial Narrow"/>
                <w:sz w:val="18"/>
                <w:szCs w:val="18"/>
              </w:rPr>
            </w:pPr>
            <w:r w:rsidRPr="00092266">
              <w:rPr>
                <w:rFonts w:ascii="Arial Narrow" w:hAnsi="Arial Narrow"/>
                <w:sz w:val="18"/>
                <w:szCs w:val="18"/>
              </w:rPr>
              <w:t>0.73 (0.40,</w:t>
            </w:r>
            <w:r w:rsidR="00E70CE4" w:rsidRPr="00092266">
              <w:rPr>
                <w:rFonts w:ascii="Arial Narrow" w:hAnsi="Arial Narrow"/>
                <w:sz w:val="18"/>
                <w:szCs w:val="18"/>
              </w:rPr>
              <w:t xml:space="preserve"> </w:t>
            </w:r>
            <w:r w:rsidRPr="00092266">
              <w:rPr>
                <w:rFonts w:ascii="Arial Narrow" w:hAnsi="Arial Narrow"/>
                <w:sz w:val="18"/>
                <w:szCs w:val="18"/>
              </w:rPr>
              <w:t>1.34)</w:t>
            </w:r>
          </w:p>
        </w:tc>
        <w:tc>
          <w:tcPr>
            <w:tcW w:w="1197" w:type="dxa"/>
            <w:vAlign w:val="center"/>
          </w:tcPr>
          <w:p w14:paraId="499A73C2" w14:textId="56E1EC45" w:rsidR="004D1EA7" w:rsidRPr="00092266" w:rsidRDefault="004D1EA7" w:rsidP="004D1EA7">
            <w:pPr>
              <w:jc w:val="center"/>
              <w:rPr>
                <w:rFonts w:ascii="Arial Narrow" w:hAnsi="Arial Narrow"/>
                <w:sz w:val="18"/>
                <w:szCs w:val="18"/>
              </w:rPr>
            </w:pPr>
            <w:r w:rsidRPr="00092266">
              <w:rPr>
                <w:rFonts w:ascii="Arial Narrow" w:hAnsi="Arial Narrow"/>
                <w:sz w:val="18"/>
                <w:szCs w:val="18"/>
              </w:rPr>
              <w:t>0.74 (0.21,</w:t>
            </w:r>
            <w:r w:rsidR="00E70CE4" w:rsidRPr="00092266">
              <w:rPr>
                <w:rFonts w:ascii="Arial Narrow" w:hAnsi="Arial Narrow"/>
                <w:sz w:val="18"/>
                <w:szCs w:val="18"/>
              </w:rPr>
              <w:t xml:space="preserve"> </w:t>
            </w:r>
            <w:r w:rsidRPr="00092266">
              <w:rPr>
                <w:rFonts w:ascii="Arial Narrow" w:hAnsi="Arial Narrow"/>
                <w:sz w:val="18"/>
                <w:szCs w:val="18"/>
              </w:rPr>
              <w:t>1.60)</w:t>
            </w:r>
          </w:p>
        </w:tc>
        <w:tc>
          <w:tcPr>
            <w:tcW w:w="1196" w:type="dxa"/>
            <w:vAlign w:val="center"/>
          </w:tcPr>
          <w:p w14:paraId="4557ACCC" w14:textId="3431E7BD" w:rsidR="004D1EA7" w:rsidRPr="00092266" w:rsidRDefault="004D1EA7" w:rsidP="004D1EA7">
            <w:pPr>
              <w:jc w:val="center"/>
              <w:rPr>
                <w:rFonts w:ascii="Arial Narrow" w:hAnsi="Arial Narrow"/>
                <w:sz w:val="18"/>
                <w:szCs w:val="18"/>
              </w:rPr>
            </w:pPr>
            <w:r w:rsidRPr="00092266">
              <w:rPr>
                <w:rFonts w:ascii="Arial Narrow" w:hAnsi="Arial Narrow"/>
                <w:sz w:val="18"/>
                <w:szCs w:val="18"/>
              </w:rPr>
              <w:t>0.74 (0.40,</w:t>
            </w:r>
            <w:r w:rsidR="00E70CE4" w:rsidRPr="00092266">
              <w:rPr>
                <w:rFonts w:ascii="Arial Narrow" w:hAnsi="Arial Narrow"/>
                <w:sz w:val="18"/>
                <w:szCs w:val="18"/>
              </w:rPr>
              <w:t xml:space="preserve"> </w:t>
            </w:r>
            <w:r w:rsidRPr="00092266">
              <w:rPr>
                <w:rFonts w:ascii="Arial Narrow" w:hAnsi="Arial Narrow"/>
                <w:sz w:val="18"/>
                <w:szCs w:val="18"/>
              </w:rPr>
              <w:t>1.34)</w:t>
            </w:r>
          </w:p>
        </w:tc>
        <w:tc>
          <w:tcPr>
            <w:tcW w:w="1197" w:type="dxa"/>
            <w:vAlign w:val="center"/>
          </w:tcPr>
          <w:p w14:paraId="4F8CE759" w14:textId="7993FAE0" w:rsidR="004D1EA7" w:rsidRPr="00092266" w:rsidRDefault="004D1EA7" w:rsidP="004D1EA7">
            <w:pPr>
              <w:jc w:val="center"/>
              <w:rPr>
                <w:rFonts w:ascii="Arial Narrow" w:hAnsi="Arial Narrow"/>
                <w:sz w:val="18"/>
                <w:szCs w:val="18"/>
              </w:rPr>
            </w:pPr>
            <w:r w:rsidRPr="00092266">
              <w:rPr>
                <w:rFonts w:ascii="Arial Narrow" w:hAnsi="Arial Narrow"/>
                <w:sz w:val="18"/>
                <w:szCs w:val="18"/>
              </w:rPr>
              <w:t>0.74 (0.28,</w:t>
            </w:r>
            <w:r w:rsidR="00E70CE4" w:rsidRPr="00092266">
              <w:rPr>
                <w:rFonts w:ascii="Arial Narrow" w:hAnsi="Arial Narrow"/>
                <w:sz w:val="18"/>
                <w:szCs w:val="18"/>
              </w:rPr>
              <w:t xml:space="preserve"> </w:t>
            </w:r>
            <w:r w:rsidRPr="00092266">
              <w:rPr>
                <w:rFonts w:ascii="Arial Narrow" w:hAnsi="Arial Narrow"/>
                <w:sz w:val="18"/>
                <w:szCs w:val="18"/>
              </w:rPr>
              <w:t>1.34)</w:t>
            </w:r>
          </w:p>
        </w:tc>
      </w:tr>
      <w:tr w:rsidR="0030303D" w:rsidRPr="00092266" w14:paraId="17FDB30E" w14:textId="77777777" w:rsidTr="00A63A2A">
        <w:tc>
          <w:tcPr>
            <w:tcW w:w="9017" w:type="dxa"/>
            <w:gridSpan w:val="7"/>
            <w:vAlign w:val="center"/>
          </w:tcPr>
          <w:p w14:paraId="6F57D7C6" w14:textId="7978A445" w:rsidR="0030303D" w:rsidRPr="00092266" w:rsidRDefault="0030303D" w:rsidP="0030303D">
            <w:pPr>
              <w:jc w:val="left"/>
              <w:rPr>
                <w:rFonts w:ascii="Arial Narrow" w:hAnsi="Arial Narrow"/>
                <w:sz w:val="18"/>
                <w:szCs w:val="18"/>
              </w:rPr>
            </w:pPr>
            <w:r w:rsidRPr="00092266">
              <w:rPr>
                <w:rFonts w:ascii="Arial Narrow" w:hAnsi="Arial Narrow"/>
                <w:b/>
                <w:bCs/>
                <w:sz w:val="18"/>
                <w:szCs w:val="18"/>
              </w:rPr>
              <w:t xml:space="preserve">MAINTENANCE: Remission </w:t>
            </w:r>
            <w:r w:rsidRPr="00092266">
              <w:rPr>
                <w:rFonts w:ascii="Arial Narrow" w:hAnsi="Arial Narrow"/>
                <w:b/>
                <w:sz w:val="18"/>
                <w:szCs w:val="18"/>
              </w:rPr>
              <w:t xml:space="preserve">│ Ind. </w:t>
            </w:r>
            <w:r w:rsidR="00744475" w:rsidRPr="00092266">
              <w:rPr>
                <w:rFonts w:ascii="Arial Narrow" w:hAnsi="Arial Narrow"/>
                <w:b/>
                <w:sz w:val="18"/>
                <w:szCs w:val="18"/>
              </w:rPr>
              <w:t>R</w:t>
            </w:r>
            <w:r w:rsidRPr="00092266">
              <w:rPr>
                <w:rFonts w:ascii="Arial Narrow" w:hAnsi="Arial Narrow"/>
                <w:b/>
                <w:sz w:val="18"/>
                <w:szCs w:val="18"/>
              </w:rPr>
              <w:t>esponse</w:t>
            </w:r>
            <w:r w:rsidR="00744475" w:rsidRPr="00092266">
              <w:rPr>
                <w:rFonts w:ascii="Arial Narrow" w:hAnsi="Arial Narrow"/>
                <w:b/>
                <w:sz w:val="18"/>
                <w:szCs w:val="18"/>
              </w:rPr>
              <w:t xml:space="preserve">, </w:t>
            </w:r>
            <w:r w:rsidR="00744475" w:rsidRPr="00092266">
              <w:rPr>
                <w:rFonts w:ascii="Arial Narrow" w:hAnsi="Arial Narrow"/>
                <w:b/>
                <w:bCs/>
                <w:sz w:val="20"/>
                <w:szCs w:val="20"/>
                <w:lang w:val="it-IT"/>
              </w:rPr>
              <w:t>bDMARDs/tsDMARDs-</w:t>
            </w:r>
            <w:r w:rsidR="00E630DA" w:rsidRPr="00092266">
              <w:t xml:space="preserve"> </w:t>
            </w:r>
            <w:r w:rsidR="00E630DA" w:rsidRPr="00092266">
              <w:rPr>
                <w:rFonts w:ascii="Arial Narrow" w:hAnsi="Arial Narrow"/>
                <w:b/>
                <w:bCs/>
                <w:sz w:val="20"/>
                <w:szCs w:val="20"/>
                <w:lang w:val="it-IT"/>
              </w:rPr>
              <w:t>naïve</w:t>
            </w:r>
          </w:p>
        </w:tc>
      </w:tr>
      <w:tr w:rsidR="00A63A2A" w:rsidRPr="00092266" w14:paraId="581751B9" w14:textId="77777777" w:rsidTr="00A044D5">
        <w:trPr>
          <w:trHeight w:val="50"/>
        </w:trPr>
        <w:tc>
          <w:tcPr>
            <w:tcW w:w="1838" w:type="dxa"/>
            <w:vAlign w:val="center"/>
          </w:tcPr>
          <w:p w14:paraId="7ACAD7C1" w14:textId="5489BEB0" w:rsidR="004D1EA7" w:rsidRPr="00092266" w:rsidRDefault="004D1EA7" w:rsidP="004D1EA7">
            <w:pPr>
              <w:jc w:val="right"/>
              <w:rPr>
                <w:rFonts w:ascii="Arial Narrow" w:hAnsi="Arial Narrow"/>
                <w:sz w:val="20"/>
                <w:szCs w:val="20"/>
                <w:lang w:val="it-IT"/>
              </w:rPr>
            </w:pPr>
          </w:p>
        </w:tc>
        <w:tc>
          <w:tcPr>
            <w:tcW w:w="1196" w:type="dxa"/>
            <w:vAlign w:val="center"/>
          </w:tcPr>
          <w:p w14:paraId="52C405BE" w14:textId="77777777" w:rsidR="004D1EA7" w:rsidRPr="00092266" w:rsidRDefault="004D1EA7" w:rsidP="004D1EA7">
            <w:pPr>
              <w:jc w:val="center"/>
              <w:rPr>
                <w:rFonts w:ascii="Arial Narrow" w:hAnsi="Arial Narrow"/>
                <w:sz w:val="18"/>
                <w:szCs w:val="18"/>
              </w:rPr>
            </w:pPr>
          </w:p>
        </w:tc>
        <w:tc>
          <w:tcPr>
            <w:tcW w:w="1197" w:type="dxa"/>
            <w:vAlign w:val="center"/>
          </w:tcPr>
          <w:p w14:paraId="451D22F7" w14:textId="77777777" w:rsidR="004D1EA7" w:rsidRPr="00092266" w:rsidRDefault="004D1EA7" w:rsidP="004D1EA7">
            <w:pPr>
              <w:jc w:val="center"/>
              <w:rPr>
                <w:rFonts w:ascii="Arial Narrow" w:hAnsi="Arial Narrow"/>
                <w:sz w:val="18"/>
                <w:szCs w:val="18"/>
              </w:rPr>
            </w:pPr>
          </w:p>
        </w:tc>
        <w:tc>
          <w:tcPr>
            <w:tcW w:w="1196" w:type="dxa"/>
            <w:vAlign w:val="center"/>
          </w:tcPr>
          <w:p w14:paraId="09D32883"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r w:rsidRPr="00092266">
              <w:rPr>
                <w:rFonts w:ascii="Arial Narrow" w:hAnsi="Arial Narrow"/>
                <w:sz w:val="18"/>
                <w:szCs w:val="18"/>
                <w:vertAlign w:val="superscript"/>
              </w:rPr>
              <w:t>#</w:t>
            </w:r>
          </w:p>
        </w:tc>
        <w:tc>
          <w:tcPr>
            <w:tcW w:w="1197" w:type="dxa"/>
            <w:vAlign w:val="center"/>
          </w:tcPr>
          <w:p w14:paraId="04C5E7B6"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r w:rsidRPr="00092266">
              <w:rPr>
                <w:rFonts w:ascii="Arial Narrow" w:hAnsi="Arial Narrow"/>
                <w:sz w:val="18"/>
                <w:szCs w:val="18"/>
                <w:vertAlign w:val="superscript"/>
              </w:rPr>
              <w:t>^</w:t>
            </w:r>
          </w:p>
        </w:tc>
        <w:tc>
          <w:tcPr>
            <w:tcW w:w="1196" w:type="dxa"/>
            <w:vAlign w:val="center"/>
          </w:tcPr>
          <w:p w14:paraId="3756D47C"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c>
          <w:tcPr>
            <w:tcW w:w="1197" w:type="dxa"/>
            <w:vAlign w:val="center"/>
          </w:tcPr>
          <w:p w14:paraId="192268B3"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r>
      <w:tr w:rsidR="00A63A2A" w:rsidRPr="00092266" w14:paraId="006394F0" w14:textId="77777777" w:rsidTr="00744475">
        <w:tc>
          <w:tcPr>
            <w:tcW w:w="1838" w:type="dxa"/>
            <w:vAlign w:val="center"/>
          </w:tcPr>
          <w:p w14:paraId="11A716FA"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VDZ IV</w:t>
            </w:r>
          </w:p>
        </w:tc>
        <w:tc>
          <w:tcPr>
            <w:tcW w:w="1196" w:type="dxa"/>
            <w:vAlign w:val="center"/>
          </w:tcPr>
          <w:p w14:paraId="52293675" w14:textId="3D0C4C93" w:rsidR="004D1EA7" w:rsidRPr="00092266" w:rsidRDefault="004D1EA7" w:rsidP="004D1EA7">
            <w:pPr>
              <w:jc w:val="center"/>
              <w:rPr>
                <w:rFonts w:ascii="Arial Narrow" w:hAnsi="Arial Narrow"/>
                <w:sz w:val="18"/>
                <w:szCs w:val="18"/>
              </w:rPr>
            </w:pPr>
            <w:r w:rsidRPr="00092266">
              <w:rPr>
                <w:rFonts w:ascii="Arial Narrow" w:hAnsi="Arial Narrow"/>
                <w:sz w:val="18"/>
                <w:szCs w:val="18"/>
              </w:rPr>
              <w:t>0.72 (0.35,</w:t>
            </w:r>
            <w:r w:rsidR="00E70CE4" w:rsidRPr="00092266">
              <w:rPr>
                <w:rFonts w:ascii="Arial Narrow" w:hAnsi="Arial Narrow"/>
                <w:sz w:val="18"/>
                <w:szCs w:val="18"/>
              </w:rPr>
              <w:t xml:space="preserve"> </w:t>
            </w:r>
            <w:r w:rsidRPr="00092266">
              <w:rPr>
                <w:rFonts w:ascii="Arial Narrow" w:hAnsi="Arial Narrow"/>
                <w:sz w:val="18"/>
                <w:szCs w:val="18"/>
              </w:rPr>
              <w:t>1.46)</w:t>
            </w:r>
          </w:p>
        </w:tc>
        <w:tc>
          <w:tcPr>
            <w:tcW w:w="1197" w:type="dxa"/>
            <w:vAlign w:val="center"/>
          </w:tcPr>
          <w:p w14:paraId="121B04D7" w14:textId="1BE27E25" w:rsidR="004D1EA7" w:rsidRPr="00092266" w:rsidRDefault="004D1EA7" w:rsidP="004D1EA7">
            <w:pPr>
              <w:jc w:val="center"/>
              <w:rPr>
                <w:rFonts w:ascii="Arial Narrow" w:hAnsi="Arial Narrow"/>
                <w:sz w:val="18"/>
                <w:szCs w:val="18"/>
              </w:rPr>
            </w:pPr>
            <w:r w:rsidRPr="00092266">
              <w:rPr>
                <w:rFonts w:ascii="Arial Narrow" w:hAnsi="Arial Narrow"/>
                <w:sz w:val="18"/>
                <w:szCs w:val="18"/>
              </w:rPr>
              <w:t>0.70 (0.34,</w:t>
            </w:r>
            <w:r w:rsidR="00E70CE4" w:rsidRPr="00092266">
              <w:rPr>
                <w:rFonts w:ascii="Arial Narrow" w:hAnsi="Arial Narrow"/>
                <w:sz w:val="18"/>
                <w:szCs w:val="18"/>
              </w:rPr>
              <w:t xml:space="preserve"> </w:t>
            </w:r>
            <w:r w:rsidRPr="00092266">
              <w:rPr>
                <w:rFonts w:ascii="Arial Narrow" w:hAnsi="Arial Narrow"/>
                <w:sz w:val="18"/>
                <w:szCs w:val="18"/>
              </w:rPr>
              <w:t>1.42)</w:t>
            </w:r>
            <w:r w:rsidRPr="00092266">
              <w:rPr>
                <w:rFonts w:ascii="Arial Narrow" w:hAnsi="Arial Narrow"/>
                <w:sz w:val="18"/>
                <w:szCs w:val="18"/>
                <w:vertAlign w:val="superscript"/>
              </w:rPr>
              <w:t>a</w:t>
            </w:r>
          </w:p>
        </w:tc>
        <w:tc>
          <w:tcPr>
            <w:tcW w:w="1196" w:type="dxa"/>
            <w:vAlign w:val="center"/>
          </w:tcPr>
          <w:p w14:paraId="319579E2" w14:textId="5B0E03A4" w:rsidR="004D1EA7" w:rsidRPr="00092266" w:rsidRDefault="004D1EA7" w:rsidP="004D1EA7">
            <w:pPr>
              <w:jc w:val="center"/>
              <w:rPr>
                <w:rFonts w:ascii="Arial Narrow" w:hAnsi="Arial Narrow"/>
                <w:sz w:val="18"/>
                <w:szCs w:val="18"/>
              </w:rPr>
            </w:pPr>
            <w:r w:rsidRPr="00092266">
              <w:rPr>
                <w:rFonts w:ascii="Arial Narrow" w:hAnsi="Arial Narrow"/>
                <w:sz w:val="18"/>
                <w:szCs w:val="18"/>
              </w:rPr>
              <w:t>0.96 (0.53,</w:t>
            </w:r>
            <w:r w:rsidR="00E70CE4" w:rsidRPr="00092266">
              <w:rPr>
                <w:rFonts w:ascii="Arial Narrow" w:hAnsi="Arial Narrow"/>
                <w:sz w:val="18"/>
                <w:szCs w:val="18"/>
              </w:rPr>
              <w:t xml:space="preserve"> </w:t>
            </w:r>
            <w:r w:rsidRPr="00092266">
              <w:rPr>
                <w:rFonts w:ascii="Arial Narrow" w:hAnsi="Arial Narrow"/>
                <w:sz w:val="18"/>
                <w:szCs w:val="18"/>
              </w:rPr>
              <w:t>1.71)</w:t>
            </w:r>
          </w:p>
        </w:tc>
        <w:tc>
          <w:tcPr>
            <w:tcW w:w="1197" w:type="dxa"/>
            <w:vAlign w:val="center"/>
          </w:tcPr>
          <w:p w14:paraId="4E719B68" w14:textId="43AE9F3E"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2.61 (1.37,</w:t>
            </w:r>
            <w:r w:rsidR="00E70CE4" w:rsidRPr="00092266">
              <w:rPr>
                <w:rFonts w:ascii="Arial Narrow" w:hAnsi="Arial Narrow"/>
                <w:b/>
                <w:sz w:val="18"/>
                <w:szCs w:val="18"/>
              </w:rPr>
              <w:t xml:space="preserve"> </w:t>
            </w:r>
            <w:r w:rsidRPr="00092266">
              <w:rPr>
                <w:rFonts w:ascii="Arial Narrow" w:hAnsi="Arial Narrow"/>
                <w:b/>
                <w:sz w:val="18"/>
                <w:szCs w:val="18"/>
              </w:rPr>
              <w:t>6.24)</w:t>
            </w:r>
          </w:p>
        </w:tc>
        <w:tc>
          <w:tcPr>
            <w:tcW w:w="1196" w:type="dxa"/>
            <w:vAlign w:val="center"/>
          </w:tcPr>
          <w:p w14:paraId="7763C97B" w14:textId="1D1FE03F" w:rsidR="004D1EA7" w:rsidRPr="00092266" w:rsidRDefault="004D1EA7" w:rsidP="004D1EA7">
            <w:pPr>
              <w:jc w:val="center"/>
              <w:rPr>
                <w:rFonts w:ascii="Arial Narrow" w:hAnsi="Arial Narrow"/>
                <w:sz w:val="18"/>
                <w:szCs w:val="18"/>
              </w:rPr>
            </w:pPr>
            <w:r w:rsidRPr="00092266">
              <w:rPr>
                <w:rFonts w:ascii="Arial Narrow" w:hAnsi="Arial Narrow"/>
                <w:sz w:val="18"/>
                <w:szCs w:val="18"/>
              </w:rPr>
              <w:t>0.96 (0.55,</w:t>
            </w:r>
            <w:r w:rsidR="00E70CE4" w:rsidRPr="00092266">
              <w:rPr>
                <w:rFonts w:ascii="Arial Narrow" w:hAnsi="Arial Narrow"/>
                <w:sz w:val="18"/>
                <w:szCs w:val="18"/>
              </w:rPr>
              <w:t xml:space="preserve"> </w:t>
            </w:r>
            <w:r w:rsidRPr="00092266">
              <w:rPr>
                <w:rFonts w:ascii="Arial Narrow" w:hAnsi="Arial Narrow"/>
                <w:sz w:val="18"/>
                <w:szCs w:val="18"/>
              </w:rPr>
              <w:t>1.69)</w:t>
            </w:r>
          </w:p>
        </w:tc>
        <w:tc>
          <w:tcPr>
            <w:tcW w:w="1197" w:type="dxa"/>
            <w:vAlign w:val="center"/>
          </w:tcPr>
          <w:p w14:paraId="4A3578AE" w14:textId="6AEA98BE"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2.61 (1.37,</w:t>
            </w:r>
            <w:r w:rsidR="00E70CE4" w:rsidRPr="00092266">
              <w:rPr>
                <w:rFonts w:ascii="Arial Narrow" w:hAnsi="Arial Narrow"/>
                <w:b/>
                <w:sz w:val="18"/>
                <w:szCs w:val="18"/>
              </w:rPr>
              <w:t xml:space="preserve"> </w:t>
            </w:r>
            <w:r w:rsidRPr="00092266">
              <w:rPr>
                <w:rFonts w:ascii="Arial Narrow" w:hAnsi="Arial Narrow"/>
                <w:b/>
                <w:sz w:val="18"/>
                <w:szCs w:val="18"/>
              </w:rPr>
              <w:t>6.12)</w:t>
            </w:r>
          </w:p>
        </w:tc>
      </w:tr>
      <w:tr w:rsidR="00A63A2A" w:rsidRPr="00092266" w14:paraId="34C27A64" w14:textId="77777777" w:rsidTr="00744475">
        <w:tc>
          <w:tcPr>
            <w:tcW w:w="1838" w:type="dxa"/>
            <w:vAlign w:val="center"/>
          </w:tcPr>
          <w:p w14:paraId="075579FB"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VDZ IV/SC</w:t>
            </w:r>
          </w:p>
        </w:tc>
        <w:tc>
          <w:tcPr>
            <w:tcW w:w="1196" w:type="dxa"/>
            <w:vAlign w:val="center"/>
          </w:tcPr>
          <w:p w14:paraId="75354DE6" w14:textId="44F29248" w:rsidR="004D1EA7" w:rsidRPr="00092266" w:rsidRDefault="004D1EA7" w:rsidP="004D1EA7">
            <w:pPr>
              <w:jc w:val="center"/>
              <w:rPr>
                <w:rFonts w:ascii="Arial Narrow" w:hAnsi="Arial Narrow"/>
                <w:sz w:val="18"/>
                <w:szCs w:val="18"/>
              </w:rPr>
            </w:pPr>
            <w:r w:rsidRPr="00092266">
              <w:rPr>
                <w:rFonts w:ascii="Arial Narrow" w:hAnsi="Arial Narrow"/>
                <w:sz w:val="18"/>
                <w:szCs w:val="18"/>
              </w:rPr>
              <w:t>0.69 (0.35,</w:t>
            </w:r>
            <w:r w:rsidR="00E70CE4" w:rsidRPr="00092266">
              <w:rPr>
                <w:rFonts w:ascii="Arial Narrow" w:hAnsi="Arial Narrow"/>
                <w:sz w:val="18"/>
                <w:szCs w:val="18"/>
              </w:rPr>
              <w:t xml:space="preserve"> </w:t>
            </w:r>
            <w:r w:rsidRPr="00092266">
              <w:rPr>
                <w:rFonts w:ascii="Arial Narrow" w:hAnsi="Arial Narrow"/>
                <w:sz w:val="18"/>
                <w:szCs w:val="18"/>
              </w:rPr>
              <w:t>1.38)</w:t>
            </w:r>
          </w:p>
        </w:tc>
        <w:tc>
          <w:tcPr>
            <w:tcW w:w="1197" w:type="dxa"/>
            <w:vAlign w:val="center"/>
          </w:tcPr>
          <w:p w14:paraId="18FA7638" w14:textId="28E2A54E" w:rsidR="004D1EA7" w:rsidRPr="00092266" w:rsidRDefault="004D1EA7" w:rsidP="004D1EA7">
            <w:pPr>
              <w:jc w:val="center"/>
              <w:rPr>
                <w:rFonts w:ascii="Arial Narrow" w:hAnsi="Arial Narrow"/>
                <w:sz w:val="18"/>
                <w:szCs w:val="18"/>
              </w:rPr>
            </w:pPr>
            <w:r w:rsidRPr="00092266">
              <w:rPr>
                <w:rFonts w:ascii="Arial Narrow" w:hAnsi="Arial Narrow"/>
                <w:sz w:val="18"/>
                <w:szCs w:val="18"/>
              </w:rPr>
              <w:t>0.67 (0.34,</w:t>
            </w:r>
            <w:r w:rsidR="00E70CE4" w:rsidRPr="00092266">
              <w:rPr>
                <w:rFonts w:ascii="Arial Narrow" w:hAnsi="Arial Narrow"/>
                <w:sz w:val="18"/>
                <w:szCs w:val="18"/>
              </w:rPr>
              <w:t xml:space="preserve"> </w:t>
            </w:r>
            <w:r w:rsidRPr="00092266">
              <w:rPr>
                <w:rFonts w:ascii="Arial Narrow" w:hAnsi="Arial Narrow"/>
                <w:sz w:val="18"/>
                <w:szCs w:val="18"/>
              </w:rPr>
              <w:t>1.35)</w:t>
            </w:r>
            <w:r w:rsidRPr="00092266">
              <w:rPr>
                <w:rFonts w:ascii="Arial Narrow" w:hAnsi="Arial Narrow"/>
                <w:sz w:val="18"/>
                <w:szCs w:val="18"/>
                <w:vertAlign w:val="superscript"/>
              </w:rPr>
              <w:t>a</w:t>
            </w:r>
          </w:p>
        </w:tc>
        <w:tc>
          <w:tcPr>
            <w:tcW w:w="1196" w:type="dxa"/>
            <w:vAlign w:val="center"/>
          </w:tcPr>
          <w:p w14:paraId="5B960ED8" w14:textId="19EC7050" w:rsidR="004D1EA7" w:rsidRPr="00092266" w:rsidRDefault="004D1EA7" w:rsidP="004D1EA7">
            <w:pPr>
              <w:jc w:val="center"/>
              <w:rPr>
                <w:rFonts w:ascii="Arial Narrow" w:hAnsi="Arial Narrow"/>
                <w:sz w:val="18"/>
                <w:szCs w:val="18"/>
              </w:rPr>
            </w:pPr>
            <w:r w:rsidRPr="00092266">
              <w:rPr>
                <w:rFonts w:ascii="Arial Narrow" w:hAnsi="Arial Narrow"/>
                <w:sz w:val="18"/>
                <w:szCs w:val="18"/>
              </w:rPr>
              <w:t>0.76 (0.32,</w:t>
            </w:r>
            <w:r w:rsidR="00E70CE4" w:rsidRPr="00092266">
              <w:rPr>
                <w:rFonts w:ascii="Arial Narrow" w:hAnsi="Arial Narrow"/>
                <w:sz w:val="18"/>
                <w:szCs w:val="18"/>
              </w:rPr>
              <w:t xml:space="preserve"> </w:t>
            </w:r>
            <w:r w:rsidRPr="00092266">
              <w:rPr>
                <w:rFonts w:ascii="Arial Narrow" w:hAnsi="Arial Narrow"/>
                <w:sz w:val="18"/>
                <w:szCs w:val="18"/>
              </w:rPr>
              <w:t>1.79)</w:t>
            </w:r>
            <w:r w:rsidRPr="00092266">
              <w:rPr>
                <w:rFonts w:ascii="Arial Narrow" w:hAnsi="Arial Narrow"/>
                <w:sz w:val="18"/>
                <w:szCs w:val="18"/>
                <w:vertAlign w:val="superscript"/>
              </w:rPr>
              <w:t>j</w:t>
            </w:r>
          </w:p>
        </w:tc>
        <w:tc>
          <w:tcPr>
            <w:tcW w:w="1197" w:type="dxa"/>
            <w:vAlign w:val="center"/>
          </w:tcPr>
          <w:p w14:paraId="26C45FC5" w14:textId="1E9D71C6"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4.10 (1.42,</w:t>
            </w:r>
            <w:r w:rsidR="00E70CE4" w:rsidRPr="00092266">
              <w:rPr>
                <w:rFonts w:ascii="Arial Narrow" w:hAnsi="Arial Narrow"/>
                <w:b/>
                <w:sz w:val="18"/>
                <w:szCs w:val="18"/>
              </w:rPr>
              <w:t xml:space="preserve"> </w:t>
            </w:r>
            <w:r w:rsidRPr="00092266">
              <w:rPr>
                <w:rFonts w:ascii="Arial Narrow" w:hAnsi="Arial Narrow"/>
                <w:b/>
                <w:sz w:val="18"/>
                <w:szCs w:val="18"/>
              </w:rPr>
              <w:t>12.2)</w:t>
            </w:r>
            <w:r w:rsidRPr="00092266">
              <w:rPr>
                <w:rFonts w:ascii="Arial Narrow" w:hAnsi="Arial Narrow"/>
                <w:b/>
                <w:sz w:val="18"/>
                <w:szCs w:val="18"/>
                <w:vertAlign w:val="superscript"/>
              </w:rPr>
              <w:t>j</w:t>
            </w:r>
          </w:p>
        </w:tc>
        <w:tc>
          <w:tcPr>
            <w:tcW w:w="1196" w:type="dxa"/>
            <w:vAlign w:val="center"/>
          </w:tcPr>
          <w:p w14:paraId="569AC03D" w14:textId="19228210" w:rsidR="004D1EA7" w:rsidRPr="00092266" w:rsidRDefault="004D1EA7" w:rsidP="004D1EA7">
            <w:pPr>
              <w:jc w:val="center"/>
              <w:rPr>
                <w:rFonts w:ascii="Arial Narrow" w:hAnsi="Arial Narrow"/>
                <w:sz w:val="18"/>
                <w:szCs w:val="18"/>
              </w:rPr>
            </w:pPr>
            <w:r w:rsidRPr="00092266">
              <w:rPr>
                <w:rFonts w:ascii="Arial Narrow" w:hAnsi="Arial Narrow"/>
                <w:sz w:val="18"/>
                <w:szCs w:val="18"/>
              </w:rPr>
              <w:t>0.76 (0.32,</w:t>
            </w:r>
            <w:r w:rsidR="00E70CE4" w:rsidRPr="00092266">
              <w:rPr>
                <w:rFonts w:ascii="Arial Narrow" w:hAnsi="Arial Narrow"/>
                <w:sz w:val="18"/>
                <w:szCs w:val="18"/>
              </w:rPr>
              <w:t xml:space="preserve"> </w:t>
            </w:r>
            <w:r w:rsidRPr="00092266">
              <w:rPr>
                <w:rFonts w:ascii="Arial Narrow" w:hAnsi="Arial Narrow"/>
                <w:sz w:val="18"/>
                <w:szCs w:val="18"/>
              </w:rPr>
              <w:t>1.79)</w:t>
            </w:r>
            <w:r w:rsidRPr="00092266">
              <w:rPr>
                <w:rFonts w:ascii="Arial Narrow" w:hAnsi="Arial Narrow"/>
                <w:sz w:val="18"/>
                <w:szCs w:val="18"/>
                <w:vertAlign w:val="superscript"/>
              </w:rPr>
              <w:t>j</w:t>
            </w:r>
          </w:p>
        </w:tc>
        <w:tc>
          <w:tcPr>
            <w:tcW w:w="1197" w:type="dxa"/>
            <w:vAlign w:val="center"/>
          </w:tcPr>
          <w:p w14:paraId="09CDBC6E" w14:textId="5BE45E14"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4.13 (1.44,</w:t>
            </w:r>
            <w:r w:rsidR="00E70CE4" w:rsidRPr="00092266">
              <w:rPr>
                <w:rFonts w:ascii="Arial Narrow" w:hAnsi="Arial Narrow"/>
                <w:b/>
                <w:sz w:val="18"/>
                <w:szCs w:val="18"/>
              </w:rPr>
              <w:t xml:space="preserve"> </w:t>
            </w:r>
            <w:r w:rsidRPr="00092266">
              <w:rPr>
                <w:rFonts w:ascii="Arial Narrow" w:hAnsi="Arial Narrow"/>
                <w:b/>
                <w:sz w:val="18"/>
                <w:szCs w:val="18"/>
              </w:rPr>
              <w:t>12.0)</w:t>
            </w:r>
            <w:r w:rsidRPr="00092266">
              <w:rPr>
                <w:rFonts w:ascii="Arial Narrow" w:hAnsi="Arial Narrow"/>
                <w:b/>
                <w:sz w:val="18"/>
                <w:szCs w:val="18"/>
                <w:vertAlign w:val="superscript"/>
              </w:rPr>
              <w:t>j</w:t>
            </w:r>
          </w:p>
        </w:tc>
      </w:tr>
      <w:tr w:rsidR="00A63A2A" w:rsidRPr="00092266" w14:paraId="595C54D7" w14:textId="77777777" w:rsidTr="00744475">
        <w:tc>
          <w:tcPr>
            <w:tcW w:w="1838" w:type="dxa"/>
            <w:vAlign w:val="center"/>
          </w:tcPr>
          <w:p w14:paraId="23DE0B2C"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ADA</w:t>
            </w:r>
          </w:p>
        </w:tc>
        <w:tc>
          <w:tcPr>
            <w:tcW w:w="1196" w:type="dxa"/>
            <w:vAlign w:val="center"/>
          </w:tcPr>
          <w:p w14:paraId="185F5D58" w14:textId="2B69243C" w:rsidR="004D1EA7" w:rsidRPr="00092266" w:rsidRDefault="004D1EA7" w:rsidP="004D1EA7">
            <w:pPr>
              <w:jc w:val="center"/>
              <w:rPr>
                <w:rFonts w:ascii="Arial Narrow" w:hAnsi="Arial Narrow"/>
                <w:sz w:val="18"/>
                <w:szCs w:val="18"/>
              </w:rPr>
            </w:pPr>
            <w:r w:rsidRPr="00092266">
              <w:rPr>
                <w:rFonts w:ascii="Arial Narrow" w:hAnsi="Arial Narrow"/>
                <w:sz w:val="18"/>
                <w:szCs w:val="18"/>
              </w:rPr>
              <w:t>1.32 (0.14,12.41)</w:t>
            </w:r>
          </w:p>
        </w:tc>
        <w:tc>
          <w:tcPr>
            <w:tcW w:w="1197" w:type="dxa"/>
            <w:vAlign w:val="center"/>
          </w:tcPr>
          <w:p w14:paraId="1D8CC1F4" w14:textId="7B9FC93E" w:rsidR="004D1EA7" w:rsidRPr="00092266" w:rsidRDefault="004D1EA7" w:rsidP="004D1EA7">
            <w:pPr>
              <w:jc w:val="center"/>
              <w:rPr>
                <w:rFonts w:ascii="Arial Narrow" w:hAnsi="Arial Narrow"/>
                <w:sz w:val="18"/>
                <w:szCs w:val="18"/>
              </w:rPr>
            </w:pPr>
            <w:r w:rsidRPr="00092266">
              <w:rPr>
                <w:rFonts w:ascii="Arial Narrow" w:hAnsi="Arial Narrow"/>
                <w:sz w:val="18"/>
                <w:szCs w:val="18"/>
              </w:rPr>
              <w:t>1.28 (0.30,</w:t>
            </w:r>
            <w:r w:rsidR="00E70CE4" w:rsidRPr="00092266">
              <w:rPr>
                <w:rFonts w:ascii="Arial Narrow" w:hAnsi="Arial Narrow"/>
                <w:sz w:val="18"/>
                <w:szCs w:val="18"/>
              </w:rPr>
              <w:t xml:space="preserve"> </w:t>
            </w:r>
            <w:r w:rsidRPr="00092266">
              <w:rPr>
                <w:rFonts w:ascii="Arial Narrow" w:hAnsi="Arial Narrow"/>
                <w:sz w:val="18"/>
                <w:szCs w:val="18"/>
              </w:rPr>
              <w:t>5.41)</w:t>
            </w:r>
            <w:r w:rsidRPr="00092266">
              <w:rPr>
                <w:rFonts w:ascii="Arial Narrow" w:hAnsi="Arial Narrow"/>
                <w:sz w:val="18"/>
                <w:szCs w:val="18"/>
                <w:vertAlign w:val="superscript"/>
              </w:rPr>
              <w:t>a</w:t>
            </w:r>
          </w:p>
        </w:tc>
        <w:tc>
          <w:tcPr>
            <w:tcW w:w="1196" w:type="dxa"/>
            <w:vAlign w:val="center"/>
          </w:tcPr>
          <w:p w14:paraId="3BF95DF8" w14:textId="7E71CD8F" w:rsidR="004D1EA7" w:rsidRPr="00092266" w:rsidRDefault="004D1EA7" w:rsidP="004D1EA7">
            <w:pPr>
              <w:jc w:val="center"/>
              <w:rPr>
                <w:rFonts w:ascii="Arial Narrow" w:hAnsi="Arial Narrow"/>
                <w:sz w:val="18"/>
                <w:szCs w:val="18"/>
              </w:rPr>
            </w:pPr>
            <w:r w:rsidRPr="00092266">
              <w:rPr>
                <w:rFonts w:ascii="Arial Narrow" w:hAnsi="Arial Narrow"/>
                <w:sz w:val="18"/>
                <w:szCs w:val="18"/>
              </w:rPr>
              <w:t>1.23 (0.68,</w:t>
            </w:r>
            <w:r w:rsidR="00E70CE4" w:rsidRPr="00092266">
              <w:rPr>
                <w:rFonts w:ascii="Arial Narrow" w:hAnsi="Arial Narrow"/>
                <w:sz w:val="18"/>
                <w:szCs w:val="18"/>
              </w:rPr>
              <w:t xml:space="preserve"> </w:t>
            </w:r>
            <w:r w:rsidRPr="00092266">
              <w:rPr>
                <w:rFonts w:ascii="Arial Narrow" w:hAnsi="Arial Narrow"/>
                <w:sz w:val="18"/>
                <w:szCs w:val="18"/>
              </w:rPr>
              <w:t>2.22)</w:t>
            </w:r>
          </w:p>
        </w:tc>
        <w:tc>
          <w:tcPr>
            <w:tcW w:w="1197" w:type="dxa"/>
            <w:vAlign w:val="center"/>
          </w:tcPr>
          <w:p w14:paraId="6896D300" w14:textId="6EE7ECEC"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2.79 (1.68,</w:t>
            </w:r>
            <w:r w:rsidR="00E70CE4" w:rsidRPr="00092266">
              <w:rPr>
                <w:rFonts w:ascii="Arial Narrow" w:hAnsi="Arial Narrow"/>
                <w:b/>
                <w:sz w:val="18"/>
                <w:szCs w:val="18"/>
              </w:rPr>
              <w:t xml:space="preserve"> </w:t>
            </w:r>
            <w:r w:rsidRPr="00092266">
              <w:rPr>
                <w:rFonts w:ascii="Arial Narrow" w:hAnsi="Arial Narrow"/>
                <w:b/>
                <w:sz w:val="18"/>
                <w:szCs w:val="18"/>
              </w:rPr>
              <w:t>5.90)</w:t>
            </w:r>
          </w:p>
        </w:tc>
        <w:tc>
          <w:tcPr>
            <w:tcW w:w="1196" w:type="dxa"/>
            <w:vAlign w:val="center"/>
          </w:tcPr>
          <w:p w14:paraId="7D299404" w14:textId="527901F5" w:rsidR="004D1EA7" w:rsidRPr="00092266" w:rsidRDefault="004D1EA7" w:rsidP="004D1EA7">
            <w:pPr>
              <w:jc w:val="center"/>
              <w:rPr>
                <w:rFonts w:ascii="Arial Narrow" w:hAnsi="Arial Narrow"/>
                <w:sz w:val="18"/>
                <w:szCs w:val="18"/>
              </w:rPr>
            </w:pPr>
            <w:r w:rsidRPr="00092266">
              <w:rPr>
                <w:rFonts w:ascii="Arial Narrow" w:hAnsi="Arial Narrow"/>
                <w:sz w:val="18"/>
                <w:szCs w:val="18"/>
              </w:rPr>
              <w:t>1.23 (0.70,</w:t>
            </w:r>
            <w:r w:rsidR="00E70CE4" w:rsidRPr="00092266">
              <w:rPr>
                <w:rFonts w:ascii="Arial Narrow" w:hAnsi="Arial Narrow"/>
                <w:sz w:val="18"/>
                <w:szCs w:val="18"/>
              </w:rPr>
              <w:t xml:space="preserve"> </w:t>
            </w:r>
            <w:r w:rsidRPr="00092266">
              <w:rPr>
                <w:rFonts w:ascii="Arial Narrow" w:hAnsi="Arial Narrow"/>
                <w:sz w:val="18"/>
                <w:szCs w:val="18"/>
              </w:rPr>
              <w:t>2.19)</w:t>
            </w:r>
          </w:p>
        </w:tc>
        <w:tc>
          <w:tcPr>
            <w:tcW w:w="1197" w:type="dxa"/>
            <w:vAlign w:val="center"/>
          </w:tcPr>
          <w:p w14:paraId="3F2068AC" w14:textId="074D0753"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2.80 (1.66,</w:t>
            </w:r>
            <w:r w:rsidR="00E70CE4" w:rsidRPr="00092266">
              <w:rPr>
                <w:rFonts w:ascii="Arial Narrow" w:hAnsi="Arial Narrow"/>
                <w:b/>
                <w:sz w:val="18"/>
                <w:szCs w:val="18"/>
              </w:rPr>
              <w:t xml:space="preserve"> </w:t>
            </w:r>
            <w:r w:rsidRPr="00092266">
              <w:rPr>
                <w:rFonts w:ascii="Arial Narrow" w:hAnsi="Arial Narrow"/>
                <w:b/>
                <w:sz w:val="18"/>
                <w:szCs w:val="18"/>
              </w:rPr>
              <w:t>5.80)</w:t>
            </w:r>
          </w:p>
        </w:tc>
      </w:tr>
      <w:tr w:rsidR="00A63A2A" w:rsidRPr="00092266" w14:paraId="30227D7C" w14:textId="77777777" w:rsidTr="00744475">
        <w:tc>
          <w:tcPr>
            <w:tcW w:w="1838" w:type="dxa"/>
            <w:vAlign w:val="center"/>
          </w:tcPr>
          <w:p w14:paraId="462FAB73"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UST Q8/Q12W</w:t>
            </w:r>
          </w:p>
        </w:tc>
        <w:tc>
          <w:tcPr>
            <w:tcW w:w="1196" w:type="dxa"/>
            <w:vAlign w:val="center"/>
          </w:tcPr>
          <w:p w14:paraId="2DD13179" w14:textId="311E9D2C" w:rsidR="004D1EA7" w:rsidRPr="00092266" w:rsidRDefault="004D1EA7" w:rsidP="004D1EA7">
            <w:pPr>
              <w:jc w:val="center"/>
              <w:rPr>
                <w:rFonts w:ascii="Arial Narrow" w:hAnsi="Arial Narrow"/>
                <w:sz w:val="18"/>
                <w:szCs w:val="18"/>
              </w:rPr>
            </w:pPr>
            <w:r w:rsidRPr="00092266">
              <w:rPr>
                <w:rFonts w:ascii="Arial Narrow" w:hAnsi="Arial Narrow"/>
                <w:sz w:val="18"/>
                <w:szCs w:val="18"/>
              </w:rPr>
              <w:t>1.22 (0.59,</w:t>
            </w:r>
            <w:r w:rsidR="00E70CE4" w:rsidRPr="00092266">
              <w:rPr>
                <w:rFonts w:ascii="Arial Narrow" w:hAnsi="Arial Narrow"/>
                <w:sz w:val="18"/>
                <w:szCs w:val="18"/>
              </w:rPr>
              <w:t xml:space="preserve"> </w:t>
            </w:r>
            <w:r w:rsidRPr="00092266">
              <w:rPr>
                <w:rFonts w:ascii="Arial Narrow" w:hAnsi="Arial Narrow"/>
                <w:sz w:val="18"/>
                <w:szCs w:val="18"/>
              </w:rPr>
              <w:t>2.52)</w:t>
            </w:r>
          </w:p>
        </w:tc>
        <w:tc>
          <w:tcPr>
            <w:tcW w:w="1197" w:type="dxa"/>
            <w:vAlign w:val="center"/>
          </w:tcPr>
          <w:p w14:paraId="4D63A880" w14:textId="7E80664A" w:rsidR="004D1EA7" w:rsidRPr="00092266" w:rsidRDefault="004D1EA7" w:rsidP="004D1EA7">
            <w:pPr>
              <w:jc w:val="center"/>
              <w:rPr>
                <w:rFonts w:ascii="Arial Narrow" w:hAnsi="Arial Narrow"/>
                <w:sz w:val="18"/>
                <w:szCs w:val="18"/>
              </w:rPr>
            </w:pPr>
            <w:r w:rsidRPr="00092266">
              <w:rPr>
                <w:rFonts w:ascii="Arial Narrow" w:hAnsi="Arial Narrow"/>
                <w:sz w:val="18"/>
                <w:szCs w:val="18"/>
              </w:rPr>
              <w:t>1.19 (0.58,</w:t>
            </w:r>
            <w:r w:rsidR="00E70CE4" w:rsidRPr="00092266">
              <w:rPr>
                <w:rFonts w:ascii="Arial Narrow" w:hAnsi="Arial Narrow"/>
                <w:sz w:val="18"/>
                <w:szCs w:val="18"/>
              </w:rPr>
              <w:t xml:space="preserve"> </w:t>
            </w:r>
            <w:r w:rsidRPr="00092266">
              <w:rPr>
                <w:rFonts w:ascii="Arial Narrow" w:hAnsi="Arial Narrow"/>
                <w:sz w:val="18"/>
                <w:szCs w:val="18"/>
              </w:rPr>
              <w:t>2.45)</w:t>
            </w:r>
            <w:r w:rsidRPr="00092266">
              <w:rPr>
                <w:rFonts w:ascii="Arial Narrow" w:hAnsi="Arial Narrow"/>
                <w:sz w:val="18"/>
                <w:szCs w:val="18"/>
                <w:vertAlign w:val="superscript"/>
              </w:rPr>
              <w:t>a</w:t>
            </w:r>
          </w:p>
        </w:tc>
        <w:tc>
          <w:tcPr>
            <w:tcW w:w="1196" w:type="dxa"/>
            <w:vAlign w:val="center"/>
          </w:tcPr>
          <w:p w14:paraId="03442386" w14:textId="46DFA22A" w:rsidR="004D1EA7" w:rsidRPr="00092266" w:rsidRDefault="004D1EA7" w:rsidP="004D1EA7">
            <w:pPr>
              <w:jc w:val="center"/>
              <w:rPr>
                <w:rFonts w:ascii="Arial Narrow" w:hAnsi="Arial Narrow"/>
                <w:sz w:val="18"/>
                <w:szCs w:val="18"/>
              </w:rPr>
            </w:pPr>
            <w:r w:rsidRPr="00092266">
              <w:rPr>
                <w:rFonts w:ascii="Arial Narrow" w:hAnsi="Arial Narrow"/>
                <w:sz w:val="18"/>
                <w:szCs w:val="18"/>
              </w:rPr>
              <w:t>1.20 (0.58,</w:t>
            </w:r>
            <w:r w:rsidR="00E70CE4" w:rsidRPr="00092266">
              <w:rPr>
                <w:rFonts w:ascii="Arial Narrow" w:hAnsi="Arial Narrow"/>
                <w:sz w:val="18"/>
                <w:szCs w:val="18"/>
              </w:rPr>
              <w:t xml:space="preserve"> </w:t>
            </w:r>
            <w:r w:rsidRPr="00092266">
              <w:rPr>
                <w:rFonts w:ascii="Arial Narrow" w:hAnsi="Arial Narrow"/>
                <w:sz w:val="18"/>
                <w:szCs w:val="18"/>
              </w:rPr>
              <w:t>2.50) / 1.31 (0.65,2.65)</w:t>
            </w:r>
          </w:p>
        </w:tc>
        <w:tc>
          <w:tcPr>
            <w:tcW w:w="1197" w:type="dxa"/>
            <w:vAlign w:val="center"/>
          </w:tcPr>
          <w:p w14:paraId="68138A2B" w14:textId="2193CC88" w:rsidR="004D1EA7" w:rsidRPr="00092266" w:rsidRDefault="004D1EA7" w:rsidP="004D1EA7">
            <w:pPr>
              <w:jc w:val="center"/>
              <w:rPr>
                <w:rFonts w:ascii="Arial Narrow" w:hAnsi="Arial Narrow"/>
                <w:sz w:val="18"/>
                <w:szCs w:val="18"/>
              </w:rPr>
            </w:pPr>
            <w:r w:rsidRPr="00092266">
              <w:rPr>
                <w:rFonts w:ascii="Arial Narrow" w:hAnsi="Arial Narrow"/>
                <w:sz w:val="18"/>
                <w:szCs w:val="18"/>
              </w:rPr>
              <w:t>1.20 (0.68,</w:t>
            </w:r>
            <w:r w:rsidR="00E70CE4" w:rsidRPr="00092266">
              <w:rPr>
                <w:rFonts w:ascii="Arial Narrow" w:hAnsi="Arial Narrow"/>
                <w:sz w:val="18"/>
                <w:szCs w:val="18"/>
              </w:rPr>
              <w:t xml:space="preserve"> </w:t>
            </w:r>
            <w:r w:rsidRPr="00092266">
              <w:rPr>
                <w:rFonts w:ascii="Arial Narrow" w:hAnsi="Arial Narrow"/>
                <w:sz w:val="18"/>
                <w:szCs w:val="18"/>
              </w:rPr>
              <w:t>2.10) / 1.30 (0.77,2.24)</w:t>
            </w:r>
          </w:p>
        </w:tc>
        <w:tc>
          <w:tcPr>
            <w:tcW w:w="1196" w:type="dxa"/>
            <w:vAlign w:val="center"/>
          </w:tcPr>
          <w:p w14:paraId="50A88032" w14:textId="3AD7BB71" w:rsidR="004D1EA7" w:rsidRPr="00092266" w:rsidRDefault="004D1EA7" w:rsidP="004D1EA7">
            <w:pPr>
              <w:jc w:val="center"/>
              <w:rPr>
                <w:rFonts w:ascii="Arial Narrow" w:hAnsi="Arial Narrow"/>
                <w:sz w:val="18"/>
                <w:szCs w:val="18"/>
              </w:rPr>
            </w:pPr>
            <w:r w:rsidRPr="00092266">
              <w:rPr>
                <w:rFonts w:ascii="Arial Narrow" w:hAnsi="Arial Narrow"/>
                <w:sz w:val="18"/>
                <w:szCs w:val="18"/>
              </w:rPr>
              <w:t>1.20 (0.59,</w:t>
            </w:r>
            <w:r w:rsidR="00E70CE4" w:rsidRPr="00092266">
              <w:rPr>
                <w:rFonts w:ascii="Arial Narrow" w:hAnsi="Arial Narrow"/>
                <w:sz w:val="18"/>
                <w:szCs w:val="18"/>
              </w:rPr>
              <w:t xml:space="preserve"> </w:t>
            </w:r>
            <w:r w:rsidRPr="00092266">
              <w:rPr>
                <w:rFonts w:ascii="Arial Narrow" w:hAnsi="Arial Narrow"/>
                <w:sz w:val="18"/>
                <w:szCs w:val="18"/>
              </w:rPr>
              <w:t>2.47) / 1.31 (0.66,2.66)</w:t>
            </w:r>
          </w:p>
        </w:tc>
        <w:tc>
          <w:tcPr>
            <w:tcW w:w="1197" w:type="dxa"/>
            <w:vAlign w:val="center"/>
          </w:tcPr>
          <w:p w14:paraId="6B4AD035" w14:textId="6A8A8D62" w:rsidR="004D1EA7" w:rsidRPr="00092266" w:rsidRDefault="004D1EA7" w:rsidP="004D1EA7">
            <w:pPr>
              <w:jc w:val="center"/>
              <w:rPr>
                <w:rFonts w:ascii="Arial Narrow" w:hAnsi="Arial Narrow"/>
                <w:sz w:val="18"/>
                <w:szCs w:val="18"/>
              </w:rPr>
            </w:pPr>
            <w:r w:rsidRPr="00092266">
              <w:rPr>
                <w:rFonts w:ascii="Arial Narrow" w:hAnsi="Arial Narrow"/>
                <w:sz w:val="18"/>
                <w:szCs w:val="18"/>
              </w:rPr>
              <w:t>1.20 (0.68,</w:t>
            </w:r>
            <w:r w:rsidR="00E70CE4" w:rsidRPr="00092266">
              <w:rPr>
                <w:rFonts w:ascii="Arial Narrow" w:hAnsi="Arial Narrow"/>
                <w:sz w:val="18"/>
                <w:szCs w:val="18"/>
              </w:rPr>
              <w:t xml:space="preserve"> </w:t>
            </w:r>
            <w:r w:rsidRPr="00092266">
              <w:rPr>
                <w:rFonts w:ascii="Arial Narrow" w:hAnsi="Arial Narrow"/>
                <w:sz w:val="18"/>
                <w:szCs w:val="18"/>
              </w:rPr>
              <w:t>2.12) / 1.31 (0.77,2.22)</w:t>
            </w:r>
          </w:p>
        </w:tc>
      </w:tr>
      <w:tr w:rsidR="00744475" w:rsidRPr="00092266" w14:paraId="396DCD4C" w14:textId="77777777" w:rsidTr="00744475">
        <w:tc>
          <w:tcPr>
            <w:tcW w:w="9017" w:type="dxa"/>
            <w:gridSpan w:val="7"/>
            <w:vAlign w:val="center"/>
          </w:tcPr>
          <w:p w14:paraId="37BBC47D" w14:textId="08B5A9FA" w:rsidR="00744475" w:rsidRPr="00092266" w:rsidRDefault="00744475" w:rsidP="00744475">
            <w:pPr>
              <w:jc w:val="left"/>
              <w:rPr>
                <w:rFonts w:ascii="Arial Narrow" w:hAnsi="Arial Narrow"/>
                <w:sz w:val="18"/>
                <w:szCs w:val="18"/>
              </w:rPr>
            </w:pPr>
            <w:r w:rsidRPr="00092266">
              <w:rPr>
                <w:rFonts w:ascii="Arial Narrow" w:hAnsi="Arial Narrow"/>
                <w:b/>
                <w:bCs/>
                <w:sz w:val="18"/>
                <w:szCs w:val="18"/>
              </w:rPr>
              <w:t xml:space="preserve">MAINTENANCE: Remission </w:t>
            </w:r>
            <w:r w:rsidRPr="00092266">
              <w:rPr>
                <w:rFonts w:ascii="Arial Narrow" w:hAnsi="Arial Narrow"/>
                <w:b/>
                <w:sz w:val="18"/>
                <w:szCs w:val="18"/>
              </w:rPr>
              <w:t xml:space="preserve">│ Ind. Response, </w:t>
            </w:r>
            <w:r w:rsidRPr="00092266">
              <w:rPr>
                <w:rFonts w:ascii="Arial Narrow" w:hAnsi="Arial Narrow"/>
                <w:b/>
                <w:bCs/>
                <w:sz w:val="20"/>
                <w:szCs w:val="20"/>
                <w:lang w:val="it-IT"/>
              </w:rPr>
              <w:t>bDMARDs/tsDMARDs-</w:t>
            </w:r>
            <w:r w:rsidRPr="00092266">
              <w:rPr>
                <w:rFonts w:ascii="Arial Narrow" w:hAnsi="Arial Narrow"/>
                <w:b/>
                <w:bCs/>
                <w:sz w:val="20"/>
                <w:szCs w:val="20"/>
              </w:rPr>
              <w:t>experienced</w:t>
            </w:r>
          </w:p>
        </w:tc>
      </w:tr>
      <w:tr w:rsidR="00A63A2A" w:rsidRPr="00092266" w14:paraId="0889ADA5" w14:textId="77777777" w:rsidTr="00744475">
        <w:tc>
          <w:tcPr>
            <w:tcW w:w="1838" w:type="dxa"/>
            <w:vAlign w:val="center"/>
          </w:tcPr>
          <w:p w14:paraId="3634DE2E" w14:textId="622D084E" w:rsidR="004D1EA7" w:rsidRPr="00092266" w:rsidRDefault="004D1EA7" w:rsidP="004D1EA7">
            <w:pPr>
              <w:jc w:val="right"/>
              <w:rPr>
                <w:rFonts w:ascii="Arial Narrow" w:hAnsi="Arial Narrow"/>
                <w:sz w:val="20"/>
                <w:szCs w:val="20"/>
                <w:lang w:val="it-IT"/>
              </w:rPr>
            </w:pPr>
          </w:p>
        </w:tc>
        <w:tc>
          <w:tcPr>
            <w:tcW w:w="1196" w:type="dxa"/>
            <w:vAlign w:val="center"/>
          </w:tcPr>
          <w:p w14:paraId="253C6646" w14:textId="77777777" w:rsidR="004D1EA7" w:rsidRPr="00092266" w:rsidRDefault="004D1EA7" w:rsidP="004D1EA7">
            <w:pPr>
              <w:jc w:val="center"/>
              <w:rPr>
                <w:rFonts w:ascii="Arial Narrow" w:hAnsi="Arial Narrow"/>
                <w:sz w:val="18"/>
                <w:szCs w:val="18"/>
              </w:rPr>
            </w:pPr>
          </w:p>
        </w:tc>
        <w:tc>
          <w:tcPr>
            <w:tcW w:w="1197" w:type="dxa"/>
            <w:vAlign w:val="center"/>
          </w:tcPr>
          <w:p w14:paraId="192C63EC" w14:textId="77777777" w:rsidR="004D1EA7" w:rsidRPr="00092266" w:rsidRDefault="004D1EA7" w:rsidP="004D1EA7">
            <w:pPr>
              <w:jc w:val="center"/>
              <w:rPr>
                <w:rFonts w:ascii="Arial Narrow" w:hAnsi="Arial Narrow"/>
                <w:sz w:val="18"/>
                <w:szCs w:val="18"/>
              </w:rPr>
            </w:pPr>
          </w:p>
        </w:tc>
        <w:tc>
          <w:tcPr>
            <w:tcW w:w="1196" w:type="dxa"/>
            <w:vAlign w:val="center"/>
          </w:tcPr>
          <w:p w14:paraId="57021C11" w14:textId="77777777" w:rsidR="004D1EA7" w:rsidRPr="00092266" w:rsidRDefault="004D1EA7" w:rsidP="004D1EA7">
            <w:pPr>
              <w:jc w:val="center"/>
              <w:rPr>
                <w:rFonts w:ascii="Arial Narrow" w:hAnsi="Arial Narrow"/>
                <w:sz w:val="18"/>
                <w:szCs w:val="18"/>
                <w:vertAlign w:val="superscript"/>
              </w:rPr>
            </w:pPr>
            <w:r w:rsidRPr="00092266">
              <w:rPr>
                <w:rFonts w:ascii="Arial Narrow" w:hAnsi="Arial Narrow"/>
                <w:sz w:val="18"/>
                <w:szCs w:val="18"/>
              </w:rPr>
              <w:t>FE</w:t>
            </w:r>
            <w:r w:rsidRPr="00092266">
              <w:rPr>
                <w:rFonts w:ascii="Arial Narrow" w:hAnsi="Arial Narrow"/>
                <w:sz w:val="18"/>
                <w:szCs w:val="18"/>
                <w:vertAlign w:val="superscript"/>
              </w:rPr>
              <w:sym w:font="Symbol" w:char="F0E0"/>
            </w:r>
          </w:p>
        </w:tc>
        <w:tc>
          <w:tcPr>
            <w:tcW w:w="1197" w:type="dxa"/>
            <w:vAlign w:val="center"/>
          </w:tcPr>
          <w:p w14:paraId="06FB8F05" w14:textId="77777777" w:rsidR="004D1EA7" w:rsidRPr="00092266" w:rsidRDefault="004D1EA7" w:rsidP="004D1EA7">
            <w:pPr>
              <w:jc w:val="center"/>
              <w:rPr>
                <w:rFonts w:ascii="Arial Narrow" w:hAnsi="Arial Narrow"/>
                <w:sz w:val="18"/>
                <w:szCs w:val="18"/>
                <w:vertAlign w:val="superscript"/>
              </w:rPr>
            </w:pPr>
            <w:r w:rsidRPr="00092266">
              <w:rPr>
                <w:rFonts w:ascii="Arial Narrow" w:hAnsi="Arial Narrow"/>
                <w:sz w:val="18"/>
                <w:szCs w:val="18"/>
              </w:rPr>
              <w:t>FE</w:t>
            </w:r>
            <w:r w:rsidRPr="00092266">
              <w:rPr>
                <w:rFonts w:ascii="Arial Narrow" w:hAnsi="Arial Narrow"/>
                <w:sz w:val="18"/>
                <w:szCs w:val="18"/>
                <w:vertAlign w:val="superscript"/>
              </w:rPr>
              <w:t>‡</w:t>
            </w:r>
          </w:p>
        </w:tc>
        <w:tc>
          <w:tcPr>
            <w:tcW w:w="1196" w:type="dxa"/>
            <w:vAlign w:val="center"/>
          </w:tcPr>
          <w:p w14:paraId="7BAA7A4B"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c>
          <w:tcPr>
            <w:tcW w:w="1197" w:type="dxa"/>
            <w:vAlign w:val="center"/>
          </w:tcPr>
          <w:p w14:paraId="56229A63"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r>
      <w:tr w:rsidR="00A63A2A" w:rsidRPr="00092266" w14:paraId="380CA5FD" w14:textId="77777777" w:rsidTr="00744475">
        <w:tc>
          <w:tcPr>
            <w:tcW w:w="1838" w:type="dxa"/>
            <w:vAlign w:val="center"/>
          </w:tcPr>
          <w:p w14:paraId="24D75914"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VDZ IV</w:t>
            </w:r>
          </w:p>
        </w:tc>
        <w:tc>
          <w:tcPr>
            <w:tcW w:w="1196" w:type="dxa"/>
            <w:vAlign w:val="center"/>
          </w:tcPr>
          <w:p w14:paraId="74810857" w14:textId="605EEB0D" w:rsidR="004D1EA7" w:rsidRPr="00092266" w:rsidRDefault="004D1EA7" w:rsidP="004D1EA7">
            <w:pPr>
              <w:jc w:val="center"/>
              <w:rPr>
                <w:rFonts w:ascii="Arial Narrow" w:hAnsi="Arial Narrow"/>
                <w:sz w:val="18"/>
                <w:szCs w:val="18"/>
              </w:rPr>
            </w:pPr>
            <w:r w:rsidRPr="00092266">
              <w:rPr>
                <w:rFonts w:ascii="Arial Narrow" w:hAnsi="Arial Narrow"/>
                <w:sz w:val="18"/>
                <w:szCs w:val="18"/>
              </w:rPr>
              <w:t>0.63 (0.18,</w:t>
            </w:r>
            <w:r w:rsidR="00E70CE4" w:rsidRPr="00092266">
              <w:rPr>
                <w:rFonts w:ascii="Arial Narrow" w:hAnsi="Arial Narrow"/>
                <w:sz w:val="18"/>
                <w:szCs w:val="18"/>
              </w:rPr>
              <w:t xml:space="preserve"> </w:t>
            </w:r>
            <w:r w:rsidRPr="00092266">
              <w:rPr>
                <w:rFonts w:ascii="Arial Narrow" w:hAnsi="Arial Narrow"/>
                <w:sz w:val="18"/>
                <w:szCs w:val="18"/>
              </w:rPr>
              <w:t>2.19)</w:t>
            </w:r>
          </w:p>
        </w:tc>
        <w:tc>
          <w:tcPr>
            <w:tcW w:w="1197" w:type="dxa"/>
            <w:vAlign w:val="center"/>
          </w:tcPr>
          <w:p w14:paraId="1529D4AA" w14:textId="4AA41DB5" w:rsidR="004D1EA7" w:rsidRPr="00092266" w:rsidRDefault="004D1EA7" w:rsidP="004D1EA7">
            <w:pPr>
              <w:jc w:val="center"/>
              <w:rPr>
                <w:rFonts w:ascii="Arial Narrow" w:hAnsi="Arial Narrow"/>
                <w:sz w:val="18"/>
                <w:szCs w:val="18"/>
              </w:rPr>
            </w:pPr>
            <w:r w:rsidRPr="00092266">
              <w:rPr>
                <w:rFonts w:ascii="Arial Narrow" w:hAnsi="Arial Narrow"/>
                <w:sz w:val="18"/>
                <w:szCs w:val="18"/>
              </w:rPr>
              <w:t>0.66 (0.19,</w:t>
            </w:r>
            <w:r w:rsidR="00E70CE4" w:rsidRPr="00092266">
              <w:rPr>
                <w:rFonts w:ascii="Arial Narrow" w:hAnsi="Arial Narrow"/>
                <w:sz w:val="18"/>
                <w:szCs w:val="18"/>
              </w:rPr>
              <w:t xml:space="preserve"> </w:t>
            </w:r>
            <w:r w:rsidRPr="00092266">
              <w:rPr>
                <w:rFonts w:ascii="Arial Narrow" w:hAnsi="Arial Narrow"/>
                <w:sz w:val="18"/>
                <w:szCs w:val="18"/>
              </w:rPr>
              <w:t>2.31)</w:t>
            </w:r>
            <w:r w:rsidRPr="00092266">
              <w:rPr>
                <w:rFonts w:ascii="Arial Narrow" w:hAnsi="Arial Narrow"/>
                <w:sz w:val="18"/>
                <w:szCs w:val="18"/>
                <w:vertAlign w:val="superscript"/>
              </w:rPr>
              <w:t>b</w:t>
            </w:r>
          </w:p>
        </w:tc>
        <w:tc>
          <w:tcPr>
            <w:tcW w:w="1196" w:type="dxa"/>
            <w:vAlign w:val="center"/>
          </w:tcPr>
          <w:p w14:paraId="00D03655" w14:textId="15147DF3" w:rsidR="004D1EA7" w:rsidRPr="00092266" w:rsidRDefault="004D1EA7" w:rsidP="004D1EA7">
            <w:pPr>
              <w:jc w:val="center"/>
              <w:rPr>
                <w:rFonts w:ascii="Arial Narrow" w:hAnsi="Arial Narrow"/>
                <w:sz w:val="18"/>
                <w:szCs w:val="18"/>
              </w:rPr>
            </w:pPr>
            <w:r w:rsidRPr="00092266">
              <w:rPr>
                <w:rFonts w:ascii="Arial Narrow" w:hAnsi="Arial Narrow"/>
                <w:sz w:val="18"/>
                <w:szCs w:val="18"/>
              </w:rPr>
              <w:t>1.78 (0.72,</w:t>
            </w:r>
            <w:r w:rsidR="00E70CE4" w:rsidRPr="00092266">
              <w:rPr>
                <w:rFonts w:ascii="Arial Narrow" w:hAnsi="Arial Narrow"/>
                <w:sz w:val="18"/>
                <w:szCs w:val="18"/>
              </w:rPr>
              <w:t xml:space="preserve"> </w:t>
            </w:r>
            <w:r w:rsidRPr="00092266">
              <w:rPr>
                <w:rFonts w:ascii="Arial Narrow" w:hAnsi="Arial Narrow"/>
                <w:sz w:val="18"/>
                <w:szCs w:val="18"/>
              </w:rPr>
              <w:t>4.71)</w:t>
            </w:r>
          </w:p>
        </w:tc>
        <w:tc>
          <w:tcPr>
            <w:tcW w:w="1197" w:type="dxa"/>
            <w:vAlign w:val="center"/>
          </w:tcPr>
          <w:p w14:paraId="4EC113AD" w14:textId="4E309AE9"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3.42 (1.68,</w:t>
            </w:r>
            <w:r w:rsidR="00E70CE4" w:rsidRPr="00092266">
              <w:rPr>
                <w:rFonts w:ascii="Arial Narrow" w:hAnsi="Arial Narrow"/>
                <w:b/>
                <w:sz w:val="18"/>
                <w:szCs w:val="18"/>
              </w:rPr>
              <w:t xml:space="preserve"> </w:t>
            </w:r>
            <w:r w:rsidRPr="00092266">
              <w:rPr>
                <w:rFonts w:ascii="Arial Narrow" w:hAnsi="Arial Narrow"/>
                <w:b/>
                <w:sz w:val="18"/>
                <w:szCs w:val="18"/>
              </w:rPr>
              <w:t>7.81)</w:t>
            </w:r>
          </w:p>
        </w:tc>
        <w:tc>
          <w:tcPr>
            <w:tcW w:w="1196" w:type="dxa"/>
            <w:vAlign w:val="center"/>
          </w:tcPr>
          <w:p w14:paraId="601CA18C" w14:textId="39B3A8FF" w:rsidR="004D1EA7" w:rsidRPr="00092266" w:rsidRDefault="004D1EA7" w:rsidP="004D1EA7">
            <w:pPr>
              <w:jc w:val="center"/>
              <w:rPr>
                <w:rFonts w:ascii="Arial Narrow" w:hAnsi="Arial Narrow"/>
                <w:sz w:val="18"/>
                <w:szCs w:val="18"/>
              </w:rPr>
            </w:pPr>
            <w:r w:rsidRPr="00092266">
              <w:rPr>
                <w:rFonts w:ascii="Arial Narrow" w:hAnsi="Arial Narrow"/>
                <w:sz w:val="18"/>
                <w:szCs w:val="18"/>
              </w:rPr>
              <w:t>0.90 (0.37,</w:t>
            </w:r>
            <w:r w:rsidR="00E70CE4" w:rsidRPr="00092266">
              <w:rPr>
                <w:rFonts w:ascii="Arial Narrow" w:hAnsi="Arial Narrow"/>
                <w:sz w:val="18"/>
                <w:szCs w:val="18"/>
              </w:rPr>
              <w:t xml:space="preserve"> </w:t>
            </w:r>
            <w:r w:rsidRPr="00092266">
              <w:rPr>
                <w:rFonts w:ascii="Arial Narrow" w:hAnsi="Arial Narrow"/>
                <w:sz w:val="18"/>
                <w:szCs w:val="18"/>
              </w:rPr>
              <w:t>2.20)</w:t>
            </w:r>
          </w:p>
        </w:tc>
        <w:tc>
          <w:tcPr>
            <w:tcW w:w="1197" w:type="dxa"/>
            <w:vAlign w:val="center"/>
          </w:tcPr>
          <w:p w14:paraId="456E6B06" w14:textId="2442E26E" w:rsidR="004D1EA7" w:rsidRPr="00092266" w:rsidRDefault="004D1EA7" w:rsidP="004D1EA7">
            <w:pPr>
              <w:jc w:val="center"/>
              <w:rPr>
                <w:rFonts w:ascii="Arial Narrow" w:hAnsi="Arial Narrow"/>
                <w:sz w:val="18"/>
                <w:szCs w:val="18"/>
              </w:rPr>
            </w:pPr>
            <w:r w:rsidRPr="00092266">
              <w:rPr>
                <w:rFonts w:ascii="Arial Narrow" w:hAnsi="Arial Narrow"/>
                <w:sz w:val="18"/>
                <w:szCs w:val="18"/>
              </w:rPr>
              <w:t>1.02 (0.07,</w:t>
            </w:r>
            <w:r w:rsidR="00E70CE4" w:rsidRPr="00092266">
              <w:rPr>
                <w:rFonts w:ascii="Arial Narrow" w:hAnsi="Arial Narrow"/>
                <w:sz w:val="18"/>
                <w:szCs w:val="18"/>
              </w:rPr>
              <w:t xml:space="preserve"> </w:t>
            </w:r>
            <w:r w:rsidRPr="00092266">
              <w:rPr>
                <w:rFonts w:ascii="Arial Narrow" w:hAnsi="Arial Narrow"/>
                <w:sz w:val="18"/>
                <w:szCs w:val="18"/>
              </w:rPr>
              <w:t>3.10)</w:t>
            </w:r>
          </w:p>
        </w:tc>
      </w:tr>
      <w:tr w:rsidR="00A63A2A" w:rsidRPr="00092266" w14:paraId="18445123" w14:textId="77777777" w:rsidTr="00744475">
        <w:tc>
          <w:tcPr>
            <w:tcW w:w="1838" w:type="dxa"/>
            <w:vAlign w:val="center"/>
          </w:tcPr>
          <w:p w14:paraId="5848A876"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VDZ IV/SC</w:t>
            </w:r>
          </w:p>
        </w:tc>
        <w:tc>
          <w:tcPr>
            <w:tcW w:w="1196" w:type="dxa"/>
            <w:vAlign w:val="center"/>
          </w:tcPr>
          <w:p w14:paraId="767390A1" w14:textId="5AA9EBEA" w:rsidR="004D1EA7" w:rsidRPr="00092266" w:rsidRDefault="004D1EA7" w:rsidP="004D1EA7">
            <w:pPr>
              <w:jc w:val="center"/>
              <w:rPr>
                <w:rFonts w:ascii="Arial Narrow" w:hAnsi="Arial Narrow"/>
                <w:sz w:val="18"/>
                <w:szCs w:val="18"/>
              </w:rPr>
            </w:pPr>
            <w:r w:rsidRPr="00092266">
              <w:rPr>
                <w:rFonts w:ascii="Arial Narrow" w:hAnsi="Arial Narrow"/>
                <w:sz w:val="18"/>
                <w:szCs w:val="18"/>
              </w:rPr>
              <w:t>0.60 (0.17,</w:t>
            </w:r>
            <w:r w:rsidR="00E70CE4" w:rsidRPr="00092266">
              <w:rPr>
                <w:rFonts w:ascii="Arial Narrow" w:hAnsi="Arial Narrow"/>
                <w:sz w:val="18"/>
                <w:szCs w:val="18"/>
              </w:rPr>
              <w:t xml:space="preserve"> </w:t>
            </w:r>
            <w:r w:rsidRPr="00092266">
              <w:rPr>
                <w:rFonts w:ascii="Arial Narrow" w:hAnsi="Arial Narrow"/>
                <w:sz w:val="18"/>
                <w:szCs w:val="18"/>
              </w:rPr>
              <w:t>2.08)</w:t>
            </w:r>
          </w:p>
        </w:tc>
        <w:tc>
          <w:tcPr>
            <w:tcW w:w="1197" w:type="dxa"/>
            <w:vAlign w:val="center"/>
          </w:tcPr>
          <w:p w14:paraId="4A80618E" w14:textId="290049A7" w:rsidR="004D1EA7" w:rsidRPr="00092266" w:rsidRDefault="004D1EA7" w:rsidP="004D1EA7">
            <w:pPr>
              <w:jc w:val="center"/>
              <w:rPr>
                <w:rFonts w:ascii="Arial Narrow" w:hAnsi="Arial Narrow"/>
                <w:sz w:val="18"/>
                <w:szCs w:val="18"/>
              </w:rPr>
            </w:pPr>
            <w:r w:rsidRPr="00092266">
              <w:rPr>
                <w:rFonts w:ascii="Arial Narrow" w:hAnsi="Arial Narrow"/>
                <w:sz w:val="18"/>
                <w:szCs w:val="18"/>
              </w:rPr>
              <w:t>0.64 (0.18,</w:t>
            </w:r>
            <w:r w:rsidR="00F82DD3" w:rsidRPr="00092266">
              <w:rPr>
                <w:rFonts w:ascii="Arial Narrow" w:hAnsi="Arial Narrow"/>
                <w:sz w:val="18"/>
                <w:szCs w:val="18"/>
              </w:rPr>
              <w:t xml:space="preserve"> </w:t>
            </w:r>
            <w:r w:rsidRPr="00092266">
              <w:rPr>
                <w:rFonts w:ascii="Arial Narrow" w:hAnsi="Arial Narrow"/>
                <w:sz w:val="18"/>
                <w:szCs w:val="18"/>
              </w:rPr>
              <w:t>2.20)</w:t>
            </w:r>
            <w:r w:rsidRPr="00092266">
              <w:rPr>
                <w:rFonts w:ascii="Arial Narrow" w:hAnsi="Arial Narrow"/>
                <w:sz w:val="18"/>
                <w:szCs w:val="18"/>
                <w:vertAlign w:val="superscript"/>
              </w:rPr>
              <w:t>b</w:t>
            </w:r>
          </w:p>
        </w:tc>
        <w:tc>
          <w:tcPr>
            <w:tcW w:w="1196" w:type="dxa"/>
            <w:vAlign w:val="center"/>
          </w:tcPr>
          <w:p w14:paraId="3A2B622C" w14:textId="0B164298" w:rsidR="004D1EA7" w:rsidRPr="00092266" w:rsidRDefault="004D1EA7" w:rsidP="004D1EA7">
            <w:pPr>
              <w:jc w:val="center"/>
              <w:rPr>
                <w:rFonts w:ascii="Arial Narrow" w:hAnsi="Arial Narrow"/>
                <w:sz w:val="18"/>
                <w:szCs w:val="18"/>
              </w:rPr>
            </w:pPr>
            <w:r w:rsidRPr="00092266">
              <w:rPr>
                <w:rFonts w:ascii="Arial Narrow" w:hAnsi="Arial Narrow"/>
                <w:sz w:val="18"/>
                <w:szCs w:val="18"/>
              </w:rPr>
              <w:t>0.98 (0.25,</w:t>
            </w:r>
            <w:r w:rsidR="00F82DD3" w:rsidRPr="00092266">
              <w:rPr>
                <w:rFonts w:ascii="Arial Narrow" w:hAnsi="Arial Narrow"/>
                <w:sz w:val="18"/>
                <w:szCs w:val="18"/>
              </w:rPr>
              <w:t xml:space="preserve"> </w:t>
            </w:r>
            <w:r w:rsidRPr="00092266">
              <w:rPr>
                <w:rFonts w:ascii="Arial Narrow" w:hAnsi="Arial Narrow"/>
                <w:sz w:val="18"/>
                <w:szCs w:val="18"/>
              </w:rPr>
              <w:t>3.87)</w:t>
            </w:r>
            <w:r w:rsidRPr="00092266">
              <w:rPr>
                <w:rFonts w:ascii="Arial Narrow" w:hAnsi="Arial Narrow"/>
                <w:sz w:val="18"/>
                <w:szCs w:val="18"/>
                <w:vertAlign w:val="superscript"/>
              </w:rPr>
              <w:t>j</w:t>
            </w:r>
          </w:p>
        </w:tc>
        <w:tc>
          <w:tcPr>
            <w:tcW w:w="1197" w:type="dxa"/>
            <w:vAlign w:val="center"/>
          </w:tcPr>
          <w:p w14:paraId="2D6206CE" w14:textId="1D2C78E6" w:rsidR="004D1EA7" w:rsidRPr="00092266" w:rsidRDefault="00744475" w:rsidP="004D1EA7">
            <w:pPr>
              <w:jc w:val="center"/>
              <w:rPr>
                <w:rFonts w:ascii="Arial Narrow" w:hAnsi="Arial Narrow"/>
                <w:b/>
                <w:sz w:val="18"/>
                <w:szCs w:val="18"/>
              </w:rPr>
            </w:pPr>
            <w:r w:rsidRPr="00092266">
              <w:rPr>
                <w:rFonts w:ascii="Arial Narrow" w:hAnsi="Arial Narrow"/>
                <w:b/>
                <w:sz w:val="18"/>
                <w:szCs w:val="18"/>
              </w:rPr>
              <w:t>4.67</w:t>
            </w:r>
            <w:r w:rsidR="004D1EA7" w:rsidRPr="00092266">
              <w:rPr>
                <w:rFonts w:ascii="Arial Narrow" w:hAnsi="Arial Narrow"/>
                <w:b/>
                <w:sz w:val="18"/>
                <w:szCs w:val="18"/>
              </w:rPr>
              <w:t>(1.19,19.40)</w:t>
            </w:r>
            <w:r w:rsidR="004D1EA7" w:rsidRPr="00092266">
              <w:rPr>
                <w:rFonts w:ascii="Arial Narrow" w:hAnsi="Arial Narrow"/>
                <w:b/>
                <w:sz w:val="18"/>
                <w:szCs w:val="18"/>
                <w:vertAlign w:val="superscript"/>
              </w:rPr>
              <w:t>j</w:t>
            </w:r>
          </w:p>
        </w:tc>
        <w:tc>
          <w:tcPr>
            <w:tcW w:w="1196" w:type="dxa"/>
            <w:vAlign w:val="center"/>
          </w:tcPr>
          <w:p w14:paraId="24ABD7FE" w14:textId="4E26C8B9" w:rsidR="004D1EA7" w:rsidRPr="00092266" w:rsidRDefault="004D1EA7" w:rsidP="004D1EA7">
            <w:pPr>
              <w:jc w:val="center"/>
              <w:rPr>
                <w:rFonts w:ascii="Arial Narrow" w:hAnsi="Arial Narrow"/>
                <w:sz w:val="18"/>
                <w:szCs w:val="18"/>
              </w:rPr>
            </w:pPr>
            <w:r w:rsidRPr="00092266">
              <w:rPr>
                <w:rFonts w:ascii="Arial Narrow" w:hAnsi="Arial Narrow"/>
                <w:sz w:val="18"/>
                <w:szCs w:val="18"/>
              </w:rPr>
              <w:t>0.63 (0.17,</w:t>
            </w:r>
            <w:r w:rsidR="00F82DD3" w:rsidRPr="00092266">
              <w:rPr>
                <w:rFonts w:ascii="Arial Narrow" w:hAnsi="Arial Narrow"/>
                <w:sz w:val="18"/>
                <w:szCs w:val="18"/>
              </w:rPr>
              <w:t xml:space="preserve"> </w:t>
            </w:r>
            <w:r w:rsidRPr="00092266">
              <w:rPr>
                <w:rFonts w:ascii="Arial Narrow" w:hAnsi="Arial Narrow"/>
                <w:sz w:val="18"/>
                <w:szCs w:val="18"/>
              </w:rPr>
              <w:t>2.26)</w:t>
            </w:r>
            <w:r w:rsidRPr="00092266">
              <w:rPr>
                <w:rFonts w:ascii="Arial Narrow" w:hAnsi="Arial Narrow"/>
                <w:sz w:val="18"/>
                <w:szCs w:val="18"/>
                <w:vertAlign w:val="superscript"/>
              </w:rPr>
              <w:t>j</w:t>
            </w:r>
          </w:p>
        </w:tc>
        <w:tc>
          <w:tcPr>
            <w:tcW w:w="1197" w:type="dxa"/>
            <w:vAlign w:val="center"/>
          </w:tcPr>
          <w:p w14:paraId="6F89E5DD" w14:textId="40EF51C0" w:rsidR="004D1EA7" w:rsidRPr="00092266" w:rsidRDefault="004D1EA7" w:rsidP="004D1EA7">
            <w:pPr>
              <w:jc w:val="center"/>
              <w:rPr>
                <w:rFonts w:ascii="Arial Narrow" w:hAnsi="Arial Narrow"/>
                <w:sz w:val="18"/>
                <w:szCs w:val="18"/>
              </w:rPr>
            </w:pPr>
            <w:r w:rsidRPr="00092266">
              <w:rPr>
                <w:rFonts w:ascii="Arial Narrow" w:hAnsi="Arial Narrow"/>
                <w:sz w:val="18"/>
                <w:szCs w:val="18"/>
              </w:rPr>
              <w:t>0.74 (0.04,</w:t>
            </w:r>
            <w:r w:rsidR="00F82DD3" w:rsidRPr="00092266">
              <w:rPr>
                <w:rFonts w:ascii="Arial Narrow" w:hAnsi="Arial Narrow"/>
                <w:sz w:val="18"/>
                <w:szCs w:val="18"/>
              </w:rPr>
              <w:t xml:space="preserve"> </w:t>
            </w:r>
            <w:r w:rsidRPr="00092266">
              <w:rPr>
                <w:rFonts w:ascii="Arial Narrow" w:hAnsi="Arial Narrow"/>
                <w:sz w:val="18"/>
                <w:szCs w:val="18"/>
              </w:rPr>
              <w:t>5.26)</w:t>
            </w:r>
          </w:p>
        </w:tc>
      </w:tr>
      <w:tr w:rsidR="00A63A2A" w:rsidRPr="00092266" w14:paraId="7C92BD83" w14:textId="77777777" w:rsidTr="00744475">
        <w:tc>
          <w:tcPr>
            <w:tcW w:w="1838" w:type="dxa"/>
            <w:vAlign w:val="center"/>
          </w:tcPr>
          <w:p w14:paraId="0FE97D51"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ADA</w:t>
            </w:r>
          </w:p>
        </w:tc>
        <w:tc>
          <w:tcPr>
            <w:tcW w:w="1196" w:type="dxa"/>
            <w:vAlign w:val="center"/>
          </w:tcPr>
          <w:p w14:paraId="0B79387D" w14:textId="382005D9" w:rsidR="004D1EA7" w:rsidRPr="00092266" w:rsidRDefault="004D1EA7" w:rsidP="004D1EA7">
            <w:pPr>
              <w:jc w:val="center"/>
              <w:rPr>
                <w:rFonts w:ascii="Arial Narrow" w:hAnsi="Arial Narrow"/>
                <w:sz w:val="18"/>
                <w:szCs w:val="18"/>
              </w:rPr>
            </w:pPr>
            <w:r w:rsidRPr="00092266">
              <w:rPr>
                <w:rFonts w:ascii="Arial Narrow" w:hAnsi="Arial Narrow"/>
                <w:sz w:val="18"/>
                <w:szCs w:val="18"/>
              </w:rPr>
              <w:t>1.86 (0.37,</w:t>
            </w:r>
            <w:r w:rsidR="00F82DD3" w:rsidRPr="00092266">
              <w:rPr>
                <w:rFonts w:ascii="Arial Narrow" w:hAnsi="Arial Narrow"/>
                <w:sz w:val="18"/>
                <w:szCs w:val="18"/>
              </w:rPr>
              <w:t xml:space="preserve"> </w:t>
            </w:r>
            <w:r w:rsidRPr="00092266">
              <w:rPr>
                <w:rFonts w:ascii="Arial Narrow" w:hAnsi="Arial Narrow"/>
                <w:sz w:val="18"/>
                <w:szCs w:val="18"/>
              </w:rPr>
              <w:t>9.41)</w:t>
            </w:r>
          </w:p>
        </w:tc>
        <w:tc>
          <w:tcPr>
            <w:tcW w:w="1197" w:type="dxa"/>
            <w:vAlign w:val="center"/>
          </w:tcPr>
          <w:p w14:paraId="4478BF65" w14:textId="4444404D" w:rsidR="004D1EA7" w:rsidRPr="00092266" w:rsidRDefault="00744475" w:rsidP="004D1EA7">
            <w:pPr>
              <w:jc w:val="center"/>
              <w:rPr>
                <w:rFonts w:ascii="Arial Narrow" w:hAnsi="Arial Narrow"/>
                <w:sz w:val="18"/>
                <w:szCs w:val="18"/>
              </w:rPr>
            </w:pPr>
            <w:r w:rsidRPr="00092266">
              <w:rPr>
                <w:rFonts w:ascii="Arial Narrow" w:hAnsi="Arial Narrow"/>
                <w:sz w:val="18"/>
                <w:szCs w:val="18"/>
              </w:rPr>
              <w:t>1.97</w:t>
            </w:r>
            <w:r w:rsidR="004D1EA7" w:rsidRPr="00092266">
              <w:rPr>
                <w:rFonts w:ascii="Arial Narrow" w:hAnsi="Arial Narrow"/>
                <w:sz w:val="18"/>
                <w:szCs w:val="18"/>
              </w:rPr>
              <w:t>(0.39,9.95)</w:t>
            </w:r>
            <w:r w:rsidR="004D1EA7" w:rsidRPr="00092266">
              <w:rPr>
                <w:rFonts w:ascii="Arial Narrow" w:hAnsi="Arial Narrow"/>
                <w:sz w:val="18"/>
                <w:szCs w:val="18"/>
                <w:vertAlign w:val="superscript"/>
              </w:rPr>
              <w:t>b</w:t>
            </w:r>
            <w:r w:rsidR="00F82DD3" w:rsidRPr="00092266">
              <w:rPr>
                <w:rFonts w:ascii="Arial Narrow" w:hAnsi="Arial Narrow"/>
                <w:sz w:val="18"/>
                <w:szCs w:val="18"/>
                <w:vertAlign w:val="superscript"/>
              </w:rPr>
              <w:t>,</w:t>
            </w:r>
            <w:r w:rsidR="004D1EA7" w:rsidRPr="00092266">
              <w:rPr>
                <w:rFonts w:ascii="Arial Narrow" w:hAnsi="Arial Narrow"/>
                <w:sz w:val="18"/>
                <w:szCs w:val="18"/>
                <w:vertAlign w:val="superscript"/>
              </w:rPr>
              <w:t>d</w:t>
            </w:r>
          </w:p>
        </w:tc>
        <w:tc>
          <w:tcPr>
            <w:tcW w:w="1196" w:type="dxa"/>
            <w:vAlign w:val="center"/>
          </w:tcPr>
          <w:p w14:paraId="67535111" w14:textId="09639FC5" w:rsidR="004D1EA7" w:rsidRPr="00092266" w:rsidRDefault="004D1EA7" w:rsidP="004D1EA7">
            <w:pPr>
              <w:jc w:val="center"/>
              <w:rPr>
                <w:rFonts w:ascii="Arial Narrow" w:hAnsi="Arial Narrow"/>
                <w:sz w:val="18"/>
                <w:szCs w:val="18"/>
              </w:rPr>
            </w:pPr>
            <w:r w:rsidRPr="00092266">
              <w:rPr>
                <w:rFonts w:ascii="Arial Narrow" w:hAnsi="Arial Narrow"/>
                <w:sz w:val="18"/>
                <w:szCs w:val="18"/>
              </w:rPr>
              <w:t>1.18 (0.42,</w:t>
            </w:r>
            <w:r w:rsidR="00F82DD3" w:rsidRPr="00092266">
              <w:rPr>
                <w:rFonts w:ascii="Arial Narrow" w:hAnsi="Arial Narrow"/>
                <w:sz w:val="18"/>
                <w:szCs w:val="18"/>
              </w:rPr>
              <w:t xml:space="preserve"> </w:t>
            </w:r>
            <w:r w:rsidRPr="00092266">
              <w:rPr>
                <w:rFonts w:ascii="Arial Narrow" w:hAnsi="Arial Narrow"/>
                <w:sz w:val="18"/>
                <w:szCs w:val="18"/>
              </w:rPr>
              <w:t>3.50)</w:t>
            </w:r>
          </w:p>
        </w:tc>
        <w:tc>
          <w:tcPr>
            <w:tcW w:w="1197" w:type="dxa"/>
            <w:vAlign w:val="center"/>
          </w:tcPr>
          <w:p w14:paraId="0259EF0B" w14:textId="4DF4FB38"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2.81 (1.26,</w:t>
            </w:r>
            <w:r w:rsidR="00F82DD3" w:rsidRPr="00092266">
              <w:rPr>
                <w:rFonts w:ascii="Arial Narrow" w:hAnsi="Arial Narrow"/>
                <w:b/>
                <w:sz w:val="18"/>
                <w:szCs w:val="18"/>
              </w:rPr>
              <w:t xml:space="preserve"> </w:t>
            </w:r>
            <w:r w:rsidRPr="00092266">
              <w:rPr>
                <w:rFonts w:ascii="Arial Narrow" w:hAnsi="Arial Narrow"/>
                <w:b/>
                <w:sz w:val="18"/>
                <w:szCs w:val="18"/>
              </w:rPr>
              <w:t>6.81)</w:t>
            </w:r>
          </w:p>
        </w:tc>
        <w:tc>
          <w:tcPr>
            <w:tcW w:w="1196" w:type="dxa"/>
            <w:vAlign w:val="center"/>
          </w:tcPr>
          <w:p w14:paraId="4F3421C2" w14:textId="4A566517" w:rsidR="004D1EA7" w:rsidRPr="00092266" w:rsidRDefault="004D1EA7" w:rsidP="004D1EA7">
            <w:pPr>
              <w:jc w:val="center"/>
              <w:rPr>
                <w:rFonts w:ascii="Arial Narrow" w:hAnsi="Arial Narrow"/>
                <w:sz w:val="18"/>
                <w:szCs w:val="18"/>
              </w:rPr>
            </w:pPr>
            <w:r w:rsidRPr="00092266">
              <w:rPr>
                <w:rFonts w:ascii="Arial Narrow" w:hAnsi="Arial Narrow"/>
                <w:sz w:val="18"/>
                <w:szCs w:val="18"/>
              </w:rPr>
              <w:t>0.83 (0.30,</w:t>
            </w:r>
            <w:r w:rsidR="00F82DD3" w:rsidRPr="00092266">
              <w:rPr>
                <w:rFonts w:ascii="Arial Narrow" w:hAnsi="Arial Narrow"/>
                <w:sz w:val="18"/>
                <w:szCs w:val="18"/>
              </w:rPr>
              <w:t xml:space="preserve"> </w:t>
            </w:r>
            <w:r w:rsidRPr="00092266">
              <w:rPr>
                <w:rFonts w:ascii="Arial Narrow" w:hAnsi="Arial Narrow"/>
                <w:sz w:val="18"/>
                <w:szCs w:val="18"/>
              </w:rPr>
              <w:t>2.34)</w:t>
            </w:r>
          </w:p>
        </w:tc>
        <w:tc>
          <w:tcPr>
            <w:tcW w:w="1197" w:type="dxa"/>
            <w:vAlign w:val="center"/>
          </w:tcPr>
          <w:p w14:paraId="1DFFE221" w14:textId="6F7103B6" w:rsidR="004D1EA7" w:rsidRPr="00092266" w:rsidRDefault="004D1EA7" w:rsidP="004D1EA7">
            <w:pPr>
              <w:jc w:val="center"/>
              <w:rPr>
                <w:rFonts w:ascii="Arial Narrow" w:hAnsi="Arial Narrow"/>
                <w:sz w:val="18"/>
                <w:szCs w:val="18"/>
              </w:rPr>
            </w:pPr>
            <w:r w:rsidRPr="00092266">
              <w:rPr>
                <w:rFonts w:ascii="Arial Narrow" w:hAnsi="Arial Narrow"/>
                <w:sz w:val="18"/>
                <w:szCs w:val="18"/>
              </w:rPr>
              <w:t>0.97 (0.04,</w:t>
            </w:r>
            <w:r w:rsidR="00F82DD3" w:rsidRPr="00092266">
              <w:rPr>
                <w:rFonts w:ascii="Arial Narrow" w:hAnsi="Arial Narrow"/>
                <w:sz w:val="18"/>
                <w:szCs w:val="18"/>
              </w:rPr>
              <w:t xml:space="preserve"> </w:t>
            </w:r>
            <w:r w:rsidRPr="00092266">
              <w:rPr>
                <w:rFonts w:ascii="Arial Narrow" w:hAnsi="Arial Narrow"/>
                <w:sz w:val="18"/>
                <w:szCs w:val="18"/>
              </w:rPr>
              <w:t>3.65)</w:t>
            </w:r>
          </w:p>
        </w:tc>
      </w:tr>
      <w:tr w:rsidR="00A63A2A" w:rsidRPr="00092266" w14:paraId="2864FE34" w14:textId="77777777" w:rsidTr="00744475">
        <w:tc>
          <w:tcPr>
            <w:tcW w:w="1838" w:type="dxa"/>
            <w:vAlign w:val="center"/>
          </w:tcPr>
          <w:p w14:paraId="247D4D44"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UST Q8/Q12W</w:t>
            </w:r>
            <w:r w:rsidRPr="00092266">
              <w:rPr>
                <w:rFonts w:ascii="Arial Narrow" w:hAnsi="Arial Narrow"/>
                <w:sz w:val="20"/>
                <w:szCs w:val="20"/>
                <w:vertAlign w:val="superscript"/>
                <w:lang w:val="it-IT"/>
              </w:rPr>
              <w:t>f</w:t>
            </w:r>
          </w:p>
        </w:tc>
        <w:tc>
          <w:tcPr>
            <w:tcW w:w="1196" w:type="dxa"/>
            <w:vAlign w:val="center"/>
          </w:tcPr>
          <w:p w14:paraId="7609FB26" w14:textId="5DA84D95" w:rsidR="004D1EA7" w:rsidRPr="00092266" w:rsidRDefault="004D1EA7" w:rsidP="004D1EA7">
            <w:pPr>
              <w:jc w:val="center"/>
              <w:rPr>
                <w:rFonts w:ascii="Arial Narrow" w:hAnsi="Arial Narrow"/>
                <w:sz w:val="18"/>
                <w:szCs w:val="18"/>
              </w:rPr>
            </w:pPr>
            <w:r w:rsidRPr="00092266">
              <w:rPr>
                <w:rFonts w:ascii="Arial Narrow" w:hAnsi="Arial Narrow"/>
                <w:sz w:val="18"/>
                <w:szCs w:val="18"/>
              </w:rPr>
              <w:t>1.99 (0.73,</w:t>
            </w:r>
            <w:r w:rsidR="00F82DD3" w:rsidRPr="00092266">
              <w:rPr>
                <w:rFonts w:ascii="Arial Narrow" w:hAnsi="Arial Narrow"/>
                <w:sz w:val="18"/>
                <w:szCs w:val="18"/>
              </w:rPr>
              <w:t xml:space="preserve"> </w:t>
            </w:r>
            <w:r w:rsidRPr="00092266">
              <w:rPr>
                <w:rFonts w:ascii="Arial Narrow" w:hAnsi="Arial Narrow"/>
                <w:sz w:val="18"/>
                <w:szCs w:val="18"/>
              </w:rPr>
              <w:t>5.39)</w:t>
            </w:r>
          </w:p>
        </w:tc>
        <w:tc>
          <w:tcPr>
            <w:tcW w:w="1197" w:type="dxa"/>
            <w:vAlign w:val="center"/>
          </w:tcPr>
          <w:p w14:paraId="77F4CBA6" w14:textId="1CB53FB2" w:rsidR="004D1EA7" w:rsidRPr="00092266" w:rsidRDefault="004D1EA7" w:rsidP="004D1EA7">
            <w:pPr>
              <w:jc w:val="center"/>
              <w:rPr>
                <w:rFonts w:ascii="Arial Narrow" w:hAnsi="Arial Narrow"/>
                <w:sz w:val="18"/>
                <w:szCs w:val="18"/>
              </w:rPr>
            </w:pPr>
            <w:r w:rsidRPr="00092266">
              <w:rPr>
                <w:rFonts w:ascii="Arial Narrow" w:hAnsi="Arial Narrow"/>
                <w:sz w:val="18"/>
                <w:szCs w:val="18"/>
              </w:rPr>
              <w:t>2.11 (0.78,</w:t>
            </w:r>
            <w:r w:rsidR="00F82DD3" w:rsidRPr="00092266">
              <w:rPr>
                <w:rFonts w:ascii="Arial Narrow" w:hAnsi="Arial Narrow"/>
                <w:sz w:val="18"/>
                <w:szCs w:val="18"/>
              </w:rPr>
              <w:t xml:space="preserve"> </w:t>
            </w:r>
            <w:r w:rsidRPr="00092266">
              <w:rPr>
                <w:rFonts w:ascii="Arial Narrow" w:hAnsi="Arial Narrow"/>
                <w:sz w:val="18"/>
                <w:szCs w:val="18"/>
              </w:rPr>
              <w:t>5.68)</w:t>
            </w:r>
            <w:r w:rsidRPr="00092266">
              <w:rPr>
                <w:rFonts w:ascii="Arial Narrow" w:hAnsi="Arial Narrow"/>
                <w:sz w:val="18"/>
                <w:szCs w:val="18"/>
                <w:vertAlign w:val="superscript"/>
              </w:rPr>
              <w:t>b</w:t>
            </w:r>
          </w:p>
        </w:tc>
        <w:tc>
          <w:tcPr>
            <w:tcW w:w="1196" w:type="dxa"/>
            <w:vAlign w:val="center"/>
          </w:tcPr>
          <w:p w14:paraId="0535A069" w14:textId="75357B85" w:rsidR="004D1EA7" w:rsidRPr="00092266" w:rsidRDefault="004D1EA7" w:rsidP="004D1EA7">
            <w:pPr>
              <w:jc w:val="center"/>
              <w:rPr>
                <w:rFonts w:ascii="Arial Narrow" w:hAnsi="Arial Narrow"/>
                <w:sz w:val="18"/>
                <w:szCs w:val="18"/>
              </w:rPr>
            </w:pPr>
            <w:r w:rsidRPr="00092266">
              <w:rPr>
                <w:rFonts w:ascii="Arial Narrow" w:hAnsi="Arial Narrow"/>
                <w:sz w:val="18"/>
                <w:szCs w:val="18"/>
              </w:rPr>
              <w:t>1.30 (0.54,3.15) / 2.35 (0.95,</w:t>
            </w:r>
            <w:r w:rsidR="00F82DD3" w:rsidRPr="00092266">
              <w:rPr>
                <w:rFonts w:ascii="Arial Narrow" w:hAnsi="Arial Narrow"/>
                <w:sz w:val="18"/>
                <w:szCs w:val="18"/>
              </w:rPr>
              <w:t xml:space="preserve"> </w:t>
            </w:r>
            <w:r w:rsidRPr="00092266">
              <w:rPr>
                <w:rFonts w:ascii="Arial Narrow" w:hAnsi="Arial Narrow"/>
                <w:sz w:val="18"/>
                <w:szCs w:val="18"/>
              </w:rPr>
              <w:t>6.39)</w:t>
            </w:r>
          </w:p>
        </w:tc>
        <w:tc>
          <w:tcPr>
            <w:tcW w:w="1197" w:type="dxa"/>
            <w:vAlign w:val="center"/>
          </w:tcPr>
          <w:p w14:paraId="75578E6B" w14:textId="1FD0A2FE" w:rsidR="004D1EA7" w:rsidRPr="00092266" w:rsidRDefault="004D1EA7" w:rsidP="004D1EA7">
            <w:pPr>
              <w:jc w:val="center"/>
              <w:rPr>
                <w:rFonts w:ascii="Arial Narrow" w:hAnsi="Arial Narrow"/>
                <w:sz w:val="18"/>
                <w:szCs w:val="18"/>
              </w:rPr>
            </w:pPr>
            <w:r w:rsidRPr="00092266">
              <w:rPr>
                <w:rFonts w:ascii="Arial Narrow" w:hAnsi="Arial Narrow"/>
                <w:sz w:val="18"/>
                <w:szCs w:val="18"/>
              </w:rPr>
              <w:t>1.33 (0.77,2.32) / 2.34 (1.30,</w:t>
            </w:r>
            <w:r w:rsidR="00F82DD3" w:rsidRPr="00092266">
              <w:rPr>
                <w:rFonts w:ascii="Arial Narrow" w:hAnsi="Arial Narrow"/>
                <w:sz w:val="18"/>
                <w:szCs w:val="18"/>
              </w:rPr>
              <w:t xml:space="preserve"> </w:t>
            </w:r>
            <w:r w:rsidRPr="00092266">
              <w:rPr>
                <w:rFonts w:ascii="Arial Narrow" w:hAnsi="Arial Narrow"/>
                <w:sz w:val="18"/>
                <w:szCs w:val="18"/>
              </w:rPr>
              <w:t>4.48)</w:t>
            </w:r>
          </w:p>
        </w:tc>
        <w:tc>
          <w:tcPr>
            <w:tcW w:w="1196" w:type="dxa"/>
            <w:vAlign w:val="center"/>
          </w:tcPr>
          <w:p w14:paraId="3AFF9A81" w14:textId="22099F8D" w:rsidR="004D1EA7" w:rsidRPr="00092266" w:rsidRDefault="004D1EA7" w:rsidP="004D1EA7">
            <w:pPr>
              <w:jc w:val="center"/>
              <w:rPr>
                <w:rFonts w:ascii="Arial Narrow" w:hAnsi="Arial Narrow"/>
                <w:sz w:val="18"/>
                <w:szCs w:val="18"/>
              </w:rPr>
            </w:pPr>
            <w:r w:rsidRPr="00092266">
              <w:rPr>
                <w:rFonts w:ascii="Arial Narrow" w:hAnsi="Arial Narrow"/>
                <w:sz w:val="18"/>
                <w:szCs w:val="18"/>
              </w:rPr>
              <w:t>1.30 (0.56,3.03) / 2.33 (0.96,</w:t>
            </w:r>
            <w:r w:rsidR="00F82DD3" w:rsidRPr="00092266">
              <w:rPr>
                <w:rFonts w:ascii="Arial Narrow" w:hAnsi="Arial Narrow"/>
                <w:sz w:val="18"/>
                <w:szCs w:val="18"/>
              </w:rPr>
              <w:t xml:space="preserve"> </w:t>
            </w:r>
            <w:r w:rsidRPr="00092266">
              <w:rPr>
                <w:rFonts w:ascii="Arial Narrow" w:hAnsi="Arial Narrow"/>
                <w:sz w:val="18"/>
                <w:szCs w:val="18"/>
              </w:rPr>
              <w:t>5.97)</w:t>
            </w:r>
          </w:p>
        </w:tc>
        <w:tc>
          <w:tcPr>
            <w:tcW w:w="1197" w:type="dxa"/>
            <w:vAlign w:val="center"/>
          </w:tcPr>
          <w:p w14:paraId="7AD7159C" w14:textId="663A9D51" w:rsidR="004D1EA7" w:rsidRPr="00092266" w:rsidRDefault="004D1EA7" w:rsidP="004D1EA7">
            <w:pPr>
              <w:jc w:val="center"/>
              <w:rPr>
                <w:rFonts w:ascii="Arial Narrow" w:hAnsi="Arial Narrow"/>
                <w:sz w:val="18"/>
                <w:szCs w:val="18"/>
              </w:rPr>
            </w:pPr>
            <w:r w:rsidRPr="00092266">
              <w:rPr>
                <w:rFonts w:ascii="Arial Narrow" w:hAnsi="Arial Narrow"/>
                <w:sz w:val="18"/>
                <w:szCs w:val="18"/>
              </w:rPr>
              <w:t>1.30 (0.42,4.20) / 2.35 (0.76,</w:t>
            </w:r>
            <w:r w:rsidR="00F82DD3" w:rsidRPr="00092266">
              <w:rPr>
                <w:rFonts w:ascii="Arial Narrow" w:hAnsi="Arial Narrow"/>
                <w:sz w:val="18"/>
                <w:szCs w:val="18"/>
              </w:rPr>
              <w:t xml:space="preserve"> </w:t>
            </w:r>
            <w:r w:rsidRPr="00092266">
              <w:rPr>
                <w:rFonts w:ascii="Arial Narrow" w:hAnsi="Arial Narrow"/>
                <w:sz w:val="18"/>
                <w:szCs w:val="18"/>
              </w:rPr>
              <w:t>9.28)</w:t>
            </w:r>
          </w:p>
        </w:tc>
      </w:tr>
      <w:tr w:rsidR="0030303D" w:rsidRPr="00092266" w14:paraId="425D500D" w14:textId="77777777" w:rsidTr="00A63A2A">
        <w:tc>
          <w:tcPr>
            <w:tcW w:w="9017" w:type="dxa"/>
            <w:gridSpan w:val="7"/>
            <w:vAlign w:val="center"/>
          </w:tcPr>
          <w:p w14:paraId="3DF6DBDC" w14:textId="34F55713" w:rsidR="0030303D" w:rsidRPr="00092266" w:rsidRDefault="0030303D" w:rsidP="0030303D">
            <w:pPr>
              <w:jc w:val="left"/>
              <w:rPr>
                <w:rFonts w:ascii="Arial Narrow" w:hAnsi="Arial Narrow"/>
                <w:sz w:val="18"/>
                <w:szCs w:val="18"/>
              </w:rPr>
            </w:pPr>
            <w:r w:rsidRPr="00092266">
              <w:rPr>
                <w:rFonts w:ascii="Arial Narrow" w:hAnsi="Arial Narrow"/>
                <w:b/>
                <w:bCs/>
                <w:sz w:val="18"/>
                <w:szCs w:val="18"/>
              </w:rPr>
              <w:t xml:space="preserve">MAINTENANCE: Response </w:t>
            </w:r>
            <w:r w:rsidRPr="00092266">
              <w:rPr>
                <w:rFonts w:ascii="Arial Narrow" w:hAnsi="Arial Narrow"/>
                <w:b/>
                <w:sz w:val="18"/>
                <w:szCs w:val="18"/>
              </w:rPr>
              <w:t xml:space="preserve">│ Ind. </w:t>
            </w:r>
            <w:r w:rsidR="00744475" w:rsidRPr="00092266">
              <w:rPr>
                <w:rFonts w:ascii="Arial Narrow" w:hAnsi="Arial Narrow"/>
                <w:b/>
                <w:sz w:val="18"/>
                <w:szCs w:val="18"/>
              </w:rPr>
              <w:t>R</w:t>
            </w:r>
            <w:r w:rsidRPr="00092266">
              <w:rPr>
                <w:rFonts w:ascii="Arial Narrow" w:hAnsi="Arial Narrow"/>
                <w:b/>
                <w:sz w:val="18"/>
                <w:szCs w:val="18"/>
              </w:rPr>
              <w:t>esponse</w:t>
            </w:r>
            <w:r w:rsidR="00744475" w:rsidRPr="00092266">
              <w:rPr>
                <w:rFonts w:ascii="Arial Narrow" w:hAnsi="Arial Narrow"/>
                <w:b/>
                <w:sz w:val="18"/>
                <w:szCs w:val="18"/>
              </w:rPr>
              <w:t xml:space="preserve">, </w:t>
            </w:r>
            <w:r w:rsidR="00744475" w:rsidRPr="00092266">
              <w:rPr>
                <w:rFonts w:ascii="Arial Narrow" w:hAnsi="Arial Narrow"/>
                <w:b/>
                <w:bCs/>
                <w:sz w:val="20"/>
                <w:szCs w:val="20"/>
                <w:lang w:val="it-IT"/>
              </w:rPr>
              <w:t>bDMARDs/tsDMARDs-</w:t>
            </w:r>
            <w:r w:rsidR="00E630DA" w:rsidRPr="00092266">
              <w:rPr>
                <w:rFonts w:ascii="Arial Narrow" w:eastAsiaTheme="minorEastAsia" w:hAnsi="Arial Narrow"/>
                <w:b/>
                <w:bCs/>
                <w:iCs/>
                <w:sz w:val="20"/>
                <w:szCs w:val="20"/>
                <w:lang w:eastAsia="en-US"/>
              </w:rPr>
              <w:t>naïve</w:t>
            </w:r>
          </w:p>
        </w:tc>
      </w:tr>
      <w:tr w:rsidR="00A63A2A" w:rsidRPr="00092266" w14:paraId="7C47FA37" w14:textId="77777777" w:rsidTr="00744475">
        <w:tc>
          <w:tcPr>
            <w:tcW w:w="1838" w:type="dxa"/>
            <w:vAlign w:val="center"/>
          </w:tcPr>
          <w:p w14:paraId="10D4E75B" w14:textId="651004B0" w:rsidR="004D1EA7" w:rsidRPr="00092266" w:rsidRDefault="004D1EA7" w:rsidP="004D1EA7">
            <w:pPr>
              <w:jc w:val="right"/>
              <w:rPr>
                <w:rFonts w:ascii="Arial Narrow" w:hAnsi="Arial Narrow"/>
                <w:sz w:val="20"/>
                <w:szCs w:val="20"/>
                <w:lang w:val="it-IT"/>
              </w:rPr>
            </w:pPr>
          </w:p>
        </w:tc>
        <w:tc>
          <w:tcPr>
            <w:tcW w:w="1196" w:type="dxa"/>
            <w:vAlign w:val="center"/>
          </w:tcPr>
          <w:p w14:paraId="52BC3F5C" w14:textId="77777777" w:rsidR="004D1EA7" w:rsidRPr="00092266" w:rsidRDefault="004D1EA7" w:rsidP="004D1EA7">
            <w:pPr>
              <w:jc w:val="center"/>
              <w:rPr>
                <w:rFonts w:ascii="Arial Narrow" w:hAnsi="Arial Narrow"/>
                <w:sz w:val="18"/>
                <w:szCs w:val="18"/>
              </w:rPr>
            </w:pPr>
          </w:p>
        </w:tc>
        <w:tc>
          <w:tcPr>
            <w:tcW w:w="1197" w:type="dxa"/>
            <w:vAlign w:val="center"/>
          </w:tcPr>
          <w:p w14:paraId="1AD79A32" w14:textId="77777777" w:rsidR="004D1EA7" w:rsidRPr="00092266" w:rsidRDefault="004D1EA7" w:rsidP="004D1EA7">
            <w:pPr>
              <w:jc w:val="center"/>
              <w:rPr>
                <w:rFonts w:ascii="Arial Narrow" w:hAnsi="Arial Narrow"/>
                <w:sz w:val="18"/>
                <w:szCs w:val="18"/>
              </w:rPr>
            </w:pPr>
          </w:p>
        </w:tc>
        <w:tc>
          <w:tcPr>
            <w:tcW w:w="1196" w:type="dxa"/>
            <w:vAlign w:val="center"/>
          </w:tcPr>
          <w:p w14:paraId="5C43279C"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r w:rsidRPr="00092266">
              <w:rPr>
                <w:rFonts w:ascii="Arial Narrow" w:hAnsi="Arial Narrow"/>
                <w:sz w:val="18"/>
                <w:szCs w:val="18"/>
                <w:vertAlign w:val="superscript"/>
              </w:rPr>
              <w:t>#</w:t>
            </w:r>
          </w:p>
        </w:tc>
        <w:tc>
          <w:tcPr>
            <w:tcW w:w="1197" w:type="dxa"/>
            <w:vAlign w:val="center"/>
          </w:tcPr>
          <w:p w14:paraId="17537566"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RE</w:t>
            </w:r>
            <w:r w:rsidRPr="00092266">
              <w:rPr>
                <w:rFonts w:ascii="Arial Narrow" w:hAnsi="Arial Narrow"/>
                <w:sz w:val="18"/>
                <w:szCs w:val="18"/>
                <w:vertAlign w:val="superscript"/>
              </w:rPr>
              <w:t>^</w:t>
            </w:r>
          </w:p>
        </w:tc>
        <w:tc>
          <w:tcPr>
            <w:tcW w:w="1196" w:type="dxa"/>
            <w:vAlign w:val="center"/>
          </w:tcPr>
          <w:p w14:paraId="77CB88D7"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c>
          <w:tcPr>
            <w:tcW w:w="1197" w:type="dxa"/>
            <w:vAlign w:val="center"/>
          </w:tcPr>
          <w:p w14:paraId="564DA88D"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r>
      <w:tr w:rsidR="00A63A2A" w:rsidRPr="00092266" w14:paraId="56550938" w14:textId="77777777" w:rsidTr="00744475">
        <w:tc>
          <w:tcPr>
            <w:tcW w:w="1838" w:type="dxa"/>
            <w:vAlign w:val="center"/>
          </w:tcPr>
          <w:p w14:paraId="70571DBE"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VDZ IV</w:t>
            </w:r>
          </w:p>
        </w:tc>
        <w:tc>
          <w:tcPr>
            <w:tcW w:w="1196" w:type="dxa"/>
            <w:vAlign w:val="center"/>
          </w:tcPr>
          <w:p w14:paraId="591CF556" w14:textId="71B215FF" w:rsidR="004D1EA7" w:rsidRPr="00092266" w:rsidRDefault="00744475" w:rsidP="004D1EA7">
            <w:pPr>
              <w:jc w:val="center"/>
              <w:rPr>
                <w:rFonts w:ascii="Arial Narrow" w:hAnsi="Arial Narrow"/>
                <w:sz w:val="18"/>
                <w:szCs w:val="18"/>
              </w:rPr>
            </w:pPr>
            <w:r w:rsidRPr="00092266">
              <w:rPr>
                <w:rFonts w:ascii="Arial Narrow" w:hAnsi="Arial Narrow"/>
                <w:sz w:val="18"/>
                <w:szCs w:val="18"/>
              </w:rPr>
              <w:t>1.05</w:t>
            </w:r>
            <w:r w:rsidR="004D1EA7" w:rsidRPr="00092266">
              <w:rPr>
                <w:rFonts w:ascii="Arial Narrow" w:hAnsi="Arial Narrow"/>
                <w:sz w:val="18"/>
                <w:szCs w:val="18"/>
              </w:rPr>
              <w:t>(0.48,</w:t>
            </w:r>
            <w:r w:rsidR="00F82DD3" w:rsidRPr="00092266">
              <w:rPr>
                <w:rFonts w:ascii="Arial Narrow" w:hAnsi="Arial Narrow"/>
                <w:sz w:val="18"/>
                <w:szCs w:val="18"/>
              </w:rPr>
              <w:t xml:space="preserve"> </w:t>
            </w:r>
            <w:r w:rsidR="004D1EA7" w:rsidRPr="00092266">
              <w:rPr>
                <w:rFonts w:ascii="Arial Narrow" w:hAnsi="Arial Narrow"/>
                <w:sz w:val="18"/>
                <w:szCs w:val="18"/>
              </w:rPr>
              <w:t>2.30)</w:t>
            </w:r>
          </w:p>
        </w:tc>
        <w:tc>
          <w:tcPr>
            <w:tcW w:w="1197" w:type="dxa"/>
            <w:vAlign w:val="center"/>
          </w:tcPr>
          <w:p w14:paraId="46FCD310" w14:textId="5802D537" w:rsidR="004D1EA7" w:rsidRPr="00092266" w:rsidRDefault="004D1EA7" w:rsidP="004D1EA7">
            <w:pPr>
              <w:jc w:val="center"/>
              <w:rPr>
                <w:rFonts w:ascii="Arial Narrow" w:hAnsi="Arial Narrow"/>
                <w:sz w:val="18"/>
                <w:szCs w:val="18"/>
              </w:rPr>
            </w:pPr>
            <w:r w:rsidRPr="00092266">
              <w:rPr>
                <w:rFonts w:ascii="Arial Narrow" w:hAnsi="Arial Narrow"/>
                <w:sz w:val="18"/>
                <w:szCs w:val="18"/>
              </w:rPr>
              <w:t>1.05 (0.48,</w:t>
            </w:r>
            <w:r w:rsidR="00F82DD3" w:rsidRPr="00092266">
              <w:rPr>
                <w:rFonts w:ascii="Arial Narrow" w:hAnsi="Arial Narrow"/>
                <w:sz w:val="18"/>
                <w:szCs w:val="18"/>
              </w:rPr>
              <w:t xml:space="preserve"> </w:t>
            </w:r>
            <w:r w:rsidRPr="00092266">
              <w:rPr>
                <w:rFonts w:ascii="Arial Narrow" w:hAnsi="Arial Narrow"/>
                <w:sz w:val="18"/>
                <w:szCs w:val="18"/>
              </w:rPr>
              <w:t>2.30)</w:t>
            </w:r>
            <w:r w:rsidRPr="00092266">
              <w:rPr>
                <w:rFonts w:ascii="Arial Narrow" w:hAnsi="Arial Narrow"/>
                <w:sz w:val="18"/>
                <w:szCs w:val="18"/>
                <w:vertAlign w:val="superscript"/>
              </w:rPr>
              <w:t>e</w:t>
            </w:r>
          </w:p>
        </w:tc>
        <w:tc>
          <w:tcPr>
            <w:tcW w:w="1196" w:type="dxa"/>
            <w:vAlign w:val="center"/>
          </w:tcPr>
          <w:p w14:paraId="6C39D916" w14:textId="7FBA894D" w:rsidR="004D1EA7" w:rsidRPr="00092266" w:rsidRDefault="004D1EA7" w:rsidP="004D1EA7">
            <w:pPr>
              <w:jc w:val="center"/>
              <w:rPr>
                <w:rFonts w:ascii="Arial Narrow" w:hAnsi="Arial Narrow"/>
                <w:sz w:val="18"/>
                <w:szCs w:val="18"/>
              </w:rPr>
            </w:pPr>
            <w:r w:rsidRPr="00092266">
              <w:rPr>
                <w:rFonts w:ascii="Arial Narrow" w:hAnsi="Arial Narrow"/>
                <w:sz w:val="18"/>
                <w:szCs w:val="18"/>
              </w:rPr>
              <w:t>0.96 (0.53,</w:t>
            </w:r>
            <w:r w:rsidR="00F82DD3" w:rsidRPr="00092266">
              <w:rPr>
                <w:rFonts w:ascii="Arial Narrow" w:hAnsi="Arial Narrow"/>
                <w:sz w:val="18"/>
                <w:szCs w:val="18"/>
              </w:rPr>
              <w:t xml:space="preserve"> </w:t>
            </w:r>
            <w:r w:rsidRPr="00092266">
              <w:rPr>
                <w:rFonts w:ascii="Arial Narrow" w:hAnsi="Arial Narrow"/>
                <w:sz w:val="18"/>
                <w:szCs w:val="18"/>
              </w:rPr>
              <w:t>1.71)</w:t>
            </w:r>
          </w:p>
        </w:tc>
        <w:tc>
          <w:tcPr>
            <w:tcW w:w="1197" w:type="dxa"/>
            <w:vAlign w:val="center"/>
          </w:tcPr>
          <w:p w14:paraId="024A1DC0" w14:textId="32324583"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2.72 (1.38,</w:t>
            </w:r>
            <w:r w:rsidR="00F82DD3" w:rsidRPr="00092266">
              <w:rPr>
                <w:rFonts w:ascii="Arial Narrow" w:hAnsi="Arial Narrow"/>
                <w:b/>
                <w:sz w:val="18"/>
                <w:szCs w:val="18"/>
              </w:rPr>
              <w:t xml:space="preserve"> </w:t>
            </w:r>
            <w:r w:rsidRPr="00092266">
              <w:rPr>
                <w:rFonts w:ascii="Arial Narrow" w:hAnsi="Arial Narrow"/>
                <w:b/>
                <w:sz w:val="18"/>
                <w:szCs w:val="18"/>
              </w:rPr>
              <w:t>7.12)</w:t>
            </w:r>
          </w:p>
        </w:tc>
        <w:tc>
          <w:tcPr>
            <w:tcW w:w="1196" w:type="dxa"/>
            <w:vAlign w:val="center"/>
          </w:tcPr>
          <w:p w14:paraId="706412DB" w14:textId="4DA173DA" w:rsidR="004D1EA7" w:rsidRPr="00092266" w:rsidRDefault="004D1EA7" w:rsidP="004D1EA7">
            <w:pPr>
              <w:jc w:val="center"/>
              <w:rPr>
                <w:rFonts w:ascii="Arial Narrow" w:hAnsi="Arial Narrow"/>
                <w:sz w:val="18"/>
                <w:szCs w:val="18"/>
              </w:rPr>
            </w:pPr>
            <w:r w:rsidRPr="00092266">
              <w:rPr>
                <w:rFonts w:ascii="Arial Narrow" w:hAnsi="Arial Narrow"/>
                <w:sz w:val="18"/>
                <w:szCs w:val="18"/>
              </w:rPr>
              <w:t>0.96 (0.54,</w:t>
            </w:r>
            <w:r w:rsidR="00F82DD3" w:rsidRPr="00092266">
              <w:rPr>
                <w:rFonts w:ascii="Arial Narrow" w:hAnsi="Arial Narrow"/>
                <w:sz w:val="18"/>
                <w:szCs w:val="18"/>
              </w:rPr>
              <w:t xml:space="preserve"> </w:t>
            </w:r>
            <w:r w:rsidRPr="00092266">
              <w:rPr>
                <w:rFonts w:ascii="Arial Narrow" w:hAnsi="Arial Narrow"/>
                <w:sz w:val="18"/>
                <w:szCs w:val="18"/>
              </w:rPr>
              <w:t>1.70)</w:t>
            </w:r>
          </w:p>
        </w:tc>
        <w:tc>
          <w:tcPr>
            <w:tcW w:w="1197" w:type="dxa"/>
            <w:vAlign w:val="center"/>
          </w:tcPr>
          <w:p w14:paraId="4A346009" w14:textId="45E6540D" w:rsidR="004D1EA7" w:rsidRPr="00092266" w:rsidRDefault="004D1EA7" w:rsidP="004D1EA7">
            <w:pPr>
              <w:jc w:val="center"/>
              <w:rPr>
                <w:rFonts w:ascii="Arial Narrow" w:hAnsi="Arial Narrow"/>
                <w:sz w:val="18"/>
                <w:szCs w:val="18"/>
              </w:rPr>
            </w:pPr>
            <w:r w:rsidRPr="00092266">
              <w:rPr>
                <w:rFonts w:ascii="Arial Narrow" w:hAnsi="Arial Narrow"/>
                <w:b/>
                <w:sz w:val="18"/>
                <w:szCs w:val="18"/>
              </w:rPr>
              <w:t>2.73 (1.39,</w:t>
            </w:r>
            <w:r w:rsidR="00F82DD3" w:rsidRPr="00092266">
              <w:rPr>
                <w:rFonts w:ascii="Arial Narrow" w:hAnsi="Arial Narrow"/>
                <w:b/>
                <w:sz w:val="18"/>
                <w:szCs w:val="18"/>
              </w:rPr>
              <w:t xml:space="preserve"> </w:t>
            </w:r>
            <w:r w:rsidRPr="00092266">
              <w:rPr>
                <w:rFonts w:ascii="Arial Narrow" w:hAnsi="Arial Narrow"/>
                <w:b/>
                <w:sz w:val="18"/>
                <w:szCs w:val="18"/>
              </w:rPr>
              <w:t>6.97)</w:t>
            </w:r>
          </w:p>
        </w:tc>
      </w:tr>
      <w:tr w:rsidR="00A63A2A" w:rsidRPr="00092266" w14:paraId="570DBF80" w14:textId="77777777" w:rsidTr="00744475">
        <w:tc>
          <w:tcPr>
            <w:tcW w:w="1838" w:type="dxa"/>
            <w:vAlign w:val="center"/>
          </w:tcPr>
          <w:p w14:paraId="174F7BEB"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VDZ IV/SC</w:t>
            </w:r>
          </w:p>
        </w:tc>
        <w:tc>
          <w:tcPr>
            <w:tcW w:w="1196" w:type="dxa"/>
            <w:vAlign w:val="center"/>
          </w:tcPr>
          <w:p w14:paraId="5F51A04A"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NR</w:t>
            </w:r>
          </w:p>
        </w:tc>
        <w:tc>
          <w:tcPr>
            <w:tcW w:w="1197" w:type="dxa"/>
            <w:vAlign w:val="center"/>
          </w:tcPr>
          <w:p w14:paraId="597F2061"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w:t>
            </w:r>
          </w:p>
        </w:tc>
        <w:tc>
          <w:tcPr>
            <w:tcW w:w="1196" w:type="dxa"/>
            <w:vAlign w:val="center"/>
          </w:tcPr>
          <w:p w14:paraId="7D0A1FD9" w14:textId="3033591B" w:rsidR="004D1EA7" w:rsidRPr="00092266" w:rsidRDefault="004D1EA7" w:rsidP="004D1EA7">
            <w:pPr>
              <w:jc w:val="center"/>
              <w:rPr>
                <w:rFonts w:ascii="Arial Narrow" w:hAnsi="Arial Narrow"/>
                <w:sz w:val="18"/>
                <w:szCs w:val="18"/>
              </w:rPr>
            </w:pPr>
            <w:r w:rsidRPr="00092266">
              <w:rPr>
                <w:rFonts w:ascii="Arial Narrow" w:hAnsi="Arial Narrow"/>
                <w:sz w:val="18"/>
                <w:szCs w:val="18"/>
              </w:rPr>
              <w:t>0.76 (0.31,</w:t>
            </w:r>
            <w:r w:rsidR="00F82DD3" w:rsidRPr="00092266">
              <w:rPr>
                <w:rFonts w:ascii="Arial Narrow" w:hAnsi="Arial Narrow"/>
                <w:sz w:val="18"/>
                <w:szCs w:val="18"/>
              </w:rPr>
              <w:t xml:space="preserve"> </w:t>
            </w:r>
            <w:r w:rsidRPr="00092266">
              <w:rPr>
                <w:rFonts w:ascii="Arial Narrow" w:hAnsi="Arial Narrow"/>
                <w:sz w:val="18"/>
                <w:szCs w:val="18"/>
              </w:rPr>
              <w:t>1.78)</w:t>
            </w:r>
            <w:r w:rsidRPr="00092266">
              <w:rPr>
                <w:rFonts w:ascii="Arial Narrow" w:hAnsi="Arial Narrow"/>
                <w:sz w:val="18"/>
                <w:szCs w:val="18"/>
                <w:vertAlign w:val="superscript"/>
              </w:rPr>
              <w:t>j</w:t>
            </w:r>
          </w:p>
        </w:tc>
        <w:tc>
          <w:tcPr>
            <w:tcW w:w="1197" w:type="dxa"/>
            <w:vAlign w:val="center"/>
          </w:tcPr>
          <w:p w14:paraId="0874B648" w14:textId="1764457A" w:rsidR="004D1EA7" w:rsidRPr="00092266" w:rsidRDefault="00744475" w:rsidP="004D1EA7">
            <w:pPr>
              <w:jc w:val="center"/>
              <w:rPr>
                <w:rFonts w:ascii="Arial Narrow" w:hAnsi="Arial Narrow"/>
                <w:sz w:val="18"/>
                <w:szCs w:val="18"/>
              </w:rPr>
            </w:pPr>
            <w:r w:rsidRPr="00092266">
              <w:rPr>
                <w:rFonts w:ascii="Arial Narrow" w:hAnsi="Arial Narrow"/>
                <w:b/>
                <w:sz w:val="18"/>
                <w:szCs w:val="18"/>
              </w:rPr>
              <w:t>4.25</w:t>
            </w:r>
            <w:r w:rsidR="004D1EA7" w:rsidRPr="00092266">
              <w:rPr>
                <w:rFonts w:ascii="Arial Narrow" w:hAnsi="Arial Narrow"/>
                <w:b/>
                <w:sz w:val="18"/>
                <w:szCs w:val="18"/>
              </w:rPr>
              <w:t>(1.43,13.40)</w:t>
            </w:r>
            <w:r w:rsidR="004D1EA7" w:rsidRPr="00092266">
              <w:rPr>
                <w:rFonts w:ascii="Arial Narrow" w:hAnsi="Arial Narrow"/>
                <w:b/>
                <w:sz w:val="18"/>
                <w:szCs w:val="18"/>
                <w:vertAlign w:val="superscript"/>
              </w:rPr>
              <w:t>j</w:t>
            </w:r>
          </w:p>
        </w:tc>
        <w:tc>
          <w:tcPr>
            <w:tcW w:w="1196" w:type="dxa"/>
            <w:vAlign w:val="center"/>
          </w:tcPr>
          <w:p w14:paraId="008191BF" w14:textId="7CCA0586" w:rsidR="004D1EA7" w:rsidRPr="00092266" w:rsidRDefault="004D1EA7" w:rsidP="004D1EA7">
            <w:pPr>
              <w:jc w:val="center"/>
              <w:rPr>
                <w:rFonts w:ascii="Arial Narrow" w:hAnsi="Arial Narrow"/>
                <w:sz w:val="18"/>
                <w:szCs w:val="18"/>
              </w:rPr>
            </w:pPr>
            <w:r w:rsidRPr="00092266">
              <w:rPr>
                <w:rFonts w:ascii="Arial Narrow" w:hAnsi="Arial Narrow"/>
                <w:sz w:val="18"/>
                <w:szCs w:val="18"/>
              </w:rPr>
              <w:t>0.76 (0.31,</w:t>
            </w:r>
            <w:r w:rsidR="00F82DD3" w:rsidRPr="00092266">
              <w:rPr>
                <w:rFonts w:ascii="Arial Narrow" w:hAnsi="Arial Narrow"/>
                <w:sz w:val="18"/>
                <w:szCs w:val="18"/>
              </w:rPr>
              <w:t xml:space="preserve"> </w:t>
            </w:r>
            <w:r w:rsidRPr="00092266">
              <w:rPr>
                <w:rFonts w:ascii="Arial Narrow" w:hAnsi="Arial Narrow"/>
                <w:sz w:val="18"/>
                <w:szCs w:val="18"/>
              </w:rPr>
              <w:t>1.79)</w:t>
            </w:r>
            <w:r w:rsidRPr="00092266">
              <w:rPr>
                <w:rFonts w:ascii="Arial Narrow" w:hAnsi="Arial Narrow"/>
                <w:sz w:val="18"/>
                <w:szCs w:val="18"/>
                <w:vertAlign w:val="superscript"/>
              </w:rPr>
              <w:t>j</w:t>
            </w:r>
          </w:p>
        </w:tc>
        <w:tc>
          <w:tcPr>
            <w:tcW w:w="1197" w:type="dxa"/>
            <w:vAlign w:val="center"/>
          </w:tcPr>
          <w:p w14:paraId="05C0F899" w14:textId="6D42EC53" w:rsidR="004D1EA7" w:rsidRPr="00092266" w:rsidRDefault="004D1EA7" w:rsidP="004D1EA7">
            <w:pPr>
              <w:jc w:val="center"/>
              <w:rPr>
                <w:rFonts w:ascii="Arial Narrow" w:hAnsi="Arial Narrow"/>
                <w:sz w:val="18"/>
                <w:szCs w:val="18"/>
              </w:rPr>
            </w:pPr>
            <w:r w:rsidRPr="00092266">
              <w:rPr>
                <w:rFonts w:ascii="Arial Narrow" w:hAnsi="Arial Narrow"/>
                <w:b/>
                <w:sz w:val="18"/>
                <w:szCs w:val="18"/>
              </w:rPr>
              <w:t>4.29 (1.45,</w:t>
            </w:r>
            <w:r w:rsidR="00F82DD3" w:rsidRPr="00092266">
              <w:rPr>
                <w:rFonts w:ascii="Arial Narrow" w:hAnsi="Arial Narrow"/>
                <w:b/>
                <w:sz w:val="18"/>
                <w:szCs w:val="18"/>
              </w:rPr>
              <w:t xml:space="preserve"> </w:t>
            </w:r>
            <w:r w:rsidRPr="00092266">
              <w:rPr>
                <w:rFonts w:ascii="Arial Narrow" w:hAnsi="Arial Narrow"/>
                <w:b/>
                <w:sz w:val="18"/>
                <w:szCs w:val="18"/>
              </w:rPr>
              <w:t>13.2)</w:t>
            </w:r>
            <w:r w:rsidRPr="00092266">
              <w:rPr>
                <w:rFonts w:ascii="Arial Narrow" w:hAnsi="Arial Narrow"/>
                <w:b/>
                <w:sz w:val="18"/>
                <w:szCs w:val="18"/>
                <w:vertAlign w:val="superscript"/>
              </w:rPr>
              <w:t>j</w:t>
            </w:r>
          </w:p>
        </w:tc>
      </w:tr>
      <w:tr w:rsidR="00A63A2A" w:rsidRPr="00092266" w14:paraId="40758631" w14:textId="77777777" w:rsidTr="00744475">
        <w:tc>
          <w:tcPr>
            <w:tcW w:w="1838" w:type="dxa"/>
            <w:vAlign w:val="center"/>
          </w:tcPr>
          <w:p w14:paraId="4578867F"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 v ADA</w:t>
            </w:r>
          </w:p>
        </w:tc>
        <w:tc>
          <w:tcPr>
            <w:tcW w:w="1196" w:type="dxa"/>
            <w:vAlign w:val="center"/>
          </w:tcPr>
          <w:p w14:paraId="3BCC8D6E" w14:textId="3B7115BA" w:rsidR="004D1EA7" w:rsidRPr="00092266" w:rsidRDefault="00744475" w:rsidP="004D1EA7">
            <w:pPr>
              <w:jc w:val="center"/>
              <w:rPr>
                <w:rFonts w:ascii="Arial Narrow" w:hAnsi="Arial Narrow"/>
                <w:b/>
                <w:sz w:val="18"/>
                <w:szCs w:val="18"/>
              </w:rPr>
            </w:pPr>
            <w:r w:rsidRPr="00092266">
              <w:rPr>
                <w:rFonts w:ascii="Arial Narrow" w:hAnsi="Arial Narrow"/>
                <w:b/>
                <w:sz w:val="18"/>
                <w:szCs w:val="18"/>
              </w:rPr>
              <w:t>3.06</w:t>
            </w:r>
            <w:r w:rsidR="004D1EA7" w:rsidRPr="00092266">
              <w:rPr>
                <w:rFonts w:ascii="Arial Narrow" w:hAnsi="Arial Narrow"/>
                <w:b/>
                <w:sz w:val="18"/>
                <w:szCs w:val="18"/>
              </w:rPr>
              <w:t>(1.47,</w:t>
            </w:r>
            <w:r w:rsidR="00F82DD3" w:rsidRPr="00092266">
              <w:rPr>
                <w:rFonts w:ascii="Arial Narrow" w:hAnsi="Arial Narrow"/>
                <w:b/>
                <w:sz w:val="18"/>
                <w:szCs w:val="18"/>
              </w:rPr>
              <w:t xml:space="preserve"> </w:t>
            </w:r>
            <w:r w:rsidR="004D1EA7" w:rsidRPr="00092266">
              <w:rPr>
                <w:rFonts w:ascii="Arial Narrow" w:hAnsi="Arial Narrow"/>
                <w:b/>
                <w:sz w:val="18"/>
                <w:szCs w:val="18"/>
              </w:rPr>
              <w:t>6.35)</w:t>
            </w:r>
          </w:p>
        </w:tc>
        <w:tc>
          <w:tcPr>
            <w:tcW w:w="1197" w:type="dxa"/>
            <w:vAlign w:val="center"/>
          </w:tcPr>
          <w:p w14:paraId="315A7FE4" w14:textId="7C5B57DC"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3.06 (1.47,</w:t>
            </w:r>
            <w:r w:rsidR="00F82DD3" w:rsidRPr="00092266">
              <w:rPr>
                <w:rFonts w:ascii="Arial Narrow" w:hAnsi="Arial Narrow"/>
                <w:b/>
                <w:sz w:val="18"/>
                <w:szCs w:val="18"/>
              </w:rPr>
              <w:t xml:space="preserve"> </w:t>
            </w:r>
            <w:r w:rsidRPr="00092266">
              <w:rPr>
                <w:rFonts w:ascii="Arial Narrow" w:hAnsi="Arial Narrow"/>
                <w:b/>
                <w:sz w:val="18"/>
                <w:szCs w:val="18"/>
              </w:rPr>
              <w:t>6.36)</w:t>
            </w:r>
            <w:r w:rsidRPr="00092266">
              <w:rPr>
                <w:rFonts w:ascii="Arial Narrow" w:hAnsi="Arial Narrow"/>
                <w:b/>
                <w:sz w:val="18"/>
                <w:szCs w:val="18"/>
                <w:vertAlign w:val="superscript"/>
              </w:rPr>
              <w:t>e</w:t>
            </w:r>
          </w:p>
        </w:tc>
        <w:tc>
          <w:tcPr>
            <w:tcW w:w="1196" w:type="dxa"/>
            <w:vMerge w:val="restart"/>
            <w:vAlign w:val="center"/>
          </w:tcPr>
          <w:p w14:paraId="77E919E1"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0.99 (0.35, 2.64)</w:t>
            </w:r>
          </w:p>
        </w:tc>
        <w:tc>
          <w:tcPr>
            <w:tcW w:w="1197" w:type="dxa"/>
            <w:vMerge w:val="restart"/>
            <w:vAlign w:val="center"/>
          </w:tcPr>
          <w:p w14:paraId="4492B497" w14:textId="55FFA73F" w:rsidR="004D1EA7" w:rsidRPr="00092266" w:rsidRDefault="004D1EA7" w:rsidP="004D1EA7">
            <w:pPr>
              <w:jc w:val="center"/>
              <w:rPr>
                <w:rFonts w:ascii="Arial Narrow" w:hAnsi="Arial Narrow"/>
                <w:sz w:val="18"/>
                <w:szCs w:val="18"/>
              </w:rPr>
            </w:pPr>
            <w:r w:rsidRPr="00092266">
              <w:rPr>
                <w:rFonts w:ascii="Arial Narrow" w:hAnsi="Arial Narrow"/>
                <w:b/>
                <w:sz w:val="18"/>
                <w:szCs w:val="18"/>
              </w:rPr>
              <w:t>2.91 (1.69,</w:t>
            </w:r>
            <w:r w:rsidR="00F82DD3" w:rsidRPr="00092266">
              <w:rPr>
                <w:rFonts w:ascii="Arial Narrow" w:hAnsi="Arial Narrow"/>
                <w:b/>
                <w:sz w:val="18"/>
                <w:szCs w:val="18"/>
              </w:rPr>
              <w:t xml:space="preserve"> </w:t>
            </w:r>
            <w:r w:rsidRPr="00092266">
              <w:rPr>
                <w:rFonts w:ascii="Arial Narrow" w:hAnsi="Arial Narrow"/>
                <w:b/>
                <w:sz w:val="18"/>
                <w:szCs w:val="18"/>
              </w:rPr>
              <w:t>6.84)</w:t>
            </w:r>
          </w:p>
        </w:tc>
        <w:tc>
          <w:tcPr>
            <w:tcW w:w="1196" w:type="dxa"/>
            <w:vMerge w:val="restart"/>
            <w:vAlign w:val="center"/>
          </w:tcPr>
          <w:p w14:paraId="4B26D567" w14:textId="4BC007A2" w:rsidR="004D1EA7" w:rsidRPr="00092266" w:rsidRDefault="004D1EA7" w:rsidP="004D1EA7">
            <w:pPr>
              <w:jc w:val="center"/>
              <w:rPr>
                <w:rFonts w:ascii="Arial Narrow" w:hAnsi="Arial Narrow"/>
                <w:sz w:val="18"/>
                <w:szCs w:val="18"/>
              </w:rPr>
            </w:pPr>
            <w:r w:rsidRPr="00092266">
              <w:rPr>
                <w:rFonts w:ascii="Arial Narrow" w:hAnsi="Arial Narrow"/>
                <w:sz w:val="18"/>
                <w:szCs w:val="18"/>
              </w:rPr>
              <w:t>1.23 (0.70,</w:t>
            </w:r>
            <w:r w:rsidR="00F82DD3" w:rsidRPr="00092266">
              <w:rPr>
                <w:rFonts w:ascii="Arial Narrow" w:hAnsi="Arial Narrow"/>
                <w:sz w:val="18"/>
                <w:szCs w:val="18"/>
              </w:rPr>
              <w:t xml:space="preserve"> </w:t>
            </w:r>
            <w:r w:rsidRPr="00092266">
              <w:rPr>
                <w:rFonts w:ascii="Arial Narrow" w:hAnsi="Arial Narrow"/>
                <w:sz w:val="18"/>
                <w:szCs w:val="18"/>
              </w:rPr>
              <w:t>2.18)</w:t>
            </w:r>
          </w:p>
        </w:tc>
        <w:tc>
          <w:tcPr>
            <w:tcW w:w="1197" w:type="dxa"/>
            <w:vMerge w:val="restart"/>
            <w:vAlign w:val="center"/>
          </w:tcPr>
          <w:p w14:paraId="2BD5B460" w14:textId="20F1B356" w:rsidR="004D1EA7" w:rsidRPr="00092266" w:rsidRDefault="004D1EA7" w:rsidP="004D1EA7">
            <w:pPr>
              <w:jc w:val="center"/>
              <w:rPr>
                <w:rFonts w:ascii="Arial Narrow" w:hAnsi="Arial Narrow"/>
                <w:sz w:val="18"/>
                <w:szCs w:val="18"/>
              </w:rPr>
            </w:pPr>
            <w:r w:rsidRPr="00092266">
              <w:rPr>
                <w:rFonts w:ascii="Arial Narrow" w:hAnsi="Arial Narrow"/>
                <w:b/>
                <w:sz w:val="18"/>
                <w:szCs w:val="18"/>
              </w:rPr>
              <w:t>2.93 (1.69,</w:t>
            </w:r>
            <w:r w:rsidR="00F82DD3" w:rsidRPr="00092266">
              <w:rPr>
                <w:rFonts w:ascii="Arial Narrow" w:hAnsi="Arial Narrow"/>
                <w:b/>
                <w:sz w:val="18"/>
                <w:szCs w:val="18"/>
              </w:rPr>
              <w:t xml:space="preserve"> </w:t>
            </w:r>
            <w:r w:rsidRPr="00092266">
              <w:rPr>
                <w:rFonts w:ascii="Arial Narrow" w:hAnsi="Arial Narrow"/>
                <w:b/>
                <w:sz w:val="18"/>
                <w:szCs w:val="18"/>
              </w:rPr>
              <w:t>6.65)</w:t>
            </w:r>
          </w:p>
        </w:tc>
      </w:tr>
      <w:tr w:rsidR="00A63A2A" w:rsidRPr="00092266" w14:paraId="5ECD1E22" w14:textId="77777777" w:rsidTr="00744475">
        <w:tc>
          <w:tcPr>
            <w:tcW w:w="1838" w:type="dxa"/>
            <w:vAlign w:val="center"/>
          </w:tcPr>
          <w:p w14:paraId="77A9CBEE"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ADA corrected</w:t>
            </w:r>
            <w:r w:rsidRPr="00092266">
              <w:rPr>
                <w:rFonts w:ascii="Arial Narrow" w:hAnsi="Arial Narrow"/>
                <w:sz w:val="20"/>
                <w:szCs w:val="20"/>
                <w:vertAlign w:val="superscript"/>
                <w:lang w:val="it-IT"/>
              </w:rPr>
              <w:t>h</w:t>
            </w:r>
          </w:p>
        </w:tc>
        <w:tc>
          <w:tcPr>
            <w:tcW w:w="1196" w:type="dxa"/>
            <w:vAlign w:val="center"/>
          </w:tcPr>
          <w:p w14:paraId="48016A43" w14:textId="57468436"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3.06 (1.47,</w:t>
            </w:r>
            <w:r w:rsidR="00F82DD3" w:rsidRPr="00092266">
              <w:rPr>
                <w:rFonts w:ascii="Arial Narrow" w:hAnsi="Arial Narrow"/>
                <w:b/>
                <w:sz w:val="18"/>
                <w:szCs w:val="18"/>
              </w:rPr>
              <w:t xml:space="preserve"> </w:t>
            </w:r>
            <w:r w:rsidRPr="00092266">
              <w:rPr>
                <w:rFonts w:ascii="Arial Narrow" w:hAnsi="Arial Narrow"/>
                <w:b/>
                <w:sz w:val="18"/>
                <w:szCs w:val="18"/>
              </w:rPr>
              <w:t>6.35)</w:t>
            </w:r>
          </w:p>
        </w:tc>
        <w:tc>
          <w:tcPr>
            <w:tcW w:w="1197" w:type="dxa"/>
            <w:vAlign w:val="center"/>
          </w:tcPr>
          <w:p w14:paraId="79566F78" w14:textId="131CE165" w:rsidR="004D1EA7" w:rsidRPr="00092266" w:rsidRDefault="00744475" w:rsidP="004D1EA7">
            <w:pPr>
              <w:jc w:val="center"/>
              <w:rPr>
                <w:rFonts w:ascii="Arial Narrow" w:hAnsi="Arial Narrow"/>
                <w:b/>
                <w:sz w:val="18"/>
                <w:szCs w:val="18"/>
              </w:rPr>
            </w:pPr>
            <w:r w:rsidRPr="00092266">
              <w:rPr>
                <w:rFonts w:ascii="Arial Narrow" w:hAnsi="Arial Narrow"/>
                <w:b/>
                <w:sz w:val="18"/>
                <w:szCs w:val="18"/>
              </w:rPr>
              <w:t>3.31</w:t>
            </w:r>
            <w:r w:rsidR="004D1EA7" w:rsidRPr="00092266">
              <w:rPr>
                <w:rFonts w:ascii="Arial Narrow" w:hAnsi="Arial Narrow"/>
                <w:b/>
                <w:sz w:val="18"/>
                <w:szCs w:val="18"/>
              </w:rPr>
              <w:t>(1.59,6.87)</w:t>
            </w:r>
            <w:r w:rsidR="004D1EA7" w:rsidRPr="00092266">
              <w:rPr>
                <w:rFonts w:ascii="Arial Narrow" w:hAnsi="Arial Narrow"/>
                <w:b/>
                <w:sz w:val="18"/>
                <w:szCs w:val="18"/>
                <w:vertAlign w:val="superscript"/>
              </w:rPr>
              <w:t>eh</w:t>
            </w:r>
          </w:p>
        </w:tc>
        <w:tc>
          <w:tcPr>
            <w:tcW w:w="1196" w:type="dxa"/>
            <w:vMerge/>
            <w:vAlign w:val="center"/>
          </w:tcPr>
          <w:p w14:paraId="03FF345A" w14:textId="77777777" w:rsidR="004D1EA7" w:rsidRPr="00092266" w:rsidRDefault="004D1EA7" w:rsidP="004D1EA7">
            <w:pPr>
              <w:jc w:val="center"/>
              <w:rPr>
                <w:rFonts w:ascii="Arial Narrow" w:hAnsi="Arial Narrow"/>
                <w:sz w:val="18"/>
                <w:szCs w:val="18"/>
              </w:rPr>
            </w:pPr>
          </w:p>
        </w:tc>
        <w:tc>
          <w:tcPr>
            <w:tcW w:w="1197" w:type="dxa"/>
            <w:vMerge/>
            <w:vAlign w:val="center"/>
          </w:tcPr>
          <w:p w14:paraId="70880795" w14:textId="77777777" w:rsidR="004D1EA7" w:rsidRPr="00092266" w:rsidRDefault="004D1EA7" w:rsidP="004D1EA7">
            <w:pPr>
              <w:jc w:val="center"/>
              <w:rPr>
                <w:rFonts w:ascii="Arial Narrow" w:hAnsi="Arial Narrow"/>
                <w:b/>
                <w:sz w:val="18"/>
                <w:szCs w:val="18"/>
              </w:rPr>
            </w:pPr>
          </w:p>
        </w:tc>
        <w:tc>
          <w:tcPr>
            <w:tcW w:w="1196" w:type="dxa"/>
            <w:vMerge/>
            <w:vAlign w:val="center"/>
          </w:tcPr>
          <w:p w14:paraId="2D97C362" w14:textId="77777777" w:rsidR="004D1EA7" w:rsidRPr="00092266" w:rsidRDefault="004D1EA7" w:rsidP="004D1EA7">
            <w:pPr>
              <w:jc w:val="center"/>
              <w:rPr>
                <w:rFonts w:ascii="Arial Narrow" w:hAnsi="Arial Narrow"/>
                <w:sz w:val="18"/>
                <w:szCs w:val="18"/>
              </w:rPr>
            </w:pPr>
          </w:p>
        </w:tc>
        <w:tc>
          <w:tcPr>
            <w:tcW w:w="1197" w:type="dxa"/>
            <w:vMerge/>
            <w:vAlign w:val="center"/>
          </w:tcPr>
          <w:p w14:paraId="322F61F1" w14:textId="77777777" w:rsidR="004D1EA7" w:rsidRPr="00092266" w:rsidRDefault="004D1EA7" w:rsidP="004D1EA7">
            <w:pPr>
              <w:jc w:val="center"/>
              <w:rPr>
                <w:rFonts w:ascii="Arial Narrow" w:hAnsi="Arial Narrow"/>
                <w:sz w:val="18"/>
                <w:szCs w:val="18"/>
              </w:rPr>
            </w:pPr>
          </w:p>
        </w:tc>
      </w:tr>
      <w:tr w:rsidR="00A63A2A" w:rsidRPr="00092266" w14:paraId="404A7D5C" w14:textId="77777777" w:rsidTr="00744475">
        <w:tc>
          <w:tcPr>
            <w:tcW w:w="1838" w:type="dxa"/>
            <w:vAlign w:val="center"/>
          </w:tcPr>
          <w:p w14:paraId="7E09F868"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UST Q8/Q12W</w:t>
            </w:r>
            <w:r w:rsidRPr="00092266">
              <w:rPr>
                <w:rFonts w:ascii="Arial Narrow" w:hAnsi="Arial Narrow"/>
                <w:sz w:val="20"/>
                <w:szCs w:val="20"/>
                <w:vertAlign w:val="superscript"/>
                <w:lang w:val="it-IT"/>
              </w:rPr>
              <w:t>f</w:t>
            </w:r>
          </w:p>
        </w:tc>
        <w:tc>
          <w:tcPr>
            <w:tcW w:w="1196" w:type="dxa"/>
            <w:vAlign w:val="center"/>
          </w:tcPr>
          <w:p w14:paraId="5F8BA9DC" w14:textId="7379A9C7" w:rsidR="004D1EA7" w:rsidRPr="00092266" w:rsidRDefault="004D1EA7" w:rsidP="004D1EA7">
            <w:pPr>
              <w:jc w:val="center"/>
              <w:rPr>
                <w:rFonts w:ascii="Arial Narrow" w:hAnsi="Arial Narrow"/>
                <w:sz w:val="18"/>
                <w:szCs w:val="18"/>
              </w:rPr>
            </w:pPr>
            <w:r w:rsidRPr="00092266">
              <w:rPr>
                <w:rFonts w:ascii="Arial Narrow" w:hAnsi="Arial Narrow"/>
                <w:sz w:val="18"/>
                <w:szCs w:val="18"/>
              </w:rPr>
              <w:t>1.62 (0.76,</w:t>
            </w:r>
            <w:r w:rsidR="00F82DD3" w:rsidRPr="00092266">
              <w:rPr>
                <w:rFonts w:ascii="Arial Narrow" w:hAnsi="Arial Narrow"/>
                <w:sz w:val="18"/>
                <w:szCs w:val="18"/>
              </w:rPr>
              <w:t xml:space="preserve"> </w:t>
            </w:r>
            <w:r w:rsidRPr="00092266">
              <w:rPr>
                <w:rFonts w:ascii="Arial Narrow" w:hAnsi="Arial Narrow"/>
                <w:sz w:val="18"/>
                <w:szCs w:val="18"/>
              </w:rPr>
              <w:t>3.45)</w:t>
            </w:r>
          </w:p>
        </w:tc>
        <w:tc>
          <w:tcPr>
            <w:tcW w:w="1197" w:type="dxa"/>
            <w:vAlign w:val="center"/>
          </w:tcPr>
          <w:p w14:paraId="0C005556" w14:textId="1D7338B2" w:rsidR="004D1EA7" w:rsidRPr="00092266" w:rsidRDefault="004D1EA7" w:rsidP="004D1EA7">
            <w:pPr>
              <w:jc w:val="center"/>
              <w:rPr>
                <w:rFonts w:ascii="Arial Narrow" w:hAnsi="Arial Narrow"/>
                <w:sz w:val="18"/>
                <w:szCs w:val="18"/>
              </w:rPr>
            </w:pPr>
            <w:r w:rsidRPr="00092266">
              <w:rPr>
                <w:rFonts w:ascii="Arial Narrow" w:hAnsi="Arial Narrow"/>
                <w:sz w:val="18"/>
                <w:szCs w:val="18"/>
              </w:rPr>
              <w:t>1.62 (0.76,</w:t>
            </w:r>
            <w:r w:rsidR="00F82DD3" w:rsidRPr="00092266">
              <w:rPr>
                <w:rFonts w:ascii="Arial Narrow" w:hAnsi="Arial Narrow"/>
                <w:sz w:val="18"/>
                <w:szCs w:val="18"/>
              </w:rPr>
              <w:t xml:space="preserve"> </w:t>
            </w:r>
            <w:r w:rsidRPr="00092266">
              <w:rPr>
                <w:rFonts w:ascii="Arial Narrow" w:hAnsi="Arial Narrow"/>
                <w:sz w:val="18"/>
                <w:szCs w:val="18"/>
              </w:rPr>
              <w:t>3.44)</w:t>
            </w:r>
            <w:r w:rsidRPr="00092266">
              <w:rPr>
                <w:rFonts w:ascii="Arial Narrow" w:hAnsi="Arial Narrow"/>
                <w:sz w:val="18"/>
                <w:szCs w:val="18"/>
                <w:vertAlign w:val="superscript"/>
              </w:rPr>
              <w:t>e</w:t>
            </w:r>
          </w:p>
        </w:tc>
        <w:tc>
          <w:tcPr>
            <w:tcW w:w="1196" w:type="dxa"/>
            <w:vAlign w:val="center"/>
          </w:tcPr>
          <w:p w14:paraId="03D673C0" w14:textId="6852D2D0" w:rsidR="004D1EA7" w:rsidRPr="00092266" w:rsidRDefault="004D1EA7" w:rsidP="004D1EA7">
            <w:pPr>
              <w:jc w:val="center"/>
              <w:rPr>
                <w:rFonts w:ascii="Arial Narrow" w:hAnsi="Arial Narrow"/>
                <w:sz w:val="18"/>
                <w:szCs w:val="18"/>
              </w:rPr>
            </w:pPr>
            <w:r w:rsidRPr="00092266">
              <w:rPr>
                <w:rFonts w:ascii="Arial Narrow" w:hAnsi="Arial Narrow"/>
                <w:sz w:val="18"/>
                <w:szCs w:val="18"/>
              </w:rPr>
              <w:t>1.19 (0.58,2.45) / 1.30 (0.65,</w:t>
            </w:r>
            <w:r w:rsidR="00F82DD3" w:rsidRPr="00092266">
              <w:rPr>
                <w:rFonts w:ascii="Arial Narrow" w:hAnsi="Arial Narrow"/>
                <w:sz w:val="18"/>
                <w:szCs w:val="18"/>
              </w:rPr>
              <w:t xml:space="preserve"> </w:t>
            </w:r>
            <w:r w:rsidRPr="00092266">
              <w:rPr>
                <w:rFonts w:ascii="Arial Narrow" w:hAnsi="Arial Narrow"/>
                <w:sz w:val="18"/>
                <w:szCs w:val="18"/>
              </w:rPr>
              <w:t>2.60)</w:t>
            </w:r>
          </w:p>
        </w:tc>
        <w:tc>
          <w:tcPr>
            <w:tcW w:w="1197" w:type="dxa"/>
            <w:vAlign w:val="center"/>
          </w:tcPr>
          <w:p w14:paraId="5523465E" w14:textId="4C6E60B6" w:rsidR="004D1EA7" w:rsidRPr="00092266" w:rsidRDefault="004D1EA7" w:rsidP="004D1EA7">
            <w:pPr>
              <w:jc w:val="center"/>
              <w:rPr>
                <w:rFonts w:ascii="Arial Narrow" w:hAnsi="Arial Narrow"/>
                <w:sz w:val="18"/>
                <w:szCs w:val="18"/>
              </w:rPr>
            </w:pPr>
            <w:r w:rsidRPr="00092266">
              <w:rPr>
                <w:rFonts w:ascii="Arial Narrow" w:hAnsi="Arial Narrow"/>
                <w:sz w:val="18"/>
                <w:szCs w:val="18"/>
              </w:rPr>
              <w:t>1.21 (0.66,2.23) / 1.33 (0.75,</w:t>
            </w:r>
            <w:r w:rsidR="00F82DD3" w:rsidRPr="00092266">
              <w:rPr>
                <w:rFonts w:ascii="Arial Narrow" w:hAnsi="Arial Narrow"/>
                <w:sz w:val="18"/>
                <w:szCs w:val="18"/>
              </w:rPr>
              <w:t xml:space="preserve"> </w:t>
            </w:r>
            <w:r w:rsidRPr="00092266">
              <w:rPr>
                <w:rFonts w:ascii="Arial Narrow" w:hAnsi="Arial Narrow"/>
                <w:sz w:val="18"/>
                <w:szCs w:val="18"/>
              </w:rPr>
              <w:t>2.40)</w:t>
            </w:r>
          </w:p>
        </w:tc>
        <w:tc>
          <w:tcPr>
            <w:tcW w:w="1196" w:type="dxa"/>
            <w:vAlign w:val="center"/>
          </w:tcPr>
          <w:p w14:paraId="454F7823" w14:textId="4180F637" w:rsidR="004D1EA7" w:rsidRPr="00092266" w:rsidRDefault="004D1EA7" w:rsidP="004D1EA7">
            <w:pPr>
              <w:jc w:val="center"/>
              <w:rPr>
                <w:rFonts w:ascii="Arial Narrow" w:hAnsi="Arial Narrow"/>
                <w:sz w:val="18"/>
                <w:szCs w:val="18"/>
              </w:rPr>
            </w:pPr>
            <w:r w:rsidRPr="00092266">
              <w:rPr>
                <w:rFonts w:ascii="Arial Narrow" w:hAnsi="Arial Narrow"/>
                <w:sz w:val="18"/>
                <w:szCs w:val="18"/>
              </w:rPr>
              <w:t>1.20 (0.59,2.45) / 1.31 (0.65,</w:t>
            </w:r>
            <w:r w:rsidR="00F82DD3" w:rsidRPr="00092266">
              <w:rPr>
                <w:rFonts w:ascii="Arial Narrow" w:hAnsi="Arial Narrow"/>
                <w:sz w:val="18"/>
                <w:szCs w:val="18"/>
              </w:rPr>
              <w:t xml:space="preserve"> </w:t>
            </w:r>
            <w:r w:rsidRPr="00092266">
              <w:rPr>
                <w:rFonts w:ascii="Arial Narrow" w:hAnsi="Arial Narrow"/>
                <w:sz w:val="18"/>
                <w:szCs w:val="18"/>
              </w:rPr>
              <w:t>2.63)</w:t>
            </w:r>
          </w:p>
        </w:tc>
        <w:tc>
          <w:tcPr>
            <w:tcW w:w="1197" w:type="dxa"/>
            <w:vAlign w:val="center"/>
          </w:tcPr>
          <w:p w14:paraId="14C0B773" w14:textId="0B727C7E" w:rsidR="004D1EA7" w:rsidRPr="00092266" w:rsidRDefault="004D1EA7" w:rsidP="004D1EA7">
            <w:pPr>
              <w:jc w:val="center"/>
              <w:rPr>
                <w:rFonts w:ascii="Arial Narrow" w:hAnsi="Arial Narrow"/>
                <w:sz w:val="18"/>
                <w:szCs w:val="18"/>
              </w:rPr>
            </w:pPr>
            <w:r w:rsidRPr="00092266">
              <w:rPr>
                <w:rFonts w:ascii="Arial Narrow" w:hAnsi="Arial Narrow"/>
                <w:sz w:val="18"/>
                <w:szCs w:val="18"/>
              </w:rPr>
              <w:t>1.22 (0.66,2.26) / 1.33 (0.75,</w:t>
            </w:r>
            <w:r w:rsidR="00F82DD3" w:rsidRPr="00092266">
              <w:rPr>
                <w:rFonts w:ascii="Arial Narrow" w:hAnsi="Arial Narrow"/>
                <w:sz w:val="18"/>
                <w:szCs w:val="18"/>
              </w:rPr>
              <w:t xml:space="preserve"> </w:t>
            </w:r>
            <w:r w:rsidRPr="00092266">
              <w:rPr>
                <w:rFonts w:ascii="Arial Narrow" w:hAnsi="Arial Narrow"/>
                <w:sz w:val="18"/>
                <w:szCs w:val="18"/>
              </w:rPr>
              <w:t>2.37)</w:t>
            </w:r>
          </w:p>
        </w:tc>
      </w:tr>
      <w:tr w:rsidR="00FA73DD" w:rsidRPr="00092266" w14:paraId="17A4FCBE" w14:textId="77777777" w:rsidTr="00FA73DD">
        <w:tc>
          <w:tcPr>
            <w:tcW w:w="9017" w:type="dxa"/>
            <w:gridSpan w:val="7"/>
            <w:vAlign w:val="center"/>
          </w:tcPr>
          <w:p w14:paraId="1DCE8A86" w14:textId="5ED47C2C" w:rsidR="00FA73DD" w:rsidRPr="00092266" w:rsidRDefault="00FA73DD" w:rsidP="00FA73DD">
            <w:pPr>
              <w:jc w:val="left"/>
              <w:rPr>
                <w:rFonts w:ascii="Arial Narrow" w:hAnsi="Arial Narrow"/>
                <w:sz w:val="18"/>
                <w:szCs w:val="18"/>
              </w:rPr>
            </w:pPr>
            <w:r w:rsidRPr="00092266">
              <w:rPr>
                <w:rFonts w:ascii="Arial Narrow" w:hAnsi="Arial Narrow"/>
                <w:b/>
                <w:bCs/>
                <w:sz w:val="18"/>
                <w:szCs w:val="18"/>
              </w:rPr>
              <w:t xml:space="preserve">MAINTENANCE: Response </w:t>
            </w:r>
            <w:r w:rsidRPr="00092266">
              <w:rPr>
                <w:rFonts w:ascii="Arial Narrow" w:hAnsi="Arial Narrow"/>
                <w:b/>
                <w:sz w:val="18"/>
                <w:szCs w:val="18"/>
              </w:rPr>
              <w:t xml:space="preserve">│ Ind. Response, </w:t>
            </w:r>
            <w:r w:rsidRPr="00092266">
              <w:rPr>
                <w:rFonts w:ascii="Arial Narrow" w:hAnsi="Arial Narrow"/>
                <w:b/>
                <w:bCs/>
                <w:sz w:val="20"/>
                <w:szCs w:val="20"/>
                <w:lang w:val="it-IT"/>
              </w:rPr>
              <w:t>bDMARDs/tsDMARDs-experienced</w:t>
            </w:r>
          </w:p>
        </w:tc>
      </w:tr>
      <w:tr w:rsidR="00A63A2A" w:rsidRPr="00092266" w14:paraId="3AA055C1" w14:textId="77777777" w:rsidTr="00744475">
        <w:tc>
          <w:tcPr>
            <w:tcW w:w="1838" w:type="dxa"/>
            <w:vAlign w:val="center"/>
          </w:tcPr>
          <w:p w14:paraId="04B81050" w14:textId="320432AB" w:rsidR="004D1EA7" w:rsidRPr="00092266" w:rsidRDefault="004D1EA7" w:rsidP="004D1EA7">
            <w:pPr>
              <w:jc w:val="right"/>
              <w:rPr>
                <w:rFonts w:ascii="Arial Narrow" w:hAnsi="Arial Narrow"/>
                <w:sz w:val="20"/>
                <w:szCs w:val="20"/>
                <w:lang w:val="it-IT"/>
              </w:rPr>
            </w:pPr>
          </w:p>
        </w:tc>
        <w:tc>
          <w:tcPr>
            <w:tcW w:w="1196" w:type="dxa"/>
            <w:vAlign w:val="center"/>
          </w:tcPr>
          <w:p w14:paraId="24567108" w14:textId="77777777" w:rsidR="004D1EA7" w:rsidRPr="00092266" w:rsidRDefault="004D1EA7" w:rsidP="004D1EA7">
            <w:pPr>
              <w:jc w:val="center"/>
              <w:rPr>
                <w:rFonts w:ascii="Arial Narrow" w:hAnsi="Arial Narrow"/>
                <w:sz w:val="18"/>
                <w:szCs w:val="18"/>
              </w:rPr>
            </w:pPr>
          </w:p>
        </w:tc>
        <w:tc>
          <w:tcPr>
            <w:tcW w:w="1197" w:type="dxa"/>
            <w:vAlign w:val="center"/>
          </w:tcPr>
          <w:p w14:paraId="233AFA94" w14:textId="77777777" w:rsidR="004D1EA7" w:rsidRPr="00092266" w:rsidRDefault="004D1EA7" w:rsidP="004D1EA7">
            <w:pPr>
              <w:jc w:val="center"/>
              <w:rPr>
                <w:rFonts w:ascii="Arial Narrow" w:hAnsi="Arial Narrow"/>
                <w:sz w:val="18"/>
                <w:szCs w:val="18"/>
              </w:rPr>
            </w:pPr>
          </w:p>
        </w:tc>
        <w:tc>
          <w:tcPr>
            <w:tcW w:w="1196" w:type="dxa"/>
            <w:vAlign w:val="center"/>
          </w:tcPr>
          <w:p w14:paraId="28ABBBDC" w14:textId="77777777" w:rsidR="004D1EA7" w:rsidRPr="00092266" w:rsidRDefault="004D1EA7" w:rsidP="004D1EA7">
            <w:pPr>
              <w:jc w:val="center"/>
              <w:rPr>
                <w:rFonts w:ascii="Arial Narrow" w:hAnsi="Arial Narrow"/>
                <w:sz w:val="18"/>
                <w:szCs w:val="18"/>
                <w:vertAlign w:val="superscript"/>
              </w:rPr>
            </w:pPr>
            <w:r w:rsidRPr="00092266">
              <w:rPr>
                <w:rFonts w:ascii="Arial Narrow" w:hAnsi="Arial Narrow"/>
                <w:sz w:val="18"/>
                <w:szCs w:val="18"/>
              </w:rPr>
              <w:t>FE</w:t>
            </w:r>
            <w:r w:rsidRPr="00092266">
              <w:rPr>
                <w:rFonts w:ascii="Arial Narrow" w:hAnsi="Arial Narrow"/>
                <w:sz w:val="18"/>
                <w:szCs w:val="18"/>
                <w:vertAlign w:val="superscript"/>
              </w:rPr>
              <w:sym w:font="Symbol" w:char="F0E0"/>
            </w:r>
          </w:p>
        </w:tc>
        <w:tc>
          <w:tcPr>
            <w:tcW w:w="1197" w:type="dxa"/>
            <w:vAlign w:val="center"/>
          </w:tcPr>
          <w:p w14:paraId="5F52B452" w14:textId="77777777" w:rsidR="004D1EA7" w:rsidRPr="00092266" w:rsidRDefault="004D1EA7" w:rsidP="004D1EA7">
            <w:pPr>
              <w:jc w:val="center"/>
              <w:rPr>
                <w:rFonts w:ascii="Arial Narrow" w:hAnsi="Arial Narrow"/>
                <w:sz w:val="18"/>
                <w:szCs w:val="18"/>
                <w:vertAlign w:val="superscript"/>
              </w:rPr>
            </w:pPr>
            <w:r w:rsidRPr="00092266">
              <w:rPr>
                <w:rFonts w:ascii="Arial Narrow" w:hAnsi="Arial Narrow"/>
                <w:sz w:val="18"/>
                <w:szCs w:val="18"/>
              </w:rPr>
              <w:t>FE</w:t>
            </w:r>
            <w:r w:rsidRPr="00092266">
              <w:rPr>
                <w:rFonts w:ascii="Arial Narrow" w:hAnsi="Arial Narrow"/>
                <w:sz w:val="18"/>
                <w:szCs w:val="18"/>
                <w:vertAlign w:val="superscript"/>
              </w:rPr>
              <w:t>‡</w:t>
            </w:r>
          </w:p>
        </w:tc>
        <w:tc>
          <w:tcPr>
            <w:tcW w:w="1196" w:type="dxa"/>
            <w:vAlign w:val="center"/>
          </w:tcPr>
          <w:p w14:paraId="02DC9FFC"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c>
          <w:tcPr>
            <w:tcW w:w="1197" w:type="dxa"/>
            <w:vAlign w:val="center"/>
          </w:tcPr>
          <w:p w14:paraId="64F23321"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FE</w:t>
            </w:r>
          </w:p>
        </w:tc>
      </w:tr>
      <w:tr w:rsidR="00A63A2A" w:rsidRPr="00092266" w14:paraId="51ADABDE" w14:textId="77777777" w:rsidTr="00744475">
        <w:tc>
          <w:tcPr>
            <w:tcW w:w="1838" w:type="dxa"/>
            <w:vAlign w:val="center"/>
          </w:tcPr>
          <w:p w14:paraId="340692A6"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lastRenderedPageBreak/>
              <w:t>MIRI v VDZ IV</w:t>
            </w:r>
          </w:p>
        </w:tc>
        <w:tc>
          <w:tcPr>
            <w:tcW w:w="1196" w:type="dxa"/>
            <w:vAlign w:val="center"/>
          </w:tcPr>
          <w:p w14:paraId="7B34B35B" w14:textId="421E9F73" w:rsidR="004D1EA7" w:rsidRPr="00092266" w:rsidRDefault="004D1EA7" w:rsidP="004D1EA7">
            <w:pPr>
              <w:jc w:val="center"/>
              <w:rPr>
                <w:rFonts w:ascii="Arial Narrow" w:hAnsi="Arial Narrow"/>
                <w:sz w:val="18"/>
                <w:szCs w:val="18"/>
              </w:rPr>
            </w:pPr>
            <w:r w:rsidRPr="00092266">
              <w:rPr>
                <w:rFonts w:ascii="Arial Narrow" w:hAnsi="Arial Narrow"/>
                <w:sz w:val="18"/>
                <w:szCs w:val="18"/>
              </w:rPr>
              <w:t>0.87 (0.30,</w:t>
            </w:r>
            <w:r w:rsidR="00F82DD3" w:rsidRPr="00092266">
              <w:rPr>
                <w:rFonts w:ascii="Arial Narrow" w:hAnsi="Arial Narrow"/>
                <w:sz w:val="18"/>
                <w:szCs w:val="18"/>
              </w:rPr>
              <w:t xml:space="preserve"> </w:t>
            </w:r>
            <w:r w:rsidRPr="00092266">
              <w:rPr>
                <w:rFonts w:ascii="Arial Narrow" w:hAnsi="Arial Narrow"/>
                <w:sz w:val="18"/>
                <w:szCs w:val="18"/>
              </w:rPr>
              <w:t>2.52)</w:t>
            </w:r>
          </w:p>
        </w:tc>
        <w:tc>
          <w:tcPr>
            <w:tcW w:w="1197" w:type="dxa"/>
            <w:vAlign w:val="center"/>
          </w:tcPr>
          <w:p w14:paraId="2FD1AE15" w14:textId="2BD7E907" w:rsidR="004D1EA7" w:rsidRPr="00092266" w:rsidRDefault="004D1EA7" w:rsidP="004D1EA7">
            <w:pPr>
              <w:jc w:val="center"/>
              <w:rPr>
                <w:rFonts w:ascii="Arial Narrow" w:hAnsi="Arial Narrow"/>
                <w:sz w:val="18"/>
                <w:szCs w:val="18"/>
              </w:rPr>
            </w:pPr>
            <w:r w:rsidRPr="00092266">
              <w:rPr>
                <w:rFonts w:ascii="Arial Narrow" w:hAnsi="Arial Narrow"/>
                <w:sz w:val="18"/>
                <w:szCs w:val="18"/>
              </w:rPr>
              <w:t>0.87 (0.30,</w:t>
            </w:r>
            <w:r w:rsidR="00F82DD3" w:rsidRPr="00092266">
              <w:rPr>
                <w:rFonts w:ascii="Arial Narrow" w:hAnsi="Arial Narrow"/>
                <w:sz w:val="18"/>
                <w:szCs w:val="18"/>
              </w:rPr>
              <w:t xml:space="preserve"> </w:t>
            </w:r>
            <w:r w:rsidRPr="00092266">
              <w:rPr>
                <w:rFonts w:ascii="Arial Narrow" w:hAnsi="Arial Narrow"/>
                <w:sz w:val="18"/>
                <w:szCs w:val="18"/>
              </w:rPr>
              <w:t>2.52)</w:t>
            </w:r>
            <w:r w:rsidRPr="00092266">
              <w:rPr>
                <w:rFonts w:ascii="Arial Narrow" w:hAnsi="Arial Narrow"/>
                <w:sz w:val="18"/>
                <w:szCs w:val="18"/>
                <w:vertAlign w:val="superscript"/>
              </w:rPr>
              <w:t>g</w:t>
            </w:r>
          </w:p>
        </w:tc>
        <w:tc>
          <w:tcPr>
            <w:tcW w:w="1196" w:type="dxa"/>
            <w:vAlign w:val="center"/>
          </w:tcPr>
          <w:p w14:paraId="1A103792" w14:textId="15137AC0" w:rsidR="004D1EA7" w:rsidRPr="00092266" w:rsidRDefault="004D1EA7" w:rsidP="004D1EA7">
            <w:pPr>
              <w:jc w:val="center"/>
              <w:rPr>
                <w:rFonts w:ascii="Arial Narrow" w:hAnsi="Arial Narrow"/>
                <w:sz w:val="18"/>
                <w:szCs w:val="18"/>
              </w:rPr>
            </w:pPr>
            <w:r w:rsidRPr="00092266">
              <w:rPr>
                <w:rFonts w:ascii="Arial Narrow" w:hAnsi="Arial Narrow"/>
                <w:sz w:val="18"/>
                <w:szCs w:val="18"/>
              </w:rPr>
              <w:t>1.74 (0.73,</w:t>
            </w:r>
            <w:r w:rsidR="00F82DD3" w:rsidRPr="00092266">
              <w:rPr>
                <w:rFonts w:ascii="Arial Narrow" w:hAnsi="Arial Narrow"/>
                <w:sz w:val="18"/>
                <w:szCs w:val="18"/>
              </w:rPr>
              <w:t xml:space="preserve"> </w:t>
            </w:r>
            <w:r w:rsidRPr="00092266">
              <w:rPr>
                <w:rFonts w:ascii="Arial Narrow" w:hAnsi="Arial Narrow"/>
                <w:sz w:val="18"/>
                <w:szCs w:val="18"/>
              </w:rPr>
              <w:t>4.25)</w:t>
            </w:r>
          </w:p>
        </w:tc>
        <w:tc>
          <w:tcPr>
            <w:tcW w:w="1197" w:type="dxa"/>
            <w:vAlign w:val="center"/>
          </w:tcPr>
          <w:p w14:paraId="7B308AA4" w14:textId="2758DCFC"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3.35 (1.67,</w:t>
            </w:r>
            <w:r w:rsidR="00F82DD3" w:rsidRPr="00092266">
              <w:rPr>
                <w:rFonts w:ascii="Arial Narrow" w:hAnsi="Arial Narrow"/>
                <w:b/>
                <w:sz w:val="18"/>
                <w:szCs w:val="18"/>
              </w:rPr>
              <w:t xml:space="preserve"> </w:t>
            </w:r>
            <w:r w:rsidRPr="00092266">
              <w:rPr>
                <w:rFonts w:ascii="Arial Narrow" w:hAnsi="Arial Narrow"/>
                <w:b/>
                <w:sz w:val="18"/>
                <w:szCs w:val="18"/>
              </w:rPr>
              <w:t>7.41)</w:t>
            </w:r>
          </w:p>
        </w:tc>
        <w:tc>
          <w:tcPr>
            <w:tcW w:w="1196" w:type="dxa"/>
            <w:vAlign w:val="center"/>
          </w:tcPr>
          <w:p w14:paraId="1043B509" w14:textId="17228318" w:rsidR="004D1EA7" w:rsidRPr="00092266" w:rsidRDefault="004D1EA7" w:rsidP="004D1EA7">
            <w:pPr>
              <w:jc w:val="center"/>
              <w:rPr>
                <w:rFonts w:ascii="Arial Narrow" w:hAnsi="Arial Narrow"/>
                <w:sz w:val="18"/>
                <w:szCs w:val="18"/>
              </w:rPr>
            </w:pPr>
            <w:r w:rsidRPr="00092266">
              <w:rPr>
                <w:rFonts w:ascii="Arial Narrow" w:hAnsi="Arial Narrow"/>
                <w:sz w:val="18"/>
                <w:szCs w:val="18"/>
              </w:rPr>
              <w:t>0.90 (0.38,</w:t>
            </w:r>
            <w:r w:rsidR="00F82DD3" w:rsidRPr="00092266">
              <w:rPr>
                <w:rFonts w:ascii="Arial Narrow" w:hAnsi="Arial Narrow"/>
                <w:sz w:val="18"/>
                <w:szCs w:val="18"/>
              </w:rPr>
              <w:t xml:space="preserve"> </w:t>
            </w:r>
            <w:r w:rsidRPr="00092266">
              <w:rPr>
                <w:rFonts w:ascii="Arial Narrow" w:hAnsi="Arial Narrow"/>
                <w:sz w:val="18"/>
                <w:szCs w:val="18"/>
              </w:rPr>
              <w:t>2.14)</w:t>
            </w:r>
          </w:p>
        </w:tc>
        <w:tc>
          <w:tcPr>
            <w:tcW w:w="1197" w:type="dxa"/>
            <w:vAlign w:val="center"/>
          </w:tcPr>
          <w:p w14:paraId="1084CCB3" w14:textId="220BF781" w:rsidR="004D1EA7" w:rsidRPr="00092266" w:rsidRDefault="004D1EA7" w:rsidP="004D1EA7">
            <w:pPr>
              <w:jc w:val="center"/>
              <w:rPr>
                <w:rFonts w:ascii="Arial Narrow" w:hAnsi="Arial Narrow"/>
                <w:sz w:val="18"/>
                <w:szCs w:val="18"/>
              </w:rPr>
            </w:pPr>
            <w:r w:rsidRPr="00092266">
              <w:rPr>
                <w:rFonts w:ascii="Arial Narrow" w:hAnsi="Arial Narrow"/>
                <w:sz w:val="18"/>
                <w:szCs w:val="18"/>
              </w:rPr>
              <w:t>1.02 (0.09,</w:t>
            </w:r>
            <w:r w:rsidR="00F82DD3" w:rsidRPr="00092266">
              <w:rPr>
                <w:rFonts w:ascii="Arial Narrow" w:hAnsi="Arial Narrow"/>
                <w:sz w:val="18"/>
                <w:szCs w:val="18"/>
              </w:rPr>
              <w:t xml:space="preserve"> </w:t>
            </w:r>
            <w:r w:rsidRPr="00092266">
              <w:rPr>
                <w:rFonts w:ascii="Arial Narrow" w:hAnsi="Arial Narrow"/>
                <w:sz w:val="18"/>
                <w:szCs w:val="18"/>
              </w:rPr>
              <w:t>3.03)</w:t>
            </w:r>
          </w:p>
        </w:tc>
      </w:tr>
      <w:tr w:rsidR="00A63A2A" w:rsidRPr="00092266" w14:paraId="50900448" w14:textId="77777777" w:rsidTr="00744475">
        <w:tc>
          <w:tcPr>
            <w:tcW w:w="1838" w:type="dxa"/>
            <w:vAlign w:val="center"/>
          </w:tcPr>
          <w:p w14:paraId="0EA7505F"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VDZ IV/SC</w:t>
            </w:r>
          </w:p>
        </w:tc>
        <w:tc>
          <w:tcPr>
            <w:tcW w:w="1196" w:type="dxa"/>
            <w:vAlign w:val="center"/>
          </w:tcPr>
          <w:p w14:paraId="43C3157E"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NR</w:t>
            </w:r>
          </w:p>
        </w:tc>
        <w:tc>
          <w:tcPr>
            <w:tcW w:w="1197" w:type="dxa"/>
            <w:vAlign w:val="center"/>
          </w:tcPr>
          <w:p w14:paraId="2E1C5978" w14:textId="77777777" w:rsidR="004D1EA7" w:rsidRPr="00092266" w:rsidRDefault="004D1EA7" w:rsidP="004D1EA7">
            <w:pPr>
              <w:jc w:val="center"/>
              <w:rPr>
                <w:rFonts w:ascii="Arial Narrow" w:hAnsi="Arial Narrow"/>
                <w:sz w:val="18"/>
                <w:szCs w:val="18"/>
              </w:rPr>
            </w:pPr>
            <w:r w:rsidRPr="00092266">
              <w:rPr>
                <w:rFonts w:ascii="Arial Narrow" w:hAnsi="Arial Narrow"/>
                <w:sz w:val="18"/>
                <w:szCs w:val="18"/>
              </w:rPr>
              <w:t>-</w:t>
            </w:r>
          </w:p>
        </w:tc>
        <w:tc>
          <w:tcPr>
            <w:tcW w:w="1196" w:type="dxa"/>
            <w:vAlign w:val="center"/>
          </w:tcPr>
          <w:p w14:paraId="10A10A24" w14:textId="4022C3CA" w:rsidR="004D1EA7" w:rsidRPr="00092266" w:rsidRDefault="004D1EA7" w:rsidP="004D1EA7">
            <w:pPr>
              <w:jc w:val="center"/>
              <w:rPr>
                <w:rFonts w:ascii="Arial Narrow" w:hAnsi="Arial Narrow"/>
                <w:sz w:val="18"/>
                <w:szCs w:val="18"/>
              </w:rPr>
            </w:pPr>
            <w:r w:rsidRPr="00092266">
              <w:rPr>
                <w:rFonts w:ascii="Arial Narrow" w:hAnsi="Arial Narrow"/>
                <w:sz w:val="18"/>
                <w:szCs w:val="18"/>
              </w:rPr>
              <w:t>0.98 (0.25,</w:t>
            </w:r>
            <w:r w:rsidR="00F82DD3" w:rsidRPr="00092266">
              <w:rPr>
                <w:rFonts w:ascii="Arial Narrow" w:hAnsi="Arial Narrow"/>
                <w:sz w:val="18"/>
                <w:szCs w:val="18"/>
              </w:rPr>
              <w:t xml:space="preserve"> </w:t>
            </w:r>
            <w:r w:rsidRPr="00092266">
              <w:rPr>
                <w:rFonts w:ascii="Arial Narrow" w:hAnsi="Arial Narrow"/>
                <w:sz w:val="18"/>
                <w:szCs w:val="18"/>
              </w:rPr>
              <w:t>3.56)</w:t>
            </w:r>
            <w:r w:rsidRPr="00092266">
              <w:rPr>
                <w:rFonts w:ascii="Arial Narrow" w:hAnsi="Arial Narrow"/>
                <w:sz w:val="18"/>
                <w:szCs w:val="18"/>
                <w:vertAlign w:val="superscript"/>
              </w:rPr>
              <w:t>j</w:t>
            </w:r>
          </w:p>
        </w:tc>
        <w:tc>
          <w:tcPr>
            <w:tcW w:w="1197" w:type="dxa"/>
            <w:vAlign w:val="center"/>
          </w:tcPr>
          <w:p w14:paraId="0D0ECDBD" w14:textId="61E6A286" w:rsidR="004D1EA7" w:rsidRPr="00092266" w:rsidRDefault="00744475" w:rsidP="004D1EA7">
            <w:pPr>
              <w:jc w:val="center"/>
              <w:rPr>
                <w:rFonts w:ascii="Arial Narrow" w:hAnsi="Arial Narrow"/>
                <w:b/>
                <w:sz w:val="18"/>
                <w:szCs w:val="18"/>
              </w:rPr>
            </w:pPr>
            <w:r w:rsidRPr="00092266">
              <w:rPr>
                <w:rFonts w:ascii="Arial Narrow" w:hAnsi="Arial Narrow"/>
                <w:b/>
                <w:sz w:val="18"/>
                <w:szCs w:val="18"/>
              </w:rPr>
              <w:t>4.52</w:t>
            </w:r>
            <w:r w:rsidR="004D1EA7" w:rsidRPr="00092266">
              <w:rPr>
                <w:rFonts w:ascii="Arial Narrow" w:hAnsi="Arial Narrow"/>
                <w:b/>
                <w:sz w:val="18"/>
                <w:szCs w:val="18"/>
              </w:rPr>
              <w:t>(1.19,15.90)</w:t>
            </w:r>
            <w:r w:rsidR="004D1EA7" w:rsidRPr="00092266">
              <w:rPr>
                <w:rFonts w:ascii="Arial Narrow" w:hAnsi="Arial Narrow"/>
                <w:b/>
                <w:sz w:val="18"/>
                <w:szCs w:val="18"/>
                <w:vertAlign w:val="superscript"/>
              </w:rPr>
              <w:t>j</w:t>
            </w:r>
          </w:p>
        </w:tc>
        <w:tc>
          <w:tcPr>
            <w:tcW w:w="1196" w:type="dxa"/>
            <w:vAlign w:val="center"/>
          </w:tcPr>
          <w:p w14:paraId="0BF78A27" w14:textId="67F5E584" w:rsidR="004D1EA7" w:rsidRPr="00092266" w:rsidRDefault="004D1EA7" w:rsidP="004D1EA7">
            <w:pPr>
              <w:jc w:val="center"/>
              <w:rPr>
                <w:rFonts w:ascii="Arial Narrow" w:hAnsi="Arial Narrow"/>
                <w:sz w:val="18"/>
                <w:szCs w:val="18"/>
              </w:rPr>
            </w:pPr>
            <w:r w:rsidRPr="00092266">
              <w:rPr>
                <w:rFonts w:ascii="Arial Narrow" w:hAnsi="Arial Narrow"/>
                <w:sz w:val="18"/>
                <w:szCs w:val="18"/>
              </w:rPr>
              <w:t>0.63 (0.17,</w:t>
            </w:r>
            <w:r w:rsidR="00F82DD3" w:rsidRPr="00092266">
              <w:rPr>
                <w:rFonts w:ascii="Arial Narrow" w:hAnsi="Arial Narrow"/>
                <w:sz w:val="18"/>
                <w:szCs w:val="18"/>
              </w:rPr>
              <w:t xml:space="preserve"> </w:t>
            </w:r>
            <w:r w:rsidRPr="00092266">
              <w:rPr>
                <w:rFonts w:ascii="Arial Narrow" w:hAnsi="Arial Narrow"/>
                <w:sz w:val="18"/>
                <w:szCs w:val="18"/>
              </w:rPr>
              <w:t>2.17)</w:t>
            </w:r>
            <w:r w:rsidRPr="00092266">
              <w:rPr>
                <w:rFonts w:ascii="Arial Narrow" w:hAnsi="Arial Narrow"/>
                <w:sz w:val="18"/>
                <w:szCs w:val="18"/>
                <w:vertAlign w:val="superscript"/>
              </w:rPr>
              <w:t>j</w:t>
            </w:r>
          </w:p>
        </w:tc>
        <w:tc>
          <w:tcPr>
            <w:tcW w:w="1197" w:type="dxa"/>
            <w:vAlign w:val="center"/>
          </w:tcPr>
          <w:p w14:paraId="327BC060" w14:textId="5F72D5F0" w:rsidR="004D1EA7" w:rsidRPr="00092266" w:rsidRDefault="004D1EA7" w:rsidP="004D1EA7">
            <w:pPr>
              <w:jc w:val="center"/>
              <w:rPr>
                <w:rFonts w:ascii="Arial Narrow" w:hAnsi="Arial Narrow"/>
                <w:sz w:val="18"/>
                <w:szCs w:val="18"/>
              </w:rPr>
            </w:pPr>
            <w:r w:rsidRPr="00092266">
              <w:rPr>
                <w:rFonts w:ascii="Arial Narrow" w:hAnsi="Arial Narrow"/>
                <w:sz w:val="18"/>
                <w:szCs w:val="18"/>
              </w:rPr>
              <w:t>0.75 (0.05,</w:t>
            </w:r>
            <w:r w:rsidR="00F82DD3" w:rsidRPr="00092266">
              <w:rPr>
                <w:rFonts w:ascii="Arial Narrow" w:hAnsi="Arial Narrow"/>
                <w:sz w:val="18"/>
                <w:szCs w:val="18"/>
              </w:rPr>
              <w:t xml:space="preserve"> </w:t>
            </w:r>
            <w:r w:rsidRPr="00092266">
              <w:rPr>
                <w:rFonts w:ascii="Arial Narrow" w:hAnsi="Arial Narrow"/>
                <w:sz w:val="18"/>
                <w:szCs w:val="18"/>
              </w:rPr>
              <w:t>5.00)</w:t>
            </w:r>
          </w:p>
        </w:tc>
      </w:tr>
      <w:tr w:rsidR="00A63A2A" w:rsidRPr="00092266" w14:paraId="371E84D6" w14:textId="77777777" w:rsidTr="00744475">
        <w:tc>
          <w:tcPr>
            <w:tcW w:w="1838" w:type="dxa"/>
            <w:vAlign w:val="center"/>
          </w:tcPr>
          <w:p w14:paraId="40011D17" w14:textId="77777777" w:rsidR="004D1EA7" w:rsidRPr="00092266" w:rsidRDefault="004D1EA7" w:rsidP="004D1EA7">
            <w:pPr>
              <w:jc w:val="right"/>
              <w:rPr>
                <w:rFonts w:ascii="Arial Narrow" w:hAnsi="Arial Narrow"/>
                <w:sz w:val="20"/>
                <w:szCs w:val="20"/>
                <w:lang w:val="it-IT"/>
              </w:rPr>
            </w:pPr>
            <w:r w:rsidRPr="00092266">
              <w:rPr>
                <w:rFonts w:ascii="Arial Narrow" w:hAnsi="Arial Narrow"/>
                <w:sz w:val="20"/>
                <w:szCs w:val="20"/>
                <w:lang w:val="it-IT"/>
              </w:rPr>
              <w:t>MIRI v ADA</w:t>
            </w:r>
          </w:p>
        </w:tc>
        <w:tc>
          <w:tcPr>
            <w:tcW w:w="1196" w:type="dxa"/>
            <w:vAlign w:val="center"/>
          </w:tcPr>
          <w:p w14:paraId="05C5DA85" w14:textId="538641FC" w:rsidR="004D1EA7" w:rsidRPr="00092266" w:rsidRDefault="004D1EA7" w:rsidP="004D1EA7">
            <w:pPr>
              <w:jc w:val="center"/>
              <w:rPr>
                <w:rFonts w:ascii="Arial Narrow" w:hAnsi="Arial Narrow"/>
                <w:sz w:val="18"/>
                <w:szCs w:val="18"/>
              </w:rPr>
            </w:pPr>
            <w:r w:rsidRPr="00092266">
              <w:rPr>
                <w:rFonts w:ascii="Arial Narrow" w:hAnsi="Arial Narrow"/>
                <w:sz w:val="18"/>
                <w:szCs w:val="18"/>
              </w:rPr>
              <w:t>1.31 (0.36,</w:t>
            </w:r>
            <w:r w:rsidR="00F82DD3" w:rsidRPr="00092266">
              <w:rPr>
                <w:rFonts w:ascii="Arial Narrow" w:hAnsi="Arial Narrow"/>
                <w:sz w:val="18"/>
                <w:szCs w:val="18"/>
              </w:rPr>
              <w:t xml:space="preserve"> </w:t>
            </w:r>
            <w:r w:rsidRPr="00092266">
              <w:rPr>
                <w:rFonts w:ascii="Arial Narrow" w:hAnsi="Arial Narrow"/>
                <w:sz w:val="18"/>
                <w:szCs w:val="18"/>
              </w:rPr>
              <w:t>4.73)</w:t>
            </w:r>
          </w:p>
        </w:tc>
        <w:tc>
          <w:tcPr>
            <w:tcW w:w="1197" w:type="dxa"/>
            <w:vAlign w:val="center"/>
          </w:tcPr>
          <w:p w14:paraId="125CC7A8" w14:textId="1D2568EE" w:rsidR="004D1EA7" w:rsidRPr="00092266" w:rsidRDefault="004D1EA7" w:rsidP="004D1EA7">
            <w:pPr>
              <w:jc w:val="center"/>
              <w:rPr>
                <w:rFonts w:ascii="Arial Narrow" w:hAnsi="Arial Narrow"/>
                <w:sz w:val="18"/>
                <w:szCs w:val="18"/>
              </w:rPr>
            </w:pPr>
            <w:r w:rsidRPr="00092266">
              <w:rPr>
                <w:rFonts w:ascii="Arial Narrow" w:hAnsi="Arial Narrow"/>
                <w:sz w:val="18"/>
                <w:szCs w:val="18"/>
              </w:rPr>
              <w:t>1.31 (0.36,</w:t>
            </w:r>
            <w:r w:rsidR="00F82DD3" w:rsidRPr="00092266">
              <w:rPr>
                <w:rFonts w:ascii="Arial Narrow" w:hAnsi="Arial Narrow"/>
                <w:sz w:val="18"/>
                <w:szCs w:val="18"/>
              </w:rPr>
              <w:t xml:space="preserve"> </w:t>
            </w:r>
            <w:r w:rsidRPr="00092266">
              <w:rPr>
                <w:rFonts w:ascii="Arial Narrow" w:hAnsi="Arial Narrow"/>
                <w:sz w:val="18"/>
                <w:szCs w:val="18"/>
              </w:rPr>
              <w:t>4.71)</w:t>
            </w:r>
            <w:r w:rsidRPr="00092266">
              <w:rPr>
                <w:rFonts w:ascii="Arial Narrow" w:hAnsi="Arial Narrow"/>
                <w:sz w:val="18"/>
                <w:szCs w:val="18"/>
                <w:vertAlign w:val="superscript"/>
              </w:rPr>
              <w:t>g</w:t>
            </w:r>
          </w:p>
        </w:tc>
        <w:tc>
          <w:tcPr>
            <w:tcW w:w="1196" w:type="dxa"/>
            <w:vAlign w:val="center"/>
          </w:tcPr>
          <w:p w14:paraId="0C64395F" w14:textId="3F372902" w:rsidR="004D1EA7" w:rsidRPr="00092266" w:rsidRDefault="004D1EA7" w:rsidP="004D1EA7">
            <w:pPr>
              <w:jc w:val="center"/>
              <w:rPr>
                <w:rFonts w:ascii="Arial Narrow" w:hAnsi="Arial Narrow"/>
                <w:sz w:val="18"/>
                <w:szCs w:val="18"/>
              </w:rPr>
            </w:pPr>
            <w:r w:rsidRPr="00092266">
              <w:rPr>
                <w:rFonts w:ascii="Arial Narrow" w:hAnsi="Arial Narrow"/>
                <w:sz w:val="18"/>
                <w:szCs w:val="18"/>
              </w:rPr>
              <w:t>1.18 (0.43,</w:t>
            </w:r>
            <w:r w:rsidR="00F82DD3" w:rsidRPr="00092266">
              <w:rPr>
                <w:rFonts w:ascii="Arial Narrow" w:hAnsi="Arial Narrow"/>
                <w:sz w:val="18"/>
                <w:szCs w:val="18"/>
              </w:rPr>
              <w:t xml:space="preserve"> </w:t>
            </w:r>
            <w:r w:rsidRPr="00092266">
              <w:rPr>
                <w:rFonts w:ascii="Arial Narrow" w:hAnsi="Arial Narrow"/>
                <w:sz w:val="18"/>
                <w:szCs w:val="18"/>
              </w:rPr>
              <w:t>3.28)</w:t>
            </w:r>
          </w:p>
        </w:tc>
        <w:tc>
          <w:tcPr>
            <w:tcW w:w="1197" w:type="dxa"/>
            <w:vAlign w:val="center"/>
          </w:tcPr>
          <w:p w14:paraId="7BF9B3F8" w14:textId="422D148F" w:rsidR="004D1EA7" w:rsidRPr="00092266" w:rsidRDefault="004D1EA7" w:rsidP="004D1EA7">
            <w:pPr>
              <w:jc w:val="center"/>
              <w:rPr>
                <w:rFonts w:ascii="Arial Narrow" w:hAnsi="Arial Narrow"/>
                <w:b/>
                <w:sz w:val="18"/>
                <w:szCs w:val="18"/>
              </w:rPr>
            </w:pPr>
            <w:r w:rsidRPr="00092266">
              <w:rPr>
                <w:rFonts w:ascii="Arial Narrow" w:hAnsi="Arial Narrow"/>
                <w:b/>
                <w:sz w:val="18"/>
                <w:szCs w:val="18"/>
              </w:rPr>
              <w:t>2.80 (1.26,</w:t>
            </w:r>
            <w:r w:rsidR="00F82DD3" w:rsidRPr="00092266">
              <w:rPr>
                <w:rFonts w:ascii="Arial Narrow" w:hAnsi="Arial Narrow"/>
                <w:b/>
                <w:sz w:val="18"/>
                <w:szCs w:val="18"/>
              </w:rPr>
              <w:t xml:space="preserve"> </w:t>
            </w:r>
            <w:r w:rsidRPr="00092266">
              <w:rPr>
                <w:rFonts w:ascii="Arial Narrow" w:hAnsi="Arial Narrow"/>
                <w:b/>
                <w:sz w:val="18"/>
                <w:szCs w:val="18"/>
              </w:rPr>
              <w:t>6.50)</w:t>
            </w:r>
          </w:p>
        </w:tc>
        <w:tc>
          <w:tcPr>
            <w:tcW w:w="1196" w:type="dxa"/>
            <w:vAlign w:val="center"/>
          </w:tcPr>
          <w:p w14:paraId="357A35B8" w14:textId="567A7BD4" w:rsidR="004D1EA7" w:rsidRPr="00092266" w:rsidRDefault="004D1EA7" w:rsidP="004D1EA7">
            <w:pPr>
              <w:jc w:val="center"/>
              <w:rPr>
                <w:rFonts w:ascii="Arial Narrow" w:hAnsi="Arial Narrow"/>
                <w:sz w:val="18"/>
                <w:szCs w:val="18"/>
              </w:rPr>
            </w:pPr>
            <w:r w:rsidRPr="00092266">
              <w:rPr>
                <w:rFonts w:ascii="Arial Narrow" w:hAnsi="Arial Narrow"/>
                <w:sz w:val="18"/>
                <w:szCs w:val="18"/>
              </w:rPr>
              <w:t>0.84 (0.30,</w:t>
            </w:r>
            <w:r w:rsidR="00F82DD3" w:rsidRPr="00092266">
              <w:rPr>
                <w:rFonts w:ascii="Arial Narrow" w:hAnsi="Arial Narrow"/>
                <w:sz w:val="18"/>
                <w:szCs w:val="18"/>
              </w:rPr>
              <w:t xml:space="preserve"> </w:t>
            </w:r>
            <w:r w:rsidRPr="00092266">
              <w:rPr>
                <w:rFonts w:ascii="Arial Narrow" w:hAnsi="Arial Narrow"/>
                <w:sz w:val="18"/>
                <w:szCs w:val="18"/>
              </w:rPr>
              <w:t>2.26)</w:t>
            </w:r>
          </w:p>
        </w:tc>
        <w:tc>
          <w:tcPr>
            <w:tcW w:w="1197" w:type="dxa"/>
            <w:vAlign w:val="center"/>
          </w:tcPr>
          <w:p w14:paraId="2C6B9ACD" w14:textId="33ED519A" w:rsidR="004D1EA7" w:rsidRPr="00092266" w:rsidRDefault="004D1EA7" w:rsidP="004D1EA7">
            <w:pPr>
              <w:jc w:val="center"/>
              <w:rPr>
                <w:rFonts w:ascii="Arial Narrow" w:hAnsi="Arial Narrow"/>
                <w:sz w:val="18"/>
                <w:szCs w:val="18"/>
              </w:rPr>
            </w:pPr>
            <w:r w:rsidRPr="00092266">
              <w:rPr>
                <w:rFonts w:ascii="Arial Narrow" w:hAnsi="Arial Narrow"/>
                <w:sz w:val="18"/>
                <w:szCs w:val="18"/>
              </w:rPr>
              <w:t>0.97 (0.05,</w:t>
            </w:r>
            <w:r w:rsidR="00F82DD3" w:rsidRPr="00092266">
              <w:rPr>
                <w:rFonts w:ascii="Arial Narrow" w:hAnsi="Arial Narrow"/>
                <w:sz w:val="18"/>
                <w:szCs w:val="18"/>
              </w:rPr>
              <w:t xml:space="preserve"> </w:t>
            </w:r>
            <w:r w:rsidRPr="00092266">
              <w:rPr>
                <w:rFonts w:ascii="Arial Narrow" w:hAnsi="Arial Narrow"/>
                <w:sz w:val="18"/>
                <w:szCs w:val="18"/>
              </w:rPr>
              <w:t>3.46)</w:t>
            </w:r>
          </w:p>
        </w:tc>
      </w:tr>
      <w:tr w:rsidR="00A63A2A" w:rsidRPr="005B56E9" w14:paraId="38DA9AB1" w14:textId="77777777" w:rsidTr="00744475">
        <w:tc>
          <w:tcPr>
            <w:tcW w:w="1838" w:type="dxa"/>
            <w:vAlign w:val="center"/>
          </w:tcPr>
          <w:p w14:paraId="28DAE1D5" w14:textId="77777777" w:rsidR="004D1EA7" w:rsidRPr="00092266" w:rsidRDefault="004D1EA7" w:rsidP="004D1EA7">
            <w:pPr>
              <w:jc w:val="right"/>
              <w:rPr>
                <w:rFonts w:ascii="Arial Narrow" w:hAnsi="Arial Narrow"/>
                <w:sz w:val="20"/>
                <w:szCs w:val="20"/>
              </w:rPr>
            </w:pPr>
            <w:r w:rsidRPr="00092266">
              <w:rPr>
                <w:rFonts w:ascii="Arial Narrow" w:hAnsi="Arial Narrow"/>
                <w:sz w:val="20"/>
                <w:szCs w:val="20"/>
                <w:lang w:val="it-IT"/>
              </w:rPr>
              <w:t>MIRI v UST Q8/Q12W</w:t>
            </w:r>
            <w:r w:rsidRPr="00092266">
              <w:rPr>
                <w:rFonts w:ascii="Arial Narrow" w:hAnsi="Arial Narrow"/>
                <w:sz w:val="20"/>
                <w:szCs w:val="20"/>
                <w:vertAlign w:val="superscript"/>
                <w:lang w:val="it-IT"/>
              </w:rPr>
              <w:t>f</w:t>
            </w:r>
          </w:p>
        </w:tc>
        <w:tc>
          <w:tcPr>
            <w:tcW w:w="1196" w:type="dxa"/>
            <w:vAlign w:val="center"/>
          </w:tcPr>
          <w:p w14:paraId="701664EB" w14:textId="326055C4" w:rsidR="004D1EA7" w:rsidRPr="00092266" w:rsidRDefault="004D1EA7" w:rsidP="004D1EA7">
            <w:pPr>
              <w:jc w:val="center"/>
              <w:rPr>
                <w:rFonts w:ascii="Arial Narrow" w:hAnsi="Arial Narrow"/>
                <w:sz w:val="18"/>
                <w:szCs w:val="18"/>
              </w:rPr>
            </w:pPr>
            <w:r w:rsidRPr="00092266">
              <w:rPr>
                <w:rFonts w:ascii="Arial Narrow" w:hAnsi="Arial Narrow"/>
                <w:sz w:val="18"/>
                <w:szCs w:val="18"/>
              </w:rPr>
              <w:t>1.45 (0.64,</w:t>
            </w:r>
            <w:r w:rsidR="00F82DD3" w:rsidRPr="00092266">
              <w:rPr>
                <w:rFonts w:ascii="Arial Narrow" w:hAnsi="Arial Narrow"/>
                <w:sz w:val="18"/>
                <w:szCs w:val="18"/>
              </w:rPr>
              <w:t xml:space="preserve"> </w:t>
            </w:r>
            <w:r w:rsidRPr="00092266">
              <w:rPr>
                <w:rFonts w:ascii="Arial Narrow" w:hAnsi="Arial Narrow"/>
                <w:sz w:val="18"/>
                <w:szCs w:val="18"/>
              </w:rPr>
              <w:t>3.32)</w:t>
            </w:r>
          </w:p>
        </w:tc>
        <w:tc>
          <w:tcPr>
            <w:tcW w:w="1197" w:type="dxa"/>
            <w:vAlign w:val="center"/>
          </w:tcPr>
          <w:p w14:paraId="262A8295" w14:textId="34C70B5B" w:rsidR="004D1EA7" w:rsidRPr="00092266" w:rsidRDefault="004D1EA7" w:rsidP="004D1EA7">
            <w:pPr>
              <w:jc w:val="center"/>
              <w:rPr>
                <w:rFonts w:ascii="Arial Narrow" w:hAnsi="Arial Narrow"/>
                <w:sz w:val="18"/>
                <w:szCs w:val="18"/>
              </w:rPr>
            </w:pPr>
            <w:r w:rsidRPr="00092266">
              <w:rPr>
                <w:rFonts w:ascii="Arial Narrow" w:hAnsi="Arial Narrow"/>
                <w:sz w:val="18"/>
                <w:szCs w:val="18"/>
              </w:rPr>
              <w:t>1.45 (0.64,</w:t>
            </w:r>
            <w:r w:rsidR="00F82DD3" w:rsidRPr="00092266">
              <w:rPr>
                <w:rFonts w:ascii="Arial Narrow" w:hAnsi="Arial Narrow"/>
                <w:sz w:val="18"/>
                <w:szCs w:val="18"/>
              </w:rPr>
              <w:t xml:space="preserve"> </w:t>
            </w:r>
            <w:r w:rsidRPr="00092266">
              <w:rPr>
                <w:rFonts w:ascii="Arial Narrow" w:hAnsi="Arial Narrow"/>
                <w:sz w:val="18"/>
                <w:szCs w:val="18"/>
              </w:rPr>
              <w:t>3.31)</w:t>
            </w:r>
            <w:r w:rsidRPr="00092266">
              <w:rPr>
                <w:rFonts w:ascii="Arial Narrow" w:hAnsi="Arial Narrow"/>
                <w:sz w:val="18"/>
                <w:szCs w:val="18"/>
                <w:vertAlign w:val="superscript"/>
              </w:rPr>
              <w:t>g</w:t>
            </w:r>
          </w:p>
        </w:tc>
        <w:tc>
          <w:tcPr>
            <w:tcW w:w="1196" w:type="dxa"/>
            <w:vAlign w:val="center"/>
          </w:tcPr>
          <w:p w14:paraId="47E067AB" w14:textId="530B8304" w:rsidR="004D1EA7" w:rsidRPr="00092266" w:rsidRDefault="004D1EA7" w:rsidP="004D1EA7">
            <w:pPr>
              <w:jc w:val="center"/>
              <w:rPr>
                <w:rFonts w:ascii="Arial Narrow" w:hAnsi="Arial Narrow"/>
                <w:sz w:val="18"/>
                <w:szCs w:val="18"/>
              </w:rPr>
            </w:pPr>
            <w:r w:rsidRPr="00092266">
              <w:rPr>
                <w:rFonts w:ascii="Arial Narrow" w:hAnsi="Arial Narrow"/>
                <w:sz w:val="18"/>
                <w:szCs w:val="18"/>
              </w:rPr>
              <w:t>1.29 (0.55,3.01) / 2.25 (0.95,</w:t>
            </w:r>
            <w:r w:rsidR="00F82DD3" w:rsidRPr="00092266">
              <w:rPr>
                <w:rFonts w:ascii="Arial Narrow" w:hAnsi="Arial Narrow"/>
                <w:sz w:val="18"/>
                <w:szCs w:val="18"/>
              </w:rPr>
              <w:t xml:space="preserve"> </w:t>
            </w:r>
            <w:r w:rsidRPr="00092266">
              <w:rPr>
                <w:rFonts w:ascii="Arial Narrow" w:hAnsi="Arial Narrow"/>
                <w:sz w:val="18"/>
                <w:szCs w:val="18"/>
              </w:rPr>
              <w:t>5.58)</w:t>
            </w:r>
          </w:p>
        </w:tc>
        <w:tc>
          <w:tcPr>
            <w:tcW w:w="1197" w:type="dxa"/>
            <w:vAlign w:val="center"/>
          </w:tcPr>
          <w:p w14:paraId="06F5E749" w14:textId="7BAE0BF0" w:rsidR="004D1EA7" w:rsidRPr="00092266" w:rsidRDefault="004D1EA7" w:rsidP="004D1EA7">
            <w:pPr>
              <w:jc w:val="center"/>
              <w:rPr>
                <w:rFonts w:ascii="Arial Narrow" w:hAnsi="Arial Narrow"/>
                <w:sz w:val="18"/>
                <w:szCs w:val="18"/>
              </w:rPr>
            </w:pPr>
            <w:r w:rsidRPr="00092266">
              <w:rPr>
                <w:rFonts w:ascii="Arial Narrow" w:hAnsi="Arial Narrow"/>
                <w:sz w:val="18"/>
                <w:szCs w:val="18"/>
              </w:rPr>
              <w:t xml:space="preserve">1.34 (0.77,2.36 / </w:t>
            </w:r>
            <w:r w:rsidRPr="00092266">
              <w:rPr>
                <w:rFonts w:ascii="Arial Narrow" w:hAnsi="Arial Narrow"/>
                <w:b/>
                <w:sz w:val="18"/>
                <w:szCs w:val="18"/>
              </w:rPr>
              <w:t>2.33 (1.30,</w:t>
            </w:r>
            <w:r w:rsidR="00F82DD3" w:rsidRPr="00092266">
              <w:rPr>
                <w:rFonts w:ascii="Arial Narrow" w:hAnsi="Arial Narrow"/>
                <w:b/>
                <w:sz w:val="18"/>
                <w:szCs w:val="18"/>
              </w:rPr>
              <w:t xml:space="preserve"> </w:t>
            </w:r>
            <w:r w:rsidRPr="00092266">
              <w:rPr>
                <w:rFonts w:ascii="Arial Narrow" w:hAnsi="Arial Narrow"/>
                <w:b/>
                <w:sz w:val="18"/>
                <w:szCs w:val="18"/>
              </w:rPr>
              <w:t>4.45)</w:t>
            </w:r>
          </w:p>
        </w:tc>
        <w:tc>
          <w:tcPr>
            <w:tcW w:w="1196" w:type="dxa"/>
            <w:vAlign w:val="center"/>
          </w:tcPr>
          <w:p w14:paraId="22B69F08" w14:textId="5F0CEE12" w:rsidR="004D1EA7" w:rsidRPr="00092266" w:rsidRDefault="004D1EA7" w:rsidP="004D1EA7">
            <w:pPr>
              <w:jc w:val="center"/>
              <w:rPr>
                <w:rFonts w:ascii="Arial Narrow" w:hAnsi="Arial Narrow"/>
                <w:sz w:val="18"/>
                <w:szCs w:val="18"/>
              </w:rPr>
            </w:pPr>
            <w:r w:rsidRPr="00092266">
              <w:rPr>
                <w:rFonts w:ascii="Arial Narrow" w:hAnsi="Arial Narrow"/>
                <w:sz w:val="18"/>
                <w:szCs w:val="18"/>
              </w:rPr>
              <w:t>1.28 (0.58,2.87) / 2.21 (0.97,</w:t>
            </w:r>
            <w:r w:rsidR="00F82DD3" w:rsidRPr="00092266">
              <w:rPr>
                <w:rFonts w:ascii="Arial Narrow" w:hAnsi="Arial Narrow"/>
                <w:sz w:val="18"/>
                <w:szCs w:val="18"/>
              </w:rPr>
              <w:t xml:space="preserve"> </w:t>
            </w:r>
            <w:r w:rsidRPr="00092266">
              <w:rPr>
                <w:rFonts w:ascii="Arial Narrow" w:hAnsi="Arial Narrow"/>
                <w:sz w:val="18"/>
                <w:szCs w:val="18"/>
              </w:rPr>
              <w:t>5.15)</w:t>
            </w:r>
          </w:p>
        </w:tc>
        <w:tc>
          <w:tcPr>
            <w:tcW w:w="1197" w:type="dxa"/>
            <w:vAlign w:val="center"/>
          </w:tcPr>
          <w:p w14:paraId="52FFC2A2" w14:textId="0E161A5C" w:rsidR="004D1EA7" w:rsidRPr="00092266" w:rsidRDefault="004D1EA7" w:rsidP="004D1EA7">
            <w:pPr>
              <w:jc w:val="center"/>
              <w:rPr>
                <w:rFonts w:ascii="Arial Narrow" w:hAnsi="Arial Narrow"/>
                <w:sz w:val="18"/>
                <w:szCs w:val="18"/>
              </w:rPr>
            </w:pPr>
            <w:r w:rsidRPr="00092266">
              <w:rPr>
                <w:rFonts w:ascii="Arial Narrow" w:hAnsi="Arial Narrow"/>
                <w:sz w:val="18"/>
                <w:szCs w:val="18"/>
              </w:rPr>
              <w:t>1.29 (0.45,3.76) / 2.25 (0.78,</w:t>
            </w:r>
            <w:r w:rsidR="00F82DD3" w:rsidRPr="00092266">
              <w:rPr>
                <w:rFonts w:ascii="Arial Narrow" w:hAnsi="Arial Narrow"/>
                <w:sz w:val="18"/>
                <w:szCs w:val="18"/>
              </w:rPr>
              <w:t xml:space="preserve"> </w:t>
            </w:r>
            <w:r w:rsidRPr="00092266">
              <w:rPr>
                <w:rFonts w:ascii="Arial Narrow" w:hAnsi="Arial Narrow"/>
                <w:sz w:val="18"/>
                <w:szCs w:val="18"/>
              </w:rPr>
              <w:t>7.46)</w:t>
            </w:r>
          </w:p>
        </w:tc>
      </w:tr>
    </w:tbl>
    <w:p w14:paraId="356D49F9" w14:textId="431A47D2" w:rsidR="004D1EA7" w:rsidRPr="005E644C" w:rsidRDefault="004D1EA7" w:rsidP="004D1EA7">
      <w:pPr>
        <w:rPr>
          <w:rFonts w:ascii="Arial Narrow" w:hAnsi="Arial Narrow"/>
          <w:sz w:val="18"/>
          <w:szCs w:val="18"/>
        </w:rPr>
      </w:pPr>
      <w:r w:rsidRPr="005E644C">
        <w:rPr>
          <w:rFonts w:ascii="Arial Narrow" w:hAnsi="Arial Narrow"/>
          <w:sz w:val="18"/>
          <w:szCs w:val="18"/>
        </w:rPr>
        <w:t>Source: Tables 56-61, pp168-170, Tables 65-70, pp176-180, Tables 75-80, pp187-191, Tables 83-86, pp195-197, Tables 89-92, pp201-203, Tables 95-99, pp207-213, Tables 102-103, pp222 and 226 of the submission; Table 8, p28 Tables 12-14, pp29-30, Tables 18-20, pp32-36, Tables 24-26, pp37-39, Tables 30-47, pp40-55, Table 102, p222, Table 103, pp-226 of Attachment A4.1 Lilly 2019-8488 OH20061_UC_Australia ICTs_final report_8Feb2023_clean.docx; Figures 12-13, pp61-62, Figures 20-21, pp77-78, Figure 28, p91, Figures</w:t>
      </w:r>
      <w:r w:rsidR="00F82DD3">
        <w:rPr>
          <w:rFonts w:ascii="Arial Narrow" w:hAnsi="Arial Narrow"/>
          <w:sz w:val="18"/>
          <w:szCs w:val="18"/>
        </w:rPr>
        <w:t> </w:t>
      </w:r>
      <w:r w:rsidRPr="005E644C">
        <w:rPr>
          <w:rFonts w:ascii="Arial Narrow" w:hAnsi="Arial Narrow"/>
          <w:sz w:val="18"/>
          <w:szCs w:val="18"/>
        </w:rPr>
        <w:t>35-36, pp103-104, Figures 200-201, pp324-325, Figure 210, p333, Figures 219-220, pp341-342, Figures 231-232, pp353-354 of Attachment A4.2 Lilly 2019-8488 OH20061_UC_NMA_final report_16Feb2023.docx.</w:t>
      </w:r>
    </w:p>
    <w:p w14:paraId="3CBBAED9" w14:textId="1783E725" w:rsidR="004D1EA7" w:rsidRPr="005E644C" w:rsidRDefault="004D1EA7" w:rsidP="004D1EA7">
      <w:pPr>
        <w:rPr>
          <w:rFonts w:ascii="Arial Narrow" w:hAnsi="Arial Narrow"/>
          <w:sz w:val="18"/>
          <w:szCs w:val="18"/>
        </w:rPr>
      </w:pPr>
      <w:r w:rsidRPr="005E644C">
        <w:rPr>
          <w:rFonts w:ascii="Arial Narrow" w:hAnsi="Arial Narrow"/>
          <w:sz w:val="18"/>
          <w:szCs w:val="18"/>
        </w:rPr>
        <w:t>ADA=adalimumab</w:t>
      </w:r>
      <w:r w:rsidR="00CA4C53" w:rsidRPr="005E644C">
        <w:rPr>
          <w:rFonts w:ascii="Arial Narrow" w:hAnsi="Arial Narrow"/>
          <w:sz w:val="18"/>
          <w:szCs w:val="18"/>
        </w:rPr>
        <w:t>,</w:t>
      </w:r>
      <w:r w:rsidRPr="005E644C">
        <w:rPr>
          <w:rFonts w:ascii="Arial Narrow" w:hAnsi="Arial Narrow"/>
          <w:sz w:val="18"/>
          <w:szCs w:val="18"/>
        </w:rPr>
        <w:t xml:space="preserve"> bDMARD=biologic disease-modifying antirheumatic drugs</w:t>
      </w:r>
      <w:r w:rsidR="00CA4C53" w:rsidRPr="005E644C">
        <w:rPr>
          <w:rFonts w:ascii="Arial Narrow" w:hAnsi="Arial Narrow"/>
          <w:sz w:val="18"/>
          <w:szCs w:val="18"/>
        </w:rPr>
        <w:t>,</w:t>
      </w:r>
      <w:r w:rsidRPr="005E644C">
        <w:rPr>
          <w:rFonts w:ascii="Arial Narrow" w:hAnsi="Arial Narrow"/>
          <w:sz w:val="18"/>
          <w:szCs w:val="18"/>
        </w:rPr>
        <w:t xml:space="preserve"> </w:t>
      </w:r>
      <w:r w:rsidR="00E70FF1">
        <w:rPr>
          <w:rFonts w:ascii="Arial Narrow" w:hAnsi="Arial Narrow"/>
          <w:sz w:val="18"/>
          <w:szCs w:val="18"/>
        </w:rPr>
        <w:t xml:space="preserve">BL=baseline, </w:t>
      </w:r>
      <w:r w:rsidR="00C14AEC">
        <w:rPr>
          <w:rFonts w:ascii="Arial Narrow" w:hAnsi="Arial Narrow"/>
          <w:sz w:val="18"/>
          <w:szCs w:val="18"/>
        </w:rPr>
        <w:t xml:space="preserve">CI=confidence interval, </w:t>
      </w:r>
      <w:r w:rsidRPr="005E644C">
        <w:rPr>
          <w:rFonts w:ascii="Arial Narrow" w:hAnsi="Arial Narrow"/>
          <w:sz w:val="18"/>
          <w:szCs w:val="18"/>
        </w:rPr>
        <w:t>FE=fixed effects</w:t>
      </w:r>
      <w:r w:rsidR="00CA4C53" w:rsidRPr="005E644C">
        <w:rPr>
          <w:rFonts w:ascii="Arial Narrow" w:hAnsi="Arial Narrow"/>
          <w:sz w:val="18"/>
          <w:szCs w:val="18"/>
        </w:rPr>
        <w:t>,</w:t>
      </w:r>
      <w:r w:rsidRPr="005E644C">
        <w:rPr>
          <w:rFonts w:ascii="Arial Narrow" w:hAnsi="Arial Narrow"/>
          <w:sz w:val="18"/>
          <w:szCs w:val="18"/>
        </w:rPr>
        <w:t xml:space="preserve"> </w:t>
      </w:r>
      <w:r w:rsidR="00946F9D">
        <w:rPr>
          <w:rFonts w:ascii="Arial Narrow" w:hAnsi="Arial Narrow"/>
          <w:sz w:val="18"/>
          <w:szCs w:val="18"/>
        </w:rPr>
        <w:t xml:space="preserve">Ind=induction, </w:t>
      </w:r>
      <w:r w:rsidR="005E644C" w:rsidRPr="005E644C">
        <w:rPr>
          <w:rFonts w:ascii="Arial Narrow" w:hAnsi="Arial Narrow"/>
          <w:sz w:val="18"/>
          <w:szCs w:val="18"/>
        </w:rPr>
        <w:t>ITC=indirect treatment comparison</w:t>
      </w:r>
      <w:r w:rsidR="005E644C">
        <w:rPr>
          <w:rFonts w:ascii="Arial Narrow" w:hAnsi="Arial Narrow"/>
          <w:sz w:val="18"/>
          <w:szCs w:val="18"/>
        </w:rPr>
        <w:t>,</w:t>
      </w:r>
      <w:r w:rsidR="005E644C" w:rsidRPr="005E644C">
        <w:rPr>
          <w:rFonts w:ascii="Arial Narrow" w:hAnsi="Arial Narrow"/>
          <w:sz w:val="18"/>
          <w:szCs w:val="18"/>
        </w:rPr>
        <w:t xml:space="preserve"> </w:t>
      </w:r>
      <w:r w:rsidRPr="005E644C">
        <w:rPr>
          <w:rFonts w:ascii="Arial Narrow" w:hAnsi="Arial Narrow"/>
          <w:sz w:val="18"/>
          <w:szCs w:val="18"/>
        </w:rPr>
        <w:t>IV=intravenous</w:t>
      </w:r>
      <w:r w:rsidR="00CA4C53" w:rsidRPr="005E644C">
        <w:rPr>
          <w:rFonts w:ascii="Arial Narrow" w:hAnsi="Arial Narrow"/>
          <w:sz w:val="18"/>
          <w:szCs w:val="18"/>
        </w:rPr>
        <w:t>,</w:t>
      </w:r>
      <w:r w:rsidRPr="005E644C">
        <w:rPr>
          <w:rFonts w:ascii="Arial Narrow" w:hAnsi="Arial Narrow"/>
          <w:sz w:val="18"/>
          <w:szCs w:val="18"/>
        </w:rPr>
        <w:t xml:space="preserve"> JAKi=janus kinase inhibitor</w:t>
      </w:r>
      <w:r w:rsidR="00CA4C53" w:rsidRPr="005E644C">
        <w:rPr>
          <w:rFonts w:ascii="Arial Narrow" w:hAnsi="Arial Narrow"/>
          <w:sz w:val="18"/>
          <w:szCs w:val="18"/>
        </w:rPr>
        <w:t>,</w:t>
      </w:r>
      <w:r w:rsidRPr="005E644C">
        <w:rPr>
          <w:rFonts w:ascii="Arial Narrow" w:hAnsi="Arial Narrow"/>
          <w:sz w:val="18"/>
          <w:szCs w:val="18"/>
        </w:rPr>
        <w:t xml:space="preserve"> MA=meta-analysis</w:t>
      </w:r>
      <w:r w:rsidR="00CA4C53" w:rsidRPr="005E644C">
        <w:rPr>
          <w:rFonts w:ascii="Arial Narrow" w:hAnsi="Arial Narrow"/>
          <w:sz w:val="18"/>
          <w:szCs w:val="18"/>
        </w:rPr>
        <w:t>,</w:t>
      </w:r>
      <w:r w:rsidRPr="005E644C">
        <w:rPr>
          <w:rFonts w:ascii="Arial Narrow" w:hAnsi="Arial Narrow"/>
          <w:sz w:val="18"/>
          <w:szCs w:val="18"/>
        </w:rPr>
        <w:t xml:space="preserve"> MIRI=mirikizumab</w:t>
      </w:r>
      <w:r w:rsidR="00CA4C53" w:rsidRPr="005E644C">
        <w:rPr>
          <w:rFonts w:ascii="Arial Narrow" w:hAnsi="Arial Narrow"/>
          <w:sz w:val="18"/>
          <w:szCs w:val="18"/>
        </w:rPr>
        <w:t>,</w:t>
      </w:r>
      <w:r w:rsidRPr="005E644C">
        <w:rPr>
          <w:rFonts w:ascii="Arial Narrow" w:hAnsi="Arial Narrow"/>
          <w:sz w:val="18"/>
          <w:szCs w:val="18"/>
        </w:rPr>
        <w:t xml:space="preserve"> </w:t>
      </w:r>
      <w:r w:rsidR="009615F1">
        <w:rPr>
          <w:rFonts w:ascii="Arial Narrow" w:hAnsi="Arial Narrow"/>
          <w:sz w:val="18"/>
          <w:szCs w:val="18"/>
        </w:rPr>
        <w:t xml:space="preserve">NA=not applicable, </w:t>
      </w:r>
      <w:r w:rsidRPr="005E644C">
        <w:rPr>
          <w:rFonts w:ascii="Arial Narrow" w:hAnsi="Arial Narrow"/>
          <w:sz w:val="18"/>
          <w:szCs w:val="18"/>
        </w:rPr>
        <w:t>NMA=network meta-analysis</w:t>
      </w:r>
      <w:r w:rsidR="00CA4C53" w:rsidRPr="005E644C">
        <w:rPr>
          <w:rFonts w:ascii="Arial Narrow" w:hAnsi="Arial Narrow"/>
          <w:sz w:val="18"/>
          <w:szCs w:val="18"/>
        </w:rPr>
        <w:t>,</w:t>
      </w:r>
      <w:r w:rsidRPr="005E644C">
        <w:rPr>
          <w:rFonts w:ascii="Arial Narrow" w:hAnsi="Arial Narrow"/>
          <w:sz w:val="18"/>
          <w:szCs w:val="18"/>
        </w:rPr>
        <w:t xml:space="preserve"> </w:t>
      </w:r>
      <w:r w:rsidR="00E70FF1">
        <w:rPr>
          <w:rFonts w:ascii="Arial Narrow" w:hAnsi="Arial Narrow"/>
          <w:sz w:val="18"/>
          <w:szCs w:val="18"/>
        </w:rPr>
        <w:t xml:space="preserve">NR=not reported, </w:t>
      </w:r>
      <w:r w:rsidR="00A63A2A" w:rsidRPr="005E644C">
        <w:rPr>
          <w:rFonts w:ascii="Arial Narrow" w:hAnsi="Arial Narrow"/>
          <w:sz w:val="18"/>
          <w:szCs w:val="18"/>
        </w:rPr>
        <w:t xml:space="preserve">OR=odds ratio, </w:t>
      </w:r>
      <w:r w:rsidRPr="005E644C">
        <w:rPr>
          <w:rFonts w:ascii="Arial Narrow" w:hAnsi="Arial Narrow"/>
          <w:sz w:val="18"/>
          <w:szCs w:val="18"/>
        </w:rPr>
        <w:t>PBO=placebo</w:t>
      </w:r>
      <w:r w:rsidR="00CA4C53" w:rsidRPr="005E644C">
        <w:rPr>
          <w:rFonts w:ascii="Arial Narrow" w:hAnsi="Arial Narrow"/>
          <w:sz w:val="18"/>
          <w:szCs w:val="18"/>
        </w:rPr>
        <w:t>,</w:t>
      </w:r>
      <w:r w:rsidRPr="005E644C">
        <w:rPr>
          <w:rFonts w:ascii="Arial Narrow" w:hAnsi="Arial Narrow"/>
          <w:sz w:val="18"/>
          <w:szCs w:val="18"/>
        </w:rPr>
        <w:t xml:space="preserve"> RE=random effects</w:t>
      </w:r>
      <w:r w:rsidR="00CA4C53" w:rsidRPr="005E644C">
        <w:rPr>
          <w:rFonts w:ascii="Arial Narrow" w:hAnsi="Arial Narrow"/>
          <w:sz w:val="18"/>
          <w:szCs w:val="18"/>
        </w:rPr>
        <w:t>,</w:t>
      </w:r>
      <w:r w:rsidRPr="005E644C">
        <w:rPr>
          <w:rFonts w:ascii="Arial Narrow" w:hAnsi="Arial Narrow"/>
          <w:sz w:val="18"/>
          <w:szCs w:val="18"/>
        </w:rPr>
        <w:t xml:space="preserve"> </w:t>
      </w:r>
      <w:r w:rsidR="00A63A2A" w:rsidRPr="005E644C">
        <w:rPr>
          <w:rFonts w:ascii="Arial Narrow" w:hAnsi="Arial Narrow"/>
          <w:sz w:val="18"/>
          <w:szCs w:val="18"/>
        </w:rPr>
        <w:t xml:space="preserve">QxW=every x week, </w:t>
      </w:r>
      <w:r w:rsidRPr="005E644C">
        <w:rPr>
          <w:rFonts w:ascii="Arial Narrow" w:hAnsi="Arial Narrow"/>
          <w:sz w:val="18"/>
          <w:szCs w:val="18"/>
        </w:rPr>
        <w:t>SC=subcutaneous</w:t>
      </w:r>
      <w:r w:rsidR="00CA4C53" w:rsidRPr="005E644C">
        <w:rPr>
          <w:rFonts w:ascii="Arial Narrow" w:hAnsi="Arial Narrow"/>
          <w:sz w:val="18"/>
          <w:szCs w:val="18"/>
        </w:rPr>
        <w:t>,</w:t>
      </w:r>
      <w:r w:rsidRPr="005E644C">
        <w:rPr>
          <w:rFonts w:ascii="Arial Narrow" w:hAnsi="Arial Narrow"/>
          <w:sz w:val="18"/>
          <w:szCs w:val="18"/>
        </w:rPr>
        <w:t xml:space="preserve"> TNF=tumour necrosis factor</w:t>
      </w:r>
      <w:r w:rsidR="00CA4C53" w:rsidRPr="005E644C">
        <w:rPr>
          <w:rFonts w:ascii="Arial Narrow" w:hAnsi="Arial Narrow"/>
          <w:sz w:val="18"/>
          <w:szCs w:val="18"/>
        </w:rPr>
        <w:t>,</w:t>
      </w:r>
      <w:r w:rsidRPr="005E644C">
        <w:rPr>
          <w:rFonts w:ascii="Arial Narrow" w:hAnsi="Arial Narrow"/>
          <w:sz w:val="18"/>
          <w:szCs w:val="18"/>
        </w:rPr>
        <w:t xml:space="preserve"> </w:t>
      </w:r>
      <w:r w:rsidR="007F161F" w:rsidRPr="007F161F">
        <w:rPr>
          <w:rFonts w:ascii="Arial Narrow" w:hAnsi="Arial Narrow"/>
          <w:sz w:val="18"/>
          <w:szCs w:val="18"/>
        </w:rPr>
        <w:t>tsDMARD=targeted synthetic disease modifying anti-rheumatic drugs</w:t>
      </w:r>
      <w:r w:rsidR="007F161F">
        <w:rPr>
          <w:rFonts w:ascii="Arial Narrow" w:hAnsi="Arial Narrow"/>
          <w:sz w:val="18"/>
          <w:szCs w:val="18"/>
        </w:rPr>
        <w:t>,</w:t>
      </w:r>
      <w:r w:rsidR="007F161F" w:rsidRPr="007F161F">
        <w:rPr>
          <w:rFonts w:ascii="Arial Narrow" w:hAnsi="Arial Narrow"/>
          <w:sz w:val="18"/>
          <w:szCs w:val="18"/>
        </w:rPr>
        <w:t xml:space="preserve"> </w:t>
      </w:r>
      <w:r w:rsidRPr="005E644C">
        <w:rPr>
          <w:rFonts w:ascii="Arial Narrow" w:hAnsi="Arial Narrow"/>
          <w:sz w:val="18"/>
          <w:szCs w:val="18"/>
        </w:rPr>
        <w:t>UC=ulcerative colitis</w:t>
      </w:r>
      <w:r w:rsidR="00CA4C53" w:rsidRPr="005E644C">
        <w:rPr>
          <w:rFonts w:ascii="Arial Narrow" w:hAnsi="Arial Narrow"/>
          <w:sz w:val="18"/>
          <w:szCs w:val="18"/>
        </w:rPr>
        <w:t>,</w:t>
      </w:r>
      <w:r w:rsidRPr="005E644C">
        <w:rPr>
          <w:rFonts w:ascii="Arial Narrow" w:hAnsi="Arial Narrow"/>
          <w:sz w:val="18"/>
          <w:szCs w:val="18"/>
        </w:rPr>
        <w:t xml:space="preserve"> UST=ustekinumab</w:t>
      </w:r>
      <w:r w:rsidR="00CA4C53" w:rsidRPr="005E644C">
        <w:rPr>
          <w:rFonts w:ascii="Arial Narrow" w:hAnsi="Arial Narrow"/>
          <w:sz w:val="18"/>
          <w:szCs w:val="18"/>
        </w:rPr>
        <w:t>,</w:t>
      </w:r>
      <w:r w:rsidRPr="005E644C">
        <w:rPr>
          <w:rFonts w:ascii="Arial Narrow" w:hAnsi="Arial Narrow"/>
          <w:sz w:val="18"/>
          <w:szCs w:val="18"/>
        </w:rPr>
        <w:t xml:space="preserve"> VDZ=vedolizumab.</w:t>
      </w:r>
    </w:p>
    <w:p w14:paraId="072F8910" w14:textId="3E9A77DE"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#I</w:t>
      </w:r>
      <w:r w:rsidRPr="005E644C">
        <w:rPr>
          <w:rFonts w:ascii="Arial Narrow" w:hAnsi="Arial Narrow"/>
          <w:sz w:val="18"/>
          <w:szCs w:val="18"/>
        </w:rPr>
        <w:tab/>
        <w:t xml:space="preserve">Unadjusted primary analysis in </w:t>
      </w:r>
      <w:r w:rsidR="00AF7030">
        <w:rPr>
          <w:rFonts w:ascii="Arial Narrow" w:hAnsi="Arial Narrow"/>
          <w:sz w:val="18"/>
          <w:szCs w:val="18"/>
        </w:rPr>
        <w:t>bDMARDs/tsDMARDs</w:t>
      </w:r>
      <w:r w:rsidRPr="005E644C">
        <w:rPr>
          <w:rFonts w:ascii="Arial Narrow" w:hAnsi="Arial Narrow"/>
          <w:sz w:val="18"/>
          <w:szCs w:val="18"/>
        </w:rPr>
        <w:t xml:space="preserve"> naïve population across induction and maintenance: RE model using a half normal prior without baseline risk meta-regression.</w:t>
      </w:r>
    </w:p>
    <w:p w14:paraId="45A9D034" w14:textId="3AAD2567"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w:t>
      </w:r>
      <w:r w:rsidRPr="005E644C">
        <w:rPr>
          <w:rFonts w:ascii="Arial Narrow" w:hAnsi="Arial Narrow"/>
          <w:sz w:val="18"/>
          <w:szCs w:val="18"/>
        </w:rPr>
        <w:tab/>
        <w:t xml:space="preserve">Adjusted primary analysis in </w:t>
      </w:r>
      <w:r w:rsidR="00AF7030">
        <w:rPr>
          <w:rFonts w:ascii="Arial Narrow" w:hAnsi="Arial Narrow"/>
          <w:sz w:val="18"/>
          <w:szCs w:val="18"/>
        </w:rPr>
        <w:t>bDMARDs/tsDMARDs</w:t>
      </w:r>
      <w:r w:rsidRPr="005E644C">
        <w:rPr>
          <w:rFonts w:ascii="Arial Narrow" w:hAnsi="Arial Narrow"/>
          <w:sz w:val="18"/>
          <w:szCs w:val="18"/>
        </w:rPr>
        <w:t xml:space="preserve"> naïve population across induction and maintenance: RE model using a half normal prior with baseline risk meta-regression.</w:t>
      </w:r>
    </w:p>
    <w:p w14:paraId="1EA526DF" w14:textId="27F4ED78"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w:t>
      </w:r>
      <w:r w:rsidRPr="005E644C">
        <w:rPr>
          <w:sz w:val="18"/>
          <w:szCs w:val="18"/>
        </w:rPr>
        <w:tab/>
      </w:r>
      <w:r w:rsidRPr="005E644C">
        <w:rPr>
          <w:rFonts w:ascii="Arial Narrow" w:hAnsi="Arial Narrow"/>
          <w:sz w:val="18"/>
          <w:szCs w:val="18"/>
        </w:rPr>
        <w:t xml:space="preserve">Unadjusted and adjusted primary analysis in </w:t>
      </w:r>
      <w:r w:rsidR="00AF7030">
        <w:rPr>
          <w:rFonts w:ascii="Arial Narrow" w:hAnsi="Arial Narrow"/>
          <w:sz w:val="18"/>
          <w:szCs w:val="18"/>
        </w:rPr>
        <w:t>bDMARDs/tsDMARDs</w:t>
      </w:r>
      <w:r w:rsidRPr="005E644C">
        <w:rPr>
          <w:rFonts w:ascii="Arial Narrow" w:hAnsi="Arial Narrow"/>
          <w:sz w:val="18"/>
          <w:szCs w:val="18"/>
        </w:rPr>
        <w:t xml:space="preserve"> experienced population across induction and maintenance: FE model</w:t>
      </w:r>
    </w:p>
    <w:p w14:paraId="40D0F388" w14:textId="1F80B6E3"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sym w:font="Symbol" w:char="F0E0"/>
      </w:r>
      <w:r w:rsidRPr="005E644C">
        <w:rPr>
          <w:rFonts w:ascii="Arial Narrow" w:hAnsi="Arial Narrow"/>
          <w:sz w:val="18"/>
          <w:szCs w:val="18"/>
        </w:rPr>
        <w:tab/>
        <w:t xml:space="preserve">Adjusted and unadjusted complementary analysis in </w:t>
      </w:r>
      <w:r w:rsidR="00AF7030">
        <w:rPr>
          <w:rFonts w:ascii="Arial Narrow" w:hAnsi="Arial Narrow"/>
          <w:sz w:val="18"/>
          <w:szCs w:val="18"/>
        </w:rPr>
        <w:t>bDMARDs/tsDMARDs</w:t>
      </w:r>
      <w:r w:rsidRPr="005E644C">
        <w:rPr>
          <w:rFonts w:ascii="Arial Narrow" w:hAnsi="Arial Narrow"/>
          <w:sz w:val="18"/>
          <w:szCs w:val="18"/>
        </w:rPr>
        <w:t xml:space="preserve"> experienced population across induction and maintenance: FE model.</w:t>
      </w:r>
    </w:p>
    <w:p w14:paraId="2B1B7CED" w14:textId="7A46E79C"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a</w:t>
      </w:r>
      <w:r w:rsidRPr="005E644C">
        <w:rPr>
          <w:rFonts w:ascii="Arial Narrow" w:hAnsi="Arial Narrow"/>
          <w:sz w:val="18"/>
          <w:szCs w:val="18"/>
        </w:rPr>
        <w:tab/>
        <w:t>Results corrected for the subgroup in LUCENT 1 who were biologic or tofacitinib naïve. The submission used the results for the subgroup in LUCENT 1 who have not failed prior biologic or tofacitinib therapy (i.e. patients not exposed to prior biologic and patients exposed but not failed prior biologic) and labelled this subgroup as ‘</w:t>
      </w:r>
      <w:r w:rsidR="00AF7030">
        <w:rPr>
          <w:rFonts w:ascii="Arial Narrow" w:hAnsi="Arial Narrow"/>
          <w:sz w:val="18"/>
          <w:szCs w:val="18"/>
        </w:rPr>
        <w:t>bDMARDs/tsDMARDs</w:t>
      </w:r>
      <w:r w:rsidRPr="005E644C">
        <w:rPr>
          <w:rFonts w:ascii="Arial Narrow" w:hAnsi="Arial Narrow"/>
          <w:sz w:val="18"/>
          <w:szCs w:val="18"/>
        </w:rPr>
        <w:t xml:space="preserve"> naïve population’.</w:t>
      </w:r>
    </w:p>
    <w:p w14:paraId="589465BD" w14:textId="3135F930"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b</w:t>
      </w:r>
      <w:r w:rsidRPr="005E644C">
        <w:rPr>
          <w:rFonts w:ascii="Arial Narrow" w:hAnsi="Arial Narrow"/>
          <w:sz w:val="18"/>
          <w:szCs w:val="18"/>
        </w:rPr>
        <w:tab/>
        <w:t>Results corrected for the subgroup in LUCENT 1 with any prior biologic exposure (i.e. patients exposed but not failed and exposed and failed at least one therapy). The submission used the results for the subgroup exposed to prior biologic and failed at least one therapy (excluding patients exposed to prior biologic but have not failed therapy) and labelled this group as ‘</w:t>
      </w:r>
      <w:r w:rsidR="00AF7030">
        <w:rPr>
          <w:rFonts w:ascii="Arial Narrow" w:hAnsi="Arial Narrow"/>
          <w:sz w:val="18"/>
          <w:szCs w:val="18"/>
        </w:rPr>
        <w:t>bDMARDs/tsDMARDs</w:t>
      </w:r>
      <w:r w:rsidRPr="005E644C">
        <w:rPr>
          <w:rFonts w:ascii="Arial Narrow" w:hAnsi="Arial Narrow"/>
          <w:sz w:val="18"/>
          <w:szCs w:val="18"/>
        </w:rPr>
        <w:t xml:space="preserve"> experienced population’.</w:t>
      </w:r>
    </w:p>
    <w:p w14:paraId="500FF51A" w14:textId="77777777"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c</w:t>
      </w:r>
      <w:r w:rsidRPr="005E644C">
        <w:rPr>
          <w:rFonts w:ascii="Arial Narrow" w:hAnsi="Arial Narrow"/>
          <w:sz w:val="18"/>
          <w:szCs w:val="18"/>
        </w:rPr>
        <w:tab/>
        <w:t>Corrected during the evaluation for the proportion in ADA arm achieving clinical response (i.e. 152/285 (53%)). The submission made a typographical error using 151/285 (53%). HIBISCUS I and II publication (Rubin 2022) reported only pooled data for ADA treatment arms.</w:t>
      </w:r>
    </w:p>
    <w:p w14:paraId="0F3AC070" w14:textId="0D3055C5"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d</w:t>
      </w:r>
      <w:r w:rsidRPr="005E644C">
        <w:rPr>
          <w:rFonts w:ascii="Arial Narrow" w:hAnsi="Arial Narrow"/>
          <w:sz w:val="18"/>
          <w:szCs w:val="18"/>
        </w:rPr>
        <w:tab/>
        <w:t>The submission labelled the subgroup for ADA as the ‘</w:t>
      </w:r>
      <w:r w:rsidR="00AF7030">
        <w:rPr>
          <w:rFonts w:ascii="Arial Narrow" w:hAnsi="Arial Narrow"/>
          <w:sz w:val="18"/>
          <w:szCs w:val="18"/>
        </w:rPr>
        <w:t>bDMARDs/tsDMARDs</w:t>
      </w:r>
      <w:r w:rsidRPr="005E644C">
        <w:rPr>
          <w:rFonts w:ascii="Arial Narrow" w:hAnsi="Arial Narrow"/>
          <w:sz w:val="18"/>
          <w:szCs w:val="18"/>
        </w:rPr>
        <w:t xml:space="preserve"> experienced population’. In ULTRA 2, all biologic-exposed patients were biologic failures (loss of response or intolerance). Patients were excluded if they had previous treatment with ADA.</w:t>
      </w:r>
    </w:p>
    <w:p w14:paraId="5BF541EE" w14:textId="1257110E"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e</w:t>
      </w:r>
      <w:r w:rsidRPr="005E644C">
        <w:rPr>
          <w:rFonts w:ascii="Arial Narrow" w:hAnsi="Arial Narrow"/>
          <w:sz w:val="18"/>
          <w:szCs w:val="18"/>
        </w:rPr>
        <w:tab/>
        <w:t>The submission used the results for the subgroup in LUCENT 2 who have not failed prior biologic or tofacitinib therapy (included patients not exposed to prior biologic and patients exposed but not failed prior biologic) and labelled this subgroup as ‘</w:t>
      </w:r>
      <w:r w:rsidR="00AF7030">
        <w:rPr>
          <w:rFonts w:ascii="Arial Narrow" w:hAnsi="Arial Narrow"/>
          <w:sz w:val="18"/>
          <w:szCs w:val="18"/>
        </w:rPr>
        <w:t>bDMARDs/tsDMARDs</w:t>
      </w:r>
      <w:r w:rsidRPr="005E644C">
        <w:rPr>
          <w:rFonts w:ascii="Arial Narrow" w:hAnsi="Arial Narrow"/>
          <w:sz w:val="18"/>
          <w:szCs w:val="18"/>
        </w:rPr>
        <w:t xml:space="preserve"> naïve population’. Response data was not reported for the subgroup in LUCENT 2 who were biologic or tofacitinib naïve.</w:t>
      </w:r>
    </w:p>
    <w:p w14:paraId="6AEF3EF8" w14:textId="77777777"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f</w:t>
      </w:r>
      <w:r w:rsidRPr="005E644C">
        <w:rPr>
          <w:rFonts w:ascii="Arial Narrow" w:hAnsi="Arial Narrow"/>
          <w:sz w:val="18"/>
          <w:szCs w:val="18"/>
        </w:rPr>
        <w:tab/>
        <w:t>The submission presented ITC using pooled data from UNIFI of UST 90 mg Q8W and UST 90 mg Q12W treatment arms at maintenance.</w:t>
      </w:r>
    </w:p>
    <w:p w14:paraId="774FA56E" w14:textId="7EA57BA1"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g</w:t>
      </w:r>
      <w:r w:rsidRPr="005E644C">
        <w:rPr>
          <w:rFonts w:ascii="Arial Narrow" w:hAnsi="Arial Narrow"/>
          <w:sz w:val="18"/>
          <w:szCs w:val="18"/>
        </w:rPr>
        <w:tab/>
        <w:t>The submission used the results for the subgroup in LUCENT 2 with prior biologic exposure and failed at least one therapy (excluding patients exposed to prior biologic but have not failed therapy). The submission labelled this subgroup as the ‘</w:t>
      </w:r>
      <w:r w:rsidR="00AF7030">
        <w:rPr>
          <w:rFonts w:ascii="Arial Narrow" w:hAnsi="Arial Narrow"/>
          <w:sz w:val="18"/>
          <w:szCs w:val="18"/>
        </w:rPr>
        <w:t>bDMARDs/tsDMARDs</w:t>
      </w:r>
      <w:r w:rsidRPr="005E644C">
        <w:rPr>
          <w:rFonts w:ascii="Arial Narrow" w:hAnsi="Arial Narrow"/>
          <w:sz w:val="18"/>
          <w:szCs w:val="18"/>
        </w:rPr>
        <w:t xml:space="preserve"> experienced population’. Response data was not reported for the subgroup in LUCENT 2 with any prior biologic exposure (i.e. patients exposed but not failed and exposed and failed at least one therapy).</w:t>
      </w:r>
    </w:p>
    <w:p w14:paraId="458A582F" w14:textId="77777777" w:rsidR="004D1EA7" w:rsidRPr="005E644C" w:rsidRDefault="004D1EA7" w:rsidP="004D1EA7">
      <w:pPr>
        <w:tabs>
          <w:tab w:val="left" w:pos="142"/>
        </w:tabs>
        <w:ind w:left="135" w:hanging="135"/>
        <w:rPr>
          <w:rFonts w:ascii="Arial Narrow" w:hAnsi="Arial Narrow"/>
          <w:sz w:val="18"/>
          <w:szCs w:val="18"/>
        </w:rPr>
      </w:pPr>
      <w:r w:rsidRPr="005E644C">
        <w:rPr>
          <w:rFonts w:ascii="Arial Narrow" w:hAnsi="Arial Narrow"/>
          <w:sz w:val="18"/>
          <w:szCs w:val="18"/>
        </w:rPr>
        <w:t>h</w:t>
      </w:r>
      <w:r w:rsidRPr="005E644C">
        <w:rPr>
          <w:rFonts w:ascii="Arial Narrow" w:hAnsi="Arial Narrow"/>
          <w:sz w:val="18"/>
          <w:szCs w:val="18"/>
        </w:rPr>
        <w:tab/>
        <w:t>Corrected during the evaluation. Based on trial design adjustments (maintenance phase) in Attachment 4.2 of the submission, the number of sustained responders from the ratio of sustained clinical responders to maintenance clinical responders in the same active arms that report both outcomes in ULTRA 2 was 41 (i.e. (44/89)x82). The submission reported 45/82 (54.9%) achieved sustained clinical response, which could not be verified.</w:t>
      </w:r>
    </w:p>
    <w:p w14:paraId="6765DA37" w14:textId="77777777" w:rsidR="004D1EA7" w:rsidRPr="005E644C" w:rsidRDefault="004D1EA7" w:rsidP="00A044D5">
      <w:pPr>
        <w:tabs>
          <w:tab w:val="left" w:pos="142"/>
        </w:tabs>
        <w:spacing w:after="120"/>
        <w:ind w:left="136" w:hanging="136"/>
        <w:rPr>
          <w:rFonts w:ascii="Arial Narrow" w:hAnsi="Arial Narrow"/>
          <w:sz w:val="18"/>
          <w:szCs w:val="18"/>
        </w:rPr>
      </w:pPr>
      <w:r w:rsidRPr="005E644C">
        <w:rPr>
          <w:rFonts w:ascii="Arial Narrow" w:hAnsi="Arial Narrow"/>
          <w:sz w:val="18"/>
          <w:szCs w:val="18"/>
        </w:rPr>
        <w:t>j</w:t>
      </w:r>
      <w:r w:rsidRPr="005E644C">
        <w:rPr>
          <w:rFonts w:ascii="Arial Narrow" w:hAnsi="Arial Narrow"/>
          <w:sz w:val="18"/>
          <w:szCs w:val="18"/>
        </w:rPr>
        <w:tab/>
        <w:t>Results for VDZ SC at maintenance. The submission presented ITC using VDZ IV/SC pooled at maintenance, whereas the NMA included VDZ IV and VDZ SC arms separately.</w:t>
      </w:r>
    </w:p>
    <w:bookmarkEnd w:id="40"/>
    <w:p w14:paraId="1B96DE8A" w14:textId="77777777" w:rsidR="004D1EA7" w:rsidRPr="003B2821" w:rsidRDefault="004D1EA7" w:rsidP="004D1EA7">
      <w:pPr>
        <w:pStyle w:val="3-BodyText"/>
      </w:pPr>
      <w:r w:rsidRPr="003B2821">
        <w:t>The results of the NMA showed that:</w:t>
      </w:r>
    </w:p>
    <w:p w14:paraId="05E414E0" w14:textId="7954526A" w:rsidR="004D1EA7" w:rsidRPr="003B2821" w:rsidRDefault="004D1EA7" w:rsidP="003D1D4D">
      <w:pPr>
        <w:pStyle w:val="ListParagraph"/>
        <w:numPr>
          <w:ilvl w:val="0"/>
          <w:numId w:val="8"/>
        </w:numPr>
        <w:ind w:left="1040"/>
        <w:rPr>
          <w:rFonts w:cs="Calibri"/>
          <w:bCs/>
          <w:lang w:val="en-US" w:eastAsia="nl-NL"/>
        </w:rPr>
      </w:pPr>
      <w:r w:rsidRPr="003B2821">
        <w:rPr>
          <w:rFonts w:cs="Calibri"/>
          <w:bCs/>
          <w:lang w:val="en-US" w:eastAsia="nl-NL"/>
        </w:rPr>
        <w:t xml:space="preserve">MIRI vs VDZ: For induction treatment, there were no statistically significant differences between the two treatments. For maintenance treatment, there were no statistically significant differences between the two treatments without </w:t>
      </w:r>
      <w:r w:rsidRPr="003B2821">
        <w:rPr>
          <w:rFonts w:cs="Calibri"/>
          <w:bCs/>
          <w:lang w:val="en-US" w:eastAsia="nl-NL"/>
        </w:rPr>
        <w:lastRenderedPageBreak/>
        <w:t xml:space="preserve">adjusting for baseline </w:t>
      </w:r>
      <w:r w:rsidR="00A13761" w:rsidRPr="003B2821">
        <w:rPr>
          <w:rFonts w:cs="Calibri"/>
          <w:bCs/>
          <w:lang w:val="en-US" w:eastAsia="nl-NL"/>
        </w:rPr>
        <w:t>risk but</w:t>
      </w:r>
      <w:r w:rsidRPr="003B2821">
        <w:rPr>
          <w:rFonts w:cs="Calibri"/>
          <w:bCs/>
          <w:lang w:val="en-US" w:eastAsia="nl-NL"/>
        </w:rPr>
        <w:t xml:space="preserve"> results generally favoured MIRI after adjusting for baseline risk.</w:t>
      </w:r>
    </w:p>
    <w:p w14:paraId="1A018675" w14:textId="5F15D3F1" w:rsidR="004D1EA7" w:rsidRPr="003B2821" w:rsidRDefault="004D1EA7" w:rsidP="003D1D4D">
      <w:pPr>
        <w:pStyle w:val="ListParagraph"/>
        <w:numPr>
          <w:ilvl w:val="0"/>
          <w:numId w:val="8"/>
        </w:numPr>
        <w:ind w:left="1040"/>
        <w:rPr>
          <w:rFonts w:cs="Calibri"/>
          <w:bCs/>
          <w:lang w:val="en-US" w:eastAsia="nl-NL"/>
        </w:rPr>
      </w:pPr>
      <w:r w:rsidRPr="003B2821">
        <w:rPr>
          <w:rFonts w:cs="Calibri"/>
          <w:bCs/>
          <w:lang w:val="en-US" w:eastAsia="nl-NL"/>
        </w:rPr>
        <w:t xml:space="preserve">MIRI vs ADA: For induction treatment, there were no statistically significant differences between the two treatments in the </w:t>
      </w:r>
      <w:r w:rsidR="00AF7030" w:rsidRPr="003B2821">
        <w:rPr>
          <w:rFonts w:cs="Calibri"/>
          <w:bCs/>
          <w:lang w:val="en-US" w:eastAsia="nl-NL"/>
        </w:rPr>
        <w:t>bDMARDs/tsDMARDs</w:t>
      </w:r>
      <w:r w:rsidRPr="003B2821">
        <w:rPr>
          <w:rFonts w:cs="Calibri"/>
          <w:bCs/>
          <w:lang w:val="en-US" w:eastAsia="nl-NL"/>
        </w:rPr>
        <w:t xml:space="preserve"> naïve </w:t>
      </w:r>
      <w:r w:rsidR="00A13761" w:rsidRPr="003B2821">
        <w:rPr>
          <w:rFonts w:cs="Calibri"/>
          <w:bCs/>
          <w:lang w:val="en-US" w:eastAsia="nl-NL"/>
        </w:rPr>
        <w:t>population but</w:t>
      </w:r>
      <w:r w:rsidRPr="003B2821">
        <w:rPr>
          <w:rFonts w:cs="Calibri"/>
          <w:bCs/>
          <w:lang w:val="en-US" w:eastAsia="nl-NL"/>
        </w:rPr>
        <w:t xml:space="preserve"> results generally favoured MIRI in the </w:t>
      </w:r>
      <w:r w:rsidR="00AF7030" w:rsidRPr="003B2821">
        <w:rPr>
          <w:rFonts w:cs="Calibri"/>
          <w:bCs/>
          <w:lang w:val="en-US" w:eastAsia="nl-NL"/>
        </w:rPr>
        <w:t>bDMARDs/tsDMARDs</w:t>
      </w:r>
      <w:r w:rsidRPr="003B2821">
        <w:rPr>
          <w:rFonts w:cs="Calibri"/>
          <w:bCs/>
          <w:lang w:val="en-US" w:eastAsia="nl-NL"/>
        </w:rPr>
        <w:t xml:space="preserve"> experienced population. For maintenance treatment, there were no statistically significant differences between the two treatments without adjusting for baseline </w:t>
      </w:r>
      <w:r w:rsidR="00A13761" w:rsidRPr="003B2821">
        <w:rPr>
          <w:rFonts w:cs="Calibri"/>
          <w:bCs/>
          <w:lang w:val="en-US" w:eastAsia="nl-NL"/>
        </w:rPr>
        <w:t>risk but</w:t>
      </w:r>
      <w:r w:rsidRPr="003B2821">
        <w:rPr>
          <w:rFonts w:cs="Calibri"/>
          <w:bCs/>
          <w:lang w:val="en-US" w:eastAsia="nl-NL"/>
        </w:rPr>
        <w:t xml:space="preserve"> results generally favoured MIRI after adjusting for baseline risk (but results did vary depending on the model assumed and source of the estimates).</w:t>
      </w:r>
    </w:p>
    <w:p w14:paraId="70ADD6C2" w14:textId="3A34CFC6" w:rsidR="008C61E8" w:rsidRPr="003B2821" w:rsidRDefault="004D1EA7" w:rsidP="003D1D4D">
      <w:pPr>
        <w:pStyle w:val="ListParagraph"/>
        <w:numPr>
          <w:ilvl w:val="0"/>
          <w:numId w:val="8"/>
        </w:numPr>
        <w:ind w:left="1040"/>
        <w:rPr>
          <w:rFonts w:cs="Calibri"/>
          <w:bCs/>
          <w:lang w:val="en-US" w:eastAsia="nl-NL"/>
        </w:rPr>
      </w:pPr>
      <w:r w:rsidRPr="003B2821">
        <w:rPr>
          <w:rFonts w:cs="Calibri"/>
          <w:bCs/>
          <w:lang w:val="en-US" w:eastAsia="nl-NL"/>
        </w:rPr>
        <w:t>MIRI vs UST: There were generally no statistically significant differences between the two treatments for induction or maintenance treatment.</w:t>
      </w:r>
    </w:p>
    <w:p w14:paraId="3A7A7B0F" w14:textId="11169467" w:rsidR="008C61E8" w:rsidRDefault="008C61E8" w:rsidP="008C61E8">
      <w:pPr>
        <w:pStyle w:val="3-BodyText"/>
      </w:pPr>
      <w:bookmarkStart w:id="41" w:name="_Ref137463568"/>
      <w:r w:rsidRPr="003B2821">
        <w:t>The submission-reported results of the NMA did not include analyses based on ITT populations for studies that recruited both bDMARD/tsDMARD naïve and experienced patients. In its consideration of TOF in November 2020, the PBAC considered the ITT analyses were the most appropriate basis upon which to consider the comparative effectiveness of TOF, given both the requested listing and current bDMARD/tsDMARD listings for MSUC are line-agnostic and allow for any sequence of therapies within a treatment cycle (paragraph 7.8, tofacitinib PSD, November 2020 PBAC</w:t>
      </w:r>
      <w:r w:rsidR="003E614F" w:rsidRPr="003B2821">
        <w:t xml:space="preserve"> meeting</w:t>
      </w:r>
      <w:r w:rsidRPr="003B2821">
        <w:t>). The inclusion of NMA results based on ITT</w:t>
      </w:r>
      <w:r w:rsidR="00881B61" w:rsidRPr="003B2821" w:rsidDel="00881B61">
        <w:rPr>
          <w:rStyle w:val="CommentReference"/>
          <w:rFonts w:cs="Times New Roman"/>
          <w:snapToGrid/>
        </w:rPr>
        <w:t xml:space="preserve"> </w:t>
      </w:r>
      <w:r w:rsidRPr="003B2821">
        <w:t>data (where available) may also be informative for assessing the clinical claim.</w:t>
      </w:r>
      <w:bookmarkEnd w:id="41"/>
    </w:p>
    <w:p w14:paraId="2A47E300" w14:textId="2089B766" w:rsidR="00CE0662" w:rsidRPr="00FD140C" w:rsidRDefault="00CE0662" w:rsidP="008C61E8">
      <w:pPr>
        <w:pStyle w:val="3-BodyText"/>
      </w:pPr>
      <w:r w:rsidRPr="00FD140C">
        <w:t xml:space="preserve">The ESC noted that the PSCR </w:t>
      </w:r>
      <w:r w:rsidR="00C31DAF" w:rsidRPr="00FD140C">
        <w:t>stated</w:t>
      </w:r>
      <w:r w:rsidRPr="00FD140C">
        <w:t xml:space="preserve"> </w:t>
      </w:r>
      <w:r w:rsidR="00C31DAF" w:rsidRPr="00FD140C">
        <w:t xml:space="preserve">that NMA results based on ITT data could not be provided as these analyses were not </w:t>
      </w:r>
      <w:r w:rsidR="00A13761" w:rsidRPr="00FD140C">
        <w:t>feasible and</w:t>
      </w:r>
      <w:r w:rsidR="00C31DAF" w:rsidRPr="00FD140C">
        <w:t xml:space="preserve"> claimed that this evaluation would cause further uncertainty to the conclusions of the analysis. However, the ESC also noted that a previous PBAC submission for OZA conducted a NMA</w:t>
      </w:r>
      <w:r w:rsidR="000F0003" w:rsidRPr="00FD140C">
        <w:t xml:space="preserve"> for the ITT population.</w:t>
      </w:r>
      <w:r w:rsidR="00C31DAF" w:rsidRPr="00FD140C">
        <w:t xml:space="preserve"> </w:t>
      </w:r>
      <w:r w:rsidR="000F0003" w:rsidRPr="00FD140C">
        <w:t>The ESC therefore considered that, in the absence of analyses based on the ITT population, the NMA presented was of limited value for considering the comparative effectiveness of MIRI to the alternative therapies.</w:t>
      </w:r>
    </w:p>
    <w:p w14:paraId="708A5365" w14:textId="71A43928" w:rsidR="0005097F" w:rsidRPr="0005097F" w:rsidRDefault="004D1EA7" w:rsidP="0005097F">
      <w:pPr>
        <w:pStyle w:val="4-SubsectionHeading"/>
      </w:pPr>
      <w:bookmarkStart w:id="42" w:name="_Toc22897642"/>
      <w:bookmarkStart w:id="43" w:name="_Toc135142379"/>
      <w:r w:rsidRPr="00C9624D">
        <w:t>Comparative harms</w:t>
      </w:r>
      <w:bookmarkEnd w:id="42"/>
      <w:bookmarkEnd w:id="43"/>
      <w:r w:rsidRPr="00B861CA">
        <w:rPr>
          <w:rFonts w:ascii="Arial Narrow" w:hAnsi="Arial Narrow"/>
          <w:bCs/>
          <w:sz w:val="20"/>
          <w:szCs w:val="18"/>
        </w:rPr>
        <w:fldChar w:fldCharType="begin" w:fldLock="1"/>
      </w:r>
      <w:r w:rsidRPr="00B861CA">
        <w:instrText xml:space="preserve"> REF _Ref134433871 \h </w:instrText>
      </w:r>
      <w:r w:rsidRPr="00B861CA">
        <w:rPr>
          <w:rFonts w:ascii="Arial Narrow" w:hAnsi="Arial Narrow"/>
          <w:bCs/>
          <w:sz w:val="20"/>
          <w:szCs w:val="18"/>
        </w:rPr>
      </w:r>
      <w:r w:rsidRPr="00B861CA">
        <w:rPr>
          <w:rFonts w:ascii="Arial Narrow" w:hAnsi="Arial Narrow"/>
          <w:bCs/>
          <w:sz w:val="20"/>
          <w:szCs w:val="18"/>
        </w:rPr>
        <w:fldChar w:fldCharType="separate"/>
      </w:r>
    </w:p>
    <w:p w14:paraId="2543315F" w14:textId="4520DE08" w:rsidR="004D1EA7" w:rsidRPr="00B861CA" w:rsidRDefault="0005097F" w:rsidP="004D1EA7">
      <w:pPr>
        <w:pStyle w:val="3-BodyText"/>
      </w:pPr>
      <w:r>
        <w:t xml:space="preserve">Table </w:t>
      </w:r>
      <w:r>
        <w:rPr>
          <w:noProof/>
        </w:rPr>
        <w:t>8</w:t>
      </w:r>
      <w:r w:rsidR="004D1EA7" w:rsidRPr="00B861CA">
        <w:fldChar w:fldCharType="end"/>
      </w:r>
      <w:r w:rsidR="004D1EA7" w:rsidRPr="00B861CA">
        <w:t xml:space="preserve"> and </w:t>
      </w:r>
      <w:r w:rsidR="004D1EA7" w:rsidRPr="00B861CA">
        <w:fldChar w:fldCharType="begin" w:fldLock="1"/>
      </w:r>
      <w:r w:rsidR="004D1EA7" w:rsidRPr="00B861CA">
        <w:instrText xml:space="preserve"> REF _Ref103373925 \h </w:instrText>
      </w:r>
      <w:r w:rsidR="004D1EA7" w:rsidRPr="00B861CA">
        <w:fldChar w:fldCharType="separate"/>
      </w:r>
      <w:r>
        <w:t xml:space="preserve">Table </w:t>
      </w:r>
      <w:r>
        <w:rPr>
          <w:noProof/>
        </w:rPr>
        <w:t>9</w:t>
      </w:r>
      <w:r w:rsidR="004D1EA7" w:rsidRPr="00B861CA">
        <w:fldChar w:fldCharType="end"/>
      </w:r>
      <w:r w:rsidR="004D1EA7" w:rsidRPr="00B861CA">
        <w:t xml:space="preserve"> summarise the naïve comparison of the adverse event (AE) outcomes to inform the relative safety profile of MIRI vs VDZ, UST and ADA. </w:t>
      </w:r>
      <w:r w:rsidR="004D1EA7" w:rsidRPr="003B2821">
        <w:rPr>
          <w:iCs/>
        </w:rPr>
        <w:t>It was noted that the safety data was not reported consistently across the trials, with some trials only reporting safety for induction only, maintenance only or both combined. Time of assessment also varied for induction treatment (at Week 6, 8, 10 or 12).</w:t>
      </w:r>
    </w:p>
    <w:p w14:paraId="1DC9D2DE" w14:textId="3E4FC6ED" w:rsidR="004D1EA7" w:rsidRDefault="0005097F" w:rsidP="0005097F">
      <w:pPr>
        <w:pStyle w:val="Caption"/>
        <w:rPr>
          <w:rFonts w:eastAsiaTheme="minorEastAsia" w:cs="Times New Roman"/>
          <w:szCs w:val="20"/>
          <w:lang w:eastAsia="en-US"/>
        </w:rPr>
      </w:pPr>
      <w:bookmarkStart w:id="44" w:name="_Ref134433871"/>
      <w:r>
        <w:lastRenderedPageBreak/>
        <w:t xml:space="preserve">Table </w:t>
      </w:r>
      <w:r w:rsidR="00A234BA">
        <w:fldChar w:fldCharType="begin" w:fldLock="1"/>
      </w:r>
      <w:r w:rsidR="00A234BA">
        <w:instrText xml:space="preserve"> SEQ Table \* ARABIC </w:instrText>
      </w:r>
      <w:r w:rsidR="00A234BA">
        <w:fldChar w:fldCharType="separate"/>
      </w:r>
      <w:r>
        <w:rPr>
          <w:noProof/>
        </w:rPr>
        <w:t>8</w:t>
      </w:r>
      <w:r w:rsidR="00A234BA">
        <w:rPr>
          <w:noProof/>
        </w:rPr>
        <w:fldChar w:fldCharType="end"/>
      </w:r>
      <w:bookmarkEnd w:id="44"/>
      <w:r w:rsidR="004D1EA7" w:rsidRPr="00B63C5C">
        <w:rPr>
          <w:rFonts w:eastAsiaTheme="minorEastAsia" w:cs="Times New Roman"/>
          <w:szCs w:val="20"/>
          <w:lang w:eastAsia="en-US"/>
        </w:rPr>
        <w:t>: Summary of adverse events at Weeks 6/8/10</w:t>
      </w:r>
      <w:r w:rsidR="004D1EA7">
        <w:rPr>
          <w:rFonts w:eastAsiaTheme="minorEastAsia" w:cs="Times New Roman"/>
          <w:szCs w:val="20"/>
          <w:lang w:eastAsia="en-US"/>
        </w:rPr>
        <w:t>/12</w:t>
      </w:r>
      <w:r w:rsidR="004D1EA7" w:rsidRPr="00B63C5C">
        <w:rPr>
          <w:rFonts w:eastAsiaTheme="minorEastAsia" w:cs="Times New Roman"/>
          <w:szCs w:val="20"/>
          <w:lang w:eastAsia="en-US"/>
        </w:rPr>
        <w:t xml:space="preserve"> in induction trials for</w:t>
      </w:r>
      <w:r w:rsidR="004D1EA7">
        <w:rPr>
          <w:rFonts w:eastAsiaTheme="minorEastAsia" w:cs="Times New Roman"/>
          <w:szCs w:val="20"/>
          <w:lang w:eastAsia="en-US"/>
        </w:rPr>
        <w:t xml:space="preserve"> MIRI, VDZ, ADA and</w:t>
      </w:r>
      <w:r w:rsidR="004D1EA7" w:rsidRPr="00B63C5C">
        <w:rPr>
          <w:rFonts w:eastAsiaTheme="minorEastAsia" w:cs="Times New Roman"/>
          <w:szCs w:val="20"/>
          <w:lang w:eastAsia="en-US"/>
        </w:rPr>
        <w:t xml:space="preserve"> UST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8: Summary of adverse events at Weeks 6/8/10/12 in induction trials for MIRI, VDZ, ADA and UST"/>
      </w:tblPr>
      <w:tblGrid>
        <w:gridCol w:w="2405"/>
        <w:gridCol w:w="1653"/>
        <w:gridCol w:w="1653"/>
        <w:gridCol w:w="1653"/>
        <w:gridCol w:w="1653"/>
      </w:tblGrid>
      <w:tr w:rsidR="004D1EA7" w:rsidRPr="00CA4C53" w14:paraId="2D303A0F" w14:textId="77777777" w:rsidTr="004D1EA7">
        <w:trPr>
          <w:trHeight w:val="70"/>
          <w:tblHeader/>
        </w:trPr>
        <w:tc>
          <w:tcPr>
            <w:tcW w:w="2405" w:type="dxa"/>
            <w:shd w:val="clear" w:color="auto" w:fill="auto"/>
            <w:vAlign w:val="center"/>
          </w:tcPr>
          <w:p w14:paraId="62AB61D1" w14:textId="77777777" w:rsidR="004D1EA7" w:rsidRPr="00CA4C53" w:rsidRDefault="004D1EA7" w:rsidP="0005097F">
            <w:pPr>
              <w:keepNext/>
              <w:jc w:val="left"/>
              <w:rPr>
                <w:rFonts w:ascii="Arial Narrow" w:eastAsiaTheme="minorEastAsia" w:hAnsi="Arial Narrow" w:cs="Times New Roman"/>
                <w:b/>
                <w:bCs/>
                <w:sz w:val="20"/>
                <w:szCs w:val="20"/>
                <w:lang w:eastAsia="en-US"/>
              </w:rPr>
            </w:pPr>
            <w:r w:rsidRPr="00CA4C53">
              <w:rPr>
                <w:rFonts w:ascii="Arial Narrow" w:eastAsiaTheme="minorEastAsia" w:hAnsi="Arial Narrow" w:cs="Times New Roman"/>
                <w:b/>
                <w:bCs/>
                <w:sz w:val="20"/>
                <w:szCs w:val="20"/>
                <w:lang w:eastAsia="en-US"/>
              </w:rPr>
              <w:t>Trial ID</w:t>
            </w:r>
          </w:p>
        </w:tc>
        <w:tc>
          <w:tcPr>
            <w:tcW w:w="1653" w:type="dxa"/>
            <w:shd w:val="clear" w:color="auto" w:fill="auto"/>
            <w:vAlign w:val="center"/>
          </w:tcPr>
          <w:p w14:paraId="63D48097" w14:textId="77777777" w:rsidR="004D1EA7" w:rsidRPr="00CA4C53" w:rsidRDefault="004D1EA7" w:rsidP="0005097F">
            <w:pPr>
              <w:keepNext/>
              <w:jc w:val="center"/>
              <w:rPr>
                <w:rFonts w:ascii="Arial Narrow" w:eastAsiaTheme="minorEastAsia" w:hAnsi="Arial Narrow" w:cs="Times New Roman"/>
                <w:b/>
                <w:bCs/>
                <w:sz w:val="20"/>
                <w:szCs w:val="20"/>
                <w:lang w:eastAsia="en-US"/>
              </w:rPr>
            </w:pPr>
            <w:r w:rsidRPr="00CA4C53">
              <w:rPr>
                <w:rFonts w:ascii="Arial Narrow" w:eastAsiaTheme="minorEastAsia" w:hAnsi="Arial Narrow" w:cs="Times New Roman"/>
                <w:b/>
                <w:bCs/>
                <w:sz w:val="20"/>
                <w:szCs w:val="20"/>
                <w:lang w:eastAsia="en-US"/>
              </w:rPr>
              <w:t>Drug n/N (%)</w:t>
            </w:r>
          </w:p>
        </w:tc>
        <w:tc>
          <w:tcPr>
            <w:tcW w:w="1653" w:type="dxa"/>
            <w:shd w:val="clear" w:color="auto" w:fill="auto"/>
            <w:vAlign w:val="center"/>
          </w:tcPr>
          <w:p w14:paraId="6A560FBF" w14:textId="77777777" w:rsidR="004D1EA7" w:rsidRPr="00CA4C53" w:rsidRDefault="004D1EA7" w:rsidP="0005097F">
            <w:pPr>
              <w:keepNext/>
              <w:jc w:val="center"/>
              <w:rPr>
                <w:rFonts w:ascii="Arial Narrow" w:eastAsiaTheme="minorEastAsia" w:hAnsi="Arial Narrow" w:cs="Times New Roman"/>
                <w:b/>
                <w:bCs/>
                <w:sz w:val="20"/>
                <w:szCs w:val="20"/>
                <w:lang w:eastAsia="en-US"/>
              </w:rPr>
            </w:pPr>
            <w:r w:rsidRPr="00CA4C53">
              <w:rPr>
                <w:rFonts w:ascii="Arial Narrow" w:eastAsiaTheme="minorEastAsia" w:hAnsi="Arial Narrow" w:cs="Times New Roman"/>
                <w:b/>
                <w:bCs/>
                <w:sz w:val="20"/>
                <w:szCs w:val="20"/>
                <w:lang w:eastAsia="en-US"/>
              </w:rPr>
              <w:t>PBO n/N (%)</w:t>
            </w:r>
          </w:p>
        </w:tc>
        <w:tc>
          <w:tcPr>
            <w:tcW w:w="1653" w:type="dxa"/>
            <w:shd w:val="clear" w:color="auto" w:fill="auto"/>
            <w:vAlign w:val="center"/>
          </w:tcPr>
          <w:p w14:paraId="02A70C00" w14:textId="77777777" w:rsidR="004D1EA7" w:rsidRPr="00CA4C53" w:rsidRDefault="004D1EA7" w:rsidP="0005097F">
            <w:pPr>
              <w:keepNext/>
              <w:jc w:val="center"/>
              <w:rPr>
                <w:rFonts w:ascii="Arial Narrow" w:eastAsiaTheme="minorEastAsia" w:hAnsi="Arial Narrow" w:cs="Times New Roman"/>
                <w:b/>
                <w:bCs/>
                <w:sz w:val="20"/>
                <w:szCs w:val="20"/>
                <w:lang w:eastAsia="en-US"/>
              </w:rPr>
            </w:pPr>
            <w:r w:rsidRPr="00CA4C53">
              <w:rPr>
                <w:rFonts w:ascii="Arial Narrow" w:eastAsiaTheme="minorEastAsia" w:hAnsi="Arial Narrow" w:cs="Times New Roman"/>
                <w:b/>
                <w:bCs/>
                <w:sz w:val="20"/>
                <w:szCs w:val="20"/>
                <w:lang w:eastAsia="en-US"/>
              </w:rPr>
              <w:t>RR (95% CI)</w:t>
            </w:r>
          </w:p>
        </w:tc>
        <w:tc>
          <w:tcPr>
            <w:tcW w:w="1653" w:type="dxa"/>
            <w:shd w:val="clear" w:color="auto" w:fill="auto"/>
            <w:vAlign w:val="center"/>
          </w:tcPr>
          <w:p w14:paraId="5D8407E8" w14:textId="77777777" w:rsidR="004D1EA7" w:rsidRPr="00CA4C53" w:rsidRDefault="004D1EA7" w:rsidP="0005097F">
            <w:pPr>
              <w:keepNext/>
              <w:jc w:val="center"/>
              <w:rPr>
                <w:rFonts w:ascii="Arial Narrow" w:eastAsiaTheme="minorEastAsia" w:hAnsi="Arial Narrow" w:cs="Times New Roman"/>
                <w:b/>
                <w:bCs/>
                <w:sz w:val="20"/>
                <w:szCs w:val="20"/>
                <w:lang w:eastAsia="en-US"/>
              </w:rPr>
            </w:pPr>
            <w:r w:rsidRPr="00CA4C53">
              <w:rPr>
                <w:rFonts w:ascii="Arial Narrow" w:eastAsiaTheme="minorEastAsia" w:hAnsi="Arial Narrow" w:cs="Times New Roman"/>
                <w:b/>
                <w:bCs/>
                <w:sz w:val="20"/>
                <w:szCs w:val="20"/>
                <w:lang w:eastAsia="en-US"/>
              </w:rPr>
              <w:t>RD (95% CI)</w:t>
            </w:r>
          </w:p>
        </w:tc>
      </w:tr>
      <w:tr w:rsidR="004D1EA7" w:rsidRPr="00CA4C53" w14:paraId="05BDACCE" w14:textId="77777777" w:rsidTr="004D1EA7">
        <w:trPr>
          <w:trHeight w:val="64"/>
        </w:trPr>
        <w:tc>
          <w:tcPr>
            <w:tcW w:w="9017" w:type="dxa"/>
            <w:gridSpan w:val="5"/>
            <w:shd w:val="clear" w:color="auto" w:fill="auto"/>
            <w:vAlign w:val="center"/>
          </w:tcPr>
          <w:p w14:paraId="2E3015B6" w14:textId="77777777" w:rsidR="004D1EA7" w:rsidRPr="00CA4C53" w:rsidRDefault="004D1EA7" w:rsidP="0005097F">
            <w:pPr>
              <w:keepNext/>
              <w:jc w:val="left"/>
              <w:rPr>
                <w:rFonts w:ascii="Arial Narrow" w:eastAsiaTheme="minorEastAsia" w:hAnsi="Arial Narrow" w:cs="Times New Roman"/>
                <w:b/>
                <w:bCs/>
                <w:sz w:val="20"/>
                <w:szCs w:val="20"/>
                <w:lang w:eastAsia="en-US"/>
              </w:rPr>
            </w:pPr>
            <w:r w:rsidRPr="00CA4C53">
              <w:rPr>
                <w:rFonts w:ascii="Arial Narrow" w:eastAsiaTheme="minorEastAsia" w:hAnsi="Arial Narrow" w:cs="Times New Roman"/>
                <w:b/>
                <w:bCs/>
                <w:sz w:val="20"/>
                <w:szCs w:val="20"/>
                <w:lang w:eastAsia="en-US"/>
              </w:rPr>
              <w:t>Any adverse event</w:t>
            </w:r>
          </w:p>
        </w:tc>
      </w:tr>
      <w:tr w:rsidR="004D1EA7" w:rsidRPr="00CA4C53" w14:paraId="0E9D06A0" w14:textId="77777777" w:rsidTr="0079393D">
        <w:trPr>
          <w:trHeight w:val="87"/>
        </w:trPr>
        <w:tc>
          <w:tcPr>
            <w:tcW w:w="2405" w:type="dxa"/>
            <w:shd w:val="clear" w:color="auto" w:fill="auto"/>
            <w:vAlign w:val="center"/>
          </w:tcPr>
          <w:p w14:paraId="589B0B77" w14:textId="77777777" w:rsidR="004D1EA7" w:rsidRPr="00CA4C53" w:rsidRDefault="004D1EA7" w:rsidP="0005097F">
            <w:pPr>
              <w:keepNext/>
              <w:jc w:val="left"/>
              <w:rPr>
                <w:rFonts w:ascii="Arial Narrow" w:hAnsi="Arial Narrow"/>
                <w:iCs/>
                <w:sz w:val="20"/>
                <w:szCs w:val="20"/>
                <w:lang w:val="it-IT"/>
              </w:rPr>
            </w:pPr>
            <w:r w:rsidRPr="00CA4C53">
              <w:rPr>
                <w:rFonts w:ascii="Arial Narrow" w:hAnsi="Arial Narrow"/>
                <w:iCs/>
                <w:sz w:val="20"/>
                <w:szCs w:val="20"/>
                <w:lang w:val="it-IT"/>
              </w:rPr>
              <w:t>MIRI IV 300 mg v PBO (LUCENT 1)</w:t>
            </w:r>
          </w:p>
        </w:tc>
        <w:tc>
          <w:tcPr>
            <w:tcW w:w="1653" w:type="dxa"/>
            <w:shd w:val="clear" w:color="auto" w:fill="auto"/>
            <w:vAlign w:val="center"/>
          </w:tcPr>
          <w:p w14:paraId="4F13A9A6" w14:textId="77777777" w:rsidR="004D1EA7" w:rsidRPr="00CA4C53" w:rsidRDefault="004D1EA7" w:rsidP="0005097F">
            <w:pPr>
              <w:keepNext/>
              <w:jc w:val="center"/>
              <w:rPr>
                <w:rFonts w:ascii="Arial Narrow" w:eastAsiaTheme="minorEastAsia" w:hAnsi="Arial Narrow" w:cs="Times New Roman"/>
                <w:bCs/>
                <w:iCs/>
                <w:sz w:val="20"/>
                <w:szCs w:val="20"/>
                <w:lang w:eastAsia="en-US"/>
              </w:rPr>
            </w:pPr>
            <w:r w:rsidRPr="00CA4C53">
              <w:rPr>
                <w:rFonts w:ascii="Arial Narrow" w:hAnsi="Arial Narrow" w:cstheme="minorHAnsi"/>
                <w:sz w:val="20"/>
                <w:szCs w:val="20"/>
              </w:rPr>
              <w:t>426/958 (44.5)</w:t>
            </w:r>
          </w:p>
        </w:tc>
        <w:tc>
          <w:tcPr>
            <w:tcW w:w="1653" w:type="dxa"/>
            <w:shd w:val="clear" w:color="auto" w:fill="auto"/>
            <w:vAlign w:val="center"/>
          </w:tcPr>
          <w:p w14:paraId="406021D7" w14:textId="77777777" w:rsidR="004D1EA7" w:rsidRPr="00CA4C53" w:rsidRDefault="004D1EA7" w:rsidP="0005097F">
            <w:pPr>
              <w:keepNext/>
              <w:jc w:val="center"/>
              <w:rPr>
                <w:rFonts w:ascii="Arial Narrow" w:eastAsiaTheme="minorEastAsia" w:hAnsi="Arial Narrow" w:cs="Times New Roman"/>
                <w:bCs/>
                <w:iCs/>
                <w:sz w:val="20"/>
                <w:szCs w:val="20"/>
                <w:lang w:eastAsia="en-US"/>
              </w:rPr>
            </w:pPr>
            <w:r w:rsidRPr="00CA4C53">
              <w:rPr>
                <w:rFonts w:ascii="Arial Narrow" w:hAnsi="Arial Narrow" w:cstheme="minorHAnsi"/>
                <w:sz w:val="20"/>
                <w:szCs w:val="20"/>
              </w:rPr>
              <w:t>148/321 (46.1)</w:t>
            </w:r>
          </w:p>
        </w:tc>
        <w:tc>
          <w:tcPr>
            <w:tcW w:w="1653" w:type="dxa"/>
            <w:shd w:val="clear" w:color="auto" w:fill="auto"/>
            <w:vAlign w:val="center"/>
          </w:tcPr>
          <w:p w14:paraId="42FF1B75" w14:textId="77777777" w:rsidR="004D1EA7" w:rsidRPr="00BD47FB" w:rsidRDefault="004D1EA7" w:rsidP="0005097F">
            <w:pPr>
              <w:keepNext/>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0.96 (0.84, 1.11)</w:t>
            </w:r>
          </w:p>
        </w:tc>
        <w:tc>
          <w:tcPr>
            <w:tcW w:w="1653" w:type="dxa"/>
            <w:shd w:val="clear" w:color="auto" w:fill="auto"/>
            <w:vAlign w:val="center"/>
          </w:tcPr>
          <w:p w14:paraId="4FCD35FD" w14:textId="77777777" w:rsidR="004D1EA7" w:rsidRPr="00BD47FB" w:rsidRDefault="004D1EA7" w:rsidP="0005097F">
            <w:pPr>
              <w:keepNext/>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-0.02 (-0.08, 0.05)</w:t>
            </w:r>
          </w:p>
        </w:tc>
      </w:tr>
      <w:tr w:rsidR="004D1EA7" w:rsidRPr="00CA4C53" w14:paraId="29CB42DC" w14:textId="77777777" w:rsidTr="004D1EA7">
        <w:trPr>
          <w:trHeight w:val="87"/>
        </w:trPr>
        <w:tc>
          <w:tcPr>
            <w:tcW w:w="2405" w:type="dxa"/>
            <w:shd w:val="clear" w:color="auto" w:fill="C6D9F1" w:themeFill="text2" w:themeFillTint="33"/>
            <w:vAlign w:val="center"/>
          </w:tcPr>
          <w:p w14:paraId="3913E830" w14:textId="77777777" w:rsidR="004D1EA7" w:rsidRPr="00CA4C53" w:rsidRDefault="004D1EA7" w:rsidP="0005097F">
            <w:pPr>
              <w:keepNext/>
              <w:jc w:val="left"/>
              <w:rPr>
                <w:rFonts w:ascii="Arial Narrow" w:hAnsi="Arial Narrow"/>
                <w:iCs/>
                <w:sz w:val="20"/>
                <w:szCs w:val="20"/>
                <w:lang w:val="it-IT"/>
              </w:rPr>
            </w:pPr>
            <w:r w:rsidRPr="00CA4C53">
              <w:rPr>
                <w:rFonts w:ascii="Arial Narrow" w:hAnsi="Arial Narrow"/>
                <w:iCs/>
                <w:sz w:val="20"/>
                <w:szCs w:val="20"/>
                <w:lang w:val="it-IT"/>
              </w:rPr>
              <w:t>VDZ IV 300mg v PBO (MA: GEMINI-1, Motoya)</w:t>
            </w:r>
          </w:p>
        </w:tc>
        <w:tc>
          <w:tcPr>
            <w:tcW w:w="1653" w:type="dxa"/>
            <w:shd w:val="clear" w:color="auto" w:fill="C6D9F1" w:themeFill="text2" w:themeFillTint="33"/>
            <w:vAlign w:val="center"/>
          </w:tcPr>
          <w:p w14:paraId="4BBF5EE4" w14:textId="77777777" w:rsidR="004D1EA7" w:rsidRPr="00CA4C53" w:rsidRDefault="004D1EA7" w:rsidP="0005097F">
            <w:pPr>
              <w:keepNext/>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iCs/>
                <w:sz w:val="20"/>
                <w:szCs w:val="20"/>
                <w:lang w:eastAsia="en-US"/>
              </w:rPr>
              <w:t>172/389 (44.2)</w:t>
            </w:r>
          </w:p>
        </w:tc>
        <w:tc>
          <w:tcPr>
            <w:tcW w:w="1653" w:type="dxa"/>
            <w:shd w:val="clear" w:color="auto" w:fill="C6D9F1" w:themeFill="text2" w:themeFillTint="33"/>
            <w:vAlign w:val="center"/>
          </w:tcPr>
          <w:p w14:paraId="07A8286C" w14:textId="77777777" w:rsidR="004D1EA7" w:rsidRPr="00CA4C53" w:rsidRDefault="004D1EA7" w:rsidP="0005097F">
            <w:pPr>
              <w:keepNext/>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iCs/>
                <w:sz w:val="20"/>
                <w:szCs w:val="20"/>
                <w:lang w:eastAsia="en-US"/>
              </w:rPr>
              <w:t>112/231 (48.5)</w:t>
            </w:r>
          </w:p>
        </w:tc>
        <w:tc>
          <w:tcPr>
            <w:tcW w:w="1653" w:type="dxa"/>
            <w:shd w:val="clear" w:color="auto" w:fill="C6D9F1" w:themeFill="text2" w:themeFillTint="33"/>
            <w:vAlign w:val="center"/>
          </w:tcPr>
          <w:p w14:paraId="592377AC" w14:textId="77777777" w:rsidR="004D1EA7" w:rsidRPr="00BD47FB" w:rsidRDefault="004D1EA7" w:rsidP="0005097F">
            <w:pPr>
              <w:keepNext/>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0.90 (0.76, 1.07)</w:t>
            </w:r>
          </w:p>
        </w:tc>
        <w:tc>
          <w:tcPr>
            <w:tcW w:w="1653" w:type="dxa"/>
            <w:shd w:val="clear" w:color="auto" w:fill="C6D9F1" w:themeFill="text2" w:themeFillTint="33"/>
            <w:vAlign w:val="center"/>
          </w:tcPr>
          <w:p w14:paraId="40B2E36A" w14:textId="77777777" w:rsidR="004D1EA7" w:rsidRPr="00BD47FB" w:rsidRDefault="004D1EA7" w:rsidP="0005097F">
            <w:pPr>
              <w:keepNext/>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-0.05 (-0.13, 0.03)</w:t>
            </w:r>
          </w:p>
        </w:tc>
      </w:tr>
      <w:tr w:rsidR="004D1EA7" w:rsidRPr="00CA4C53" w14:paraId="7967BBE8" w14:textId="77777777" w:rsidTr="004D1EA7">
        <w:trPr>
          <w:trHeight w:val="87"/>
        </w:trPr>
        <w:tc>
          <w:tcPr>
            <w:tcW w:w="2405" w:type="dxa"/>
            <w:shd w:val="clear" w:color="auto" w:fill="C6D9F1" w:themeFill="text2" w:themeFillTint="33"/>
            <w:vAlign w:val="center"/>
          </w:tcPr>
          <w:p w14:paraId="75D0B43B" w14:textId="77777777" w:rsidR="004D1EA7" w:rsidRPr="00CA4C53" w:rsidRDefault="004D1EA7" w:rsidP="0005097F">
            <w:pPr>
              <w:keepNext/>
              <w:jc w:val="left"/>
              <w:rPr>
                <w:rFonts w:ascii="Arial Narrow" w:hAnsi="Arial Narrow"/>
                <w:iCs/>
                <w:sz w:val="20"/>
                <w:szCs w:val="20"/>
                <w:lang w:val="it-IT"/>
              </w:rPr>
            </w:pPr>
            <w:r w:rsidRPr="00CA4C53">
              <w:rPr>
                <w:rFonts w:ascii="Arial Narrow" w:hAnsi="Arial Narrow"/>
                <w:iCs/>
                <w:sz w:val="20"/>
                <w:szCs w:val="20"/>
                <w:lang w:val="it-IT"/>
              </w:rPr>
              <w:t>ADA 160-&gt;80mg v PBO (MA: ULTRA 1, Suzuki)</w:t>
            </w:r>
          </w:p>
        </w:tc>
        <w:tc>
          <w:tcPr>
            <w:tcW w:w="1653" w:type="dxa"/>
            <w:shd w:val="clear" w:color="auto" w:fill="C6D9F1" w:themeFill="text2" w:themeFillTint="33"/>
            <w:vAlign w:val="center"/>
          </w:tcPr>
          <w:p w14:paraId="629F321E" w14:textId="77777777" w:rsidR="004D1EA7" w:rsidRPr="00CA4C53" w:rsidRDefault="004D1EA7" w:rsidP="0005097F">
            <w:pPr>
              <w:keepNext/>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sz w:val="20"/>
                <w:szCs w:val="20"/>
                <w:lang w:eastAsia="en-US"/>
              </w:rPr>
              <w:t>152/313 (48.6)</w:t>
            </w:r>
          </w:p>
        </w:tc>
        <w:tc>
          <w:tcPr>
            <w:tcW w:w="1653" w:type="dxa"/>
            <w:shd w:val="clear" w:color="auto" w:fill="C6D9F1" w:themeFill="text2" w:themeFillTint="33"/>
            <w:vAlign w:val="center"/>
          </w:tcPr>
          <w:p w14:paraId="10529E50" w14:textId="77777777" w:rsidR="004D1EA7" w:rsidRPr="00CA4C53" w:rsidRDefault="004D1EA7" w:rsidP="0005097F">
            <w:pPr>
              <w:keepNext/>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sz w:val="20"/>
                <w:szCs w:val="20"/>
                <w:lang w:eastAsia="en-US"/>
              </w:rPr>
              <w:t>153/319 (48.0)</w:t>
            </w:r>
          </w:p>
        </w:tc>
        <w:tc>
          <w:tcPr>
            <w:tcW w:w="1653" w:type="dxa"/>
            <w:shd w:val="clear" w:color="auto" w:fill="C6D9F1" w:themeFill="text2" w:themeFillTint="33"/>
            <w:vAlign w:val="center"/>
          </w:tcPr>
          <w:p w14:paraId="4C902EBD" w14:textId="77777777" w:rsidR="004D1EA7" w:rsidRPr="00BD47FB" w:rsidRDefault="004D1EA7" w:rsidP="0005097F">
            <w:pPr>
              <w:keepNext/>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1.01 (0.86, 1.19)</w:t>
            </w:r>
          </w:p>
        </w:tc>
        <w:tc>
          <w:tcPr>
            <w:tcW w:w="1653" w:type="dxa"/>
            <w:shd w:val="clear" w:color="auto" w:fill="C6D9F1" w:themeFill="text2" w:themeFillTint="33"/>
            <w:vAlign w:val="center"/>
          </w:tcPr>
          <w:p w14:paraId="525DF408" w14:textId="77777777" w:rsidR="004D1EA7" w:rsidRPr="00BD47FB" w:rsidRDefault="004D1EA7" w:rsidP="0005097F">
            <w:pPr>
              <w:keepNext/>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0.01 (-0.07, 0.08)</w:t>
            </w:r>
          </w:p>
        </w:tc>
      </w:tr>
      <w:tr w:rsidR="004D1EA7" w:rsidRPr="00CA4C53" w14:paraId="540AFD10" w14:textId="77777777" w:rsidTr="0079393D">
        <w:trPr>
          <w:trHeight w:val="87"/>
        </w:trPr>
        <w:tc>
          <w:tcPr>
            <w:tcW w:w="2405" w:type="dxa"/>
            <w:shd w:val="clear" w:color="auto" w:fill="C6D9F1" w:themeFill="text2" w:themeFillTint="33"/>
            <w:vAlign w:val="center"/>
          </w:tcPr>
          <w:p w14:paraId="1BA0ADCB" w14:textId="77777777" w:rsidR="004D1EA7" w:rsidRPr="00CA4C53" w:rsidRDefault="004D1EA7" w:rsidP="0005097F">
            <w:pPr>
              <w:keepNext/>
              <w:jc w:val="left"/>
              <w:rPr>
                <w:rFonts w:ascii="Arial Narrow" w:hAnsi="Arial Narrow"/>
                <w:iCs/>
                <w:sz w:val="20"/>
                <w:szCs w:val="20"/>
                <w:lang w:val="it-IT"/>
              </w:rPr>
            </w:pPr>
            <w:r w:rsidRPr="00CA4C53">
              <w:rPr>
                <w:rFonts w:ascii="Arial Narrow" w:hAnsi="Arial Narrow"/>
                <w:iCs/>
                <w:sz w:val="20"/>
                <w:szCs w:val="20"/>
                <w:lang w:val="it-IT"/>
              </w:rPr>
              <w:t>UST IV ~ 6mg/kg v PBO (UNIFI)</w:t>
            </w:r>
          </w:p>
        </w:tc>
        <w:tc>
          <w:tcPr>
            <w:tcW w:w="1653" w:type="dxa"/>
            <w:shd w:val="clear" w:color="auto" w:fill="C6D9F1" w:themeFill="text2" w:themeFillTint="33"/>
            <w:vAlign w:val="center"/>
          </w:tcPr>
          <w:p w14:paraId="7E37F79E" w14:textId="77777777" w:rsidR="004D1EA7" w:rsidRPr="00CA4C53" w:rsidRDefault="004D1EA7" w:rsidP="0005097F">
            <w:pPr>
              <w:keepNext/>
              <w:jc w:val="center"/>
              <w:rPr>
                <w:rFonts w:ascii="Arial Narrow" w:eastAsiaTheme="minorEastAsia" w:hAnsi="Arial Narrow" w:cs="Times New Roman"/>
                <w:bCs/>
                <w:sz w:val="20"/>
                <w:szCs w:val="20"/>
                <w:lang w:eastAsia="en-US"/>
              </w:rPr>
            </w:pPr>
            <w:r w:rsidRPr="00CA4C53">
              <w:rPr>
                <w:rFonts w:ascii="Arial Narrow" w:hAnsi="Arial Narrow" w:cstheme="minorHAnsi"/>
                <w:sz w:val="20"/>
                <w:szCs w:val="20"/>
              </w:rPr>
              <w:t>160/320 (50.0)</w:t>
            </w:r>
          </w:p>
        </w:tc>
        <w:tc>
          <w:tcPr>
            <w:tcW w:w="1653" w:type="dxa"/>
            <w:shd w:val="clear" w:color="auto" w:fill="C6D9F1" w:themeFill="text2" w:themeFillTint="33"/>
            <w:vAlign w:val="center"/>
          </w:tcPr>
          <w:p w14:paraId="4423756A" w14:textId="77777777" w:rsidR="004D1EA7" w:rsidRPr="00CA4C53" w:rsidRDefault="004D1EA7" w:rsidP="0005097F">
            <w:pPr>
              <w:keepNext/>
              <w:jc w:val="center"/>
              <w:rPr>
                <w:rFonts w:ascii="Arial Narrow" w:eastAsiaTheme="minorEastAsia" w:hAnsi="Arial Narrow" w:cs="Times New Roman"/>
                <w:bCs/>
                <w:sz w:val="20"/>
                <w:szCs w:val="20"/>
                <w:lang w:eastAsia="en-US"/>
              </w:rPr>
            </w:pPr>
            <w:r w:rsidRPr="00CA4C53">
              <w:rPr>
                <w:rFonts w:ascii="Arial Narrow" w:hAnsi="Arial Narrow" w:cstheme="minorHAnsi"/>
                <w:sz w:val="20"/>
                <w:szCs w:val="20"/>
              </w:rPr>
              <w:t>153/319 (48.0)</w:t>
            </w:r>
          </w:p>
        </w:tc>
        <w:tc>
          <w:tcPr>
            <w:tcW w:w="1653" w:type="dxa"/>
            <w:shd w:val="clear" w:color="auto" w:fill="C6D9F1" w:themeFill="text2" w:themeFillTint="33"/>
            <w:vAlign w:val="center"/>
          </w:tcPr>
          <w:p w14:paraId="1F5C37A8" w14:textId="77777777" w:rsidR="004D1EA7" w:rsidRPr="00BD47FB" w:rsidRDefault="004D1EA7" w:rsidP="0005097F">
            <w:pPr>
              <w:keepNext/>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1.04 (0.89, 1.22)</w:t>
            </w:r>
          </w:p>
        </w:tc>
        <w:tc>
          <w:tcPr>
            <w:tcW w:w="1653" w:type="dxa"/>
            <w:shd w:val="clear" w:color="auto" w:fill="C6D9F1" w:themeFill="text2" w:themeFillTint="33"/>
            <w:vAlign w:val="center"/>
          </w:tcPr>
          <w:p w14:paraId="2FCFDAD5" w14:textId="77777777" w:rsidR="004D1EA7" w:rsidRPr="00BD47FB" w:rsidRDefault="004D1EA7" w:rsidP="0005097F">
            <w:pPr>
              <w:keepNext/>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0.02 (-0.06, 0.10)</w:t>
            </w:r>
          </w:p>
        </w:tc>
      </w:tr>
      <w:tr w:rsidR="004D1EA7" w:rsidRPr="00CA4C53" w14:paraId="0F314351" w14:textId="77777777" w:rsidTr="004D1EA7">
        <w:trPr>
          <w:trHeight w:val="87"/>
        </w:trPr>
        <w:tc>
          <w:tcPr>
            <w:tcW w:w="9017" w:type="dxa"/>
            <w:gridSpan w:val="5"/>
            <w:shd w:val="clear" w:color="auto" w:fill="auto"/>
            <w:vAlign w:val="center"/>
          </w:tcPr>
          <w:p w14:paraId="449B26EE" w14:textId="77777777" w:rsidR="004D1EA7" w:rsidRPr="00BD47FB" w:rsidRDefault="004D1EA7" w:rsidP="004D1EA7">
            <w:pPr>
              <w:jc w:val="left"/>
              <w:rPr>
                <w:rFonts w:ascii="Arial Narrow" w:eastAsiaTheme="minorEastAsia" w:hAnsi="Arial Narrow" w:cs="Times New Roman"/>
                <w:bCs/>
                <w:sz w:val="20"/>
                <w:szCs w:val="20"/>
                <w:lang w:eastAsia="en-US"/>
              </w:rPr>
            </w:pPr>
            <w:r w:rsidRPr="00BD47FB">
              <w:rPr>
                <w:rFonts w:ascii="Arial Narrow" w:eastAsiaTheme="minorEastAsia" w:hAnsi="Arial Narrow" w:cs="Times New Roman"/>
                <w:b/>
                <w:bCs/>
                <w:sz w:val="20"/>
                <w:szCs w:val="20"/>
                <w:lang w:eastAsia="en-US"/>
              </w:rPr>
              <w:t>Serious adverse event</w:t>
            </w:r>
          </w:p>
        </w:tc>
      </w:tr>
      <w:tr w:rsidR="004D1EA7" w:rsidRPr="00CA4C53" w14:paraId="21E03CF8" w14:textId="77777777" w:rsidTr="0079393D">
        <w:trPr>
          <w:trHeight w:val="87"/>
        </w:trPr>
        <w:tc>
          <w:tcPr>
            <w:tcW w:w="2405" w:type="dxa"/>
            <w:shd w:val="clear" w:color="auto" w:fill="auto"/>
            <w:vAlign w:val="center"/>
          </w:tcPr>
          <w:p w14:paraId="6FF03F82" w14:textId="77777777" w:rsidR="004D1EA7" w:rsidRPr="00CA4C53" w:rsidRDefault="004D1EA7" w:rsidP="004D1EA7">
            <w:pPr>
              <w:jc w:val="left"/>
              <w:rPr>
                <w:rFonts w:ascii="Arial Narrow" w:hAnsi="Arial Narrow"/>
                <w:iCs/>
                <w:sz w:val="20"/>
                <w:szCs w:val="20"/>
                <w:lang w:val="it-IT"/>
              </w:rPr>
            </w:pPr>
            <w:r w:rsidRPr="00CA4C53">
              <w:rPr>
                <w:rFonts w:ascii="Arial Narrow" w:hAnsi="Arial Narrow"/>
                <w:iCs/>
                <w:sz w:val="20"/>
                <w:szCs w:val="20"/>
                <w:lang w:val="it-IT"/>
              </w:rPr>
              <w:t>MIRI IV 300 mg v PBO (LUCENT 1)</w:t>
            </w:r>
          </w:p>
        </w:tc>
        <w:tc>
          <w:tcPr>
            <w:tcW w:w="1653" w:type="dxa"/>
            <w:shd w:val="clear" w:color="auto" w:fill="auto"/>
            <w:vAlign w:val="center"/>
          </w:tcPr>
          <w:p w14:paraId="6EC14A32" w14:textId="77777777" w:rsidR="004D1EA7" w:rsidRPr="00CA4C53" w:rsidRDefault="004D1EA7" w:rsidP="004D1EA7">
            <w:pPr>
              <w:jc w:val="center"/>
              <w:rPr>
                <w:rFonts w:ascii="Arial Narrow" w:hAnsi="Arial Narrow" w:cstheme="minorHAnsi"/>
                <w:sz w:val="20"/>
                <w:szCs w:val="20"/>
              </w:rPr>
            </w:pPr>
            <w:r w:rsidRPr="00CA4C53">
              <w:rPr>
                <w:rFonts w:ascii="Arial Narrow" w:hAnsi="Arial Narrow" w:cstheme="minorHAnsi"/>
                <w:sz w:val="20"/>
                <w:szCs w:val="20"/>
              </w:rPr>
              <w:t>27/958 (2.8)</w:t>
            </w:r>
          </w:p>
        </w:tc>
        <w:tc>
          <w:tcPr>
            <w:tcW w:w="1653" w:type="dxa"/>
            <w:shd w:val="clear" w:color="auto" w:fill="auto"/>
            <w:vAlign w:val="center"/>
          </w:tcPr>
          <w:p w14:paraId="084856A1" w14:textId="77777777" w:rsidR="004D1EA7" w:rsidRPr="00CA4C53" w:rsidRDefault="004D1EA7" w:rsidP="004D1EA7">
            <w:pPr>
              <w:jc w:val="center"/>
              <w:rPr>
                <w:rFonts w:ascii="Arial Narrow" w:hAnsi="Arial Narrow" w:cstheme="minorHAnsi"/>
                <w:sz w:val="20"/>
                <w:szCs w:val="20"/>
              </w:rPr>
            </w:pPr>
            <w:r w:rsidRPr="00CA4C53">
              <w:rPr>
                <w:rFonts w:ascii="Arial Narrow" w:hAnsi="Arial Narrow" w:cstheme="minorHAnsi"/>
                <w:sz w:val="20"/>
                <w:szCs w:val="20"/>
              </w:rPr>
              <w:t>17/321 (5.3)</w:t>
            </w:r>
          </w:p>
        </w:tc>
        <w:tc>
          <w:tcPr>
            <w:tcW w:w="1653" w:type="dxa"/>
            <w:shd w:val="clear" w:color="auto" w:fill="auto"/>
            <w:vAlign w:val="center"/>
          </w:tcPr>
          <w:p w14:paraId="5A3018B5" w14:textId="77777777" w:rsidR="004D1EA7" w:rsidRPr="00BD47FB" w:rsidRDefault="004D1EA7" w:rsidP="004D1EA7">
            <w:pPr>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
                <w:sz w:val="20"/>
                <w:szCs w:val="20"/>
                <w:lang w:eastAsia="en-US"/>
              </w:rPr>
              <w:t>0.53 (0.29, 0.96)</w:t>
            </w:r>
          </w:p>
        </w:tc>
        <w:tc>
          <w:tcPr>
            <w:tcW w:w="1653" w:type="dxa"/>
            <w:shd w:val="clear" w:color="auto" w:fill="auto"/>
            <w:vAlign w:val="center"/>
          </w:tcPr>
          <w:p w14:paraId="0230B6C4" w14:textId="77777777" w:rsidR="004D1EA7" w:rsidRPr="00BD47FB" w:rsidRDefault="004D1EA7" w:rsidP="004D1EA7">
            <w:pPr>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-0.02 (-0.05, 0.00)</w:t>
            </w:r>
          </w:p>
        </w:tc>
      </w:tr>
      <w:tr w:rsidR="004D1EA7" w:rsidRPr="00CA4C53" w14:paraId="60D888D9" w14:textId="77777777" w:rsidTr="004D1EA7">
        <w:trPr>
          <w:trHeight w:val="87"/>
        </w:trPr>
        <w:tc>
          <w:tcPr>
            <w:tcW w:w="2405" w:type="dxa"/>
            <w:shd w:val="clear" w:color="auto" w:fill="C6D9F1" w:themeFill="text2" w:themeFillTint="33"/>
            <w:vAlign w:val="center"/>
          </w:tcPr>
          <w:p w14:paraId="328FBFAD" w14:textId="77777777" w:rsidR="004D1EA7" w:rsidRPr="00CA4C53" w:rsidRDefault="004D1EA7" w:rsidP="004D1EA7">
            <w:pPr>
              <w:jc w:val="left"/>
              <w:rPr>
                <w:rFonts w:ascii="Arial Narrow" w:eastAsiaTheme="minorEastAsia" w:hAnsi="Arial Narrow" w:cs="Times New Roman"/>
                <w:iCs/>
                <w:sz w:val="20"/>
                <w:szCs w:val="20"/>
                <w:lang w:val="it-IT" w:eastAsia="en-US"/>
              </w:rPr>
            </w:pPr>
            <w:r w:rsidRPr="00CA4C53">
              <w:rPr>
                <w:rFonts w:ascii="Arial Narrow" w:hAnsi="Arial Narrow"/>
                <w:iCs/>
                <w:sz w:val="20"/>
                <w:szCs w:val="20"/>
                <w:lang w:val="it-IT"/>
              </w:rPr>
              <w:t>VDZ IV 300mg v PBO (MA: GEMINI-1, Motoya)</w:t>
            </w:r>
          </w:p>
        </w:tc>
        <w:tc>
          <w:tcPr>
            <w:tcW w:w="1653" w:type="dxa"/>
            <w:shd w:val="clear" w:color="auto" w:fill="C6D9F1" w:themeFill="text2" w:themeFillTint="33"/>
            <w:vAlign w:val="center"/>
          </w:tcPr>
          <w:p w14:paraId="4FB92890"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iCs/>
                <w:sz w:val="20"/>
                <w:szCs w:val="20"/>
                <w:lang w:eastAsia="en-US"/>
              </w:rPr>
              <w:t>15/389 (3.9)</w:t>
            </w:r>
          </w:p>
        </w:tc>
        <w:tc>
          <w:tcPr>
            <w:tcW w:w="1653" w:type="dxa"/>
            <w:shd w:val="clear" w:color="auto" w:fill="C6D9F1" w:themeFill="text2" w:themeFillTint="33"/>
            <w:vAlign w:val="center"/>
          </w:tcPr>
          <w:p w14:paraId="0D55F88D"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iCs/>
                <w:sz w:val="20"/>
                <w:szCs w:val="20"/>
                <w:lang w:eastAsia="en-US"/>
              </w:rPr>
              <w:t>14/231 (6.1)</w:t>
            </w:r>
          </w:p>
        </w:tc>
        <w:tc>
          <w:tcPr>
            <w:tcW w:w="1653" w:type="dxa"/>
            <w:shd w:val="clear" w:color="auto" w:fill="C6D9F1" w:themeFill="text2" w:themeFillTint="33"/>
            <w:vAlign w:val="center"/>
          </w:tcPr>
          <w:p w14:paraId="362D03B4" w14:textId="77777777" w:rsidR="004D1EA7" w:rsidRPr="00BD47FB" w:rsidRDefault="004D1EA7" w:rsidP="004D1EA7">
            <w:pPr>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0.63 (0.17, 2.33)</w:t>
            </w:r>
          </w:p>
        </w:tc>
        <w:tc>
          <w:tcPr>
            <w:tcW w:w="1653" w:type="dxa"/>
            <w:shd w:val="clear" w:color="auto" w:fill="C6D9F1" w:themeFill="text2" w:themeFillTint="33"/>
            <w:vAlign w:val="center"/>
          </w:tcPr>
          <w:p w14:paraId="77F3D8FE" w14:textId="77777777" w:rsidR="004D1EA7" w:rsidRPr="00BD47FB" w:rsidRDefault="004D1EA7" w:rsidP="004D1EA7">
            <w:pPr>
              <w:jc w:val="center"/>
              <w:rPr>
                <w:rFonts w:ascii="Arial Narrow" w:eastAsiaTheme="minorEastAsia" w:hAnsi="Arial Narrow" w:cs="Times New Roman"/>
                <w:bCs/>
                <w:sz w:val="20"/>
                <w:szCs w:val="20"/>
                <w:lang w:eastAsia="en-US"/>
              </w:rPr>
            </w:pPr>
            <w:r w:rsidRPr="00BD47FB">
              <w:rPr>
                <w:rFonts w:ascii="Arial Narrow" w:eastAsiaTheme="minorEastAsia" w:hAnsi="Arial Narrow" w:cs="Times New Roman"/>
                <w:bCs/>
                <w:sz w:val="20"/>
                <w:szCs w:val="20"/>
                <w:lang w:eastAsia="en-US"/>
              </w:rPr>
              <w:t>-0.02 (-0.08, 0.04)</w:t>
            </w:r>
          </w:p>
        </w:tc>
      </w:tr>
      <w:tr w:rsidR="004D1EA7" w:rsidRPr="00CA4C53" w14:paraId="1D3DDD57" w14:textId="77777777" w:rsidTr="004D1EA7">
        <w:trPr>
          <w:trHeight w:val="87"/>
        </w:trPr>
        <w:tc>
          <w:tcPr>
            <w:tcW w:w="2405" w:type="dxa"/>
            <w:shd w:val="clear" w:color="auto" w:fill="C6D9F1" w:themeFill="text2" w:themeFillTint="33"/>
            <w:vAlign w:val="center"/>
          </w:tcPr>
          <w:p w14:paraId="6E06E158" w14:textId="77777777" w:rsidR="004D1EA7" w:rsidRPr="00CA4C53" w:rsidRDefault="004D1EA7" w:rsidP="004D1EA7">
            <w:pPr>
              <w:jc w:val="left"/>
              <w:rPr>
                <w:rFonts w:ascii="Arial Narrow" w:hAnsi="Arial Narrow"/>
                <w:iCs/>
                <w:sz w:val="20"/>
                <w:szCs w:val="20"/>
                <w:lang w:val="it-IT"/>
              </w:rPr>
            </w:pPr>
            <w:r w:rsidRPr="00CA4C53">
              <w:rPr>
                <w:rFonts w:ascii="Arial Narrow" w:hAnsi="Arial Narrow"/>
                <w:iCs/>
                <w:sz w:val="20"/>
                <w:szCs w:val="20"/>
                <w:lang w:val="it-IT"/>
              </w:rPr>
              <w:t>ADA 160-&gt;80mg v PBO (MA: ULTRA 1, Suzuki)</w:t>
            </w:r>
          </w:p>
        </w:tc>
        <w:tc>
          <w:tcPr>
            <w:tcW w:w="1653" w:type="dxa"/>
            <w:shd w:val="clear" w:color="auto" w:fill="C6D9F1" w:themeFill="text2" w:themeFillTint="33"/>
            <w:vAlign w:val="center"/>
          </w:tcPr>
          <w:p w14:paraId="18FFD81E"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sz w:val="20"/>
                <w:szCs w:val="20"/>
                <w:lang w:eastAsia="en-US"/>
              </w:rPr>
              <w:t>13/313 (4.2)</w:t>
            </w:r>
          </w:p>
        </w:tc>
        <w:tc>
          <w:tcPr>
            <w:tcW w:w="1653" w:type="dxa"/>
            <w:shd w:val="clear" w:color="auto" w:fill="C6D9F1" w:themeFill="text2" w:themeFillTint="33"/>
            <w:vAlign w:val="center"/>
          </w:tcPr>
          <w:p w14:paraId="2A12C726"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sz w:val="20"/>
                <w:szCs w:val="20"/>
                <w:lang w:eastAsia="en-US"/>
              </w:rPr>
              <w:t>24/319 (7.5)</w:t>
            </w:r>
          </w:p>
        </w:tc>
        <w:tc>
          <w:tcPr>
            <w:tcW w:w="1653" w:type="dxa"/>
            <w:shd w:val="clear" w:color="auto" w:fill="C6D9F1" w:themeFill="text2" w:themeFillTint="33"/>
            <w:vAlign w:val="center"/>
          </w:tcPr>
          <w:p w14:paraId="2D6EC4E3" w14:textId="77777777" w:rsidR="004D1EA7" w:rsidRPr="00BD47FB" w:rsidRDefault="004D1EA7" w:rsidP="004D1EA7">
            <w:pPr>
              <w:jc w:val="center"/>
              <w:rPr>
                <w:rFonts w:ascii="Arial Narrow" w:eastAsiaTheme="minorEastAsia" w:hAnsi="Arial Narrow" w:cs="Times New Roman"/>
                <w:bCs/>
                <w:iCs/>
                <w:sz w:val="20"/>
                <w:szCs w:val="20"/>
                <w:lang w:eastAsia="en-US"/>
              </w:rPr>
            </w:pPr>
            <w:r w:rsidRPr="00BD47FB">
              <w:rPr>
                <w:rFonts w:ascii="Arial Narrow" w:eastAsiaTheme="minorEastAsia" w:hAnsi="Arial Narrow" w:cs="Times New Roman"/>
                <w:bCs/>
                <w:iCs/>
                <w:sz w:val="20"/>
                <w:szCs w:val="20"/>
                <w:lang w:eastAsia="en-US"/>
              </w:rPr>
              <w:t>0.55 (0.29, 1.07)</w:t>
            </w:r>
          </w:p>
        </w:tc>
        <w:tc>
          <w:tcPr>
            <w:tcW w:w="1653" w:type="dxa"/>
            <w:shd w:val="clear" w:color="auto" w:fill="C6D9F1" w:themeFill="text2" w:themeFillTint="33"/>
            <w:vAlign w:val="center"/>
          </w:tcPr>
          <w:p w14:paraId="0D840844" w14:textId="77777777" w:rsidR="004D1EA7" w:rsidRPr="00BD47FB" w:rsidRDefault="004D1EA7" w:rsidP="004D1EA7">
            <w:pPr>
              <w:jc w:val="center"/>
              <w:rPr>
                <w:rFonts w:ascii="Arial Narrow" w:eastAsiaTheme="minorEastAsia" w:hAnsi="Arial Narrow" w:cs="Times New Roman"/>
                <w:bCs/>
                <w:iCs/>
                <w:sz w:val="20"/>
                <w:szCs w:val="20"/>
                <w:lang w:eastAsia="en-US"/>
              </w:rPr>
            </w:pPr>
            <w:r w:rsidRPr="00BD47FB">
              <w:rPr>
                <w:rFonts w:ascii="Arial Narrow" w:eastAsiaTheme="minorEastAsia" w:hAnsi="Arial Narrow" w:cs="Times New Roman"/>
                <w:bCs/>
                <w:iCs/>
                <w:sz w:val="20"/>
                <w:szCs w:val="20"/>
                <w:lang w:eastAsia="en-US"/>
              </w:rPr>
              <w:t>-0.03 (-0.07, 0.00)</w:t>
            </w:r>
          </w:p>
        </w:tc>
      </w:tr>
      <w:tr w:rsidR="004D1EA7" w:rsidRPr="00CA4C53" w14:paraId="12373C1D" w14:textId="77777777" w:rsidTr="0079393D">
        <w:trPr>
          <w:trHeight w:val="87"/>
        </w:trPr>
        <w:tc>
          <w:tcPr>
            <w:tcW w:w="2405" w:type="dxa"/>
            <w:shd w:val="clear" w:color="auto" w:fill="C6D9F1" w:themeFill="text2" w:themeFillTint="33"/>
            <w:vAlign w:val="center"/>
          </w:tcPr>
          <w:p w14:paraId="696114C4" w14:textId="77777777" w:rsidR="004D1EA7" w:rsidRPr="00CA4C53" w:rsidRDefault="004D1EA7" w:rsidP="004D1EA7">
            <w:pPr>
              <w:jc w:val="left"/>
              <w:rPr>
                <w:rFonts w:ascii="Arial Narrow" w:hAnsi="Arial Narrow"/>
                <w:iCs/>
                <w:sz w:val="20"/>
                <w:szCs w:val="20"/>
                <w:lang w:val="it-IT"/>
              </w:rPr>
            </w:pPr>
            <w:r w:rsidRPr="00CA4C53">
              <w:rPr>
                <w:rFonts w:ascii="Arial Narrow" w:hAnsi="Arial Narrow"/>
                <w:iCs/>
                <w:sz w:val="20"/>
                <w:szCs w:val="20"/>
                <w:lang w:val="it-IT"/>
              </w:rPr>
              <w:t>UST IV ~ 6mg/kg v PBO (UNIFI)</w:t>
            </w:r>
          </w:p>
        </w:tc>
        <w:tc>
          <w:tcPr>
            <w:tcW w:w="1653" w:type="dxa"/>
            <w:shd w:val="clear" w:color="auto" w:fill="C6D9F1" w:themeFill="text2" w:themeFillTint="33"/>
            <w:vAlign w:val="center"/>
          </w:tcPr>
          <w:p w14:paraId="4C668BF4" w14:textId="77777777" w:rsidR="004D1EA7" w:rsidRPr="00CA4C53" w:rsidRDefault="004D1EA7" w:rsidP="004D1EA7">
            <w:pPr>
              <w:jc w:val="center"/>
              <w:rPr>
                <w:rFonts w:ascii="Arial Narrow" w:eastAsiaTheme="minorEastAsia" w:hAnsi="Arial Narrow" w:cs="Times New Roman"/>
                <w:bCs/>
                <w:sz w:val="20"/>
                <w:szCs w:val="20"/>
                <w:lang w:eastAsia="en-US"/>
              </w:rPr>
            </w:pPr>
            <w:r w:rsidRPr="00CA4C53">
              <w:rPr>
                <w:rFonts w:ascii="Arial Narrow" w:hAnsi="Arial Narrow" w:cstheme="minorHAnsi"/>
                <w:sz w:val="20"/>
                <w:szCs w:val="20"/>
              </w:rPr>
              <w:t>10/320 (3.1)</w:t>
            </w:r>
          </w:p>
        </w:tc>
        <w:tc>
          <w:tcPr>
            <w:tcW w:w="1653" w:type="dxa"/>
            <w:shd w:val="clear" w:color="auto" w:fill="C6D9F1" w:themeFill="text2" w:themeFillTint="33"/>
            <w:vAlign w:val="center"/>
          </w:tcPr>
          <w:p w14:paraId="1513E6EF" w14:textId="77777777" w:rsidR="004D1EA7" w:rsidRPr="00CA4C53" w:rsidRDefault="004D1EA7" w:rsidP="004D1EA7">
            <w:pPr>
              <w:jc w:val="center"/>
              <w:rPr>
                <w:rFonts w:ascii="Arial Narrow" w:eastAsiaTheme="minorEastAsia" w:hAnsi="Arial Narrow" w:cs="Times New Roman"/>
                <w:bCs/>
                <w:sz w:val="20"/>
                <w:szCs w:val="20"/>
                <w:lang w:eastAsia="en-US"/>
              </w:rPr>
            </w:pPr>
            <w:r w:rsidRPr="00CA4C53">
              <w:rPr>
                <w:rFonts w:ascii="Arial Narrow" w:hAnsi="Arial Narrow" w:cstheme="minorHAnsi"/>
                <w:sz w:val="20"/>
                <w:szCs w:val="20"/>
              </w:rPr>
              <w:t>21/319 (6.6)</w:t>
            </w:r>
          </w:p>
        </w:tc>
        <w:tc>
          <w:tcPr>
            <w:tcW w:w="1653" w:type="dxa"/>
            <w:shd w:val="clear" w:color="auto" w:fill="C6D9F1" w:themeFill="text2" w:themeFillTint="33"/>
            <w:vAlign w:val="center"/>
          </w:tcPr>
          <w:p w14:paraId="378F29C1" w14:textId="77777777" w:rsidR="004D1EA7" w:rsidRPr="00BD47FB" w:rsidRDefault="004D1EA7" w:rsidP="004D1EA7">
            <w:pPr>
              <w:jc w:val="center"/>
              <w:rPr>
                <w:rFonts w:ascii="Arial Narrow" w:eastAsiaTheme="minorEastAsia" w:hAnsi="Arial Narrow" w:cs="Times New Roman"/>
                <w:bCs/>
                <w:iCs/>
                <w:sz w:val="20"/>
                <w:szCs w:val="20"/>
                <w:lang w:eastAsia="en-US"/>
              </w:rPr>
            </w:pPr>
            <w:r w:rsidRPr="00BD47FB">
              <w:rPr>
                <w:rFonts w:ascii="Arial Narrow" w:eastAsiaTheme="minorEastAsia" w:hAnsi="Arial Narrow" w:cs="Times New Roman"/>
                <w:bCs/>
                <w:iCs/>
                <w:sz w:val="20"/>
                <w:szCs w:val="20"/>
                <w:lang w:eastAsia="en-US"/>
              </w:rPr>
              <w:t>0.47 (0.23, 0.99)</w:t>
            </w:r>
          </w:p>
        </w:tc>
        <w:tc>
          <w:tcPr>
            <w:tcW w:w="1653" w:type="dxa"/>
            <w:shd w:val="clear" w:color="auto" w:fill="C6D9F1" w:themeFill="text2" w:themeFillTint="33"/>
            <w:vAlign w:val="center"/>
          </w:tcPr>
          <w:p w14:paraId="0A419D2B" w14:textId="77777777" w:rsidR="004D1EA7" w:rsidRPr="00BD47FB" w:rsidRDefault="004D1EA7" w:rsidP="004D1EA7">
            <w:pPr>
              <w:jc w:val="center"/>
              <w:rPr>
                <w:rFonts w:ascii="Arial Narrow" w:eastAsiaTheme="minorEastAsia" w:hAnsi="Arial Narrow" w:cs="Times New Roman"/>
                <w:bCs/>
                <w:iCs/>
                <w:sz w:val="20"/>
                <w:szCs w:val="20"/>
                <w:lang w:eastAsia="en-US"/>
              </w:rPr>
            </w:pPr>
            <w:r w:rsidRPr="00BD47FB">
              <w:rPr>
                <w:rFonts w:ascii="Arial Narrow" w:eastAsiaTheme="minorEastAsia" w:hAnsi="Arial Narrow" w:cs="Times New Roman"/>
                <w:bCs/>
                <w:iCs/>
                <w:sz w:val="20"/>
                <w:szCs w:val="20"/>
                <w:lang w:eastAsia="en-US"/>
              </w:rPr>
              <w:t>-0.03 (-0.07, -0.00)</w:t>
            </w:r>
          </w:p>
        </w:tc>
      </w:tr>
      <w:tr w:rsidR="004D1EA7" w:rsidRPr="00CA4C53" w14:paraId="4F468D0E" w14:textId="77777777" w:rsidTr="004D1EA7">
        <w:trPr>
          <w:trHeight w:val="247"/>
        </w:trPr>
        <w:tc>
          <w:tcPr>
            <w:tcW w:w="9017" w:type="dxa"/>
            <w:gridSpan w:val="5"/>
            <w:shd w:val="clear" w:color="auto" w:fill="auto"/>
            <w:vAlign w:val="center"/>
          </w:tcPr>
          <w:p w14:paraId="6C09CE91" w14:textId="77777777" w:rsidR="004D1EA7" w:rsidRPr="00BD47FB" w:rsidRDefault="004D1EA7" w:rsidP="004D1EA7">
            <w:pPr>
              <w:jc w:val="left"/>
              <w:rPr>
                <w:rFonts w:ascii="Arial Narrow" w:eastAsiaTheme="minorEastAsia" w:hAnsi="Arial Narrow" w:cs="Times New Roman"/>
                <w:iCs/>
                <w:sz w:val="20"/>
                <w:szCs w:val="20"/>
                <w:highlight w:val="yellow"/>
                <w:lang w:eastAsia="en-US"/>
              </w:rPr>
            </w:pPr>
            <w:r w:rsidRPr="00BD47FB">
              <w:rPr>
                <w:rFonts w:ascii="Arial Narrow" w:eastAsiaTheme="minorEastAsia" w:hAnsi="Arial Narrow" w:cs="Times New Roman"/>
                <w:b/>
                <w:bCs/>
                <w:iCs/>
                <w:sz w:val="20"/>
                <w:szCs w:val="20"/>
                <w:lang w:eastAsia="en-US"/>
              </w:rPr>
              <w:t>Discontinuation due to adverse event</w:t>
            </w:r>
          </w:p>
        </w:tc>
      </w:tr>
      <w:tr w:rsidR="004D1EA7" w:rsidRPr="00CA4C53" w14:paraId="4B30B657" w14:textId="77777777" w:rsidTr="0079393D">
        <w:trPr>
          <w:trHeight w:val="70"/>
        </w:trPr>
        <w:tc>
          <w:tcPr>
            <w:tcW w:w="2405" w:type="dxa"/>
            <w:shd w:val="clear" w:color="auto" w:fill="auto"/>
            <w:vAlign w:val="center"/>
          </w:tcPr>
          <w:p w14:paraId="609E4001" w14:textId="77777777" w:rsidR="004D1EA7" w:rsidRPr="00CA4C53" w:rsidRDefault="004D1EA7" w:rsidP="004D1EA7">
            <w:pPr>
              <w:jc w:val="left"/>
              <w:rPr>
                <w:rFonts w:ascii="Arial Narrow" w:hAnsi="Arial Narrow"/>
                <w:iCs/>
                <w:sz w:val="20"/>
                <w:szCs w:val="20"/>
                <w:lang w:val="it-IT"/>
              </w:rPr>
            </w:pPr>
            <w:r w:rsidRPr="00CA4C53">
              <w:rPr>
                <w:rFonts w:ascii="Arial Narrow" w:hAnsi="Arial Narrow"/>
                <w:iCs/>
                <w:sz w:val="20"/>
                <w:szCs w:val="20"/>
                <w:lang w:val="it-IT"/>
              </w:rPr>
              <w:t>MIRI IV 300 mg v PBO (LUCENT 1)</w:t>
            </w:r>
          </w:p>
        </w:tc>
        <w:tc>
          <w:tcPr>
            <w:tcW w:w="1653" w:type="dxa"/>
            <w:shd w:val="clear" w:color="auto" w:fill="auto"/>
            <w:vAlign w:val="center"/>
          </w:tcPr>
          <w:p w14:paraId="320A521D"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hAnsi="Arial Narrow" w:cstheme="minorHAnsi"/>
                <w:sz w:val="20"/>
                <w:szCs w:val="20"/>
              </w:rPr>
              <w:t>15/958 (1.6)</w:t>
            </w:r>
          </w:p>
        </w:tc>
        <w:tc>
          <w:tcPr>
            <w:tcW w:w="1653" w:type="dxa"/>
            <w:shd w:val="clear" w:color="auto" w:fill="auto"/>
            <w:vAlign w:val="center"/>
          </w:tcPr>
          <w:p w14:paraId="50FCDDA7" w14:textId="77777777" w:rsidR="004D1EA7" w:rsidRPr="00CA4C53" w:rsidRDefault="004D1EA7" w:rsidP="004D1EA7">
            <w:pPr>
              <w:jc w:val="center"/>
              <w:rPr>
                <w:rFonts w:ascii="Arial Narrow" w:eastAsiaTheme="minorEastAsia" w:hAnsi="Arial Narrow" w:cs="Times New Roman"/>
                <w:iCs/>
                <w:sz w:val="20"/>
                <w:szCs w:val="20"/>
                <w:lang w:eastAsia="en-US"/>
              </w:rPr>
            </w:pPr>
            <w:r w:rsidRPr="00CA4C53">
              <w:rPr>
                <w:rFonts w:ascii="Arial Narrow" w:eastAsiaTheme="minorEastAsia" w:hAnsi="Arial Narrow" w:cs="Times New Roman"/>
                <w:sz w:val="20"/>
                <w:szCs w:val="20"/>
                <w:lang w:eastAsia="en-US"/>
              </w:rPr>
              <w:t>23/321 (7.2)</w:t>
            </w:r>
          </w:p>
        </w:tc>
        <w:tc>
          <w:tcPr>
            <w:tcW w:w="1653" w:type="dxa"/>
            <w:shd w:val="clear" w:color="auto" w:fill="auto"/>
            <w:vAlign w:val="center"/>
          </w:tcPr>
          <w:p w14:paraId="0FD03593"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b/>
                <w:bCs/>
                <w:iCs/>
                <w:sz w:val="20"/>
                <w:szCs w:val="20"/>
                <w:lang w:eastAsia="en-US"/>
              </w:rPr>
              <w:t>0.22 (0.12, 0.41)</w:t>
            </w:r>
          </w:p>
        </w:tc>
        <w:tc>
          <w:tcPr>
            <w:tcW w:w="1653" w:type="dxa"/>
            <w:shd w:val="clear" w:color="auto" w:fill="auto"/>
            <w:vAlign w:val="center"/>
          </w:tcPr>
          <w:p w14:paraId="41A3FD14"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b/>
                <w:bCs/>
                <w:iCs/>
                <w:sz w:val="20"/>
                <w:szCs w:val="20"/>
                <w:lang w:eastAsia="en-US"/>
              </w:rPr>
              <w:t>-0.06 (-0.09, -0.03)</w:t>
            </w:r>
          </w:p>
        </w:tc>
      </w:tr>
      <w:tr w:rsidR="004D1EA7" w:rsidRPr="00CA4C53" w14:paraId="019914A3" w14:textId="77777777" w:rsidTr="004D1EA7">
        <w:trPr>
          <w:trHeight w:val="70"/>
        </w:trPr>
        <w:tc>
          <w:tcPr>
            <w:tcW w:w="2405" w:type="dxa"/>
            <w:shd w:val="clear" w:color="auto" w:fill="C6D9F1" w:themeFill="text2" w:themeFillTint="33"/>
            <w:vAlign w:val="center"/>
          </w:tcPr>
          <w:p w14:paraId="26D00BC9" w14:textId="77777777" w:rsidR="004D1EA7" w:rsidRPr="00CA4C53" w:rsidRDefault="004D1EA7" w:rsidP="004D1EA7">
            <w:pPr>
              <w:jc w:val="left"/>
              <w:rPr>
                <w:rFonts w:ascii="Arial Narrow" w:eastAsiaTheme="minorEastAsia" w:hAnsi="Arial Narrow" w:cs="Times New Roman"/>
                <w:iCs/>
                <w:sz w:val="20"/>
                <w:szCs w:val="20"/>
                <w:lang w:eastAsia="en-US"/>
              </w:rPr>
            </w:pPr>
            <w:r w:rsidRPr="00CA4C53">
              <w:rPr>
                <w:rFonts w:ascii="Arial Narrow" w:hAnsi="Arial Narrow"/>
                <w:iCs/>
                <w:sz w:val="20"/>
                <w:szCs w:val="20"/>
              </w:rPr>
              <w:t>VDZ IV 300mg v PBO (Motoya)</w:t>
            </w:r>
          </w:p>
        </w:tc>
        <w:tc>
          <w:tcPr>
            <w:tcW w:w="1653" w:type="dxa"/>
            <w:shd w:val="clear" w:color="auto" w:fill="C6D9F1" w:themeFill="text2" w:themeFillTint="33"/>
            <w:vAlign w:val="center"/>
          </w:tcPr>
          <w:p w14:paraId="1660F23E"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iCs/>
                <w:sz w:val="20"/>
                <w:szCs w:val="20"/>
                <w:lang w:eastAsia="en-US"/>
              </w:rPr>
              <w:t>8/164 (4.9)</w:t>
            </w:r>
          </w:p>
        </w:tc>
        <w:tc>
          <w:tcPr>
            <w:tcW w:w="1653" w:type="dxa"/>
            <w:shd w:val="clear" w:color="auto" w:fill="C6D9F1" w:themeFill="text2" w:themeFillTint="33"/>
            <w:vAlign w:val="center"/>
          </w:tcPr>
          <w:p w14:paraId="2039EE4C" w14:textId="77777777" w:rsidR="004D1EA7" w:rsidRPr="00CA4C53" w:rsidRDefault="004D1EA7" w:rsidP="004D1EA7">
            <w:pPr>
              <w:jc w:val="center"/>
              <w:rPr>
                <w:rFonts w:ascii="Arial Narrow" w:eastAsiaTheme="minorEastAsia" w:hAnsi="Arial Narrow" w:cs="Times New Roman"/>
                <w:iCs/>
                <w:sz w:val="20"/>
                <w:szCs w:val="20"/>
                <w:lang w:eastAsia="en-US"/>
              </w:rPr>
            </w:pPr>
            <w:r w:rsidRPr="00CA4C53">
              <w:rPr>
                <w:rFonts w:ascii="Arial Narrow" w:eastAsiaTheme="minorEastAsia" w:hAnsi="Arial Narrow" w:cs="Times New Roman"/>
                <w:iCs/>
                <w:sz w:val="20"/>
                <w:szCs w:val="20"/>
                <w:lang w:eastAsia="en-US"/>
              </w:rPr>
              <w:t>2/82 (2.4)</w:t>
            </w:r>
          </w:p>
        </w:tc>
        <w:tc>
          <w:tcPr>
            <w:tcW w:w="1653" w:type="dxa"/>
            <w:shd w:val="clear" w:color="auto" w:fill="C6D9F1" w:themeFill="text2" w:themeFillTint="33"/>
            <w:vAlign w:val="center"/>
          </w:tcPr>
          <w:p w14:paraId="69778ECE"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2.00 (0.43, 9.21)</w:t>
            </w:r>
          </w:p>
        </w:tc>
        <w:tc>
          <w:tcPr>
            <w:tcW w:w="1653" w:type="dxa"/>
            <w:shd w:val="clear" w:color="auto" w:fill="C6D9F1" w:themeFill="text2" w:themeFillTint="33"/>
            <w:vAlign w:val="center"/>
          </w:tcPr>
          <w:p w14:paraId="2AAE73B1"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0.02 (-0.02, 0.07)</w:t>
            </w:r>
          </w:p>
        </w:tc>
      </w:tr>
      <w:tr w:rsidR="004D1EA7" w:rsidRPr="00CA4C53" w14:paraId="00DFA3A4" w14:textId="77777777" w:rsidTr="004D1EA7">
        <w:trPr>
          <w:trHeight w:val="70"/>
        </w:trPr>
        <w:tc>
          <w:tcPr>
            <w:tcW w:w="2405" w:type="dxa"/>
            <w:shd w:val="clear" w:color="auto" w:fill="C6D9F1" w:themeFill="text2" w:themeFillTint="33"/>
            <w:vAlign w:val="center"/>
          </w:tcPr>
          <w:p w14:paraId="68B961B1" w14:textId="77777777" w:rsidR="004D1EA7" w:rsidRPr="00CA4C53" w:rsidRDefault="004D1EA7" w:rsidP="004D1EA7">
            <w:pPr>
              <w:jc w:val="left"/>
              <w:rPr>
                <w:rFonts w:ascii="Arial Narrow" w:hAnsi="Arial Narrow"/>
                <w:iCs/>
                <w:sz w:val="20"/>
                <w:szCs w:val="20"/>
                <w:lang w:val="it-IT"/>
              </w:rPr>
            </w:pPr>
            <w:r w:rsidRPr="00CA4C53">
              <w:rPr>
                <w:rFonts w:ascii="Arial Narrow" w:hAnsi="Arial Narrow"/>
                <w:iCs/>
                <w:sz w:val="20"/>
                <w:szCs w:val="20"/>
                <w:lang w:val="it-IT"/>
              </w:rPr>
              <w:t>ADA 160-&gt;80mg v PBO (MA: ULTRA-1, Suzuki)</w:t>
            </w:r>
          </w:p>
        </w:tc>
        <w:tc>
          <w:tcPr>
            <w:tcW w:w="1653" w:type="dxa"/>
            <w:shd w:val="clear" w:color="auto" w:fill="C6D9F1" w:themeFill="text2" w:themeFillTint="33"/>
            <w:vAlign w:val="center"/>
          </w:tcPr>
          <w:p w14:paraId="2AE5B126"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iCs/>
                <w:sz w:val="20"/>
                <w:szCs w:val="20"/>
                <w:lang w:eastAsia="en-US"/>
              </w:rPr>
              <w:t>18/313 (5.8)</w:t>
            </w:r>
          </w:p>
        </w:tc>
        <w:tc>
          <w:tcPr>
            <w:tcW w:w="1653" w:type="dxa"/>
            <w:shd w:val="clear" w:color="auto" w:fill="C6D9F1" w:themeFill="text2" w:themeFillTint="33"/>
            <w:vAlign w:val="center"/>
          </w:tcPr>
          <w:p w14:paraId="48C9C8AF"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iCs/>
                <w:sz w:val="20"/>
                <w:szCs w:val="20"/>
                <w:lang w:eastAsia="en-US"/>
              </w:rPr>
              <w:t>16/319 (5.0)</w:t>
            </w:r>
          </w:p>
        </w:tc>
        <w:tc>
          <w:tcPr>
            <w:tcW w:w="1653" w:type="dxa"/>
            <w:shd w:val="clear" w:color="auto" w:fill="C6D9F1" w:themeFill="text2" w:themeFillTint="33"/>
            <w:vAlign w:val="center"/>
          </w:tcPr>
          <w:p w14:paraId="0024BF2A"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bCs/>
                <w:iCs/>
                <w:sz w:val="20"/>
                <w:szCs w:val="20"/>
                <w:lang w:eastAsia="en-US"/>
              </w:rPr>
              <w:t>1.14 (0.59, 2.21)</w:t>
            </w:r>
          </w:p>
        </w:tc>
        <w:tc>
          <w:tcPr>
            <w:tcW w:w="1653" w:type="dxa"/>
            <w:shd w:val="clear" w:color="auto" w:fill="C6D9F1" w:themeFill="text2" w:themeFillTint="33"/>
            <w:vAlign w:val="center"/>
          </w:tcPr>
          <w:p w14:paraId="1CC65CB7"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bCs/>
                <w:iCs/>
                <w:sz w:val="20"/>
                <w:szCs w:val="20"/>
                <w:lang w:eastAsia="en-US"/>
              </w:rPr>
              <w:t>0.01 (-0.03, 0.04)</w:t>
            </w:r>
          </w:p>
        </w:tc>
      </w:tr>
      <w:tr w:rsidR="004D1EA7" w:rsidRPr="00CA4C53" w14:paraId="13160433" w14:textId="77777777" w:rsidTr="0079393D">
        <w:trPr>
          <w:trHeight w:val="70"/>
        </w:trPr>
        <w:tc>
          <w:tcPr>
            <w:tcW w:w="2405" w:type="dxa"/>
            <w:shd w:val="clear" w:color="auto" w:fill="C6D9F1" w:themeFill="text2" w:themeFillTint="33"/>
            <w:vAlign w:val="center"/>
          </w:tcPr>
          <w:p w14:paraId="1E956D33" w14:textId="77777777" w:rsidR="004D1EA7" w:rsidRPr="00CA4C53" w:rsidRDefault="004D1EA7" w:rsidP="004D1EA7">
            <w:pPr>
              <w:jc w:val="left"/>
              <w:rPr>
                <w:rFonts w:ascii="Arial Narrow" w:hAnsi="Arial Narrow"/>
                <w:iCs/>
                <w:sz w:val="20"/>
                <w:szCs w:val="20"/>
                <w:lang w:val="it-IT"/>
              </w:rPr>
            </w:pPr>
            <w:r w:rsidRPr="00CA4C53">
              <w:rPr>
                <w:rFonts w:ascii="Arial Narrow" w:hAnsi="Arial Narrow"/>
                <w:iCs/>
                <w:sz w:val="20"/>
                <w:szCs w:val="20"/>
                <w:lang w:val="it-IT"/>
              </w:rPr>
              <w:t>UST IV ~ 6mg/kg v PBO (UNIFI)</w:t>
            </w:r>
          </w:p>
        </w:tc>
        <w:tc>
          <w:tcPr>
            <w:tcW w:w="1653" w:type="dxa"/>
            <w:shd w:val="clear" w:color="auto" w:fill="C6D9F1" w:themeFill="text2" w:themeFillTint="33"/>
            <w:vAlign w:val="center"/>
          </w:tcPr>
          <w:p w14:paraId="658AEDDB" w14:textId="77777777" w:rsidR="004D1EA7" w:rsidRPr="00FD140C" w:rsidRDefault="004D1EA7" w:rsidP="004D1EA7">
            <w:pPr>
              <w:jc w:val="center"/>
              <w:rPr>
                <w:rFonts w:ascii="Arial Narrow" w:eastAsiaTheme="minorEastAsia" w:hAnsi="Arial Narrow" w:cs="Times New Roman"/>
                <w:bCs/>
                <w:sz w:val="20"/>
                <w:szCs w:val="20"/>
                <w:lang w:eastAsia="en-US"/>
              </w:rPr>
            </w:pPr>
            <w:r w:rsidRPr="00FD140C">
              <w:rPr>
                <w:rFonts w:ascii="Arial Narrow" w:hAnsi="Arial Narrow" w:cstheme="minorHAnsi"/>
                <w:sz w:val="20"/>
                <w:szCs w:val="20"/>
              </w:rPr>
              <w:t>1/320 (0.3)</w:t>
            </w:r>
          </w:p>
        </w:tc>
        <w:tc>
          <w:tcPr>
            <w:tcW w:w="1653" w:type="dxa"/>
            <w:shd w:val="clear" w:color="auto" w:fill="C6D9F1" w:themeFill="text2" w:themeFillTint="33"/>
            <w:vAlign w:val="center"/>
          </w:tcPr>
          <w:p w14:paraId="1DD3D5F9" w14:textId="77777777" w:rsidR="004D1EA7" w:rsidRPr="00FD140C" w:rsidRDefault="004D1EA7" w:rsidP="004D1EA7">
            <w:pPr>
              <w:jc w:val="center"/>
              <w:rPr>
                <w:rFonts w:ascii="Arial Narrow" w:eastAsiaTheme="minorEastAsia" w:hAnsi="Arial Narrow" w:cs="Times New Roman"/>
                <w:bCs/>
                <w:sz w:val="20"/>
                <w:szCs w:val="20"/>
                <w:lang w:eastAsia="en-US"/>
              </w:rPr>
            </w:pPr>
            <w:r w:rsidRPr="00FD140C">
              <w:rPr>
                <w:rFonts w:ascii="Arial Narrow" w:eastAsiaTheme="minorEastAsia" w:hAnsi="Arial Narrow" w:cs="Times New Roman"/>
                <w:sz w:val="20"/>
                <w:szCs w:val="20"/>
                <w:lang w:eastAsia="en-US"/>
              </w:rPr>
              <w:t>3/319 (0.9)</w:t>
            </w:r>
          </w:p>
        </w:tc>
        <w:tc>
          <w:tcPr>
            <w:tcW w:w="1653" w:type="dxa"/>
            <w:shd w:val="clear" w:color="auto" w:fill="C6D9F1" w:themeFill="text2" w:themeFillTint="33"/>
            <w:vAlign w:val="center"/>
          </w:tcPr>
          <w:p w14:paraId="62C4605C" w14:textId="77777777" w:rsidR="004D1EA7" w:rsidRPr="00BD47FB" w:rsidRDefault="004D1EA7" w:rsidP="004D1EA7">
            <w:pPr>
              <w:jc w:val="center"/>
              <w:rPr>
                <w:rFonts w:ascii="Arial Narrow" w:eastAsiaTheme="minorEastAsia" w:hAnsi="Arial Narrow" w:cs="Times New Roman"/>
                <w:bCs/>
                <w:iCs/>
                <w:sz w:val="20"/>
                <w:szCs w:val="20"/>
                <w:lang w:eastAsia="en-US"/>
              </w:rPr>
            </w:pPr>
            <w:r w:rsidRPr="00BD47FB">
              <w:rPr>
                <w:rFonts w:ascii="Arial Narrow" w:eastAsiaTheme="minorEastAsia" w:hAnsi="Arial Narrow" w:cs="Times New Roman"/>
                <w:iCs/>
                <w:sz w:val="20"/>
                <w:szCs w:val="20"/>
                <w:lang w:eastAsia="en-US"/>
              </w:rPr>
              <w:t>0.33 (0.03, 3.18)</w:t>
            </w:r>
          </w:p>
        </w:tc>
        <w:tc>
          <w:tcPr>
            <w:tcW w:w="1653" w:type="dxa"/>
            <w:shd w:val="clear" w:color="auto" w:fill="C6D9F1" w:themeFill="text2" w:themeFillTint="33"/>
            <w:vAlign w:val="center"/>
          </w:tcPr>
          <w:p w14:paraId="22B19E63" w14:textId="77777777" w:rsidR="004D1EA7" w:rsidRPr="00BD47FB" w:rsidRDefault="004D1EA7" w:rsidP="004D1EA7">
            <w:pPr>
              <w:jc w:val="center"/>
              <w:rPr>
                <w:rFonts w:ascii="Arial Narrow" w:eastAsiaTheme="minorEastAsia" w:hAnsi="Arial Narrow" w:cs="Times New Roman"/>
                <w:bCs/>
                <w:iCs/>
                <w:sz w:val="20"/>
                <w:szCs w:val="20"/>
                <w:lang w:eastAsia="en-US"/>
              </w:rPr>
            </w:pPr>
            <w:r w:rsidRPr="00BD47FB">
              <w:rPr>
                <w:rFonts w:ascii="Arial Narrow" w:eastAsiaTheme="minorEastAsia" w:hAnsi="Arial Narrow" w:cs="Times New Roman"/>
                <w:iCs/>
                <w:sz w:val="20"/>
                <w:szCs w:val="20"/>
                <w:lang w:eastAsia="en-US"/>
              </w:rPr>
              <w:t>-0.01 (-0.02, 0.01)</w:t>
            </w:r>
          </w:p>
        </w:tc>
      </w:tr>
      <w:tr w:rsidR="004D1EA7" w:rsidRPr="00CA4C53" w14:paraId="30538D50" w14:textId="77777777" w:rsidTr="004D1EA7">
        <w:trPr>
          <w:trHeight w:val="119"/>
        </w:trPr>
        <w:tc>
          <w:tcPr>
            <w:tcW w:w="9017" w:type="dxa"/>
            <w:gridSpan w:val="5"/>
            <w:shd w:val="clear" w:color="auto" w:fill="auto"/>
            <w:vAlign w:val="center"/>
          </w:tcPr>
          <w:p w14:paraId="4EABCFE6" w14:textId="77777777" w:rsidR="004D1EA7" w:rsidRPr="00BD47FB" w:rsidRDefault="004D1EA7" w:rsidP="004D1EA7">
            <w:pPr>
              <w:jc w:val="left"/>
              <w:rPr>
                <w:rFonts w:ascii="Arial Narrow" w:eastAsiaTheme="minorEastAsia" w:hAnsi="Arial Narrow" w:cs="Times New Roman"/>
                <w:b/>
                <w:bCs/>
                <w:iCs/>
                <w:sz w:val="20"/>
                <w:szCs w:val="20"/>
                <w:lang w:eastAsia="en-US"/>
              </w:rPr>
            </w:pPr>
            <w:r w:rsidRPr="00BD47FB">
              <w:rPr>
                <w:rFonts w:ascii="Arial Narrow" w:eastAsiaTheme="minorEastAsia" w:hAnsi="Arial Narrow" w:cs="Times New Roman"/>
                <w:b/>
                <w:bCs/>
                <w:iCs/>
                <w:sz w:val="20"/>
                <w:szCs w:val="20"/>
                <w:lang w:eastAsia="en-US"/>
              </w:rPr>
              <w:t>Serious Infections</w:t>
            </w:r>
          </w:p>
        </w:tc>
      </w:tr>
      <w:tr w:rsidR="004D1EA7" w:rsidRPr="00CA4C53" w14:paraId="28F4A254" w14:textId="77777777" w:rsidTr="0079393D">
        <w:trPr>
          <w:trHeight w:val="70"/>
        </w:trPr>
        <w:tc>
          <w:tcPr>
            <w:tcW w:w="2405" w:type="dxa"/>
            <w:shd w:val="clear" w:color="auto" w:fill="auto"/>
            <w:vAlign w:val="center"/>
          </w:tcPr>
          <w:p w14:paraId="1060F8FA" w14:textId="77777777" w:rsidR="004D1EA7" w:rsidRPr="00CA4C53" w:rsidRDefault="004D1EA7" w:rsidP="004D1EA7">
            <w:pPr>
              <w:jc w:val="left"/>
              <w:rPr>
                <w:rFonts w:ascii="Arial Narrow" w:hAnsi="Arial Narrow"/>
                <w:iCs/>
                <w:sz w:val="20"/>
                <w:szCs w:val="20"/>
                <w:lang w:val="it-IT"/>
              </w:rPr>
            </w:pPr>
            <w:r w:rsidRPr="00CA4C53">
              <w:rPr>
                <w:rFonts w:ascii="Arial Narrow" w:hAnsi="Arial Narrow"/>
                <w:iCs/>
                <w:sz w:val="20"/>
                <w:szCs w:val="20"/>
                <w:lang w:val="it-IT"/>
              </w:rPr>
              <w:t>MIRI IV 300 mg v PBO (LUCENT 1)</w:t>
            </w:r>
          </w:p>
        </w:tc>
        <w:tc>
          <w:tcPr>
            <w:tcW w:w="1653" w:type="dxa"/>
            <w:shd w:val="clear" w:color="auto" w:fill="auto"/>
            <w:vAlign w:val="center"/>
          </w:tcPr>
          <w:p w14:paraId="733C4A29" w14:textId="77777777" w:rsidR="004D1EA7" w:rsidRPr="00FD140C" w:rsidRDefault="004D1EA7" w:rsidP="004D1EA7">
            <w:pPr>
              <w:jc w:val="center"/>
              <w:rPr>
                <w:rFonts w:ascii="Arial Narrow" w:eastAsiaTheme="minorEastAsia" w:hAnsi="Arial Narrow" w:cs="Times New Roman"/>
                <w:bCs/>
                <w:sz w:val="20"/>
                <w:szCs w:val="20"/>
                <w:lang w:eastAsia="en-US"/>
              </w:rPr>
            </w:pPr>
            <w:r w:rsidRPr="00FD140C">
              <w:rPr>
                <w:rFonts w:ascii="Arial Narrow" w:hAnsi="Arial Narrow" w:cstheme="minorHAnsi"/>
                <w:sz w:val="20"/>
                <w:szCs w:val="20"/>
              </w:rPr>
              <w:t>7/958 (0.7)</w:t>
            </w:r>
          </w:p>
        </w:tc>
        <w:tc>
          <w:tcPr>
            <w:tcW w:w="1653" w:type="dxa"/>
            <w:shd w:val="clear" w:color="auto" w:fill="auto"/>
            <w:vAlign w:val="center"/>
          </w:tcPr>
          <w:p w14:paraId="6AF601B3" w14:textId="77777777" w:rsidR="004D1EA7" w:rsidRPr="00FD140C" w:rsidRDefault="004D1EA7" w:rsidP="004D1EA7">
            <w:pPr>
              <w:jc w:val="center"/>
              <w:rPr>
                <w:rFonts w:ascii="Arial Narrow" w:eastAsiaTheme="minorEastAsia" w:hAnsi="Arial Narrow" w:cs="Times New Roman"/>
                <w:bCs/>
                <w:sz w:val="20"/>
                <w:szCs w:val="20"/>
                <w:lang w:eastAsia="en-US"/>
              </w:rPr>
            </w:pPr>
            <w:r w:rsidRPr="00FD140C">
              <w:rPr>
                <w:rFonts w:ascii="Arial Narrow" w:hAnsi="Arial Narrow" w:cstheme="minorHAnsi"/>
                <w:sz w:val="20"/>
                <w:szCs w:val="20"/>
              </w:rPr>
              <w:t>2/321 (0.6)</w:t>
            </w:r>
          </w:p>
        </w:tc>
        <w:tc>
          <w:tcPr>
            <w:tcW w:w="1653" w:type="dxa"/>
            <w:shd w:val="clear" w:color="auto" w:fill="auto"/>
            <w:vAlign w:val="center"/>
          </w:tcPr>
          <w:p w14:paraId="7AAC2523"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1.17 (0.24, 5.62)</w:t>
            </w:r>
          </w:p>
        </w:tc>
        <w:tc>
          <w:tcPr>
            <w:tcW w:w="1653" w:type="dxa"/>
            <w:shd w:val="clear" w:color="auto" w:fill="auto"/>
            <w:vAlign w:val="center"/>
          </w:tcPr>
          <w:p w14:paraId="3919AC52"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0.00 (-0.01, 0.01)</w:t>
            </w:r>
          </w:p>
        </w:tc>
      </w:tr>
      <w:tr w:rsidR="004D1EA7" w:rsidRPr="00CA4C53" w14:paraId="76F97487" w14:textId="77777777" w:rsidTr="004D1EA7">
        <w:trPr>
          <w:trHeight w:val="70"/>
        </w:trPr>
        <w:tc>
          <w:tcPr>
            <w:tcW w:w="2405" w:type="dxa"/>
            <w:shd w:val="clear" w:color="auto" w:fill="C6D9F1" w:themeFill="text2" w:themeFillTint="33"/>
            <w:vAlign w:val="center"/>
          </w:tcPr>
          <w:p w14:paraId="4C043081" w14:textId="77777777" w:rsidR="004D1EA7" w:rsidRPr="00CA4C53" w:rsidRDefault="004D1EA7" w:rsidP="004D1EA7">
            <w:pPr>
              <w:jc w:val="left"/>
              <w:rPr>
                <w:rFonts w:ascii="Arial Narrow" w:eastAsiaTheme="minorEastAsia" w:hAnsi="Arial Narrow" w:cs="Times New Roman"/>
                <w:sz w:val="20"/>
                <w:szCs w:val="20"/>
                <w:lang w:val="it-IT" w:eastAsia="en-US"/>
              </w:rPr>
            </w:pPr>
            <w:r w:rsidRPr="00CA4C53">
              <w:rPr>
                <w:rFonts w:ascii="Arial Narrow" w:hAnsi="Arial Narrow"/>
                <w:iCs/>
                <w:sz w:val="20"/>
                <w:szCs w:val="20"/>
                <w:lang w:val="it-IT"/>
              </w:rPr>
              <w:t>VDZ IV 300mg v PBO (MA: GEMINI-1, Motoya)</w:t>
            </w:r>
          </w:p>
        </w:tc>
        <w:tc>
          <w:tcPr>
            <w:tcW w:w="1653" w:type="dxa"/>
            <w:shd w:val="clear" w:color="auto" w:fill="C6D9F1" w:themeFill="text2" w:themeFillTint="33"/>
            <w:vAlign w:val="center"/>
          </w:tcPr>
          <w:p w14:paraId="57C5A359" w14:textId="77777777" w:rsidR="004D1EA7" w:rsidRPr="00CA4C53" w:rsidRDefault="004D1EA7" w:rsidP="004D1EA7">
            <w:pPr>
              <w:jc w:val="center"/>
              <w:rPr>
                <w:rFonts w:ascii="Arial Narrow" w:eastAsiaTheme="minorEastAsia" w:hAnsi="Arial Narrow" w:cs="Times New Roman"/>
                <w:bCs/>
                <w:sz w:val="20"/>
                <w:szCs w:val="20"/>
                <w:lang w:eastAsia="en-US"/>
              </w:rPr>
            </w:pPr>
            <w:r w:rsidRPr="00CA4C53">
              <w:rPr>
                <w:rFonts w:ascii="Arial Narrow" w:eastAsiaTheme="minorEastAsia" w:hAnsi="Arial Narrow" w:cs="Times New Roman"/>
                <w:bCs/>
                <w:iCs/>
                <w:sz w:val="20"/>
                <w:szCs w:val="20"/>
                <w:lang w:eastAsia="en-US"/>
              </w:rPr>
              <w:t>2/389 (0.5)</w:t>
            </w:r>
          </w:p>
        </w:tc>
        <w:tc>
          <w:tcPr>
            <w:tcW w:w="1653" w:type="dxa"/>
            <w:shd w:val="clear" w:color="auto" w:fill="C6D9F1" w:themeFill="text2" w:themeFillTint="33"/>
            <w:vAlign w:val="center"/>
          </w:tcPr>
          <w:p w14:paraId="5418690B" w14:textId="77777777" w:rsidR="004D1EA7" w:rsidRPr="00CA4C53" w:rsidRDefault="004D1EA7" w:rsidP="004D1EA7">
            <w:pPr>
              <w:jc w:val="center"/>
              <w:rPr>
                <w:rFonts w:ascii="Arial Narrow" w:eastAsiaTheme="minorEastAsia" w:hAnsi="Arial Narrow" w:cs="Times New Roman"/>
                <w:bCs/>
                <w:sz w:val="20"/>
                <w:szCs w:val="20"/>
                <w:lang w:eastAsia="en-US"/>
              </w:rPr>
            </w:pPr>
            <w:r w:rsidRPr="00CA4C53">
              <w:rPr>
                <w:rFonts w:ascii="Arial Narrow" w:eastAsiaTheme="minorEastAsia" w:hAnsi="Arial Narrow" w:cs="Times New Roman"/>
                <w:bCs/>
                <w:iCs/>
                <w:sz w:val="20"/>
                <w:szCs w:val="20"/>
                <w:lang w:eastAsia="en-US"/>
              </w:rPr>
              <w:t>5/231 (2.2)</w:t>
            </w:r>
          </w:p>
        </w:tc>
        <w:tc>
          <w:tcPr>
            <w:tcW w:w="1653" w:type="dxa"/>
            <w:shd w:val="clear" w:color="auto" w:fill="C6D9F1" w:themeFill="text2" w:themeFillTint="33"/>
            <w:vAlign w:val="center"/>
          </w:tcPr>
          <w:p w14:paraId="4782B16C"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0.23 (0.05, 1.20)</w:t>
            </w:r>
          </w:p>
        </w:tc>
        <w:tc>
          <w:tcPr>
            <w:tcW w:w="1653" w:type="dxa"/>
            <w:shd w:val="clear" w:color="auto" w:fill="C6D9F1" w:themeFill="text2" w:themeFillTint="33"/>
            <w:vAlign w:val="center"/>
          </w:tcPr>
          <w:p w14:paraId="7BDD61AF"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-0.02 (-0.04, 0.00)</w:t>
            </w:r>
          </w:p>
        </w:tc>
      </w:tr>
      <w:tr w:rsidR="004D1EA7" w:rsidRPr="00CA4C53" w14:paraId="2864B389" w14:textId="77777777" w:rsidTr="004D1EA7">
        <w:trPr>
          <w:trHeight w:val="70"/>
        </w:trPr>
        <w:tc>
          <w:tcPr>
            <w:tcW w:w="2405" w:type="dxa"/>
            <w:shd w:val="clear" w:color="auto" w:fill="C6D9F1" w:themeFill="text2" w:themeFillTint="33"/>
            <w:vAlign w:val="center"/>
          </w:tcPr>
          <w:p w14:paraId="5AF845EB" w14:textId="77777777" w:rsidR="004D1EA7" w:rsidRPr="00CA4C53" w:rsidRDefault="004D1EA7" w:rsidP="004D1EA7">
            <w:pPr>
              <w:jc w:val="left"/>
              <w:rPr>
                <w:rFonts w:ascii="Arial Narrow" w:hAnsi="Arial Narrow"/>
                <w:iCs/>
                <w:sz w:val="20"/>
                <w:szCs w:val="20"/>
                <w:lang w:val="it-IT"/>
              </w:rPr>
            </w:pPr>
            <w:r w:rsidRPr="00CA4C53">
              <w:rPr>
                <w:rFonts w:ascii="Arial Narrow" w:hAnsi="Arial Narrow"/>
                <w:iCs/>
                <w:sz w:val="20"/>
                <w:szCs w:val="20"/>
                <w:lang w:val="it-IT"/>
              </w:rPr>
              <w:t>ADA 160-&gt;80mg v PBO (MA: ULTRA-1, Suzuki)</w:t>
            </w:r>
          </w:p>
        </w:tc>
        <w:tc>
          <w:tcPr>
            <w:tcW w:w="1653" w:type="dxa"/>
            <w:shd w:val="clear" w:color="auto" w:fill="C6D9F1" w:themeFill="text2" w:themeFillTint="33"/>
            <w:vAlign w:val="center"/>
          </w:tcPr>
          <w:p w14:paraId="019F315A"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sz w:val="20"/>
                <w:szCs w:val="20"/>
                <w:lang w:eastAsia="en-US"/>
              </w:rPr>
              <w:t>3/313 (1.0)</w:t>
            </w:r>
          </w:p>
        </w:tc>
        <w:tc>
          <w:tcPr>
            <w:tcW w:w="1653" w:type="dxa"/>
            <w:shd w:val="clear" w:color="auto" w:fill="C6D9F1" w:themeFill="text2" w:themeFillTint="33"/>
            <w:vAlign w:val="center"/>
          </w:tcPr>
          <w:p w14:paraId="5334E92A" w14:textId="77777777" w:rsidR="004D1EA7" w:rsidRPr="00CA4C53" w:rsidRDefault="004D1EA7" w:rsidP="004D1EA7">
            <w:pPr>
              <w:jc w:val="center"/>
              <w:rPr>
                <w:rFonts w:ascii="Arial Narrow" w:eastAsiaTheme="minorEastAsia" w:hAnsi="Arial Narrow" w:cs="Times New Roman"/>
                <w:bCs/>
                <w:iCs/>
                <w:sz w:val="20"/>
                <w:szCs w:val="20"/>
                <w:lang w:eastAsia="en-US"/>
              </w:rPr>
            </w:pPr>
            <w:r w:rsidRPr="00CA4C53">
              <w:rPr>
                <w:rFonts w:ascii="Arial Narrow" w:eastAsiaTheme="minorEastAsia" w:hAnsi="Arial Narrow" w:cs="Times New Roman"/>
                <w:bCs/>
                <w:sz w:val="20"/>
                <w:szCs w:val="20"/>
                <w:lang w:eastAsia="en-US"/>
              </w:rPr>
              <w:t>3/319 (0.9)</w:t>
            </w:r>
          </w:p>
        </w:tc>
        <w:tc>
          <w:tcPr>
            <w:tcW w:w="1653" w:type="dxa"/>
            <w:shd w:val="clear" w:color="auto" w:fill="C6D9F1" w:themeFill="text2" w:themeFillTint="33"/>
            <w:vAlign w:val="center"/>
          </w:tcPr>
          <w:p w14:paraId="2FE1D530"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1.03 (0.02, 49.90)</w:t>
            </w:r>
          </w:p>
        </w:tc>
        <w:tc>
          <w:tcPr>
            <w:tcW w:w="1653" w:type="dxa"/>
            <w:shd w:val="clear" w:color="auto" w:fill="C6D9F1" w:themeFill="text2" w:themeFillTint="33"/>
            <w:vAlign w:val="center"/>
          </w:tcPr>
          <w:p w14:paraId="05BC6B15"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0.01 (-0.42, 0.06)</w:t>
            </w:r>
          </w:p>
        </w:tc>
      </w:tr>
      <w:tr w:rsidR="004D1EA7" w:rsidRPr="00CA4C53" w14:paraId="49542976" w14:textId="77777777" w:rsidTr="0079393D">
        <w:trPr>
          <w:trHeight w:val="70"/>
        </w:trPr>
        <w:tc>
          <w:tcPr>
            <w:tcW w:w="2405" w:type="dxa"/>
            <w:shd w:val="clear" w:color="auto" w:fill="C6D9F1" w:themeFill="text2" w:themeFillTint="33"/>
            <w:vAlign w:val="center"/>
          </w:tcPr>
          <w:p w14:paraId="3A485D5F" w14:textId="77777777" w:rsidR="004D1EA7" w:rsidRPr="00CA4C53" w:rsidRDefault="004D1EA7" w:rsidP="004D1EA7">
            <w:pPr>
              <w:jc w:val="left"/>
              <w:rPr>
                <w:rFonts w:ascii="Arial Narrow" w:hAnsi="Arial Narrow"/>
                <w:iCs/>
                <w:sz w:val="20"/>
                <w:szCs w:val="20"/>
                <w:lang w:val="it-IT"/>
              </w:rPr>
            </w:pPr>
            <w:r w:rsidRPr="00CA4C53">
              <w:rPr>
                <w:rFonts w:ascii="Arial Narrow" w:hAnsi="Arial Narrow"/>
                <w:iCs/>
                <w:sz w:val="20"/>
                <w:szCs w:val="20"/>
                <w:lang w:val="it-IT"/>
              </w:rPr>
              <w:t>UST IV ~ 6mg/kg v PBO (UNIFI)</w:t>
            </w:r>
          </w:p>
        </w:tc>
        <w:tc>
          <w:tcPr>
            <w:tcW w:w="1653" w:type="dxa"/>
            <w:shd w:val="clear" w:color="auto" w:fill="C6D9F1" w:themeFill="text2" w:themeFillTint="33"/>
            <w:vAlign w:val="center"/>
          </w:tcPr>
          <w:p w14:paraId="0532CDBF" w14:textId="77777777" w:rsidR="004D1EA7" w:rsidRPr="00CA4C53" w:rsidRDefault="004D1EA7" w:rsidP="004D1EA7">
            <w:pPr>
              <w:jc w:val="center"/>
              <w:rPr>
                <w:rFonts w:ascii="Arial Narrow" w:eastAsiaTheme="minorEastAsia" w:hAnsi="Arial Narrow" w:cs="Times New Roman"/>
                <w:bCs/>
                <w:sz w:val="20"/>
                <w:szCs w:val="20"/>
                <w:lang w:eastAsia="en-US"/>
              </w:rPr>
            </w:pPr>
            <w:r w:rsidRPr="00CA4C53">
              <w:rPr>
                <w:rFonts w:ascii="Arial Narrow" w:hAnsi="Arial Narrow" w:cstheme="minorHAnsi"/>
                <w:sz w:val="20"/>
                <w:szCs w:val="20"/>
              </w:rPr>
              <w:t>1/320 (0.3)</w:t>
            </w:r>
          </w:p>
        </w:tc>
        <w:tc>
          <w:tcPr>
            <w:tcW w:w="1653" w:type="dxa"/>
            <w:shd w:val="clear" w:color="auto" w:fill="C6D9F1" w:themeFill="text2" w:themeFillTint="33"/>
            <w:vAlign w:val="center"/>
          </w:tcPr>
          <w:p w14:paraId="090BCFC3" w14:textId="77777777" w:rsidR="004D1EA7" w:rsidRPr="00CA4C53" w:rsidRDefault="004D1EA7" w:rsidP="004D1EA7">
            <w:pPr>
              <w:jc w:val="center"/>
              <w:rPr>
                <w:rFonts w:ascii="Arial Narrow" w:eastAsiaTheme="minorEastAsia" w:hAnsi="Arial Narrow" w:cs="Times New Roman"/>
                <w:bCs/>
                <w:sz w:val="20"/>
                <w:szCs w:val="20"/>
                <w:lang w:eastAsia="en-US"/>
              </w:rPr>
            </w:pPr>
            <w:r w:rsidRPr="00CA4C53">
              <w:rPr>
                <w:rFonts w:ascii="Arial Narrow" w:hAnsi="Arial Narrow" w:cstheme="minorHAnsi"/>
                <w:sz w:val="20"/>
                <w:szCs w:val="20"/>
              </w:rPr>
              <w:t>4/319 (1.3)</w:t>
            </w:r>
          </w:p>
        </w:tc>
        <w:tc>
          <w:tcPr>
            <w:tcW w:w="1653" w:type="dxa"/>
            <w:shd w:val="clear" w:color="auto" w:fill="C6D9F1" w:themeFill="text2" w:themeFillTint="33"/>
            <w:vAlign w:val="center"/>
          </w:tcPr>
          <w:p w14:paraId="252E283C"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0.25 (0.03, 2.22)</w:t>
            </w:r>
          </w:p>
        </w:tc>
        <w:tc>
          <w:tcPr>
            <w:tcW w:w="1653" w:type="dxa"/>
            <w:shd w:val="clear" w:color="auto" w:fill="C6D9F1" w:themeFill="text2" w:themeFillTint="33"/>
            <w:vAlign w:val="center"/>
          </w:tcPr>
          <w:p w14:paraId="76CA48B4" w14:textId="77777777" w:rsidR="004D1EA7" w:rsidRPr="00BD47FB" w:rsidRDefault="004D1EA7" w:rsidP="004D1EA7">
            <w:pPr>
              <w:jc w:val="center"/>
              <w:rPr>
                <w:rFonts w:ascii="Arial Narrow" w:eastAsiaTheme="minorEastAsia" w:hAnsi="Arial Narrow" w:cs="Times New Roman"/>
                <w:iCs/>
                <w:sz w:val="20"/>
                <w:szCs w:val="20"/>
                <w:lang w:eastAsia="en-US"/>
              </w:rPr>
            </w:pPr>
            <w:r w:rsidRPr="00BD47FB">
              <w:rPr>
                <w:rFonts w:ascii="Arial Narrow" w:eastAsiaTheme="minorEastAsia" w:hAnsi="Arial Narrow" w:cs="Times New Roman"/>
                <w:iCs/>
                <w:sz w:val="20"/>
                <w:szCs w:val="20"/>
                <w:lang w:eastAsia="en-US"/>
              </w:rPr>
              <w:t>-0.01 (-0.02, 0.00)</w:t>
            </w:r>
          </w:p>
        </w:tc>
      </w:tr>
    </w:tbl>
    <w:p w14:paraId="3CC76850" w14:textId="77777777" w:rsidR="004D1EA7" w:rsidRPr="003E614F" w:rsidRDefault="004D1EA7" w:rsidP="004D1EA7">
      <w:pPr>
        <w:rPr>
          <w:rFonts w:ascii="Arial Narrow" w:eastAsiaTheme="minorEastAsia" w:hAnsi="Arial Narrow"/>
          <w:snapToGrid w:val="0"/>
          <w:sz w:val="18"/>
          <w:szCs w:val="18"/>
          <w:lang w:eastAsia="en-US"/>
        </w:rPr>
      </w:pPr>
      <w:r w:rsidRPr="003E614F">
        <w:rPr>
          <w:rFonts w:ascii="Arial Narrow" w:eastAsiaTheme="minorEastAsia" w:hAnsi="Arial Narrow"/>
          <w:snapToGrid w:val="0"/>
          <w:sz w:val="18"/>
          <w:szCs w:val="18"/>
          <w:lang w:eastAsia="en-US"/>
        </w:rPr>
        <w:t>Source: Table 100, p214 of the submission,</w:t>
      </w:r>
      <w:r w:rsidRPr="00BD47FB">
        <w:rPr>
          <w:rFonts w:ascii="Arial Narrow" w:eastAsiaTheme="minorEastAsia" w:hAnsi="Arial Narrow"/>
          <w:snapToGrid w:val="0"/>
          <w:sz w:val="18"/>
          <w:szCs w:val="18"/>
          <w:lang w:eastAsia="en-US"/>
        </w:rPr>
        <w:t xml:space="preserve"> with risk statistics conducted during the evaluation.</w:t>
      </w:r>
      <w:r w:rsidRPr="003E614F">
        <w:rPr>
          <w:rFonts w:ascii="Arial Narrow" w:eastAsiaTheme="minorEastAsia" w:hAnsi="Arial Narrow"/>
          <w:snapToGrid w:val="0"/>
          <w:sz w:val="18"/>
          <w:szCs w:val="18"/>
          <w:lang w:eastAsia="en-US"/>
        </w:rPr>
        <w:t xml:space="preserve"> </w:t>
      </w:r>
      <w:r w:rsidRPr="003E614F">
        <w:rPr>
          <w:rFonts w:ascii="Arial Narrow" w:eastAsiaTheme="minorEastAsia" w:hAnsi="Arial Narrow"/>
          <w:snapToGrid w:val="0"/>
          <w:sz w:val="18"/>
          <w:szCs w:val="18"/>
          <w:shd w:val="clear" w:color="auto" w:fill="DBE5F1" w:themeFill="accent1" w:themeFillTint="33"/>
          <w:lang w:eastAsia="en-US"/>
        </w:rPr>
        <w:t>Shaded</w:t>
      </w:r>
      <w:r w:rsidRPr="003E614F">
        <w:rPr>
          <w:rFonts w:ascii="Arial Narrow" w:eastAsiaTheme="minorEastAsia" w:hAnsi="Arial Narrow"/>
          <w:snapToGrid w:val="0"/>
          <w:sz w:val="18"/>
          <w:szCs w:val="18"/>
          <w:lang w:eastAsia="en-US"/>
        </w:rPr>
        <w:t xml:space="preserve"> areas indicate data previously seen by the PBAC. </w:t>
      </w:r>
    </w:p>
    <w:p w14:paraId="48F993BD" w14:textId="7D7F3334" w:rsidR="004D1EA7" w:rsidRPr="003E614F" w:rsidRDefault="004D1EA7" w:rsidP="004D1EA7">
      <w:pPr>
        <w:rPr>
          <w:rFonts w:ascii="Arial Narrow" w:eastAsiaTheme="minorEastAsia" w:hAnsi="Arial Narrow"/>
          <w:snapToGrid w:val="0"/>
          <w:sz w:val="18"/>
          <w:szCs w:val="18"/>
          <w:lang w:eastAsia="en-US"/>
        </w:rPr>
      </w:pPr>
      <w:r w:rsidRPr="003E614F">
        <w:rPr>
          <w:rFonts w:ascii="Arial Narrow" w:eastAsiaTheme="minorEastAsia" w:hAnsi="Arial Narrow"/>
          <w:snapToGrid w:val="0"/>
          <w:sz w:val="18"/>
          <w:szCs w:val="18"/>
          <w:lang w:eastAsia="en-US"/>
        </w:rPr>
        <w:t>ADA=adalimumab</w:t>
      </w:r>
      <w:r w:rsidR="00CC2410" w:rsidRPr="003E614F">
        <w:rPr>
          <w:rFonts w:ascii="Arial Narrow" w:eastAsiaTheme="minorEastAsia" w:hAnsi="Arial Narrow"/>
          <w:snapToGrid w:val="0"/>
          <w:sz w:val="18"/>
          <w:szCs w:val="18"/>
          <w:lang w:eastAsia="en-US"/>
        </w:rPr>
        <w:t>,</w:t>
      </w:r>
      <w:r w:rsidRPr="003E614F">
        <w:rPr>
          <w:rFonts w:ascii="Arial Narrow" w:eastAsiaTheme="minorEastAsia" w:hAnsi="Arial Narrow"/>
          <w:snapToGrid w:val="0"/>
          <w:sz w:val="18"/>
          <w:szCs w:val="18"/>
          <w:lang w:eastAsia="en-US"/>
        </w:rPr>
        <w:t xml:space="preserve"> CI=confidence interval</w:t>
      </w:r>
      <w:r w:rsidR="00CC2410" w:rsidRPr="003E614F">
        <w:rPr>
          <w:rFonts w:ascii="Arial Narrow" w:eastAsiaTheme="minorEastAsia" w:hAnsi="Arial Narrow"/>
          <w:snapToGrid w:val="0"/>
          <w:sz w:val="18"/>
          <w:szCs w:val="18"/>
          <w:lang w:eastAsia="en-US"/>
        </w:rPr>
        <w:t>, IV=intravenous,</w:t>
      </w:r>
      <w:r w:rsidRPr="003E614F">
        <w:rPr>
          <w:rFonts w:ascii="Arial Narrow" w:eastAsiaTheme="minorEastAsia" w:hAnsi="Arial Narrow"/>
          <w:snapToGrid w:val="0"/>
          <w:sz w:val="18"/>
          <w:szCs w:val="18"/>
          <w:lang w:eastAsia="en-US"/>
        </w:rPr>
        <w:t xml:space="preserve"> MA=meta-analysis</w:t>
      </w:r>
      <w:r w:rsidR="00CC2410" w:rsidRPr="003E614F">
        <w:rPr>
          <w:rFonts w:ascii="Arial Narrow" w:eastAsiaTheme="minorEastAsia" w:hAnsi="Arial Narrow"/>
          <w:snapToGrid w:val="0"/>
          <w:sz w:val="18"/>
          <w:szCs w:val="18"/>
          <w:lang w:eastAsia="en-US"/>
        </w:rPr>
        <w:t>,</w:t>
      </w:r>
      <w:r w:rsidRPr="003E614F">
        <w:rPr>
          <w:rFonts w:ascii="Arial Narrow" w:eastAsiaTheme="minorEastAsia" w:hAnsi="Arial Narrow"/>
          <w:snapToGrid w:val="0"/>
          <w:sz w:val="18"/>
          <w:szCs w:val="18"/>
          <w:lang w:eastAsia="en-US"/>
        </w:rPr>
        <w:t xml:space="preserve"> </w:t>
      </w:r>
      <w:r w:rsidR="00CC2410" w:rsidRPr="003E614F">
        <w:rPr>
          <w:rFonts w:ascii="Arial Narrow" w:eastAsiaTheme="minorEastAsia" w:hAnsi="Arial Narrow"/>
          <w:snapToGrid w:val="0"/>
          <w:sz w:val="18"/>
          <w:szCs w:val="18"/>
          <w:lang w:eastAsia="en-US"/>
        </w:rPr>
        <w:t xml:space="preserve">MIRI=mirikizumab, </w:t>
      </w:r>
      <w:r w:rsidRPr="003E614F">
        <w:rPr>
          <w:rFonts w:ascii="Arial Narrow" w:eastAsiaTheme="minorEastAsia" w:hAnsi="Arial Narrow"/>
          <w:snapToGrid w:val="0"/>
          <w:sz w:val="18"/>
          <w:szCs w:val="18"/>
          <w:lang w:eastAsia="en-US"/>
        </w:rPr>
        <w:t>n=number of participants with event</w:t>
      </w:r>
      <w:r w:rsidR="00CC2410" w:rsidRPr="003E614F">
        <w:rPr>
          <w:rFonts w:ascii="Arial Narrow" w:eastAsiaTheme="minorEastAsia" w:hAnsi="Arial Narrow"/>
          <w:snapToGrid w:val="0"/>
          <w:sz w:val="18"/>
          <w:szCs w:val="18"/>
          <w:lang w:eastAsia="en-US"/>
        </w:rPr>
        <w:t>,</w:t>
      </w:r>
      <w:r w:rsidRPr="003E614F">
        <w:rPr>
          <w:rFonts w:ascii="Arial Narrow" w:eastAsiaTheme="minorEastAsia" w:hAnsi="Arial Narrow"/>
          <w:snapToGrid w:val="0"/>
          <w:sz w:val="18"/>
          <w:szCs w:val="18"/>
          <w:lang w:eastAsia="en-US"/>
        </w:rPr>
        <w:t xml:space="preserve"> N=total participants in group,</w:t>
      </w:r>
      <w:r w:rsidR="00CA4C53" w:rsidRPr="003E614F">
        <w:rPr>
          <w:rFonts w:ascii="Arial Narrow" w:eastAsiaTheme="minorEastAsia" w:hAnsi="Arial Narrow"/>
          <w:snapToGrid w:val="0"/>
          <w:sz w:val="18"/>
          <w:szCs w:val="18"/>
          <w:lang w:eastAsia="en-US"/>
        </w:rPr>
        <w:t xml:space="preserve"> PBO=placebo</w:t>
      </w:r>
      <w:r w:rsidR="00615696">
        <w:rPr>
          <w:rFonts w:ascii="Arial Narrow" w:eastAsiaTheme="minorEastAsia" w:hAnsi="Arial Narrow"/>
          <w:snapToGrid w:val="0"/>
          <w:sz w:val="18"/>
          <w:szCs w:val="18"/>
          <w:lang w:eastAsia="en-US"/>
        </w:rPr>
        <w:t>,</w:t>
      </w:r>
      <w:r w:rsidRPr="003E614F">
        <w:rPr>
          <w:rFonts w:ascii="Arial Narrow" w:eastAsiaTheme="minorEastAsia" w:hAnsi="Arial Narrow"/>
          <w:snapToGrid w:val="0"/>
          <w:sz w:val="18"/>
          <w:szCs w:val="18"/>
          <w:lang w:eastAsia="en-US"/>
        </w:rPr>
        <w:t xml:space="preserve"> RD=risk difference, RR=risk ratio</w:t>
      </w:r>
      <w:r w:rsidR="00CC2410" w:rsidRPr="003E614F">
        <w:rPr>
          <w:rFonts w:ascii="Arial Narrow" w:eastAsiaTheme="minorEastAsia" w:hAnsi="Arial Narrow"/>
          <w:snapToGrid w:val="0"/>
          <w:sz w:val="18"/>
          <w:szCs w:val="18"/>
          <w:lang w:eastAsia="en-US"/>
        </w:rPr>
        <w:t>, UST=ustekinumab, VDZ=vedolizumab</w:t>
      </w:r>
      <w:r w:rsidRPr="003E614F">
        <w:rPr>
          <w:rFonts w:ascii="Arial Narrow" w:eastAsiaTheme="minorEastAsia" w:hAnsi="Arial Narrow"/>
          <w:snapToGrid w:val="0"/>
          <w:sz w:val="18"/>
          <w:szCs w:val="18"/>
          <w:lang w:eastAsia="en-US"/>
        </w:rPr>
        <w:t>.</w:t>
      </w:r>
    </w:p>
    <w:p w14:paraId="29A588DC" w14:textId="77777777" w:rsidR="004D1EA7" w:rsidRDefault="004D1EA7" w:rsidP="004D1EA7">
      <w:pPr>
        <w:rPr>
          <w:lang w:eastAsia="en-US"/>
        </w:rPr>
      </w:pPr>
    </w:p>
    <w:p w14:paraId="4E803989" w14:textId="13560F9B" w:rsidR="004D1EA7" w:rsidRDefault="0005097F" w:rsidP="0005097F">
      <w:pPr>
        <w:pStyle w:val="Caption"/>
        <w:rPr>
          <w:rFonts w:eastAsiaTheme="minorEastAsia" w:cs="Times New Roman"/>
          <w:szCs w:val="20"/>
          <w:lang w:eastAsia="en-US"/>
        </w:rPr>
      </w:pPr>
      <w:bookmarkStart w:id="45" w:name="_Ref103373925"/>
      <w:r>
        <w:lastRenderedPageBreak/>
        <w:t xml:space="preserve">Table </w:t>
      </w:r>
      <w:r w:rsidR="00A234BA">
        <w:fldChar w:fldCharType="begin" w:fldLock="1"/>
      </w:r>
      <w:r w:rsidR="00A234BA">
        <w:instrText xml:space="preserve"> SEQ Table \* ARABIC </w:instrText>
      </w:r>
      <w:r w:rsidR="00A234BA">
        <w:fldChar w:fldCharType="separate"/>
      </w:r>
      <w:r>
        <w:rPr>
          <w:noProof/>
        </w:rPr>
        <w:t>9</w:t>
      </w:r>
      <w:r w:rsidR="00A234BA">
        <w:rPr>
          <w:noProof/>
        </w:rPr>
        <w:fldChar w:fldCharType="end"/>
      </w:r>
      <w:bookmarkEnd w:id="45"/>
      <w:r w:rsidR="004D1EA7" w:rsidRPr="00B63C5C">
        <w:rPr>
          <w:rFonts w:eastAsiaTheme="minorEastAsia" w:cs="Times New Roman"/>
          <w:szCs w:val="20"/>
          <w:lang w:eastAsia="en-US"/>
        </w:rPr>
        <w:t xml:space="preserve">: Summary of adverse events in </w:t>
      </w:r>
      <w:r w:rsidR="004D1EA7">
        <w:rPr>
          <w:rFonts w:eastAsiaTheme="minorEastAsia" w:cs="Times New Roman"/>
          <w:szCs w:val="20"/>
          <w:lang w:eastAsia="en-US"/>
        </w:rPr>
        <w:t xml:space="preserve">MIRI, VDZ, ADA and </w:t>
      </w:r>
      <w:r w:rsidR="004D1EA7" w:rsidRPr="00B63C5C">
        <w:rPr>
          <w:rFonts w:eastAsiaTheme="minorEastAsia" w:cs="Times New Roman"/>
          <w:szCs w:val="20"/>
          <w:lang w:eastAsia="en-US"/>
        </w:rPr>
        <w:t>UST maintenance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Summary of adverse events in MIRI, VDZ, ADA and UST maintenance trials"/>
      </w:tblPr>
      <w:tblGrid>
        <w:gridCol w:w="2689"/>
        <w:gridCol w:w="1582"/>
        <w:gridCol w:w="1582"/>
        <w:gridCol w:w="1582"/>
        <w:gridCol w:w="1582"/>
      </w:tblGrid>
      <w:tr w:rsidR="004D1EA7" w:rsidRPr="00CC2410" w14:paraId="7A57DBD2" w14:textId="77777777" w:rsidTr="004D1EA7">
        <w:trPr>
          <w:trHeight w:val="70"/>
          <w:tblHeader/>
        </w:trPr>
        <w:tc>
          <w:tcPr>
            <w:tcW w:w="2689" w:type="dxa"/>
            <w:shd w:val="clear" w:color="auto" w:fill="auto"/>
            <w:vAlign w:val="center"/>
          </w:tcPr>
          <w:p w14:paraId="282C1FE7" w14:textId="77777777" w:rsidR="004D1EA7" w:rsidRPr="00CC2410" w:rsidRDefault="004D1EA7" w:rsidP="0005097F">
            <w:pPr>
              <w:keepNext/>
              <w:jc w:val="left"/>
              <w:rPr>
                <w:rFonts w:ascii="Arial Narrow" w:eastAsiaTheme="minorEastAsia" w:hAnsi="Arial Narrow" w:cs="Times New Roman"/>
                <w:b/>
                <w:bCs/>
                <w:sz w:val="20"/>
                <w:szCs w:val="20"/>
                <w:lang w:eastAsia="en-US"/>
              </w:rPr>
            </w:pPr>
            <w:r w:rsidRPr="00CC2410">
              <w:rPr>
                <w:rFonts w:ascii="Arial Narrow" w:eastAsiaTheme="minorEastAsia" w:hAnsi="Arial Narrow" w:cs="Times New Roman"/>
                <w:b/>
                <w:bCs/>
                <w:sz w:val="20"/>
                <w:szCs w:val="20"/>
                <w:lang w:eastAsia="en-US"/>
              </w:rPr>
              <w:t>Trial ID</w:t>
            </w:r>
          </w:p>
        </w:tc>
        <w:tc>
          <w:tcPr>
            <w:tcW w:w="1582" w:type="dxa"/>
            <w:shd w:val="clear" w:color="auto" w:fill="auto"/>
            <w:vAlign w:val="center"/>
          </w:tcPr>
          <w:p w14:paraId="3FD0A04F" w14:textId="77777777" w:rsidR="004D1EA7" w:rsidRPr="00CC2410" w:rsidRDefault="004D1EA7" w:rsidP="0005097F">
            <w:pPr>
              <w:keepNext/>
              <w:jc w:val="center"/>
              <w:rPr>
                <w:rFonts w:ascii="Arial Narrow" w:eastAsiaTheme="minorEastAsia" w:hAnsi="Arial Narrow" w:cs="Times New Roman"/>
                <w:b/>
                <w:bCs/>
                <w:sz w:val="20"/>
                <w:szCs w:val="20"/>
                <w:lang w:eastAsia="en-US"/>
              </w:rPr>
            </w:pPr>
            <w:r w:rsidRPr="00CC2410">
              <w:rPr>
                <w:rFonts w:ascii="Arial Narrow" w:eastAsiaTheme="minorEastAsia" w:hAnsi="Arial Narrow" w:cs="Times New Roman"/>
                <w:b/>
                <w:bCs/>
                <w:sz w:val="20"/>
                <w:szCs w:val="20"/>
                <w:lang w:eastAsia="en-US"/>
              </w:rPr>
              <w:t>Drug n/N (%)</w:t>
            </w:r>
          </w:p>
        </w:tc>
        <w:tc>
          <w:tcPr>
            <w:tcW w:w="1582" w:type="dxa"/>
            <w:shd w:val="clear" w:color="auto" w:fill="auto"/>
            <w:vAlign w:val="center"/>
          </w:tcPr>
          <w:p w14:paraId="41A2C3CD" w14:textId="77777777" w:rsidR="004D1EA7" w:rsidRPr="00CC2410" w:rsidRDefault="004D1EA7" w:rsidP="0005097F">
            <w:pPr>
              <w:keepNext/>
              <w:jc w:val="center"/>
              <w:rPr>
                <w:rFonts w:ascii="Arial Narrow" w:eastAsiaTheme="minorEastAsia" w:hAnsi="Arial Narrow" w:cs="Times New Roman"/>
                <w:b/>
                <w:bCs/>
                <w:sz w:val="20"/>
                <w:szCs w:val="20"/>
                <w:lang w:eastAsia="en-US"/>
              </w:rPr>
            </w:pPr>
            <w:r w:rsidRPr="00CC2410">
              <w:rPr>
                <w:rFonts w:ascii="Arial Narrow" w:eastAsiaTheme="minorEastAsia" w:hAnsi="Arial Narrow" w:cs="Times New Roman"/>
                <w:b/>
                <w:bCs/>
                <w:sz w:val="20"/>
                <w:szCs w:val="20"/>
                <w:lang w:eastAsia="en-US"/>
              </w:rPr>
              <w:t>PBO n/N (%)</w:t>
            </w:r>
          </w:p>
        </w:tc>
        <w:tc>
          <w:tcPr>
            <w:tcW w:w="1582" w:type="dxa"/>
            <w:shd w:val="clear" w:color="auto" w:fill="auto"/>
            <w:vAlign w:val="center"/>
          </w:tcPr>
          <w:p w14:paraId="1C3E65CB" w14:textId="77777777" w:rsidR="004D1EA7" w:rsidRPr="00CC2410" w:rsidRDefault="004D1EA7" w:rsidP="0005097F">
            <w:pPr>
              <w:keepNext/>
              <w:jc w:val="center"/>
              <w:rPr>
                <w:rFonts w:ascii="Arial Narrow" w:eastAsiaTheme="minorEastAsia" w:hAnsi="Arial Narrow" w:cs="Times New Roman"/>
                <w:b/>
                <w:bCs/>
                <w:sz w:val="20"/>
                <w:szCs w:val="20"/>
                <w:lang w:eastAsia="en-US"/>
              </w:rPr>
            </w:pPr>
            <w:r w:rsidRPr="00CC2410">
              <w:rPr>
                <w:rFonts w:ascii="Arial Narrow" w:eastAsiaTheme="minorEastAsia" w:hAnsi="Arial Narrow" w:cs="Times New Roman"/>
                <w:b/>
                <w:bCs/>
                <w:sz w:val="20"/>
                <w:szCs w:val="20"/>
                <w:lang w:eastAsia="en-US"/>
              </w:rPr>
              <w:t>RR (95% CI)</w:t>
            </w:r>
          </w:p>
        </w:tc>
        <w:tc>
          <w:tcPr>
            <w:tcW w:w="1582" w:type="dxa"/>
            <w:shd w:val="clear" w:color="auto" w:fill="auto"/>
            <w:vAlign w:val="center"/>
          </w:tcPr>
          <w:p w14:paraId="20D3D9D1" w14:textId="77777777" w:rsidR="004D1EA7" w:rsidRPr="00CC2410" w:rsidRDefault="004D1EA7" w:rsidP="0005097F">
            <w:pPr>
              <w:keepNext/>
              <w:jc w:val="center"/>
              <w:rPr>
                <w:rFonts w:ascii="Arial Narrow" w:eastAsiaTheme="minorEastAsia" w:hAnsi="Arial Narrow" w:cs="Times New Roman"/>
                <w:b/>
                <w:bCs/>
                <w:sz w:val="20"/>
                <w:szCs w:val="20"/>
                <w:lang w:eastAsia="en-US"/>
              </w:rPr>
            </w:pPr>
            <w:r w:rsidRPr="00CC2410">
              <w:rPr>
                <w:rFonts w:ascii="Arial Narrow" w:eastAsiaTheme="minorEastAsia" w:hAnsi="Arial Narrow" w:cs="Times New Roman"/>
                <w:b/>
                <w:bCs/>
                <w:sz w:val="20"/>
                <w:szCs w:val="20"/>
                <w:lang w:eastAsia="en-US"/>
              </w:rPr>
              <w:t>RD (95% CI)</w:t>
            </w:r>
          </w:p>
        </w:tc>
      </w:tr>
      <w:tr w:rsidR="004D1EA7" w:rsidRPr="00CC2410" w14:paraId="661FEEBE" w14:textId="77777777" w:rsidTr="004D1EA7">
        <w:trPr>
          <w:trHeight w:val="64"/>
        </w:trPr>
        <w:tc>
          <w:tcPr>
            <w:tcW w:w="9017" w:type="dxa"/>
            <w:gridSpan w:val="5"/>
            <w:shd w:val="clear" w:color="auto" w:fill="auto"/>
            <w:vAlign w:val="center"/>
          </w:tcPr>
          <w:p w14:paraId="179910A3" w14:textId="77777777" w:rsidR="004D1EA7" w:rsidRPr="00CC2410" w:rsidRDefault="004D1EA7" w:rsidP="0005097F">
            <w:pPr>
              <w:keepNext/>
              <w:jc w:val="left"/>
              <w:rPr>
                <w:rFonts w:ascii="Arial Narrow" w:eastAsiaTheme="minorEastAsia" w:hAnsi="Arial Narrow" w:cs="Times New Roman"/>
                <w:b/>
                <w:bCs/>
                <w:sz w:val="20"/>
                <w:szCs w:val="20"/>
                <w:lang w:eastAsia="en-US"/>
              </w:rPr>
            </w:pPr>
            <w:r w:rsidRPr="00CC2410">
              <w:rPr>
                <w:rFonts w:ascii="Arial Narrow" w:eastAsiaTheme="minorEastAsia" w:hAnsi="Arial Narrow" w:cs="Times New Roman"/>
                <w:b/>
                <w:bCs/>
                <w:sz w:val="20"/>
                <w:szCs w:val="20"/>
                <w:lang w:eastAsia="en-US"/>
              </w:rPr>
              <w:t>Any adverse event</w:t>
            </w:r>
          </w:p>
        </w:tc>
      </w:tr>
      <w:tr w:rsidR="004D1EA7" w:rsidRPr="00CC2410" w14:paraId="21ED8F9C" w14:textId="77777777" w:rsidTr="004D1EA7">
        <w:trPr>
          <w:trHeight w:val="87"/>
        </w:trPr>
        <w:tc>
          <w:tcPr>
            <w:tcW w:w="2689" w:type="dxa"/>
            <w:shd w:val="clear" w:color="auto" w:fill="auto"/>
            <w:vAlign w:val="center"/>
          </w:tcPr>
          <w:p w14:paraId="7216CB55" w14:textId="77777777" w:rsidR="004D1EA7" w:rsidRPr="00CC2410" w:rsidRDefault="004D1EA7" w:rsidP="0005097F">
            <w:pPr>
              <w:keepNext/>
              <w:jc w:val="left"/>
              <w:rPr>
                <w:rFonts w:ascii="Arial Narrow" w:hAnsi="Arial Narrow"/>
                <w:iCs/>
                <w:sz w:val="20"/>
                <w:szCs w:val="20"/>
                <w:lang w:val="it-IT"/>
              </w:rPr>
            </w:pPr>
            <w:r w:rsidRPr="00CC2410">
              <w:rPr>
                <w:rFonts w:ascii="Arial Narrow" w:hAnsi="Arial Narrow"/>
                <w:iCs/>
                <w:sz w:val="20"/>
                <w:szCs w:val="20"/>
                <w:lang w:val="it-IT"/>
              </w:rPr>
              <w:t>MIRI SC 200mg v PBO (LUCENT 2)</w:t>
            </w:r>
          </w:p>
        </w:tc>
        <w:tc>
          <w:tcPr>
            <w:tcW w:w="1582" w:type="dxa"/>
            <w:shd w:val="clear" w:color="auto" w:fill="auto"/>
            <w:vAlign w:val="center"/>
          </w:tcPr>
          <w:p w14:paraId="6F8373B0"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251/389 (64.5)</w:t>
            </w:r>
          </w:p>
        </w:tc>
        <w:tc>
          <w:tcPr>
            <w:tcW w:w="1582" w:type="dxa"/>
            <w:shd w:val="clear" w:color="auto" w:fill="auto"/>
            <w:vAlign w:val="center"/>
          </w:tcPr>
          <w:p w14:paraId="20FA11DD"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132/192 (68.8)</w:t>
            </w:r>
          </w:p>
        </w:tc>
        <w:tc>
          <w:tcPr>
            <w:tcW w:w="1582" w:type="dxa"/>
            <w:shd w:val="clear" w:color="auto" w:fill="auto"/>
            <w:vAlign w:val="center"/>
          </w:tcPr>
          <w:p w14:paraId="348C068E"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sz w:val="20"/>
                <w:szCs w:val="20"/>
                <w:lang w:eastAsia="en-US"/>
              </w:rPr>
              <w:t>0.94 (0.83, 1.06)</w:t>
            </w:r>
          </w:p>
        </w:tc>
        <w:tc>
          <w:tcPr>
            <w:tcW w:w="1582" w:type="dxa"/>
            <w:shd w:val="clear" w:color="auto" w:fill="auto"/>
            <w:vAlign w:val="center"/>
          </w:tcPr>
          <w:p w14:paraId="7AE4430F"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sz w:val="20"/>
                <w:szCs w:val="20"/>
                <w:lang w:eastAsia="en-US"/>
              </w:rPr>
              <w:t>-0.04 (-0.12, 0.04)</w:t>
            </w:r>
          </w:p>
        </w:tc>
      </w:tr>
      <w:tr w:rsidR="004D1EA7" w:rsidRPr="00CC2410" w14:paraId="75F922F0" w14:textId="77777777" w:rsidTr="004D1EA7">
        <w:trPr>
          <w:trHeight w:val="87"/>
        </w:trPr>
        <w:tc>
          <w:tcPr>
            <w:tcW w:w="2689" w:type="dxa"/>
            <w:shd w:val="clear" w:color="auto" w:fill="C6D9F1" w:themeFill="text2" w:themeFillTint="33"/>
            <w:vAlign w:val="center"/>
          </w:tcPr>
          <w:p w14:paraId="31AB2293" w14:textId="77777777" w:rsidR="004D1EA7" w:rsidRPr="00CC2410" w:rsidRDefault="004D1EA7" w:rsidP="0005097F">
            <w:pPr>
              <w:keepNext/>
              <w:jc w:val="left"/>
              <w:rPr>
                <w:rFonts w:ascii="Arial Narrow" w:hAnsi="Arial Narrow"/>
                <w:iCs/>
                <w:sz w:val="20"/>
                <w:szCs w:val="20"/>
              </w:rPr>
            </w:pPr>
            <w:r w:rsidRPr="00CC2410">
              <w:rPr>
                <w:rFonts w:ascii="Arial Narrow" w:hAnsi="Arial Narrow"/>
                <w:iCs/>
                <w:sz w:val="20"/>
                <w:szCs w:val="20"/>
              </w:rPr>
              <w:t>VDZ IV 300mg or SC 108mg pooled v PBO (MA: GEMINI-1, VISIBLE 1, Motoya)</w:t>
            </w:r>
          </w:p>
        </w:tc>
        <w:tc>
          <w:tcPr>
            <w:tcW w:w="1582" w:type="dxa"/>
            <w:shd w:val="clear" w:color="auto" w:fill="C6D9F1" w:themeFill="text2" w:themeFillTint="33"/>
            <w:vAlign w:val="center"/>
          </w:tcPr>
          <w:p w14:paraId="0D5A1F26"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bCs/>
                <w:iCs/>
                <w:sz w:val="20"/>
                <w:szCs w:val="20"/>
                <w:lang w:eastAsia="en-US"/>
              </w:rPr>
              <w:t>643/821 (78.3)</w:t>
            </w:r>
          </w:p>
        </w:tc>
        <w:tc>
          <w:tcPr>
            <w:tcW w:w="1582" w:type="dxa"/>
            <w:shd w:val="clear" w:color="auto" w:fill="C6D9F1" w:themeFill="text2" w:themeFillTint="33"/>
            <w:vAlign w:val="center"/>
          </w:tcPr>
          <w:p w14:paraId="55699BB1"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bCs/>
                <w:iCs/>
                <w:sz w:val="20"/>
                <w:szCs w:val="20"/>
                <w:lang w:eastAsia="en-US"/>
              </w:rPr>
              <w:t>296/373 (79.4)</w:t>
            </w:r>
          </w:p>
        </w:tc>
        <w:tc>
          <w:tcPr>
            <w:tcW w:w="1582" w:type="dxa"/>
            <w:shd w:val="clear" w:color="auto" w:fill="C6D9F1" w:themeFill="text2" w:themeFillTint="33"/>
            <w:vAlign w:val="center"/>
          </w:tcPr>
          <w:p w14:paraId="4F86B98E"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1.00 (0.91, 1.09)</w:t>
            </w:r>
          </w:p>
        </w:tc>
        <w:tc>
          <w:tcPr>
            <w:tcW w:w="1582" w:type="dxa"/>
            <w:shd w:val="clear" w:color="auto" w:fill="C6D9F1" w:themeFill="text2" w:themeFillTint="33"/>
            <w:vAlign w:val="center"/>
          </w:tcPr>
          <w:p w14:paraId="7E8957C5"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-0.00 (-0.07, 0.07)</w:t>
            </w:r>
          </w:p>
        </w:tc>
      </w:tr>
      <w:tr w:rsidR="004D1EA7" w:rsidRPr="00CC2410" w14:paraId="1967378A" w14:textId="77777777" w:rsidTr="004D1EA7">
        <w:trPr>
          <w:trHeight w:val="87"/>
        </w:trPr>
        <w:tc>
          <w:tcPr>
            <w:tcW w:w="2689" w:type="dxa"/>
            <w:shd w:val="clear" w:color="auto" w:fill="C6D9F1" w:themeFill="text2" w:themeFillTint="33"/>
            <w:vAlign w:val="center"/>
          </w:tcPr>
          <w:p w14:paraId="71BE537C" w14:textId="77777777" w:rsidR="004D1EA7" w:rsidRPr="00CC2410" w:rsidRDefault="004D1EA7" w:rsidP="0005097F">
            <w:pPr>
              <w:keepNext/>
              <w:jc w:val="left"/>
              <w:rPr>
                <w:rFonts w:ascii="Arial Narrow" w:hAnsi="Arial Narrow"/>
                <w:iCs/>
                <w:sz w:val="20"/>
                <w:szCs w:val="20"/>
                <w:lang w:val="pt-PT"/>
              </w:rPr>
            </w:pPr>
            <w:r w:rsidRPr="00CC2410">
              <w:rPr>
                <w:rFonts w:ascii="Arial Narrow" w:hAnsi="Arial Narrow"/>
                <w:iCs/>
                <w:sz w:val="20"/>
                <w:szCs w:val="20"/>
                <w:lang w:val="pt-PT"/>
              </w:rPr>
              <w:t>ADA 80mg v PBO (ULTRA 2)</w:t>
            </w:r>
          </w:p>
        </w:tc>
        <w:tc>
          <w:tcPr>
            <w:tcW w:w="1582" w:type="dxa"/>
            <w:shd w:val="clear" w:color="auto" w:fill="C6D9F1" w:themeFill="text2" w:themeFillTint="33"/>
            <w:vAlign w:val="center"/>
          </w:tcPr>
          <w:p w14:paraId="2D95B775"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bCs/>
                <w:iCs/>
                <w:sz w:val="20"/>
                <w:szCs w:val="20"/>
                <w:lang w:eastAsia="en-US"/>
              </w:rPr>
              <w:t>213/257 (82.9)</w:t>
            </w:r>
          </w:p>
        </w:tc>
        <w:tc>
          <w:tcPr>
            <w:tcW w:w="1582" w:type="dxa"/>
            <w:shd w:val="clear" w:color="auto" w:fill="C6D9F1" w:themeFill="text2" w:themeFillTint="33"/>
            <w:vAlign w:val="center"/>
          </w:tcPr>
          <w:p w14:paraId="63ABBD46"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bCs/>
                <w:iCs/>
                <w:sz w:val="20"/>
                <w:szCs w:val="20"/>
                <w:lang w:eastAsia="en-US"/>
              </w:rPr>
              <w:t>218/260 (83.8)</w:t>
            </w:r>
          </w:p>
        </w:tc>
        <w:tc>
          <w:tcPr>
            <w:tcW w:w="1582" w:type="dxa"/>
            <w:shd w:val="clear" w:color="auto" w:fill="C6D9F1" w:themeFill="text2" w:themeFillTint="33"/>
            <w:vAlign w:val="center"/>
          </w:tcPr>
          <w:p w14:paraId="4E8901FE"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0.99 (0.92, 1.07)</w:t>
            </w:r>
          </w:p>
        </w:tc>
        <w:tc>
          <w:tcPr>
            <w:tcW w:w="1582" w:type="dxa"/>
            <w:shd w:val="clear" w:color="auto" w:fill="C6D9F1" w:themeFill="text2" w:themeFillTint="33"/>
            <w:vAlign w:val="center"/>
          </w:tcPr>
          <w:p w14:paraId="791E45C3"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-0.01 (-0.07, 0.05)</w:t>
            </w:r>
          </w:p>
        </w:tc>
      </w:tr>
      <w:tr w:rsidR="004D1EA7" w:rsidRPr="00CC2410" w14:paraId="0DC3CD2C" w14:textId="77777777" w:rsidTr="004D1EA7">
        <w:trPr>
          <w:trHeight w:val="87"/>
        </w:trPr>
        <w:tc>
          <w:tcPr>
            <w:tcW w:w="2689" w:type="dxa"/>
            <w:shd w:val="clear" w:color="auto" w:fill="C6D9F1" w:themeFill="text2" w:themeFillTint="33"/>
            <w:vAlign w:val="center"/>
          </w:tcPr>
          <w:p w14:paraId="27CA599D" w14:textId="77777777" w:rsidR="004D1EA7" w:rsidRPr="00CC2410" w:rsidRDefault="004D1EA7" w:rsidP="0005097F">
            <w:pPr>
              <w:keepNext/>
              <w:jc w:val="left"/>
              <w:rPr>
                <w:rFonts w:ascii="Arial Narrow" w:hAnsi="Arial Narrow"/>
                <w:iCs/>
                <w:sz w:val="20"/>
                <w:szCs w:val="20"/>
              </w:rPr>
            </w:pPr>
            <w:r w:rsidRPr="00CC2410">
              <w:rPr>
                <w:rFonts w:ascii="Arial Narrow" w:hAnsi="Arial Narrow"/>
                <w:iCs/>
                <w:sz w:val="20"/>
                <w:szCs w:val="20"/>
              </w:rPr>
              <w:t>UST SC 90 mg Q8W or Q12 QW pooled v PBO (UNIFI)</w:t>
            </w:r>
          </w:p>
        </w:tc>
        <w:tc>
          <w:tcPr>
            <w:tcW w:w="1582" w:type="dxa"/>
            <w:shd w:val="clear" w:color="auto" w:fill="C6D9F1" w:themeFill="text2" w:themeFillTint="33"/>
            <w:vAlign w:val="center"/>
          </w:tcPr>
          <w:p w14:paraId="18DCA385"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255/348 (73.3)</w:t>
            </w:r>
          </w:p>
        </w:tc>
        <w:tc>
          <w:tcPr>
            <w:tcW w:w="1582" w:type="dxa"/>
            <w:shd w:val="clear" w:color="auto" w:fill="C6D9F1" w:themeFill="text2" w:themeFillTint="33"/>
            <w:vAlign w:val="center"/>
          </w:tcPr>
          <w:p w14:paraId="6379E3BB"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138/175 (78.9)</w:t>
            </w:r>
          </w:p>
        </w:tc>
        <w:tc>
          <w:tcPr>
            <w:tcW w:w="1582" w:type="dxa"/>
            <w:shd w:val="clear" w:color="auto" w:fill="C6D9F1" w:themeFill="text2" w:themeFillTint="33"/>
            <w:vAlign w:val="center"/>
          </w:tcPr>
          <w:p w14:paraId="56226289"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sz w:val="20"/>
                <w:szCs w:val="20"/>
                <w:lang w:eastAsia="en-US"/>
              </w:rPr>
              <w:t>0.93 (0.84, 1.03)</w:t>
            </w:r>
          </w:p>
        </w:tc>
        <w:tc>
          <w:tcPr>
            <w:tcW w:w="1582" w:type="dxa"/>
            <w:shd w:val="clear" w:color="auto" w:fill="C6D9F1" w:themeFill="text2" w:themeFillTint="33"/>
            <w:vAlign w:val="center"/>
          </w:tcPr>
          <w:p w14:paraId="002B074D"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sz w:val="20"/>
                <w:szCs w:val="20"/>
                <w:lang w:eastAsia="en-US"/>
              </w:rPr>
              <w:t>-0.06 (-0.13, 0.02)</w:t>
            </w:r>
          </w:p>
        </w:tc>
      </w:tr>
      <w:tr w:rsidR="004D1EA7" w:rsidRPr="00CC2410" w14:paraId="1FAAF3A6" w14:textId="77777777" w:rsidTr="004D1EA7">
        <w:trPr>
          <w:trHeight w:val="87"/>
        </w:trPr>
        <w:tc>
          <w:tcPr>
            <w:tcW w:w="9017" w:type="dxa"/>
            <w:gridSpan w:val="5"/>
            <w:shd w:val="clear" w:color="auto" w:fill="auto"/>
            <w:vAlign w:val="center"/>
          </w:tcPr>
          <w:p w14:paraId="2BA2CD4E" w14:textId="77777777" w:rsidR="004D1EA7" w:rsidRPr="00D23701" w:rsidRDefault="004D1EA7" w:rsidP="0005097F">
            <w:pPr>
              <w:keepNext/>
              <w:jc w:val="left"/>
              <w:rPr>
                <w:rFonts w:ascii="Arial Narrow" w:eastAsiaTheme="minorEastAsia" w:hAnsi="Arial Narrow" w:cs="Times New Roman"/>
                <w:bCs/>
                <w:sz w:val="20"/>
                <w:szCs w:val="20"/>
                <w:lang w:eastAsia="en-US"/>
              </w:rPr>
            </w:pPr>
            <w:r w:rsidRPr="00D23701">
              <w:rPr>
                <w:rFonts w:ascii="Arial Narrow" w:eastAsiaTheme="minorEastAsia" w:hAnsi="Arial Narrow" w:cs="Times New Roman"/>
                <w:b/>
                <w:bCs/>
                <w:sz w:val="20"/>
                <w:szCs w:val="20"/>
                <w:lang w:eastAsia="en-US"/>
              </w:rPr>
              <w:t>Serious adverse event</w:t>
            </w:r>
          </w:p>
        </w:tc>
      </w:tr>
      <w:tr w:rsidR="004D1EA7" w:rsidRPr="00CC2410" w14:paraId="579BA273" w14:textId="77777777" w:rsidTr="004D1EA7">
        <w:trPr>
          <w:trHeight w:val="87"/>
        </w:trPr>
        <w:tc>
          <w:tcPr>
            <w:tcW w:w="2689" w:type="dxa"/>
            <w:shd w:val="clear" w:color="auto" w:fill="auto"/>
            <w:vAlign w:val="center"/>
          </w:tcPr>
          <w:p w14:paraId="7C51E9D6" w14:textId="77777777" w:rsidR="004D1EA7" w:rsidRPr="00CC2410" w:rsidRDefault="004D1EA7" w:rsidP="0005097F">
            <w:pPr>
              <w:keepNext/>
              <w:jc w:val="left"/>
              <w:rPr>
                <w:rFonts w:ascii="Arial Narrow" w:hAnsi="Arial Narrow"/>
                <w:iCs/>
                <w:sz w:val="20"/>
                <w:szCs w:val="20"/>
                <w:lang w:val="it-IT"/>
              </w:rPr>
            </w:pPr>
            <w:r w:rsidRPr="00CC2410">
              <w:rPr>
                <w:rFonts w:ascii="Arial Narrow" w:hAnsi="Arial Narrow"/>
                <w:iCs/>
                <w:sz w:val="20"/>
                <w:szCs w:val="20"/>
                <w:lang w:val="it-IT"/>
              </w:rPr>
              <w:t>MIRI SC 200mg v PBO (LUCENT 2)</w:t>
            </w:r>
          </w:p>
        </w:tc>
        <w:tc>
          <w:tcPr>
            <w:tcW w:w="1582" w:type="dxa"/>
            <w:shd w:val="clear" w:color="auto" w:fill="auto"/>
            <w:vAlign w:val="center"/>
          </w:tcPr>
          <w:p w14:paraId="6D84C255"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13/389 (3.3)</w:t>
            </w:r>
          </w:p>
        </w:tc>
        <w:tc>
          <w:tcPr>
            <w:tcW w:w="1582" w:type="dxa"/>
            <w:shd w:val="clear" w:color="auto" w:fill="auto"/>
            <w:vAlign w:val="center"/>
          </w:tcPr>
          <w:p w14:paraId="19202002" w14:textId="77777777" w:rsidR="004D1EA7" w:rsidRPr="00CC2410" w:rsidRDefault="004D1EA7" w:rsidP="0005097F">
            <w:pPr>
              <w:keepNext/>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15/192 (7.8)</w:t>
            </w:r>
          </w:p>
        </w:tc>
        <w:tc>
          <w:tcPr>
            <w:tcW w:w="1582" w:type="dxa"/>
            <w:shd w:val="clear" w:color="auto" w:fill="auto"/>
            <w:vAlign w:val="center"/>
          </w:tcPr>
          <w:p w14:paraId="00789A36"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
                <w:bCs/>
                <w:sz w:val="20"/>
                <w:szCs w:val="20"/>
                <w:lang w:eastAsia="en-US"/>
              </w:rPr>
              <w:t>0.43 (0.21, 0.88)</w:t>
            </w:r>
          </w:p>
        </w:tc>
        <w:tc>
          <w:tcPr>
            <w:tcW w:w="1582" w:type="dxa"/>
            <w:shd w:val="clear" w:color="auto" w:fill="auto"/>
            <w:vAlign w:val="center"/>
          </w:tcPr>
          <w:p w14:paraId="2DC0C6E9" w14:textId="77777777" w:rsidR="004D1EA7" w:rsidRPr="00D23701" w:rsidRDefault="004D1EA7" w:rsidP="0005097F">
            <w:pPr>
              <w:keepNext/>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sz w:val="20"/>
                <w:szCs w:val="20"/>
                <w:lang w:eastAsia="en-US"/>
              </w:rPr>
              <w:t>-0.04 (-0.09, -0.00)</w:t>
            </w:r>
          </w:p>
        </w:tc>
      </w:tr>
      <w:tr w:rsidR="004D1EA7" w:rsidRPr="00CC2410" w14:paraId="36699198" w14:textId="77777777" w:rsidTr="004D1EA7">
        <w:trPr>
          <w:trHeight w:val="87"/>
        </w:trPr>
        <w:tc>
          <w:tcPr>
            <w:tcW w:w="2689" w:type="dxa"/>
            <w:shd w:val="clear" w:color="auto" w:fill="C6D9F1" w:themeFill="text2" w:themeFillTint="33"/>
            <w:vAlign w:val="center"/>
          </w:tcPr>
          <w:p w14:paraId="08B3F7E6" w14:textId="77777777" w:rsidR="004D1EA7" w:rsidRPr="00CC2410" w:rsidRDefault="004D1EA7" w:rsidP="004D1EA7">
            <w:pPr>
              <w:jc w:val="left"/>
              <w:rPr>
                <w:rFonts w:ascii="Arial Narrow" w:eastAsiaTheme="minorEastAsia" w:hAnsi="Arial Narrow" w:cs="Times New Roman"/>
                <w:iCs/>
                <w:sz w:val="20"/>
                <w:szCs w:val="20"/>
                <w:lang w:eastAsia="en-US"/>
              </w:rPr>
            </w:pPr>
            <w:r w:rsidRPr="00CC2410">
              <w:rPr>
                <w:rFonts w:ascii="Arial Narrow" w:hAnsi="Arial Narrow"/>
                <w:iCs/>
                <w:sz w:val="20"/>
                <w:szCs w:val="20"/>
              </w:rPr>
              <w:t>VDZ IV 300mg or SC 108mg pooled v PBO (MA: GEMINI-1, VISIBLE 1, Motoya)</w:t>
            </w:r>
          </w:p>
        </w:tc>
        <w:tc>
          <w:tcPr>
            <w:tcW w:w="1582" w:type="dxa"/>
            <w:shd w:val="clear" w:color="auto" w:fill="C6D9F1" w:themeFill="text2" w:themeFillTint="33"/>
            <w:vAlign w:val="center"/>
          </w:tcPr>
          <w:p w14:paraId="7B39F3BD" w14:textId="77777777" w:rsidR="004D1EA7" w:rsidRPr="00CC2410" w:rsidRDefault="004D1EA7" w:rsidP="004D1EA7">
            <w:pPr>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bCs/>
                <w:iCs/>
                <w:sz w:val="20"/>
                <w:szCs w:val="20"/>
                <w:lang w:eastAsia="en-US"/>
              </w:rPr>
              <w:t>98/821 (11.9)</w:t>
            </w:r>
          </w:p>
        </w:tc>
        <w:tc>
          <w:tcPr>
            <w:tcW w:w="1582" w:type="dxa"/>
            <w:shd w:val="clear" w:color="auto" w:fill="C6D9F1" w:themeFill="text2" w:themeFillTint="33"/>
            <w:vAlign w:val="center"/>
          </w:tcPr>
          <w:p w14:paraId="79489AE9" w14:textId="77777777" w:rsidR="004D1EA7" w:rsidRPr="00CC2410" w:rsidRDefault="004D1EA7" w:rsidP="004D1EA7">
            <w:pPr>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bCs/>
                <w:iCs/>
                <w:sz w:val="20"/>
                <w:szCs w:val="20"/>
                <w:lang w:eastAsia="en-US"/>
              </w:rPr>
              <w:t>46/373 (12.3)</w:t>
            </w:r>
          </w:p>
        </w:tc>
        <w:tc>
          <w:tcPr>
            <w:tcW w:w="1582" w:type="dxa"/>
            <w:shd w:val="clear" w:color="auto" w:fill="C6D9F1" w:themeFill="text2" w:themeFillTint="33"/>
            <w:vAlign w:val="center"/>
          </w:tcPr>
          <w:p w14:paraId="716BC338" w14:textId="77777777" w:rsidR="004D1EA7" w:rsidRPr="00D23701" w:rsidRDefault="004D1EA7" w:rsidP="004D1EA7">
            <w:pPr>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0.95 (0.69, 1.32)</w:t>
            </w:r>
          </w:p>
        </w:tc>
        <w:tc>
          <w:tcPr>
            <w:tcW w:w="1582" w:type="dxa"/>
            <w:shd w:val="clear" w:color="auto" w:fill="C6D9F1" w:themeFill="text2" w:themeFillTint="33"/>
            <w:vAlign w:val="center"/>
          </w:tcPr>
          <w:p w14:paraId="4E2D2ECF" w14:textId="77777777" w:rsidR="004D1EA7" w:rsidRPr="00D23701" w:rsidRDefault="004D1EA7" w:rsidP="004D1EA7">
            <w:pPr>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0.00 (-0.04, 0.04)</w:t>
            </w:r>
          </w:p>
        </w:tc>
      </w:tr>
      <w:tr w:rsidR="004D1EA7" w:rsidRPr="00CC2410" w14:paraId="0DB22F1F" w14:textId="77777777" w:rsidTr="004D1EA7">
        <w:trPr>
          <w:trHeight w:val="87"/>
        </w:trPr>
        <w:tc>
          <w:tcPr>
            <w:tcW w:w="2689" w:type="dxa"/>
            <w:shd w:val="clear" w:color="auto" w:fill="C6D9F1" w:themeFill="text2" w:themeFillTint="33"/>
            <w:vAlign w:val="center"/>
          </w:tcPr>
          <w:p w14:paraId="0B033842" w14:textId="77777777" w:rsidR="004D1EA7" w:rsidRPr="00CC2410" w:rsidRDefault="004D1EA7" w:rsidP="004D1EA7">
            <w:pPr>
              <w:jc w:val="left"/>
              <w:rPr>
                <w:rFonts w:ascii="Arial Narrow" w:hAnsi="Arial Narrow"/>
                <w:iCs/>
                <w:sz w:val="20"/>
                <w:szCs w:val="20"/>
                <w:lang w:val="pt-PT"/>
              </w:rPr>
            </w:pPr>
            <w:r w:rsidRPr="00CC2410">
              <w:rPr>
                <w:rFonts w:ascii="Arial Narrow" w:hAnsi="Arial Narrow"/>
                <w:iCs/>
                <w:sz w:val="20"/>
                <w:szCs w:val="20"/>
                <w:lang w:val="pt-PT"/>
              </w:rPr>
              <w:t>ADA 80mg v PBO (ULTRA 2)</w:t>
            </w:r>
          </w:p>
        </w:tc>
        <w:tc>
          <w:tcPr>
            <w:tcW w:w="1582" w:type="dxa"/>
            <w:shd w:val="clear" w:color="auto" w:fill="C6D9F1" w:themeFill="text2" w:themeFillTint="33"/>
            <w:vAlign w:val="center"/>
          </w:tcPr>
          <w:p w14:paraId="1591ECC2" w14:textId="77777777" w:rsidR="004D1EA7" w:rsidRPr="00CC2410" w:rsidRDefault="004D1EA7" w:rsidP="004D1EA7">
            <w:pPr>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bCs/>
                <w:sz w:val="20"/>
                <w:szCs w:val="20"/>
                <w:lang w:eastAsia="en-US"/>
              </w:rPr>
              <w:t>31/257 (12.1)</w:t>
            </w:r>
          </w:p>
        </w:tc>
        <w:tc>
          <w:tcPr>
            <w:tcW w:w="1582" w:type="dxa"/>
            <w:shd w:val="clear" w:color="auto" w:fill="C6D9F1" w:themeFill="text2" w:themeFillTint="33"/>
            <w:vAlign w:val="center"/>
          </w:tcPr>
          <w:p w14:paraId="1A348B79" w14:textId="77777777" w:rsidR="004D1EA7" w:rsidRPr="00CC2410" w:rsidRDefault="004D1EA7" w:rsidP="004D1EA7">
            <w:pPr>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bCs/>
                <w:sz w:val="20"/>
                <w:szCs w:val="20"/>
                <w:lang w:eastAsia="en-US"/>
              </w:rPr>
              <w:t>32/260 (12.3)</w:t>
            </w:r>
          </w:p>
        </w:tc>
        <w:tc>
          <w:tcPr>
            <w:tcW w:w="1582" w:type="dxa"/>
            <w:shd w:val="clear" w:color="auto" w:fill="C6D9F1" w:themeFill="text2" w:themeFillTint="33"/>
            <w:vAlign w:val="center"/>
          </w:tcPr>
          <w:p w14:paraId="6CD74EE3" w14:textId="77777777" w:rsidR="004D1EA7" w:rsidRPr="00D23701" w:rsidRDefault="004D1EA7" w:rsidP="004D1EA7">
            <w:pPr>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0.98 (0.62, 1.56)</w:t>
            </w:r>
          </w:p>
        </w:tc>
        <w:tc>
          <w:tcPr>
            <w:tcW w:w="1582" w:type="dxa"/>
            <w:shd w:val="clear" w:color="auto" w:fill="C6D9F1" w:themeFill="text2" w:themeFillTint="33"/>
            <w:vAlign w:val="center"/>
          </w:tcPr>
          <w:p w14:paraId="1AFA4192" w14:textId="77777777" w:rsidR="004D1EA7" w:rsidRPr="00D23701" w:rsidRDefault="004D1EA7" w:rsidP="004D1EA7">
            <w:pPr>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0.00 (-0.06, 0.05)</w:t>
            </w:r>
          </w:p>
        </w:tc>
      </w:tr>
      <w:tr w:rsidR="004D1EA7" w:rsidRPr="00CC2410" w14:paraId="51711958" w14:textId="77777777" w:rsidTr="004D1EA7">
        <w:trPr>
          <w:trHeight w:val="87"/>
        </w:trPr>
        <w:tc>
          <w:tcPr>
            <w:tcW w:w="2689" w:type="dxa"/>
            <w:shd w:val="clear" w:color="auto" w:fill="C6D9F1" w:themeFill="text2" w:themeFillTint="33"/>
            <w:vAlign w:val="center"/>
          </w:tcPr>
          <w:p w14:paraId="07C66AC4" w14:textId="77777777" w:rsidR="004D1EA7" w:rsidRPr="00CC2410" w:rsidRDefault="004D1EA7" w:rsidP="004D1EA7">
            <w:pPr>
              <w:jc w:val="left"/>
              <w:rPr>
                <w:rFonts w:ascii="Arial Narrow" w:hAnsi="Arial Narrow"/>
                <w:iCs/>
                <w:sz w:val="20"/>
                <w:szCs w:val="20"/>
              </w:rPr>
            </w:pPr>
            <w:r w:rsidRPr="00CC2410">
              <w:rPr>
                <w:rFonts w:ascii="Arial Narrow" w:hAnsi="Arial Narrow"/>
                <w:iCs/>
                <w:sz w:val="20"/>
                <w:szCs w:val="20"/>
              </w:rPr>
              <w:t>UST SC 90 mg Q8W or Q12 QW pooled v PBO (UNIFI)</w:t>
            </w:r>
          </w:p>
        </w:tc>
        <w:tc>
          <w:tcPr>
            <w:tcW w:w="1582" w:type="dxa"/>
            <w:shd w:val="clear" w:color="auto" w:fill="C6D9F1" w:themeFill="text2" w:themeFillTint="33"/>
            <w:vAlign w:val="center"/>
          </w:tcPr>
          <w:p w14:paraId="61FAA503"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28/348 (8.0)</w:t>
            </w:r>
          </w:p>
        </w:tc>
        <w:tc>
          <w:tcPr>
            <w:tcW w:w="1582" w:type="dxa"/>
            <w:shd w:val="clear" w:color="auto" w:fill="C6D9F1" w:themeFill="text2" w:themeFillTint="33"/>
            <w:vAlign w:val="center"/>
          </w:tcPr>
          <w:p w14:paraId="67994CB0"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17/175 (9.7)</w:t>
            </w:r>
          </w:p>
        </w:tc>
        <w:tc>
          <w:tcPr>
            <w:tcW w:w="1582" w:type="dxa"/>
            <w:shd w:val="clear" w:color="auto" w:fill="C6D9F1" w:themeFill="text2" w:themeFillTint="33"/>
            <w:vAlign w:val="center"/>
          </w:tcPr>
          <w:p w14:paraId="7F1FEBA7" w14:textId="77777777" w:rsidR="004D1EA7" w:rsidRPr="00D23701" w:rsidRDefault="004D1EA7" w:rsidP="004D1EA7">
            <w:pPr>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sz w:val="20"/>
                <w:szCs w:val="20"/>
                <w:lang w:eastAsia="en-US"/>
              </w:rPr>
              <w:t>0.83 (0.47, 1.47)</w:t>
            </w:r>
          </w:p>
        </w:tc>
        <w:tc>
          <w:tcPr>
            <w:tcW w:w="1582" w:type="dxa"/>
            <w:shd w:val="clear" w:color="auto" w:fill="C6D9F1" w:themeFill="text2" w:themeFillTint="33"/>
            <w:vAlign w:val="center"/>
          </w:tcPr>
          <w:p w14:paraId="06A05F35" w14:textId="77777777" w:rsidR="004D1EA7" w:rsidRPr="00D23701" w:rsidRDefault="004D1EA7" w:rsidP="004D1EA7">
            <w:pPr>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sz w:val="20"/>
                <w:szCs w:val="20"/>
                <w:lang w:eastAsia="en-US"/>
              </w:rPr>
              <w:t>-0.02 (-0.07, 0.04)</w:t>
            </w:r>
          </w:p>
        </w:tc>
      </w:tr>
      <w:tr w:rsidR="004D1EA7" w:rsidRPr="00CC2410" w14:paraId="68B762B0" w14:textId="77777777" w:rsidTr="004D1EA7">
        <w:trPr>
          <w:trHeight w:val="247"/>
        </w:trPr>
        <w:tc>
          <w:tcPr>
            <w:tcW w:w="9017" w:type="dxa"/>
            <w:gridSpan w:val="5"/>
            <w:shd w:val="clear" w:color="auto" w:fill="auto"/>
            <w:vAlign w:val="center"/>
          </w:tcPr>
          <w:p w14:paraId="7AE61B6F" w14:textId="77777777" w:rsidR="004D1EA7" w:rsidRPr="00D23701" w:rsidRDefault="004D1EA7" w:rsidP="004D1EA7">
            <w:pPr>
              <w:jc w:val="left"/>
              <w:rPr>
                <w:rFonts w:ascii="Arial Narrow" w:eastAsiaTheme="minorEastAsia" w:hAnsi="Arial Narrow" w:cs="Times New Roman"/>
                <w:b/>
                <w:bCs/>
                <w:sz w:val="20"/>
                <w:szCs w:val="20"/>
                <w:lang w:eastAsia="en-US"/>
              </w:rPr>
            </w:pPr>
            <w:r w:rsidRPr="00D23701">
              <w:rPr>
                <w:rFonts w:ascii="Arial Narrow" w:eastAsiaTheme="minorEastAsia" w:hAnsi="Arial Narrow" w:cs="Times New Roman"/>
                <w:b/>
                <w:bCs/>
                <w:sz w:val="20"/>
                <w:szCs w:val="20"/>
                <w:lang w:eastAsia="en-US"/>
              </w:rPr>
              <w:t>Discontinuation due to adverse events</w:t>
            </w:r>
          </w:p>
        </w:tc>
      </w:tr>
      <w:tr w:rsidR="004D1EA7" w:rsidRPr="00CC2410" w14:paraId="177D3292" w14:textId="77777777" w:rsidTr="004D1EA7">
        <w:trPr>
          <w:trHeight w:val="70"/>
        </w:trPr>
        <w:tc>
          <w:tcPr>
            <w:tcW w:w="2689" w:type="dxa"/>
            <w:shd w:val="clear" w:color="auto" w:fill="auto"/>
            <w:vAlign w:val="center"/>
          </w:tcPr>
          <w:p w14:paraId="5E51F365" w14:textId="77777777" w:rsidR="004D1EA7" w:rsidRPr="00CC2410" w:rsidRDefault="004D1EA7" w:rsidP="004D1EA7">
            <w:pPr>
              <w:jc w:val="left"/>
              <w:rPr>
                <w:rFonts w:ascii="Arial Narrow" w:hAnsi="Arial Narrow"/>
                <w:iCs/>
                <w:sz w:val="20"/>
                <w:szCs w:val="20"/>
                <w:lang w:val="it-IT"/>
              </w:rPr>
            </w:pPr>
            <w:r w:rsidRPr="00CC2410">
              <w:rPr>
                <w:rFonts w:ascii="Arial Narrow" w:hAnsi="Arial Narrow"/>
                <w:iCs/>
                <w:sz w:val="20"/>
                <w:szCs w:val="20"/>
                <w:lang w:val="it-IT"/>
              </w:rPr>
              <w:t>MIRI SC 200mg v PBO (LUCENT 2)</w:t>
            </w:r>
          </w:p>
        </w:tc>
        <w:tc>
          <w:tcPr>
            <w:tcW w:w="1582" w:type="dxa"/>
            <w:shd w:val="clear" w:color="auto" w:fill="auto"/>
            <w:vAlign w:val="center"/>
          </w:tcPr>
          <w:p w14:paraId="08F35465"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sz w:val="20"/>
                <w:szCs w:val="20"/>
                <w:lang w:eastAsia="en-US"/>
              </w:rPr>
              <w:t>6/389 (1.5)</w:t>
            </w:r>
          </w:p>
        </w:tc>
        <w:tc>
          <w:tcPr>
            <w:tcW w:w="1582" w:type="dxa"/>
            <w:shd w:val="clear" w:color="auto" w:fill="auto"/>
            <w:vAlign w:val="center"/>
          </w:tcPr>
          <w:p w14:paraId="79F94CFA"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sz w:val="20"/>
                <w:szCs w:val="20"/>
                <w:lang w:eastAsia="en-US"/>
              </w:rPr>
              <w:t>16/192 (8.3)</w:t>
            </w:r>
          </w:p>
        </w:tc>
        <w:tc>
          <w:tcPr>
            <w:tcW w:w="1582" w:type="dxa"/>
            <w:shd w:val="clear" w:color="auto" w:fill="auto"/>
            <w:vAlign w:val="center"/>
          </w:tcPr>
          <w:p w14:paraId="6C0B0C0D" w14:textId="77777777" w:rsidR="004D1EA7" w:rsidRPr="00D23701" w:rsidRDefault="004D1EA7" w:rsidP="004D1EA7">
            <w:pPr>
              <w:jc w:val="center"/>
              <w:rPr>
                <w:rFonts w:ascii="Arial Narrow" w:eastAsiaTheme="minorEastAsia" w:hAnsi="Arial Narrow" w:cs="Times New Roman"/>
                <w:sz w:val="20"/>
                <w:szCs w:val="20"/>
                <w:lang w:eastAsia="en-US"/>
              </w:rPr>
            </w:pPr>
            <w:r w:rsidRPr="00D23701">
              <w:rPr>
                <w:rFonts w:ascii="Arial Narrow" w:eastAsiaTheme="minorEastAsia" w:hAnsi="Arial Narrow" w:cs="Times New Roman"/>
                <w:b/>
                <w:bCs/>
                <w:sz w:val="20"/>
                <w:szCs w:val="20"/>
                <w:lang w:eastAsia="en-US"/>
              </w:rPr>
              <w:t>0.19 (0.07, 0.47)</w:t>
            </w:r>
          </w:p>
        </w:tc>
        <w:tc>
          <w:tcPr>
            <w:tcW w:w="1582" w:type="dxa"/>
            <w:shd w:val="clear" w:color="auto" w:fill="auto"/>
            <w:vAlign w:val="center"/>
          </w:tcPr>
          <w:p w14:paraId="7EDA4B06" w14:textId="77777777" w:rsidR="004D1EA7" w:rsidRPr="00D23701" w:rsidRDefault="004D1EA7" w:rsidP="004D1EA7">
            <w:pPr>
              <w:jc w:val="center"/>
              <w:rPr>
                <w:rFonts w:ascii="Arial Narrow" w:eastAsiaTheme="minorEastAsia" w:hAnsi="Arial Narrow" w:cs="Times New Roman"/>
                <w:sz w:val="20"/>
                <w:szCs w:val="20"/>
                <w:lang w:eastAsia="en-US"/>
              </w:rPr>
            </w:pPr>
            <w:r w:rsidRPr="00D23701">
              <w:rPr>
                <w:rFonts w:ascii="Arial Narrow" w:eastAsiaTheme="minorEastAsia" w:hAnsi="Arial Narrow" w:cs="Times New Roman"/>
                <w:b/>
                <w:bCs/>
                <w:sz w:val="20"/>
                <w:szCs w:val="20"/>
                <w:lang w:eastAsia="en-US"/>
              </w:rPr>
              <w:t>-0.07 (-0.11, -0.03)</w:t>
            </w:r>
          </w:p>
        </w:tc>
      </w:tr>
      <w:tr w:rsidR="004D1EA7" w:rsidRPr="00CC2410" w14:paraId="0FFFACE9" w14:textId="77777777" w:rsidTr="004D1EA7">
        <w:trPr>
          <w:trHeight w:val="70"/>
        </w:trPr>
        <w:tc>
          <w:tcPr>
            <w:tcW w:w="2689" w:type="dxa"/>
            <w:shd w:val="clear" w:color="auto" w:fill="C6D9F1" w:themeFill="text2" w:themeFillTint="33"/>
            <w:vAlign w:val="center"/>
          </w:tcPr>
          <w:p w14:paraId="3909DB96" w14:textId="77777777" w:rsidR="004D1EA7" w:rsidRPr="00CC2410" w:rsidRDefault="004D1EA7" w:rsidP="004D1EA7">
            <w:pPr>
              <w:jc w:val="left"/>
              <w:rPr>
                <w:rFonts w:ascii="Arial Narrow" w:eastAsiaTheme="minorEastAsia" w:hAnsi="Arial Narrow" w:cs="Times New Roman"/>
                <w:iCs/>
                <w:sz w:val="20"/>
                <w:szCs w:val="20"/>
                <w:lang w:val="it-IT" w:eastAsia="en-US"/>
              </w:rPr>
            </w:pPr>
            <w:r w:rsidRPr="00CC2410">
              <w:rPr>
                <w:rFonts w:ascii="Arial Narrow" w:hAnsi="Arial Narrow"/>
                <w:iCs/>
                <w:sz w:val="20"/>
                <w:szCs w:val="20"/>
                <w:lang w:val="it-IT"/>
              </w:rPr>
              <w:t>VDZ 300mg v PBO (MA: Motoya, VISIBLE 1)</w:t>
            </w:r>
          </w:p>
        </w:tc>
        <w:tc>
          <w:tcPr>
            <w:tcW w:w="1582" w:type="dxa"/>
            <w:shd w:val="clear" w:color="auto" w:fill="C6D9F1" w:themeFill="text2" w:themeFillTint="33"/>
            <w:vAlign w:val="center"/>
          </w:tcPr>
          <w:p w14:paraId="4A39ED72" w14:textId="77777777" w:rsidR="004D1EA7" w:rsidRPr="00CC2410" w:rsidRDefault="004D1EA7" w:rsidP="004D1EA7">
            <w:pPr>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9/201 (4.5)</w:t>
            </w:r>
          </w:p>
        </w:tc>
        <w:tc>
          <w:tcPr>
            <w:tcW w:w="1582" w:type="dxa"/>
            <w:shd w:val="clear" w:color="auto" w:fill="C6D9F1" w:themeFill="text2" w:themeFillTint="33"/>
            <w:vAlign w:val="center"/>
          </w:tcPr>
          <w:p w14:paraId="2B571418" w14:textId="77777777" w:rsidR="004D1EA7" w:rsidRPr="00CC2410" w:rsidRDefault="004D1EA7" w:rsidP="004D1EA7">
            <w:pPr>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11/98 (11.2)</w:t>
            </w:r>
          </w:p>
        </w:tc>
        <w:tc>
          <w:tcPr>
            <w:tcW w:w="1582" w:type="dxa"/>
            <w:shd w:val="clear" w:color="auto" w:fill="C6D9F1" w:themeFill="text2" w:themeFillTint="33"/>
            <w:vAlign w:val="center"/>
          </w:tcPr>
          <w:p w14:paraId="46AAA2DA" w14:textId="77777777" w:rsidR="004D1EA7" w:rsidRPr="00D23701" w:rsidRDefault="004D1EA7" w:rsidP="004D1EA7">
            <w:pPr>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0.43 (0.18, 1.06)</w:t>
            </w:r>
          </w:p>
        </w:tc>
        <w:tc>
          <w:tcPr>
            <w:tcW w:w="1582" w:type="dxa"/>
            <w:shd w:val="clear" w:color="auto" w:fill="C6D9F1" w:themeFill="text2" w:themeFillTint="33"/>
            <w:vAlign w:val="center"/>
          </w:tcPr>
          <w:p w14:paraId="1B365FA3" w14:textId="77777777" w:rsidR="004D1EA7" w:rsidRPr="00D23701" w:rsidRDefault="004D1EA7" w:rsidP="004D1EA7">
            <w:pPr>
              <w:jc w:val="center"/>
              <w:rPr>
                <w:rFonts w:ascii="Arial Narrow" w:eastAsiaTheme="minorEastAsia" w:hAnsi="Arial Narrow" w:cs="Times New Roman"/>
                <w:bCs/>
                <w:sz w:val="20"/>
                <w:szCs w:val="20"/>
                <w:lang w:eastAsia="en-US"/>
              </w:rPr>
            </w:pPr>
            <w:r w:rsidRPr="00D23701">
              <w:rPr>
                <w:rFonts w:ascii="Arial Narrow" w:eastAsiaTheme="minorEastAsia" w:hAnsi="Arial Narrow" w:cs="Times New Roman"/>
                <w:bCs/>
                <w:sz w:val="20"/>
                <w:szCs w:val="20"/>
                <w:lang w:eastAsia="en-US"/>
              </w:rPr>
              <w:t>-0.06 (-0.13, 0.01)</w:t>
            </w:r>
          </w:p>
        </w:tc>
      </w:tr>
      <w:tr w:rsidR="004D1EA7" w:rsidRPr="00CC2410" w14:paraId="2AB72788" w14:textId="77777777" w:rsidTr="004D1EA7">
        <w:trPr>
          <w:trHeight w:val="70"/>
        </w:trPr>
        <w:tc>
          <w:tcPr>
            <w:tcW w:w="2689" w:type="dxa"/>
            <w:shd w:val="clear" w:color="auto" w:fill="C6D9F1" w:themeFill="text2" w:themeFillTint="33"/>
            <w:vAlign w:val="center"/>
          </w:tcPr>
          <w:p w14:paraId="5E991F10" w14:textId="77777777" w:rsidR="004D1EA7" w:rsidRPr="00CC2410" w:rsidRDefault="004D1EA7" w:rsidP="004D1EA7">
            <w:pPr>
              <w:jc w:val="left"/>
              <w:rPr>
                <w:rFonts w:ascii="Arial Narrow" w:hAnsi="Arial Narrow"/>
                <w:iCs/>
                <w:sz w:val="20"/>
                <w:szCs w:val="20"/>
                <w:lang w:val="pt-PT"/>
              </w:rPr>
            </w:pPr>
            <w:r w:rsidRPr="00CC2410">
              <w:rPr>
                <w:rFonts w:ascii="Arial Narrow" w:hAnsi="Arial Narrow"/>
                <w:iCs/>
                <w:sz w:val="20"/>
                <w:szCs w:val="20"/>
                <w:lang w:val="pt-PT"/>
              </w:rPr>
              <w:t>ADA 80mg v PBO (ULTRA 2)</w:t>
            </w:r>
          </w:p>
        </w:tc>
        <w:tc>
          <w:tcPr>
            <w:tcW w:w="1582" w:type="dxa"/>
            <w:shd w:val="clear" w:color="auto" w:fill="C6D9F1" w:themeFill="text2" w:themeFillTint="33"/>
            <w:vAlign w:val="center"/>
          </w:tcPr>
          <w:p w14:paraId="3349A066" w14:textId="77777777" w:rsidR="004D1EA7" w:rsidRPr="00CC2410" w:rsidRDefault="004D1EA7" w:rsidP="004D1EA7">
            <w:pPr>
              <w:jc w:val="center"/>
              <w:rPr>
                <w:rFonts w:ascii="Arial Narrow" w:eastAsiaTheme="minorEastAsia" w:hAnsi="Arial Narrow" w:cs="Times New Roman"/>
                <w:iCs/>
                <w:sz w:val="20"/>
                <w:szCs w:val="20"/>
                <w:lang w:eastAsia="en-US"/>
              </w:rPr>
            </w:pPr>
            <w:r w:rsidRPr="00CC2410">
              <w:rPr>
                <w:rFonts w:ascii="Arial Narrow" w:eastAsiaTheme="minorEastAsia" w:hAnsi="Arial Narrow" w:cs="Times New Roman"/>
                <w:bCs/>
                <w:iCs/>
                <w:sz w:val="20"/>
                <w:szCs w:val="20"/>
                <w:lang w:eastAsia="en-US"/>
              </w:rPr>
              <w:t>23/257 (8.9)</w:t>
            </w:r>
          </w:p>
        </w:tc>
        <w:tc>
          <w:tcPr>
            <w:tcW w:w="1582" w:type="dxa"/>
            <w:shd w:val="clear" w:color="auto" w:fill="C6D9F1" w:themeFill="text2" w:themeFillTint="33"/>
            <w:vAlign w:val="center"/>
          </w:tcPr>
          <w:p w14:paraId="2A9B3F00" w14:textId="77777777" w:rsidR="004D1EA7" w:rsidRPr="00CC2410" w:rsidRDefault="004D1EA7" w:rsidP="004D1EA7">
            <w:pPr>
              <w:jc w:val="center"/>
              <w:rPr>
                <w:rFonts w:ascii="Arial Narrow" w:eastAsiaTheme="minorEastAsia" w:hAnsi="Arial Narrow" w:cs="Times New Roman"/>
                <w:iCs/>
                <w:sz w:val="20"/>
                <w:szCs w:val="20"/>
                <w:lang w:eastAsia="en-US"/>
              </w:rPr>
            </w:pPr>
            <w:r w:rsidRPr="00CC2410">
              <w:rPr>
                <w:rFonts w:ascii="Arial Narrow" w:eastAsiaTheme="minorEastAsia" w:hAnsi="Arial Narrow" w:cs="Times New Roman"/>
                <w:bCs/>
                <w:iCs/>
                <w:sz w:val="20"/>
                <w:szCs w:val="20"/>
                <w:lang w:eastAsia="en-US"/>
              </w:rPr>
              <w:t>34/260 (13.1)</w:t>
            </w:r>
          </w:p>
        </w:tc>
        <w:tc>
          <w:tcPr>
            <w:tcW w:w="1582" w:type="dxa"/>
            <w:shd w:val="clear" w:color="auto" w:fill="C6D9F1" w:themeFill="text2" w:themeFillTint="33"/>
            <w:vAlign w:val="center"/>
          </w:tcPr>
          <w:p w14:paraId="20CCA397" w14:textId="77777777" w:rsidR="004D1EA7" w:rsidRPr="00D23701" w:rsidRDefault="004D1EA7" w:rsidP="004D1EA7">
            <w:pPr>
              <w:jc w:val="center"/>
              <w:rPr>
                <w:rFonts w:ascii="Arial Narrow" w:eastAsiaTheme="minorEastAsia" w:hAnsi="Arial Narrow" w:cs="Times New Roman"/>
                <w:bCs/>
                <w:iCs/>
                <w:sz w:val="20"/>
                <w:szCs w:val="20"/>
                <w:lang w:eastAsia="en-US"/>
              </w:rPr>
            </w:pPr>
            <w:r w:rsidRPr="00D23701">
              <w:rPr>
                <w:rFonts w:ascii="Arial Narrow" w:eastAsiaTheme="minorEastAsia" w:hAnsi="Arial Narrow" w:cs="Times New Roman"/>
                <w:bCs/>
                <w:iCs/>
                <w:sz w:val="20"/>
                <w:szCs w:val="20"/>
                <w:lang w:eastAsia="en-US"/>
              </w:rPr>
              <w:t>0.68 (0.41, 1.13)</w:t>
            </w:r>
          </w:p>
        </w:tc>
        <w:tc>
          <w:tcPr>
            <w:tcW w:w="1582" w:type="dxa"/>
            <w:shd w:val="clear" w:color="auto" w:fill="C6D9F1" w:themeFill="text2" w:themeFillTint="33"/>
            <w:vAlign w:val="center"/>
          </w:tcPr>
          <w:p w14:paraId="65ACA15C" w14:textId="77777777" w:rsidR="004D1EA7" w:rsidRPr="00D23701" w:rsidRDefault="004D1EA7" w:rsidP="004D1EA7">
            <w:pPr>
              <w:jc w:val="center"/>
              <w:rPr>
                <w:rFonts w:ascii="Arial Narrow" w:eastAsiaTheme="minorEastAsia" w:hAnsi="Arial Narrow" w:cs="Times New Roman"/>
                <w:bCs/>
                <w:iCs/>
                <w:sz w:val="20"/>
                <w:szCs w:val="20"/>
                <w:lang w:eastAsia="en-US"/>
              </w:rPr>
            </w:pPr>
            <w:r w:rsidRPr="00D23701">
              <w:rPr>
                <w:rFonts w:ascii="Arial Narrow" w:eastAsiaTheme="minorEastAsia" w:hAnsi="Arial Narrow" w:cs="Times New Roman"/>
                <w:bCs/>
                <w:iCs/>
                <w:sz w:val="20"/>
                <w:szCs w:val="20"/>
                <w:lang w:eastAsia="en-US"/>
              </w:rPr>
              <w:t>-0.04 (-0.10, 0.01)</w:t>
            </w:r>
          </w:p>
        </w:tc>
      </w:tr>
      <w:tr w:rsidR="004D1EA7" w:rsidRPr="00CC2410" w14:paraId="6B976DC5" w14:textId="77777777" w:rsidTr="004D1EA7">
        <w:trPr>
          <w:trHeight w:val="70"/>
        </w:trPr>
        <w:tc>
          <w:tcPr>
            <w:tcW w:w="2689" w:type="dxa"/>
            <w:shd w:val="clear" w:color="auto" w:fill="C6D9F1" w:themeFill="text2" w:themeFillTint="33"/>
            <w:vAlign w:val="center"/>
          </w:tcPr>
          <w:p w14:paraId="4F744F77" w14:textId="77777777" w:rsidR="004D1EA7" w:rsidRPr="00CC2410" w:rsidRDefault="004D1EA7" w:rsidP="004D1EA7">
            <w:pPr>
              <w:jc w:val="left"/>
              <w:rPr>
                <w:rFonts w:ascii="Arial Narrow" w:hAnsi="Arial Narrow"/>
                <w:iCs/>
                <w:sz w:val="20"/>
                <w:szCs w:val="20"/>
              </w:rPr>
            </w:pPr>
            <w:r w:rsidRPr="00CC2410">
              <w:rPr>
                <w:rFonts w:ascii="Arial Narrow" w:hAnsi="Arial Narrow"/>
                <w:iCs/>
                <w:sz w:val="20"/>
                <w:szCs w:val="20"/>
              </w:rPr>
              <w:t>UST SC 90 mg Q8W or Q12 QW pooled v PBO (UNIFI)</w:t>
            </w:r>
          </w:p>
        </w:tc>
        <w:tc>
          <w:tcPr>
            <w:tcW w:w="1582" w:type="dxa"/>
            <w:shd w:val="clear" w:color="auto" w:fill="C6D9F1" w:themeFill="text2" w:themeFillTint="33"/>
            <w:vAlign w:val="center"/>
          </w:tcPr>
          <w:p w14:paraId="3C1977E0" w14:textId="77777777" w:rsidR="004D1EA7" w:rsidRPr="00CC2410" w:rsidRDefault="004D1EA7" w:rsidP="004D1EA7">
            <w:pPr>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14/348 (4.0)</w:t>
            </w:r>
          </w:p>
        </w:tc>
        <w:tc>
          <w:tcPr>
            <w:tcW w:w="1582" w:type="dxa"/>
            <w:shd w:val="clear" w:color="auto" w:fill="C6D9F1" w:themeFill="text2" w:themeFillTint="33"/>
            <w:vAlign w:val="center"/>
          </w:tcPr>
          <w:p w14:paraId="38189894" w14:textId="77777777" w:rsidR="004D1EA7" w:rsidRPr="00CC2410" w:rsidRDefault="004D1EA7" w:rsidP="004D1EA7">
            <w:pPr>
              <w:jc w:val="center"/>
              <w:rPr>
                <w:rFonts w:ascii="Arial Narrow" w:eastAsiaTheme="minorEastAsia" w:hAnsi="Arial Narrow" w:cs="Times New Roman"/>
                <w:bCs/>
                <w:iCs/>
                <w:sz w:val="20"/>
                <w:szCs w:val="20"/>
                <w:lang w:eastAsia="en-US"/>
              </w:rPr>
            </w:pPr>
            <w:r w:rsidRPr="00CC2410">
              <w:rPr>
                <w:rFonts w:ascii="Arial Narrow" w:eastAsiaTheme="minorEastAsia" w:hAnsi="Arial Narrow" w:cs="Times New Roman"/>
                <w:sz w:val="20"/>
                <w:szCs w:val="20"/>
                <w:lang w:eastAsia="en-US"/>
              </w:rPr>
              <w:t>20/175 (11.4)</w:t>
            </w:r>
          </w:p>
        </w:tc>
        <w:tc>
          <w:tcPr>
            <w:tcW w:w="1582" w:type="dxa"/>
            <w:shd w:val="clear" w:color="auto" w:fill="C6D9F1" w:themeFill="text2" w:themeFillTint="33"/>
            <w:vAlign w:val="center"/>
          </w:tcPr>
          <w:p w14:paraId="22A23531" w14:textId="77777777" w:rsidR="004D1EA7" w:rsidRPr="00D23701" w:rsidRDefault="004D1EA7" w:rsidP="004D1EA7">
            <w:pPr>
              <w:jc w:val="center"/>
              <w:rPr>
                <w:rFonts w:ascii="Arial Narrow" w:eastAsiaTheme="minorEastAsia" w:hAnsi="Arial Narrow" w:cs="Times New Roman"/>
                <w:bCs/>
                <w:iCs/>
                <w:sz w:val="20"/>
                <w:szCs w:val="20"/>
                <w:lang w:eastAsia="en-US"/>
              </w:rPr>
            </w:pPr>
            <w:r w:rsidRPr="00D23701">
              <w:rPr>
                <w:rFonts w:ascii="Arial Narrow" w:eastAsiaTheme="minorEastAsia" w:hAnsi="Arial Narrow" w:cs="Times New Roman"/>
                <w:iCs/>
                <w:sz w:val="20"/>
                <w:szCs w:val="20"/>
                <w:lang w:eastAsia="en-US"/>
              </w:rPr>
              <w:t>0.35 (0.18, 0.68)</w:t>
            </w:r>
          </w:p>
        </w:tc>
        <w:tc>
          <w:tcPr>
            <w:tcW w:w="1582" w:type="dxa"/>
            <w:shd w:val="clear" w:color="auto" w:fill="C6D9F1" w:themeFill="text2" w:themeFillTint="33"/>
            <w:vAlign w:val="center"/>
          </w:tcPr>
          <w:p w14:paraId="43DF60F5" w14:textId="77777777" w:rsidR="004D1EA7" w:rsidRPr="00D23701" w:rsidRDefault="004D1EA7" w:rsidP="004D1EA7">
            <w:pPr>
              <w:jc w:val="center"/>
              <w:rPr>
                <w:rFonts w:ascii="Arial Narrow" w:eastAsiaTheme="minorEastAsia" w:hAnsi="Arial Narrow" w:cs="Times New Roman"/>
                <w:bCs/>
                <w:iCs/>
                <w:sz w:val="20"/>
                <w:szCs w:val="20"/>
                <w:lang w:eastAsia="en-US"/>
              </w:rPr>
            </w:pPr>
            <w:r w:rsidRPr="00D23701">
              <w:rPr>
                <w:rFonts w:ascii="Arial Narrow" w:eastAsiaTheme="minorEastAsia" w:hAnsi="Arial Narrow" w:cs="Times New Roman"/>
                <w:iCs/>
                <w:sz w:val="20"/>
                <w:szCs w:val="20"/>
                <w:lang w:eastAsia="en-US"/>
              </w:rPr>
              <w:t>-0.07 (-0.13, -0.02)</w:t>
            </w:r>
          </w:p>
        </w:tc>
      </w:tr>
      <w:tr w:rsidR="004D1EA7" w:rsidRPr="00CC2410" w14:paraId="5DECA906" w14:textId="77777777" w:rsidTr="004D1EA7">
        <w:trPr>
          <w:trHeight w:val="119"/>
        </w:trPr>
        <w:tc>
          <w:tcPr>
            <w:tcW w:w="9017" w:type="dxa"/>
            <w:gridSpan w:val="5"/>
            <w:shd w:val="clear" w:color="auto" w:fill="auto"/>
            <w:vAlign w:val="center"/>
          </w:tcPr>
          <w:p w14:paraId="2B5B0572" w14:textId="77777777" w:rsidR="004D1EA7" w:rsidRPr="00D23701" w:rsidRDefault="004D1EA7" w:rsidP="004D1EA7">
            <w:pPr>
              <w:jc w:val="left"/>
              <w:rPr>
                <w:rFonts w:ascii="Arial Narrow" w:eastAsiaTheme="minorEastAsia" w:hAnsi="Arial Narrow" w:cs="Times New Roman"/>
                <w:b/>
                <w:bCs/>
                <w:iCs/>
                <w:sz w:val="20"/>
                <w:szCs w:val="20"/>
                <w:lang w:eastAsia="en-US"/>
              </w:rPr>
            </w:pPr>
            <w:r w:rsidRPr="00D23701">
              <w:rPr>
                <w:rFonts w:ascii="Arial Narrow" w:eastAsiaTheme="minorEastAsia" w:hAnsi="Arial Narrow" w:cs="Times New Roman"/>
                <w:b/>
                <w:bCs/>
                <w:iCs/>
                <w:sz w:val="20"/>
                <w:szCs w:val="20"/>
                <w:lang w:eastAsia="en-US"/>
              </w:rPr>
              <w:t>Serious Infections</w:t>
            </w:r>
          </w:p>
        </w:tc>
      </w:tr>
      <w:tr w:rsidR="004D1EA7" w:rsidRPr="00CC2410" w14:paraId="56CAEEB6" w14:textId="77777777" w:rsidTr="004D1EA7">
        <w:trPr>
          <w:trHeight w:val="70"/>
        </w:trPr>
        <w:tc>
          <w:tcPr>
            <w:tcW w:w="2689" w:type="dxa"/>
            <w:shd w:val="clear" w:color="auto" w:fill="auto"/>
            <w:vAlign w:val="center"/>
          </w:tcPr>
          <w:p w14:paraId="5B1D3760" w14:textId="77777777" w:rsidR="004D1EA7" w:rsidRPr="00CC2410" w:rsidRDefault="004D1EA7" w:rsidP="004D1EA7">
            <w:pPr>
              <w:jc w:val="left"/>
              <w:rPr>
                <w:rFonts w:ascii="Arial Narrow" w:hAnsi="Arial Narrow"/>
                <w:iCs/>
                <w:sz w:val="20"/>
                <w:szCs w:val="20"/>
                <w:lang w:val="it-IT"/>
              </w:rPr>
            </w:pPr>
            <w:r w:rsidRPr="00CC2410">
              <w:rPr>
                <w:rFonts w:ascii="Arial Narrow" w:hAnsi="Arial Narrow"/>
                <w:iCs/>
                <w:sz w:val="20"/>
                <w:szCs w:val="20"/>
                <w:lang w:val="it-IT"/>
              </w:rPr>
              <w:t>MIRI SC 200mg v PBO (LUCENT 2)</w:t>
            </w:r>
          </w:p>
        </w:tc>
        <w:tc>
          <w:tcPr>
            <w:tcW w:w="1582" w:type="dxa"/>
            <w:shd w:val="clear" w:color="auto" w:fill="auto"/>
            <w:vAlign w:val="center"/>
          </w:tcPr>
          <w:p w14:paraId="0AE242CF"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sz w:val="20"/>
                <w:szCs w:val="20"/>
                <w:lang w:eastAsia="en-US"/>
              </w:rPr>
              <w:t>3/389 (0.8)</w:t>
            </w:r>
          </w:p>
        </w:tc>
        <w:tc>
          <w:tcPr>
            <w:tcW w:w="1582" w:type="dxa"/>
            <w:shd w:val="clear" w:color="auto" w:fill="auto"/>
            <w:vAlign w:val="center"/>
          </w:tcPr>
          <w:p w14:paraId="2529A604"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sz w:val="20"/>
                <w:szCs w:val="20"/>
                <w:lang w:eastAsia="en-US"/>
              </w:rPr>
              <w:t>3/192 (1.6)</w:t>
            </w:r>
          </w:p>
        </w:tc>
        <w:tc>
          <w:tcPr>
            <w:tcW w:w="1582" w:type="dxa"/>
            <w:shd w:val="clear" w:color="auto" w:fill="auto"/>
            <w:vAlign w:val="center"/>
          </w:tcPr>
          <w:p w14:paraId="49D29E60"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0.49 (0.10, 2.42)</w:t>
            </w:r>
          </w:p>
        </w:tc>
        <w:tc>
          <w:tcPr>
            <w:tcW w:w="1582" w:type="dxa"/>
            <w:shd w:val="clear" w:color="auto" w:fill="auto"/>
            <w:vAlign w:val="center"/>
          </w:tcPr>
          <w:p w14:paraId="3012A82F"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-0.01 (-0.03, 0.01)</w:t>
            </w:r>
          </w:p>
        </w:tc>
      </w:tr>
      <w:tr w:rsidR="004D1EA7" w:rsidRPr="00CC2410" w14:paraId="1DA64ECE" w14:textId="77777777" w:rsidTr="004D1EA7">
        <w:trPr>
          <w:trHeight w:val="70"/>
        </w:trPr>
        <w:tc>
          <w:tcPr>
            <w:tcW w:w="2689" w:type="dxa"/>
            <w:shd w:val="clear" w:color="auto" w:fill="C6D9F1" w:themeFill="text2" w:themeFillTint="33"/>
            <w:vAlign w:val="center"/>
          </w:tcPr>
          <w:p w14:paraId="42349B93" w14:textId="77777777" w:rsidR="004D1EA7" w:rsidRPr="00CC2410" w:rsidRDefault="004D1EA7" w:rsidP="004D1EA7">
            <w:pPr>
              <w:jc w:val="left"/>
              <w:rPr>
                <w:rFonts w:ascii="Arial Narrow" w:eastAsiaTheme="minorEastAsia" w:hAnsi="Arial Narrow" w:cs="Times New Roman"/>
                <w:sz w:val="20"/>
                <w:szCs w:val="20"/>
                <w:lang w:val="it-IT" w:eastAsia="en-US"/>
              </w:rPr>
            </w:pPr>
            <w:r w:rsidRPr="00CC2410">
              <w:rPr>
                <w:rFonts w:ascii="Arial Narrow" w:hAnsi="Arial Narrow"/>
                <w:iCs/>
                <w:sz w:val="20"/>
                <w:szCs w:val="20"/>
                <w:lang w:val="it-IT"/>
              </w:rPr>
              <w:t>VDZ 300mg v PBO (MA: GEMINI 1, Motoya, VISIBLE 1)</w:t>
            </w:r>
          </w:p>
        </w:tc>
        <w:tc>
          <w:tcPr>
            <w:tcW w:w="1582" w:type="dxa"/>
            <w:shd w:val="clear" w:color="auto" w:fill="C6D9F1" w:themeFill="text2" w:themeFillTint="33"/>
            <w:vAlign w:val="center"/>
          </w:tcPr>
          <w:p w14:paraId="77413FF9"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15/821 (1.9)</w:t>
            </w:r>
          </w:p>
        </w:tc>
        <w:tc>
          <w:tcPr>
            <w:tcW w:w="1582" w:type="dxa"/>
            <w:shd w:val="clear" w:color="auto" w:fill="C6D9F1" w:themeFill="text2" w:themeFillTint="33"/>
            <w:vAlign w:val="center"/>
          </w:tcPr>
          <w:p w14:paraId="1D40310A"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9/373 (2.4)</w:t>
            </w:r>
          </w:p>
        </w:tc>
        <w:tc>
          <w:tcPr>
            <w:tcW w:w="1582" w:type="dxa"/>
            <w:shd w:val="clear" w:color="auto" w:fill="C6D9F1" w:themeFill="text2" w:themeFillTint="33"/>
            <w:vAlign w:val="center"/>
          </w:tcPr>
          <w:p w14:paraId="42A61098"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0.74 (0.33, 1.67)</w:t>
            </w:r>
          </w:p>
        </w:tc>
        <w:tc>
          <w:tcPr>
            <w:tcW w:w="1582" w:type="dxa"/>
            <w:shd w:val="clear" w:color="auto" w:fill="C6D9F1" w:themeFill="text2" w:themeFillTint="33"/>
            <w:vAlign w:val="center"/>
          </w:tcPr>
          <w:p w14:paraId="77D76764"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-0.00 (-0.02, 0.02)</w:t>
            </w:r>
          </w:p>
        </w:tc>
      </w:tr>
      <w:tr w:rsidR="004D1EA7" w:rsidRPr="00CC2410" w14:paraId="0E803477" w14:textId="77777777" w:rsidTr="004D1EA7">
        <w:trPr>
          <w:trHeight w:val="70"/>
        </w:trPr>
        <w:tc>
          <w:tcPr>
            <w:tcW w:w="2689" w:type="dxa"/>
            <w:shd w:val="clear" w:color="auto" w:fill="C6D9F1" w:themeFill="text2" w:themeFillTint="33"/>
            <w:vAlign w:val="center"/>
          </w:tcPr>
          <w:p w14:paraId="102A08D5" w14:textId="77777777" w:rsidR="004D1EA7" w:rsidRPr="00CC2410" w:rsidRDefault="004D1EA7" w:rsidP="004D1EA7">
            <w:pPr>
              <w:jc w:val="left"/>
              <w:rPr>
                <w:rFonts w:ascii="Arial Narrow" w:hAnsi="Arial Narrow"/>
                <w:iCs/>
                <w:sz w:val="20"/>
                <w:szCs w:val="20"/>
                <w:lang w:val="pt-PT"/>
              </w:rPr>
            </w:pPr>
            <w:r w:rsidRPr="00CC2410">
              <w:rPr>
                <w:rFonts w:ascii="Arial Narrow" w:hAnsi="Arial Narrow"/>
                <w:iCs/>
                <w:sz w:val="20"/>
                <w:szCs w:val="20"/>
                <w:lang w:val="pt-PT"/>
              </w:rPr>
              <w:t>ADA 80mg v PBO (ULTRA 2)</w:t>
            </w:r>
          </w:p>
        </w:tc>
        <w:tc>
          <w:tcPr>
            <w:tcW w:w="1582" w:type="dxa"/>
            <w:shd w:val="clear" w:color="auto" w:fill="C6D9F1" w:themeFill="text2" w:themeFillTint="33"/>
            <w:vAlign w:val="center"/>
          </w:tcPr>
          <w:p w14:paraId="37A19E9C"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bCs/>
                <w:sz w:val="20"/>
                <w:szCs w:val="20"/>
                <w:lang w:eastAsia="en-US"/>
              </w:rPr>
              <w:t>4/257 (1.6)</w:t>
            </w:r>
          </w:p>
        </w:tc>
        <w:tc>
          <w:tcPr>
            <w:tcW w:w="1582" w:type="dxa"/>
            <w:shd w:val="clear" w:color="auto" w:fill="C6D9F1" w:themeFill="text2" w:themeFillTint="33"/>
            <w:vAlign w:val="center"/>
          </w:tcPr>
          <w:p w14:paraId="4E4E883C"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bCs/>
                <w:sz w:val="20"/>
                <w:szCs w:val="20"/>
                <w:lang w:eastAsia="en-US"/>
              </w:rPr>
              <w:t>5/260 (1.9)</w:t>
            </w:r>
          </w:p>
        </w:tc>
        <w:tc>
          <w:tcPr>
            <w:tcW w:w="1582" w:type="dxa"/>
            <w:shd w:val="clear" w:color="auto" w:fill="C6D9F1" w:themeFill="text2" w:themeFillTint="33"/>
            <w:vAlign w:val="center"/>
          </w:tcPr>
          <w:p w14:paraId="35CD3D2A"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0.81 (0.22, 2.98)</w:t>
            </w:r>
          </w:p>
        </w:tc>
        <w:tc>
          <w:tcPr>
            <w:tcW w:w="1582" w:type="dxa"/>
            <w:shd w:val="clear" w:color="auto" w:fill="C6D9F1" w:themeFill="text2" w:themeFillTint="33"/>
            <w:vAlign w:val="center"/>
          </w:tcPr>
          <w:p w14:paraId="1DB04628"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0.00 (-0.03, 0.02)</w:t>
            </w:r>
          </w:p>
        </w:tc>
      </w:tr>
      <w:tr w:rsidR="004D1EA7" w:rsidRPr="00CC2410" w14:paraId="2A82B29C" w14:textId="77777777" w:rsidTr="004D1EA7">
        <w:trPr>
          <w:trHeight w:val="70"/>
        </w:trPr>
        <w:tc>
          <w:tcPr>
            <w:tcW w:w="2689" w:type="dxa"/>
            <w:shd w:val="clear" w:color="auto" w:fill="C6D9F1" w:themeFill="text2" w:themeFillTint="33"/>
            <w:vAlign w:val="center"/>
          </w:tcPr>
          <w:p w14:paraId="67697B17" w14:textId="77777777" w:rsidR="004D1EA7" w:rsidRPr="00CC2410" w:rsidRDefault="004D1EA7" w:rsidP="004D1EA7">
            <w:pPr>
              <w:jc w:val="left"/>
              <w:rPr>
                <w:rFonts w:ascii="Arial Narrow" w:hAnsi="Arial Narrow"/>
                <w:iCs/>
                <w:sz w:val="20"/>
                <w:szCs w:val="20"/>
              </w:rPr>
            </w:pPr>
            <w:r w:rsidRPr="00CC2410">
              <w:rPr>
                <w:rFonts w:ascii="Arial Narrow" w:hAnsi="Arial Narrow"/>
                <w:iCs/>
                <w:sz w:val="20"/>
                <w:szCs w:val="20"/>
              </w:rPr>
              <w:t>UST SC 90 mg Q8W or Q12 QW pooled v PBO (UNIFI)</w:t>
            </w:r>
          </w:p>
        </w:tc>
        <w:tc>
          <w:tcPr>
            <w:tcW w:w="1582" w:type="dxa"/>
            <w:shd w:val="clear" w:color="auto" w:fill="C6D9F1" w:themeFill="text2" w:themeFillTint="33"/>
            <w:vAlign w:val="center"/>
          </w:tcPr>
          <w:p w14:paraId="54A41498"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9/348 (2.6)</w:t>
            </w:r>
          </w:p>
        </w:tc>
        <w:tc>
          <w:tcPr>
            <w:tcW w:w="1582" w:type="dxa"/>
            <w:shd w:val="clear" w:color="auto" w:fill="C6D9F1" w:themeFill="text2" w:themeFillTint="33"/>
            <w:vAlign w:val="center"/>
          </w:tcPr>
          <w:p w14:paraId="35B6F2FF"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4/175 (2.3)</w:t>
            </w:r>
          </w:p>
        </w:tc>
        <w:tc>
          <w:tcPr>
            <w:tcW w:w="1582" w:type="dxa"/>
            <w:shd w:val="clear" w:color="auto" w:fill="C6D9F1" w:themeFill="text2" w:themeFillTint="33"/>
            <w:vAlign w:val="center"/>
          </w:tcPr>
          <w:p w14:paraId="4694EA11"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1.13 (0.35, 3.62)</w:t>
            </w:r>
          </w:p>
        </w:tc>
        <w:tc>
          <w:tcPr>
            <w:tcW w:w="1582" w:type="dxa"/>
            <w:shd w:val="clear" w:color="auto" w:fill="C6D9F1" w:themeFill="text2" w:themeFillTint="33"/>
            <w:vAlign w:val="center"/>
          </w:tcPr>
          <w:p w14:paraId="59E46850"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0.00 (-0.02, 0.02)</w:t>
            </w:r>
          </w:p>
        </w:tc>
      </w:tr>
      <w:tr w:rsidR="004D1EA7" w:rsidRPr="00CC2410" w14:paraId="0163A47E" w14:textId="77777777" w:rsidTr="004D1EA7">
        <w:trPr>
          <w:trHeight w:val="119"/>
        </w:trPr>
        <w:tc>
          <w:tcPr>
            <w:tcW w:w="9017" w:type="dxa"/>
            <w:gridSpan w:val="5"/>
            <w:shd w:val="clear" w:color="auto" w:fill="auto"/>
            <w:vAlign w:val="center"/>
          </w:tcPr>
          <w:p w14:paraId="730AD393" w14:textId="77777777" w:rsidR="004D1EA7" w:rsidRPr="00D23701" w:rsidRDefault="004D1EA7" w:rsidP="004D1EA7">
            <w:pPr>
              <w:jc w:val="left"/>
              <w:rPr>
                <w:rFonts w:ascii="Arial Narrow" w:eastAsiaTheme="minorEastAsia" w:hAnsi="Arial Narrow" w:cs="Times New Roman"/>
                <w:b/>
                <w:bCs/>
                <w:iCs/>
                <w:sz w:val="20"/>
                <w:szCs w:val="20"/>
                <w:lang w:eastAsia="en-US"/>
              </w:rPr>
            </w:pPr>
            <w:r w:rsidRPr="00D23701">
              <w:rPr>
                <w:rFonts w:ascii="Arial Narrow" w:eastAsiaTheme="minorEastAsia" w:hAnsi="Arial Narrow" w:cs="Times New Roman"/>
                <w:b/>
                <w:bCs/>
                <w:iCs/>
                <w:sz w:val="20"/>
                <w:szCs w:val="20"/>
                <w:lang w:eastAsia="en-US"/>
              </w:rPr>
              <w:t>Malignancy</w:t>
            </w:r>
          </w:p>
        </w:tc>
      </w:tr>
      <w:tr w:rsidR="004D1EA7" w:rsidRPr="00CC2410" w14:paraId="179E9F8E" w14:textId="77777777" w:rsidTr="004D1EA7">
        <w:trPr>
          <w:trHeight w:val="70"/>
        </w:trPr>
        <w:tc>
          <w:tcPr>
            <w:tcW w:w="2689" w:type="dxa"/>
            <w:shd w:val="clear" w:color="auto" w:fill="auto"/>
            <w:vAlign w:val="center"/>
          </w:tcPr>
          <w:p w14:paraId="66AA3370" w14:textId="77777777" w:rsidR="004D1EA7" w:rsidRPr="00CC2410" w:rsidRDefault="004D1EA7" w:rsidP="004D1EA7">
            <w:pPr>
              <w:jc w:val="left"/>
              <w:rPr>
                <w:rFonts w:ascii="Arial Narrow" w:hAnsi="Arial Narrow"/>
                <w:iCs/>
                <w:sz w:val="20"/>
                <w:szCs w:val="20"/>
                <w:lang w:val="it-IT"/>
              </w:rPr>
            </w:pPr>
            <w:r w:rsidRPr="00CC2410">
              <w:rPr>
                <w:rFonts w:ascii="Arial Narrow" w:hAnsi="Arial Narrow"/>
                <w:iCs/>
                <w:sz w:val="20"/>
                <w:szCs w:val="20"/>
                <w:lang w:val="it-IT"/>
              </w:rPr>
              <w:t>MIRI SC 200mg v PBO (LUCENT 2)</w:t>
            </w:r>
          </w:p>
        </w:tc>
        <w:tc>
          <w:tcPr>
            <w:tcW w:w="1582" w:type="dxa"/>
            <w:shd w:val="clear" w:color="auto" w:fill="auto"/>
            <w:vAlign w:val="center"/>
          </w:tcPr>
          <w:p w14:paraId="2A843C56"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sz w:val="20"/>
                <w:szCs w:val="20"/>
                <w:lang w:eastAsia="en-US"/>
              </w:rPr>
              <w:t>1/389 (0.5)</w:t>
            </w:r>
          </w:p>
        </w:tc>
        <w:tc>
          <w:tcPr>
            <w:tcW w:w="1582" w:type="dxa"/>
            <w:shd w:val="clear" w:color="auto" w:fill="auto"/>
            <w:vAlign w:val="center"/>
          </w:tcPr>
          <w:p w14:paraId="2E0B7CB8"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sz w:val="20"/>
                <w:szCs w:val="20"/>
                <w:lang w:eastAsia="en-US"/>
              </w:rPr>
              <w:t>1/192 (0.5)</w:t>
            </w:r>
          </w:p>
        </w:tc>
        <w:tc>
          <w:tcPr>
            <w:tcW w:w="1582" w:type="dxa"/>
            <w:shd w:val="clear" w:color="auto" w:fill="auto"/>
            <w:vAlign w:val="center"/>
          </w:tcPr>
          <w:p w14:paraId="09BC71A5"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0.49 (0.03, 7.85)</w:t>
            </w:r>
          </w:p>
        </w:tc>
        <w:tc>
          <w:tcPr>
            <w:tcW w:w="1582" w:type="dxa"/>
            <w:shd w:val="clear" w:color="auto" w:fill="auto"/>
            <w:vAlign w:val="center"/>
          </w:tcPr>
          <w:p w14:paraId="1D606F68"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-0.00 (-0.01, 0.01)</w:t>
            </w:r>
          </w:p>
        </w:tc>
      </w:tr>
      <w:tr w:rsidR="004D1EA7" w:rsidRPr="00CC2410" w14:paraId="4720F17D" w14:textId="77777777" w:rsidTr="004D1EA7">
        <w:trPr>
          <w:trHeight w:val="70"/>
        </w:trPr>
        <w:tc>
          <w:tcPr>
            <w:tcW w:w="2689" w:type="dxa"/>
            <w:shd w:val="clear" w:color="auto" w:fill="C6D9F1" w:themeFill="text2" w:themeFillTint="33"/>
            <w:vAlign w:val="center"/>
          </w:tcPr>
          <w:p w14:paraId="3B5BDBF5" w14:textId="77777777" w:rsidR="004D1EA7" w:rsidRPr="00CC2410" w:rsidRDefault="004D1EA7" w:rsidP="004D1EA7">
            <w:pPr>
              <w:jc w:val="left"/>
              <w:rPr>
                <w:rFonts w:ascii="Arial Narrow" w:eastAsiaTheme="minorEastAsia" w:hAnsi="Arial Narrow" w:cs="Times New Roman"/>
                <w:sz w:val="20"/>
                <w:szCs w:val="20"/>
                <w:lang w:eastAsia="en-US"/>
              </w:rPr>
            </w:pPr>
            <w:r w:rsidRPr="00CC2410">
              <w:rPr>
                <w:rFonts w:ascii="Arial Narrow" w:hAnsi="Arial Narrow"/>
                <w:iCs/>
                <w:sz w:val="20"/>
                <w:szCs w:val="20"/>
              </w:rPr>
              <w:t>VDZ 300mg v PBO (GEMINI 1)</w:t>
            </w:r>
          </w:p>
        </w:tc>
        <w:tc>
          <w:tcPr>
            <w:tcW w:w="1582" w:type="dxa"/>
            <w:shd w:val="clear" w:color="auto" w:fill="C6D9F1" w:themeFill="text2" w:themeFillTint="33"/>
            <w:vAlign w:val="center"/>
          </w:tcPr>
          <w:p w14:paraId="4E1229E2"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1/620 (0.2)</w:t>
            </w:r>
          </w:p>
        </w:tc>
        <w:tc>
          <w:tcPr>
            <w:tcW w:w="1582" w:type="dxa"/>
            <w:shd w:val="clear" w:color="auto" w:fill="C6D9F1" w:themeFill="text2" w:themeFillTint="33"/>
            <w:vAlign w:val="center"/>
          </w:tcPr>
          <w:p w14:paraId="29DDA1D0"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3/275 (1.1)</w:t>
            </w:r>
          </w:p>
        </w:tc>
        <w:tc>
          <w:tcPr>
            <w:tcW w:w="1582" w:type="dxa"/>
            <w:shd w:val="clear" w:color="auto" w:fill="C6D9F1" w:themeFill="text2" w:themeFillTint="33"/>
            <w:vAlign w:val="center"/>
          </w:tcPr>
          <w:p w14:paraId="369572D1"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0.15 (0.02, 1.42)</w:t>
            </w:r>
          </w:p>
        </w:tc>
        <w:tc>
          <w:tcPr>
            <w:tcW w:w="1582" w:type="dxa"/>
            <w:shd w:val="clear" w:color="auto" w:fill="C6D9F1" w:themeFill="text2" w:themeFillTint="33"/>
            <w:vAlign w:val="center"/>
          </w:tcPr>
          <w:p w14:paraId="1E6295FE"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-0.01 (-0.02, 0.00)</w:t>
            </w:r>
          </w:p>
        </w:tc>
      </w:tr>
      <w:tr w:rsidR="004D1EA7" w:rsidRPr="00CC2410" w14:paraId="6B6CF940" w14:textId="77777777" w:rsidTr="004D1EA7">
        <w:trPr>
          <w:trHeight w:val="70"/>
        </w:trPr>
        <w:tc>
          <w:tcPr>
            <w:tcW w:w="2689" w:type="dxa"/>
            <w:shd w:val="clear" w:color="auto" w:fill="C6D9F1" w:themeFill="text2" w:themeFillTint="33"/>
            <w:vAlign w:val="center"/>
          </w:tcPr>
          <w:p w14:paraId="55DD156F" w14:textId="77777777" w:rsidR="004D1EA7" w:rsidRPr="00CC2410" w:rsidRDefault="004D1EA7" w:rsidP="004D1EA7">
            <w:pPr>
              <w:jc w:val="left"/>
              <w:rPr>
                <w:rFonts w:ascii="Arial Narrow" w:hAnsi="Arial Narrow"/>
                <w:iCs/>
                <w:sz w:val="20"/>
                <w:szCs w:val="20"/>
                <w:lang w:val="pt-PT"/>
              </w:rPr>
            </w:pPr>
            <w:r w:rsidRPr="00CC2410">
              <w:rPr>
                <w:rFonts w:ascii="Arial Narrow" w:hAnsi="Arial Narrow"/>
                <w:iCs/>
                <w:sz w:val="20"/>
                <w:szCs w:val="20"/>
                <w:lang w:val="pt-PT"/>
              </w:rPr>
              <w:t>ADA 80mg v PBO (ULTRA 2)</w:t>
            </w:r>
          </w:p>
        </w:tc>
        <w:tc>
          <w:tcPr>
            <w:tcW w:w="1582" w:type="dxa"/>
            <w:shd w:val="clear" w:color="auto" w:fill="C6D9F1" w:themeFill="text2" w:themeFillTint="33"/>
            <w:vAlign w:val="center"/>
          </w:tcPr>
          <w:p w14:paraId="1D8C390A"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bCs/>
                <w:sz w:val="20"/>
                <w:szCs w:val="20"/>
                <w:lang w:eastAsia="en-US"/>
              </w:rPr>
              <w:t>2/257 (0.8)</w:t>
            </w:r>
          </w:p>
        </w:tc>
        <w:tc>
          <w:tcPr>
            <w:tcW w:w="1582" w:type="dxa"/>
            <w:shd w:val="clear" w:color="auto" w:fill="C6D9F1" w:themeFill="text2" w:themeFillTint="33"/>
            <w:vAlign w:val="center"/>
          </w:tcPr>
          <w:p w14:paraId="2774F5D2" w14:textId="77777777" w:rsidR="004D1EA7" w:rsidRPr="00CC2410" w:rsidRDefault="004D1EA7" w:rsidP="004D1EA7">
            <w:pPr>
              <w:jc w:val="center"/>
              <w:rPr>
                <w:rFonts w:ascii="Arial Narrow" w:eastAsiaTheme="minorEastAsia" w:hAnsi="Arial Narrow" w:cs="Times New Roman"/>
                <w:sz w:val="20"/>
                <w:szCs w:val="20"/>
                <w:lang w:eastAsia="en-US"/>
              </w:rPr>
            </w:pPr>
            <w:r w:rsidRPr="00CC2410">
              <w:rPr>
                <w:rFonts w:ascii="Arial Narrow" w:eastAsiaTheme="minorEastAsia" w:hAnsi="Arial Narrow" w:cs="Times New Roman"/>
                <w:bCs/>
                <w:sz w:val="20"/>
                <w:szCs w:val="20"/>
                <w:lang w:eastAsia="en-US"/>
              </w:rPr>
              <w:t>0/260 (0)</w:t>
            </w:r>
          </w:p>
        </w:tc>
        <w:tc>
          <w:tcPr>
            <w:tcW w:w="1582" w:type="dxa"/>
            <w:shd w:val="clear" w:color="auto" w:fill="C6D9F1" w:themeFill="text2" w:themeFillTint="33"/>
            <w:vAlign w:val="center"/>
          </w:tcPr>
          <w:p w14:paraId="4D07542D"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5.06 (0.24, 104.84)</w:t>
            </w:r>
          </w:p>
        </w:tc>
        <w:tc>
          <w:tcPr>
            <w:tcW w:w="1582" w:type="dxa"/>
            <w:shd w:val="clear" w:color="auto" w:fill="C6D9F1" w:themeFill="text2" w:themeFillTint="33"/>
            <w:vAlign w:val="center"/>
          </w:tcPr>
          <w:p w14:paraId="2D3528DA"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0.01 (-0.01, 0.02)</w:t>
            </w:r>
          </w:p>
        </w:tc>
      </w:tr>
      <w:tr w:rsidR="004D1EA7" w:rsidRPr="00CC2410" w14:paraId="55992416" w14:textId="77777777" w:rsidTr="004D1EA7">
        <w:trPr>
          <w:trHeight w:val="70"/>
        </w:trPr>
        <w:tc>
          <w:tcPr>
            <w:tcW w:w="2689" w:type="dxa"/>
            <w:shd w:val="clear" w:color="auto" w:fill="C6D9F1" w:themeFill="text2" w:themeFillTint="33"/>
            <w:vAlign w:val="center"/>
          </w:tcPr>
          <w:p w14:paraId="4EA30615" w14:textId="77777777" w:rsidR="004D1EA7" w:rsidRPr="00CC2410" w:rsidRDefault="004D1EA7" w:rsidP="004D1EA7">
            <w:pPr>
              <w:jc w:val="left"/>
              <w:rPr>
                <w:rFonts w:ascii="Arial Narrow" w:hAnsi="Arial Narrow"/>
                <w:iCs/>
                <w:sz w:val="20"/>
                <w:szCs w:val="20"/>
              </w:rPr>
            </w:pPr>
            <w:r w:rsidRPr="00CC2410">
              <w:rPr>
                <w:rFonts w:ascii="Arial Narrow" w:hAnsi="Arial Narrow"/>
                <w:iCs/>
                <w:sz w:val="20"/>
                <w:szCs w:val="20"/>
              </w:rPr>
              <w:t>UST SC 90 mg Q8W or Q12 QW pooled v PBO (UNIFI)</w:t>
            </w:r>
          </w:p>
        </w:tc>
        <w:tc>
          <w:tcPr>
            <w:tcW w:w="1582" w:type="dxa"/>
            <w:shd w:val="clear" w:color="auto" w:fill="C6D9F1" w:themeFill="text2" w:themeFillTint="33"/>
            <w:vAlign w:val="center"/>
          </w:tcPr>
          <w:p w14:paraId="5F2D3AF4"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2/348 (0.6)</w:t>
            </w:r>
          </w:p>
        </w:tc>
        <w:tc>
          <w:tcPr>
            <w:tcW w:w="1582" w:type="dxa"/>
            <w:shd w:val="clear" w:color="auto" w:fill="C6D9F1" w:themeFill="text2" w:themeFillTint="33"/>
            <w:vAlign w:val="center"/>
          </w:tcPr>
          <w:p w14:paraId="653B8EFC" w14:textId="77777777" w:rsidR="004D1EA7" w:rsidRPr="00CC2410" w:rsidRDefault="004D1EA7" w:rsidP="004D1EA7">
            <w:pPr>
              <w:jc w:val="center"/>
              <w:rPr>
                <w:rFonts w:ascii="Arial Narrow" w:eastAsiaTheme="minorEastAsia" w:hAnsi="Arial Narrow" w:cs="Times New Roman"/>
                <w:bCs/>
                <w:sz w:val="20"/>
                <w:szCs w:val="20"/>
                <w:lang w:eastAsia="en-US"/>
              </w:rPr>
            </w:pPr>
            <w:r w:rsidRPr="00CC2410">
              <w:rPr>
                <w:rFonts w:ascii="Arial Narrow" w:eastAsiaTheme="minorEastAsia" w:hAnsi="Arial Narrow" w:cs="Times New Roman"/>
                <w:sz w:val="20"/>
                <w:szCs w:val="20"/>
                <w:lang w:eastAsia="en-US"/>
              </w:rPr>
              <w:t>0/175 (0)</w:t>
            </w:r>
          </w:p>
        </w:tc>
        <w:tc>
          <w:tcPr>
            <w:tcW w:w="1582" w:type="dxa"/>
            <w:shd w:val="clear" w:color="auto" w:fill="C6D9F1" w:themeFill="text2" w:themeFillTint="33"/>
            <w:vAlign w:val="center"/>
          </w:tcPr>
          <w:p w14:paraId="38E94C6A"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2.52 (0.12, 52.24)</w:t>
            </w:r>
          </w:p>
        </w:tc>
        <w:tc>
          <w:tcPr>
            <w:tcW w:w="1582" w:type="dxa"/>
            <w:shd w:val="clear" w:color="auto" w:fill="C6D9F1" w:themeFill="text2" w:themeFillTint="33"/>
            <w:vAlign w:val="center"/>
          </w:tcPr>
          <w:p w14:paraId="69254371" w14:textId="77777777" w:rsidR="004D1EA7" w:rsidRPr="00D23701" w:rsidRDefault="004D1EA7" w:rsidP="004D1EA7">
            <w:pPr>
              <w:jc w:val="center"/>
              <w:rPr>
                <w:rFonts w:ascii="Arial Narrow" w:eastAsiaTheme="minorEastAsia" w:hAnsi="Arial Narrow" w:cs="Times New Roman"/>
                <w:iCs/>
                <w:sz w:val="20"/>
                <w:szCs w:val="20"/>
                <w:lang w:eastAsia="en-US"/>
              </w:rPr>
            </w:pPr>
            <w:r w:rsidRPr="00D23701">
              <w:rPr>
                <w:rFonts w:ascii="Arial Narrow" w:eastAsiaTheme="minorEastAsia" w:hAnsi="Arial Narrow" w:cs="Times New Roman"/>
                <w:iCs/>
                <w:sz w:val="20"/>
                <w:szCs w:val="20"/>
                <w:lang w:eastAsia="en-US"/>
              </w:rPr>
              <w:t>0.01 (-0.01, 0.02)</w:t>
            </w:r>
          </w:p>
        </w:tc>
      </w:tr>
    </w:tbl>
    <w:p w14:paraId="6F0A3841" w14:textId="77777777" w:rsidR="004D1EA7" w:rsidRPr="003E614F" w:rsidRDefault="004D1EA7" w:rsidP="004D1EA7">
      <w:pPr>
        <w:rPr>
          <w:rFonts w:ascii="Arial Narrow" w:eastAsiaTheme="minorEastAsia" w:hAnsi="Arial Narrow"/>
          <w:snapToGrid w:val="0"/>
          <w:sz w:val="18"/>
          <w:szCs w:val="18"/>
          <w:lang w:eastAsia="en-US"/>
        </w:rPr>
      </w:pPr>
      <w:r w:rsidRPr="003E614F">
        <w:rPr>
          <w:rFonts w:ascii="Arial Narrow" w:eastAsiaTheme="minorEastAsia" w:hAnsi="Arial Narrow"/>
          <w:snapToGrid w:val="0"/>
          <w:sz w:val="18"/>
          <w:szCs w:val="18"/>
          <w:lang w:eastAsia="en-US"/>
        </w:rPr>
        <w:t xml:space="preserve">Source: Table 101, p215 of the submission, </w:t>
      </w:r>
      <w:r w:rsidRPr="00BD47FB">
        <w:rPr>
          <w:rFonts w:ascii="Arial Narrow" w:eastAsiaTheme="minorEastAsia" w:hAnsi="Arial Narrow"/>
          <w:snapToGrid w:val="0"/>
          <w:sz w:val="18"/>
          <w:szCs w:val="18"/>
          <w:lang w:eastAsia="en-US"/>
        </w:rPr>
        <w:t xml:space="preserve">with risk statistics conducted during the evaluation. </w:t>
      </w:r>
      <w:r w:rsidRPr="003E614F">
        <w:rPr>
          <w:rFonts w:ascii="Arial Narrow" w:eastAsiaTheme="minorEastAsia" w:hAnsi="Arial Narrow"/>
          <w:snapToGrid w:val="0"/>
          <w:sz w:val="18"/>
          <w:szCs w:val="18"/>
          <w:shd w:val="clear" w:color="auto" w:fill="C6D9F1" w:themeFill="text2" w:themeFillTint="33"/>
          <w:lang w:eastAsia="en-US"/>
        </w:rPr>
        <w:t>Shaded</w:t>
      </w:r>
      <w:r w:rsidRPr="003E614F">
        <w:rPr>
          <w:rFonts w:ascii="Arial Narrow" w:eastAsiaTheme="minorEastAsia" w:hAnsi="Arial Narrow"/>
          <w:snapToGrid w:val="0"/>
          <w:sz w:val="18"/>
          <w:szCs w:val="18"/>
          <w:lang w:eastAsia="en-US"/>
        </w:rPr>
        <w:t xml:space="preserve"> areas indicate data previously seen by the PBAC.</w:t>
      </w:r>
    </w:p>
    <w:p w14:paraId="761D14C3" w14:textId="7646E351" w:rsidR="004D1EA7" w:rsidRPr="003E614F" w:rsidRDefault="004D1EA7" w:rsidP="007B6B2C">
      <w:pPr>
        <w:spacing w:after="120"/>
        <w:rPr>
          <w:rFonts w:ascii="Arial Narrow" w:eastAsiaTheme="minorEastAsia" w:hAnsi="Arial Narrow"/>
          <w:snapToGrid w:val="0"/>
          <w:sz w:val="18"/>
          <w:szCs w:val="18"/>
          <w:lang w:eastAsia="en-US"/>
        </w:rPr>
      </w:pPr>
      <w:r w:rsidRPr="003E614F">
        <w:rPr>
          <w:rFonts w:ascii="Arial Narrow" w:eastAsiaTheme="minorEastAsia" w:hAnsi="Arial Narrow"/>
          <w:snapToGrid w:val="0"/>
          <w:sz w:val="18"/>
          <w:szCs w:val="18"/>
          <w:lang w:eastAsia="en-US"/>
        </w:rPr>
        <w:t>ADA=adalimumab</w:t>
      </w:r>
      <w:r w:rsidR="0021508E" w:rsidRPr="003E614F">
        <w:rPr>
          <w:rFonts w:ascii="Arial Narrow" w:eastAsiaTheme="minorEastAsia" w:hAnsi="Arial Narrow"/>
          <w:snapToGrid w:val="0"/>
          <w:sz w:val="18"/>
          <w:szCs w:val="18"/>
          <w:lang w:eastAsia="en-US"/>
        </w:rPr>
        <w:t>,</w:t>
      </w:r>
      <w:r w:rsidRPr="003E614F">
        <w:rPr>
          <w:rFonts w:ascii="Arial Narrow" w:eastAsiaTheme="minorEastAsia" w:hAnsi="Arial Narrow"/>
          <w:snapToGrid w:val="0"/>
          <w:sz w:val="18"/>
          <w:szCs w:val="18"/>
          <w:lang w:eastAsia="en-US"/>
        </w:rPr>
        <w:t xml:space="preserve"> CI=confidence interval</w:t>
      </w:r>
      <w:r w:rsidR="0021508E" w:rsidRPr="003E614F">
        <w:rPr>
          <w:rFonts w:ascii="Arial Narrow" w:eastAsiaTheme="minorEastAsia" w:hAnsi="Arial Narrow"/>
          <w:snapToGrid w:val="0"/>
          <w:sz w:val="18"/>
          <w:szCs w:val="18"/>
          <w:lang w:eastAsia="en-US"/>
        </w:rPr>
        <w:t>,</w:t>
      </w:r>
      <w:r w:rsidRPr="003E614F">
        <w:rPr>
          <w:rFonts w:ascii="Arial Narrow" w:eastAsiaTheme="minorEastAsia" w:hAnsi="Arial Narrow"/>
          <w:snapToGrid w:val="0"/>
          <w:sz w:val="18"/>
          <w:szCs w:val="18"/>
          <w:lang w:eastAsia="en-US"/>
        </w:rPr>
        <w:t xml:space="preserve"> </w:t>
      </w:r>
      <w:r w:rsidR="0021508E" w:rsidRPr="003E614F">
        <w:rPr>
          <w:rFonts w:ascii="Arial Narrow" w:eastAsiaTheme="minorEastAsia" w:hAnsi="Arial Narrow"/>
          <w:snapToGrid w:val="0"/>
          <w:sz w:val="18"/>
          <w:szCs w:val="18"/>
          <w:lang w:eastAsia="en-US"/>
        </w:rPr>
        <w:t xml:space="preserve">IV=intravenous, </w:t>
      </w:r>
      <w:r w:rsidRPr="003E614F">
        <w:rPr>
          <w:rFonts w:ascii="Arial Narrow" w:eastAsiaTheme="minorEastAsia" w:hAnsi="Arial Narrow"/>
          <w:snapToGrid w:val="0"/>
          <w:sz w:val="18"/>
          <w:szCs w:val="18"/>
          <w:lang w:eastAsia="en-US"/>
        </w:rPr>
        <w:t>MA=meta-analysis</w:t>
      </w:r>
      <w:r w:rsidR="0021508E" w:rsidRPr="003E614F">
        <w:rPr>
          <w:rFonts w:ascii="Arial Narrow" w:eastAsiaTheme="minorEastAsia" w:hAnsi="Arial Narrow"/>
          <w:snapToGrid w:val="0"/>
          <w:sz w:val="18"/>
          <w:szCs w:val="18"/>
          <w:lang w:eastAsia="en-US"/>
        </w:rPr>
        <w:t>, MIRI=mirikizumab,</w:t>
      </w:r>
      <w:r w:rsidRPr="003E614F">
        <w:rPr>
          <w:rFonts w:ascii="Arial Narrow" w:eastAsiaTheme="minorEastAsia" w:hAnsi="Arial Narrow"/>
          <w:snapToGrid w:val="0"/>
          <w:sz w:val="18"/>
          <w:szCs w:val="18"/>
          <w:lang w:eastAsia="en-US"/>
        </w:rPr>
        <w:t xml:space="preserve"> n=number of participants with event</w:t>
      </w:r>
      <w:r w:rsidR="0021508E" w:rsidRPr="003E614F">
        <w:rPr>
          <w:rFonts w:ascii="Arial Narrow" w:eastAsiaTheme="minorEastAsia" w:hAnsi="Arial Narrow"/>
          <w:snapToGrid w:val="0"/>
          <w:sz w:val="18"/>
          <w:szCs w:val="18"/>
          <w:lang w:eastAsia="en-US"/>
        </w:rPr>
        <w:t>,</w:t>
      </w:r>
      <w:r w:rsidRPr="003E614F">
        <w:rPr>
          <w:rFonts w:ascii="Arial Narrow" w:eastAsiaTheme="minorEastAsia" w:hAnsi="Arial Narrow"/>
          <w:snapToGrid w:val="0"/>
          <w:sz w:val="18"/>
          <w:szCs w:val="18"/>
          <w:lang w:eastAsia="en-US"/>
        </w:rPr>
        <w:t xml:space="preserve"> N=total participants in group,</w:t>
      </w:r>
      <w:r w:rsidR="00CC2410" w:rsidRPr="003E614F">
        <w:rPr>
          <w:rFonts w:ascii="Arial Narrow" w:eastAsiaTheme="minorEastAsia" w:hAnsi="Arial Narrow"/>
          <w:snapToGrid w:val="0"/>
          <w:sz w:val="18"/>
          <w:szCs w:val="18"/>
          <w:lang w:eastAsia="en-US"/>
        </w:rPr>
        <w:t xml:space="preserve"> PBO=placebo,</w:t>
      </w:r>
      <w:r w:rsidRPr="003E614F">
        <w:rPr>
          <w:rFonts w:ascii="Arial Narrow" w:eastAsiaTheme="minorEastAsia" w:hAnsi="Arial Narrow"/>
          <w:snapToGrid w:val="0"/>
          <w:sz w:val="18"/>
          <w:szCs w:val="18"/>
          <w:lang w:eastAsia="en-US"/>
        </w:rPr>
        <w:t xml:space="preserve"> QxW=once every x weeks</w:t>
      </w:r>
      <w:r w:rsidR="0021508E" w:rsidRPr="003E614F">
        <w:rPr>
          <w:rFonts w:ascii="Arial Narrow" w:eastAsiaTheme="minorEastAsia" w:hAnsi="Arial Narrow"/>
          <w:snapToGrid w:val="0"/>
          <w:sz w:val="18"/>
          <w:szCs w:val="18"/>
          <w:lang w:eastAsia="en-US"/>
        </w:rPr>
        <w:t>,</w:t>
      </w:r>
      <w:r w:rsidRPr="003E614F">
        <w:rPr>
          <w:rFonts w:ascii="Arial Narrow" w:eastAsiaTheme="minorEastAsia" w:hAnsi="Arial Narrow"/>
          <w:snapToGrid w:val="0"/>
          <w:sz w:val="18"/>
          <w:szCs w:val="18"/>
          <w:lang w:eastAsia="en-US"/>
        </w:rPr>
        <w:t xml:space="preserve"> RD=risk difference, RR=risk ratio</w:t>
      </w:r>
      <w:r w:rsidR="0021508E" w:rsidRPr="003E614F">
        <w:rPr>
          <w:rFonts w:ascii="Arial Narrow" w:eastAsiaTheme="minorEastAsia" w:hAnsi="Arial Narrow"/>
          <w:snapToGrid w:val="0"/>
          <w:sz w:val="18"/>
          <w:szCs w:val="18"/>
          <w:lang w:eastAsia="en-US"/>
        </w:rPr>
        <w:t>,</w:t>
      </w:r>
      <w:r w:rsidRPr="003E614F">
        <w:rPr>
          <w:rFonts w:ascii="Arial Narrow" w:eastAsiaTheme="minorEastAsia" w:hAnsi="Arial Narrow"/>
          <w:snapToGrid w:val="0"/>
          <w:sz w:val="18"/>
          <w:szCs w:val="18"/>
          <w:lang w:eastAsia="en-US"/>
        </w:rPr>
        <w:t xml:space="preserve"> SC=subcutaneous</w:t>
      </w:r>
      <w:r w:rsidR="0021508E" w:rsidRPr="003E614F">
        <w:rPr>
          <w:rFonts w:ascii="Arial Narrow" w:eastAsiaTheme="minorEastAsia" w:hAnsi="Arial Narrow"/>
          <w:snapToGrid w:val="0"/>
          <w:sz w:val="18"/>
          <w:szCs w:val="18"/>
          <w:lang w:eastAsia="en-US"/>
        </w:rPr>
        <w:t>, UST=ustekinumab, VDZ=vedolizumab</w:t>
      </w:r>
      <w:r w:rsidRPr="003E614F">
        <w:rPr>
          <w:rFonts w:ascii="Arial Narrow" w:eastAsiaTheme="minorEastAsia" w:hAnsi="Arial Narrow"/>
          <w:snapToGrid w:val="0"/>
          <w:sz w:val="18"/>
          <w:szCs w:val="18"/>
          <w:lang w:eastAsia="en-US"/>
        </w:rPr>
        <w:t>.</w:t>
      </w:r>
    </w:p>
    <w:p w14:paraId="5FDE1072" w14:textId="77777777" w:rsidR="004D1EA7" w:rsidRPr="00D2674E" w:rsidRDefault="004D1EA7" w:rsidP="004D1EA7">
      <w:pPr>
        <w:pStyle w:val="3-BodyText"/>
      </w:pPr>
      <w:r w:rsidRPr="00D2674E">
        <w:t>Overall, the incidence of any AEs was similar between MIRI and PBO for induction and maintenance therapy, with fewer patients experiencing serious or severe AEs. Significantly fewer patients treated with MIRI experienced an AE leading to study discontinuation compared to PBO during induction and maintenance therapy (mostly attributed to ulcerative colitis). More patients treated with MIRI experienced non-</w:t>
      </w:r>
      <w:r w:rsidRPr="00D2674E">
        <w:lastRenderedPageBreak/>
        <w:t xml:space="preserve">immediate hypersensitivity reactions (mainly rash) and injection-site reactions during maintenance therapy, compared to PBO. </w:t>
      </w:r>
    </w:p>
    <w:p w14:paraId="6529D79A" w14:textId="65C829D6" w:rsidR="004D1EA7" w:rsidRPr="003B2821" w:rsidRDefault="00A044D5" w:rsidP="00A044D5">
      <w:pPr>
        <w:pStyle w:val="3-BodyText"/>
        <w:rPr>
          <w:iCs/>
        </w:rPr>
      </w:pPr>
      <w:r w:rsidRPr="003B2821">
        <w:rPr>
          <w:iCs/>
        </w:rPr>
        <w:t xml:space="preserve">A </w:t>
      </w:r>
      <w:r w:rsidR="00A13761" w:rsidRPr="003B2821">
        <w:rPr>
          <w:iCs/>
        </w:rPr>
        <w:t>side-by-side</w:t>
      </w:r>
      <w:r w:rsidRPr="003B2821">
        <w:rPr>
          <w:iCs/>
        </w:rPr>
        <w:t xml:space="preserve"> comparison across the active arms of the trials </w:t>
      </w:r>
      <w:r w:rsidR="004D1EA7" w:rsidRPr="003B2821">
        <w:rPr>
          <w:iCs/>
        </w:rPr>
        <w:t>indicated that the proportion of AEs</w:t>
      </w:r>
      <w:r w:rsidR="00E630DA">
        <w:rPr>
          <w:iCs/>
        </w:rPr>
        <w:t>,</w:t>
      </w:r>
      <w:r w:rsidR="004D1EA7" w:rsidRPr="003B2821">
        <w:rPr>
          <w:iCs/>
        </w:rPr>
        <w:t xml:space="preserve"> including serious AEs and infections</w:t>
      </w:r>
      <w:r w:rsidR="00E630DA">
        <w:rPr>
          <w:iCs/>
        </w:rPr>
        <w:t>,</w:t>
      </w:r>
      <w:r w:rsidR="004D1EA7" w:rsidRPr="003B2821">
        <w:rPr>
          <w:iCs/>
        </w:rPr>
        <w:t xml:space="preserve"> were comparable between MIRI, VDZ, ADA and UST at induction and maintenance. There were fewer discontinuations due to AEs in MIRI compared to VDZ and ADA. However, the number of events were small. As discussed, interpretation of </w:t>
      </w:r>
      <w:r w:rsidR="004D1EA7" w:rsidRPr="003B2821">
        <w:rPr>
          <w:rFonts w:eastAsiaTheme="minorEastAsia"/>
          <w:iCs/>
          <w:szCs w:val="22"/>
          <w:lang w:eastAsia="en-US"/>
        </w:rPr>
        <w:t>the naïve comparison of safety data is problematic due to inadequate power to detect differences in safety outcomes, differences in the durations of exposure (i.e.</w:t>
      </w:r>
      <w:r w:rsidR="0021508E" w:rsidRPr="003B2821">
        <w:rPr>
          <w:rFonts w:eastAsiaTheme="minorEastAsia"/>
          <w:iCs/>
          <w:szCs w:val="22"/>
          <w:lang w:eastAsia="en-US"/>
        </w:rPr>
        <w:t> </w:t>
      </w:r>
      <w:r w:rsidR="004D1EA7" w:rsidRPr="003B2821">
        <w:rPr>
          <w:rFonts w:eastAsiaTheme="minorEastAsia"/>
          <w:iCs/>
          <w:szCs w:val="22"/>
          <w:lang w:eastAsia="en-US"/>
        </w:rPr>
        <w:t>unadjusted for exposure time) and differences in the maintenance trial designs (i.e.</w:t>
      </w:r>
      <w:r w:rsidR="0021508E" w:rsidRPr="003B2821">
        <w:rPr>
          <w:rFonts w:eastAsiaTheme="minorEastAsia"/>
          <w:iCs/>
          <w:szCs w:val="22"/>
          <w:lang w:eastAsia="en-US"/>
        </w:rPr>
        <w:t> </w:t>
      </w:r>
      <w:r w:rsidR="004D1EA7" w:rsidRPr="003B2821">
        <w:rPr>
          <w:rFonts w:eastAsiaTheme="minorEastAsia"/>
          <w:iCs/>
          <w:szCs w:val="22"/>
          <w:lang w:eastAsia="en-US"/>
        </w:rPr>
        <w:t>control patients in the treat-through trials only received PBO throughout, whereas in the randomised withdrawal trials controls received active induction treatment, except for the LUCENT trials where PBO induction responders received PBO at maintenance).</w:t>
      </w:r>
    </w:p>
    <w:p w14:paraId="11412842" w14:textId="77777777" w:rsidR="004D1EA7" w:rsidRPr="00C9624D" w:rsidRDefault="004D1EA7" w:rsidP="004D1EA7">
      <w:pPr>
        <w:pStyle w:val="4-SubsectionHeading"/>
      </w:pPr>
      <w:bookmarkStart w:id="46" w:name="_Toc22897643"/>
      <w:bookmarkStart w:id="47" w:name="_Toc135142380"/>
      <w:r w:rsidRPr="00C9624D">
        <w:t>Benefits/harms</w:t>
      </w:r>
      <w:bookmarkEnd w:id="46"/>
      <w:bookmarkEnd w:id="47"/>
    </w:p>
    <w:p w14:paraId="0BB22261" w14:textId="77777777" w:rsidR="004D1EA7" w:rsidRPr="0064569C" w:rsidRDefault="004D1EA7" w:rsidP="004D1EA7">
      <w:pPr>
        <w:pStyle w:val="3-BodyText"/>
        <w:rPr>
          <w:rFonts w:ascii="Calibri" w:hAnsi="Calibri" w:cs="Calibri"/>
        </w:rPr>
      </w:pPr>
      <w:r w:rsidRPr="00311D9B">
        <w:rPr>
          <w:snapToGrid/>
          <w:lang w:val="en-US"/>
        </w:rPr>
        <w:t>A benefits and harms table is not presented as the submission made a claim of non-inferiority</w:t>
      </w:r>
      <w:r>
        <w:rPr>
          <w:snapToGrid/>
          <w:lang w:val="en-US"/>
        </w:rPr>
        <w:t xml:space="preserve"> for MIRI versus VDZ and UST, and the clinical claim of superiority for MIRI versus ADA was not adequately supported (see Clinical claim)</w:t>
      </w:r>
      <w:r w:rsidRPr="00311D9B">
        <w:rPr>
          <w:snapToGrid/>
          <w:lang w:val="en-US"/>
        </w:rPr>
        <w:t>.</w:t>
      </w:r>
    </w:p>
    <w:p w14:paraId="4BDD91C5" w14:textId="77777777" w:rsidR="004D1EA7" w:rsidRPr="0064569C" w:rsidRDefault="004D1EA7" w:rsidP="004D1EA7">
      <w:pPr>
        <w:pStyle w:val="4-SubsectionHeading"/>
      </w:pPr>
      <w:bookmarkStart w:id="48" w:name="_Toc22897644"/>
      <w:bookmarkStart w:id="49" w:name="_Toc135142381"/>
      <w:r w:rsidRPr="00C9624D">
        <w:t>Clinical claim</w:t>
      </w:r>
      <w:bookmarkEnd w:id="48"/>
      <w:bookmarkEnd w:id="49"/>
    </w:p>
    <w:p w14:paraId="0E2E04B1" w14:textId="77777777" w:rsidR="004D1EA7" w:rsidRPr="00A94F21" w:rsidRDefault="004D1EA7" w:rsidP="004D1EA7">
      <w:pPr>
        <w:pStyle w:val="3-BodyText"/>
      </w:pPr>
      <w:r w:rsidRPr="00746A28">
        <w:rPr>
          <w:rFonts w:eastAsia="Calibri"/>
        </w:rPr>
        <w:t>Based on the results from the ITC and NMA, the submission described MIRI for the treatment of MSUC as non-inferior in terms of effectiveness compared with VDZ and UST and superior in terms of effectiveness compared to ADA, for both induction and maintenance therapy. In terms of safety, the submission described MIRI as comparable (non-inferior) to VDZ, UST and ADA</w:t>
      </w:r>
      <w:r w:rsidRPr="0064569C">
        <w:rPr>
          <w:rFonts w:eastAsia="Calibri"/>
        </w:rPr>
        <w:t>.</w:t>
      </w:r>
    </w:p>
    <w:p w14:paraId="1676B0C7" w14:textId="123B2300" w:rsidR="004D1EA7" w:rsidRPr="003B2821" w:rsidRDefault="004D1EA7" w:rsidP="004D1EA7">
      <w:pPr>
        <w:pStyle w:val="3-BodyText"/>
      </w:pPr>
      <w:r w:rsidRPr="003B2821">
        <w:rPr>
          <w:rFonts w:eastAsia="Calibri"/>
        </w:rPr>
        <w:t>Overall, the</w:t>
      </w:r>
      <w:r w:rsidR="00400C42">
        <w:rPr>
          <w:rFonts w:eastAsia="Calibri"/>
        </w:rPr>
        <w:t xml:space="preserve"> evaluation considered the</w:t>
      </w:r>
      <w:r w:rsidRPr="003B2821">
        <w:rPr>
          <w:rFonts w:eastAsia="Calibri"/>
        </w:rPr>
        <w:t xml:space="preserve"> clinical evidence presented in the submission reasonably supported the claim of non-inferior</w:t>
      </w:r>
      <w:r w:rsidR="00A65EA8" w:rsidRPr="003B2821">
        <w:rPr>
          <w:rFonts w:eastAsia="Calibri"/>
        </w:rPr>
        <w:t xml:space="preserve"> comparative</w:t>
      </w:r>
      <w:r w:rsidRPr="003B2821">
        <w:rPr>
          <w:rFonts w:eastAsia="Calibri"/>
        </w:rPr>
        <w:t xml:space="preserve"> effectiveness for MIRI versus VDZ and UST. In contrast, the clinical evidence did not adequately support the claim of superior </w:t>
      </w:r>
      <w:r w:rsidR="00A65EA8" w:rsidRPr="003B2821">
        <w:rPr>
          <w:rFonts w:eastAsia="Calibri"/>
        </w:rPr>
        <w:t xml:space="preserve">comparative </w:t>
      </w:r>
      <w:r w:rsidRPr="003B2821">
        <w:rPr>
          <w:rFonts w:eastAsia="Calibri"/>
        </w:rPr>
        <w:t>effectiveness for MIRI versus ADA</w:t>
      </w:r>
      <w:r w:rsidR="005C0844" w:rsidRPr="003B2821">
        <w:t xml:space="preserve"> </w:t>
      </w:r>
      <w:r w:rsidR="005C0844" w:rsidRPr="003B2821">
        <w:rPr>
          <w:rFonts w:eastAsia="Calibri"/>
        </w:rPr>
        <w:t>and a claim of non-inferior effectiveness may be more reasonable</w:t>
      </w:r>
      <w:r w:rsidRPr="003B2821">
        <w:rPr>
          <w:rFonts w:eastAsia="Calibri"/>
        </w:rPr>
        <w:t>:</w:t>
      </w:r>
      <w:r w:rsidRPr="003B2821">
        <w:t xml:space="preserve"> </w:t>
      </w:r>
    </w:p>
    <w:p w14:paraId="626877CA" w14:textId="77777777" w:rsidR="004D1EA7" w:rsidRPr="003B2821" w:rsidRDefault="004D1EA7" w:rsidP="003D1D4D">
      <w:pPr>
        <w:pStyle w:val="3-BodyText"/>
        <w:numPr>
          <w:ilvl w:val="0"/>
          <w:numId w:val="8"/>
        </w:numPr>
        <w:ind w:left="1040"/>
      </w:pPr>
      <w:r w:rsidRPr="003B2821">
        <w:t>The results of the ITC showed there were generally no statistically significant differences between MIRI versus ADA for induction or maintenance treatment across the different populations considered, with the exception of a few comparisons favouring MIRI using the RD statistic. Corresponding results using the RR statistic showed no statistically significant differences between the two treatments. The authors of the ITC report (Moura et al 2023) also concluded that MIRI had similar efficacy compared to ADA.</w:t>
      </w:r>
    </w:p>
    <w:p w14:paraId="5CC874BF" w14:textId="5E4D83F8" w:rsidR="004D1EA7" w:rsidRPr="003B2821" w:rsidRDefault="004D1EA7" w:rsidP="003D1D4D">
      <w:pPr>
        <w:pStyle w:val="ListParagraph"/>
        <w:numPr>
          <w:ilvl w:val="0"/>
          <w:numId w:val="8"/>
        </w:numPr>
        <w:ind w:left="1040"/>
      </w:pPr>
      <w:r w:rsidRPr="003B2821">
        <w:t xml:space="preserve">The results of the NMA for induction treatment only favoured MIRI versus ADA for the </w:t>
      </w:r>
      <w:r w:rsidR="00AF7030" w:rsidRPr="003B2821">
        <w:t>bDMARDs/tsDMARDs</w:t>
      </w:r>
      <w:r w:rsidRPr="003B2821">
        <w:t xml:space="preserve"> experienced subgroup. But given the majority of patients in the </w:t>
      </w:r>
      <w:r w:rsidR="00AF7030" w:rsidRPr="003B2821">
        <w:t>bDMARDs/tsDMARDs</w:t>
      </w:r>
      <w:r w:rsidRPr="003B2821">
        <w:t xml:space="preserve"> experienced subgroup likely received prior treatment with a TNF-inhibitor, the statistically significant result favouring MIRI </w:t>
      </w:r>
      <w:r w:rsidRPr="003B2821">
        <w:lastRenderedPageBreak/>
        <w:t>over ADA in this subgroup may simply be due to patients benefiting from using a treatment with a different mechanism of action (i.e. MIRI) compared to re-treatment with another TNF-inhibitor (i.e. ADA).</w:t>
      </w:r>
      <w:r w:rsidR="0065096A">
        <w:rPr>
          <w:i/>
          <w:iCs/>
        </w:rPr>
        <w:t xml:space="preserve"> </w:t>
      </w:r>
      <w:r w:rsidR="00D14067" w:rsidRPr="00FD140C">
        <w:t>T</w:t>
      </w:r>
      <w:r w:rsidR="0065096A" w:rsidRPr="00FD140C">
        <w:t>he PSCR</w:t>
      </w:r>
      <w:r w:rsidR="000458FC" w:rsidRPr="00FD140C">
        <w:t xml:space="preserve"> acknowledged the observed results may, in part, be due to patients benefitting from treatment with a therapy with a </w:t>
      </w:r>
      <w:r w:rsidR="007E6E92" w:rsidRPr="00FD140C">
        <w:t>differen</w:t>
      </w:r>
      <w:r w:rsidR="007E6E92">
        <w:t>t</w:t>
      </w:r>
      <w:r w:rsidR="007E6E92" w:rsidRPr="00FD140C">
        <w:t xml:space="preserve"> </w:t>
      </w:r>
      <w:r w:rsidR="000458FC" w:rsidRPr="00FD140C">
        <w:t>mechanism of action, however</w:t>
      </w:r>
      <w:r w:rsidR="0065096A" w:rsidRPr="00FD140C">
        <w:t xml:space="preserve"> </w:t>
      </w:r>
      <w:r w:rsidR="00D14067" w:rsidRPr="00FD140C">
        <w:t xml:space="preserve">also </w:t>
      </w:r>
      <w:r w:rsidR="000458FC" w:rsidRPr="00FD140C">
        <w:t>noted</w:t>
      </w:r>
      <w:r w:rsidR="0065096A" w:rsidRPr="00FD140C">
        <w:t xml:space="preserve"> statistically significant results</w:t>
      </w:r>
      <w:r w:rsidR="000458FC" w:rsidRPr="00FD140C">
        <w:t xml:space="preserve"> in the maintenance phase</w:t>
      </w:r>
      <w:r w:rsidR="0065096A" w:rsidRPr="00FD140C">
        <w:t xml:space="preserve"> favoured MIRI over ADA </w:t>
      </w:r>
      <w:r w:rsidR="00D14067" w:rsidRPr="00FD140C">
        <w:t>in the</w:t>
      </w:r>
      <w:r w:rsidR="0065096A" w:rsidRPr="00FD140C">
        <w:t xml:space="preserve"> bDMARDs/tsDMARDs naïve subgroup, and concluded that these combined results demonstrated the superiority of MIRI over ADA for patients in both the treatment naïve and experienced populations in both the short and longer term. The ESC</w:t>
      </w:r>
      <w:r w:rsidR="000458FC" w:rsidRPr="00FD140C">
        <w:t xml:space="preserve"> disagreed </w:t>
      </w:r>
      <w:r w:rsidR="00C34CE9" w:rsidRPr="00FD140C">
        <w:t xml:space="preserve">with the PSCR </w:t>
      </w:r>
      <w:r w:rsidR="000458FC" w:rsidRPr="00FD140C">
        <w:t>and considered the differential results between treatment phases and bDMARD/tsDMARD subgroups, with statistically significant results for induction therapy + bDMARD/tsDMARD naïve and maintenance therapy + bDMARD/tsDMARD experienced, did not strongly support an overall claim of superiority over ADA in the context of the clinical claim as a whole.</w:t>
      </w:r>
    </w:p>
    <w:p w14:paraId="1133A09A" w14:textId="5ECC989C" w:rsidR="004D1EA7" w:rsidRPr="003B2821" w:rsidRDefault="004D1EA7" w:rsidP="003D1D4D">
      <w:pPr>
        <w:pStyle w:val="ListParagraph"/>
        <w:numPr>
          <w:ilvl w:val="0"/>
          <w:numId w:val="8"/>
        </w:numPr>
        <w:ind w:left="1040"/>
      </w:pPr>
      <w:r w:rsidRPr="003B2821">
        <w:t xml:space="preserve">The results of the NMA for maintenance treatment showed no difference between MIRI versus ADA in the models that did not adjust for baseline risk, and results presented in the submission only favoured MIRI after adjusting for baseline risk. The results presented in the submission, however, could not be verified from the source document (Kroep et al 2023). For the </w:t>
      </w:r>
      <w:r w:rsidR="00AF7030" w:rsidRPr="003B2821">
        <w:t>bDMARDs/tsDMARDs</w:t>
      </w:r>
      <w:r w:rsidRPr="003B2821">
        <w:t xml:space="preserve"> experienced subgroup, corresponding results using the fixed effects model adjusted for baseline risk in the source document showed no statistically significant difference between the two treatments. For the </w:t>
      </w:r>
      <w:r w:rsidR="00AF7030" w:rsidRPr="003B2821">
        <w:t>bDMARDs/tsDMARDs</w:t>
      </w:r>
      <w:r w:rsidRPr="003B2821">
        <w:t xml:space="preserve"> naïve subgroup, the source document did not report the corresponding results using the random effects model adjusted for baseline risk. On balance, the selective reporting of results and discrepancies between results presented in the main body of the submission and source document increases the uncertainty around any conclusions from the NMA. In addition, all comparisons between MIRI and ADA for maintenance treatment were based on predicted rather than observed trials results for ADA (to convert treat-through trial results to randomised withdrawal trial results), which adds further uncertainty to the conclusions of the analysis.</w:t>
      </w:r>
      <w:r w:rsidR="00670EAD">
        <w:t xml:space="preserve"> The pre-PBAC response claimed that to base therapeutic conclusions on the induction period alone is likely to be biased against MIRI with respect to the comparison against ADA and does not take into account the importance of longer-term outcomes of the disease. The sponsor maintained that MIRI provides a significant improvement in efficacy for some patients.</w:t>
      </w:r>
    </w:p>
    <w:p w14:paraId="127439CC" w14:textId="09F643FC" w:rsidR="0078343F" w:rsidRDefault="009E3F35" w:rsidP="0078343F">
      <w:pPr>
        <w:pStyle w:val="3-BodyText"/>
      </w:pPr>
      <w:bookmarkStart w:id="50" w:name="_Ref140223521"/>
      <w:r w:rsidRPr="00FD140C">
        <w:t xml:space="preserve">The PSCR also presented additional results of the NMA for the alternative model fit (Table 2 and UC NMA_Supplementary Report of the PSCR) </w:t>
      </w:r>
      <w:r w:rsidR="00852E3F" w:rsidRPr="00FD140C">
        <w:t>and reiterated the analyses presented in the submission were the best-fitting models, which were the fixed effects models in most cases</w:t>
      </w:r>
      <w:r w:rsidRPr="00FD140C">
        <w:t xml:space="preserve">, except for the biologic/targeted synthetic disease modifying anti-rheumatic drugs (bDMARDs/tsDMARDs) </w:t>
      </w:r>
      <w:r w:rsidR="007E6E92" w:rsidRPr="003B2821">
        <w:rPr>
          <w:rFonts w:eastAsiaTheme="minorEastAsia"/>
          <w:iCs/>
          <w:szCs w:val="22"/>
          <w:lang w:eastAsia="en-US"/>
        </w:rPr>
        <w:t>naïve</w:t>
      </w:r>
      <w:r w:rsidRPr="00FD140C">
        <w:t xml:space="preserve"> population at induction. </w:t>
      </w:r>
      <w:r w:rsidR="0078343F" w:rsidRPr="0078343F">
        <w:t xml:space="preserve">The ESC noted the PBAC has previously considered analyses based on separate bDMARD/tsDMARD naïve and experienced subgroups to not be key analyses in MSUC, </w:t>
      </w:r>
      <w:r w:rsidR="0078343F" w:rsidRPr="0078343F">
        <w:lastRenderedPageBreak/>
        <w:t xml:space="preserve">given </w:t>
      </w:r>
      <w:r w:rsidR="00791CB9">
        <w:t xml:space="preserve">the </w:t>
      </w:r>
      <w:r w:rsidR="0078343F" w:rsidRPr="0078343F">
        <w:t>line-agnostic nature of PBS listings for this indication. The ESC therefore considered the NMA provided limited value for considering the comparative effectiveness of MIRI to the alternative therapies, given the lack of analyses on the ITT populations, which would be most aligned with the PBS population.</w:t>
      </w:r>
      <w:r w:rsidR="0078343F">
        <w:t xml:space="preserve"> The pre-PBAC response acknowledged the NMA in this submission was not conducted on an ITT </w:t>
      </w:r>
      <w:r w:rsidR="00A13761">
        <w:t>basis and</w:t>
      </w:r>
      <w:r w:rsidR="00986504">
        <w:t xml:space="preserve"> noted the PSCR stated that on a technical and methodological level, the evaluation of the ITT population was not feasible due to heterogeneity observed within the </w:t>
      </w:r>
      <w:r w:rsidR="00791CB9">
        <w:t>UC</w:t>
      </w:r>
      <w:r w:rsidR="00986504">
        <w:t xml:space="preserve"> trials. </w:t>
      </w:r>
      <w:bookmarkEnd w:id="50"/>
    </w:p>
    <w:p w14:paraId="1482518E" w14:textId="479AE061" w:rsidR="00693115" w:rsidRDefault="00693115" w:rsidP="0078343F">
      <w:pPr>
        <w:pStyle w:val="3-BodyText"/>
      </w:pPr>
      <w:r>
        <w:t>The pre-PBAC response stated that the difficulties in interpreting the NMA results in maintenance therapy has been a recurring issue for bDMARDs seeking a superiority claim over ADA, and the PBAC have previous</w:t>
      </w:r>
      <w:r w:rsidR="00791CB9">
        <w:t>ly</w:t>
      </w:r>
      <w:r>
        <w:t xml:space="preserve"> used available evidence to make positive recommendations, citing recommendations made by the PBAC for ozanimod at its November 2022 meeting and for tofacitinib at its November 2020 meeting.</w:t>
      </w:r>
    </w:p>
    <w:p w14:paraId="60A74B57" w14:textId="1B9ECE2B" w:rsidR="00670EAD" w:rsidRPr="0078343F" w:rsidRDefault="00670EAD" w:rsidP="0078343F">
      <w:pPr>
        <w:pStyle w:val="3-BodyText"/>
      </w:pPr>
      <w:r>
        <w:t>The pre-PBAC response claimed that MIRI demonstrated statistically better efficacy compared to VDZ in the maintenance phase for both clinical response and remission in the naïve population. It claimed that MIRI should be considered to be of the same efficacy for reimbursement as that of VDZ, which does not include ADA</w:t>
      </w:r>
      <w:r w:rsidR="00693115">
        <w:t>, at least for some patients.</w:t>
      </w:r>
    </w:p>
    <w:p w14:paraId="5E79ABC3" w14:textId="1A793256" w:rsidR="00644126" w:rsidRPr="00CE42B4" w:rsidRDefault="00644126" w:rsidP="00644126">
      <w:pPr>
        <w:widowControl w:val="0"/>
        <w:numPr>
          <w:ilvl w:val="1"/>
          <w:numId w:val="1"/>
        </w:numPr>
        <w:spacing w:after="120"/>
        <w:rPr>
          <w:rFonts w:asciiTheme="minorHAnsi" w:hAnsiTheme="minorHAnsi"/>
          <w:snapToGrid w:val="0"/>
          <w:szCs w:val="20"/>
        </w:rPr>
      </w:pPr>
      <w:bookmarkStart w:id="51"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non-inferior comparative effectiveness</w:t>
      </w:r>
      <w:r w:rsidR="00791CB9">
        <w:rPr>
          <w:rFonts w:asciiTheme="minorHAnsi" w:hAnsiTheme="minorHAnsi"/>
          <w:snapToGrid w:val="0"/>
          <w:szCs w:val="20"/>
        </w:rPr>
        <w:t xml:space="preserve"> for MIRI</w:t>
      </w:r>
      <w:r w:rsidRPr="00CE42B4">
        <w:rPr>
          <w:rFonts w:asciiTheme="minorHAnsi" w:hAnsiTheme="minorHAnsi"/>
          <w:snapToGrid w:val="0"/>
          <w:szCs w:val="20"/>
        </w:rPr>
        <w:t xml:space="preserve"> was reasonable</w:t>
      </w:r>
      <w:r w:rsidR="00A719C0">
        <w:rPr>
          <w:rFonts w:asciiTheme="minorHAnsi" w:hAnsiTheme="minorHAnsi"/>
          <w:snapToGrid w:val="0"/>
          <w:szCs w:val="20"/>
        </w:rPr>
        <w:t xml:space="preserve"> for all nominated comparators. The PBAC considered that the claim of superior comparative effectiveness compared to ADA </w:t>
      </w:r>
      <w:r w:rsidRPr="00CE42B4">
        <w:rPr>
          <w:rFonts w:asciiTheme="minorHAnsi" w:hAnsiTheme="minorHAnsi"/>
          <w:snapToGrid w:val="0"/>
          <w:szCs w:val="20"/>
        </w:rPr>
        <w:t>was not adequately supported by the data.</w:t>
      </w:r>
    </w:p>
    <w:p w14:paraId="35247400" w14:textId="5DF6B079" w:rsidR="00644126" w:rsidRPr="00644126" w:rsidRDefault="00644126" w:rsidP="00644126">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The PBAC considered that the claim of non-inferior comparative safety</w:t>
      </w:r>
      <w:r w:rsidR="00A719C0">
        <w:rPr>
          <w:rFonts w:asciiTheme="minorHAnsi" w:hAnsiTheme="minorHAnsi"/>
          <w:snapToGrid w:val="0"/>
          <w:szCs w:val="20"/>
        </w:rPr>
        <w:t xml:space="preserve"> for MIRI versus all nominated comparators</w:t>
      </w:r>
      <w:r w:rsidRPr="00CE42B4">
        <w:rPr>
          <w:rFonts w:asciiTheme="minorHAnsi" w:hAnsiTheme="minorHAnsi"/>
          <w:snapToGrid w:val="0"/>
          <w:szCs w:val="20"/>
        </w:rPr>
        <w:t xml:space="preserve"> was reasonable.</w:t>
      </w:r>
      <w:bookmarkEnd w:id="51"/>
    </w:p>
    <w:p w14:paraId="04A4E5ED" w14:textId="77777777" w:rsidR="004D1EA7" w:rsidRPr="00C9624D" w:rsidRDefault="004D1EA7" w:rsidP="004D1EA7">
      <w:pPr>
        <w:pStyle w:val="4-SubsectionHeading"/>
      </w:pPr>
      <w:bookmarkStart w:id="52" w:name="_Toc22897645"/>
      <w:bookmarkStart w:id="53" w:name="_Toc135142382"/>
      <w:r w:rsidRPr="00C9624D">
        <w:t>Economic analysis</w:t>
      </w:r>
      <w:bookmarkEnd w:id="52"/>
      <w:bookmarkEnd w:id="53"/>
      <w:r w:rsidRPr="00C9624D">
        <w:t xml:space="preserve"> </w:t>
      </w:r>
    </w:p>
    <w:p w14:paraId="45156E7E" w14:textId="6F0ABA9C" w:rsidR="004D1EA7" w:rsidRPr="0004437C" w:rsidRDefault="004D1EA7" w:rsidP="004D1EA7">
      <w:pPr>
        <w:pStyle w:val="3-BodyText"/>
        <w:rPr>
          <w:i/>
          <w:iCs/>
          <w:lang w:val="en-US"/>
        </w:rPr>
      </w:pPr>
      <w:r>
        <w:t>The submission presented a cost-minimisation approach comparing MIRI with VDZ</w:t>
      </w:r>
      <w:r>
        <w:rPr>
          <w:rFonts w:eastAsiaTheme="minorEastAsia"/>
          <w:szCs w:val="22"/>
          <w:lang w:eastAsia="en-US"/>
        </w:rPr>
        <w:t xml:space="preserve"> (IV formulation only), assuming equivalent total costs over the first two years (104</w:t>
      </w:r>
      <w:r w:rsidR="0021508E">
        <w:rPr>
          <w:rFonts w:eastAsiaTheme="minorEastAsia"/>
          <w:szCs w:val="22"/>
          <w:lang w:eastAsia="en-US"/>
        </w:rPr>
        <w:t> </w:t>
      </w:r>
      <w:r>
        <w:rPr>
          <w:rFonts w:eastAsiaTheme="minorEastAsia"/>
          <w:szCs w:val="22"/>
          <w:lang w:eastAsia="en-US"/>
        </w:rPr>
        <w:t xml:space="preserve">weeks), and accounting for IV infusion administration costs. </w:t>
      </w:r>
      <w:r w:rsidRPr="0004437C">
        <w:rPr>
          <w:lang w:val="en-US"/>
        </w:rPr>
        <w:t xml:space="preserve">Given </w:t>
      </w:r>
      <w:r>
        <w:t>VDZ is subject to a Special Pricing Arrangement and the effective AEMP was unknown to the sponsor, t</w:t>
      </w:r>
      <w:r w:rsidRPr="007C4CD1">
        <w:t xml:space="preserve">he results presented </w:t>
      </w:r>
      <w:r>
        <w:t xml:space="preserve">in the submission used the published AEMP. The submission stated that the ‘hypothetical’ analysis can be updated during the post-PBAC processes </w:t>
      </w:r>
      <w:r w:rsidRPr="007C4CD1">
        <w:t xml:space="preserve">using </w:t>
      </w:r>
      <w:r>
        <w:t xml:space="preserve">the </w:t>
      </w:r>
      <w:r w:rsidRPr="007C4CD1">
        <w:t>ef</w:t>
      </w:r>
      <w:r>
        <w:t>fective AEMP for VDZ</w:t>
      </w:r>
      <w:r w:rsidRPr="007C4CD1">
        <w:t>.</w:t>
      </w:r>
    </w:p>
    <w:p w14:paraId="623CB6DB" w14:textId="77777777" w:rsidR="004D1EA7" w:rsidRPr="00965161" w:rsidRDefault="004D1EA7" w:rsidP="004D1EA7">
      <w:pPr>
        <w:pStyle w:val="3-BodyText"/>
        <w:rPr>
          <w:lang w:val="en-US"/>
        </w:rPr>
      </w:pPr>
      <w:r w:rsidRPr="002E0375">
        <w:t xml:space="preserve">The </w:t>
      </w:r>
      <w:r>
        <w:t xml:space="preserve">proposed </w:t>
      </w:r>
      <w:r w:rsidRPr="002E0375">
        <w:t>equi-</w:t>
      </w:r>
      <w:r w:rsidRPr="002E0375">
        <w:rPr>
          <w:lang w:val="en-US"/>
        </w:rPr>
        <w:t xml:space="preserve">effective doses </w:t>
      </w:r>
      <w:r>
        <w:rPr>
          <w:lang w:val="en-US"/>
        </w:rPr>
        <w:t>were</w:t>
      </w:r>
      <w:r w:rsidRPr="002E0375">
        <w:rPr>
          <w:lang w:val="en-US"/>
        </w:rPr>
        <w:t xml:space="preserve"> based on </w:t>
      </w:r>
      <w:r>
        <w:rPr>
          <w:lang w:val="en-US"/>
        </w:rPr>
        <w:t xml:space="preserve">the </w:t>
      </w:r>
      <w:r w:rsidRPr="002E0375">
        <w:rPr>
          <w:lang w:val="en-US"/>
        </w:rPr>
        <w:t>recommended doses:</w:t>
      </w:r>
    </w:p>
    <w:p w14:paraId="4E3FDCA7" w14:textId="77777777" w:rsidR="004D1EA7" w:rsidRDefault="004D1EA7" w:rsidP="003D1D4D">
      <w:pPr>
        <w:pStyle w:val="ListBullet"/>
        <w:numPr>
          <w:ilvl w:val="0"/>
          <w:numId w:val="8"/>
        </w:numPr>
        <w:spacing w:after="120"/>
        <w:ind w:left="1040" w:hanging="357"/>
        <w:rPr>
          <w:rFonts w:asciiTheme="minorHAnsi" w:eastAsiaTheme="minorEastAsia" w:hAnsiTheme="minorHAnsi" w:cstheme="minorHAnsi"/>
          <w:lang w:eastAsia="en-US"/>
        </w:rPr>
      </w:pPr>
      <w:r>
        <w:rPr>
          <w:rFonts w:asciiTheme="minorHAnsi" w:eastAsiaTheme="minorEastAsia" w:hAnsiTheme="minorHAnsi" w:cstheme="minorHAnsi"/>
          <w:lang w:eastAsia="en-US"/>
        </w:rPr>
        <w:t>MIRI s</w:t>
      </w:r>
      <w:r w:rsidRPr="00A00298">
        <w:rPr>
          <w:rFonts w:asciiTheme="minorHAnsi" w:eastAsiaTheme="minorEastAsia" w:hAnsiTheme="minorHAnsi" w:cstheme="minorHAnsi"/>
          <w:lang w:eastAsia="en-US"/>
        </w:rPr>
        <w:t>tandard dosing:</w:t>
      </w:r>
    </w:p>
    <w:p w14:paraId="0300DE7E" w14:textId="09A5DB6D" w:rsidR="004D1EA7" w:rsidRPr="00FE6BB7" w:rsidRDefault="004D1EA7" w:rsidP="003D1D4D">
      <w:pPr>
        <w:pStyle w:val="ListBullet"/>
        <w:numPr>
          <w:ilvl w:val="0"/>
          <w:numId w:val="12"/>
        </w:numPr>
        <w:spacing w:after="120"/>
        <w:ind w:hanging="357"/>
        <w:rPr>
          <w:rFonts w:asciiTheme="minorHAnsi" w:eastAsiaTheme="minorEastAsia" w:hAnsiTheme="minorHAnsi" w:cstheme="minorHAnsi"/>
          <w:lang w:eastAsia="en-US"/>
        </w:rPr>
      </w:pPr>
      <w:r w:rsidRPr="00A00298">
        <w:rPr>
          <w:rFonts w:eastAsiaTheme="minorEastAsia"/>
          <w:lang w:eastAsia="en-US"/>
        </w:rPr>
        <w:t>MIRI IV 300 mg at week 0, 4, 8 and then MIRI SC 200 mg Q4W thereafter</w:t>
      </w:r>
    </w:p>
    <w:p w14:paraId="536449DC" w14:textId="77777777" w:rsidR="004D1EA7" w:rsidRPr="00AB23EC" w:rsidRDefault="004D1EA7" w:rsidP="003D1D4D">
      <w:pPr>
        <w:pStyle w:val="ListBullet"/>
        <w:numPr>
          <w:ilvl w:val="0"/>
          <w:numId w:val="12"/>
        </w:numPr>
        <w:spacing w:after="120"/>
        <w:ind w:hanging="357"/>
        <w:rPr>
          <w:rFonts w:asciiTheme="minorHAnsi" w:eastAsiaTheme="minorEastAsia" w:hAnsiTheme="minorHAnsi" w:cstheme="minorHAnsi"/>
          <w:lang w:eastAsia="en-US"/>
        </w:rPr>
      </w:pPr>
      <w:r w:rsidRPr="00A00298">
        <w:rPr>
          <w:rFonts w:eastAsiaTheme="minorEastAsia"/>
          <w:lang w:eastAsia="en-US"/>
        </w:rPr>
        <w:t xml:space="preserve">VDZ IV 300 mg at weeks 0, 2, 6, then </w:t>
      </w:r>
      <w:r>
        <w:rPr>
          <w:rFonts w:eastAsiaTheme="minorEastAsia"/>
          <w:lang w:eastAsia="en-US"/>
        </w:rPr>
        <w:t>Q8W</w:t>
      </w:r>
      <w:r w:rsidRPr="00A00298">
        <w:rPr>
          <w:rFonts w:eastAsiaTheme="minorEastAsia"/>
          <w:lang w:eastAsia="en-US"/>
        </w:rPr>
        <w:t xml:space="preserve"> thereafter.</w:t>
      </w:r>
    </w:p>
    <w:p w14:paraId="49725EB5" w14:textId="77777777" w:rsidR="004D1EA7" w:rsidRPr="00FE6BB7" w:rsidRDefault="004D1EA7" w:rsidP="003D1D4D">
      <w:pPr>
        <w:pStyle w:val="ListBullet"/>
        <w:numPr>
          <w:ilvl w:val="0"/>
          <w:numId w:val="8"/>
        </w:numPr>
        <w:spacing w:after="120"/>
        <w:ind w:left="1040" w:hanging="357"/>
        <w:rPr>
          <w:rFonts w:eastAsiaTheme="minorEastAsia"/>
          <w:lang w:eastAsia="en-US"/>
        </w:rPr>
      </w:pPr>
      <w:r>
        <w:rPr>
          <w:rFonts w:asciiTheme="minorHAnsi" w:eastAsiaTheme="minorEastAsia" w:hAnsiTheme="minorHAnsi" w:cstheme="minorHAnsi"/>
          <w:lang w:eastAsia="en-US"/>
        </w:rPr>
        <w:t>MIRI e</w:t>
      </w:r>
      <w:r w:rsidRPr="00A00298">
        <w:rPr>
          <w:rFonts w:asciiTheme="minorHAnsi" w:eastAsiaTheme="minorEastAsia" w:hAnsiTheme="minorHAnsi" w:cstheme="minorHAnsi"/>
          <w:lang w:eastAsia="en-US"/>
        </w:rPr>
        <w:t>xtended dosing:</w:t>
      </w:r>
    </w:p>
    <w:p w14:paraId="43A811CE" w14:textId="3ADF95AD" w:rsidR="004D1EA7" w:rsidRDefault="004D1EA7" w:rsidP="003D1D4D">
      <w:pPr>
        <w:pStyle w:val="ListBullet"/>
        <w:numPr>
          <w:ilvl w:val="0"/>
          <w:numId w:val="13"/>
        </w:numPr>
        <w:spacing w:after="120"/>
        <w:ind w:hanging="357"/>
        <w:rPr>
          <w:rFonts w:eastAsiaTheme="minorEastAsia"/>
          <w:lang w:eastAsia="en-US"/>
        </w:rPr>
      </w:pPr>
      <w:r w:rsidRPr="00A00298">
        <w:rPr>
          <w:rFonts w:eastAsiaTheme="minorEastAsia"/>
          <w:lang w:eastAsia="en-US"/>
        </w:rPr>
        <w:t>MIRI IV 300 mg at week 0, 4, 8, 12, 16, 20 and then MIRI SC 200 mg Q4W thereafter</w:t>
      </w:r>
    </w:p>
    <w:p w14:paraId="21BFF3B0" w14:textId="77777777" w:rsidR="004D1EA7" w:rsidRDefault="004D1EA7" w:rsidP="003D1D4D">
      <w:pPr>
        <w:pStyle w:val="ListBullet"/>
        <w:numPr>
          <w:ilvl w:val="0"/>
          <w:numId w:val="13"/>
        </w:numPr>
        <w:spacing w:after="120"/>
        <w:ind w:hanging="357"/>
        <w:rPr>
          <w:rFonts w:eastAsiaTheme="minorEastAsia"/>
          <w:lang w:eastAsia="en-US"/>
        </w:rPr>
      </w:pPr>
      <w:r w:rsidRPr="00A00298">
        <w:rPr>
          <w:rFonts w:eastAsiaTheme="minorEastAsia"/>
          <w:lang w:eastAsia="en-US"/>
        </w:rPr>
        <w:t xml:space="preserve">VDZ IV 300 mg at weeks 0, 2, 6, then </w:t>
      </w:r>
      <w:r>
        <w:rPr>
          <w:rFonts w:eastAsiaTheme="minorEastAsia"/>
          <w:lang w:eastAsia="en-US"/>
        </w:rPr>
        <w:t>Q8W</w:t>
      </w:r>
      <w:r w:rsidRPr="00A00298">
        <w:rPr>
          <w:rFonts w:eastAsiaTheme="minorEastAsia"/>
          <w:lang w:eastAsia="en-US"/>
        </w:rPr>
        <w:t xml:space="preserve"> thereafter.</w:t>
      </w:r>
    </w:p>
    <w:p w14:paraId="4387DB2D" w14:textId="6A53B8E0" w:rsidR="00D960F5" w:rsidRPr="00D960F5" w:rsidRDefault="004D1EA7" w:rsidP="00D960F5">
      <w:pPr>
        <w:pStyle w:val="3-BodyText"/>
        <w:rPr>
          <w:i/>
          <w:iCs/>
          <w:lang w:val="en-US"/>
        </w:rPr>
      </w:pPr>
      <w:r>
        <w:rPr>
          <w:rFonts w:eastAsiaTheme="minorEastAsia"/>
          <w:szCs w:val="22"/>
          <w:lang w:eastAsia="en-US"/>
        </w:rPr>
        <w:lastRenderedPageBreak/>
        <w:fldChar w:fldCharType="begin" w:fldLock="1"/>
      </w:r>
      <w:r>
        <w:rPr>
          <w:rFonts w:eastAsiaTheme="minorEastAsia"/>
          <w:szCs w:val="22"/>
          <w:lang w:eastAsia="en-US"/>
        </w:rPr>
        <w:instrText xml:space="preserve"> REF _Ref134379635 \h </w:instrText>
      </w:r>
      <w:r>
        <w:rPr>
          <w:rFonts w:eastAsiaTheme="minorEastAsia"/>
          <w:szCs w:val="22"/>
          <w:lang w:eastAsia="en-US"/>
        </w:rPr>
      </w:r>
      <w:r>
        <w:rPr>
          <w:rFonts w:eastAsiaTheme="minorEastAsia"/>
          <w:szCs w:val="22"/>
          <w:lang w:eastAsia="en-US"/>
        </w:rPr>
        <w:fldChar w:fldCharType="separate"/>
      </w:r>
      <w:r w:rsidR="0005097F">
        <w:t xml:space="preserve">Table </w:t>
      </w:r>
      <w:r w:rsidR="0005097F">
        <w:rPr>
          <w:noProof/>
        </w:rPr>
        <w:t>10</w:t>
      </w:r>
      <w:r>
        <w:rPr>
          <w:rFonts w:eastAsiaTheme="minorEastAsia"/>
          <w:szCs w:val="22"/>
          <w:lang w:eastAsia="en-US"/>
        </w:rPr>
        <w:fldChar w:fldCharType="end"/>
      </w:r>
      <w:r>
        <w:rPr>
          <w:rFonts w:eastAsiaTheme="minorEastAsia"/>
          <w:szCs w:val="22"/>
          <w:lang w:eastAsia="en-US"/>
        </w:rPr>
        <w:t xml:space="preserve"> </w:t>
      </w:r>
      <w:r w:rsidRPr="00037D01">
        <w:rPr>
          <w:rFonts w:eastAsiaTheme="minorEastAsia"/>
          <w:szCs w:val="22"/>
          <w:lang w:eastAsia="en-US"/>
        </w:rPr>
        <w:t>shows the results of the cost-minimisation approach presented in the submission, based on the following assumptions:</w:t>
      </w:r>
    </w:p>
    <w:p w14:paraId="4C92F442" w14:textId="77777777" w:rsidR="004D1EA7" w:rsidRPr="008C7410" w:rsidRDefault="004D1EA7" w:rsidP="003D1D4D">
      <w:pPr>
        <w:pStyle w:val="3-BodyText"/>
        <w:numPr>
          <w:ilvl w:val="0"/>
          <w:numId w:val="14"/>
        </w:numPr>
        <w:ind w:left="1040" w:hanging="357"/>
        <w:rPr>
          <w:i/>
          <w:iCs/>
          <w:lang w:val="en-US"/>
        </w:rPr>
      </w:pPr>
      <w:r w:rsidRPr="008C7410">
        <w:rPr>
          <w:rFonts w:eastAsiaTheme="minorEastAsia"/>
          <w:lang w:eastAsia="en-US"/>
        </w:rPr>
        <w:t>Equivalent total costs for MIRI and VDZ over the first two years (i.e. 104 weeks) of treatment at the nominated equi-effective doses, corresponding to 15 doses of VDZ and 26 doses of MIRI.</w:t>
      </w:r>
    </w:p>
    <w:p w14:paraId="3CB175E6" w14:textId="0D801847" w:rsidR="004D1EA7" w:rsidRPr="00B67D8F" w:rsidRDefault="004D1EA7" w:rsidP="003D1D4D">
      <w:pPr>
        <w:pStyle w:val="3-BodyText"/>
        <w:numPr>
          <w:ilvl w:val="0"/>
          <w:numId w:val="14"/>
        </w:numPr>
        <w:ind w:left="1040" w:hanging="357"/>
        <w:rPr>
          <w:i/>
          <w:iCs/>
          <w:lang w:val="en-US"/>
        </w:rPr>
      </w:pPr>
      <w:r w:rsidRPr="008C7410">
        <w:rPr>
          <w:rFonts w:eastAsiaTheme="minorEastAsia" w:cs="Calibri"/>
          <w:iCs/>
          <w:lang w:eastAsia="en-US"/>
        </w:rPr>
        <w:t>An administration cost for each IV infusion of MIRI and VDZ, based on</w:t>
      </w:r>
      <w:r w:rsidR="0021508E">
        <w:rPr>
          <w:rFonts w:eastAsiaTheme="minorEastAsia" w:cs="Calibri"/>
          <w:iCs/>
          <w:lang w:eastAsia="en-US"/>
        </w:rPr>
        <w:t xml:space="preserve"> Medicare Benefits Schedule</w:t>
      </w:r>
      <w:r w:rsidRPr="008C7410">
        <w:rPr>
          <w:rFonts w:eastAsiaTheme="minorEastAsia" w:cs="Calibri"/>
          <w:iCs/>
          <w:lang w:eastAsia="en-US"/>
        </w:rPr>
        <w:t xml:space="preserve"> </w:t>
      </w:r>
      <w:r w:rsidR="0021508E">
        <w:rPr>
          <w:rFonts w:eastAsiaTheme="minorEastAsia" w:cs="Calibri"/>
          <w:iCs/>
          <w:lang w:eastAsia="en-US"/>
        </w:rPr>
        <w:t>(</w:t>
      </w:r>
      <w:r w:rsidRPr="008C7410">
        <w:rPr>
          <w:rFonts w:eastAsiaTheme="minorEastAsia" w:cs="Calibri"/>
          <w:iCs/>
          <w:lang w:eastAsia="en-US"/>
        </w:rPr>
        <w:t>MBS</w:t>
      </w:r>
      <w:r w:rsidR="0021508E">
        <w:rPr>
          <w:rFonts w:eastAsiaTheme="minorEastAsia" w:cs="Calibri"/>
          <w:iCs/>
          <w:lang w:eastAsia="en-US"/>
        </w:rPr>
        <w:t>)</w:t>
      </w:r>
      <w:r w:rsidRPr="008C7410">
        <w:rPr>
          <w:rFonts w:eastAsiaTheme="minorEastAsia" w:cs="Calibri"/>
          <w:iCs/>
          <w:lang w:eastAsia="en-US"/>
        </w:rPr>
        <w:t xml:space="preserve"> item 116 ($81.05 100% benefit level).</w:t>
      </w:r>
    </w:p>
    <w:p w14:paraId="7F04BDEF" w14:textId="77777777" w:rsidR="004D1EA7" w:rsidRPr="008C7410" w:rsidRDefault="004D1EA7" w:rsidP="003D1D4D">
      <w:pPr>
        <w:pStyle w:val="3-BodyText"/>
        <w:numPr>
          <w:ilvl w:val="0"/>
          <w:numId w:val="14"/>
        </w:numPr>
        <w:ind w:left="1040" w:hanging="357"/>
        <w:rPr>
          <w:i/>
          <w:iCs/>
          <w:lang w:val="en-US"/>
        </w:rPr>
      </w:pPr>
      <w:r w:rsidRPr="008C7410">
        <w:rPr>
          <w:rFonts w:eastAsiaTheme="minorEastAsia"/>
          <w:szCs w:val="22"/>
          <w:lang w:eastAsia="en-US"/>
        </w:rPr>
        <w:t>The published AEMP f</w:t>
      </w:r>
      <w:r>
        <w:rPr>
          <w:rFonts w:eastAsiaTheme="minorEastAsia"/>
          <w:szCs w:val="22"/>
          <w:lang w:eastAsia="en-US"/>
        </w:rPr>
        <w:t>or VDZ 300 mg vial ($2,949.93).</w:t>
      </w:r>
    </w:p>
    <w:p w14:paraId="73F781AB" w14:textId="77777777" w:rsidR="004D1EA7" w:rsidRPr="008C7410" w:rsidRDefault="004D1EA7" w:rsidP="003D1D4D">
      <w:pPr>
        <w:pStyle w:val="3-BodyText"/>
        <w:numPr>
          <w:ilvl w:val="0"/>
          <w:numId w:val="14"/>
        </w:numPr>
        <w:ind w:left="1040" w:hanging="357"/>
        <w:rPr>
          <w:i/>
          <w:iCs/>
          <w:lang w:val="en-US"/>
        </w:rPr>
      </w:pPr>
      <w:r w:rsidRPr="008C7410">
        <w:rPr>
          <w:rFonts w:eastAsiaTheme="minorEastAsia"/>
          <w:lang w:eastAsia="en-US"/>
        </w:rPr>
        <w:t>A flat pricing structure between MIRI IV and SC formulations.</w:t>
      </w:r>
    </w:p>
    <w:p w14:paraId="79366318" w14:textId="2E7DE6B7" w:rsidR="004D1EA7" w:rsidRPr="0004437C" w:rsidRDefault="004D1EA7" w:rsidP="003D1D4D">
      <w:pPr>
        <w:pStyle w:val="3-BodyText"/>
        <w:numPr>
          <w:ilvl w:val="0"/>
          <w:numId w:val="14"/>
        </w:numPr>
        <w:ind w:left="1040" w:hanging="357"/>
        <w:rPr>
          <w:i/>
          <w:iCs/>
          <w:lang w:val="en-US"/>
        </w:rPr>
      </w:pPr>
      <w:r w:rsidRPr="008C7410">
        <w:rPr>
          <w:rFonts w:eastAsiaTheme="minorEastAsia"/>
          <w:lang w:eastAsia="en-US"/>
        </w:rPr>
        <w:t xml:space="preserve">A weighted AEMP for MIRI, </w:t>
      </w:r>
      <w:r>
        <w:rPr>
          <w:rFonts w:eastAsiaTheme="minorEastAsia"/>
          <w:lang w:eastAsia="en-US"/>
        </w:rPr>
        <w:t xml:space="preserve">assuming </w:t>
      </w:r>
      <w:r w:rsidRPr="008C7410">
        <w:rPr>
          <w:rFonts w:eastAsiaTheme="minorEastAsia"/>
          <w:lang w:eastAsia="en-US"/>
        </w:rPr>
        <w:t xml:space="preserve">76.4% of </w:t>
      </w:r>
      <w:r>
        <w:rPr>
          <w:rFonts w:eastAsiaTheme="minorEastAsia"/>
          <w:lang w:eastAsia="en-US"/>
        </w:rPr>
        <w:t xml:space="preserve">‘responders’ (i.e. 63.5% / 83.1% from LUCENT 1 and 2) would receive </w:t>
      </w:r>
      <w:r w:rsidRPr="008C7410">
        <w:rPr>
          <w:rFonts w:eastAsiaTheme="minorEastAsia"/>
          <w:lang w:eastAsia="en-US"/>
        </w:rPr>
        <w:t>standard induction (3</w:t>
      </w:r>
      <w:r w:rsidR="00791CB9">
        <w:rPr>
          <w:rFonts w:eastAsiaTheme="minorEastAsia"/>
          <w:lang w:eastAsia="en-US"/>
        </w:rPr>
        <w:t> </w:t>
      </w:r>
      <w:r w:rsidRPr="008C7410">
        <w:rPr>
          <w:rFonts w:eastAsiaTheme="minorEastAsia"/>
          <w:lang w:eastAsia="en-US"/>
        </w:rPr>
        <w:t>x MIRI IV doses + 23 x</w:t>
      </w:r>
      <w:r w:rsidR="00791CB9">
        <w:rPr>
          <w:rFonts w:eastAsiaTheme="minorEastAsia"/>
          <w:lang w:eastAsia="en-US"/>
        </w:rPr>
        <w:t> </w:t>
      </w:r>
      <w:r w:rsidRPr="008C7410">
        <w:rPr>
          <w:rFonts w:eastAsiaTheme="minorEastAsia"/>
          <w:lang w:eastAsia="en-US"/>
        </w:rPr>
        <w:t xml:space="preserve">MIRI SC injections) and 23.6% of </w:t>
      </w:r>
      <w:r>
        <w:rPr>
          <w:rFonts w:eastAsiaTheme="minorEastAsia"/>
          <w:lang w:eastAsia="en-US"/>
        </w:rPr>
        <w:t>responders would receive</w:t>
      </w:r>
      <w:r w:rsidRPr="008C7410">
        <w:rPr>
          <w:rFonts w:eastAsiaTheme="minorEastAsia"/>
          <w:lang w:eastAsia="en-US"/>
        </w:rPr>
        <w:t xml:space="preserve"> extended induction (6</w:t>
      </w:r>
      <w:r w:rsidR="00791CB9">
        <w:rPr>
          <w:rFonts w:eastAsiaTheme="minorEastAsia"/>
          <w:lang w:eastAsia="en-US"/>
        </w:rPr>
        <w:t> </w:t>
      </w:r>
      <w:r w:rsidRPr="008C7410">
        <w:rPr>
          <w:rFonts w:eastAsiaTheme="minorEastAsia"/>
          <w:lang w:eastAsia="en-US"/>
        </w:rPr>
        <w:t>x MIRI IV doses + 20 x MIRI SC injections).</w:t>
      </w:r>
    </w:p>
    <w:p w14:paraId="3684982A" w14:textId="44A329F1" w:rsidR="004D1EA7" w:rsidRPr="0031021B" w:rsidRDefault="0005097F" w:rsidP="0005097F">
      <w:pPr>
        <w:pStyle w:val="Caption"/>
      </w:pPr>
      <w:bookmarkStart w:id="54" w:name="_Ref134379635"/>
      <w:r>
        <w:t xml:space="preserve">Table </w:t>
      </w:r>
      <w:r w:rsidR="00A234BA">
        <w:fldChar w:fldCharType="begin" w:fldLock="1"/>
      </w:r>
      <w:r w:rsidR="00A234BA">
        <w:instrText xml:space="preserve"> SE</w:instrText>
      </w:r>
      <w:r w:rsidR="00A234BA">
        <w:instrText xml:space="preserve">Q Table \* ARABIC </w:instrText>
      </w:r>
      <w:r w:rsidR="00A234BA">
        <w:fldChar w:fldCharType="separate"/>
      </w:r>
      <w:r>
        <w:rPr>
          <w:noProof/>
        </w:rPr>
        <w:t>10</w:t>
      </w:r>
      <w:r w:rsidR="00A234BA">
        <w:rPr>
          <w:noProof/>
        </w:rPr>
        <w:fldChar w:fldCharType="end"/>
      </w:r>
      <w:bookmarkEnd w:id="54"/>
      <w:r w:rsidR="004D1EA7" w:rsidRPr="00116A08">
        <w:rPr>
          <w:rFonts w:eastAsiaTheme="minorEastAsia"/>
          <w:snapToGrid w:val="0"/>
          <w:szCs w:val="16"/>
          <w:lang w:eastAsia="en-US"/>
        </w:rPr>
        <w:t>: Results</w:t>
      </w:r>
      <w:r w:rsidR="004D1EA7" w:rsidRPr="00407000">
        <w:rPr>
          <w:rFonts w:eastAsiaTheme="minorEastAsia"/>
          <w:snapToGrid w:val="0"/>
          <w:szCs w:val="16"/>
          <w:lang w:eastAsia="en-US"/>
        </w:rPr>
        <w:t xml:space="preserve"> of the co</w:t>
      </w:r>
      <w:r w:rsidR="004D1EA7" w:rsidRPr="00407000">
        <w:rPr>
          <w:rFonts w:eastAsiaTheme="minorEastAsia"/>
          <w:szCs w:val="16"/>
          <w:lang w:eastAsia="en-US"/>
        </w:rPr>
        <w:t>st-minimisation approach</w:t>
      </w:r>
      <w:r w:rsidR="004D1EA7" w:rsidRPr="00407000">
        <w:rPr>
          <w:rFonts w:eastAsiaTheme="minorEastAsia"/>
          <w:snapToGrid w:val="0"/>
          <w:szCs w:val="16"/>
          <w:lang w:eastAsia="en-US"/>
        </w:rPr>
        <w:t xml:space="preserve"> presented in the </w:t>
      </w:r>
      <w:proofErr w:type="gramStart"/>
      <w:r w:rsidR="004D1EA7" w:rsidRPr="00407000">
        <w:rPr>
          <w:rFonts w:eastAsiaTheme="minorEastAsia"/>
          <w:snapToGrid w:val="0"/>
          <w:szCs w:val="16"/>
          <w:lang w:eastAsia="en-US"/>
        </w:rPr>
        <w:t>submission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Results of the cost-minimisation approach presented in the submission"/>
      </w:tblPr>
      <w:tblGrid>
        <w:gridCol w:w="1408"/>
        <w:gridCol w:w="1706"/>
        <w:gridCol w:w="2835"/>
        <w:gridCol w:w="3068"/>
      </w:tblGrid>
      <w:tr w:rsidR="004D1EA7" w:rsidRPr="0021508E" w14:paraId="1597B13F" w14:textId="77777777" w:rsidTr="00791CB9">
        <w:tc>
          <w:tcPr>
            <w:tcW w:w="781" w:type="pct"/>
            <w:vAlign w:val="center"/>
          </w:tcPr>
          <w:p w14:paraId="17CE5442" w14:textId="77777777" w:rsidR="004D1EA7" w:rsidRPr="0021508E" w:rsidRDefault="004D1EA7" w:rsidP="004D1EA7">
            <w:pPr>
              <w:keepNext/>
              <w:jc w:val="left"/>
              <w:rPr>
                <w:rFonts w:ascii="Arial Narrow" w:eastAsiaTheme="minorEastAsia" w:hAnsi="Arial Narrow" w:cs="Times New Roman"/>
                <w:b/>
                <w:sz w:val="20"/>
                <w:szCs w:val="20"/>
                <w:lang w:eastAsia="en-US"/>
              </w:rPr>
            </w:pPr>
            <w:r w:rsidRPr="0021508E">
              <w:rPr>
                <w:rFonts w:ascii="Arial Narrow" w:eastAsiaTheme="minorEastAsia" w:hAnsi="Arial Narrow" w:cs="Times New Roman"/>
                <w:b/>
                <w:sz w:val="20"/>
                <w:szCs w:val="20"/>
                <w:lang w:eastAsia="en-US"/>
              </w:rPr>
              <w:t>Component</w:t>
            </w:r>
          </w:p>
        </w:tc>
        <w:tc>
          <w:tcPr>
            <w:tcW w:w="946" w:type="pct"/>
            <w:vAlign w:val="center"/>
          </w:tcPr>
          <w:p w14:paraId="61832903" w14:textId="77777777" w:rsidR="004D1EA7" w:rsidRPr="0021508E" w:rsidRDefault="004D1EA7" w:rsidP="004D1EA7">
            <w:pPr>
              <w:keepNext/>
              <w:jc w:val="center"/>
              <w:rPr>
                <w:rFonts w:ascii="Arial Narrow" w:eastAsiaTheme="minorEastAsia" w:hAnsi="Arial Narrow" w:cs="Times New Roman"/>
                <w:b/>
                <w:sz w:val="20"/>
                <w:szCs w:val="20"/>
                <w:lang w:eastAsia="en-US"/>
              </w:rPr>
            </w:pPr>
            <w:r w:rsidRPr="0021508E">
              <w:rPr>
                <w:rFonts w:ascii="Arial Narrow" w:eastAsiaTheme="minorEastAsia" w:hAnsi="Arial Narrow" w:cs="Times New Roman"/>
                <w:b/>
                <w:sz w:val="20"/>
                <w:szCs w:val="20"/>
                <w:lang w:eastAsia="en-US"/>
              </w:rPr>
              <w:t>VDZ IV</w:t>
            </w:r>
          </w:p>
        </w:tc>
        <w:tc>
          <w:tcPr>
            <w:tcW w:w="1572" w:type="pct"/>
          </w:tcPr>
          <w:p w14:paraId="7FC94B67" w14:textId="77777777" w:rsidR="004D1EA7" w:rsidRPr="0021508E" w:rsidRDefault="004D1EA7" w:rsidP="004D1EA7">
            <w:pPr>
              <w:keepNext/>
              <w:jc w:val="center"/>
              <w:rPr>
                <w:rFonts w:ascii="Arial Narrow" w:eastAsiaTheme="minorEastAsia" w:hAnsi="Arial Narrow" w:cs="Times New Roman"/>
                <w:b/>
                <w:sz w:val="20"/>
                <w:szCs w:val="20"/>
                <w:lang w:eastAsia="en-US"/>
              </w:rPr>
            </w:pPr>
            <w:r w:rsidRPr="0021508E">
              <w:rPr>
                <w:rFonts w:ascii="Arial Narrow" w:eastAsiaTheme="minorEastAsia" w:hAnsi="Arial Narrow" w:cs="Times New Roman"/>
                <w:b/>
                <w:sz w:val="20"/>
                <w:szCs w:val="20"/>
                <w:lang w:eastAsia="en-US"/>
              </w:rPr>
              <w:t>MIRI</w:t>
            </w:r>
          </w:p>
          <w:p w14:paraId="685E9D29" w14:textId="2F82747F" w:rsidR="004D1EA7" w:rsidRPr="0021508E" w:rsidRDefault="004D1EA7" w:rsidP="004D1EA7">
            <w:pPr>
              <w:keepNext/>
              <w:jc w:val="center"/>
              <w:rPr>
                <w:rFonts w:ascii="Arial Narrow" w:eastAsiaTheme="minorEastAsia" w:hAnsi="Arial Narrow" w:cs="Times New Roman"/>
                <w:b/>
                <w:sz w:val="20"/>
                <w:szCs w:val="20"/>
                <w:lang w:eastAsia="en-US"/>
              </w:rPr>
            </w:pPr>
            <w:r w:rsidRPr="0021508E">
              <w:rPr>
                <w:rFonts w:ascii="Arial Narrow" w:eastAsiaTheme="minorEastAsia" w:hAnsi="Arial Narrow" w:cs="Times New Roman"/>
                <w:b/>
                <w:sz w:val="20"/>
                <w:szCs w:val="20"/>
                <w:lang w:eastAsia="en-US"/>
              </w:rPr>
              <w:t xml:space="preserve">(standard dosing; </w:t>
            </w:r>
            <w:r w:rsidR="00A13761">
              <w:rPr>
                <w:rFonts w:ascii="Arial Narrow" w:eastAsiaTheme="minorEastAsia" w:hAnsi="Arial Narrow" w:cs="Times New Roman"/>
                <w:b/>
                <w:sz w:val="20"/>
                <w:szCs w:val="20"/>
                <w:lang w:eastAsia="en-US"/>
              </w:rPr>
              <w:br/>
            </w:r>
            <w:r w:rsidRPr="0021508E">
              <w:rPr>
                <w:rFonts w:ascii="Arial Narrow" w:eastAsiaTheme="minorEastAsia" w:hAnsi="Arial Narrow" w:cs="Times New Roman"/>
                <w:b/>
                <w:sz w:val="20"/>
                <w:szCs w:val="20"/>
                <w:lang w:eastAsia="en-US"/>
              </w:rPr>
              <w:t>3 IV induction doses)</w:t>
            </w:r>
          </w:p>
        </w:tc>
        <w:tc>
          <w:tcPr>
            <w:tcW w:w="1701" w:type="pct"/>
          </w:tcPr>
          <w:p w14:paraId="10C019B8" w14:textId="77777777" w:rsidR="004D1EA7" w:rsidRPr="0021508E" w:rsidRDefault="004D1EA7" w:rsidP="004D1EA7">
            <w:pPr>
              <w:keepNext/>
              <w:jc w:val="center"/>
              <w:rPr>
                <w:rFonts w:ascii="Arial Narrow" w:eastAsiaTheme="minorEastAsia" w:hAnsi="Arial Narrow" w:cs="Times New Roman"/>
                <w:b/>
                <w:sz w:val="20"/>
                <w:szCs w:val="20"/>
                <w:lang w:eastAsia="en-US"/>
              </w:rPr>
            </w:pPr>
            <w:r w:rsidRPr="0021508E">
              <w:rPr>
                <w:rFonts w:ascii="Arial Narrow" w:eastAsiaTheme="minorEastAsia" w:hAnsi="Arial Narrow" w:cs="Times New Roman"/>
                <w:b/>
                <w:sz w:val="20"/>
                <w:szCs w:val="20"/>
                <w:lang w:eastAsia="en-US"/>
              </w:rPr>
              <w:t>MIRI</w:t>
            </w:r>
          </w:p>
          <w:p w14:paraId="34A769EE" w14:textId="3ABBF544" w:rsidR="004D1EA7" w:rsidRPr="0021508E" w:rsidRDefault="004D1EA7" w:rsidP="004D1EA7">
            <w:pPr>
              <w:keepNext/>
              <w:jc w:val="center"/>
              <w:rPr>
                <w:rFonts w:ascii="Arial Narrow" w:eastAsiaTheme="minorEastAsia" w:hAnsi="Arial Narrow" w:cs="Times New Roman"/>
                <w:b/>
                <w:sz w:val="20"/>
                <w:szCs w:val="20"/>
                <w:lang w:eastAsia="en-US"/>
              </w:rPr>
            </w:pPr>
            <w:r w:rsidRPr="0021508E">
              <w:rPr>
                <w:rFonts w:ascii="Arial Narrow" w:eastAsiaTheme="minorEastAsia" w:hAnsi="Arial Narrow" w:cs="Times New Roman"/>
                <w:b/>
                <w:sz w:val="20"/>
                <w:szCs w:val="20"/>
                <w:lang w:eastAsia="en-US"/>
              </w:rPr>
              <w:t xml:space="preserve">(extended dosing; </w:t>
            </w:r>
            <w:r w:rsidR="00A13761">
              <w:rPr>
                <w:rFonts w:ascii="Arial Narrow" w:eastAsiaTheme="minorEastAsia" w:hAnsi="Arial Narrow" w:cs="Times New Roman"/>
                <w:b/>
                <w:sz w:val="20"/>
                <w:szCs w:val="20"/>
                <w:lang w:eastAsia="en-US"/>
              </w:rPr>
              <w:br/>
            </w:r>
            <w:r w:rsidRPr="0021508E">
              <w:rPr>
                <w:rFonts w:ascii="Arial Narrow" w:eastAsiaTheme="minorEastAsia" w:hAnsi="Arial Narrow" w:cs="Times New Roman"/>
                <w:b/>
                <w:sz w:val="20"/>
                <w:szCs w:val="20"/>
                <w:lang w:eastAsia="en-US"/>
              </w:rPr>
              <w:t>6 IV induction doses)</w:t>
            </w:r>
          </w:p>
        </w:tc>
      </w:tr>
      <w:tr w:rsidR="004D1EA7" w:rsidRPr="0021508E" w14:paraId="033E44F2" w14:textId="77777777" w:rsidTr="004D1EA7">
        <w:tc>
          <w:tcPr>
            <w:tcW w:w="781" w:type="pct"/>
            <w:vAlign w:val="center"/>
          </w:tcPr>
          <w:p w14:paraId="777772EF" w14:textId="77777777" w:rsidR="004D1EA7" w:rsidRPr="0021508E" w:rsidRDefault="004D1EA7" w:rsidP="004D1EA7">
            <w:pPr>
              <w:keepNext/>
              <w:jc w:val="left"/>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PBS item (max qty)</w:t>
            </w:r>
          </w:p>
        </w:tc>
        <w:tc>
          <w:tcPr>
            <w:tcW w:w="946" w:type="pct"/>
          </w:tcPr>
          <w:p w14:paraId="3C812BBE"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300 mg vial (1)</w:t>
            </w:r>
          </w:p>
        </w:tc>
        <w:tc>
          <w:tcPr>
            <w:tcW w:w="1572" w:type="pct"/>
            <w:tcBorders>
              <w:bottom w:val="single" w:sz="4" w:space="0" w:color="auto"/>
            </w:tcBorders>
            <w:vAlign w:val="center"/>
          </w:tcPr>
          <w:p w14:paraId="4277E7AC"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300 mg vial (1)</w:t>
            </w:r>
          </w:p>
          <w:p w14:paraId="0CFF8E8C" w14:textId="2F08BE4B"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200 mg pre-filled pen (2)</w:t>
            </w:r>
          </w:p>
        </w:tc>
        <w:tc>
          <w:tcPr>
            <w:tcW w:w="1701" w:type="pct"/>
            <w:vAlign w:val="center"/>
          </w:tcPr>
          <w:p w14:paraId="430C5B43"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300 mg vial (1)</w:t>
            </w:r>
          </w:p>
          <w:p w14:paraId="4C160157" w14:textId="7D79057B"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200 mg pre-filled pen (2)</w:t>
            </w:r>
          </w:p>
        </w:tc>
      </w:tr>
      <w:tr w:rsidR="004D1EA7" w:rsidRPr="0021508E" w14:paraId="7D6F000B" w14:textId="77777777" w:rsidTr="004D1EA7">
        <w:tc>
          <w:tcPr>
            <w:tcW w:w="781" w:type="pct"/>
          </w:tcPr>
          <w:p w14:paraId="06E79F55" w14:textId="77777777" w:rsidR="004D1EA7" w:rsidRPr="0021508E" w:rsidRDefault="004D1EA7" w:rsidP="004D1EA7">
            <w:pPr>
              <w:keepNext/>
              <w:jc w:val="left"/>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AEMP</w:t>
            </w:r>
          </w:p>
        </w:tc>
        <w:tc>
          <w:tcPr>
            <w:tcW w:w="946" w:type="pct"/>
          </w:tcPr>
          <w:p w14:paraId="7ED821D2"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$2,949.93</w:t>
            </w:r>
          </w:p>
        </w:tc>
        <w:tc>
          <w:tcPr>
            <w:tcW w:w="1572" w:type="pct"/>
            <w:tcBorders>
              <w:bottom w:val="single" w:sz="4" w:space="0" w:color="auto"/>
            </w:tcBorders>
          </w:tcPr>
          <w:p w14:paraId="449670FD"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$1,739.29</w:t>
            </w:r>
          </w:p>
        </w:tc>
        <w:tc>
          <w:tcPr>
            <w:tcW w:w="1701" w:type="pct"/>
          </w:tcPr>
          <w:p w14:paraId="5A796044"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$1,729.94</w:t>
            </w:r>
          </w:p>
        </w:tc>
      </w:tr>
      <w:tr w:rsidR="004D1EA7" w:rsidRPr="0021508E" w14:paraId="4429D989" w14:textId="77777777" w:rsidTr="004D1EA7">
        <w:tc>
          <w:tcPr>
            <w:tcW w:w="781" w:type="pct"/>
          </w:tcPr>
          <w:p w14:paraId="2661A30E" w14:textId="77777777" w:rsidR="004D1EA7" w:rsidRPr="0021508E" w:rsidRDefault="004D1EA7" w:rsidP="004D1EA7">
            <w:pPr>
              <w:keepNext/>
              <w:jc w:val="left"/>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Units (infusions / injections)</w:t>
            </w:r>
          </w:p>
        </w:tc>
        <w:tc>
          <w:tcPr>
            <w:tcW w:w="946" w:type="pct"/>
          </w:tcPr>
          <w:p w14:paraId="0AB909B6"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15</w:t>
            </w:r>
            <w:r w:rsidRPr="0021508E">
              <w:rPr>
                <w:rFonts w:ascii="Arial Narrow" w:eastAsiaTheme="minorEastAsia" w:hAnsi="Arial Narrow" w:cs="Times New Roman"/>
                <w:sz w:val="20"/>
                <w:szCs w:val="20"/>
                <w:vertAlign w:val="superscript"/>
                <w:lang w:eastAsia="en-US"/>
              </w:rPr>
              <w:t>a</w:t>
            </w:r>
          </w:p>
        </w:tc>
        <w:tc>
          <w:tcPr>
            <w:tcW w:w="1572" w:type="pct"/>
          </w:tcPr>
          <w:p w14:paraId="77B63260"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IV infusions: 3</w:t>
            </w:r>
          </w:p>
          <w:p w14:paraId="23B793F9"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SC injections: 23</w:t>
            </w:r>
          </w:p>
        </w:tc>
        <w:tc>
          <w:tcPr>
            <w:tcW w:w="1701" w:type="pct"/>
          </w:tcPr>
          <w:p w14:paraId="54B47E1D"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IV infusions: 6</w:t>
            </w:r>
          </w:p>
          <w:p w14:paraId="2B570364"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SC injections: 20</w:t>
            </w:r>
          </w:p>
        </w:tc>
      </w:tr>
      <w:tr w:rsidR="004D1EA7" w:rsidRPr="0021508E" w14:paraId="47E9A053" w14:textId="77777777" w:rsidTr="004D1EA7">
        <w:tc>
          <w:tcPr>
            <w:tcW w:w="781" w:type="pct"/>
          </w:tcPr>
          <w:p w14:paraId="148B3E2E" w14:textId="77777777" w:rsidR="004D1EA7" w:rsidRPr="0021508E" w:rsidRDefault="004D1EA7" w:rsidP="004D1EA7">
            <w:pPr>
              <w:keepNext/>
              <w:jc w:val="left"/>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PBS costs</w:t>
            </w:r>
          </w:p>
        </w:tc>
        <w:tc>
          <w:tcPr>
            <w:tcW w:w="946" w:type="pct"/>
          </w:tcPr>
          <w:p w14:paraId="3CDD2348"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$44,248.95</w:t>
            </w:r>
          </w:p>
        </w:tc>
        <w:tc>
          <w:tcPr>
            <w:tcW w:w="1572" w:type="pct"/>
          </w:tcPr>
          <w:p w14:paraId="0A9F6052"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$45,221.55</w:t>
            </w:r>
          </w:p>
        </w:tc>
        <w:tc>
          <w:tcPr>
            <w:tcW w:w="1701" w:type="pct"/>
          </w:tcPr>
          <w:p w14:paraId="1F3ED121"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$44,978.40</w:t>
            </w:r>
          </w:p>
        </w:tc>
      </w:tr>
      <w:tr w:rsidR="004D1EA7" w:rsidRPr="0021508E" w14:paraId="0DF04ADE" w14:textId="77777777" w:rsidTr="004D1EA7">
        <w:trPr>
          <w:trHeight w:val="131"/>
        </w:trPr>
        <w:tc>
          <w:tcPr>
            <w:tcW w:w="781" w:type="pct"/>
          </w:tcPr>
          <w:p w14:paraId="68B878FA" w14:textId="26D42F67" w:rsidR="004D1EA7" w:rsidRPr="0021508E" w:rsidRDefault="004D1EA7" w:rsidP="004D1EA7">
            <w:pPr>
              <w:keepNext/>
              <w:jc w:val="left"/>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Admin</w:t>
            </w:r>
            <w:r w:rsidR="00071D2E">
              <w:rPr>
                <w:rFonts w:ascii="Arial Narrow" w:eastAsiaTheme="minorEastAsia" w:hAnsi="Arial Narrow" w:cs="Times New Roman"/>
                <w:sz w:val="20"/>
                <w:szCs w:val="20"/>
                <w:lang w:eastAsia="en-US"/>
              </w:rPr>
              <w:t>istration</w:t>
            </w:r>
            <w:r w:rsidRPr="0021508E">
              <w:rPr>
                <w:rFonts w:ascii="Arial Narrow" w:eastAsiaTheme="minorEastAsia" w:hAnsi="Arial Narrow" w:cs="Times New Roman"/>
                <w:sz w:val="20"/>
                <w:szCs w:val="20"/>
                <w:lang w:eastAsia="en-US"/>
              </w:rPr>
              <w:t xml:space="preserve"> (IV infusion)</w:t>
            </w:r>
          </w:p>
        </w:tc>
        <w:tc>
          <w:tcPr>
            <w:tcW w:w="946" w:type="pct"/>
          </w:tcPr>
          <w:p w14:paraId="0805ED15"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$1,215.75</w:t>
            </w:r>
          </w:p>
        </w:tc>
        <w:tc>
          <w:tcPr>
            <w:tcW w:w="1572" w:type="pct"/>
          </w:tcPr>
          <w:p w14:paraId="6665056F"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$243.15</w:t>
            </w:r>
          </w:p>
        </w:tc>
        <w:tc>
          <w:tcPr>
            <w:tcW w:w="1701" w:type="pct"/>
          </w:tcPr>
          <w:p w14:paraId="4C8E661D"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$486.30</w:t>
            </w:r>
          </w:p>
        </w:tc>
      </w:tr>
      <w:tr w:rsidR="004D1EA7" w:rsidRPr="0021508E" w14:paraId="6D3AA4C7" w14:textId="77777777" w:rsidTr="004D1EA7">
        <w:tc>
          <w:tcPr>
            <w:tcW w:w="781" w:type="pct"/>
          </w:tcPr>
          <w:p w14:paraId="5674E271" w14:textId="77777777" w:rsidR="004D1EA7" w:rsidRPr="0021508E" w:rsidRDefault="004D1EA7" w:rsidP="004D1EA7">
            <w:pPr>
              <w:keepNext/>
              <w:jc w:val="left"/>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Total / 104 weeks</w:t>
            </w:r>
          </w:p>
        </w:tc>
        <w:tc>
          <w:tcPr>
            <w:tcW w:w="946" w:type="pct"/>
          </w:tcPr>
          <w:p w14:paraId="5D1FE0F1"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$45,464.70</w:t>
            </w:r>
          </w:p>
        </w:tc>
        <w:tc>
          <w:tcPr>
            <w:tcW w:w="1572" w:type="pct"/>
          </w:tcPr>
          <w:p w14:paraId="2B0559DD"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$45,464.70</w:t>
            </w:r>
          </w:p>
        </w:tc>
        <w:tc>
          <w:tcPr>
            <w:tcW w:w="1701" w:type="pct"/>
          </w:tcPr>
          <w:p w14:paraId="075544BC"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$45,464.70</w:t>
            </w:r>
          </w:p>
        </w:tc>
      </w:tr>
      <w:tr w:rsidR="004D1EA7" w:rsidRPr="0021508E" w14:paraId="3F15A697" w14:textId="77777777" w:rsidTr="004D1EA7">
        <w:tc>
          <w:tcPr>
            <w:tcW w:w="5000" w:type="pct"/>
            <w:gridSpan w:val="4"/>
            <w:vAlign w:val="center"/>
          </w:tcPr>
          <w:p w14:paraId="7DD0673E" w14:textId="77777777" w:rsidR="004D1EA7" w:rsidRPr="0021508E" w:rsidRDefault="004D1EA7" w:rsidP="004D1EA7">
            <w:pPr>
              <w:keepNext/>
              <w:jc w:val="left"/>
              <w:rPr>
                <w:rFonts w:ascii="Arial Narrow" w:eastAsiaTheme="minorEastAsia" w:hAnsi="Arial Narrow" w:cs="Times New Roman"/>
                <w:b/>
                <w:bCs/>
                <w:sz w:val="20"/>
                <w:szCs w:val="20"/>
                <w:lang w:eastAsia="en-US"/>
              </w:rPr>
            </w:pPr>
            <w:r w:rsidRPr="0021508E">
              <w:rPr>
                <w:rFonts w:ascii="Arial Narrow" w:eastAsiaTheme="minorEastAsia" w:hAnsi="Arial Narrow" w:cs="Times New Roman"/>
                <w:b/>
                <w:bCs/>
                <w:sz w:val="20"/>
                <w:szCs w:val="20"/>
                <w:lang w:eastAsia="en-US"/>
              </w:rPr>
              <w:t>Weighted average AEMP</w:t>
            </w:r>
          </w:p>
        </w:tc>
      </w:tr>
      <w:tr w:rsidR="004D1EA7" w:rsidRPr="0021508E" w14:paraId="29CDE137" w14:textId="77777777" w:rsidTr="004D1EA7">
        <w:tc>
          <w:tcPr>
            <w:tcW w:w="781" w:type="pct"/>
            <w:vAlign w:val="center"/>
          </w:tcPr>
          <w:p w14:paraId="3CA4CC71" w14:textId="77777777" w:rsidR="004D1EA7" w:rsidRPr="0021508E" w:rsidRDefault="004D1EA7" w:rsidP="004D1EA7">
            <w:pPr>
              <w:keepNext/>
              <w:jc w:val="left"/>
              <w:rPr>
                <w:rFonts w:ascii="Arial Narrow" w:eastAsiaTheme="minorEastAsia" w:hAnsi="Arial Narrow" w:cs="Times New Roman"/>
                <w:b/>
                <w:bCs/>
                <w:sz w:val="20"/>
                <w:szCs w:val="20"/>
                <w:lang w:eastAsia="en-US"/>
              </w:rPr>
            </w:pPr>
            <w:r w:rsidRPr="0021508E">
              <w:rPr>
                <w:rFonts w:ascii="Arial Narrow" w:eastAsiaTheme="minorEastAsia" w:hAnsi="Arial Narrow" w:cs="Times New Roman"/>
                <w:b/>
                <w:bCs/>
                <w:sz w:val="20"/>
                <w:szCs w:val="20"/>
                <w:lang w:eastAsia="en-US"/>
              </w:rPr>
              <w:t>Dosing regimen</w:t>
            </w:r>
          </w:p>
        </w:tc>
        <w:tc>
          <w:tcPr>
            <w:tcW w:w="2518" w:type="pct"/>
            <w:gridSpan w:val="2"/>
          </w:tcPr>
          <w:p w14:paraId="1943DFDF" w14:textId="77777777" w:rsidR="004D1EA7" w:rsidRPr="0021508E" w:rsidRDefault="004D1EA7" w:rsidP="004D1EA7">
            <w:pPr>
              <w:keepNext/>
              <w:jc w:val="center"/>
              <w:rPr>
                <w:rFonts w:ascii="Arial Narrow" w:eastAsiaTheme="minorEastAsia" w:hAnsi="Arial Narrow" w:cs="Times New Roman"/>
                <w:b/>
                <w:bCs/>
                <w:sz w:val="20"/>
                <w:szCs w:val="20"/>
                <w:lang w:eastAsia="en-US"/>
              </w:rPr>
            </w:pPr>
            <w:r w:rsidRPr="0021508E">
              <w:rPr>
                <w:rFonts w:ascii="Arial Narrow" w:eastAsiaTheme="minorEastAsia" w:hAnsi="Arial Narrow" w:cs="Times New Roman"/>
                <w:b/>
                <w:bCs/>
                <w:sz w:val="20"/>
                <w:szCs w:val="20"/>
                <w:lang w:eastAsia="en-US"/>
              </w:rPr>
              <w:t>Proportional use</w:t>
            </w:r>
          </w:p>
        </w:tc>
        <w:tc>
          <w:tcPr>
            <w:tcW w:w="1701" w:type="pct"/>
          </w:tcPr>
          <w:p w14:paraId="5BF0392A" w14:textId="77777777" w:rsidR="004D1EA7" w:rsidRPr="0021508E" w:rsidRDefault="004D1EA7" w:rsidP="004D1EA7">
            <w:pPr>
              <w:keepNext/>
              <w:jc w:val="center"/>
              <w:rPr>
                <w:rFonts w:ascii="Arial Narrow" w:eastAsiaTheme="minorEastAsia" w:hAnsi="Arial Narrow" w:cs="Times New Roman"/>
                <w:b/>
                <w:bCs/>
                <w:sz w:val="20"/>
                <w:szCs w:val="20"/>
                <w:lang w:eastAsia="en-US"/>
              </w:rPr>
            </w:pPr>
            <w:r w:rsidRPr="0021508E">
              <w:rPr>
                <w:rFonts w:ascii="Arial Narrow" w:eastAsiaTheme="minorEastAsia" w:hAnsi="Arial Narrow" w:cs="Times New Roman"/>
                <w:b/>
                <w:bCs/>
                <w:sz w:val="20"/>
                <w:szCs w:val="20"/>
                <w:lang w:eastAsia="en-US"/>
              </w:rPr>
              <w:t>Proposed MIRI AEMP per dose</w:t>
            </w:r>
          </w:p>
        </w:tc>
      </w:tr>
      <w:tr w:rsidR="004D1EA7" w:rsidRPr="0021508E" w14:paraId="3173582A" w14:textId="77777777" w:rsidTr="004D1EA7">
        <w:tc>
          <w:tcPr>
            <w:tcW w:w="781" w:type="pct"/>
          </w:tcPr>
          <w:p w14:paraId="5A45D677" w14:textId="77777777" w:rsidR="004D1EA7" w:rsidRPr="0021508E" w:rsidRDefault="004D1EA7" w:rsidP="004D1EA7">
            <w:pPr>
              <w:keepNext/>
              <w:jc w:val="left"/>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MIRI standard</w:t>
            </w:r>
          </w:p>
        </w:tc>
        <w:tc>
          <w:tcPr>
            <w:tcW w:w="2518" w:type="pct"/>
            <w:gridSpan w:val="2"/>
          </w:tcPr>
          <w:p w14:paraId="44418B1E"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76.41%</w:t>
            </w:r>
          </w:p>
        </w:tc>
        <w:tc>
          <w:tcPr>
            <w:tcW w:w="1701" w:type="pct"/>
            <w:vAlign w:val="bottom"/>
          </w:tcPr>
          <w:p w14:paraId="2182C95A"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$1,739.29</w:t>
            </w:r>
          </w:p>
        </w:tc>
      </w:tr>
      <w:tr w:rsidR="004D1EA7" w:rsidRPr="0021508E" w14:paraId="4CB04CF1" w14:textId="77777777" w:rsidTr="004D1EA7">
        <w:tc>
          <w:tcPr>
            <w:tcW w:w="781" w:type="pct"/>
          </w:tcPr>
          <w:p w14:paraId="310A0E43" w14:textId="77777777" w:rsidR="004D1EA7" w:rsidRPr="0021508E" w:rsidRDefault="004D1EA7" w:rsidP="004D1EA7">
            <w:pPr>
              <w:keepNext/>
              <w:jc w:val="left"/>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MIRI extended</w:t>
            </w:r>
          </w:p>
        </w:tc>
        <w:tc>
          <w:tcPr>
            <w:tcW w:w="2518" w:type="pct"/>
            <w:gridSpan w:val="2"/>
          </w:tcPr>
          <w:p w14:paraId="69D1F35C"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23.59%</w:t>
            </w:r>
          </w:p>
        </w:tc>
        <w:tc>
          <w:tcPr>
            <w:tcW w:w="1701" w:type="pct"/>
            <w:vAlign w:val="bottom"/>
          </w:tcPr>
          <w:p w14:paraId="3671F427" w14:textId="77777777" w:rsidR="004D1EA7" w:rsidRPr="0021508E" w:rsidRDefault="004D1EA7" w:rsidP="004D1EA7">
            <w:pPr>
              <w:keepNext/>
              <w:jc w:val="center"/>
              <w:rPr>
                <w:rFonts w:ascii="Arial Narrow" w:eastAsiaTheme="minorEastAsia" w:hAnsi="Arial Narrow" w:cs="Times New Roman"/>
                <w:sz w:val="20"/>
                <w:szCs w:val="20"/>
                <w:lang w:eastAsia="en-US"/>
              </w:rPr>
            </w:pPr>
            <w:r w:rsidRPr="0021508E">
              <w:rPr>
                <w:rFonts w:ascii="Arial Narrow" w:eastAsiaTheme="minorEastAsia" w:hAnsi="Arial Narrow" w:cs="Times New Roman"/>
                <w:sz w:val="20"/>
                <w:szCs w:val="20"/>
                <w:lang w:eastAsia="en-US"/>
              </w:rPr>
              <w:t>$1,729.94</w:t>
            </w:r>
          </w:p>
        </w:tc>
      </w:tr>
      <w:tr w:rsidR="004D1EA7" w:rsidRPr="0021508E" w14:paraId="0564911C" w14:textId="77777777" w:rsidTr="004D1EA7">
        <w:tc>
          <w:tcPr>
            <w:tcW w:w="3299" w:type="pct"/>
            <w:gridSpan w:val="3"/>
            <w:vAlign w:val="center"/>
          </w:tcPr>
          <w:p w14:paraId="22848C0D" w14:textId="77777777" w:rsidR="004D1EA7" w:rsidRPr="0021508E" w:rsidRDefault="004D1EA7" w:rsidP="004D1EA7">
            <w:pPr>
              <w:keepNext/>
              <w:jc w:val="right"/>
              <w:rPr>
                <w:rFonts w:ascii="Arial Narrow" w:eastAsiaTheme="minorEastAsia" w:hAnsi="Arial Narrow" w:cs="Times New Roman"/>
                <w:b/>
                <w:bCs/>
                <w:sz w:val="20"/>
                <w:szCs w:val="20"/>
                <w:lang w:eastAsia="en-US"/>
              </w:rPr>
            </w:pPr>
            <w:r w:rsidRPr="0021508E">
              <w:rPr>
                <w:rFonts w:ascii="Arial Narrow" w:eastAsiaTheme="minorEastAsia" w:hAnsi="Arial Narrow" w:cs="Times New Roman"/>
                <w:b/>
                <w:bCs/>
                <w:sz w:val="20"/>
                <w:szCs w:val="20"/>
                <w:lang w:eastAsia="en-US"/>
              </w:rPr>
              <w:t>Requested weighted average AEMP per dose</w:t>
            </w:r>
          </w:p>
        </w:tc>
        <w:tc>
          <w:tcPr>
            <w:tcW w:w="1701" w:type="pct"/>
            <w:vAlign w:val="bottom"/>
          </w:tcPr>
          <w:p w14:paraId="51FD81AC" w14:textId="77777777" w:rsidR="004D1EA7" w:rsidRPr="0021508E" w:rsidRDefault="004D1EA7" w:rsidP="004D1EA7">
            <w:pPr>
              <w:keepNext/>
              <w:jc w:val="center"/>
              <w:rPr>
                <w:rFonts w:ascii="Arial Narrow" w:eastAsiaTheme="minorEastAsia" w:hAnsi="Arial Narrow" w:cs="Times New Roman"/>
                <w:b/>
                <w:bCs/>
                <w:sz w:val="20"/>
                <w:szCs w:val="20"/>
                <w:lang w:eastAsia="en-US"/>
              </w:rPr>
            </w:pPr>
            <w:r w:rsidRPr="0021508E">
              <w:rPr>
                <w:rFonts w:ascii="Arial Narrow" w:eastAsiaTheme="minorEastAsia" w:hAnsi="Arial Narrow" w:cs="Times New Roman"/>
                <w:b/>
                <w:bCs/>
                <w:sz w:val="20"/>
                <w:szCs w:val="20"/>
                <w:lang w:eastAsia="en-US"/>
              </w:rPr>
              <w:t>$1,737.08</w:t>
            </w:r>
          </w:p>
        </w:tc>
      </w:tr>
    </w:tbl>
    <w:p w14:paraId="7E1F88AE" w14:textId="77777777" w:rsidR="004D1EA7" w:rsidRPr="009A3481" w:rsidRDefault="004D1EA7" w:rsidP="004D1EA7">
      <w:pPr>
        <w:rPr>
          <w:rFonts w:ascii="Arial Narrow" w:eastAsiaTheme="minorEastAsia" w:hAnsi="Arial Narrow"/>
          <w:snapToGrid w:val="0"/>
          <w:sz w:val="18"/>
          <w:szCs w:val="18"/>
          <w:lang w:eastAsia="en-US"/>
        </w:rPr>
      </w:pPr>
      <w:r w:rsidRPr="009A3481">
        <w:rPr>
          <w:rFonts w:ascii="Arial Narrow" w:eastAsiaTheme="minorEastAsia" w:hAnsi="Arial Narrow"/>
          <w:sz w:val="18"/>
          <w:szCs w:val="18"/>
          <w:lang w:eastAsia="en-US"/>
        </w:rPr>
        <w:t>Source: Tables 121-122, p254</w:t>
      </w:r>
      <w:r w:rsidRPr="009A3481">
        <w:rPr>
          <w:rFonts w:ascii="Arial Narrow" w:eastAsiaTheme="minorEastAsia" w:hAnsi="Arial Narrow"/>
          <w:snapToGrid w:val="0"/>
          <w:sz w:val="18"/>
          <w:szCs w:val="18"/>
          <w:lang w:eastAsia="en-US"/>
        </w:rPr>
        <w:t xml:space="preserve"> of the submission.</w:t>
      </w:r>
    </w:p>
    <w:p w14:paraId="1ACB6D2E" w14:textId="352B55AA" w:rsidR="004D1EA7" w:rsidRPr="009A3481" w:rsidRDefault="006D2FD4" w:rsidP="004D1EA7">
      <w:pPr>
        <w:pStyle w:val="TableFigureFooter"/>
        <w:rPr>
          <w:szCs w:val="18"/>
          <w:lang w:eastAsia="en-US"/>
        </w:rPr>
      </w:pPr>
      <w:r w:rsidRPr="009A3481">
        <w:rPr>
          <w:szCs w:val="18"/>
          <w:lang w:eastAsia="en-US"/>
        </w:rPr>
        <w:t xml:space="preserve">AEMP=approved ex-manufacturer price, </w:t>
      </w:r>
      <w:r w:rsidR="004D1EA7" w:rsidRPr="009A3481">
        <w:rPr>
          <w:szCs w:val="18"/>
          <w:lang w:eastAsia="en-US"/>
        </w:rPr>
        <w:t>IV=intravenous</w:t>
      </w:r>
      <w:r w:rsidRPr="009A3481">
        <w:rPr>
          <w:szCs w:val="18"/>
          <w:lang w:eastAsia="en-US"/>
        </w:rPr>
        <w:t>,</w:t>
      </w:r>
      <w:r w:rsidR="004D1EA7" w:rsidRPr="009A3481">
        <w:rPr>
          <w:szCs w:val="18"/>
          <w:lang w:eastAsia="en-US"/>
        </w:rPr>
        <w:t xml:space="preserve"> </w:t>
      </w:r>
      <w:r w:rsidRPr="009A3481">
        <w:rPr>
          <w:szCs w:val="18"/>
          <w:lang w:eastAsia="en-US"/>
        </w:rPr>
        <w:t xml:space="preserve">max=maximum, </w:t>
      </w:r>
      <w:r w:rsidR="0021508E" w:rsidRPr="009A3481">
        <w:rPr>
          <w:szCs w:val="18"/>
          <w:lang w:eastAsia="en-US"/>
        </w:rPr>
        <w:t>MIRI=mirikizumab</w:t>
      </w:r>
      <w:r w:rsidRPr="009A3481">
        <w:rPr>
          <w:szCs w:val="18"/>
          <w:lang w:eastAsia="en-US"/>
        </w:rPr>
        <w:t>,</w:t>
      </w:r>
      <w:r w:rsidR="0021508E" w:rsidRPr="009A3481">
        <w:rPr>
          <w:szCs w:val="18"/>
          <w:lang w:eastAsia="en-US"/>
        </w:rPr>
        <w:t xml:space="preserve"> PBS=Pharmaceutical Benefits Scheme,</w:t>
      </w:r>
      <w:r w:rsidRPr="009A3481">
        <w:rPr>
          <w:szCs w:val="18"/>
          <w:lang w:eastAsia="en-US"/>
        </w:rPr>
        <w:t xml:space="preserve"> qty=quantity,</w:t>
      </w:r>
      <w:r w:rsidR="0021508E" w:rsidRPr="009A3481">
        <w:rPr>
          <w:szCs w:val="18"/>
          <w:lang w:eastAsia="en-US"/>
        </w:rPr>
        <w:t xml:space="preserve"> </w:t>
      </w:r>
      <w:r w:rsidR="004D1EA7" w:rsidRPr="009A3481">
        <w:rPr>
          <w:szCs w:val="18"/>
          <w:lang w:eastAsia="en-US"/>
        </w:rPr>
        <w:t>SC=subcutaneous</w:t>
      </w:r>
      <w:r w:rsidRPr="009A3481">
        <w:rPr>
          <w:szCs w:val="18"/>
          <w:lang w:eastAsia="en-US"/>
        </w:rPr>
        <w:t>,</w:t>
      </w:r>
      <w:r w:rsidR="004D1EA7" w:rsidRPr="009A3481">
        <w:rPr>
          <w:szCs w:val="18"/>
          <w:lang w:eastAsia="en-US"/>
        </w:rPr>
        <w:t xml:space="preserve"> VDZ=vedolizumab.</w:t>
      </w:r>
    </w:p>
    <w:p w14:paraId="09283BD5" w14:textId="23F5FDA5" w:rsidR="004D1EA7" w:rsidRPr="009A3481" w:rsidRDefault="004D1EA7" w:rsidP="004D1EA7">
      <w:pPr>
        <w:pStyle w:val="TableFigureFooter"/>
        <w:tabs>
          <w:tab w:val="left" w:pos="0"/>
        </w:tabs>
        <w:rPr>
          <w:szCs w:val="18"/>
          <w:lang w:eastAsia="en-US"/>
        </w:rPr>
      </w:pPr>
      <w:r w:rsidRPr="009A3481">
        <w:rPr>
          <w:szCs w:val="18"/>
          <w:vertAlign w:val="superscript"/>
          <w:lang w:eastAsia="en-US"/>
        </w:rPr>
        <w:t>a</w:t>
      </w:r>
      <w:r w:rsidRPr="009A3481">
        <w:rPr>
          <w:szCs w:val="18"/>
          <w:lang w:eastAsia="en-US"/>
        </w:rPr>
        <w:tab/>
        <w:t>The last dose is administered at Week 102 so it may be more accurate to cost 14.25.</w:t>
      </w:r>
    </w:p>
    <w:p w14:paraId="32123E9A" w14:textId="4044070C" w:rsidR="000278EC" w:rsidRPr="00E17E6F" w:rsidRDefault="00064C7B" w:rsidP="005D2E68">
      <w:pPr>
        <w:pStyle w:val="3-BodyText"/>
      </w:pPr>
      <w:r>
        <w:rPr>
          <w:rFonts w:cstheme="minorHAnsi"/>
        </w:rPr>
        <w:t>The PBAC considered</w:t>
      </w:r>
      <w:r w:rsidR="000278EC" w:rsidRPr="003B2821">
        <w:rPr>
          <w:rFonts w:cstheme="minorHAnsi"/>
        </w:rPr>
        <w:t xml:space="preserve"> clinical claim of superior effectiveness versus ADA was not adequately supported and a claim of non-inferior effectiveness </w:t>
      </w:r>
      <w:r w:rsidR="000278EC" w:rsidRPr="003B2821">
        <w:t>may be more reasonable</w:t>
      </w:r>
      <w:r>
        <w:t>. Therefore,</w:t>
      </w:r>
      <w:r w:rsidR="000278EC" w:rsidRPr="003B2821">
        <w:t xml:space="preserve"> there was no clear basis for MIRI to have a price advantage compared to the least costly alternative therapy. </w:t>
      </w:r>
      <w:r w:rsidR="000278EC" w:rsidRPr="003B2821">
        <w:rPr>
          <w:rFonts w:cstheme="minorHAnsi"/>
        </w:rPr>
        <w:t xml:space="preserve">Over the first two years, the average cost of treatment with ADA is </w:t>
      </w:r>
      <w:r w:rsidR="000278EC" w:rsidRPr="003B2821">
        <w:rPr>
          <w:rFonts w:eastAsiaTheme="minorEastAsia" w:cstheme="minorHAnsi"/>
          <w:lang w:eastAsia="en-US"/>
        </w:rPr>
        <w:t>$17,329.20</w:t>
      </w:r>
      <w:r w:rsidR="000278EC" w:rsidRPr="003B2821">
        <w:rPr>
          <w:rFonts w:cstheme="minorHAnsi"/>
        </w:rPr>
        <w:t xml:space="preserve"> (calculated during the evaluation, based on the published AEMP </w:t>
      </w:r>
      <w:r w:rsidR="005D2E68" w:rsidRPr="003B2821">
        <w:rPr>
          <w:rFonts w:cstheme="minorHAnsi"/>
        </w:rPr>
        <w:t>of $618.90 per 2 pre-filled syringes</w:t>
      </w:r>
      <w:r w:rsidR="000278EC" w:rsidRPr="003B2821">
        <w:rPr>
          <w:rFonts w:cstheme="minorHAnsi"/>
        </w:rPr>
        <w:t xml:space="preserve">). </w:t>
      </w:r>
    </w:p>
    <w:p w14:paraId="165B1D65" w14:textId="2611F4EB" w:rsidR="00E17E6F" w:rsidRPr="00FD140C" w:rsidRDefault="00BB1F30" w:rsidP="00BB1F30">
      <w:pPr>
        <w:pStyle w:val="3-BodyText"/>
        <w:rPr>
          <w:rFonts w:cstheme="minorHAnsi"/>
        </w:rPr>
      </w:pPr>
      <w:r w:rsidRPr="00FD140C">
        <w:t xml:space="preserve">The </w:t>
      </w:r>
      <w:r w:rsidRPr="00FD140C">
        <w:rPr>
          <w:rFonts w:cstheme="minorHAnsi"/>
        </w:rPr>
        <w:t>ESC considered the methodology of the cost minimisation approach was reasonable</w:t>
      </w:r>
      <w:r w:rsidR="009A3481">
        <w:rPr>
          <w:rFonts w:cstheme="minorHAnsi"/>
        </w:rPr>
        <w:t>.</w:t>
      </w:r>
      <w:r w:rsidR="00D3116B" w:rsidRPr="00FD140C">
        <w:rPr>
          <w:rFonts w:cstheme="minorHAnsi"/>
        </w:rPr>
        <w:t xml:space="preserve"> </w:t>
      </w:r>
    </w:p>
    <w:p w14:paraId="678BFDBE" w14:textId="77777777" w:rsidR="004D1EA7" w:rsidRDefault="004D1EA7" w:rsidP="004D1EA7">
      <w:pPr>
        <w:pStyle w:val="4-SubsectionHeading"/>
      </w:pPr>
      <w:bookmarkStart w:id="55" w:name="_Toc22897646"/>
      <w:bookmarkStart w:id="56" w:name="_Toc135142383"/>
      <w:r w:rsidRPr="002C2775">
        <w:lastRenderedPageBreak/>
        <w:t>Dru</w:t>
      </w:r>
      <w:r>
        <w:t>g</w:t>
      </w:r>
      <w:r w:rsidRPr="002C2775">
        <w:t xml:space="preserve"> cost/patient</w:t>
      </w:r>
      <w:bookmarkEnd w:id="55"/>
      <w:r>
        <w:t>: $45,222 (first two years)</w:t>
      </w:r>
      <w:bookmarkEnd w:id="56"/>
    </w:p>
    <w:p w14:paraId="0092580A" w14:textId="6E1ABB5A" w:rsidR="004D1EA7" w:rsidRPr="00241F56" w:rsidRDefault="004D1EA7" w:rsidP="004D1EA7">
      <w:pPr>
        <w:pStyle w:val="3-BodyText"/>
        <w:rPr>
          <w:snapToGrid/>
          <w:lang w:val="en-US"/>
        </w:rPr>
      </w:pPr>
      <w:bookmarkStart w:id="57" w:name="_Hlk107307804"/>
      <w:r w:rsidRPr="005D5843">
        <w:rPr>
          <w:snapToGrid/>
          <w:lang w:val="en-US"/>
        </w:rPr>
        <w:t xml:space="preserve">Based on the proposed </w:t>
      </w:r>
      <w:r>
        <w:rPr>
          <w:snapToGrid/>
          <w:lang w:val="en-US"/>
        </w:rPr>
        <w:t>published</w:t>
      </w:r>
      <w:r w:rsidRPr="005D5843">
        <w:rPr>
          <w:snapToGrid/>
          <w:lang w:val="en-US"/>
        </w:rPr>
        <w:t xml:space="preserve"> AEMPs</w:t>
      </w:r>
      <w:r>
        <w:rPr>
          <w:snapToGrid/>
          <w:lang w:val="en-US"/>
        </w:rPr>
        <w:t xml:space="preserve"> and standard induction dosing (3 IV doses)</w:t>
      </w:r>
      <w:r w:rsidR="004C080A">
        <w:rPr>
          <w:snapToGrid/>
          <w:lang w:val="en-US"/>
        </w:rPr>
        <w:t xml:space="preserve"> </w:t>
      </w:r>
      <w:r w:rsidR="004C080A" w:rsidRPr="00FD140C">
        <w:rPr>
          <w:snapToGrid/>
          <w:lang w:val="en-US"/>
        </w:rPr>
        <w:t>and maintenance dosing once every four weeks</w:t>
      </w:r>
      <w:r w:rsidRPr="00FD140C">
        <w:rPr>
          <w:snapToGrid/>
          <w:lang w:val="en-US"/>
        </w:rPr>
        <w:t>,</w:t>
      </w:r>
      <w:r w:rsidRPr="005D5843">
        <w:rPr>
          <w:snapToGrid/>
          <w:lang w:val="en-US"/>
        </w:rPr>
        <w:t xml:space="preserve"> the </w:t>
      </w:r>
      <w:r>
        <w:rPr>
          <w:snapToGrid/>
          <w:lang w:val="en-US"/>
        </w:rPr>
        <w:t xml:space="preserve">average </w:t>
      </w:r>
      <w:r w:rsidRPr="005D5843">
        <w:rPr>
          <w:snapToGrid/>
          <w:lang w:val="en-US"/>
        </w:rPr>
        <w:t xml:space="preserve">drug cost for </w:t>
      </w:r>
      <w:r>
        <w:rPr>
          <w:snapToGrid/>
          <w:lang w:val="en-US"/>
        </w:rPr>
        <w:t>MIRI</w:t>
      </w:r>
      <w:r w:rsidRPr="005D5843">
        <w:rPr>
          <w:snapToGrid/>
          <w:lang w:val="en-US"/>
        </w:rPr>
        <w:t xml:space="preserve"> per patient over the first two years of treatment is $</w:t>
      </w:r>
      <w:r>
        <w:rPr>
          <w:snapToGrid/>
          <w:lang w:val="en-US"/>
        </w:rPr>
        <w:t xml:space="preserve">45,222 </w:t>
      </w:r>
      <w:r w:rsidR="00C11EC3">
        <w:rPr>
          <w:snapToGrid/>
          <w:lang w:val="en-US"/>
        </w:rPr>
        <w:t xml:space="preserve">(excluding IV administration costs) </w:t>
      </w:r>
      <w:r>
        <w:rPr>
          <w:snapToGrid/>
          <w:lang w:val="en-US"/>
        </w:rPr>
        <w:t xml:space="preserve">based on the assumptions in </w:t>
      </w:r>
      <w:r>
        <w:rPr>
          <w:rFonts w:eastAsiaTheme="minorEastAsia"/>
          <w:szCs w:val="22"/>
          <w:lang w:eastAsia="en-US"/>
        </w:rPr>
        <w:fldChar w:fldCharType="begin" w:fldLock="1"/>
      </w:r>
      <w:r>
        <w:rPr>
          <w:snapToGrid/>
          <w:lang w:val="en-US"/>
        </w:rPr>
        <w:instrText xml:space="preserve"> REF _Ref134379635 \h </w:instrText>
      </w:r>
      <w:r>
        <w:rPr>
          <w:rFonts w:eastAsiaTheme="minorEastAsia"/>
          <w:szCs w:val="22"/>
          <w:lang w:eastAsia="en-US"/>
        </w:rPr>
      </w:r>
      <w:r>
        <w:rPr>
          <w:rFonts w:eastAsiaTheme="minorEastAsia"/>
          <w:szCs w:val="22"/>
          <w:lang w:eastAsia="en-US"/>
        </w:rPr>
        <w:fldChar w:fldCharType="separate"/>
      </w:r>
      <w:r w:rsidR="0005097F">
        <w:t xml:space="preserve">Table </w:t>
      </w:r>
      <w:r w:rsidR="0005097F">
        <w:rPr>
          <w:noProof/>
        </w:rPr>
        <w:t>10</w:t>
      </w:r>
      <w:r>
        <w:rPr>
          <w:rFonts w:eastAsiaTheme="minorEastAsia"/>
          <w:szCs w:val="22"/>
          <w:lang w:eastAsia="en-US"/>
        </w:rPr>
        <w:fldChar w:fldCharType="end"/>
      </w:r>
      <w:r>
        <w:rPr>
          <w:rFonts w:eastAsiaTheme="minorEastAsia"/>
          <w:szCs w:val="22"/>
          <w:lang w:eastAsia="en-US"/>
        </w:rPr>
        <w:t>.</w:t>
      </w:r>
    </w:p>
    <w:p w14:paraId="09482E56" w14:textId="77777777" w:rsidR="004D1EA7" w:rsidRPr="00C9624D" w:rsidRDefault="004D1EA7" w:rsidP="004D1EA7">
      <w:pPr>
        <w:pStyle w:val="4-SubsectionHeading"/>
      </w:pPr>
      <w:bookmarkStart w:id="58" w:name="_Toc22897647"/>
      <w:bookmarkStart w:id="59" w:name="_Toc135142384"/>
      <w:bookmarkEnd w:id="57"/>
      <w:r w:rsidRPr="00C9624D">
        <w:t xml:space="preserve">Estimated PBS usage &amp; financial </w:t>
      </w:r>
      <w:proofErr w:type="gramStart"/>
      <w:r w:rsidRPr="00C9624D">
        <w:t>implications</w:t>
      </w:r>
      <w:bookmarkEnd w:id="58"/>
      <w:bookmarkEnd w:id="59"/>
      <w:proofErr w:type="gramEnd"/>
    </w:p>
    <w:p w14:paraId="31263D49" w14:textId="5270D863" w:rsidR="004D1EA7" w:rsidRPr="00CA5B69" w:rsidRDefault="004D1EA7" w:rsidP="004D1EA7">
      <w:pPr>
        <w:pStyle w:val="3-BodyText"/>
      </w:pPr>
      <w:r w:rsidRPr="00CA5B69">
        <w:t xml:space="preserve">This submission </w:t>
      </w:r>
      <w:r w:rsidR="00C15EA8">
        <w:t>was</w:t>
      </w:r>
      <w:r w:rsidR="00C15EA8" w:rsidRPr="00CA5B69">
        <w:t xml:space="preserve"> </w:t>
      </w:r>
      <w:r w:rsidRPr="00CA5B69">
        <w:t>not considered by</w:t>
      </w:r>
      <w:r w:rsidR="006D2FD4">
        <w:t xml:space="preserve"> the Drug Utilisation Sub</w:t>
      </w:r>
      <w:r w:rsidR="0045752D">
        <w:t>-</w:t>
      </w:r>
      <w:r w:rsidR="006D2FD4">
        <w:t>Committee</w:t>
      </w:r>
      <w:r w:rsidRPr="00CA5B69">
        <w:t xml:space="preserve"> </w:t>
      </w:r>
      <w:r w:rsidR="006D2FD4">
        <w:t>(</w:t>
      </w:r>
      <w:r w:rsidRPr="00CA5B69">
        <w:t>DUSC</w:t>
      </w:r>
      <w:r w:rsidR="006D2FD4">
        <w:t>)</w:t>
      </w:r>
      <w:r w:rsidRPr="00CA5B69">
        <w:t>.</w:t>
      </w:r>
    </w:p>
    <w:p w14:paraId="2309E6A9" w14:textId="2B8B67C8" w:rsidR="004D1EA7" w:rsidRPr="00EE750D" w:rsidRDefault="004D1EA7" w:rsidP="004D1EA7">
      <w:pPr>
        <w:pStyle w:val="3-BodyText"/>
        <w:rPr>
          <w:rFonts w:ascii="Calibri" w:hAnsi="Calibri" w:cs="Calibri"/>
        </w:rPr>
      </w:pPr>
      <w:r w:rsidRPr="00E126D5">
        <w:t>The submission used a market share approach to the financial estimates based on the published prices.</w:t>
      </w:r>
      <w:r>
        <w:t xml:space="preserve"> </w:t>
      </w:r>
      <w:r>
        <w:fldChar w:fldCharType="begin" w:fldLock="1"/>
      </w:r>
      <w:r>
        <w:instrText xml:space="preserve"> REF _Ref134379688 \h </w:instrText>
      </w:r>
      <w:r>
        <w:fldChar w:fldCharType="separate"/>
      </w:r>
      <w:r w:rsidR="0005097F">
        <w:t xml:space="preserve">Table </w:t>
      </w:r>
      <w:r w:rsidR="0005097F">
        <w:rPr>
          <w:noProof/>
        </w:rPr>
        <w:t>11</w:t>
      </w:r>
      <w:r>
        <w:fldChar w:fldCharType="end"/>
      </w:r>
      <w:r w:rsidRPr="00CA5B69">
        <w:t xml:space="preserve"> </w:t>
      </w:r>
      <w:r w:rsidRPr="00EE750D">
        <w:rPr>
          <w:rFonts w:ascii="Calibri" w:hAnsi="Calibri" w:cs="Calibri"/>
        </w:rPr>
        <w:t>summarises the inputs used for the financial estimates.</w:t>
      </w:r>
    </w:p>
    <w:p w14:paraId="4DE2A804" w14:textId="1770E30D" w:rsidR="004D1EA7" w:rsidRPr="00CA5B69" w:rsidRDefault="0005097F" w:rsidP="004678D2">
      <w:pPr>
        <w:pStyle w:val="Caption"/>
        <w:rPr>
          <w:rStyle w:val="CommentReference"/>
          <w:b/>
          <w:szCs w:val="24"/>
        </w:rPr>
      </w:pPr>
      <w:bookmarkStart w:id="60" w:name="_Ref134379688"/>
      <w:r>
        <w:t xml:space="preserve">Table </w:t>
      </w:r>
      <w:r w:rsidR="00A234BA">
        <w:fldChar w:fldCharType="begin" w:fldLock="1"/>
      </w:r>
      <w:r w:rsidR="00A234BA">
        <w:instrText xml:space="preserve"> SEQ Table \* ARABIC </w:instrText>
      </w:r>
      <w:r w:rsidR="00A234BA">
        <w:fldChar w:fldCharType="separate"/>
      </w:r>
      <w:r>
        <w:rPr>
          <w:noProof/>
        </w:rPr>
        <w:t>11</w:t>
      </w:r>
      <w:r w:rsidR="00A234BA">
        <w:rPr>
          <w:noProof/>
        </w:rPr>
        <w:fldChar w:fldCharType="end"/>
      </w:r>
      <w:bookmarkEnd w:id="60"/>
      <w:r w:rsidR="004D1EA7" w:rsidRPr="00CA5B69">
        <w:t>:</w:t>
      </w:r>
      <w:r w:rsidR="004D1EA7" w:rsidRPr="00CA5B69">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Key inputs for financial estimates"/>
      </w:tblPr>
      <w:tblGrid>
        <w:gridCol w:w="1271"/>
        <w:gridCol w:w="7746"/>
      </w:tblGrid>
      <w:tr w:rsidR="004D1EA7" w:rsidRPr="00DD0E48" w14:paraId="125DF7D5" w14:textId="77777777" w:rsidTr="004D1EA7">
        <w:trPr>
          <w:tblHeader/>
        </w:trPr>
        <w:tc>
          <w:tcPr>
            <w:tcW w:w="705" w:type="pct"/>
            <w:shd w:val="clear" w:color="auto" w:fill="auto"/>
            <w:vAlign w:val="center"/>
          </w:tcPr>
          <w:p w14:paraId="0B546FA5" w14:textId="77777777" w:rsidR="004D1EA7" w:rsidRPr="00DD0E48" w:rsidRDefault="004D1EA7" w:rsidP="004678D2">
            <w:pPr>
              <w:pStyle w:val="In-tableHeading"/>
            </w:pPr>
            <w:r w:rsidRPr="00DD0E48">
              <w:t>Parameter</w:t>
            </w:r>
          </w:p>
        </w:tc>
        <w:tc>
          <w:tcPr>
            <w:tcW w:w="4295" w:type="pct"/>
            <w:shd w:val="clear" w:color="auto" w:fill="auto"/>
            <w:vAlign w:val="center"/>
          </w:tcPr>
          <w:p w14:paraId="414BC1FE" w14:textId="77777777" w:rsidR="004D1EA7" w:rsidRPr="00DD0E48" w:rsidRDefault="004D1EA7" w:rsidP="004678D2">
            <w:pPr>
              <w:pStyle w:val="In-tableHeading"/>
            </w:pPr>
            <w:r w:rsidRPr="00DD0E48">
              <w:t>Value applied and source</w:t>
            </w:r>
          </w:p>
        </w:tc>
      </w:tr>
      <w:tr w:rsidR="004D1EA7" w:rsidRPr="00DD0E48" w14:paraId="0EF19B75" w14:textId="77777777" w:rsidTr="004D1EA7">
        <w:tc>
          <w:tcPr>
            <w:tcW w:w="705" w:type="pct"/>
            <w:vAlign w:val="center"/>
          </w:tcPr>
          <w:p w14:paraId="39F94F97" w14:textId="77777777" w:rsidR="004D1EA7" w:rsidRPr="00DD0E48" w:rsidRDefault="004D1EA7" w:rsidP="004678D2">
            <w:pPr>
              <w:pStyle w:val="TableText0"/>
              <w:rPr>
                <w:lang w:val="en-US"/>
              </w:rPr>
            </w:pPr>
            <w:r w:rsidRPr="00DD0E48">
              <w:t>Current market and market growth</w:t>
            </w:r>
          </w:p>
        </w:tc>
        <w:tc>
          <w:tcPr>
            <w:tcW w:w="4295" w:type="pct"/>
            <w:vAlign w:val="center"/>
          </w:tcPr>
          <w:p w14:paraId="2C6F29F3" w14:textId="02819214" w:rsidR="004D1EA7" w:rsidRPr="00DD0E48" w:rsidRDefault="004D1EA7" w:rsidP="004678D2">
            <w:pPr>
              <w:pStyle w:val="TableText0"/>
            </w:pPr>
            <w:r w:rsidRPr="00DD0E48">
              <w:t>To estimate the size of the current market over the first six years of the proposed listing, the submission fit</w:t>
            </w:r>
            <w:r w:rsidR="00B45A57" w:rsidRPr="00DD0E48">
              <w:t>ted</w:t>
            </w:r>
            <w:r w:rsidRPr="00DD0E48">
              <w:t xml:space="preserve"> a linear trend to monthly script data (Jan 2015 to Nov 2022) using Medicare Australia claims data. </w:t>
            </w:r>
          </w:p>
          <w:p w14:paraId="3FA91DCD" w14:textId="1C1C799F" w:rsidR="004D1EA7" w:rsidRPr="00DD0E48" w:rsidRDefault="004D1EA7" w:rsidP="004678D2">
            <w:pPr>
              <w:pStyle w:val="TableText0"/>
            </w:pPr>
            <w:r w:rsidRPr="00DD0E48">
              <w:t>The linear function was generally reasonable despite underestimating utilisation in 2022. However, the estimated number of scripts modelled / presented in the submission differed to the linear function. The table below compares the predictions from the linear function to the predictions used in the financial model, and shows that the submission likely overestimated the size of the market (e.g. 144k scripts modelled vs 119k scripts predicted in Year 6). These differences were due to the 2022 script numbers used (the submission used Jan to Nov in the model instead of a full year) and the growth rate assumed for 2022 (the submission used the observed 29.3% growth rate for 2021 to 2022 instead of the predicted 4.3% growth rate for 2022 to 2023). In addition, the submission did not distinguish between ADA and IFX scripts dispensed for adult and paediatric populations</w:t>
            </w:r>
            <w:r w:rsidR="00064C7B">
              <w:t>.</w:t>
            </w:r>
            <w:r w:rsidRPr="00DD0E48">
              <w:t xml:space="preserve"> </w:t>
            </w:r>
            <w:r w:rsidR="00064C7B">
              <w:t>G</w:t>
            </w:r>
            <w:r w:rsidR="00064C7B" w:rsidRPr="00DD0E48">
              <w:t>iven</w:t>
            </w:r>
            <w:r w:rsidRPr="00DD0E48">
              <w:t xml:space="preserve"> the proposed listing of MIRI is for adults only, the eligible population should exclude paediatric patients.</w:t>
            </w:r>
          </w:p>
          <w:p w14:paraId="55E92919" w14:textId="77777777" w:rsidR="004D1EA7" w:rsidRPr="00DD0E48" w:rsidRDefault="004D1EA7" w:rsidP="004678D2">
            <w:pPr>
              <w:pStyle w:val="TableText0"/>
            </w:pPr>
          </w:p>
          <w:tbl>
            <w:tblPr>
              <w:tblStyle w:val="TableGrid"/>
              <w:tblW w:w="5000" w:type="pct"/>
              <w:tblCellMar>
                <w:left w:w="28" w:type="dxa"/>
                <w:right w:w="28" w:type="dxa"/>
              </w:tblCellMar>
              <w:tblLook w:val="04A0" w:firstRow="1" w:lastRow="0" w:firstColumn="1" w:lastColumn="0" w:noHBand="0" w:noVBand="1"/>
            </w:tblPr>
            <w:tblGrid>
              <w:gridCol w:w="1565"/>
              <w:gridCol w:w="1530"/>
              <w:gridCol w:w="1530"/>
              <w:gridCol w:w="1528"/>
              <w:gridCol w:w="1527"/>
            </w:tblGrid>
            <w:tr w:rsidR="004D1EA7" w:rsidRPr="00DD0E48" w14:paraId="633E76C6" w14:textId="77777777" w:rsidTr="004D1EA7">
              <w:tc>
                <w:tcPr>
                  <w:tcW w:w="1019" w:type="pct"/>
                  <w:vMerge w:val="restart"/>
                  <w:vAlign w:val="center"/>
                </w:tcPr>
                <w:p w14:paraId="6CDA85F0" w14:textId="77777777" w:rsidR="004D1EA7" w:rsidRPr="00DD0E48" w:rsidRDefault="004D1EA7" w:rsidP="004678D2">
                  <w:pPr>
                    <w:keepNext/>
                    <w:jc w:val="left"/>
                    <w:rPr>
                      <w:rFonts w:ascii="Arial Narrow" w:hAnsi="Arial Narrow"/>
                      <w:sz w:val="20"/>
                      <w:szCs w:val="20"/>
                    </w:rPr>
                  </w:pPr>
                </w:p>
              </w:tc>
              <w:tc>
                <w:tcPr>
                  <w:tcW w:w="1992" w:type="pct"/>
                  <w:gridSpan w:val="2"/>
                  <w:vAlign w:val="center"/>
                </w:tcPr>
                <w:p w14:paraId="16512A92" w14:textId="77777777" w:rsidR="004D1EA7" w:rsidRPr="00DD0E48" w:rsidRDefault="004D1EA7" w:rsidP="004678D2">
                  <w:pPr>
                    <w:keepNext/>
                    <w:jc w:val="center"/>
                    <w:rPr>
                      <w:rFonts w:ascii="Arial Narrow" w:hAnsi="Arial Narrow"/>
                      <w:b/>
                      <w:bCs/>
                      <w:sz w:val="20"/>
                      <w:szCs w:val="20"/>
                    </w:rPr>
                  </w:pPr>
                  <w:r w:rsidRPr="00DD0E48">
                    <w:rPr>
                      <w:rFonts w:ascii="Arial Narrow" w:hAnsi="Arial Narrow"/>
                      <w:b/>
                      <w:bCs/>
                      <w:sz w:val="20"/>
                      <w:szCs w:val="20"/>
                    </w:rPr>
                    <w:t>Linear trend predictions</w:t>
                  </w:r>
                </w:p>
              </w:tc>
              <w:tc>
                <w:tcPr>
                  <w:tcW w:w="1989" w:type="pct"/>
                  <w:gridSpan w:val="2"/>
                  <w:vAlign w:val="center"/>
                </w:tcPr>
                <w:p w14:paraId="42DAE98C" w14:textId="77777777" w:rsidR="004D1EA7" w:rsidRPr="00DD0E48" w:rsidRDefault="004D1EA7" w:rsidP="004678D2">
                  <w:pPr>
                    <w:keepNext/>
                    <w:jc w:val="center"/>
                    <w:rPr>
                      <w:rFonts w:ascii="Arial Narrow" w:hAnsi="Arial Narrow"/>
                      <w:b/>
                      <w:bCs/>
                      <w:sz w:val="20"/>
                      <w:szCs w:val="20"/>
                    </w:rPr>
                  </w:pPr>
                  <w:r w:rsidRPr="00DD0E48">
                    <w:rPr>
                      <w:rFonts w:ascii="Arial Narrow" w:hAnsi="Arial Narrow"/>
                      <w:b/>
                      <w:bCs/>
                      <w:sz w:val="20"/>
                      <w:szCs w:val="20"/>
                    </w:rPr>
                    <w:t>Scripts modelled (without MIRI)</w:t>
                  </w:r>
                </w:p>
              </w:tc>
            </w:tr>
            <w:tr w:rsidR="004D1EA7" w:rsidRPr="00DD0E48" w14:paraId="443CB51C" w14:textId="77777777" w:rsidTr="004D1EA7">
              <w:tc>
                <w:tcPr>
                  <w:tcW w:w="1019" w:type="pct"/>
                  <w:vMerge/>
                </w:tcPr>
                <w:p w14:paraId="6E5F7EBE" w14:textId="77777777" w:rsidR="004D1EA7" w:rsidRPr="00DD0E48" w:rsidRDefault="004D1EA7" w:rsidP="004678D2">
                  <w:pPr>
                    <w:keepNext/>
                    <w:rPr>
                      <w:rFonts w:ascii="Arial Narrow" w:hAnsi="Arial Narrow"/>
                      <w:sz w:val="20"/>
                      <w:szCs w:val="20"/>
                    </w:rPr>
                  </w:pPr>
                </w:p>
              </w:tc>
              <w:tc>
                <w:tcPr>
                  <w:tcW w:w="996" w:type="pct"/>
                </w:tcPr>
                <w:p w14:paraId="608E1FAE" w14:textId="77777777" w:rsidR="004D1EA7" w:rsidRPr="00DD0E48" w:rsidRDefault="004D1EA7" w:rsidP="004678D2">
                  <w:pPr>
                    <w:keepNext/>
                    <w:jc w:val="center"/>
                    <w:rPr>
                      <w:rFonts w:ascii="Arial Narrow" w:hAnsi="Arial Narrow"/>
                      <w:b/>
                      <w:bCs/>
                      <w:sz w:val="20"/>
                      <w:szCs w:val="20"/>
                    </w:rPr>
                  </w:pPr>
                  <w:r w:rsidRPr="00DD0E48">
                    <w:rPr>
                      <w:rFonts w:ascii="Arial Narrow" w:hAnsi="Arial Narrow"/>
                      <w:b/>
                      <w:bCs/>
                      <w:sz w:val="20"/>
                      <w:szCs w:val="20"/>
                    </w:rPr>
                    <w:t>Scripts</w:t>
                  </w:r>
                </w:p>
              </w:tc>
              <w:tc>
                <w:tcPr>
                  <w:tcW w:w="996" w:type="pct"/>
                  <w:vAlign w:val="bottom"/>
                </w:tcPr>
                <w:p w14:paraId="47623C57" w14:textId="77777777" w:rsidR="004D1EA7" w:rsidRPr="00DD0E48" w:rsidRDefault="004D1EA7" w:rsidP="004678D2">
                  <w:pPr>
                    <w:keepNext/>
                    <w:jc w:val="center"/>
                    <w:rPr>
                      <w:rFonts w:ascii="Arial Narrow" w:hAnsi="Arial Narrow"/>
                      <w:b/>
                      <w:bCs/>
                      <w:sz w:val="20"/>
                      <w:szCs w:val="20"/>
                    </w:rPr>
                  </w:pPr>
                  <w:r w:rsidRPr="00DD0E48">
                    <w:rPr>
                      <w:rFonts w:ascii="Arial Narrow" w:hAnsi="Arial Narrow"/>
                      <w:b/>
                      <w:bCs/>
                      <w:sz w:val="20"/>
                      <w:szCs w:val="20"/>
                    </w:rPr>
                    <w:t>% change</w:t>
                  </w:r>
                </w:p>
              </w:tc>
              <w:tc>
                <w:tcPr>
                  <w:tcW w:w="995" w:type="pct"/>
                </w:tcPr>
                <w:p w14:paraId="1EB19F30" w14:textId="77777777" w:rsidR="004D1EA7" w:rsidRPr="00DD0E48" w:rsidRDefault="004D1EA7" w:rsidP="004678D2">
                  <w:pPr>
                    <w:keepNext/>
                    <w:jc w:val="center"/>
                    <w:rPr>
                      <w:rFonts w:ascii="Arial Narrow" w:hAnsi="Arial Narrow"/>
                      <w:b/>
                      <w:bCs/>
                      <w:sz w:val="20"/>
                      <w:szCs w:val="20"/>
                    </w:rPr>
                  </w:pPr>
                  <w:r w:rsidRPr="00DD0E48">
                    <w:rPr>
                      <w:rFonts w:ascii="Arial Narrow" w:hAnsi="Arial Narrow"/>
                      <w:b/>
                      <w:bCs/>
                      <w:sz w:val="20"/>
                      <w:szCs w:val="20"/>
                    </w:rPr>
                    <w:t>Scripts</w:t>
                  </w:r>
                </w:p>
              </w:tc>
              <w:tc>
                <w:tcPr>
                  <w:tcW w:w="994" w:type="pct"/>
                  <w:vAlign w:val="bottom"/>
                </w:tcPr>
                <w:p w14:paraId="1F34B627" w14:textId="77777777" w:rsidR="004D1EA7" w:rsidRPr="00DD0E48" w:rsidRDefault="004D1EA7" w:rsidP="004678D2">
                  <w:pPr>
                    <w:keepNext/>
                    <w:jc w:val="center"/>
                    <w:rPr>
                      <w:rFonts w:ascii="Arial Narrow" w:hAnsi="Arial Narrow"/>
                      <w:b/>
                      <w:bCs/>
                      <w:sz w:val="20"/>
                      <w:szCs w:val="20"/>
                    </w:rPr>
                  </w:pPr>
                  <w:r w:rsidRPr="00DD0E48">
                    <w:rPr>
                      <w:rFonts w:ascii="Arial Narrow" w:hAnsi="Arial Narrow"/>
                      <w:b/>
                      <w:bCs/>
                      <w:sz w:val="20"/>
                      <w:szCs w:val="20"/>
                    </w:rPr>
                    <w:t>% change</w:t>
                  </w:r>
                </w:p>
              </w:tc>
            </w:tr>
            <w:tr w:rsidR="004D1EA7" w:rsidRPr="00DD0E48" w14:paraId="4DB580FE" w14:textId="77777777" w:rsidTr="004D1EA7">
              <w:tc>
                <w:tcPr>
                  <w:tcW w:w="1019" w:type="pct"/>
                </w:tcPr>
                <w:p w14:paraId="67FCBCD3" w14:textId="77777777" w:rsidR="004D1EA7" w:rsidRPr="00DD0E48" w:rsidRDefault="004D1EA7" w:rsidP="004678D2">
                  <w:pPr>
                    <w:keepNext/>
                    <w:rPr>
                      <w:rFonts w:ascii="Arial Narrow" w:hAnsi="Arial Narrow"/>
                      <w:sz w:val="20"/>
                      <w:szCs w:val="20"/>
                    </w:rPr>
                  </w:pPr>
                  <w:r w:rsidRPr="00DD0E48">
                    <w:rPr>
                      <w:rFonts w:ascii="Arial Narrow" w:hAnsi="Arial Narrow"/>
                      <w:sz w:val="20"/>
                      <w:szCs w:val="20"/>
                    </w:rPr>
                    <w:t>2022</w:t>
                  </w:r>
                </w:p>
              </w:tc>
              <w:tc>
                <w:tcPr>
                  <w:tcW w:w="996" w:type="pct"/>
                  <w:vAlign w:val="bottom"/>
                </w:tcPr>
                <w:p w14:paraId="65E4D9B2" w14:textId="7D3F2174"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70</w:t>
                  </w:r>
                  <w:r w:rsidR="006D2FD4" w:rsidRPr="00DD0E48">
                    <w:rPr>
                      <w:rFonts w:ascii="Arial Narrow" w:hAnsi="Arial Narrow"/>
                      <w:sz w:val="20"/>
                      <w:szCs w:val="20"/>
                    </w:rPr>
                    <w:t>,</w:t>
                  </w:r>
                  <w:r w:rsidRPr="00DD0E48">
                    <w:rPr>
                      <w:rFonts w:ascii="Arial Narrow" w:hAnsi="Arial Narrow"/>
                      <w:sz w:val="20"/>
                      <w:szCs w:val="20"/>
                    </w:rPr>
                    <w:t>262 (Jan-Dec)*</w:t>
                  </w:r>
                </w:p>
              </w:tc>
              <w:tc>
                <w:tcPr>
                  <w:tcW w:w="996" w:type="pct"/>
                  <w:vAlign w:val="bottom"/>
                </w:tcPr>
                <w:p w14:paraId="178062D9"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29.3%</w:t>
                  </w:r>
                </w:p>
              </w:tc>
              <w:tc>
                <w:tcPr>
                  <w:tcW w:w="995" w:type="pct"/>
                  <w:vAlign w:val="center"/>
                </w:tcPr>
                <w:p w14:paraId="335CE8DD" w14:textId="79F364F6"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68</w:t>
                  </w:r>
                  <w:r w:rsidR="006D2FD4" w:rsidRPr="00DD0E48">
                    <w:rPr>
                      <w:rFonts w:ascii="Arial Narrow" w:hAnsi="Arial Narrow"/>
                      <w:sz w:val="20"/>
                      <w:szCs w:val="20"/>
                    </w:rPr>
                    <w:t>,</w:t>
                  </w:r>
                  <w:r w:rsidRPr="00DD0E48">
                    <w:rPr>
                      <w:rFonts w:ascii="Arial Narrow" w:hAnsi="Arial Narrow"/>
                      <w:sz w:val="20"/>
                      <w:szCs w:val="20"/>
                    </w:rPr>
                    <w:t>555 (Jan-Nov)</w:t>
                  </w:r>
                </w:p>
              </w:tc>
              <w:tc>
                <w:tcPr>
                  <w:tcW w:w="994" w:type="pct"/>
                  <w:vAlign w:val="center"/>
                </w:tcPr>
                <w:p w14:paraId="0E5E2B73"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w:t>
                  </w:r>
                </w:p>
              </w:tc>
            </w:tr>
            <w:tr w:rsidR="004D1EA7" w:rsidRPr="00DD0E48" w14:paraId="608EE141" w14:textId="77777777" w:rsidTr="004D1EA7">
              <w:tc>
                <w:tcPr>
                  <w:tcW w:w="1019" w:type="pct"/>
                </w:tcPr>
                <w:p w14:paraId="47225C2D" w14:textId="77777777" w:rsidR="004D1EA7" w:rsidRPr="00DD0E48" w:rsidRDefault="004D1EA7" w:rsidP="004678D2">
                  <w:pPr>
                    <w:keepNext/>
                    <w:rPr>
                      <w:rFonts w:ascii="Arial Narrow" w:hAnsi="Arial Narrow"/>
                      <w:sz w:val="20"/>
                      <w:szCs w:val="20"/>
                    </w:rPr>
                  </w:pPr>
                  <w:r w:rsidRPr="00DD0E48">
                    <w:rPr>
                      <w:rFonts w:ascii="Arial Narrow" w:hAnsi="Arial Narrow"/>
                      <w:sz w:val="20"/>
                      <w:szCs w:val="20"/>
                    </w:rPr>
                    <w:t>2023</w:t>
                  </w:r>
                </w:p>
              </w:tc>
              <w:tc>
                <w:tcPr>
                  <w:tcW w:w="996" w:type="pct"/>
                  <w:vAlign w:val="bottom"/>
                </w:tcPr>
                <w:p w14:paraId="0C370444" w14:textId="09751B18"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73</w:t>
                  </w:r>
                  <w:r w:rsidR="006D2FD4" w:rsidRPr="00DD0E48">
                    <w:rPr>
                      <w:rFonts w:ascii="Arial Narrow" w:hAnsi="Arial Narrow"/>
                      <w:sz w:val="20"/>
                      <w:szCs w:val="20"/>
                    </w:rPr>
                    <w:t>,</w:t>
                  </w:r>
                  <w:r w:rsidRPr="00DD0E48">
                    <w:rPr>
                      <w:rFonts w:ascii="Arial Narrow" w:hAnsi="Arial Narrow"/>
                      <w:sz w:val="20"/>
                      <w:szCs w:val="20"/>
                    </w:rPr>
                    <w:t>255</w:t>
                  </w:r>
                </w:p>
              </w:tc>
              <w:tc>
                <w:tcPr>
                  <w:tcW w:w="996" w:type="pct"/>
                  <w:vAlign w:val="bottom"/>
                </w:tcPr>
                <w:p w14:paraId="35AB56FB"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4.3%</w:t>
                  </w:r>
                </w:p>
              </w:tc>
              <w:tc>
                <w:tcPr>
                  <w:tcW w:w="995" w:type="pct"/>
                  <w:vAlign w:val="center"/>
                </w:tcPr>
                <w:p w14:paraId="0934B075" w14:textId="6C9D2695"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88</w:t>
                  </w:r>
                  <w:r w:rsidR="006D2FD4" w:rsidRPr="00DD0E48">
                    <w:rPr>
                      <w:rFonts w:ascii="Arial Narrow" w:hAnsi="Arial Narrow"/>
                      <w:sz w:val="20"/>
                      <w:szCs w:val="20"/>
                    </w:rPr>
                    <w:t>,</w:t>
                  </w:r>
                  <w:r w:rsidRPr="00DD0E48">
                    <w:rPr>
                      <w:rFonts w:ascii="Arial Narrow" w:hAnsi="Arial Narrow"/>
                      <w:sz w:val="20"/>
                      <w:szCs w:val="20"/>
                    </w:rPr>
                    <w:t>634</w:t>
                  </w:r>
                </w:p>
              </w:tc>
              <w:tc>
                <w:tcPr>
                  <w:tcW w:w="994" w:type="pct"/>
                  <w:vAlign w:val="center"/>
                </w:tcPr>
                <w:p w14:paraId="456220BE"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29.3%</w:t>
                  </w:r>
                </w:p>
              </w:tc>
            </w:tr>
            <w:tr w:rsidR="004D1EA7" w:rsidRPr="00DD0E48" w14:paraId="7A27556B" w14:textId="77777777" w:rsidTr="004D1EA7">
              <w:tc>
                <w:tcPr>
                  <w:tcW w:w="1019" w:type="pct"/>
                </w:tcPr>
                <w:p w14:paraId="64645859" w14:textId="77777777" w:rsidR="004D1EA7" w:rsidRPr="00DD0E48" w:rsidRDefault="004D1EA7" w:rsidP="004678D2">
                  <w:pPr>
                    <w:keepNext/>
                    <w:rPr>
                      <w:rFonts w:ascii="Arial Narrow" w:hAnsi="Arial Narrow"/>
                      <w:sz w:val="20"/>
                      <w:szCs w:val="20"/>
                    </w:rPr>
                  </w:pPr>
                  <w:r w:rsidRPr="00DD0E48">
                    <w:rPr>
                      <w:rFonts w:ascii="Arial Narrow" w:hAnsi="Arial Narrow"/>
                      <w:sz w:val="20"/>
                      <w:szCs w:val="20"/>
                    </w:rPr>
                    <w:t>2024</w:t>
                  </w:r>
                </w:p>
              </w:tc>
              <w:tc>
                <w:tcPr>
                  <w:tcW w:w="996" w:type="pct"/>
                  <w:vAlign w:val="bottom"/>
                </w:tcPr>
                <w:p w14:paraId="789E3116" w14:textId="63DE0B2D"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82</w:t>
                  </w:r>
                  <w:r w:rsidR="006D2FD4" w:rsidRPr="00DD0E48">
                    <w:rPr>
                      <w:rFonts w:ascii="Arial Narrow" w:hAnsi="Arial Narrow"/>
                      <w:sz w:val="20"/>
                      <w:szCs w:val="20"/>
                    </w:rPr>
                    <w:t>,</w:t>
                  </w:r>
                  <w:r w:rsidRPr="00DD0E48">
                    <w:rPr>
                      <w:rFonts w:ascii="Arial Narrow" w:hAnsi="Arial Narrow"/>
                      <w:sz w:val="20"/>
                      <w:szCs w:val="20"/>
                    </w:rPr>
                    <w:t>420</w:t>
                  </w:r>
                </w:p>
              </w:tc>
              <w:tc>
                <w:tcPr>
                  <w:tcW w:w="996" w:type="pct"/>
                  <w:vAlign w:val="bottom"/>
                </w:tcPr>
                <w:p w14:paraId="67CE0244"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12.5%</w:t>
                  </w:r>
                </w:p>
              </w:tc>
              <w:tc>
                <w:tcPr>
                  <w:tcW w:w="995" w:type="pct"/>
                  <w:vAlign w:val="center"/>
                </w:tcPr>
                <w:p w14:paraId="6539CC7C" w14:textId="585FB0A9"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99</w:t>
                  </w:r>
                  <w:r w:rsidR="006D2FD4" w:rsidRPr="00DD0E48">
                    <w:rPr>
                      <w:rFonts w:ascii="Arial Narrow" w:hAnsi="Arial Narrow"/>
                      <w:sz w:val="20"/>
                      <w:szCs w:val="20"/>
                    </w:rPr>
                    <w:t>,</w:t>
                  </w:r>
                  <w:r w:rsidRPr="00DD0E48">
                    <w:rPr>
                      <w:rFonts w:ascii="Arial Narrow" w:hAnsi="Arial Narrow"/>
                      <w:sz w:val="20"/>
                      <w:szCs w:val="20"/>
                    </w:rPr>
                    <w:t>722</w:t>
                  </w:r>
                </w:p>
              </w:tc>
              <w:tc>
                <w:tcPr>
                  <w:tcW w:w="994" w:type="pct"/>
                  <w:vAlign w:val="center"/>
                </w:tcPr>
                <w:p w14:paraId="75668C75"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12.5%</w:t>
                  </w:r>
                </w:p>
              </w:tc>
            </w:tr>
            <w:tr w:rsidR="004D1EA7" w:rsidRPr="00DD0E48" w14:paraId="6405E8B0" w14:textId="77777777" w:rsidTr="004D1EA7">
              <w:tc>
                <w:tcPr>
                  <w:tcW w:w="1019" w:type="pct"/>
                </w:tcPr>
                <w:p w14:paraId="5204DFE2" w14:textId="77777777" w:rsidR="004D1EA7" w:rsidRPr="00DD0E48" w:rsidRDefault="004D1EA7" w:rsidP="004678D2">
                  <w:pPr>
                    <w:keepNext/>
                    <w:rPr>
                      <w:rFonts w:ascii="Arial Narrow" w:hAnsi="Arial Narrow"/>
                      <w:sz w:val="20"/>
                      <w:szCs w:val="20"/>
                    </w:rPr>
                  </w:pPr>
                  <w:r w:rsidRPr="00DD0E48">
                    <w:rPr>
                      <w:rFonts w:ascii="Arial Narrow" w:hAnsi="Arial Narrow"/>
                      <w:sz w:val="20"/>
                      <w:szCs w:val="20"/>
                    </w:rPr>
                    <w:t>2025</w:t>
                  </w:r>
                </w:p>
              </w:tc>
              <w:tc>
                <w:tcPr>
                  <w:tcW w:w="996" w:type="pct"/>
                  <w:vAlign w:val="bottom"/>
                </w:tcPr>
                <w:p w14:paraId="200DBE3D" w14:textId="6A093223"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91</w:t>
                  </w:r>
                  <w:r w:rsidR="006D2FD4" w:rsidRPr="00DD0E48">
                    <w:rPr>
                      <w:rFonts w:ascii="Arial Narrow" w:hAnsi="Arial Narrow"/>
                      <w:sz w:val="20"/>
                      <w:szCs w:val="20"/>
                    </w:rPr>
                    <w:t>,</w:t>
                  </w:r>
                  <w:r w:rsidRPr="00DD0E48">
                    <w:rPr>
                      <w:rFonts w:ascii="Arial Narrow" w:hAnsi="Arial Narrow"/>
                      <w:sz w:val="20"/>
                      <w:szCs w:val="20"/>
                    </w:rPr>
                    <w:t>585</w:t>
                  </w:r>
                </w:p>
              </w:tc>
              <w:tc>
                <w:tcPr>
                  <w:tcW w:w="996" w:type="pct"/>
                  <w:vAlign w:val="bottom"/>
                </w:tcPr>
                <w:p w14:paraId="4A47FB88"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11.1%</w:t>
                  </w:r>
                </w:p>
              </w:tc>
              <w:tc>
                <w:tcPr>
                  <w:tcW w:w="995" w:type="pct"/>
                  <w:vAlign w:val="center"/>
                </w:tcPr>
                <w:p w14:paraId="46897449" w14:textId="7DD55462"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110</w:t>
                  </w:r>
                  <w:r w:rsidR="006D2FD4" w:rsidRPr="00DD0E48">
                    <w:rPr>
                      <w:rFonts w:ascii="Arial Narrow" w:hAnsi="Arial Narrow"/>
                      <w:sz w:val="20"/>
                      <w:szCs w:val="20"/>
                    </w:rPr>
                    <w:t>,</w:t>
                  </w:r>
                  <w:r w:rsidRPr="00DD0E48">
                    <w:rPr>
                      <w:rFonts w:ascii="Arial Narrow" w:hAnsi="Arial Narrow"/>
                      <w:sz w:val="20"/>
                      <w:szCs w:val="20"/>
                    </w:rPr>
                    <w:t>811</w:t>
                  </w:r>
                </w:p>
              </w:tc>
              <w:tc>
                <w:tcPr>
                  <w:tcW w:w="994" w:type="pct"/>
                  <w:vAlign w:val="center"/>
                </w:tcPr>
                <w:p w14:paraId="223EF33B"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11.1%</w:t>
                  </w:r>
                </w:p>
              </w:tc>
            </w:tr>
            <w:tr w:rsidR="004D1EA7" w:rsidRPr="00DD0E48" w14:paraId="0DA306F5" w14:textId="77777777" w:rsidTr="004D1EA7">
              <w:tc>
                <w:tcPr>
                  <w:tcW w:w="1019" w:type="pct"/>
                </w:tcPr>
                <w:p w14:paraId="51BC8200" w14:textId="77777777" w:rsidR="004D1EA7" w:rsidRPr="00DD0E48" w:rsidRDefault="004D1EA7" w:rsidP="004678D2">
                  <w:pPr>
                    <w:keepNext/>
                    <w:rPr>
                      <w:rFonts w:ascii="Arial Narrow" w:hAnsi="Arial Narrow"/>
                      <w:sz w:val="20"/>
                      <w:szCs w:val="20"/>
                    </w:rPr>
                  </w:pPr>
                  <w:r w:rsidRPr="00DD0E48">
                    <w:rPr>
                      <w:rFonts w:ascii="Arial Narrow" w:hAnsi="Arial Narrow"/>
                      <w:sz w:val="20"/>
                      <w:szCs w:val="20"/>
                    </w:rPr>
                    <w:t>2026</w:t>
                  </w:r>
                </w:p>
              </w:tc>
              <w:tc>
                <w:tcPr>
                  <w:tcW w:w="996" w:type="pct"/>
                  <w:vAlign w:val="bottom"/>
                </w:tcPr>
                <w:p w14:paraId="47D42094" w14:textId="7C13347A"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100</w:t>
                  </w:r>
                  <w:r w:rsidR="006D2FD4" w:rsidRPr="00DD0E48">
                    <w:rPr>
                      <w:rFonts w:ascii="Arial Narrow" w:hAnsi="Arial Narrow"/>
                      <w:sz w:val="20"/>
                      <w:szCs w:val="20"/>
                    </w:rPr>
                    <w:t>,</w:t>
                  </w:r>
                  <w:r w:rsidRPr="00DD0E48">
                    <w:rPr>
                      <w:rFonts w:ascii="Arial Narrow" w:hAnsi="Arial Narrow"/>
                      <w:sz w:val="20"/>
                      <w:szCs w:val="20"/>
                    </w:rPr>
                    <w:t>750</w:t>
                  </w:r>
                </w:p>
              </w:tc>
              <w:tc>
                <w:tcPr>
                  <w:tcW w:w="996" w:type="pct"/>
                  <w:vAlign w:val="bottom"/>
                </w:tcPr>
                <w:p w14:paraId="2FF29ACB"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10.0%</w:t>
                  </w:r>
                </w:p>
              </w:tc>
              <w:tc>
                <w:tcPr>
                  <w:tcW w:w="995" w:type="pct"/>
                  <w:vAlign w:val="center"/>
                </w:tcPr>
                <w:p w14:paraId="09292D19" w14:textId="07D11659"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121</w:t>
                  </w:r>
                  <w:r w:rsidR="006D2FD4" w:rsidRPr="00DD0E48">
                    <w:rPr>
                      <w:rFonts w:ascii="Arial Narrow" w:hAnsi="Arial Narrow"/>
                      <w:sz w:val="20"/>
                      <w:szCs w:val="20"/>
                    </w:rPr>
                    <w:t>,</w:t>
                  </w:r>
                  <w:r w:rsidRPr="00DD0E48">
                    <w:rPr>
                      <w:rFonts w:ascii="Arial Narrow" w:hAnsi="Arial Narrow"/>
                      <w:sz w:val="20"/>
                      <w:szCs w:val="20"/>
                    </w:rPr>
                    <w:t>904</w:t>
                  </w:r>
                </w:p>
              </w:tc>
              <w:tc>
                <w:tcPr>
                  <w:tcW w:w="994" w:type="pct"/>
                  <w:vAlign w:val="center"/>
                </w:tcPr>
                <w:p w14:paraId="0BB3D946"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10.0%</w:t>
                  </w:r>
                </w:p>
              </w:tc>
            </w:tr>
            <w:tr w:rsidR="004D1EA7" w:rsidRPr="00DD0E48" w14:paraId="22359E11" w14:textId="77777777" w:rsidTr="004D1EA7">
              <w:tc>
                <w:tcPr>
                  <w:tcW w:w="1019" w:type="pct"/>
                </w:tcPr>
                <w:p w14:paraId="424EA525" w14:textId="77777777" w:rsidR="004D1EA7" w:rsidRPr="00DD0E48" w:rsidRDefault="004D1EA7" w:rsidP="004678D2">
                  <w:pPr>
                    <w:keepNext/>
                    <w:rPr>
                      <w:rFonts w:ascii="Arial Narrow" w:hAnsi="Arial Narrow"/>
                      <w:sz w:val="20"/>
                      <w:szCs w:val="20"/>
                    </w:rPr>
                  </w:pPr>
                  <w:r w:rsidRPr="00DD0E48">
                    <w:rPr>
                      <w:rFonts w:ascii="Arial Narrow" w:hAnsi="Arial Narrow"/>
                      <w:sz w:val="20"/>
                      <w:szCs w:val="20"/>
                    </w:rPr>
                    <w:t>2027</w:t>
                  </w:r>
                </w:p>
              </w:tc>
              <w:tc>
                <w:tcPr>
                  <w:tcW w:w="996" w:type="pct"/>
                  <w:vAlign w:val="bottom"/>
                </w:tcPr>
                <w:p w14:paraId="5E22427F" w14:textId="7B5308B4"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109</w:t>
                  </w:r>
                  <w:r w:rsidR="006D2FD4" w:rsidRPr="00DD0E48">
                    <w:rPr>
                      <w:rFonts w:ascii="Arial Narrow" w:hAnsi="Arial Narrow"/>
                      <w:sz w:val="20"/>
                      <w:szCs w:val="20"/>
                    </w:rPr>
                    <w:t>,</w:t>
                  </w:r>
                  <w:r w:rsidRPr="00DD0E48">
                    <w:rPr>
                      <w:rFonts w:ascii="Arial Narrow" w:hAnsi="Arial Narrow"/>
                      <w:sz w:val="20"/>
                      <w:szCs w:val="20"/>
                    </w:rPr>
                    <w:t>915</w:t>
                  </w:r>
                </w:p>
              </w:tc>
              <w:tc>
                <w:tcPr>
                  <w:tcW w:w="996" w:type="pct"/>
                  <w:vAlign w:val="bottom"/>
                </w:tcPr>
                <w:p w14:paraId="635DFBF8"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9.1%</w:t>
                  </w:r>
                </w:p>
              </w:tc>
              <w:tc>
                <w:tcPr>
                  <w:tcW w:w="995" w:type="pct"/>
                  <w:vAlign w:val="center"/>
                </w:tcPr>
                <w:p w14:paraId="27984046" w14:textId="3B81E052"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132</w:t>
                  </w:r>
                  <w:r w:rsidR="006D2FD4" w:rsidRPr="00DD0E48">
                    <w:rPr>
                      <w:rFonts w:ascii="Arial Narrow" w:hAnsi="Arial Narrow"/>
                      <w:sz w:val="20"/>
                      <w:szCs w:val="20"/>
                    </w:rPr>
                    <w:t>,</w:t>
                  </w:r>
                  <w:r w:rsidRPr="00DD0E48">
                    <w:rPr>
                      <w:rFonts w:ascii="Arial Narrow" w:hAnsi="Arial Narrow"/>
                      <w:sz w:val="20"/>
                      <w:szCs w:val="20"/>
                    </w:rPr>
                    <w:t>997</w:t>
                  </w:r>
                </w:p>
              </w:tc>
              <w:tc>
                <w:tcPr>
                  <w:tcW w:w="994" w:type="pct"/>
                  <w:vAlign w:val="center"/>
                </w:tcPr>
                <w:p w14:paraId="16E6757B"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9.1%</w:t>
                  </w:r>
                </w:p>
              </w:tc>
            </w:tr>
            <w:tr w:rsidR="004D1EA7" w:rsidRPr="00DD0E48" w14:paraId="59B78CF3" w14:textId="77777777" w:rsidTr="004D1EA7">
              <w:tc>
                <w:tcPr>
                  <w:tcW w:w="1019" w:type="pct"/>
                </w:tcPr>
                <w:p w14:paraId="7DFDB65B" w14:textId="77777777" w:rsidR="004D1EA7" w:rsidRPr="00DD0E48" w:rsidRDefault="004D1EA7" w:rsidP="004678D2">
                  <w:pPr>
                    <w:keepNext/>
                    <w:rPr>
                      <w:rFonts w:ascii="Arial Narrow" w:hAnsi="Arial Narrow"/>
                      <w:sz w:val="20"/>
                      <w:szCs w:val="20"/>
                    </w:rPr>
                  </w:pPr>
                  <w:r w:rsidRPr="00DD0E48">
                    <w:rPr>
                      <w:rFonts w:ascii="Arial Narrow" w:hAnsi="Arial Narrow"/>
                      <w:sz w:val="20"/>
                      <w:szCs w:val="20"/>
                    </w:rPr>
                    <w:t>2028</w:t>
                  </w:r>
                </w:p>
              </w:tc>
              <w:tc>
                <w:tcPr>
                  <w:tcW w:w="996" w:type="pct"/>
                  <w:vAlign w:val="bottom"/>
                </w:tcPr>
                <w:p w14:paraId="0949CC81" w14:textId="0087783E"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119</w:t>
                  </w:r>
                  <w:r w:rsidR="006D2FD4" w:rsidRPr="00DD0E48">
                    <w:rPr>
                      <w:rFonts w:ascii="Arial Narrow" w:hAnsi="Arial Narrow"/>
                      <w:sz w:val="20"/>
                      <w:szCs w:val="20"/>
                    </w:rPr>
                    <w:t>,</w:t>
                  </w:r>
                  <w:r w:rsidRPr="00DD0E48">
                    <w:rPr>
                      <w:rFonts w:ascii="Arial Narrow" w:hAnsi="Arial Narrow"/>
                      <w:sz w:val="20"/>
                      <w:szCs w:val="20"/>
                    </w:rPr>
                    <w:t>080</w:t>
                  </w:r>
                </w:p>
              </w:tc>
              <w:tc>
                <w:tcPr>
                  <w:tcW w:w="996" w:type="pct"/>
                  <w:vAlign w:val="bottom"/>
                </w:tcPr>
                <w:p w14:paraId="6F3725AF"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8.3%</w:t>
                  </w:r>
                </w:p>
              </w:tc>
              <w:tc>
                <w:tcPr>
                  <w:tcW w:w="995" w:type="pct"/>
                  <w:vAlign w:val="center"/>
                </w:tcPr>
                <w:p w14:paraId="31ADACF3" w14:textId="681C9CD1"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144</w:t>
                  </w:r>
                  <w:r w:rsidR="006D2FD4" w:rsidRPr="00DD0E48">
                    <w:rPr>
                      <w:rFonts w:ascii="Arial Narrow" w:hAnsi="Arial Narrow"/>
                      <w:sz w:val="20"/>
                      <w:szCs w:val="20"/>
                    </w:rPr>
                    <w:t>,</w:t>
                  </w:r>
                  <w:r w:rsidRPr="00DD0E48">
                    <w:rPr>
                      <w:rFonts w:ascii="Arial Narrow" w:hAnsi="Arial Narrow"/>
                      <w:sz w:val="20"/>
                      <w:szCs w:val="20"/>
                    </w:rPr>
                    <w:t>089</w:t>
                  </w:r>
                </w:p>
              </w:tc>
              <w:tc>
                <w:tcPr>
                  <w:tcW w:w="994" w:type="pct"/>
                  <w:vAlign w:val="center"/>
                </w:tcPr>
                <w:p w14:paraId="6ED0C236" w14:textId="77777777" w:rsidR="004D1EA7" w:rsidRPr="00DD0E48" w:rsidRDefault="004D1EA7" w:rsidP="004678D2">
                  <w:pPr>
                    <w:keepNext/>
                    <w:jc w:val="center"/>
                    <w:rPr>
                      <w:rFonts w:ascii="Arial Narrow" w:hAnsi="Arial Narrow"/>
                      <w:sz w:val="20"/>
                      <w:szCs w:val="20"/>
                    </w:rPr>
                  </w:pPr>
                  <w:r w:rsidRPr="00DD0E48">
                    <w:rPr>
                      <w:rFonts w:ascii="Arial Narrow" w:hAnsi="Arial Narrow"/>
                      <w:sz w:val="20"/>
                      <w:szCs w:val="20"/>
                    </w:rPr>
                    <w:t>8.3%</w:t>
                  </w:r>
                </w:p>
              </w:tc>
            </w:tr>
          </w:tbl>
          <w:p w14:paraId="71A71F84" w14:textId="42685E15" w:rsidR="004D1EA7" w:rsidRPr="00DD0E48" w:rsidRDefault="004D1EA7" w:rsidP="004678D2">
            <w:pPr>
              <w:pStyle w:val="TableText0"/>
              <w:rPr>
                <w:szCs w:val="20"/>
              </w:rPr>
            </w:pPr>
            <w:r w:rsidRPr="00DD0E48">
              <w:rPr>
                <w:szCs w:val="20"/>
              </w:rPr>
              <w:t>Source: Extracted from A7.1 Section 4_workbook_Miri.xls</w:t>
            </w:r>
          </w:p>
          <w:p w14:paraId="3370F19B" w14:textId="77777777" w:rsidR="004D1EA7" w:rsidRPr="00DD0E48" w:rsidRDefault="004D1EA7" w:rsidP="004678D2">
            <w:pPr>
              <w:pStyle w:val="TableText0"/>
              <w:rPr>
                <w:lang w:val="en-US"/>
              </w:rPr>
            </w:pPr>
            <w:r w:rsidRPr="00DD0E48">
              <w:rPr>
                <w:szCs w:val="20"/>
              </w:rPr>
              <w:t>* Observed scripts Jan to Nov 2022, plus predicted scripts Dec 2022.</w:t>
            </w:r>
          </w:p>
        </w:tc>
      </w:tr>
      <w:tr w:rsidR="004D1EA7" w:rsidRPr="00DD0E48" w14:paraId="5B6F38AD" w14:textId="77777777" w:rsidTr="004D1EA7">
        <w:tc>
          <w:tcPr>
            <w:tcW w:w="705" w:type="pct"/>
            <w:vAlign w:val="center"/>
          </w:tcPr>
          <w:p w14:paraId="65E58A4E" w14:textId="77777777" w:rsidR="004D1EA7" w:rsidRPr="00DD0E48" w:rsidRDefault="004D1EA7" w:rsidP="004678D2">
            <w:pPr>
              <w:pStyle w:val="TableText0"/>
            </w:pPr>
            <w:r w:rsidRPr="00DD0E48">
              <w:t>Market shares, and split between ‘Initiating’ and Continuing’ treatment</w:t>
            </w:r>
          </w:p>
        </w:tc>
        <w:tc>
          <w:tcPr>
            <w:tcW w:w="4295" w:type="pct"/>
            <w:vAlign w:val="center"/>
          </w:tcPr>
          <w:p w14:paraId="31F7B205" w14:textId="67FACD67" w:rsidR="004D1EA7" w:rsidRPr="00DD0E48" w:rsidRDefault="004D1EA7" w:rsidP="004678D2">
            <w:pPr>
              <w:pStyle w:val="TableText0"/>
            </w:pPr>
            <w:r w:rsidRPr="00DD0E48">
              <w:t xml:space="preserve">To estimate the utilisation of the comparators in the absence of MIRI, the submission split the market by </w:t>
            </w:r>
            <w:r w:rsidR="00B45A57" w:rsidRPr="00DD0E48">
              <w:t>43</w:t>
            </w:r>
            <w:r w:rsidRPr="00DD0E48">
              <w:t xml:space="preserve"> PBS item numbers and applied the estimated market growth rates (see above) to the scripts observed for each PBS item number in 2022 (Jan to Nov).</w:t>
            </w:r>
          </w:p>
          <w:p w14:paraId="067541F0" w14:textId="4F10CE3E" w:rsidR="004D1EA7" w:rsidRPr="00DD0E48" w:rsidRDefault="004D1EA7" w:rsidP="004678D2">
            <w:pPr>
              <w:pStyle w:val="TableText0"/>
            </w:pPr>
            <w:r w:rsidRPr="00DD0E48">
              <w:t>The submission expanded the Section 4 workbook to accommodate the forty-three ‘comparators’ rather than aggregate similar item numbers</w:t>
            </w:r>
            <w:r w:rsidR="000C5762">
              <w:t xml:space="preserve"> and as such, further review be required following a recommendation to affirm the estimates</w:t>
            </w:r>
            <w:r w:rsidRPr="00DD0E48">
              <w:t>. The following issues are noted. The PBS item numbers for VDZ do not distinguish between ‘Initiating’ and ‘Continuing’; for this analysis, the submission assumed items 10384M, 10398G, 12644L were for ‘Initiating’ treatment and items 12639F</w:t>
            </w:r>
            <w:r w:rsidR="00064C7B">
              <w:t xml:space="preserve"> and</w:t>
            </w:r>
            <w:r w:rsidRPr="00DD0E48">
              <w:t xml:space="preserve"> 12647P were for ‘Continuing’ treatment. By applying the same aggregate growth rates to all PBS items, the submission assumed no change in the proportional use of scripts for Initiating and Continuing treatment over time, </w:t>
            </w:r>
            <w:r w:rsidR="00A13761" w:rsidRPr="00DD0E48">
              <w:t>which</w:t>
            </w:r>
            <w:r w:rsidR="00A13761">
              <w:t xml:space="preserve"> was</w:t>
            </w:r>
            <w:r w:rsidR="00A13761" w:rsidRPr="00DD0E48">
              <w:t xml:space="preserve"> not</w:t>
            </w:r>
            <w:r w:rsidRPr="00DD0E48">
              <w:t xml:space="preserve"> reasonable for recently listed treatments (e.g. TOF, listed from July 2021).</w:t>
            </w:r>
          </w:p>
        </w:tc>
      </w:tr>
      <w:tr w:rsidR="004D1EA7" w:rsidRPr="00DD0E48" w14:paraId="04D5C95F" w14:textId="77777777" w:rsidTr="004D1EA7">
        <w:tc>
          <w:tcPr>
            <w:tcW w:w="705" w:type="pct"/>
            <w:vAlign w:val="center"/>
          </w:tcPr>
          <w:p w14:paraId="54DE304B" w14:textId="77777777" w:rsidR="004D1EA7" w:rsidRPr="00DD0E48" w:rsidRDefault="004D1EA7" w:rsidP="004D1EA7">
            <w:pPr>
              <w:pStyle w:val="TableText0"/>
              <w:keepNext w:val="0"/>
            </w:pPr>
            <w:r w:rsidRPr="00DD0E48">
              <w:t xml:space="preserve">Uptake rate, Substitution rate, Distribution </w:t>
            </w:r>
            <w:r w:rsidRPr="00DD0E48">
              <w:lastRenderedPageBreak/>
              <w:t>of MIRI Initial and Continuing scripts</w:t>
            </w:r>
          </w:p>
        </w:tc>
        <w:tc>
          <w:tcPr>
            <w:tcW w:w="4295" w:type="pct"/>
            <w:vAlign w:val="center"/>
          </w:tcPr>
          <w:p w14:paraId="6AEF9937" w14:textId="520372E9" w:rsidR="004D1EA7" w:rsidRPr="00DD0E48" w:rsidRDefault="004D1EA7" w:rsidP="005D2E68">
            <w:pPr>
              <w:pStyle w:val="TableText0"/>
              <w:keepNext w:val="0"/>
            </w:pPr>
            <w:r w:rsidRPr="00DD0E48">
              <w:lastRenderedPageBreak/>
              <w:t>The submission assumed that MIRI would account for 1% of the total market scripts in Year 1</w:t>
            </w:r>
            <w:r w:rsidR="00064C7B">
              <w:t>,</w:t>
            </w:r>
            <w:r w:rsidRPr="00DD0E48">
              <w:t xml:space="preserve"> increasing to 25% market share in Year 6, with proportional substitution across all comparator scripts. To account for the fact that utilisation of ‘Initiating’ MIRI scripts will be higher than ‘Continuing’ MIRI scripts in the early </w:t>
            </w:r>
            <w:r w:rsidRPr="00DD0E48">
              <w:lastRenderedPageBreak/>
              <w:t>years, the submission ‘reconfigured’ the uptake rates to reflect based on the proportional use</w:t>
            </w:r>
            <w:r w:rsidR="00B45A57" w:rsidRPr="00DD0E48">
              <w:t xml:space="preserve"> of</w:t>
            </w:r>
            <w:r w:rsidRPr="00DD0E48">
              <w:t xml:space="preserve"> IFX Initial and Continuing scripts over time, summarised in the table below. The assumed uptake rates appeared generally reasonable</w:t>
            </w:r>
            <w:r w:rsidR="005D2E68" w:rsidRPr="00DD0E48">
              <w:t xml:space="preserve"> (albeit slightly optimistic given there are now eight alternative therapies compared to five at the time of the submission)</w:t>
            </w:r>
            <w:r w:rsidRPr="00DD0E48">
              <w:t>, but the submission’s estimates only corresponded to approx. half the up</w:t>
            </w:r>
            <w:r w:rsidR="00746193" w:rsidRPr="00DD0E48">
              <w:t>t</w:t>
            </w:r>
            <w:r w:rsidRPr="00DD0E48">
              <w:t>a</w:t>
            </w:r>
            <w:r w:rsidR="00746193" w:rsidRPr="00DD0E48">
              <w:t>k</w:t>
            </w:r>
            <w:r w:rsidRPr="00DD0E48">
              <w:t>e rates assumed. For example, the submission estimated MIRI would substitute for 19,716 comparator scripts in Year 6, corresponding to an uptake rate of 13.7% (19,716 / 144,089) rather than the assumed 25%. This difference was largely due to the submission applying the reconfigured uptake rates for initial and continuing scripts directly to the PBS items by initial and continuing treatment, rather than first applying the overall uptake rates and then applying the distribution of MIRI scripts by initial and continuing treatment. There were also a number of programming errors identified in applying the reconfigured uptake rates: The submission applied ‘Continuing’ rates to ‘Initial’ item 12333D, and ‘Initiating’ rates to ‘Continuing’ items 12557X, 12351C and 12391E. The submission also applied an uptake rate of 1% in Year 1 to items 12347W, 12412G and 12351C rather than the reconfigured rates.</w:t>
            </w:r>
          </w:p>
        </w:tc>
      </w:tr>
      <w:tr w:rsidR="004D1EA7" w:rsidRPr="00DD0E48" w14:paraId="1BEF6BBC" w14:textId="77777777" w:rsidTr="004D1EA7">
        <w:tc>
          <w:tcPr>
            <w:tcW w:w="705" w:type="pct"/>
            <w:vAlign w:val="center"/>
          </w:tcPr>
          <w:p w14:paraId="189AF4B1" w14:textId="77777777" w:rsidR="004D1EA7" w:rsidRPr="00DD0E48" w:rsidRDefault="004D1EA7" w:rsidP="004D1EA7">
            <w:pPr>
              <w:pStyle w:val="TableText0"/>
              <w:keepNext w:val="0"/>
            </w:pPr>
            <w:r w:rsidRPr="00DD0E48">
              <w:lastRenderedPageBreak/>
              <w:t>Script equivalence</w:t>
            </w:r>
          </w:p>
        </w:tc>
        <w:tc>
          <w:tcPr>
            <w:tcW w:w="4295" w:type="pct"/>
            <w:vAlign w:val="center"/>
          </w:tcPr>
          <w:p w14:paraId="0BA9E01A" w14:textId="77777777" w:rsidR="004D1EA7" w:rsidRPr="00DD0E48" w:rsidRDefault="004D1EA7" w:rsidP="004D1EA7">
            <w:pPr>
              <w:pStyle w:val="TableText0"/>
              <w:keepNext w:val="0"/>
            </w:pPr>
            <w:r w:rsidRPr="00DD0E48">
              <w:t xml:space="preserve">The submission estimated dose equivalence between MIRI and the comparators based on the number of scripts required to provide 12 weeks of treatment for initial treatment and 12 months of continuing treatment. </w:t>
            </w:r>
          </w:p>
          <w:p w14:paraId="0F0708F6" w14:textId="626AEDD7" w:rsidR="004D1EA7" w:rsidRPr="00DD0E48" w:rsidRDefault="004D1EA7" w:rsidP="004D1EA7">
            <w:pPr>
              <w:pStyle w:val="TableText0"/>
              <w:keepNext w:val="0"/>
            </w:pPr>
            <w:r w:rsidRPr="00DD0E48">
              <w:t>The submission did not adequately explain or justify the approach for calculating script equivalence, based on 12 weeks on induction treatment rather than the maximum duration of induction treatment or average duration per script. The submission also did not make any distinction between IV and SC forms of IFX or VDZ, despite differences in dosing frequencies and script durations by dose form. It was also unclear how the submission derived the estimates, for example, the first 12 weeks of treatment with MIRI, GOL IV and VDZ IV require</w:t>
            </w:r>
            <w:r w:rsidR="00B45A57" w:rsidRPr="00DD0E48">
              <w:t>s</w:t>
            </w:r>
            <w:r w:rsidRPr="00DD0E48">
              <w:t xml:space="preserve"> only 3 scripts rather than 4 scripts, and 52 weeks of maintenance treatment with IFX requires 6.5 scripts rather than 7 scripts. The submission also appeared to apply the wrong script equivalence to item 12370C in the spreadsheet (ADA initial treatment, 1.0 applied instead of 0.8). Alternative script equivalence estimates calculated during the evaluation showed the submission likely overestimated the number of MIRI scripts required to substitute for initial treatment with TOF, GOL and IFX; and underestimated the number of MIRI scripts required to substitute for initial treatment with VDZ IV and continuing treatment with IFX. The alternative estimates based on average duration of treatment provided by each script and the recommended doses for initial and continuing treatment, assumed 12</w:t>
            </w:r>
            <w:r w:rsidR="009B32D4" w:rsidRPr="00DD0E48">
              <w:t> </w:t>
            </w:r>
            <w:r w:rsidRPr="00DD0E48">
              <w:t>weeks of initial treatment with MIRI and the maximum duration of treatment on the PBS with the comparators. The assumed 12 weeks of initial treatment with MIRI was consistent with the submission’s assumptions for the base case analysis. The submission considered the impact of allowing up to 24</w:t>
            </w:r>
            <w:r w:rsidR="009B32D4" w:rsidRPr="00DD0E48">
              <w:t> </w:t>
            </w:r>
            <w:r w:rsidRPr="00DD0E48">
              <w:t>weeks of initial treatment with MIRI in a sensitivity analysis, assuming all patients would receive 6 scripts with MIRI and no change in the number of initial scripts with comparator treatments.</w:t>
            </w:r>
          </w:p>
        </w:tc>
      </w:tr>
      <w:tr w:rsidR="004D1EA7" w:rsidRPr="00DD0E48" w14:paraId="3F288995" w14:textId="77777777" w:rsidTr="004D1EA7">
        <w:tc>
          <w:tcPr>
            <w:tcW w:w="705" w:type="pct"/>
            <w:vAlign w:val="center"/>
          </w:tcPr>
          <w:p w14:paraId="4B04BEC6" w14:textId="77777777" w:rsidR="004D1EA7" w:rsidRPr="00DD0E48" w:rsidRDefault="004D1EA7" w:rsidP="004D1EA7">
            <w:pPr>
              <w:pStyle w:val="TableText0"/>
              <w:keepNext w:val="0"/>
            </w:pPr>
            <w:r w:rsidRPr="00DD0E48">
              <w:t>Drug cost of proposed medicine and comparators</w:t>
            </w:r>
          </w:p>
        </w:tc>
        <w:tc>
          <w:tcPr>
            <w:tcW w:w="4295" w:type="pct"/>
            <w:vAlign w:val="center"/>
          </w:tcPr>
          <w:p w14:paraId="1017839B" w14:textId="0A490901" w:rsidR="004D1EA7" w:rsidRPr="00DD0E48" w:rsidRDefault="004D1EA7" w:rsidP="004D1EA7">
            <w:pPr>
              <w:pStyle w:val="TableText0"/>
              <w:keepNext w:val="0"/>
            </w:pPr>
            <w:r w:rsidRPr="00DD0E48">
              <w:t xml:space="preserve">To estimate the net cost to the PBS/RPBS, the submission applied the published prices (DPMQ), from January 2023 (see ‘Market share’ above), to the estimated number of MIRI scripts and change in the estimated number of comparator scripts. The submission stated that effective prices of the comparators are unknown to the sponsor. The following issues were identified: </w:t>
            </w:r>
          </w:p>
          <w:p w14:paraId="71208455" w14:textId="226566AD" w:rsidR="004D1EA7" w:rsidRPr="00DD0E48" w:rsidRDefault="004D1EA7" w:rsidP="003D1D4D">
            <w:pPr>
              <w:pStyle w:val="TableText0"/>
              <w:keepNext w:val="0"/>
              <w:numPr>
                <w:ilvl w:val="0"/>
                <w:numId w:val="11"/>
              </w:numPr>
              <w:ind w:left="258" w:hanging="258"/>
            </w:pPr>
            <w:r w:rsidRPr="00DD0E48">
              <w:t xml:space="preserve">the </w:t>
            </w:r>
            <w:r w:rsidR="006E13AB" w:rsidRPr="00DD0E48">
              <w:t xml:space="preserve">stated </w:t>
            </w:r>
            <w:r w:rsidR="001B1C0C" w:rsidRPr="00DD0E48">
              <w:t xml:space="preserve">prices for ADA in the </w:t>
            </w:r>
            <w:r w:rsidR="006E13AB" w:rsidRPr="00DD0E48">
              <w:t xml:space="preserve">financial estimates </w:t>
            </w:r>
            <w:r w:rsidR="001B1C0C" w:rsidRPr="00DD0E48">
              <w:t xml:space="preserve">were correct at the time of the submission, but are higher than the </w:t>
            </w:r>
            <w:r w:rsidRPr="00DD0E48">
              <w:t xml:space="preserve">current prices </w:t>
            </w:r>
            <w:r w:rsidR="001B1C0C" w:rsidRPr="00DD0E48">
              <w:t>(ADA underwent a statutory price reduction</w:t>
            </w:r>
            <w:r w:rsidR="00F24B92" w:rsidRPr="00DD0E48">
              <w:t xml:space="preserve"> in April 2023</w:t>
            </w:r>
            <w:r w:rsidR="001B1C0C" w:rsidRPr="00DD0E48">
              <w:t>)</w:t>
            </w:r>
          </w:p>
          <w:p w14:paraId="0781A579" w14:textId="2720AD34" w:rsidR="004D1EA7" w:rsidRPr="00DD0E48" w:rsidRDefault="004D1EA7" w:rsidP="003D1D4D">
            <w:pPr>
              <w:pStyle w:val="TableText0"/>
              <w:keepNext w:val="0"/>
              <w:numPr>
                <w:ilvl w:val="0"/>
                <w:numId w:val="11"/>
              </w:numPr>
              <w:ind w:left="258" w:hanging="258"/>
            </w:pPr>
            <w:r w:rsidRPr="00DD0E48">
              <w:t>the submission did not adjust the cost for IFX IV (e.g. DPMQ for most items based on pricing quantity 1 vial) to account for the average number of vials provided per script (dose requires approx. 4 vials)</w:t>
            </w:r>
          </w:p>
          <w:p w14:paraId="13B5B859" w14:textId="2BA159C4" w:rsidR="004D1EA7" w:rsidRPr="00DD0E48" w:rsidRDefault="004D1EA7" w:rsidP="003D1D4D">
            <w:pPr>
              <w:pStyle w:val="TableText0"/>
              <w:keepNext w:val="0"/>
              <w:numPr>
                <w:ilvl w:val="0"/>
                <w:numId w:val="11"/>
              </w:numPr>
              <w:ind w:left="258" w:hanging="258"/>
            </w:pPr>
            <w:r w:rsidRPr="00DD0E48">
              <w:t xml:space="preserve">the submission applied a DPMQ of $0 to item </w:t>
            </w:r>
            <w:proofErr w:type="gramStart"/>
            <w:r w:rsidRPr="00DD0E48">
              <w:t>12351C</w:t>
            </w:r>
            <w:proofErr w:type="gramEnd"/>
            <w:r w:rsidRPr="00DD0E48">
              <w:t xml:space="preserve"> </w:t>
            </w:r>
          </w:p>
          <w:p w14:paraId="3D6DFA4F" w14:textId="77777777" w:rsidR="004D1EA7" w:rsidRPr="00DD0E48" w:rsidRDefault="004D1EA7" w:rsidP="003D1D4D">
            <w:pPr>
              <w:pStyle w:val="TableText0"/>
              <w:keepNext w:val="0"/>
              <w:numPr>
                <w:ilvl w:val="0"/>
                <w:numId w:val="11"/>
              </w:numPr>
              <w:ind w:left="258" w:hanging="258"/>
            </w:pPr>
            <w:r w:rsidRPr="00DD0E48">
              <w:t xml:space="preserve">the submission applied the DPMQ of item 11381B to item 11382C and vice versa. </w:t>
            </w:r>
          </w:p>
        </w:tc>
      </w:tr>
      <w:tr w:rsidR="004D1EA7" w:rsidRPr="00DD0E48" w14:paraId="7DB70B5A" w14:textId="77777777" w:rsidTr="004D1EA7">
        <w:tc>
          <w:tcPr>
            <w:tcW w:w="705" w:type="pct"/>
            <w:vAlign w:val="center"/>
          </w:tcPr>
          <w:p w14:paraId="1132EDA7" w14:textId="77777777" w:rsidR="004D1EA7" w:rsidRPr="00DD0E48" w:rsidRDefault="004D1EA7" w:rsidP="004D1EA7">
            <w:pPr>
              <w:pStyle w:val="TableText0"/>
              <w:keepNext w:val="0"/>
            </w:pPr>
            <w:r w:rsidRPr="00DD0E48">
              <w:t>MBS costs</w:t>
            </w:r>
          </w:p>
        </w:tc>
        <w:tc>
          <w:tcPr>
            <w:tcW w:w="4295" w:type="pct"/>
            <w:vAlign w:val="center"/>
          </w:tcPr>
          <w:p w14:paraId="69D3CEF2" w14:textId="77777777" w:rsidR="004D1EA7" w:rsidRPr="00DD0E48" w:rsidRDefault="004D1EA7" w:rsidP="004D1EA7">
            <w:pPr>
              <w:pStyle w:val="TableText0"/>
              <w:keepNext w:val="0"/>
            </w:pPr>
            <w:r w:rsidRPr="00DD0E48">
              <w:t>The submission assigned an administration cost to MIRI IV scripts and VDZ IV scripts based on MBS item 116 (80% fee, $65.84), and an administration cost to IFX IV scripts based on MBS item 14245 (80% fee, $82.84). The assumed unit costs for administration of IV infusions was appropriate. However, the submission only costs IV administration for IFX IV script for initial treatment, and therefore likely overestimated the cost to the MBS, given the substitution of MIRI SC for IFX IV for continuing treatment would reduce the number IV administrations required.</w:t>
            </w:r>
          </w:p>
        </w:tc>
      </w:tr>
    </w:tbl>
    <w:p w14:paraId="6F12B80A" w14:textId="77777777" w:rsidR="004D1EA7" w:rsidRPr="003E614F" w:rsidRDefault="004D1EA7" w:rsidP="004D1EA7">
      <w:pPr>
        <w:pStyle w:val="TableFigureFooter"/>
        <w:rPr>
          <w:bCs/>
          <w:szCs w:val="18"/>
        </w:rPr>
      </w:pPr>
      <w:r w:rsidRPr="003E614F">
        <w:rPr>
          <w:szCs w:val="18"/>
        </w:rPr>
        <w:t>Source: Table 123, pp. 257-259 of the submission.</w:t>
      </w:r>
    </w:p>
    <w:p w14:paraId="3C2B5630" w14:textId="4948DF64" w:rsidR="004D1EA7" w:rsidRPr="003E614F" w:rsidRDefault="006D2FD4" w:rsidP="004D1EA7">
      <w:pPr>
        <w:pStyle w:val="TableFigureFooter"/>
        <w:rPr>
          <w:szCs w:val="18"/>
        </w:rPr>
      </w:pPr>
      <w:r w:rsidRPr="003E614F">
        <w:rPr>
          <w:szCs w:val="18"/>
        </w:rPr>
        <w:t xml:space="preserve">approx.=approximately, </w:t>
      </w:r>
      <w:r w:rsidR="004D1EA7" w:rsidRPr="003E614F">
        <w:rPr>
          <w:szCs w:val="18"/>
        </w:rPr>
        <w:t>ADA=adalimumab</w:t>
      </w:r>
      <w:r w:rsidR="009B32D4" w:rsidRPr="003E614F">
        <w:rPr>
          <w:szCs w:val="18"/>
        </w:rPr>
        <w:t>,</w:t>
      </w:r>
      <w:r w:rsidR="004D1EA7" w:rsidRPr="003E614F">
        <w:rPr>
          <w:szCs w:val="18"/>
        </w:rPr>
        <w:t xml:space="preserve"> </w:t>
      </w:r>
      <w:r w:rsidR="009B32D4" w:rsidRPr="003E614F">
        <w:rPr>
          <w:szCs w:val="18"/>
        </w:rPr>
        <w:t xml:space="preserve">DPMQ=Dispensed Price for Maximum Quantity, </w:t>
      </w:r>
      <w:r w:rsidR="004D1EA7" w:rsidRPr="003E614F">
        <w:rPr>
          <w:szCs w:val="18"/>
        </w:rPr>
        <w:t>GOL=golimumab</w:t>
      </w:r>
      <w:r w:rsidR="009B32D4" w:rsidRPr="003E614F">
        <w:rPr>
          <w:szCs w:val="18"/>
        </w:rPr>
        <w:t>,</w:t>
      </w:r>
      <w:r w:rsidR="004D1EA7" w:rsidRPr="003E614F">
        <w:rPr>
          <w:szCs w:val="18"/>
        </w:rPr>
        <w:t xml:space="preserve"> IFX=infliximab</w:t>
      </w:r>
      <w:r w:rsidR="009B32D4" w:rsidRPr="003E614F">
        <w:rPr>
          <w:szCs w:val="18"/>
        </w:rPr>
        <w:t>,</w:t>
      </w:r>
      <w:r w:rsidR="004D1EA7" w:rsidRPr="003E614F">
        <w:rPr>
          <w:szCs w:val="18"/>
        </w:rPr>
        <w:t xml:space="preserve"> IV=intravenous</w:t>
      </w:r>
      <w:r w:rsidR="009B32D4" w:rsidRPr="003E614F">
        <w:rPr>
          <w:szCs w:val="18"/>
        </w:rPr>
        <w:t>, MBS=Medicare Benefits Schedule,</w:t>
      </w:r>
      <w:r w:rsidR="004D1EA7" w:rsidRPr="003E614F">
        <w:rPr>
          <w:szCs w:val="18"/>
        </w:rPr>
        <w:t xml:space="preserve"> MIRI=mirikizumab</w:t>
      </w:r>
      <w:r w:rsidR="009B32D4" w:rsidRPr="003E614F">
        <w:rPr>
          <w:szCs w:val="18"/>
        </w:rPr>
        <w:t>,</w:t>
      </w:r>
      <w:r w:rsidRPr="003E614F">
        <w:rPr>
          <w:szCs w:val="18"/>
        </w:rPr>
        <w:t xml:space="preserve"> PBS=Pharmaceutical Benefits Scheme,</w:t>
      </w:r>
      <w:r w:rsidR="004D1EA7" w:rsidRPr="003E614F">
        <w:rPr>
          <w:szCs w:val="18"/>
        </w:rPr>
        <w:t xml:space="preserve"> </w:t>
      </w:r>
      <w:r w:rsidR="009B32D4" w:rsidRPr="003E614F">
        <w:rPr>
          <w:szCs w:val="18"/>
        </w:rPr>
        <w:t xml:space="preserve">RPBS=Repatriation Pharmaceutical Benefits Scheme, </w:t>
      </w:r>
      <w:r w:rsidR="004D1EA7" w:rsidRPr="003E614F">
        <w:rPr>
          <w:szCs w:val="18"/>
        </w:rPr>
        <w:t>SC=subcutaneous</w:t>
      </w:r>
      <w:r w:rsidR="009B32D4" w:rsidRPr="003E614F">
        <w:rPr>
          <w:szCs w:val="18"/>
        </w:rPr>
        <w:t>,</w:t>
      </w:r>
      <w:r w:rsidR="004D1EA7" w:rsidRPr="003E614F">
        <w:rPr>
          <w:szCs w:val="18"/>
        </w:rPr>
        <w:t xml:space="preserve"> TOF=tofacitinib</w:t>
      </w:r>
      <w:r w:rsidR="009B32D4" w:rsidRPr="003E614F">
        <w:rPr>
          <w:szCs w:val="18"/>
        </w:rPr>
        <w:t>,</w:t>
      </w:r>
      <w:r w:rsidR="004D1EA7" w:rsidRPr="003E614F">
        <w:rPr>
          <w:szCs w:val="18"/>
        </w:rPr>
        <w:t xml:space="preserve"> UST=ustekinumab</w:t>
      </w:r>
      <w:r w:rsidR="009B32D4" w:rsidRPr="003E614F">
        <w:rPr>
          <w:szCs w:val="18"/>
        </w:rPr>
        <w:t>,</w:t>
      </w:r>
      <w:r w:rsidR="004D1EA7" w:rsidRPr="003E614F">
        <w:rPr>
          <w:szCs w:val="18"/>
        </w:rPr>
        <w:t xml:space="preserve"> VDZ=vedolizumab.</w:t>
      </w:r>
    </w:p>
    <w:p w14:paraId="65964155" w14:textId="26905758" w:rsidR="004D1EA7" w:rsidRPr="007E41F1" w:rsidRDefault="004D1EA7" w:rsidP="004D1EA7">
      <w:pPr>
        <w:pStyle w:val="3-BodyText"/>
      </w:pPr>
      <w:r w:rsidRPr="007E41F1">
        <w:lastRenderedPageBreak/>
        <w:t xml:space="preserve">The estimated script numbers and costs for the PBS listing of MIRI </w:t>
      </w:r>
      <w:r w:rsidR="00A65EA8">
        <w:t xml:space="preserve">(using published prices) </w:t>
      </w:r>
      <w:r w:rsidRPr="007E41F1">
        <w:t xml:space="preserve">for the treatment of </w:t>
      </w:r>
      <w:r w:rsidR="009B32D4" w:rsidRPr="007E41F1">
        <w:t>M</w:t>
      </w:r>
      <w:r w:rsidR="009B32D4">
        <w:t>SUC</w:t>
      </w:r>
      <w:r w:rsidR="009B32D4" w:rsidRPr="007E41F1">
        <w:t xml:space="preserve"> </w:t>
      </w:r>
      <w:r w:rsidRPr="007E41F1">
        <w:t xml:space="preserve">are provided in </w:t>
      </w:r>
      <w:r w:rsidRPr="007E41F1">
        <w:fldChar w:fldCharType="begin" w:fldLock="1"/>
      </w:r>
      <w:r w:rsidRPr="007E41F1">
        <w:instrText xml:space="preserve"> REF _Ref104805295 \h </w:instrText>
      </w:r>
      <w:r w:rsidRPr="007E41F1">
        <w:fldChar w:fldCharType="separate"/>
      </w:r>
      <w:r w:rsidR="0005097F">
        <w:t xml:space="preserve">Table </w:t>
      </w:r>
      <w:r w:rsidR="0005097F">
        <w:rPr>
          <w:noProof/>
        </w:rPr>
        <w:t>12</w:t>
      </w:r>
      <w:r w:rsidRPr="007E41F1">
        <w:fldChar w:fldCharType="end"/>
      </w:r>
      <w:r w:rsidRPr="007E41F1">
        <w:t>.</w:t>
      </w:r>
      <w:r w:rsidR="00337641">
        <w:t xml:space="preserve"> </w:t>
      </w:r>
    </w:p>
    <w:p w14:paraId="5055482C" w14:textId="71B52324" w:rsidR="004D1EA7" w:rsidRPr="007E41F1" w:rsidRDefault="0005097F" w:rsidP="0005097F">
      <w:pPr>
        <w:pStyle w:val="Caption"/>
      </w:pPr>
      <w:bookmarkStart w:id="61" w:name="_Ref104805295"/>
      <w:r>
        <w:t xml:space="preserve">Table </w:t>
      </w:r>
      <w:r w:rsidR="00A234BA">
        <w:fldChar w:fldCharType="begin" w:fldLock="1"/>
      </w:r>
      <w:r w:rsidR="00A234BA">
        <w:instrText xml:space="preserve"> SEQ Table \*</w:instrText>
      </w:r>
      <w:r w:rsidR="00A234BA">
        <w:instrText xml:space="preserve"> ARABIC </w:instrText>
      </w:r>
      <w:r w:rsidR="00A234BA">
        <w:fldChar w:fldCharType="separate"/>
      </w:r>
      <w:r>
        <w:rPr>
          <w:noProof/>
        </w:rPr>
        <w:t>12</w:t>
      </w:r>
      <w:r w:rsidR="00A234BA">
        <w:rPr>
          <w:noProof/>
        </w:rPr>
        <w:fldChar w:fldCharType="end"/>
      </w:r>
      <w:bookmarkEnd w:id="61"/>
      <w:r w:rsidR="004D1EA7" w:rsidRPr="007E41F1">
        <w:t>:</w:t>
      </w:r>
      <w:r w:rsidR="004D1EA7" w:rsidRPr="007E41F1">
        <w:rPr>
          <w:rStyle w:val="CommentReference"/>
          <w:b/>
          <w:szCs w:val="24"/>
        </w:rPr>
        <w:t xml:space="preserve"> Estimated use and financial implications</w:t>
      </w:r>
      <w:r w:rsidR="00A65EA8">
        <w:rPr>
          <w:rStyle w:val="CommentReference"/>
          <w:b/>
          <w:szCs w:val="24"/>
        </w:rPr>
        <w:t xml:space="preserve"> using published prices</w:t>
      </w:r>
      <w:r w:rsidR="00295CF6">
        <w:rPr>
          <w:rStyle w:val="CommentReference"/>
          <w:b/>
          <w:szCs w:val="24"/>
        </w:rPr>
        <w:t>*</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Estimated use and financial implications using published prices*"/>
      </w:tblPr>
      <w:tblGrid>
        <w:gridCol w:w="2403"/>
        <w:gridCol w:w="1104"/>
        <w:gridCol w:w="1102"/>
        <w:gridCol w:w="1177"/>
        <w:gridCol w:w="1181"/>
        <w:gridCol w:w="1177"/>
        <w:gridCol w:w="1183"/>
      </w:tblGrid>
      <w:tr w:rsidR="004D1EA7" w:rsidRPr="009B32D4" w14:paraId="26191FC4" w14:textId="77777777" w:rsidTr="00520295">
        <w:trPr>
          <w:tblHeader/>
        </w:trPr>
        <w:tc>
          <w:tcPr>
            <w:tcW w:w="1288" w:type="pct"/>
            <w:shd w:val="clear" w:color="auto" w:fill="auto"/>
            <w:vAlign w:val="center"/>
          </w:tcPr>
          <w:p w14:paraId="72BEA835" w14:textId="77777777" w:rsidR="004D1EA7" w:rsidRPr="009B32D4" w:rsidRDefault="004D1EA7" w:rsidP="004D1EA7">
            <w:pPr>
              <w:pStyle w:val="In-tableHeading"/>
              <w:jc w:val="center"/>
              <w:rPr>
                <w:szCs w:val="20"/>
              </w:rPr>
            </w:pPr>
          </w:p>
        </w:tc>
        <w:tc>
          <w:tcPr>
            <w:tcW w:w="592" w:type="pct"/>
            <w:shd w:val="clear" w:color="auto" w:fill="auto"/>
            <w:vAlign w:val="center"/>
          </w:tcPr>
          <w:p w14:paraId="1747EC7F" w14:textId="77777777" w:rsidR="004D1EA7" w:rsidRPr="009B32D4" w:rsidRDefault="004D1EA7" w:rsidP="004D1EA7">
            <w:pPr>
              <w:pStyle w:val="In-tableHeading"/>
              <w:jc w:val="center"/>
              <w:rPr>
                <w:szCs w:val="20"/>
              </w:rPr>
            </w:pPr>
            <w:r w:rsidRPr="009B32D4">
              <w:rPr>
                <w:szCs w:val="20"/>
              </w:rPr>
              <w:t>Year 1</w:t>
            </w:r>
          </w:p>
        </w:tc>
        <w:tc>
          <w:tcPr>
            <w:tcW w:w="591" w:type="pct"/>
            <w:shd w:val="clear" w:color="auto" w:fill="auto"/>
            <w:vAlign w:val="center"/>
          </w:tcPr>
          <w:p w14:paraId="3D4885B3" w14:textId="77777777" w:rsidR="004D1EA7" w:rsidRPr="009B32D4" w:rsidRDefault="004D1EA7" w:rsidP="004D1EA7">
            <w:pPr>
              <w:pStyle w:val="In-tableHeading"/>
              <w:jc w:val="center"/>
              <w:rPr>
                <w:szCs w:val="20"/>
              </w:rPr>
            </w:pPr>
            <w:r w:rsidRPr="009B32D4">
              <w:rPr>
                <w:szCs w:val="20"/>
              </w:rPr>
              <w:t>Year 2</w:t>
            </w:r>
          </w:p>
        </w:tc>
        <w:tc>
          <w:tcPr>
            <w:tcW w:w="631" w:type="pct"/>
            <w:shd w:val="clear" w:color="auto" w:fill="auto"/>
            <w:vAlign w:val="center"/>
          </w:tcPr>
          <w:p w14:paraId="223DFB65" w14:textId="77777777" w:rsidR="004D1EA7" w:rsidRPr="009B32D4" w:rsidRDefault="004D1EA7" w:rsidP="004D1EA7">
            <w:pPr>
              <w:pStyle w:val="In-tableHeading"/>
              <w:jc w:val="center"/>
              <w:rPr>
                <w:szCs w:val="20"/>
              </w:rPr>
            </w:pPr>
            <w:r w:rsidRPr="009B32D4">
              <w:rPr>
                <w:szCs w:val="20"/>
              </w:rPr>
              <w:t>Year 3</w:t>
            </w:r>
          </w:p>
        </w:tc>
        <w:tc>
          <w:tcPr>
            <w:tcW w:w="633" w:type="pct"/>
            <w:shd w:val="clear" w:color="auto" w:fill="auto"/>
            <w:vAlign w:val="center"/>
          </w:tcPr>
          <w:p w14:paraId="3EE22397" w14:textId="77777777" w:rsidR="004D1EA7" w:rsidRPr="009B32D4" w:rsidRDefault="004D1EA7" w:rsidP="004D1EA7">
            <w:pPr>
              <w:pStyle w:val="In-tableHeading"/>
              <w:jc w:val="center"/>
              <w:rPr>
                <w:szCs w:val="20"/>
              </w:rPr>
            </w:pPr>
            <w:r w:rsidRPr="009B32D4">
              <w:rPr>
                <w:szCs w:val="20"/>
              </w:rPr>
              <w:t>Year 4</w:t>
            </w:r>
          </w:p>
        </w:tc>
        <w:tc>
          <w:tcPr>
            <w:tcW w:w="631" w:type="pct"/>
            <w:shd w:val="clear" w:color="auto" w:fill="auto"/>
            <w:vAlign w:val="center"/>
          </w:tcPr>
          <w:p w14:paraId="047C1FCA" w14:textId="77777777" w:rsidR="004D1EA7" w:rsidRPr="009B32D4" w:rsidRDefault="004D1EA7" w:rsidP="004D1EA7">
            <w:pPr>
              <w:pStyle w:val="In-tableHeading"/>
              <w:jc w:val="center"/>
              <w:rPr>
                <w:szCs w:val="20"/>
              </w:rPr>
            </w:pPr>
            <w:r w:rsidRPr="009B32D4">
              <w:rPr>
                <w:szCs w:val="20"/>
              </w:rPr>
              <w:t>Year 5</w:t>
            </w:r>
          </w:p>
        </w:tc>
        <w:tc>
          <w:tcPr>
            <w:tcW w:w="634" w:type="pct"/>
          </w:tcPr>
          <w:p w14:paraId="28DC4A3F" w14:textId="77777777" w:rsidR="004D1EA7" w:rsidRPr="009B32D4" w:rsidRDefault="004D1EA7" w:rsidP="004D1EA7">
            <w:pPr>
              <w:pStyle w:val="In-tableHeading"/>
              <w:jc w:val="center"/>
              <w:rPr>
                <w:szCs w:val="20"/>
              </w:rPr>
            </w:pPr>
            <w:r w:rsidRPr="009B32D4">
              <w:rPr>
                <w:szCs w:val="20"/>
              </w:rPr>
              <w:t>Year 6</w:t>
            </w:r>
          </w:p>
        </w:tc>
      </w:tr>
      <w:tr w:rsidR="004D1EA7" w:rsidRPr="009B32D4" w14:paraId="50CE6DD4" w14:textId="77777777" w:rsidTr="00520295">
        <w:tc>
          <w:tcPr>
            <w:tcW w:w="5000" w:type="pct"/>
            <w:gridSpan w:val="7"/>
            <w:shd w:val="clear" w:color="auto" w:fill="auto"/>
            <w:vAlign w:val="center"/>
          </w:tcPr>
          <w:p w14:paraId="2CE4639E" w14:textId="77777777" w:rsidR="004D1EA7" w:rsidRPr="009B32D4" w:rsidRDefault="004D1EA7" w:rsidP="004D1EA7">
            <w:pPr>
              <w:pStyle w:val="In-tableHeading"/>
              <w:rPr>
                <w:bCs/>
                <w:color w:val="000000"/>
                <w:szCs w:val="20"/>
              </w:rPr>
            </w:pPr>
            <w:r w:rsidRPr="009B32D4">
              <w:rPr>
                <w:bCs/>
                <w:color w:val="000000"/>
                <w:szCs w:val="20"/>
              </w:rPr>
              <w:t>Estimated extent of use</w:t>
            </w:r>
          </w:p>
        </w:tc>
      </w:tr>
      <w:tr w:rsidR="004D1EA7" w:rsidRPr="009B32D4" w14:paraId="69280B10" w14:textId="77777777" w:rsidTr="00520295">
        <w:tc>
          <w:tcPr>
            <w:tcW w:w="1288" w:type="pct"/>
            <w:tcBorders>
              <w:bottom w:val="nil"/>
            </w:tcBorders>
          </w:tcPr>
          <w:p w14:paraId="1A583828" w14:textId="77777777" w:rsidR="004D1EA7" w:rsidRPr="009B32D4" w:rsidRDefault="004D1EA7" w:rsidP="004D1EA7">
            <w:pPr>
              <w:pStyle w:val="TableText0"/>
              <w:rPr>
                <w:rFonts w:ascii="Times" w:hAnsi="Times"/>
                <w:szCs w:val="20"/>
              </w:rPr>
            </w:pPr>
            <w:r w:rsidRPr="009B32D4">
              <w:rPr>
                <w:szCs w:val="20"/>
              </w:rPr>
              <w:t>MIRI scripts</w:t>
            </w:r>
            <w:r w:rsidRPr="009B32D4">
              <w:rPr>
                <w:szCs w:val="20"/>
                <w:vertAlign w:val="superscript"/>
              </w:rPr>
              <w:t>a</w:t>
            </w:r>
          </w:p>
        </w:tc>
        <w:tc>
          <w:tcPr>
            <w:tcW w:w="592" w:type="pct"/>
            <w:tcBorders>
              <w:bottom w:val="nil"/>
            </w:tcBorders>
            <w:vAlign w:val="center"/>
          </w:tcPr>
          <w:p w14:paraId="456F1DB7" w14:textId="5028BDBE" w:rsidR="004D1EA7" w:rsidRPr="00520295" w:rsidRDefault="00D07BC0" w:rsidP="004D1EA7">
            <w:pPr>
              <w:pStyle w:val="TableText0"/>
              <w:jc w:val="center"/>
              <w:rPr>
                <w:color w:val="000000"/>
                <w:szCs w:val="20"/>
                <w:highlight w:val="darkGray"/>
                <w:vertAlign w:val="superscript"/>
              </w:rPr>
            </w:pPr>
            <w:r w:rsidRPr="00D07BC0">
              <w:rPr>
                <w:rFonts w:hint="eastAsia"/>
                <w:color w:val="000000"/>
                <w:w w:val="15"/>
                <w:szCs w:val="20"/>
                <w:shd w:val="solid" w:color="000000" w:fill="000000"/>
                <w:fitText w:val="60" w:id="-1168930816"/>
                <w14:textFill>
                  <w14:solidFill>
                    <w14:srgbClr w14:val="000000">
                      <w14:alpha w14:val="100000"/>
                    </w14:srgbClr>
                  </w14:solidFill>
                </w14:textFill>
              </w:rPr>
              <w:t xml:space="preserve">　</w:t>
            </w:r>
            <w:r w:rsidRPr="00D07BC0">
              <w:rPr>
                <w:color w:val="000000"/>
                <w:w w:val="15"/>
                <w:szCs w:val="20"/>
                <w:shd w:val="solid" w:color="000000" w:fill="000000"/>
                <w:fitText w:val="60" w:id="-1168930816"/>
                <w14:textFill>
                  <w14:solidFill>
                    <w14:srgbClr w14:val="000000">
                      <w14:alpha w14:val="100000"/>
                    </w14:srgbClr>
                  </w14:solidFill>
                </w14:textFill>
              </w:rPr>
              <w:t>|</w:t>
            </w:r>
            <w:r w:rsidRPr="00D07BC0">
              <w:rPr>
                <w:rFonts w:hint="eastAsia"/>
                <w:color w:val="000000"/>
                <w:spacing w:val="-15"/>
                <w:w w:val="15"/>
                <w:szCs w:val="20"/>
                <w:shd w:val="solid" w:color="000000" w:fill="000000"/>
                <w:fitText w:val="60" w:id="-1168930816"/>
                <w14:textFill>
                  <w14:solidFill>
                    <w14:srgbClr w14:val="000000">
                      <w14:alpha w14:val="100000"/>
                    </w14:srgbClr>
                  </w14:solidFill>
                </w14:textFill>
              </w:rPr>
              <w:t xml:space="preserve">　</w:t>
            </w:r>
            <w:r w:rsidR="00520295" w:rsidRPr="00520295">
              <w:rPr>
                <w:szCs w:val="20"/>
                <w:vertAlign w:val="superscript"/>
              </w:rPr>
              <w:t>1</w:t>
            </w:r>
          </w:p>
        </w:tc>
        <w:tc>
          <w:tcPr>
            <w:tcW w:w="591" w:type="pct"/>
            <w:tcBorders>
              <w:bottom w:val="nil"/>
            </w:tcBorders>
            <w:vAlign w:val="center"/>
          </w:tcPr>
          <w:p w14:paraId="52D3BE63" w14:textId="4068C2C6" w:rsidR="004D1EA7" w:rsidRPr="00520295" w:rsidRDefault="00D07BC0" w:rsidP="004D1EA7">
            <w:pPr>
              <w:pStyle w:val="TableText0"/>
              <w:jc w:val="center"/>
              <w:rPr>
                <w:color w:val="000000"/>
                <w:szCs w:val="20"/>
                <w:highlight w:val="darkGray"/>
              </w:rPr>
            </w:pPr>
            <w:r w:rsidRPr="00D07BC0">
              <w:rPr>
                <w:rFonts w:hint="eastAsia"/>
                <w:color w:val="000000"/>
                <w:w w:val="15"/>
                <w:szCs w:val="20"/>
                <w:shd w:val="solid" w:color="000000" w:fill="000000"/>
                <w:fitText w:val="45" w:id="-1168930815"/>
                <w14:textFill>
                  <w14:solidFill>
                    <w14:srgbClr w14:val="000000">
                      <w14:alpha w14:val="100000"/>
                    </w14:srgbClr>
                  </w14:solidFill>
                </w14:textFill>
              </w:rPr>
              <w:t xml:space="preserve">　</w:t>
            </w:r>
            <w:r w:rsidRPr="00D07BC0">
              <w:rPr>
                <w:color w:val="000000"/>
                <w:w w:val="15"/>
                <w:szCs w:val="20"/>
                <w:shd w:val="solid" w:color="000000" w:fill="000000"/>
                <w:fitText w:val="45" w:id="-1168930815"/>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815"/>
                <w14:textFill>
                  <w14:solidFill>
                    <w14:srgbClr w14:val="000000">
                      <w14:alpha w14:val="100000"/>
                    </w14:srgbClr>
                  </w14:solidFill>
                </w14:textFill>
              </w:rPr>
              <w:t xml:space="preserve">　</w:t>
            </w:r>
            <w:r w:rsidR="00520295" w:rsidRPr="00520295">
              <w:rPr>
                <w:szCs w:val="20"/>
                <w:vertAlign w:val="superscript"/>
              </w:rPr>
              <w:t>3</w:t>
            </w:r>
          </w:p>
        </w:tc>
        <w:tc>
          <w:tcPr>
            <w:tcW w:w="631" w:type="pct"/>
            <w:tcBorders>
              <w:bottom w:val="nil"/>
            </w:tcBorders>
            <w:vAlign w:val="center"/>
          </w:tcPr>
          <w:p w14:paraId="203BABB1" w14:textId="655C0D01"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814"/>
                <w14:textFill>
                  <w14:solidFill>
                    <w14:srgbClr w14:val="000000">
                      <w14:alpha w14:val="100000"/>
                    </w14:srgbClr>
                  </w14:solidFill>
                </w14:textFill>
              </w:rPr>
              <w:t xml:space="preserve">　</w:t>
            </w:r>
            <w:r w:rsidRPr="00A234BA">
              <w:rPr>
                <w:color w:val="000000"/>
                <w:w w:val="15"/>
                <w:szCs w:val="20"/>
                <w:shd w:val="solid" w:color="000000" w:fill="000000"/>
                <w:fitText w:val="15" w:id="-1168930814"/>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814"/>
                <w14:textFill>
                  <w14:solidFill>
                    <w14:srgbClr w14:val="000000">
                      <w14:alpha w14:val="100000"/>
                    </w14:srgbClr>
                  </w14:solidFill>
                </w14:textFill>
              </w:rPr>
              <w:t xml:space="preserve">　</w:t>
            </w:r>
            <w:r w:rsidR="00520295" w:rsidRPr="00520295">
              <w:rPr>
                <w:rFonts w:eastAsia="Times New Roman" w:cs="Arial"/>
                <w:iCs/>
                <w:szCs w:val="20"/>
                <w:vertAlign w:val="superscript"/>
              </w:rPr>
              <w:t>4</w:t>
            </w:r>
          </w:p>
        </w:tc>
        <w:tc>
          <w:tcPr>
            <w:tcW w:w="633" w:type="pct"/>
            <w:tcBorders>
              <w:bottom w:val="nil"/>
            </w:tcBorders>
            <w:vAlign w:val="center"/>
          </w:tcPr>
          <w:p w14:paraId="2C3662F8" w14:textId="07FDF1CE"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813"/>
                <w14:textFill>
                  <w14:solidFill>
                    <w14:srgbClr w14:val="000000">
                      <w14:alpha w14:val="100000"/>
                    </w14:srgbClr>
                  </w14:solidFill>
                </w14:textFill>
              </w:rPr>
              <w:t xml:space="preserve">　</w:t>
            </w:r>
            <w:r w:rsidRPr="00A234BA">
              <w:rPr>
                <w:color w:val="000000"/>
                <w:w w:val="15"/>
                <w:szCs w:val="20"/>
                <w:shd w:val="solid" w:color="000000" w:fill="000000"/>
                <w:fitText w:val="15" w:id="-1168930813"/>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813"/>
                <w14:textFill>
                  <w14:solidFill>
                    <w14:srgbClr w14:val="000000">
                      <w14:alpha w14:val="100000"/>
                    </w14:srgbClr>
                  </w14:solidFill>
                </w14:textFill>
              </w:rPr>
              <w:t xml:space="preserve">　</w:t>
            </w:r>
            <w:r w:rsidR="00520295" w:rsidRPr="00520295">
              <w:rPr>
                <w:rFonts w:eastAsia="Times New Roman" w:cs="Arial"/>
                <w:iCs/>
                <w:szCs w:val="20"/>
                <w:vertAlign w:val="superscript"/>
              </w:rPr>
              <w:t>4</w:t>
            </w:r>
          </w:p>
        </w:tc>
        <w:tc>
          <w:tcPr>
            <w:tcW w:w="631" w:type="pct"/>
            <w:tcBorders>
              <w:bottom w:val="nil"/>
            </w:tcBorders>
            <w:vAlign w:val="center"/>
          </w:tcPr>
          <w:p w14:paraId="3D7F8A61" w14:textId="198CE521"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812"/>
                <w14:textFill>
                  <w14:solidFill>
                    <w14:srgbClr w14:val="000000">
                      <w14:alpha w14:val="100000"/>
                    </w14:srgbClr>
                  </w14:solidFill>
                </w14:textFill>
              </w:rPr>
              <w:t xml:space="preserve">　</w:t>
            </w:r>
            <w:r w:rsidRPr="00A234BA">
              <w:rPr>
                <w:color w:val="000000"/>
                <w:w w:val="15"/>
                <w:szCs w:val="20"/>
                <w:shd w:val="solid" w:color="000000" w:fill="000000"/>
                <w:fitText w:val="15" w:id="-1168930812"/>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812"/>
                <w14:textFill>
                  <w14:solidFill>
                    <w14:srgbClr w14:val="000000">
                      <w14:alpha w14:val="100000"/>
                    </w14:srgbClr>
                  </w14:solidFill>
                </w14:textFill>
              </w:rPr>
              <w:t xml:space="preserve">　</w:t>
            </w:r>
            <w:r w:rsidR="00520295">
              <w:rPr>
                <w:rFonts w:eastAsia="Times New Roman" w:cs="Arial"/>
                <w:iCs/>
                <w:szCs w:val="20"/>
                <w:vertAlign w:val="superscript"/>
              </w:rPr>
              <w:t>5</w:t>
            </w:r>
          </w:p>
        </w:tc>
        <w:tc>
          <w:tcPr>
            <w:tcW w:w="634" w:type="pct"/>
            <w:tcBorders>
              <w:bottom w:val="nil"/>
            </w:tcBorders>
            <w:vAlign w:val="center"/>
          </w:tcPr>
          <w:p w14:paraId="60EC6D40" w14:textId="01CFF801"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811"/>
                <w14:textFill>
                  <w14:solidFill>
                    <w14:srgbClr w14:val="000000">
                      <w14:alpha w14:val="100000"/>
                    </w14:srgbClr>
                  </w14:solidFill>
                </w14:textFill>
              </w:rPr>
              <w:t xml:space="preserve">　</w:t>
            </w:r>
            <w:r w:rsidRPr="00A234BA">
              <w:rPr>
                <w:color w:val="000000"/>
                <w:w w:val="15"/>
                <w:szCs w:val="20"/>
                <w:shd w:val="solid" w:color="000000" w:fill="000000"/>
                <w:fitText w:val="15" w:id="-1168930811"/>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811"/>
                <w14:textFill>
                  <w14:solidFill>
                    <w14:srgbClr w14:val="000000">
                      <w14:alpha w14:val="100000"/>
                    </w14:srgbClr>
                  </w14:solidFill>
                </w14:textFill>
              </w:rPr>
              <w:t xml:space="preserve">　</w:t>
            </w:r>
            <w:r w:rsidR="00520295">
              <w:rPr>
                <w:rFonts w:eastAsia="Times New Roman" w:cs="Arial"/>
                <w:iCs/>
                <w:szCs w:val="20"/>
                <w:vertAlign w:val="superscript"/>
              </w:rPr>
              <w:t>5</w:t>
            </w:r>
          </w:p>
        </w:tc>
      </w:tr>
      <w:tr w:rsidR="004D1EA7" w:rsidRPr="009B32D4" w14:paraId="6078F000" w14:textId="77777777" w:rsidTr="00520295">
        <w:tc>
          <w:tcPr>
            <w:tcW w:w="1288" w:type="pct"/>
            <w:tcBorders>
              <w:top w:val="nil"/>
              <w:bottom w:val="nil"/>
            </w:tcBorders>
          </w:tcPr>
          <w:p w14:paraId="403D4459" w14:textId="77777777" w:rsidR="004D1EA7" w:rsidRPr="009B32D4" w:rsidRDefault="004D1EA7" w:rsidP="004D1EA7">
            <w:pPr>
              <w:pStyle w:val="TableText0"/>
              <w:rPr>
                <w:szCs w:val="20"/>
              </w:rPr>
            </w:pPr>
            <w:r w:rsidRPr="009B32D4">
              <w:rPr>
                <w:szCs w:val="20"/>
              </w:rPr>
              <w:t>Initial</w:t>
            </w:r>
          </w:p>
        </w:tc>
        <w:tc>
          <w:tcPr>
            <w:tcW w:w="592" w:type="pct"/>
            <w:tcBorders>
              <w:top w:val="nil"/>
              <w:bottom w:val="nil"/>
            </w:tcBorders>
            <w:vAlign w:val="center"/>
          </w:tcPr>
          <w:p w14:paraId="0973D484" w14:textId="2A35928D" w:rsidR="004D1EA7" w:rsidRPr="00520295" w:rsidRDefault="00D07BC0" w:rsidP="004D1EA7">
            <w:pPr>
              <w:pStyle w:val="TableText0"/>
              <w:jc w:val="center"/>
              <w:rPr>
                <w:color w:val="000000"/>
                <w:szCs w:val="20"/>
                <w:highlight w:val="darkGray"/>
              </w:rPr>
            </w:pPr>
            <w:r w:rsidRPr="00D07BC0">
              <w:rPr>
                <w:rFonts w:hint="eastAsia"/>
                <w:color w:val="000000"/>
                <w:w w:val="15"/>
                <w:szCs w:val="20"/>
                <w:shd w:val="solid" w:color="000000" w:fill="000000"/>
                <w:fitText w:val="60" w:id="-1168930810"/>
                <w14:textFill>
                  <w14:solidFill>
                    <w14:srgbClr w14:val="000000">
                      <w14:alpha w14:val="100000"/>
                    </w14:srgbClr>
                  </w14:solidFill>
                </w14:textFill>
              </w:rPr>
              <w:t xml:space="preserve">　</w:t>
            </w:r>
            <w:r w:rsidRPr="00D07BC0">
              <w:rPr>
                <w:color w:val="000000"/>
                <w:w w:val="15"/>
                <w:szCs w:val="20"/>
                <w:shd w:val="solid" w:color="000000" w:fill="000000"/>
                <w:fitText w:val="60" w:id="-1168930810"/>
                <w14:textFill>
                  <w14:solidFill>
                    <w14:srgbClr w14:val="000000">
                      <w14:alpha w14:val="100000"/>
                    </w14:srgbClr>
                  </w14:solidFill>
                </w14:textFill>
              </w:rPr>
              <w:t>|</w:t>
            </w:r>
            <w:r w:rsidRPr="00D07BC0">
              <w:rPr>
                <w:rFonts w:hint="eastAsia"/>
                <w:color w:val="000000"/>
                <w:spacing w:val="-15"/>
                <w:w w:val="15"/>
                <w:szCs w:val="20"/>
                <w:shd w:val="solid" w:color="000000" w:fill="000000"/>
                <w:fitText w:val="60" w:id="-1168930810"/>
                <w14:textFill>
                  <w14:solidFill>
                    <w14:srgbClr w14:val="000000">
                      <w14:alpha w14:val="100000"/>
                    </w14:srgbClr>
                  </w14:solidFill>
                </w14:textFill>
              </w:rPr>
              <w:t xml:space="preserve">　</w:t>
            </w:r>
            <w:r w:rsidR="00520295" w:rsidRPr="00520295">
              <w:rPr>
                <w:szCs w:val="20"/>
                <w:vertAlign w:val="superscript"/>
              </w:rPr>
              <w:t>1</w:t>
            </w:r>
          </w:p>
        </w:tc>
        <w:tc>
          <w:tcPr>
            <w:tcW w:w="591" w:type="pct"/>
            <w:tcBorders>
              <w:top w:val="nil"/>
              <w:bottom w:val="nil"/>
            </w:tcBorders>
            <w:vAlign w:val="center"/>
          </w:tcPr>
          <w:p w14:paraId="3BAC78B0" w14:textId="35655412" w:rsidR="004D1EA7" w:rsidRPr="00520295" w:rsidRDefault="00D07BC0" w:rsidP="004D1EA7">
            <w:pPr>
              <w:pStyle w:val="TableText0"/>
              <w:jc w:val="center"/>
              <w:rPr>
                <w:color w:val="000000"/>
                <w:szCs w:val="20"/>
                <w:highlight w:val="darkGray"/>
              </w:rPr>
            </w:pPr>
            <w:r w:rsidRPr="00D07BC0">
              <w:rPr>
                <w:rFonts w:hint="eastAsia"/>
                <w:color w:val="000000"/>
                <w:w w:val="15"/>
                <w:szCs w:val="20"/>
                <w:shd w:val="solid" w:color="000000" w:fill="000000"/>
                <w:fitText w:val="45" w:id="-1168930809"/>
                <w14:textFill>
                  <w14:solidFill>
                    <w14:srgbClr w14:val="000000">
                      <w14:alpha w14:val="100000"/>
                    </w14:srgbClr>
                  </w14:solidFill>
                </w14:textFill>
              </w:rPr>
              <w:t xml:space="preserve">　</w:t>
            </w:r>
            <w:r w:rsidRPr="00D07BC0">
              <w:rPr>
                <w:color w:val="000000"/>
                <w:w w:val="15"/>
                <w:szCs w:val="20"/>
                <w:shd w:val="solid" w:color="000000" w:fill="000000"/>
                <w:fitText w:val="45" w:id="-1168930809"/>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809"/>
                <w14:textFill>
                  <w14:solidFill>
                    <w14:srgbClr w14:val="000000">
                      <w14:alpha w14:val="100000"/>
                    </w14:srgbClr>
                  </w14:solidFill>
                </w14:textFill>
              </w:rPr>
              <w:t xml:space="preserve">　</w:t>
            </w:r>
            <w:r w:rsidR="00520295" w:rsidRPr="00520295">
              <w:rPr>
                <w:szCs w:val="20"/>
                <w:vertAlign w:val="superscript"/>
              </w:rPr>
              <w:t>2</w:t>
            </w:r>
          </w:p>
        </w:tc>
        <w:tc>
          <w:tcPr>
            <w:tcW w:w="631" w:type="pct"/>
            <w:tcBorders>
              <w:top w:val="nil"/>
              <w:bottom w:val="nil"/>
            </w:tcBorders>
            <w:vAlign w:val="center"/>
          </w:tcPr>
          <w:p w14:paraId="629EBC45" w14:textId="098D63C0"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808"/>
                <w14:textFill>
                  <w14:solidFill>
                    <w14:srgbClr w14:val="000000">
                      <w14:alpha w14:val="100000"/>
                    </w14:srgbClr>
                  </w14:solidFill>
                </w14:textFill>
              </w:rPr>
              <w:t xml:space="preserve">　</w:t>
            </w:r>
            <w:r w:rsidRPr="00A234BA">
              <w:rPr>
                <w:color w:val="000000"/>
                <w:w w:val="15"/>
                <w:szCs w:val="20"/>
                <w:shd w:val="solid" w:color="000000" w:fill="000000"/>
                <w:fitText w:val="15" w:id="-1168930808"/>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808"/>
                <w14:textFill>
                  <w14:solidFill>
                    <w14:srgbClr w14:val="000000">
                      <w14:alpha w14:val="100000"/>
                    </w14:srgbClr>
                  </w14:solidFill>
                </w14:textFill>
              </w:rPr>
              <w:t xml:space="preserve">　</w:t>
            </w:r>
            <w:r w:rsidR="00520295" w:rsidRPr="00520295">
              <w:rPr>
                <w:szCs w:val="20"/>
                <w:vertAlign w:val="superscript"/>
              </w:rPr>
              <w:t>2</w:t>
            </w:r>
          </w:p>
        </w:tc>
        <w:tc>
          <w:tcPr>
            <w:tcW w:w="633" w:type="pct"/>
            <w:tcBorders>
              <w:top w:val="nil"/>
              <w:bottom w:val="nil"/>
            </w:tcBorders>
            <w:vAlign w:val="center"/>
          </w:tcPr>
          <w:p w14:paraId="7EA99614" w14:textId="724E4EB8"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807"/>
                <w14:textFill>
                  <w14:solidFill>
                    <w14:srgbClr w14:val="000000">
                      <w14:alpha w14:val="100000"/>
                    </w14:srgbClr>
                  </w14:solidFill>
                </w14:textFill>
              </w:rPr>
              <w:t xml:space="preserve">　</w:t>
            </w:r>
            <w:r w:rsidRPr="00A234BA">
              <w:rPr>
                <w:color w:val="000000"/>
                <w:w w:val="15"/>
                <w:szCs w:val="20"/>
                <w:shd w:val="solid" w:color="000000" w:fill="000000"/>
                <w:fitText w:val="15" w:id="-1168930807"/>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807"/>
                <w14:textFill>
                  <w14:solidFill>
                    <w14:srgbClr w14:val="000000">
                      <w14:alpha w14:val="100000"/>
                    </w14:srgbClr>
                  </w14:solidFill>
                </w14:textFill>
              </w:rPr>
              <w:t xml:space="preserve">　</w:t>
            </w:r>
            <w:r w:rsidR="00520295" w:rsidRPr="00520295">
              <w:rPr>
                <w:szCs w:val="20"/>
                <w:vertAlign w:val="superscript"/>
              </w:rPr>
              <w:t>2</w:t>
            </w:r>
          </w:p>
        </w:tc>
        <w:tc>
          <w:tcPr>
            <w:tcW w:w="631" w:type="pct"/>
            <w:tcBorders>
              <w:top w:val="nil"/>
              <w:bottom w:val="nil"/>
            </w:tcBorders>
            <w:vAlign w:val="center"/>
          </w:tcPr>
          <w:p w14:paraId="4AEF7680" w14:textId="46309827"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806"/>
                <w14:textFill>
                  <w14:solidFill>
                    <w14:srgbClr w14:val="000000">
                      <w14:alpha w14:val="100000"/>
                    </w14:srgbClr>
                  </w14:solidFill>
                </w14:textFill>
              </w:rPr>
              <w:t xml:space="preserve">　</w:t>
            </w:r>
            <w:r w:rsidRPr="00A234BA">
              <w:rPr>
                <w:color w:val="000000"/>
                <w:w w:val="15"/>
                <w:szCs w:val="20"/>
                <w:shd w:val="solid" w:color="000000" w:fill="000000"/>
                <w:fitText w:val="15" w:id="-1168930806"/>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806"/>
                <w14:textFill>
                  <w14:solidFill>
                    <w14:srgbClr w14:val="000000">
                      <w14:alpha w14:val="100000"/>
                    </w14:srgbClr>
                  </w14:solidFill>
                </w14:textFill>
              </w:rPr>
              <w:t xml:space="preserve">　</w:t>
            </w:r>
            <w:r w:rsidR="00520295" w:rsidRPr="00520295">
              <w:rPr>
                <w:szCs w:val="20"/>
                <w:vertAlign w:val="superscript"/>
              </w:rPr>
              <w:t>2</w:t>
            </w:r>
          </w:p>
        </w:tc>
        <w:tc>
          <w:tcPr>
            <w:tcW w:w="634" w:type="pct"/>
            <w:tcBorders>
              <w:top w:val="nil"/>
              <w:bottom w:val="nil"/>
            </w:tcBorders>
            <w:vAlign w:val="center"/>
          </w:tcPr>
          <w:p w14:paraId="5FA1E271" w14:textId="20271E56"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560"/>
                <w14:textFill>
                  <w14:solidFill>
                    <w14:srgbClr w14:val="000000">
                      <w14:alpha w14:val="100000"/>
                    </w14:srgbClr>
                  </w14:solidFill>
                </w14:textFill>
              </w:rPr>
              <w:t xml:space="preserve">　</w:t>
            </w:r>
            <w:r w:rsidRPr="00A234BA">
              <w:rPr>
                <w:color w:val="000000"/>
                <w:w w:val="15"/>
                <w:szCs w:val="20"/>
                <w:shd w:val="solid" w:color="000000" w:fill="000000"/>
                <w:fitText w:val="15" w:id="-1168930560"/>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560"/>
                <w14:textFill>
                  <w14:solidFill>
                    <w14:srgbClr w14:val="000000">
                      <w14:alpha w14:val="100000"/>
                    </w14:srgbClr>
                  </w14:solidFill>
                </w14:textFill>
              </w:rPr>
              <w:t xml:space="preserve">　</w:t>
            </w:r>
            <w:r w:rsidR="00520295" w:rsidRPr="00520295">
              <w:rPr>
                <w:szCs w:val="20"/>
                <w:vertAlign w:val="superscript"/>
              </w:rPr>
              <w:t>2</w:t>
            </w:r>
          </w:p>
        </w:tc>
      </w:tr>
      <w:tr w:rsidR="004D1EA7" w:rsidRPr="009B32D4" w14:paraId="44E7C3CE" w14:textId="77777777" w:rsidTr="00520295">
        <w:tc>
          <w:tcPr>
            <w:tcW w:w="1288" w:type="pct"/>
            <w:tcBorders>
              <w:top w:val="nil"/>
              <w:bottom w:val="single" w:sz="4" w:space="0" w:color="auto"/>
            </w:tcBorders>
          </w:tcPr>
          <w:p w14:paraId="1A9C1FDF" w14:textId="77777777" w:rsidR="004D1EA7" w:rsidRPr="009B32D4" w:rsidRDefault="004D1EA7" w:rsidP="004D1EA7">
            <w:pPr>
              <w:pStyle w:val="TableText0"/>
              <w:rPr>
                <w:szCs w:val="20"/>
              </w:rPr>
            </w:pPr>
            <w:r w:rsidRPr="009B32D4">
              <w:rPr>
                <w:szCs w:val="20"/>
              </w:rPr>
              <w:t>Continuing</w:t>
            </w:r>
          </w:p>
        </w:tc>
        <w:tc>
          <w:tcPr>
            <w:tcW w:w="592" w:type="pct"/>
            <w:tcBorders>
              <w:top w:val="nil"/>
              <w:bottom w:val="single" w:sz="4" w:space="0" w:color="auto"/>
            </w:tcBorders>
            <w:vAlign w:val="center"/>
          </w:tcPr>
          <w:p w14:paraId="727F68C1" w14:textId="6D51D5A8" w:rsidR="004D1EA7" w:rsidRPr="00520295" w:rsidRDefault="00D07BC0" w:rsidP="004D1EA7">
            <w:pPr>
              <w:pStyle w:val="TableText0"/>
              <w:jc w:val="center"/>
              <w:rPr>
                <w:color w:val="000000"/>
                <w:szCs w:val="20"/>
                <w:highlight w:val="darkGray"/>
              </w:rPr>
            </w:pPr>
            <w:r w:rsidRPr="00D07BC0">
              <w:rPr>
                <w:rFonts w:hint="eastAsia"/>
                <w:color w:val="000000"/>
                <w:w w:val="15"/>
                <w:szCs w:val="20"/>
                <w:shd w:val="solid" w:color="000000" w:fill="000000"/>
                <w:fitText w:val="60" w:id="-1168930559"/>
                <w14:textFill>
                  <w14:solidFill>
                    <w14:srgbClr w14:val="000000">
                      <w14:alpha w14:val="100000"/>
                    </w14:srgbClr>
                  </w14:solidFill>
                </w14:textFill>
              </w:rPr>
              <w:t xml:space="preserve">　</w:t>
            </w:r>
            <w:r w:rsidRPr="00D07BC0">
              <w:rPr>
                <w:color w:val="000000"/>
                <w:w w:val="15"/>
                <w:szCs w:val="20"/>
                <w:shd w:val="solid" w:color="000000" w:fill="000000"/>
                <w:fitText w:val="60" w:id="-1168930559"/>
                <w14:textFill>
                  <w14:solidFill>
                    <w14:srgbClr w14:val="000000">
                      <w14:alpha w14:val="100000"/>
                    </w14:srgbClr>
                  </w14:solidFill>
                </w14:textFill>
              </w:rPr>
              <w:t>|</w:t>
            </w:r>
            <w:r w:rsidRPr="00D07BC0">
              <w:rPr>
                <w:rFonts w:hint="eastAsia"/>
                <w:color w:val="000000"/>
                <w:spacing w:val="-15"/>
                <w:w w:val="15"/>
                <w:szCs w:val="20"/>
                <w:shd w:val="solid" w:color="000000" w:fill="000000"/>
                <w:fitText w:val="60" w:id="-1168930559"/>
                <w14:textFill>
                  <w14:solidFill>
                    <w14:srgbClr w14:val="000000">
                      <w14:alpha w14:val="100000"/>
                    </w14:srgbClr>
                  </w14:solidFill>
                </w14:textFill>
              </w:rPr>
              <w:t xml:space="preserve">　</w:t>
            </w:r>
            <w:r w:rsidR="00520295" w:rsidRPr="00520295">
              <w:rPr>
                <w:szCs w:val="20"/>
                <w:vertAlign w:val="superscript"/>
              </w:rPr>
              <w:t>1</w:t>
            </w:r>
          </w:p>
        </w:tc>
        <w:tc>
          <w:tcPr>
            <w:tcW w:w="591" w:type="pct"/>
            <w:tcBorders>
              <w:top w:val="nil"/>
              <w:bottom w:val="single" w:sz="4" w:space="0" w:color="auto"/>
            </w:tcBorders>
            <w:vAlign w:val="center"/>
          </w:tcPr>
          <w:p w14:paraId="1CE29D8A" w14:textId="4A339438" w:rsidR="004D1EA7" w:rsidRPr="00520295" w:rsidRDefault="00D07BC0" w:rsidP="004D1EA7">
            <w:pPr>
              <w:pStyle w:val="TableText0"/>
              <w:jc w:val="center"/>
              <w:rPr>
                <w:color w:val="000000"/>
                <w:szCs w:val="20"/>
                <w:highlight w:val="darkGray"/>
                <w:vertAlign w:val="superscript"/>
              </w:rPr>
            </w:pPr>
            <w:r w:rsidRPr="00D07BC0">
              <w:rPr>
                <w:rFonts w:hint="eastAsia"/>
                <w:color w:val="000000"/>
                <w:w w:val="15"/>
                <w:szCs w:val="20"/>
                <w:shd w:val="solid" w:color="000000" w:fill="000000"/>
                <w:fitText w:val="45" w:id="-1168930558"/>
                <w14:textFill>
                  <w14:solidFill>
                    <w14:srgbClr w14:val="000000">
                      <w14:alpha w14:val="100000"/>
                    </w14:srgbClr>
                  </w14:solidFill>
                </w14:textFill>
              </w:rPr>
              <w:t xml:space="preserve">　</w:t>
            </w:r>
            <w:r w:rsidRPr="00D07BC0">
              <w:rPr>
                <w:color w:val="000000"/>
                <w:w w:val="15"/>
                <w:szCs w:val="20"/>
                <w:shd w:val="solid" w:color="000000" w:fill="000000"/>
                <w:fitText w:val="45" w:id="-1168930558"/>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558"/>
                <w14:textFill>
                  <w14:solidFill>
                    <w14:srgbClr w14:val="000000">
                      <w14:alpha w14:val="100000"/>
                    </w14:srgbClr>
                  </w14:solidFill>
                </w14:textFill>
              </w:rPr>
              <w:t xml:space="preserve">　</w:t>
            </w:r>
            <w:r w:rsidR="00520295" w:rsidRPr="00520295">
              <w:rPr>
                <w:szCs w:val="20"/>
                <w:vertAlign w:val="superscript"/>
              </w:rPr>
              <w:t>3</w:t>
            </w:r>
          </w:p>
        </w:tc>
        <w:tc>
          <w:tcPr>
            <w:tcW w:w="631" w:type="pct"/>
            <w:tcBorders>
              <w:top w:val="nil"/>
              <w:bottom w:val="single" w:sz="4" w:space="0" w:color="auto"/>
            </w:tcBorders>
            <w:vAlign w:val="center"/>
          </w:tcPr>
          <w:p w14:paraId="3CC2807D" w14:textId="65C93757"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557"/>
                <w14:textFill>
                  <w14:solidFill>
                    <w14:srgbClr w14:val="000000">
                      <w14:alpha w14:val="100000"/>
                    </w14:srgbClr>
                  </w14:solidFill>
                </w14:textFill>
              </w:rPr>
              <w:t xml:space="preserve">　</w:t>
            </w:r>
            <w:r w:rsidRPr="00A234BA">
              <w:rPr>
                <w:color w:val="000000"/>
                <w:w w:val="15"/>
                <w:szCs w:val="20"/>
                <w:shd w:val="solid" w:color="000000" w:fill="000000"/>
                <w:fitText w:val="15" w:id="-1168930557"/>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557"/>
                <w14:textFill>
                  <w14:solidFill>
                    <w14:srgbClr w14:val="000000">
                      <w14:alpha w14:val="100000"/>
                    </w14:srgbClr>
                  </w14:solidFill>
                </w14:textFill>
              </w:rPr>
              <w:t xml:space="preserve">　</w:t>
            </w:r>
            <w:r w:rsidR="00520295" w:rsidRPr="00520295">
              <w:rPr>
                <w:rFonts w:eastAsia="Times New Roman" w:cs="Arial"/>
                <w:iCs/>
                <w:szCs w:val="20"/>
                <w:vertAlign w:val="superscript"/>
              </w:rPr>
              <w:t>4</w:t>
            </w:r>
          </w:p>
        </w:tc>
        <w:tc>
          <w:tcPr>
            <w:tcW w:w="633" w:type="pct"/>
            <w:tcBorders>
              <w:top w:val="nil"/>
              <w:bottom w:val="single" w:sz="4" w:space="0" w:color="auto"/>
            </w:tcBorders>
            <w:vAlign w:val="center"/>
          </w:tcPr>
          <w:p w14:paraId="0CC80E96" w14:textId="24831E1E"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556"/>
                <w14:textFill>
                  <w14:solidFill>
                    <w14:srgbClr w14:val="000000">
                      <w14:alpha w14:val="100000"/>
                    </w14:srgbClr>
                  </w14:solidFill>
                </w14:textFill>
              </w:rPr>
              <w:t xml:space="preserve">　</w:t>
            </w:r>
            <w:r w:rsidRPr="00A234BA">
              <w:rPr>
                <w:color w:val="000000"/>
                <w:w w:val="15"/>
                <w:szCs w:val="20"/>
                <w:shd w:val="solid" w:color="000000" w:fill="000000"/>
                <w:fitText w:val="15" w:id="-1168930556"/>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556"/>
                <w14:textFill>
                  <w14:solidFill>
                    <w14:srgbClr w14:val="000000">
                      <w14:alpha w14:val="100000"/>
                    </w14:srgbClr>
                  </w14:solidFill>
                </w14:textFill>
              </w:rPr>
              <w:t xml:space="preserve">　</w:t>
            </w:r>
            <w:r w:rsidR="00520295" w:rsidRPr="00520295">
              <w:rPr>
                <w:rFonts w:eastAsia="Times New Roman" w:cs="Arial"/>
                <w:iCs/>
                <w:szCs w:val="20"/>
                <w:vertAlign w:val="superscript"/>
              </w:rPr>
              <w:t>4</w:t>
            </w:r>
          </w:p>
        </w:tc>
        <w:tc>
          <w:tcPr>
            <w:tcW w:w="631" w:type="pct"/>
            <w:tcBorders>
              <w:top w:val="nil"/>
              <w:bottom w:val="single" w:sz="4" w:space="0" w:color="auto"/>
            </w:tcBorders>
            <w:vAlign w:val="center"/>
          </w:tcPr>
          <w:p w14:paraId="71E4356E" w14:textId="4BF95E22"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555"/>
                <w14:textFill>
                  <w14:solidFill>
                    <w14:srgbClr w14:val="000000">
                      <w14:alpha w14:val="100000"/>
                    </w14:srgbClr>
                  </w14:solidFill>
                </w14:textFill>
              </w:rPr>
              <w:t xml:space="preserve">　</w:t>
            </w:r>
            <w:r w:rsidRPr="00A234BA">
              <w:rPr>
                <w:color w:val="000000"/>
                <w:w w:val="15"/>
                <w:szCs w:val="20"/>
                <w:shd w:val="solid" w:color="000000" w:fill="000000"/>
                <w:fitText w:val="15" w:id="-1168930555"/>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555"/>
                <w14:textFill>
                  <w14:solidFill>
                    <w14:srgbClr w14:val="000000">
                      <w14:alpha w14:val="100000"/>
                    </w14:srgbClr>
                  </w14:solidFill>
                </w14:textFill>
              </w:rPr>
              <w:t xml:space="preserve">　</w:t>
            </w:r>
            <w:r w:rsidR="00520295">
              <w:rPr>
                <w:rFonts w:eastAsia="Times New Roman" w:cs="Arial"/>
                <w:iCs/>
                <w:szCs w:val="20"/>
                <w:vertAlign w:val="superscript"/>
              </w:rPr>
              <w:t>5</w:t>
            </w:r>
          </w:p>
        </w:tc>
        <w:tc>
          <w:tcPr>
            <w:tcW w:w="634" w:type="pct"/>
            <w:tcBorders>
              <w:top w:val="nil"/>
              <w:bottom w:val="single" w:sz="4" w:space="0" w:color="auto"/>
            </w:tcBorders>
            <w:vAlign w:val="center"/>
          </w:tcPr>
          <w:p w14:paraId="5AE2ABDA" w14:textId="00285A33" w:rsidR="004D1EA7" w:rsidRPr="00520295" w:rsidRDefault="00D07BC0" w:rsidP="004D1EA7">
            <w:pPr>
              <w:pStyle w:val="TableText0"/>
              <w:jc w:val="center"/>
              <w:rPr>
                <w:color w:val="000000"/>
                <w:szCs w:val="20"/>
                <w:highlight w:val="darkGray"/>
              </w:rPr>
            </w:pPr>
            <w:r w:rsidRPr="00A234BA">
              <w:rPr>
                <w:rFonts w:hint="eastAsia"/>
                <w:color w:val="000000"/>
                <w:w w:val="15"/>
                <w:szCs w:val="20"/>
                <w:shd w:val="solid" w:color="000000" w:fill="000000"/>
                <w:fitText w:val="15" w:id="-1168930554"/>
                <w14:textFill>
                  <w14:solidFill>
                    <w14:srgbClr w14:val="000000">
                      <w14:alpha w14:val="100000"/>
                    </w14:srgbClr>
                  </w14:solidFill>
                </w14:textFill>
              </w:rPr>
              <w:t xml:space="preserve">　</w:t>
            </w:r>
            <w:r w:rsidRPr="00A234BA">
              <w:rPr>
                <w:color w:val="000000"/>
                <w:w w:val="15"/>
                <w:szCs w:val="20"/>
                <w:shd w:val="solid" w:color="000000" w:fill="000000"/>
                <w:fitText w:val="15" w:id="-1168930554"/>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554"/>
                <w14:textFill>
                  <w14:solidFill>
                    <w14:srgbClr w14:val="000000">
                      <w14:alpha w14:val="100000"/>
                    </w14:srgbClr>
                  </w14:solidFill>
                </w14:textFill>
              </w:rPr>
              <w:t xml:space="preserve">　</w:t>
            </w:r>
            <w:r w:rsidR="00520295">
              <w:rPr>
                <w:rFonts w:eastAsia="Times New Roman" w:cs="Arial"/>
                <w:iCs/>
                <w:szCs w:val="20"/>
                <w:vertAlign w:val="superscript"/>
              </w:rPr>
              <w:t>5</w:t>
            </w:r>
          </w:p>
        </w:tc>
      </w:tr>
      <w:tr w:rsidR="004D1EA7" w:rsidRPr="009B32D4" w14:paraId="28255E95" w14:textId="77777777" w:rsidTr="00520295">
        <w:tc>
          <w:tcPr>
            <w:tcW w:w="5000" w:type="pct"/>
            <w:gridSpan w:val="7"/>
            <w:shd w:val="clear" w:color="auto" w:fill="auto"/>
            <w:vAlign w:val="center"/>
          </w:tcPr>
          <w:p w14:paraId="0A4F881C" w14:textId="77777777" w:rsidR="004D1EA7" w:rsidRPr="009B32D4" w:rsidRDefault="004D1EA7" w:rsidP="004D1EA7">
            <w:pPr>
              <w:pStyle w:val="In-tableHeading"/>
              <w:rPr>
                <w:szCs w:val="20"/>
              </w:rPr>
            </w:pPr>
            <w:r w:rsidRPr="009B32D4">
              <w:rPr>
                <w:szCs w:val="20"/>
              </w:rPr>
              <w:t>Estimated financial implications of MIRI</w:t>
            </w:r>
          </w:p>
        </w:tc>
      </w:tr>
      <w:tr w:rsidR="004D1EA7" w:rsidRPr="009B32D4" w14:paraId="524B8712" w14:textId="77777777" w:rsidTr="00520295">
        <w:tc>
          <w:tcPr>
            <w:tcW w:w="1288" w:type="pct"/>
            <w:shd w:val="clear" w:color="auto" w:fill="auto"/>
            <w:vAlign w:val="center"/>
          </w:tcPr>
          <w:p w14:paraId="3CAA4DC0" w14:textId="77777777" w:rsidR="004D1EA7" w:rsidRPr="009B32D4" w:rsidRDefault="004D1EA7" w:rsidP="004D1EA7">
            <w:pPr>
              <w:pStyle w:val="TableText0"/>
              <w:rPr>
                <w:szCs w:val="20"/>
              </w:rPr>
            </w:pPr>
            <w:r w:rsidRPr="009B32D4">
              <w:rPr>
                <w:szCs w:val="20"/>
              </w:rPr>
              <w:t>Cost to PBS/RPBS less copayments</w:t>
            </w:r>
          </w:p>
        </w:tc>
        <w:tc>
          <w:tcPr>
            <w:tcW w:w="592" w:type="pct"/>
            <w:tcBorders>
              <w:top w:val="single" w:sz="4" w:space="0" w:color="auto"/>
            </w:tcBorders>
            <w:vAlign w:val="center"/>
          </w:tcPr>
          <w:p w14:paraId="6C758D7F" w14:textId="1B32D90B"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60" w:id="-1168930553"/>
                <w14:textFill>
                  <w14:solidFill>
                    <w14:srgbClr w14:val="000000">
                      <w14:alpha w14:val="100000"/>
                    </w14:srgbClr>
                  </w14:solidFill>
                </w14:textFill>
              </w:rPr>
              <w:t xml:space="preserve">　</w:t>
            </w:r>
            <w:r w:rsidRPr="00D07BC0">
              <w:rPr>
                <w:color w:val="000000"/>
                <w:w w:val="15"/>
                <w:szCs w:val="20"/>
                <w:shd w:val="solid" w:color="000000" w:fill="000000"/>
                <w:fitText w:val="60" w:id="-1168930553"/>
                <w14:textFill>
                  <w14:solidFill>
                    <w14:srgbClr w14:val="000000">
                      <w14:alpha w14:val="100000"/>
                    </w14:srgbClr>
                  </w14:solidFill>
                </w14:textFill>
              </w:rPr>
              <w:t>|</w:t>
            </w:r>
            <w:r w:rsidRPr="00D07BC0">
              <w:rPr>
                <w:rFonts w:hint="eastAsia"/>
                <w:color w:val="000000"/>
                <w:spacing w:val="-15"/>
                <w:w w:val="15"/>
                <w:szCs w:val="20"/>
                <w:shd w:val="solid" w:color="000000" w:fill="000000"/>
                <w:fitText w:val="60" w:id="-1168930553"/>
                <w14:textFill>
                  <w14:solidFill>
                    <w14:srgbClr w14:val="000000">
                      <w14:alpha w14:val="100000"/>
                    </w14:srgbClr>
                  </w14:solidFill>
                </w14:textFill>
              </w:rPr>
              <w:t xml:space="preserve">　</w:t>
            </w:r>
            <w:r w:rsidR="00520295">
              <w:rPr>
                <w:rFonts w:eastAsia="Times New Roman" w:cs="Arial"/>
                <w:iCs/>
                <w:szCs w:val="20"/>
                <w:vertAlign w:val="superscript"/>
              </w:rPr>
              <w:t>6</w:t>
            </w:r>
          </w:p>
        </w:tc>
        <w:tc>
          <w:tcPr>
            <w:tcW w:w="591" w:type="pct"/>
            <w:tcBorders>
              <w:top w:val="single" w:sz="4" w:space="0" w:color="auto"/>
            </w:tcBorders>
            <w:vAlign w:val="center"/>
          </w:tcPr>
          <w:p w14:paraId="74C23DAA" w14:textId="21A05647"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552"/>
                <w14:textFill>
                  <w14:solidFill>
                    <w14:srgbClr w14:val="000000">
                      <w14:alpha w14:val="100000"/>
                    </w14:srgbClr>
                  </w14:solidFill>
                </w14:textFill>
              </w:rPr>
              <w:t xml:space="preserve">　</w:t>
            </w:r>
            <w:r w:rsidRPr="00D07BC0">
              <w:rPr>
                <w:color w:val="000000"/>
                <w:w w:val="15"/>
                <w:szCs w:val="20"/>
                <w:shd w:val="solid" w:color="000000" w:fill="000000"/>
                <w:fitText w:val="45" w:id="-1168930552"/>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552"/>
                <w14:textFill>
                  <w14:solidFill>
                    <w14:srgbClr w14:val="000000">
                      <w14:alpha w14:val="100000"/>
                    </w14:srgbClr>
                  </w14:solidFill>
                </w14:textFill>
              </w:rPr>
              <w:t xml:space="preserve">　</w:t>
            </w:r>
            <w:r w:rsidR="00520295">
              <w:rPr>
                <w:rFonts w:eastAsia="Times New Roman" w:cs="Arial"/>
                <w:iCs/>
                <w:szCs w:val="20"/>
                <w:vertAlign w:val="superscript"/>
              </w:rPr>
              <w:t>7</w:t>
            </w:r>
          </w:p>
        </w:tc>
        <w:tc>
          <w:tcPr>
            <w:tcW w:w="631" w:type="pct"/>
            <w:tcBorders>
              <w:top w:val="single" w:sz="4" w:space="0" w:color="auto"/>
            </w:tcBorders>
            <w:vAlign w:val="center"/>
          </w:tcPr>
          <w:p w14:paraId="5AC49EC3" w14:textId="20AF3561"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551"/>
                <w14:textFill>
                  <w14:solidFill>
                    <w14:srgbClr w14:val="000000">
                      <w14:alpha w14:val="100000"/>
                    </w14:srgbClr>
                  </w14:solidFill>
                </w14:textFill>
              </w:rPr>
              <w:t xml:space="preserve">　</w:t>
            </w:r>
            <w:r w:rsidRPr="00A234BA">
              <w:rPr>
                <w:color w:val="000000"/>
                <w:w w:val="15"/>
                <w:szCs w:val="20"/>
                <w:shd w:val="solid" w:color="000000" w:fill="000000"/>
                <w:fitText w:val="15" w:id="-1168930551"/>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551"/>
                <w14:textFill>
                  <w14:solidFill>
                    <w14:srgbClr w14:val="000000">
                      <w14:alpha w14:val="100000"/>
                    </w14:srgbClr>
                  </w14:solidFill>
                </w14:textFill>
              </w:rPr>
              <w:t xml:space="preserve">　</w:t>
            </w:r>
            <w:r w:rsidR="00520295">
              <w:rPr>
                <w:rFonts w:eastAsia="Times New Roman" w:cs="Arial"/>
                <w:iCs/>
                <w:szCs w:val="20"/>
                <w:vertAlign w:val="superscript"/>
              </w:rPr>
              <w:t>8</w:t>
            </w:r>
          </w:p>
        </w:tc>
        <w:tc>
          <w:tcPr>
            <w:tcW w:w="633" w:type="pct"/>
            <w:tcBorders>
              <w:top w:val="single" w:sz="4" w:space="0" w:color="auto"/>
            </w:tcBorders>
            <w:vAlign w:val="center"/>
          </w:tcPr>
          <w:p w14:paraId="440B905B" w14:textId="03F638CB"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550"/>
                <w14:textFill>
                  <w14:solidFill>
                    <w14:srgbClr w14:val="000000">
                      <w14:alpha w14:val="100000"/>
                    </w14:srgbClr>
                  </w14:solidFill>
                </w14:textFill>
              </w:rPr>
              <w:t xml:space="preserve">　</w:t>
            </w:r>
            <w:r w:rsidRPr="00A234BA">
              <w:rPr>
                <w:color w:val="000000"/>
                <w:w w:val="15"/>
                <w:szCs w:val="20"/>
                <w:shd w:val="solid" w:color="000000" w:fill="000000"/>
                <w:fitText w:val="15" w:id="-1168930550"/>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550"/>
                <w14:textFill>
                  <w14:solidFill>
                    <w14:srgbClr w14:val="000000">
                      <w14:alpha w14:val="100000"/>
                    </w14:srgbClr>
                  </w14:solidFill>
                </w14:textFill>
              </w:rPr>
              <w:t xml:space="preserve">　</w:t>
            </w:r>
            <w:r w:rsidR="00520295">
              <w:rPr>
                <w:rFonts w:eastAsia="Times New Roman" w:cs="Arial"/>
                <w:iCs/>
                <w:szCs w:val="20"/>
                <w:vertAlign w:val="superscript"/>
              </w:rPr>
              <w:t>9</w:t>
            </w:r>
          </w:p>
        </w:tc>
        <w:tc>
          <w:tcPr>
            <w:tcW w:w="631" w:type="pct"/>
            <w:tcBorders>
              <w:top w:val="single" w:sz="4" w:space="0" w:color="auto"/>
            </w:tcBorders>
            <w:vAlign w:val="center"/>
          </w:tcPr>
          <w:p w14:paraId="0AADD405" w14:textId="50476CB1"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549"/>
                <w14:textFill>
                  <w14:solidFill>
                    <w14:srgbClr w14:val="000000">
                      <w14:alpha w14:val="100000"/>
                    </w14:srgbClr>
                  </w14:solidFill>
                </w14:textFill>
              </w:rPr>
              <w:t xml:space="preserve">　</w:t>
            </w:r>
            <w:r w:rsidRPr="00D07BC0">
              <w:rPr>
                <w:color w:val="000000"/>
                <w:w w:val="15"/>
                <w:szCs w:val="20"/>
                <w:shd w:val="solid" w:color="000000" w:fill="000000"/>
                <w:fitText w:val="45" w:id="-1168930549"/>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549"/>
                <w14:textFill>
                  <w14:solidFill>
                    <w14:srgbClr w14:val="000000">
                      <w14:alpha w14:val="100000"/>
                    </w14:srgbClr>
                  </w14:solidFill>
                </w14:textFill>
              </w:rPr>
              <w:t xml:space="preserve">　</w:t>
            </w:r>
            <w:r w:rsidR="00520295">
              <w:rPr>
                <w:rFonts w:eastAsia="Times New Roman" w:cs="Arial"/>
                <w:iCs/>
                <w:szCs w:val="20"/>
                <w:vertAlign w:val="superscript"/>
              </w:rPr>
              <w:t>10</w:t>
            </w:r>
          </w:p>
        </w:tc>
        <w:tc>
          <w:tcPr>
            <w:tcW w:w="634" w:type="pct"/>
            <w:tcBorders>
              <w:top w:val="single" w:sz="4" w:space="0" w:color="auto"/>
            </w:tcBorders>
            <w:vAlign w:val="center"/>
          </w:tcPr>
          <w:p w14:paraId="49AB78F1" w14:textId="296C403D"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548"/>
                <w14:textFill>
                  <w14:solidFill>
                    <w14:srgbClr w14:val="000000">
                      <w14:alpha w14:val="100000"/>
                    </w14:srgbClr>
                  </w14:solidFill>
                </w14:textFill>
              </w:rPr>
              <w:t xml:space="preserve">　</w:t>
            </w:r>
            <w:r w:rsidRPr="00D07BC0">
              <w:rPr>
                <w:color w:val="000000"/>
                <w:w w:val="15"/>
                <w:szCs w:val="20"/>
                <w:shd w:val="solid" w:color="000000" w:fill="000000"/>
                <w:fitText w:val="45" w:id="-1168930548"/>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548"/>
                <w14:textFill>
                  <w14:solidFill>
                    <w14:srgbClr w14:val="000000">
                      <w14:alpha w14:val="100000"/>
                    </w14:srgbClr>
                  </w14:solidFill>
                </w14:textFill>
              </w:rPr>
              <w:t xml:space="preserve">　</w:t>
            </w:r>
            <w:r w:rsidR="00520295">
              <w:rPr>
                <w:rFonts w:eastAsia="Times New Roman" w:cs="Arial"/>
                <w:iCs/>
                <w:szCs w:val="20"/>
                <w:vertAlign w:val="superscript"/>
              </w:rPr>
              <w:t>11</w:t>
            </w:r>
          </w:p>
        </w:tc>
      </w:tr>
      <w:tr w:rsidR="004D1EA7" w:rsidRPr="009B32D4" w14:paraId="5B190C86" w14:textId="77777777" w:rsidTr="00520295">
        <w:tc>
          <w:tcPr>
            <w:tcW w:w="5000" w:type="pct"/>
            <w:gridSpan w:val="7"/>
            <w:shd w:val="clear" w:color="auto" w:fill="auto"/>
            <w:vAlign w:val="center"/>
          </w:tcPr>
          <w:p w14:paraId="3689AF5B" w14:textId="4CAFE588" w:rsidR="004D1EA7" w:rsidRPr="00C34CE9" w:rsidRDefault="004D1EA7" w:rsidP="004D1EA7">
            <w:pPr>
              <w:pStyle w:val="TableText0"/>
              <w:rPr>
                <w:b/>
                <w:bCs w:val="0"/>
                <w:szCs w:val="20"/>
              </w:rPr>
            </w:pPr>
            <w:r w:rsidRPr="00C34CE9">
              <w:rPr>
                <w:b/>
                <w:bCs w:val="0"/>
                <w:szCs w:val="20"/>
              </w:rPr>
              <w:t xml:space="preserve">Estimated financial implications for </w:t>
            </w:r>
            <w:r w:rsidR="00B70B9A" w:rsidRPr="00C34CE9">
              <w:rPr>
                <w:b/>
                <w:bCs w:val="0"/>
                <w:szCs w:val="20"/>
              </w:rPr>
              <w:t>other medicines</w:t>
            </w:r>
          </w:p>
        </w:tc>
      </w:tr>
      <w:tr w:rsidR="004D1EA7" w:rsidRPr="009B32D4" w14:paraId="2BA8DA2E" w14:textId="77777777" w:rsidTr="00520295">
        <w:tc>
          <w:tcPr>
            <w:tcW w:w="1288" w:type="pct"/>
            <w:shd w:val="clear" w:color="auto" w:fill="auto"/>
            <w:vAlign w:val="center"/>
          </w:tcPr>
          <w:p w14:paraId="6B02620B" w14:textId="77777777" w:rsidR="004D1EA7" w:rsidRPr="009B32D4" w:rsidRDefault="004D1EA7" w:rsidP="004D1EA7">
            <w:pPr>
              <w:pStyle w:val="TableText0"/>
              <w:rPr>
                <w:szCs w:val="20"/>
              </w:rPr>
            </w:pPr>
            <w:r w:rsidRPr="009B32D4">
              <w:rPr>
                <w:szCs w:val="20"/>
              </w:rPr>
              <w:t>Cost to PBS/RPBS less copayments</w:t>
            </w:r>
          </w:p>
        </w:tc>
        <w:tc>
          <w:tcPr>
            <w:tcW w:w="592" w:type="pct"/>
            <w:tcBorders>
              <w:top w:val="single" w:sz="4" w:space="0" w:color="auto"/>
              <w:bottom w:val="nil"/>
            </w:tcBorders>
            <w:vAlign w:val="center"/>
          </w:tcPr>
          <w:p w14:paraId="55783961" w14:textId="0445920C" w:rsidR="004D1EA7" w:rsidRPr="00520295" w:rsidRDefault="00D07BC0" w:rsidP="004D1EA7">
            <w:pPr>
              <w:pStyle w:val="TableText0"/>
              <w:jc w:val="center"/>
              <w:rPr>
                <w:szCs w:val="20"/>
                <w:highlight w:val="darkGray"/>
              </w:rPr>
            </w:pPr>
            <w:r w:rsidRPr="00D07BC0">
              <w:rPr>
                <w:rFonts w:hint="eastAsia"/>
                <w:color w:val="000000"/>
                <w:w w:val="20"/>
                <w:szCs w:val="20"/>
                <w:shd w:val="solid" w:color="000000" w:fill="000000"/>
                <w:fitText w:val="90" w:id="-1168930547"/>
                <w14:textFill>
                  <w14:solidFill>
                    <w14:srgbClr w14:val="000000">
                      <w14:alpha w14:val="100000"/>
                    </w14:srgbClr>
                  </w14:solidFill>
                </w14:textFill>
              </w:rPr>
              <w:t xml:space="preserve">　</w:t>
            </w:r>
            <w:r w:rsidRPr="00D07BC0">
              <w:rPr>
                <w:color w:val="000000"/>
                <w:w w:val="20"/>
                <w:szCs w:val="20"/>
                <w:shd w:val="solid" w:color="000000" w:fill="000000"/>
                <w:fitText w:val="90" w:id="-1168930547"/>
                <w14:textFill>
                  <w14:solidFill>
                    <w14:srgbClr w14:val="000000">
                      <w14:alpha w14:val="100000"/>
                    </w14:srgbClr>
                  </w14:solidFill>
                </w14:textFill>
              </w:rPr>
              <w:t>|</w:t>
            </w:r>
            <w:r w:rsidRPr="00D07BC0">
              <w:rPr>
                <w:rFonts w:hint="eastAsia"/>
                <w:color w:val="000000"/>
                <w:spacing w:val="3"/>
                <w:w w:val="20"/>
                <w:szCs w:val="20"/>
                <w:shd w:val="solid" w:color="000000" w:fill="000000"/>
                <w:fitText w:val="90" w:id="-1168930547"/>
                <w14:textFill>
                  <w14:solidFill>
                    <w14:srgbClr w14:val="000000">
                      <w14:alpha w14:val="100000"/>
                    </w14:srgbClr>
                  </w14:solidFill>
                </w14:textFill>
              </w:rPr>
              <w:t xml:space="preserve">　</w:t>
            </w:r>
            <w:r w:rsidR="00520295">
              <w:rPr>
                <w:rFonts w:eastAsia="Times New Roman" w:cs="Arial"/>
                <w:iCs/>
                <w:szCs w:val="20"/>
                <w:vertAlign w:val="superscript"/>
              </w:rPr>
              <w:t>12</w:t>
            </w:r>
          </w:p>
        </w:tc>
        <w:tc>
          <w:tcPr>
            <w:tcW w:w="591" w:type="pct"/>
            <w:tcBorders>
              <w:top w:val="single" w:sz="4" w:space="0" w:color="auto"/>
              <w:bottom w:val="nil"/>
            </w:tcBorders>
            <w:vAlign w:val="center"/>
          </w:tcPr>
          <w:p w14:paraId="003E21F9" w14:textId="1AA522AE" w:rsidR="004D1EA7" w:rsidRPr="00520295" w:rsidRDefault="00D07BC0" w:rsidP="004D1EA7">
            <w:pPr>
              <w:pStyle w:val="TableText0"/>
              <w:jc w:val="center"/>
              <w:rPr>
                <w:szCs w:val="20"/>
                <w:highlight w:val="darkGray"/>
              </w:rPr>
            </w:pPr>
            <w:r w:rsidRPr="00D07BC0">
              <w:rPr>
                <w:rFonts w:hint="eastAsia"/>
                <w:color w:val="000000"/>
                <w:w w:val="16"/>
                <w:szCs w:val="20"/>
                <w:shd w:val="solid" w:color="000000" w:fill="000000"/>
                <w:fitText w:val="75" w:id="-1168930546"/>
                <w14:textFill>
                  <w14:solidFill>
                    <w14:srgbClr w14:val="000000">
                      <w14:alpha w14:val="100000"/>
                    </w14:srgbClr>
                  </w14:solidFill>
                </w14:textFill>
              </w:rPr>
              <w:t xml:space="preserve">　</w:t>
            </w:r>
            <w:r w:rsidRPr="00D07BC0">
              <w:rPr>
                <w:color w:val="000000"/>
                <w:w w:val="16"/>
                <w:szCs w:val="20"/>
                <w:shd w:val="solid" w:color="000000" w:fill="000000"/>
                <w:fitText w:val="75" w:id="-1168930546"/>
                <w14:textFill>
                  <w14:solidFill>
                    <w14:srgbClr w14:val="000000">
                      <w14:alpha w14:val="100000"/>
                    </w14:srgbClr>
                  </w14:solidFill>
                </w14:textFill>
              </w:rPr>
              <w:t>|</w:t>
            </w:r>
            <w:r w:rsidRPr="00D07BC0">
              <w:rPr>
                <w:rFonts w:hint="eastAsia"/>
                <w:color w:val="000000"/>
                <w:spacing w:val="5"/>
                <w:w w:val="16"/>
                <w:szCs w:val="20"/>
                <w:shd w:val="solid" w:color="000000" w:fill="000000"/>
                <w:fitText w:val="75" w:id="-1168930546"/>
                <w14:textFill>
                  <w14:solidFill>
                    <w14:srgbClr w14:val="000000">
                      <w14:alpha w14:val="100000"/>
                    </w14:srgbClr>
                  </w14:solidFill>
                </w14:textFill>
              </w:rPr>
              <w:t xml:space="preserve">　</w:t>
            </w:r>
            <w:r w:rsidR="00520295">
              <w:rPr>
                <w:rFonts w:eastAsia="Times New Roman" w:cs="Arial"/>
                <w:iCs/>
                <w:szCs w:val="20"/>
                <w:vertAlign w:val="superscript"/>
              </w:rPr>
              <w:t>12</w:t>
            </w:r>
          </w:p>
        </w:tc>
        <w:tc>
          <w:tcPr>
            <w:tcW w:w="631" w:type="pct"/>
            <w:tcBorders>
              <w:top w:val="single" w:sz="4" w:space="0" w:color="auto"/>
              <w:bottom w:val="nil"/>
            </w:tcBorders>
            <w:vAlign w:val="center"/>
          </w:tcPr>
          <w:p w14:paraId="6AA9F7DD" w14:textId="7B097028"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545"/>
                <w14:textFill>
                  <w14:solidFill>
                    <w14:srgbClr w14:val="000000">
                      <w14:alpha w14:val="100000"/>
                    </w14:srgbClr>
                  </w14:solidFill>
                </w14:textFill>
              </w:rPr>
              <w:t xml:space="preserve">　</w:t>
            </w:r>
            <w:r w:rsidRPr="00D07BC0">
              <w:rPr>
                <w:color w:val="000000"/>
                <w:w w:val="15"/>
                <w:szCs w:val="20"/>
                <w:shd w:val="solid" w:color="000000" w:fill="000000"/>
                <w:fitText w:val="45" w:id="-1168930545"/>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545"/>
                <w14:textFill>
                  <w14:solidFill>
                    <w14:srgbClr w14:val="000000">
                      <w14:alpha w14:val="100000"/>
                    </w14:srgbClr>
                  </w14:solidFill>
                </w14:textFill>
              </w:rPr>
              <w:t xml:space="preserve">　</w:t>
            </w:r>
            <w:r w:rsidR="00520295">
              <w:rPr>
                <w:rFonts w:eastAsia="Times New Roman" w:cs="Arial"/>
                <w:iCs/>
                <w:szCs w:val="20"/>
                <w:vertAlign w:val="superscript"/>
              </w:rPr>
              <w:t>12</w:t>
            </w:r>
          </w:p>
        </w:tc>
        <w:tc>
          <w:tcPr>
            <w:tcW w:w="633" w:type="pct"/>
            <w:tcBorders>
              <w:top w:val="single" w:sz="4" w:space="0" w:color="auto"/>
              <w:bottom w:val="nil"/>
            </w:tcBorders>
            <w:vAlign w:val="center"/>
          </w:tcPr>
          <w:p w14:paraId="1596D226" w14:textId="40DD77BF"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544"/>
                <w14:textFill>
                  <w14:solidFill>
                    <w14:srgbClr w14:val="000000">
                      <w14:alpha w14:val="100000"/>
                    </w14:srgbClr>
                  </w14:solidFill>
                </w14:textFill>
              </w:rPr>
              <w:t xml:space="preserve">　</w:t>
            </w:r>
            <w:r w:rsidRPr="00D07BC0">
              <w:rPr>
                <w:color w:val="000000"/>
                <w:w w:val="15"/>
                <w:szCs w:val="20"/>
                <w:shd w:val="solid" w:color="000000" w:fill="000000"/>
                <w:fitText w:val="45" w:id="-1168930544"/>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544"/>
                <w14:textFill>
                  <w14:solidFill>
                    <w14:srgbClr w14:val="000000">
                      <w14:alpha w14:val="100000"/>
                    </w14:srgbClr>
                  </w14:solidFill>
                </w14:textFill>
              </w:rPr>
              <w:t xml:space="preserve">　</w:t>
            </w:r>
            <w:r w:rsidR="00520295">
              <w:rPr>
                <w:rFonts w:eastAsia="Times New Roman" w:cs="Arial"/>
                <w:iCs/>
                <w:szCs w:val="20"/>
                <w:vertAlign w:val="superscript"/>
              </w:rPr>
              <w:t>12</w:t>
            </w:r>
          </w:p>
        </w:tc>
        <w:tc>
          <w:tcPr>
            <w:tcW w:w="631" w:type="pct"/>
            <w:tcBorders>
              <w:top w:val="single" w:sz="4" w:space="0" w:color="auto"/>
              <w:bottom w:val="nil"/>
            </w:tcBorders>
            <w:vAlign w:val="center"/>
          </w:tcPr>
          <w:p w14:paraId="5608BD24" w14:textId="034E7CA8"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560"/>
                <w14:textFill>
                  <w14:solidFill>
                    <w14:srgbClr w14:val="000000">
                      <w14:alpha w14:val="100000"/>
                    </w14:srgbClr>
                  </w14:solidFill>
                </w14:textFill>
              </w:rPr>
              <w:t xml:space="preserve">　</w:t>
            </w:r>
            <w:r w:rsidRPr="00D07BC0">
              <w:rPr>
                <w:color w:val="000000"/>
                <w:w w:val="15"/>
                <w:szCs w:val="20"/>
                <w:shd w:val="solid" w:color="000000" w:fill="000000"/>
                <w:fitText w:val="45" w:id="-1168930560"/>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560"/>
                <w14:textFill>
                  <w14:solidFill>
                    <w14:srgbClr w14:val="000000">
                      <w14:alpha w14:val="100000"/>
                    </w14:srgbClr>
                  </w14:solidFill>
                </w14:textFill>
              </w:rPr>
              <w:t xml:space="preserve">　</w:t>
            </w:r>
            <w:r w:rsidR="00520295">
              <w:rPr>
                <w:rFonts w:eastAsia="Times New Roman" w:cs="Arial"/>
                <w:iCs/>
                <w:szCs w:val="20"/>
                <w:vertAlign w:val="superscript"/>
              </w:rPr>
              <w:t>12</w:t>
            </w:r>
          </w:p>
        </w:tc>
        <w:tc>
          <w:tcPr>
            <w:tcW w:w="634" w:type="pct"/>
            <w:tcBorders>
              <w:top w:val="single" w:sz="4" w:space="0" w:color="auto"/>
              <w:bottom w:val="nil"/>
            </w:tcBorders>
            <w:vAlign w:val="center"/>
          </w:tcPr>
          <w:p w14:paraId="284CF6E8" w14:textId="6E340B1A"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559"/>
                <w14:textFill>
                  <w14:solidFill>
                    <w14:srgbClr w14:val="000000">
                      <w14:alpha w14:val="100000"/>
                    </w14:srgbClr>
                  </w14:solidFill>
                </w14:textFill>
              </w:rPr>
              <w:t xml:space="preserve">　</w:t>
            </w:r>
            <w:r w:rsidRPr="00D07BC0">
              <w:rPr>
                <w:color w:val="000000"/>
                <w:w w:val="15"/>
                <w:szCs w:val="20"/>
                <w:shd w:val="solid" w:color="000000" w:fill="000000"/>
                <w:fitText w:val="45" w:id="-1168930559"/>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559"/>
                <w14:textFill>
                  <w14:solidFill>
                    <w14:srgbClr w14:val="000000">
                      <w14:alpha w14:val="100000"/>
                    </w14:srgbClr>
                  </w14:solidFill>
                </w14:textFill>
              </w:rPr>
              <w:t xml:space="preserve">　</w:t>
            </w:r>
            <w:r w:rsidR="00520295">
              <w:rPr>
                <w:rFonts w:eastAsia="Times New Roman" w:cs="Arial"/>
                <w:iCs/>
                <w:szCs w:val="20"/>
                <w:vertAlign w:val="superscript"/>
              </w:rPr>
              <w:t>12</w:t>
            </w:r>
          </w:p>
        </w:tc>
      </w:tr>
      <w:tr w:rsidR="004D1EA7" w:rsidRPr="009B32D4" w14:paraId="732D03BE" w14:textId="77777777" w:rsidTr="00520295">
        <w:tc>
          <w:tcPr>
            <w:tcW w:w="5000" w:type="pct"/>
            <w:gridSpan w:val="7"/>
            <w:shd w:val="clear" w:color="auto" w:fill="auto"/>
            <w:vAlign w:val="center"/>
          </w:tcPr>
          <w:p w14:paraId="07C6DD86" w14:textId="77777777" w:rsidR="004D1EA7" w:rsidRPr="009B32D4" w:rsidRDefault="004D1EA7" w:rsidP="004D1EA7">
            <w:pPr>
              <w:pStyle w:val="In-tableHeading"/>
              <w:rPr>
                <w:szCs w:val="20"/>
              </w:rPr>
            </w:pPr>
            <w:r w:rsidRPr="009B32D4">
              <w:rPr>
                <w:szCs w:val="20"/>
              </w:rPr>
              <w:t>Net financial implications</w:t>
            </w:r>
          </w:p>
        </w:tc>
      </w:tr>
      <w:tr w:rsidR="004D1EA7" w:rsidRPr="009B32D4" w14:paraId="441E4F13" w14:textId="77777777" w:rsidTr="00520295">
        <w:tc>
          <w:tcPr>
            <w:tcW w:w="1288" w:type="pct"/>
            <w:shd w:val="clear" w:color="auto" w:fill="auto"/>
            <w:vAlign w:val="center"/>
          </w:tcPr>
          <w:p w14:paraId="20F5745B" w14:textId="77777777" w:rsidR="004D1EA7" w:rsidRPr="009B32D4" w:rsidRDefault="004D1EA7" w:rsidP="004D1EA7">
            <w:pPr>
              <w:pStyle w:val="TableText0"/>
              <w:rPr>
                <w:szCs w:val="20"/>
              </w:rPr>
            </w:pPr>
            <w:r w:rsidRPr="009B32D4">
              <w:rPr>
                <w:szCs w:val="20"/>
              </w:rPr>
              <w:t>Net cost to PBS/RPBS</w:t>
            </w:r>
          </w:p>
        </w:tc>
        <w:tc>
          <w:tcPr>
            <w:tcW w:w="592" w:type="pct"/>
            <w:vAlign w:val="center"/>
          </w:tcPr>
          <w:p w14:paraId="037D82EE" w14:textId="712EC08F" w:rsidR="004D1EA7" w:rsidRPr="00520295" w:rsidRDefault="00D07BC0" w:rsidP="004D1EA7">
            <w:pPr>
              <w:pStyle w:val="TableText0"/>
              <w:jc w:val="center"/>
              <w:rPr>
                <w:szCs w:val="20"/>
                <w:highlight w:val="darkGray"/>
              </w:rPr>
            </w:pPr>
            <w:r w:rsidRPr="00D07BC0">
              <w:rPr>
                <w:rFonts w:hint="eastAsia"/>
                <w:color w:val="000000"/>
                <w:w w:val="20"/>
                <w:szCs w:val="20"/>
                <w:shd w:val="solid" w:color="000000" w:fill="000000"/>
                <w:fitText w:val="90" w:id="-1168930558"/>
                <w14:textFill>
                  <w14:solidFill>
                    <w14:srgbClr w14:val="000000">
                      <w14:alpha w14:val="100000"/>
                    </w14:srgbClr>
                  </w14:solidFill>
                </w14:textFill>
              </w:rPr>
              <w:t xml:space="preserve">　</w:t>
            </w:r>
            <w:r w:rsidRPr="00D07BC0">
              <w:rPr>
                <w:color w:val="000000"/>
                <w:w w:val="20"/>
                <w:szCs w:val="20"/>
                <w:shd w:val="solid" w:color="000000" w:fill="000000"/>
                <w:fitText w:val="90" w:id="-1168930558"/>
                <w14:textFill>
                  <w14:solidFill>
                    <w14:srgbClr w14:val="000000">
                      <w14:alpha w14:val="100000"/>
                    </w14:srgbClr>
                  </w14:solidFill>
                </w14:textFill>
              </w:rPr>
              <w:t>|</w:t>
            </w:r>
            <w:r w:rsidRPr="00D07BC0">
              <w:rPr>
                <w:rFonts w:hint="eastAsia"/>
                <w:color w:val="000000"/>
                <w:spacing w:val="3"/>
                <w:w w:val="20"/>
                <w:szCs w:val="20"/>
                <w:shd w:val="solid" w:color="000000" w:fill="000000"/>
                <w:fitText w:val="90" w:id="-1168930558"/>
                <w14:textFill>
                  <w14:solidFill>
                    <w14:srgbClr w14:val="000000">
                      <w14:alpha w14:val="100000"/>
                    </w14:srgbClr>
                  </w14:solidFill>
                </w14:textFill>
              </w:rPr>
              <w:t xml:space="preserve">　</w:t>
            </w:r>
            <w:r w:rsidR="00520295">
              <w:rPr>
                <w:rFonts w:eastAsia="Times New Roman" w:cs="Arial"/>
                <w:iCs/>
                <w:szCs w:val="20"/>
                <w:vertAlign w:val="superscript"/>
              </w:rPr>
              <w:t>12</w:t>
            </w:r>
          </w:p>
        </w:tc>
        <w:tc>
          <w:tcPr>
            <w:tcW w:w="591" w:type="pct"/>
            <w:vAlign w:val="center"/>
          </w:tcPr>
          <w:p w14:paraId="01149CF6" w14:textId="0EA777EA"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557"/>
                <w14:textFill>
                  <w14:solidFill>
                    <w14:srgbClr w14:val="000000">
                      <w14:alpha w14:val="100000"/>
                    </w14:srgbClr>
                  </w14:solidFill>
                </w14:textFill>
              </w:rPr>
              <w:t xml:space="preserve">　</w:t>
            </w:r>
            <w:r w:rsidRPr="00D07BC0">
              <w:rPr>
                <w:color w:val="000000"/>
                <w:w w:val="15"/>
                <w:szCs w:val="20"/>
                <w:shd w:val="solid" w:color="000000" w:fill="000000"/>
                <w:fitText w:val="45" w:id="-1168930557"/>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557"/>
                <w14:textFill>
                  <w14:solidFill>
                    <w14:srgbClr w14:val="000000">
                      <w14:alpha w14:val="100000"/>
                    </w14:srgbClr>
                  </w14:solidFill>
                </w14:textFill>
              </w:rPr>
              <w:t xml:space="preserve">　</w:t>
            </w:r>
            <w:r w:rsidR="00520295">
              <w:rPr>
                <w:rFonts w:eastAsia="Times New Roman" w:cs="Arial"/>
                <w:iCs/>
                <w:szCs w:val="20"/>
                <w:vertAlign w:val="superscript"/>
              </w:rPr>
              <w:t>6</w:t>
            </w:r>
          </w:p>
        </w:tc>
        <w:tc>
          <w:tcPr>
            <w:tcW w:w="631" w:type="pct"/>
            <w:vAlign w:val="center"/>
          </w:tcPr>
          <w:p w14:paraId="0ED63B33" w14:textId="0C852774"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304"/>
                <w14:textFill>
                  <w14:solidFill>
                    <w14:srgbClr w14:val="000000">
                      <w14:alpha w14:val="100000"/>
                    </w14:srgbClr>
                  </w14:solidFill>
                </w14:textFill>
              </w:rPr>
              <w:t xml:space="preserve">　</w:t>
            </w:r>
            <w:r w:rsidRPr="00A234BA">
              <w:rPr>
                <w:color w:val="000000"/>
                <w:w w:val="15"/>
                <w:szCs w:val="20"/>
                <w:shd w:val="solid" w:color="000000" w:fill="000000"/>
                <w:fitText w:val="15" w:id="-1168930304"/>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304"/>
                <w14:textFill>
                  <w14:solidFill>
                    <w14:srgbClr w14:val="000000">
                      <w14:alpha w14:val="100000"/>
                    </w14:srgbClr>
                  </w14:solidFill>
                </w14:textFill>
              </w:rPr>
              <w:t xml:space="preserve">　</w:t>
            </w:r>
            <w:r w:rsidR="00520295">
              <w:rPr>
                <w:rFonts w:eastAsia="Times New Roman" w:cs="Arial"/>
                <w:iCs/>
                <w:szCs w:val="20"/>
                <w:vertAlign w:val="superscript"/>
              </w:rPr>
              <w:t>7</w:t>
            </w:r>
          </w:p>
        </w:tc>
        <w:tc>
          <w:tcPr>
            <w:tcW w:w="633" w:type="pct"/>
            <w:vAlign w:val="center"/>
          </w:tcPr>
          <w:p w14:paraId="4BA9BEFD" w14:textId="3D8A4ED4"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303"/>
                <w14:textFill>
                  <w14:solidFill>
                    <w14:srgbClr w14:val="000000">
                      <w14:alpha w14:val="100000"/>
                    </w14:srgbClr>
                  </w14:solidFill>
                </w14:textFill>
              </w:rPr>
              <w:t xml:space="preserve">　</w:t>
            </w:r>
            <w:r w:rsidRPr="00A234BA">
              <w:rPr>
                <w:color w:val="000000"/>
                <w:w w:val="15"/>
                <w:szCs w:val="20"/>
                <w:shd w:val="solid" w:color="000000" w:fill="000000"/>
                <w:fitText w:val="15" w:id="-1168930303"/>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303"/>
                <w14:textFill>
                  <w14:solidFill>
                    <w14:srgbClr w14:val="000000">
                      <w14:alpha w14:val="100000"/>
                    </w14:srgbClr>
                  </w14:solidFill>
                </w14:textFill>
              </w:rPr>
              <w:t xml:space="preserve">　</w:t>
            </w:r>
            <w:r w:rsidR="00520295">
              <w:rPr>
                <w:rFonts w:eastAsia="Times New Roman" w:cs="Arial"/>
                <w:iCs/>
                <w:szCs w:val="20"/>
                <w:vertAlign w:val="superscript"/>
              </w:rPr>
              <w:t>7</w:t>
            </w:r>
          </w:p>
        </w:tc>
        <w:tc>
          <w:tcPr>
            <w:tcW w:w="631" w:type="pct"/>
            <w:vAlign w:val="center"/>
          </w:tcPr>
          <w:p w14:paraId="4A10BC60" w14:textId="3B0EC860"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302"/>
                <w14:textFill>
                  <w14:solidFill>
                    <w14:srgbClr w14:val="000000">
                      <w14:alpha w14:val="100000"/>
                    </w14:srgbClr>
                  </w14:solidFill>
                </w14:textFill>
              </w:rPr>
              <w:t xml:space="preserve">　</w:t>
            </w:r>
            <w:r w:rsidRPr="00A234BA">
              <w:rPr>
                <w:color w:val="000000"/>
                <w:w w:val="15"/>
                <w:szCs w:val="20"/>
                <w:shd w:val="solid" w:color="000000" w:fill="000000"/>
                <w:fitText w:val="15" w:id="-1168930302"/>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302"/>
                <w14:textFill>
                  <w14:solidFill>
                    <w14:srgbClr w14:val="000000">
                      <w14:alpha w14:val="100000"/>
                    </w14:srgbClr>
                  </w14:solidFill>
                </w14:textFill>
              </w:rPr>
              <w:t xml:space="preserve">　</w:t>
            </w:r>
            <w:r w:rsidR="00520295">
              <w:rPr>
                <w:rFonts w:eastAsia="Times New Roman" w:cs="Arial"/>
                <w:iCs/>
                <w:szCs w:val="20"/>
                <w:vertAlign w:val="superscript"/>
              </w:rPr>
              <w:t>8</w:t>
            </w:r>
          </w:p>
        </w:tc>
        <w:tc>
          <w:tcPr>
            <w:tcW w:w="634" w:type="pct"/>
            <w:vAlign w:val="center"/>
          </w:tcPr>
          <w:p w14:paraId="7F17838A" w14:textId="7EE12204"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301"/>
                <w14:textFill>
                  <w14:solidFill>
                    <w14:srgbClr w14:val="000000">
                      <w14:alpha w14:val="100000"/>
                    </w14:srgbClr>
                  </w14:solidFill>
                </w14:textFill>
              </w:rPr>
              <w:t xml:space="preserve">　</w:t>
            </w:r>
            <w:r w:rsidRPr="00A234BA">
              <w:rPr>
                <w:color w:val="000000"/>
                <w:w w:val="15"/>
                <w:szCs w:val="20"/>
                <w:shd w:val="solid" w:color="000000" w:fill="000000"/>
                <w:fitText w:val="15" w:id="-1168930301"/>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301"/>
                <w14:textFill>
                  <w14:solidFill>
                    <w14:srgbClr w14:val="000000">
                      <w14:alpha w14:val="100000"/>
                    </w14:srgbClr>
                  </w14:solidFill>
                </w14:textFill>
              </w:rPr>
              <w:t xml:space="preserve">　</w:t>
            </w:r>
            <w:r w:rsidR="00520295">
              <w:rPr>
                <w:rFonts w:eastAsia="Times New Roman" w:cs="Arial"/>
                <w:iCs/>
                <w:szCs w:val="20"/>
                <w:vertAlign w:val="superscript"/>
              </w:rPr>
              <w:t>8</w:t>
            </w:r>
          </w:p>
        </w:tc>
      </w:tr>
      <w:tr w:rsidR="004D1EA7" w:rsidRPr="009B32D4" w14:paraId="7EB74E26" w14:textId="77777777" w:rsidTr="00520295">
        <w:tc>
          <w:tcPr>
            <w:tcW w:w="1288" w:type="pct"/>
            <w:shd w:val="clear" w:color="auto" w:fill="auto"/>
            <w:vAlign w:val="center"/>
          </w:tcPr>
          <w:p w14:paraId="59CC752D" w14:textId="77777777" w:rsidR="004D1EA7" w:rsidRPr="009B32D4" w:rsidRDefault="004D1EA7" w:rsidP="004D1EA7">
            <w:pPr>
              <w:pStyle w:val="TableText0"/>
              <w:rPr>
                <w:rFonts w:ascii="Times" w:hAnsi="Times"/>
                <w:szCs w:val="20"/>
              </w:rPr>
            </w:pPr>
            <w:r w:rsidRPr="009B32D4">
              <w:rPr>
                <w:szCs w:val="20"/>
              </w:rPr>
              <w:t>Net cost to MBS</w:t>
            </w:r>
          </w:p>
        </w:tc>
        <w:tc>
          <w:tcPr>
            <w:tcW w:w="592" w:type="pct"/>
            <w:tcBorders>
              <w:top w:val="single" w:sz="4" w:space="0" w:color="auto"/>
            </w:tcBorders>
            <w:vAlign w:val="center"/>
          </w:tcPr>
          <w:p w14:paraId="13B8210F" w14:textId="75317F6A"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60" w:id="-1168930300"/>
                <w14:textFill>
                  <w14:solidFill>
                    <w14:srgbClr w14:val="000000">
                      <w14:alpha w14:val="100000"/>
                    </w14:srgbClr>
                  </w14:solidFill>
                </w14:textFill>
              </w:rPr>
              <w:t xml:space="preserve">　</w:t>
            </w:r>
            <w:r w:rsidRPr="00D07BC0">
              <w:rPr>
                <w:color w:val="000000"/>
                <w:w w:val="15"/>
                <w:szCs w:val="20"/>
                <w:shd w:val="solid" w:color="000000" w:fill="000000"/>
                <w:fitText w:val="60" w:id="-1168930300"/>
                <w14:textFill>
                  <w14:solidFill>
                    <w14:srgbClr w14:val="000000">
                      <w14:alpha w14:val="100000"/>
                    </w14:srgbClr>
                  </w14:solidFill>
                </w14:textFill>
              </w:rPr>
              <w:t>|</w:t>
            </w:r>
            <w:r w:rsidRPr="00D07BC0">
              <w:rPr>
                <w:rFonts w:hint="eastAsia"/>
                <w:color w:val="000000"/>
                <w:spacing w:val="-15"/>
                <w:w w:val="15"/>
                <w:szCs w:val="20"/>
                <w:shd w:val="solid" w:color="000000" w:fill="000000"/>
                <w:fitText w:val="60" w:id="-1168930300"/>
                <w14:textFill>
                  <w14:solidFill>
                    <w14:srgbClr w14:val="000000">
                      <w14:alpha w14:val="100000"/>
                    </w14:srgbClr>
                  </w14:solidFill>
                </w14:textFill>
              </w:rPr>
              <w:t xml:space="preserve">　</w:t>
            </w:r>
            <w:r w:rsidR="00520295">
              <w:rPr>
                <w:rFonts w:eastAsia="Times New Roman" w:cs="Arial"/>
                <w:iCs/>
                <w:szCs w:val="20"/>
                <w:vertAlign w:val="superscript"/>
              </w:rPr>
              <w:t>6</w:t>
            </w:r>
          </w:p>
        </w:tc>
        <w:tc>
          <w:tcPr>
            <w:tcW w:w="591" w:type="pct"/>
            <w:tcBorders>
              <w:top w:val="single" w:sz="4" w:space="0" w:color="auto"/>
            </w:tcBorders>
            <w:vAlign w:val="center"/>
          </w:tcPr>
          <w:p w14:paraId="19D8EA88" w14:textId="522A26DF"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299"/>
                <w14:textFill>
                  <w14:solidFill>
                    <w14:srgbClr w14:val="000000">
                      <w14:alpha w14:val="100000"/>
                    </w14:srgbClr>
                  </w14:solidFill>
                </w14:textFill>
              </w:rPr>
              <w:t xml:space="preserve">　</w:t>
            </w:r>
            <w:r w:rsidRPr="00D07BC0">
              <w:rPr>
                <w:color w:val="000000"/>
                <w:w w:val="15"/>
                <w:szCs w:val="20"/>
                <w:shd w:val="solid" w:color="000000" w:fill="000000"/>
                <w:fitText w:val="45" w:id="-1168930299"/>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299"/>
                <w14:textFill>
                  <w14:solidFill>
                    <w14:srgbClr w14:val="000000">
                      <w14:alpha w14:val="100000"/>
                    </w14:srgbClr>
                  </w14:solidFill>
                </w14:textFill>
              </w:rPr>
              <w:t xml:space="preserve">　</w:t>
            </w:r>
            <w:r w:rsidR="00520295">
              <w:rPr>
                <w:rFonts w:eastAsia="Times New Roman" w:cs="Arial"/>
                <w:iCs/>
                <w:szCs w:val="20"/>
                <w:vertAlign w:val="superscript"/>
              </w:rPr>
              <w:t>6</w:t>
            </w:r>
          </w:p>
        </w:tc>
        <w:tc>
          <w:tcPr>
            <w:tcW w:w="631" w:type="pct"/>
            <w:tcBorders>
              <w:top w:val="single" w:sz="4" w:space="0" w:color="auto"/>
            </w:tcBorders>
            <w:vAlign w:val="center"/>
          </w:tcPr>
          <w:p w14:paraId="31AA3215" w14:textId="68B1A398"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298"/>
                <w14:textFill>
                  <w14:solidFill>
                    <w14:srgbClr w14:val="000000">
                      <w14:alpha w14:val="100000"/>
                    </w14:srgbClr>
                  </w14:solidFill>
                </w14:textFill>
              </w:rPr>
              <w:t xml:space="preserve">　</w:t>
            </w:r>
            <w:r w:rsidRPr="00A234BA">
              <w:rPr>
                <w:color w:val="000000"/>
                <w:w w:val="15"/>
                <w:szCs w:val="20"/>
                <w:shd w:val="solid" w:color="000000" w:fill="000000"/>
                <w:fitText w:val="15" w:id="-1168930298"/>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298"/>
                <w14:textFill>
                  <w14:solidFill>
                    <w14:srgbClr w14:val="000000">
                      <w14:alpha w14:val="100000"/>
                    </w14:srgbClr>
                  </w14:solidFill>
                </w14:textFill>
              </w:rPr>
              <w:t xml:space="preserve">　</w:t>
            </w:r>
            <w:r w:rsidR="00520295">
              <w:rPr>
                <w:rFonts w:eastAsia="Times New Roman" w:cs="Arial"/>
                <w:iCs/>
                <w:szCs w:val="20"/>
                <w:vertAlign w:val="superscript"/>
              </w:rPr>
              <w:t>6</w:t>
            </w:r>
          </w:p>
        </w:tc>
        <w:tc>
          <w:tcPr>
            <w:tcW w:w="633" w:type="pct"/>
            <w:tcBorders>
              <w:top w:val="single" w:sz="4" w:space="0" w:color="auto"/>
            </w:tcBorders>
            <w:vAlign w:val="center"/>
          </w:tcPr>
          <w:p w14:paraId="69501ED3" w14:textId="385C868C"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297"/>
                <w14:textFill>
                  <w14:solidFill>
                    <w14:srgbClr w14:val="000000">
                      <w14:alpha w14:val="100000"/>
                    </w14:srgbClr>
                  </w14:solidFill>
                </w14:textFill>
              </w:rPr>
              <w:t xml:space="preserve">　</w:t>
            </w:r>
            <w:r w:rsidRPr="00A234BA">
              <w:rPr>
                <w:color w:val="000000"/>
                <w:w w:val="15"/>
                <w:szCs w:val="20"/>
                <w:shd w:val="solid" w:color="000000" w:fill="000000"/>
                <w:fitText w:val="15" w:id="-1168930297"/>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297"/>
                <w14:textFill>
                  <w14:solidFill>
                    <w14:srgbClr w14:val="000000">
                      <w14:alpha w14:val="100000"/>
                    </w14:srgbClr>
                  </w14:solidFill>
                </w14:textFill>
              </w:rPr>
              <w:t xml:space="preserve">　</w:t>
            </w:r>
            <w:r w:rsidR="00520295">
              <w:rPr>
                <w:rFonts w:eastAsia="Times New Roman" w:cs="Arial"/>
                <w:iCs/>
                <w:szCs w:val="20"/>
                <w:vertAlign w:val="superscript"/>
              </w:rPr>
              <w:t>6</w:t>
            </w:r>
          </w:p>
        </w:tc>
        <w:tc>
          <w:tcPr>
            <w:tcW w:w="631" w:type="pct"/>
            <w:tcBorders>
              <w:top w:val="single" w:sz="4" w:space="0" w:color="auto"/>
            </w:tcBorders>
            <w:vAlign w:val="center"/>
          </w:tcPr>
          <w:p w14:paraId="41BB84A1" w14:textId="13D13F67"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296"/>
                <w14:textFill>
                  <w14:solidFill>
                    <w14:srgbClr w14:val="000000">
                      <w14:alpha w14:val="100000"/>
                    </w14:srgbClr>
                  </w14:solidFill>
                </w14:textFill>
              </w:rPr>
              <w:t xml:space="preserve">　</w:t>
            </w:r>
            <w:r w:rsidRPr="00A234BA">
              <w:rPr>
                <w:color w:val="000000"/>
                <w:w w:val="15"/>
                <w:szCs w:val="20"/>
                <w:shd w:val="solid" w:color="000000" w:fill="000000"/>
                <w:fitText w:val="15" w:id="-1168930296"/>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296"/>
                <w14:textFill>
                  <w14:solidFill>
                    <w14:srgbClr w14:val="000000">
                      <w14:alpha w14:val="100000"/>
                    </w14:srgbClr>
                  </w14:solidFill>
                </w14:textFill>
              </w:rPr>
              <w:t xml:space="preserve">　</w:t>
            </w:r>
            <w:r w:rsidR="00520295">
              <w:rPr>
                <w:rFonts w:eastAsia="Times New Roman" w:cs="Arial"/>
                <w:iCs/>
                <w:szCs w:val="20"/>
                <w:vertAlign w:val="superscript"/>
              </w:rPr>
              <w:t>6</w:t>
            </w:r>
          </w:p>
        </w:tc>
        <w:tc>
          <w:tcPr>
            <w:tcW w:w="634" w:type="pct"/>
            <w:tcBorders>
              <w:top w:val="single" w:sz="4" w:space="0" w:color="auto"/>
            </w:tcBorders>
            <w:vAlign w:val="center"/>
          </w:tcPr>
          <w:p w14:paraId="51DBF79E" w14:textId="0C9897CF"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295"/>
                <w14:textFill>
                  <w14:solidFill>
                    <w14:srgbClr w14:val="000000">
                      <w14:alpha w14:val="100000"/>
                    </w14:srgbClr>
                  </w14:solidFill>
                </w14:textFill>
              </w:rPr>
              <w:t xml:space="preserve">　</w:t>
            </w:r>
            <w:r w:rsidRPr="00A234BA">
              <w:rPr>
                <w:color w:val="000000"/>
                <w:w w:val="15"/>
                <w:szCs w:val="20"/>
                <w:shd w:val="solid" w:color="000000" w:fill="000000"/>
                <w:fitText w:val="15" w:id="-1168930295"/>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295"/>
                <w14:textFill>
                  <w14:solidFill>
                    <w14:srgbClr w14:val="000000">
                      <w14:alpha w14:val="100000"/>
                    </w14:srgbClr>
                  </w14:solidFill>
                </w14:textFill>
              </w:rPr>
              <w:t xml:space="preserve">　</w:t>
            </w:r>
            <w:r w:rsidR="00520295">
              <w:rPr>
                <w:rFonts w:eastAsia="Times New Roman" w:cs="Arial"/>
                <w:iCs/>
                <w:szCs w:val="20"/>
                <w:vertAlign w:val="superscript"/>
              </w:rPr>
              <w:t>6</w:t>
            </w:r>
          </w:p>
        </w:tc>
      </w:tr>
      <w:tr w:rsidR="004D1EA7" w:rsidRPr="009B32D4" w14:paraId="37BE190A" w14:textId="77777777" w:rsidTr="00520295">
        <w:tc>
          <w:tcPr>
            <w:tcW w:w="1288" w:type="pct"/>
            <w:shd w:val="clear" w:color="auto" w:fill="auto"/>
            <w:vAlign w:val="center"/>
          </w:tcPr>
          <w:p w14:paraId="593DFB45" w14:textId="77777777" w:rsidR="004D1EA7" w:rsidRPr="009B32D4" w:rsidRDefault="004D1EA7" w:rsidP="004D1EA7">
            <w:pPr>
              <w:pStyle w:val="TableText0"/>
              <w:rPr>
                <w:szCs w:val="20"/>
              </w:rPr>
            </w:pPr>
            <w:r w:rsidRPr="009B32D4">
              <w:rPr>
                <w:szCs w:val="20"/>
              </w:rPr>
              <w:t>Net cost to PBS/RPBS/MBS</w:t>
            </w:r>
          </w:p>
        </w:tc>
        <w:tc>
          <w:tcPr>
            <w:tcW w:w="592" w:type="pct"/>
            <w:vAlign w:val="center"/>
          </w:tcPr>
          <w:p w14:paraId="39DD5C76" w14:textId="4204D286" w:rsidR="004D1EA7" w:rsidRPr="00520295" w:rsidRDefault="00D07BC0" w:rsidP="004D1EA7">
            <w:pPr>
              <w:pStyle w:val="TableText0"/>
              <w:jc w:val="center"/>
              <w:rPr>
                <w:szCs w:val="20"/>
                <w:highlight w:val="darkGray"/>
              </w:rPr>
            </w:pPr>
            <w:r w:rsidRPr="00D07BC0">
              <w:rPr>
                <w:rFonts w:hint="eastAsia"/>
                <w:color w:val="000000"/>
                <w:w w:val="20"/>
                <w:szCs w:val="20"/>
                <w:shd w:val="solid" w:color="000000" w:fill="000000"/>
                <w:fitText w:val="90" w:id="-1168930294"/>
                <w14:textFill>
                  <w14:solidFill>
                    <w14:srgbClr w14:val="000000">
                      <w14:alpha w14:val="100000"/>
                    </w14:srgbClr>
                  </w14:solidFill>
                </w14:textFill>
              </w:rPr>
              <w:t xml:space="preserve">　</w:t>
            </w:r>
            <w:r w:rsidRPr="00D07BC0">
              <w:rPr>
                <w:color w:val="000000"/>
                <w:w w:val="20"/>
                <w:szCs w:val="20"/>
                <w:shd w:val="solid" w:color="000000" w:fill="000000"/>
                <w:fitText w:val="90" w:id="-1168930294"/>
                <w14:textFill>
                  <w14:solidFill>
                    <w14:srgbClr w14:val="000000">
                      <w14:alpha w14:val="100000"/>
                    </w14:srgbClr>
                  </w14:solidFill>
                </w14:textFill>
              </w:rPr>
              <w:t>|</w:t>
            </w:r>
            <w:r w:rsidRPr="00D07BC0">
              <w:rPr>
                <w:rFonts w:hint="eastAsia"/>
                <w:color w:val="000000"/>
                <w:spacing w:val="3"/>
                <w:w w:val="20"/>
                <w:szCs w:val="20"/>
                <w:shd w:val="solid" w:color="000000" w:fill="000000"/>
                <w:fitText w:val="90" w:id="-1168930294"/>
                <w14:textFill>
                  <w14:solidFill>
                    <w14:srgbClr w14:val="000000">
                      <w14:alpha w14:val="100000"/>
                    </w14:srgbClr>
                  </w14:solidFill>
                </w14:textFill>
              </w:rPr>
              <w:t xml:space="preserve">　</w:t>
            </w:r>
            <w:r w:rsidR="00520295">
              <w:rPr>
                <w:rFonts w:eastAsia="Times New Roman" w:cs="Arial"/>
                <w:iCs/>
                <w:szCs w:val="20"/>
                <w:vertAlign w:val="superscript"/>
              </w:rPr>
              <w:t>12</w:t>
            </w:r>
          </w:p>
        </w:tc>
        <w:tc>
          <w:tcPr>
            <w:tcW w:w="591" w:type="pct"/>
            <w:vAlign w:val="center"/>
          </w:tcPr>
          <w:p w14:paraId="7C30DEE6" w14:textId="07FD3CC4" w:rsidR="004D1EA7" w:rsidRPr="00520295" w:rsidRDefault="00D07BC0" w:rsidP="004D1EA7">
            <w:pPr>
              <w:pStyle w:val="TableText0"/>
              <w:jc w:val="center"/>
              <w:rPr>
                <w:szCs w:val="20"/>
                <w:highlight w:val="darkGray"/>
              </w:rPr>
            </w:pPr>
            <w:r w:rsidRPr="00D07BC0">
              <w:rPr>
                <w:rFonts w:hint="eastAsia"/>
                <w:color w:val="000000"/>
                <w:w w:val="15"/>
                <w:szCs w:val="20"/>
                <w:shd w:val="solid" w:color="000000" w:fill="000000"/>
                <w:fitText w:val="45" w:id="-1168930293"/>
                <w14:textFill>
                  <w14:solidFill>
                    <w14:srgbClr w14:val="000000">
                      <w14:alpha w14:val="100000"/>
                    </w14:srgbClr>
                  </w14:solidFill>
                </w14:textFill>
              </w:rPr>
              <w:t xml:space="preserve">　</w:t>
            </w:r>
            <w:r w:rsidRPr="00D07BC0">
              <w:rPr>
                <w:color w:val="000000"/>
                <w:w w:val="15"/>
                <w:szCs w:val="20"/>
                <w:shd w:val="solid" w:color="000000" w:fill="000000"/>
                <w:fitText w:val="45" w:id="-1168930293"/>
                <w14:textFill>
                  <w14:solidFill>
                    <w14:srgbClr w14:val="000000">
                      <w14:alpha w14:val="100000"/>
                    </w14:srgbClr>
                  </w14:solidFill>
                </w14:textFill>
              </w:rPr>
              <w:t>|</w:t>
            </w:r>
            <w:r w:rsidRPr="00D07BC0">
              <w:rPr>
                <w:rFonts w:hint="eastAsia"/>
                <w:color w:val="000000"/>
                <w:spacing w:val="-30"/>
                <w:w w:val="15"/>
                <w:szCs w:val="20"/>
                <w:shd w:val="solid" w:color="000000" w:fill="000000"/>
                <w:fitText w:val="45" w:id="-1168930293"/>
                <w14:textFill>
                  <w14:solidFill>
                    <w14:srgbClr w14:val="000000">
                      <w14:alpha w14:val="100000"/>
                    </w14:srgbClr>
                  </w14:solidFill>
                </w14:textFill>
              </w:rPr>
              <w:t xml:space="preserve">　</w:t>
            </w:r>
            <w:r w:rsidR="00F945D0">
              <w:rPr>
                <w:rFonts w:eastAsia="Times New Roman" w:cs="Arial"/>
                <w:iCs/>
                <w:szCs w:val="20"/>
                <w:vertAlign w:val="superscript"/>
              </w:rPr>
              <w:t>6</w:t>
            </w:r>
          </w:p>
        </w:tc>
        <w:tc>
          <w:tcPr>
            <w:tcW w:w="631" w:type="pct"/>
            <w:vAlign w:val="center"/>
          </w:tcPr>
          <w:p w14:paraId="79E41B0E" w14:textId="51C85ECC"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292"/>
                <w14:textFill>
                  <w14:solidFill>
                    <w14:srgbClr w14:val="000000">
                      <w14:alpha w14:val="100000"/>
                    </w14:srgbClr>
                  </w14:solidFill>
                </w14:textFill>
              </w:rPr>
              <w:t xml:space="preserve">　</w:t>
            </w:r>
            <w:r w:rsidRPr="00A234BA">
              <w:rPr>
                <w:color w:val="000000"/>
                <w:w w:val="15"/>
                <w:szCs w:val="20"/>
                <w:shd w:val="solid" w:color="000000" w:fill="000000"/>
                <w:fitText w:val="15" w:id="-1168930292"/>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292"/>
                <w14:textFill>
                  <w14:solidFill>
                    <w14:srgbClr w14:val="000000">
                      <w14:alpha w14:val="100000"/>
                    </w14:srgbClr>
                  </w14:solidFill>
                </w14:textFill>
              </w:rPr>
              <w:t xml:space="preserve">　</w:t>
            </w:r>
            <w:r w:rsidR="00520295">
              <w:rPr>
                <w:rFonts w:eastAsia="Times New Roman" w:cs="Arial"/>
                <w:iCs/>
                <w:szCs w:val="20"/>
                <w:vertAlign w:val="superscript"/>
              </w:rPr>
              <w:t>7</w:t>
            </w:r>
          </w:p>
        </w:tc>
        <w:tc>
          <w:tcPr>
            <w:tcW w:w="633" w:type="pct"/>
            <w:vAlign w:val="center"/>
          </w:tcPr>
          <w:p w14:paraId="3EEEF1E1" w14:textId="7BE1A490"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291"/>
                <w14:textFill>
                  <w14:solidFill>
                    <w14:srgbClr w14:val="000000">
                      <w14:alpha w14:val="100000"/>
                    </w14:srgbClr>
                  </w14:solidFill>
                </w14:textFill>
              </w:rPr>
              <w:t xml:space="preserve">　</w:t>
            </w:r>
            <w:r w:rsidRPr="00A234BA">
              <w:rPr>
                <w:color w:val="000000"/>
                <w:w w:val="15"/>
                <w:szCs w:val="20"/>
                <w:shd w:val="solid" w:color="000000" w:fill="000000"/>
                <w:fitText w:val="15" w:id="-1168930291"/>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291"/>
                <w14:textFill>
                  <w14:solidFill>
                    <w14:srgbClr w14:val="000000">
                      <w14:alpha w14:val="100000"/>
                    </w14:srgbClr>
                  </w14:solidFill>
                </w14:textFill>
              </w:rPr>
              <w:t xml:space="preserve">　</w:t>
            </w:r>
            <w:r w:rsidR="00520295">
              <w:rPr>
                <w:rFonts w:eastAsia="Times New Roman" w:cs="Arial"/>
                <w:iCs/>
                <w:szCs w:val="20"/>
                <w:vertAlign w:val="superscript"/>
              </w:rPr>
              <w:t>7</w:t>
            </w:r>
          </w:p>
        </w:tc>
        <w:tc>
          <w:tcPr>
            <w:tcW w:w="631" w:type="pct"/>
            <w:vAlign w:val="center"/>
          </w:tcPr>
          <w:p w14:paraId="6FC22013" w14:textId="4860D151"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290"/>
                <w14:textFill>
                  <w14:solidFill>
                    <w14:srgbClr w14:val="000000">
                      <w14:alpha w14:val="100000"/>
                    </w14:srgbClr>
                  </w14:solidFill>
                </w14:textFill>
              </w:rPr>
              <w:t xml:space="preserve">　</w:t>
            </w:r>
            <w:r w:rsidRPr="00A234BA">
              <w:rPr>
                <w:color w:val="000000"/>
                <w:w w:val="15"/>
                <w:szCs w:val="20"/>
                <w:shd w:val="solid" w:color="000000" w:fill="000000"/>
                <w:fitText w:val="15" w:id="-1168930290"/>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290"/>
                <w14:textFill>
                  <w14:solidFill>
                    <w14:srgbClr w14:val="000000">
                      <w14:alpha w14:val="100000"/>
                    </w14:srgbClr>
                  </w14:solidFill>
                </w14:textFill>
              </w:rPr>
              <w:t xml:space="preserve">　</w:t>
            </w:r>
            <w:r w:rsidR="00520295">
              <w:rPr>
                <w:rFonts w:eastAsia="Times New Roman" w:cs="Arial"/>
                <w:iCs/>
                <w:szCs w:val="20"/>
                <w:vertAlign w:val="superscript"/>
              </w:rPr>
              <w:t>8</w:t>
            </w:r>
          </w:p>
        </w:tc>
        <w:tc>
          <w:tcPr>
            <w:tcW w:w="634" w:type="pct"/>
            <w:vAlign w:val="center"/>
          </w:tcPr>
          <w:p w14:paraId="055562DB" w14:textId="76E2E05D" w:rsidR="004D1EA7" w:rsidRPr="00520295" w:rsidRDefault="00D07BC0" w:rsidP="004D1EA7">
            <w:pPr>
              <w:pStyle w:val="TableText0"/>
              <w:jc w:val="center"/>
              <w:rPr>
                <w:szCs w:val="20"/>
                <w:highlight w:val="darkGray"/>
              </w:rPr>
            </w:pPr>
            <w:r w:rsidRPr="00A234BA">
              <w:rPr>
                <w:rFonts w:hint="eastAsia"/>
                <w:color w:val="000000"/>
                <w:w w:val="15"/>
                <w:szCs w:val="20"/>
                <w:shd w:val="solid" w:color="000000" w:fill="000000"/>
                <w:fitText w:val="15" w:id="-1168930289"/>
                <w14:textFill>
                  <w14:solidFill>
                    <w14:srgbClr w14:val="000000">
                      <w14:alpha w14:val="100000"/>
                    </w14:srgbClr>
                  </w14:solidFill>
                </w14:textFill>
              </w:rPr>
              <w:t xml:space="preserve">　</w:t>
            </w:r>
            <w:r w:rsidRPr="00A234BA">
              <w:rPr>
                <w:color w:val="000000"/>
                <w:w w:val="15"/>
                <w:szCs w:val="20"/>
                <w:shd w:val="solid" w:color="000000" w:fill="000000"/>
                <w:fitText w:val="15" w:id="-1168930289"/>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289"/>
                <w14:textFill>
                  <w14:solidFill>
                    <w14:srgbClr w14:val="000000">
                      <w14:alpha w14:val="100000"/>
                    </w14:srgbClr>
                  </w14:solidFill>
                </w14:textFill>
              </w:rPr>
              <w:t xml:space="preserve">　</w:t>
            </w:r>
            <w:r w:rsidR="00520295">
              <w:rPr>
                <w:rFonts w:eastAsia="Times New Roman" w:cs="Arial"/>
                <w:iCs/>
                <w:szCs w:val="20"/>
                <w:vertAlign w:val="superscript"/>
              </w:rPr>
              <w:t>8</w:t>
            </w:r>
          </w:p>
        </w:tc>
      </w:tr>
    </w:tbl>
    <w:p w14:paraId="12D3784A" w14:textId="77777777" w:rsidR="004D1EA7" w:rsidRPr="00A65EA8" w:rsidRDefault="004D1EA7" w:rsidP="004D1EA7">
      <w:pPr>
        <w:rPr>
          <w:rFonts w:ascii="Arial Narrow" w:hAnsi="Arial Narrow"/>
          <w:sz w:val="18"/>
          <w:szCs w:val="18"/>
        </w:rPr>
      </w:pPr>
      <w:r w:rsidRPr="00A65EA8">
        <w:rPr>
          <w:rFonts w:ascii="Arial Narrow" w:hAnsi="Arial Narrow"/>
          <w:sz w:val="18"/>
          <w:szCs w:val="18"/>
        </w:rPr>
        <w:t>Source: Tables 131-135, pp. 266-270 of the submission.</w:t>
      </w:r>
    </w:p>
    <w:p w14:paraId="7A0CA10D" w14:textId="08A1478A" w:rsidR="00295CF6" w:rsidRPr="00486398" w:rsidRDefault="00295CF6" w:rsidP="00486398">
      <w:pPr>
        <w:pStyle w:val="FooterTableFigure"/>
        <w:ind w:left="165" w:hanging="165"/>
        <w:rPr>
          <w:szCs w:val="18"/>
        </w:rPr>
      </w:pPr>
      <w:r>
        <w:rPr>
          <w:szCs w:val="18"/>
          <w:vertAlign w:val="superscript"/>
        </w:rPr>
        <w:t>*</w:t>
      </w:r>
      <w:r>
        <w:rPr>
          <w:szCs w:val="18"/>
          <w:vertAlign w:val="superscript"/>
        </w:rPr>
        <w:tab/>
      </w:r>
      <w:r w:rsidR="00486398">
        <w:rPr>
          <w:szCs w:val="18"/>
        </w:rPr>
        <w:t>The estimates presented in the table correspond to the estimates presented in the submission, without correcting any errors identified during the evaluation</w:t>
      </w:r>
    </w:p>
    <w:p w14:paraId="55BA78B0" w14:textId="4BE3E104" w:rsidR="004D1EA7" w:rsidRPr="00A65EA8" w:rsidRDefault="004D1EA7" w:rsidP="004D1EA7">
      <w:pPr>
        <w:pStyle w:val="FooterTableFigure"/>
        <w:rPr>
          <w:szCs w:val="18"/>
        </w:rPr>
      </w:pPr>
      <w:r w:rsidRPr="00A65EA8">
        <w:rPr>
          <w:szCs w:val="18"/>
          <w:vertAlign w:val="superscript"/>
        </w:rPr>
        <w:t>a</w:t>
      </w:r>
      <w:r w:rsidR="00486398">
        <w:rPr>
          <w:szCs w:val="18"/>
        </w:rPr>
        <w:tab/>
      </w:r>
      <w:r w:rsidRPr="00A65EA8">
        <w:rPr>
          <w:szCs w:val="18"/>
        </w:rPr>
        <w:t>Dispensed scripts were based on the assumed substitution rates and calculated script equivalence between each drug and MIRI.</w:t>
      </w:r>
    </w:p>
    <w:p w14:paraId="68C9A711" w14:textId="60B16BFC" w:rsidR="009B32D4" w:rsidRDefault="009B32D4" w:rsidP="007B6B2C">
      <w:pPr>
        <w:pStyle w:val="FooterTableFigure"/>
        <w:spacing w:after="0"/>
        <w:ind w:left="170"/>
        <w:rPr>
          <w:szCs w:val="18"/>
        </w:rPr>
      </w:pPr>
      <w:r w:rsidRPr="00A65EA8">
        <w:rPr>
          <w:szCs w:val="18"/>
        </w:rPr>
        <w:t>MIRI=mirikizumab, MBS=Medicare Benefits Schedule, PBS=Pharmaceutical Benefits Scheme, RPBS=Repatriation Pharmaceutical Benefits Scheme.</w:t>
      </w:r>
    </w:p>
    <w:p w14:paraId="49783F26" w14:textId="77777777" w:rsidR="00520295" w:rsidRPr="009A6D58" w:rsidRDefault="00520295" w:rsidP="00520295">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51B62E2" w14:textId="13D6D13B" w:rsidR="00520295" w:rsidRPr="009A6D58" w:rsidRDefault="00520295" w:rsidP="00520295">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&lt;500</w:t>
      </w:r>
    </w:p>
    <w:p w14:paraId="26AD35EB" w14:textId="3B362F35" w:rsidR="00520295" w:rsidRPr="009A6D58" w:rsidRDefault="00520295" w:rsidP="00520295">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500 to &lt; 5,000</w:t>
      </w:r>
    </w:p>
    <w:p w14:paraId="5DFA4C97" w14:textId="5204912E" w:rsidR="00520295" w:rsidRDefault="00520295" w:rsidP="00520295">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5,000 to &lt; 10,000</w:t>
      </w:r>
    </w:p>
    <w:p w14:paraId="66591CFD" w14:textId="71845B4C" w:rsidR="00520295" w:rsidRDefault="00520295" w:rsidP="00520295">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10,000 to &lt; 20,000</w:t>
      </w:r>
    </w:p>
    <w:p w14:paraId="03B9F17A" w14:textId="0808E20F" w:rsidR="00520295" w:rsidRDefault="00520295" w:rsidP="00520295">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20,000 to &lt; 30,000</w:t>
      </w:r>
    </w:p>
    <w:p w14:paraId="0F718773" w14:textId="3DCAE361" w:rsidR="00520295" w:rsidRDefault="00520295" w:rsidP="00520295">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$0 to &lt; $10 million</w:t>
      </w:r>
    </w:p>
    <w:p w14:paraId="11660E1D" w14:textId="5832DD96" w:rsidR="00520295" w:rsidRPr="009A6D58" w:rsidRDefault="00520295" w:rsidP="00520295">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$10 million to &lt; $20 million</w:t>
      </w:r>
    </w:p>
    <w:p w14:paraId="13381F04" w14:textId="7D6EB0B6" w:rsidR="00520295" w:rsidRPr="009A6D58" w:rsidRDefault="00520295" w:rsidP="00520295">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$20 million to &lt; $30 million</w:t>
      </w:r>
    </w:p>
    <w:p w14:paraId="6B0AA3EF" w14:textId="4C78845C" w:rsidR="00520295" w:rsidRDefault="00520295" w:rsidP="00520295">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$30 million to &lt; $40 million</w:t>
      </w:r>
    </w:p>
    <w:p w14:paraId="123FEC9B" w14:textId="3C6441AD" w:rsidR="00520295" w:rsidRDefault="00520295" w:rsidP="00520295">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$40 million to &lt; $50 million</w:t>
      </w:r>
    </w:p>
    <w:p w14:paraId="3964B5A0" w14:textId="3BBDD2AA" w:rsidR="00520295" w:rsidRDefault="00520295" w:rsidP="00520295">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$50 million to &lt; $60 million</w:t>
      </w:r>
    </w:p>
    <w:p w14:paraId="11888A67" w14:textId="095FA97C" w:rsidR="00520295" w:rsidRPr="007B6B2C" w:rsidRDefault="00520295" w:rsidP="007B6B2C">
      <w:pPr>
        <w:spacing w:after="120"/>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net cost saving</w:t>
      </w:r>
    </w:p>
    <w:p w14:paraId="6B0EEB78" w14:textId="6CE97EAE" w:rsidR="00293E6D" w:rsidRPr="00A95149" w:rsidRDefault="004D1EA7" w:rsidP="001B1C0C">
      <w:pPr>
        <w:pStyle w:val="3-BodyText"/>
      </w:pPr>
      <w:r>
        <w:t>For the base case analysis</w:t>
      </w:r>
      <w:r w:rsidR="00746D53">
        <w:t>,</w:t>
      </w:r>
      <w:r>
        <w:t xml:space="preserve"> assuming a 12-week induction course with MIRI, </w:t>
      </w:r>
      <w:r w:rsidR="001D73A0">
        <w:t>the submission estimated that the proposed listing of MIRI would result in a net cost to the PBS/RPBS of $</w:t>
      </w:r>
      <w:r w:rsidR="002A7FF8">
        <w:t>80 million</w:t>
      </w:r>
      <w:r w:rsidR="00254E65">
        <w:t> </w:t>
      </w:r>
      <w:r w:rsidR="002A7FF8">
        <w:t>to</w:t>
      </w:r>
      <w:r w:rsidR="00254E65">
        <w:t> </w:t>
      </w:r>
      <w:r w:rsidR="002A7FF8">
        <w:t>&lt;</w:t>
      </w:r>
      <w:r w:rsidR="00254E65">
        <w:t> </w:t>
      </w:r>
      <w:r w:rsidR="002A7FF8">
        <w:t>$90</w:t>
      </w:r>
      <w:r w:rsidR="001D73A0">
        <w:t xml:space="preserve"> million and a net cost to the MBS of $</w:t>
      </w:r>
      <w:r w:rsidR="002A7FF8">
        <w:t>0</w:t>
      </w:r>
      <w:r w:rsidR="00254E65">
        <w:t> </w:t>
      </w:r>
      <w:r w:rsidR="002A7FF8">
        <w:t>to</w:t>
      </w:r>
      <w:r w:rsidR="00254E65">
        <w:t> </w:t>
      </w:r>
      <w:r w:rsidR="002A7FF8">
        <w:t>&lt;</w:t>
      </w:r>
      <w:r w:rsidR="00254E65">
        <w:t> </w:t>
      </w:r>
      <w:r w:rsidR="002A7FF8">
        <w:t>$10</w:t>
      </w:r>
      <w:r w:rsidR="007B6B2C">
        <w:t> </w:t>
      </w:r>
      <w:r w:rsidR="00050E16" w:rsidRPr="00050E16">
        <w:t>million</w:t>
      </w:r>
      <w:r w:rsidR="001D73A0">
        <w:t xml:space="preserve">, </w:t>
      </w:r>
      <w:r>
        <w:t xml:space="preserve">over </w:t>
      </w:r>
      <w:r w:rsidRPr="006D5017">
        <w:t>the first 6</w:t>
      </w:r>
      <w:r w:rsidR="009B32D4">
        <w:t> </w:t>
      </w:r>
      <w:r w:rsidRPr="006D5017">
        <w:t xml:space="preserve">years. </w:t>
      </w:r>
      <w:r>
        <w:t>For a sensitivity analysis</w:t>
      </w:r>
      <w:r w:rsidR="00746D53">
        <w:t>,</w:t>
      </w:r>
      <w:r>
        <w:t xml:space="preserve"> assuming a 24-week induction course with MIRI, the </w:t>
      </w:r>
      <w:r w:rsidR="001D73A0">
        <w:t xml:space="preserve">net </w:t>
      </w:r>
      <w:r>
        <w:t>cost to the PBS/RPBS increased to $</w:t>
      </w:r>
      <w:r w:rsidR="002A7FF8">
        <w:t>90</w:t>
      </w:r>
      <w:r w:rsidR="00254E65">
        <w:t> </w:t>
      </w:r>
      <w:r w:rsidR="002A7FF8">
        <w:t>million</w:t>
      </w:r>
      <w:r w:rsidR="00254E65">
        <w:t> </w:t>
      </w:r>
      <w:r w:rsidR="002A7FF8">
        <w:t>to</w:t>
      </w:r>
      <w:r w:rsidR="00254E65">
        <w:t> </w:t>
      </w:r>
      <w:r w:rsidR="002A7FF8">
        <w:t>&lt;</w:t>
      </w:r>
      <w:r w:rsidR="00254E65">
        <w:t> </w:t>
      </w:r>
      <w:r w:rsidR="002A7FF8">
        <w:t>$100</w:t>
      </w:r>
      <w:r>
        <w:t xml:space="preserve"> million </w:t>
      </w:r>
      <w:r w:rsidR="001D73A0">
        <w:t xml:space="preserve">and the net cost to the MBS increased to </w:t>
      </w:r>
      <w:r w:rsidR="001D73A0" w:rsidRPr="00050E16">
        <w:t>$</w:t>
      </w:r>
      <w:r w:rsidR="002A7FF8">
        <w:t>0</w:t>
      </w:r>
      <w:r w:rsidR="00254E65">
        <w:t> </w:t>
      </w:r>
      <w:r w:rsidR="002A7FF8">
        <w:t>to</w:t>
      </w:r>
      <w:r w:rsidR="00254E65">
        <w:t> </w:t>
      </w:r>
      <w:r w:rsidR="002A7FF8">
        <w:t>&lt;</w:t>
      </w:r>
      <w:r w:rsidR="00254E65">
        <w:t> </w:t>
      </w:r>
      <w:r w:rsidR="002A7FF8">
        <w:t>$10</w:t>
      </w:r>
      <w:r w:rsidR="007B6B2C">
        <w:t> </w:t>
      </w:r>
      <w:r w:rsidR="00050E16" w:rsidRPr="00050E16">
        <w:t>million</w:t>
      </w:r>
      <w:r w:rsidR="001D73A0" w:rsidRPr="00050E16">
        <w:t>,</w:t>
      </w:r>
      <w:r w:rsidR="001D73A0">
        <w:t xml:space="preserve"> </w:t>
      </w:r>
      <w:r>
        <w:t>over the first 6 years. The submission stated that the high estimated net cost of the proposed listing was an artefact owing to the use of published rather than effective prices.</w:t>
      </w:r>
      <w:r w:rsidR="0065096A">
        <w:rPr>
          <w:i/>
          <w:iCs/>
        </w:rPr>
        <w:t xml:space="preserve"> </w:t>
      </w:r>
      <w:r w:rsidR="00A95149">
        <w:rPr>
          <w:i/>
          <w:iCs/>
        </w:rPr>
        <w:t xml:space="preserve"> </w:t>
      </w:r>
    </w:p>
    <w:p w14:paraId="578C4CEE" w14:textId="77777777" w:rsidR="00A95149" w:rsidRPr="005526E7" w:rsidRDefault="00A95149" w:rsidP="00A95149">
      <w:pPr>
        <w:pStyle w:val="3-BodyText"/>
      </w:pPr>
      <w:r w:rsidRPr="005526E7">
        <w:t>In addition to the use of published prices, the evaluation also identified the following key issues/errors with the financial estimates model:</w:t>
      </w:r>
    </w:p>
    <w:p w14:paraId="3C701CA1" w14:textId="35F5A01D" w:rsidR="00A95149" w:rsidRPr="005526E7" w:rsidRDefault="00A95149" w:rsidP="003D1D4D">
      <w:pPr>
        <w:pStyle w:val="3-BodyText"/>
        <w:numPr>
          <w:ilvl w:val="0"/>
          <w:numId w:val="8"/>
        </w:numPr>
        <w:ind w:left="1040"/>
      </w:pPr>
      <w:r w:rsidRPr="005526E7">
        <w:t xml:space="preserve">The submission likely overestimated the size of the market due to differences between the growth rates estimated from the linear function and the growth rates </w:t>
      </w:r>
      <w:r w:rsidRPr="005526E7">
        <w:lastRenderedPageBreak/>
        <w:t>actually applied in the model. In addition, the submission did not distinguish between comparator scripts (ADA and IFX) dispensed for adult and paediatric populations. Given the proposed listing of MIRI is for adults only, the eligible population should exclude paediatric patients</w:t>
      </w:r>
      <w:r w:rsidR="007B6B2C">
        <w:t>.</w:t>
      </w:r>
    </w:p>
    <w:p w14:paraId="340721FC" w14:textId="2B0C3681" w:rsidR="00A95149" w:rsidRPr="005526E7" w:rsidRDefault="00A95149" w:rsidP="003D1D4D">
      <w:pPr>
        <w:pStyle w:val="3-BodyText"/>
        <w:numPr>
          <w:ilvl w:val="0"/>
          <w:numId w:val="8"/>
        </w:numPr>
        <w:ind w:left="1040"/>
      </w:pPr>
      <w:r w:rsidRPr="005526E7">
        <w:t>The submission applied the uptake rates incorrectly, which resulted in MIRI substituting at approximately half of the assumed rates. There were also several programming errors with uptake rates applied to the comparators</w:t>
      </w:r>
      <w:r w:rsidR="007B6B2C">
        <w:t>.</w:t>
      </w:r>
    </w:p>
    <w:p w14:paraId="10AF7DB1" w14:textId="0E93AEA9" w:rsidR="00A95149" w:rsidRPr="005526E7" w:rsidRDefault="00A95149" w:rsidP="003D1D4D">
      <w:pPr>
        <w:pStyle w:val="3-BodyText"/>
        <w:numPr>
          <w:ilvl w:val="0"/>
          <w:numId w:val="8"/>
        </w:numPr>
        <w:ind w:left="1040"/>
      </w:pPr>
      <w:r w:rsidRPr="005526E7">
        <w:t>The submission did not adequately explain or justify the approach for calculating script equivalence, based on scripts required for 12 weeks of initial treatment rather than the average duration of treatment provided per script. Some of the script numbers used in the calculations did not appear to match the assumed 12 weeks of initial treatment and the submission did not distinguish between</w:t>
      </w:r>
      <w:r w:rsidR="00746D53">
        <w:t xml:space="preserve"> the</w:t>
      </w:r>
      <w:r w:rsidRPr="005526E7">
        <w:t xml:space="preserve"> IV and SC form of VDZ and IFX, which require different numbers of scripts. There was also a programming error identified with the script equivalence applied to one comparator</w:t>
      </w:r>
      <w:r w:rsidR="007B6B2C">
        <w:t>.</w:t>
      </w:r>
    </w:p>
    <w:p w14:paraId="465F7806" w14:textId="0A8F530A" w:rsidR="00A95149" w:rsidRPr="00293E6D" w:rsidRDefault="00A95149" w:rsidP="003D1D4D">
      <w:pPr>
        <w:pStyle w:val="3-BodyText"/>
        <w:numPr>
          <w:ilvl w:val="0"/>
          <w:numId w:val="8"/>
        </w:numPr>
        <w:ind w:left="1040"/>
      </w:pPr>
      <w:r w:rsidRPr="005526E7">
        <w:t xml:space="preserve">There were several issues identified with the prices applied, beyond the use of published prices. </w:t>
      </w:r>
      <w:r w:rsidR="00C22674">
        <w:t>T</w:t>
      </w:r>
      <w:r w:rsidR="00C22674" w:rsidRPr="005526E7">
        <w:t xml:space="preserve">he </w:t>
      </w:r>
      <w:r w:rsidRPr="005526E7">
        <w:t>submission did not adjust the cost of IFX IV (pricing quantity of 1 vial) to account for the average number of vials likely provided per script (i.e.</w:t>
      </w:r>
      <w:r w:rsidR="00746D53">
        <w:t> </w:t>
      </w:r>
      <w:r w:rsidRPr="005526E7">
        <w:t xml:space="preserve">required per dose). There were also several programming errors with the published prices applied to specific items. In addition, while correct at the time the submission was lodged, the price of </w:t>
      </w:r>
      <w:r w:rsidR="00746D53">
        <w:t>ADA</w:t>
      </w:r>
      <w:r w:rsidR="00746D53" w:rsidRPr="005526E7">
        <w:t xml:space="preserve"> </w:t>
      </w:r>
      <w:r w:rsidRPr="005526E7">
        <w:t>reduced on 1 April 2023.</w:t>
      </w:r>
    </w:p>
    <w:p w14:paraId="73C4CE5F" w14:textId="493695D2" w:rsidR="00293E6D" w:rsidRPr="00FD140C" w:rsidRDefault="00293E6D" w:rsidP="001B1C0C">
      <w:pPr>
        <w:pStyle w:val="3-BodyText"/>
      </w:pPr>
      <w:r w:rsidRPr="00FD140C">
        <w:t>The PSCR acknowledged the errors in the financial estimates model identified in the commentary and presented updated result</w:t>
      </w:r>
      <w:r w:rsidR="00B109B3" w:rsidRPr="00FD140C">
        <w:t>s</w:t>
      </w:r>
      <w:r w:rsidRPr="00FD140C">
        <w:t xml:space="preserve">. </w:t>
      </w:r>
      <w:r w:rsidR="0005097F" w:rsidRPr="00FD140C">
        <w:fldChar w:fldCharType="begin" w:fldLock="1"/>
      </w:r>
      <w:r w:rsidR="0005097F" w:rsidRPr="00FD140C">
        <w:instrText xml:space="preserve"> REF _Ref138160179 \h </w:instrText>
      </w:r>
      <w:r w:rsidR="00FD140C">
        <w:instrText xml:space="preserve"> \* MERGEFORMAT </w:instrText>
      </w:r>
      <w:r w:rsidR="0005097F" w:rsidRPr="00FD140C">
        <w:fldChar w:fldCharType="separate"/>
      </w:r>
      <w:r w:rsidR="0005097F" w:rsidRPr="00FD140C">
        <w:t xml:space="preserve">Table </w:t>
      </w:r>
      <w:r w:rsidR="0005097F" w:rsidRPr="00FD140C">
        <w:rPr>
          <w:noProof/>
        </w:rPr>
        <w:t>13</w:t>
      </w:r>
      <w:r w:rsidR="0005097F" w:rsidRPr="00FD140C">
        <w:fldChar w:fldCharType="end"/>
      </w:r>
      <w:r w:rsidR="00A95149" w:rsidRPr="00FD140C">
        <w:t xml:space="preserve"> below</w:t>
      </w:r>
      <w:r w:rsidRPr="00FD140C">
        <w:t xml:space="preserve"> summarises the estimated use and financial implications </w:t>
      </w:r>
      <w:r w:rsidR="00A95149" w:rsidRPr="00FD140C">
        <w:t>based on the issues identified during the evaluation</w:t>
      </w:r>
      <w:r w:rsidRPr="00FD140C">
        <w:t xml:space="preserve">. </w:t>
      </w:r>
    </w:p>
    <w:p w14:paraId="39804FBE" w14:textId="6FF4BC07" w:rsidR="00293E6D" w:rsidRPr="00FD140C" w:rsidRDefault="0005097F" w:rsidP="0005097F">
      <w:pPr>
        <w:pStyle w:val="Caption"/>
        <w:rPr>
          <w:b w:val="0"/>
          <w:bCs w:val="0"/>
          <w:sz w:val="22"/>
          <w:szCs w:val="22"/>
        </w:rPr>
      </w:pPr>
      <w:bookmarkStart w:id="62" w:name="_Ref138160179"/>
      <w:bookmarkStart w:id="63" w:name="_Ref138160175"/>
      <w:r w:rsidRPr="00FD140C">
        <w:lastRenderedPageBreak/>
        <w:t xml:space="preserve">Table </w:t>
      </w:r>
      <w:r w:rsidR="00A234BA">
        <w:fldChar w:fldCharType="begin" w:fldLock="1"/>
      </w:r>
      <w:r w:rsidR="00A234BA">
        <w:instrText xml:space="preserve"> SEQ T</w:instrText>
      </w:r>
      <w:r w:rsidR="00A234BA">
        <w:instrText xml:space="preserve">able \* ARABIC </w:instrText>
      </w:r>
      <w:r w:rsidR="00A234BA">
        <w:fldChar w:fldCharType="separate"/>
      </w:r>
      <w:r w:rsidRPr="00FD140C">
        <w:rPr>
          <w:noProof/>
        </w:rPr>
        <w:t>13</w:t>
      </w:r>
      <w:r w:rsidR="00A234BA">
        <w:rPr>
          <w:noProof/>
        </w:rPr>
        <w:fldChar w:fldCharType="end"/>
      </w:r>
      <w:bookmarkEnd w:id="62"/>
      <w:r w:rsidR="00293E6D" w:rsidRPr="00FD140C">
        <w:t>: Estimated use and financial implications using published prices</w:t>
      </w:r>
      <w:r w:rsidR="00A95149" w:rsidRPr="00FD140C">
        <w:t xml:space="preserve"> (PSCR updated)</w:t>
      </w:r>
      <w:bookmarkEnd w:id="63"/>
      <w:r w:rsidR="00293E6D" w:rsidRPr="00FD140C">
        <w:t xml:space="preserve"> </w:t>
      </w:r>
    </w:p>
    <w:tbl>
      <w:tblP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98"/>
        <w:gridCol w:w="1098"/>
        <w:gridCol w:w="1180"/>
        <w:gridCol w:w="1178"/>
        <w:gridCol w:w="1178"/>
        <w:gridCol w:w="1178"/>
        <w:gridCol w:w="1182"/>
      </w:tblGrid>
      <w:tr w:rsidR="00293E6D" w:rsidRPr="00FD140C" w14:paraId="2F78F4A1" w14:textId="77777777" w:rsidTr="002A7FF8">
        <w:trPr>
          <w:tblHeader/>
        </w:trPr>
        <w:tc>
          <w:tcPr>
            <w:tcW w:w="1277" w:type="pct"/>
            <w:shd w:val="clear" w:color="auto" w:fill="auto"/>
            <w:vAlign w:val="center"/>
          </w:tcPr>
          <w:p w14:paraId="0A7FEE43" w14:textId="77777777" w:rsidR="00293E6D" w:rsidRPr="00FD140C" w:rsidRDefault="00293E6D" w:rsidP="00886A4E">
            <w:pPr>
              <w:pStyle w:val="In-tableHeading"/>
              <w:jc w:val="center"/>
              <w:rPr>
                <w:szCs w:val="20"/>
              </w:rPr>
            </w:pPr>
          </w:p>
        </w:tc>
        <w:tc>
          <w:tcPr>
            <w:tcW w:w="585" w:type="pct"/>
            <w:shd w:val="clear" w:color="auto" w:fill="auto"/>
            <w:vAlign w:val="center"/>
          </w:tcPr>
          <w:p w14:paraId="68E449B1" w14:textId="77777777" w:rsidR="00293E6D" w:rsidRPr="00FD140C" w:rsidRDefault="00293E6D" w:rsidP="00886A4E">
            <w:pPr>
              <w:pStyle w:val="In-tableHeading"/>
              <w:jc w:val="center"/>
              <w:rPr>
                <w:szCs w:val="20"/>
              </w:rPr>
            </w:pPr>
            <w:r w:rsidRPr="00FD140C">
              <w:rPr>
                <w:szCs w:val="20"/>
              </w:rPr>
              <w:t>Year 1</w:t>
            </w:r>
          </w:p>
        </w:tc>
        <w:tc>
          <w:tcPr>
            <w:tcW w:w="628" w:type="pct"/>
            <w:shd w:val="clear" w:color="auto" w:fill="auto"/>
            <w:vAlign w:val="center"/>
          </w:tcPr>
          <w:p w14:paraId="18EC04D6" w14:textId="77777777" w:rsidR="00293E6D" w:rsidRPr="00FD140C" w:rsidRDefault="00293E6D" w:rsidP="00886A4E">
            <w:pPr>
              <w:pStyle w:val="In-tableHeading"/>
              <w:jc w:val="center"/>
              <w:rPr>
                <w:szCs w:val="20"/>
              </w:rPr>
            </w:pPr>
            <w:r w:rsidRPr="00FD140C">
              <w:rPr>
                <w:szCs w:val="20"/>
              </w:rPr>
              <w:t>Year 2</w:t>
            </w:r>
          </w:p>
        </w:tc>
        <w:tc>
          <w:tcPr>
            <w:tcW w:w="627" w:type="pct"/>
            <w:shd w:val="clear" w:color="auto" w:fill="auto"/>
            <w:vAlign w:val="center"/>
          </w:tcPr>
          <w:p w14:paraId="3182510C" w14:textId="77777777" w:rsidR="00293E6D" w:rsidRPr="00FD140C" w:rsidRDefault="00293E6D" w:rsidP="00886A4E">
            <w:pPr>
              <w:pStyle w:val="In-tableHeading"/>
              <w:jc w:val="center"/>
              <w:rPr>
                <w:szCs w:val="20"/>
              </w:rPr>
            </w:pPr>
            <w:r w:rsidRPr="00FD140C">
              <w:rPr>
                <w:szCs w:val="20"/>
              </w:rPr>
              <w:t>Year 3</w:t>
            </w:r>
          </w:p>
        </w:tc>
        <w:tc>
          <w:tcPr>
            <w:tcW w:w="627" w:type="pct"/>
            <w:shd w:val="clear" w:color="auto" w:fill="auto"/>
            <w:vAlign w:val="center"/>
          </w:tcPr>
          <w:p w14:paraId="6F6C01E3" w14:textId="77777777" w:rsidR="00293E6D" w:rsidRPr="00FD140C" w:rsidRDefault="00293E6D" w:rsidP="00886A4E">
            <w:pPr>
              <w:pStyle w:val="In-tableHeading"/>
              <w:jc w:val="center"/>
              <w:rPr>
                <w:szCs w:val="20"/>
              </w:rPr>
            </w:pPr>
            <w:r w:rsidRPr="00FD140C">
              <w:rPr>
                <w:szCs w:val="20"/>
              </w:rPr>
              <w:t>Year 4</w:t>
            </w:r>
          </w:p>
        </w:tc>
        <w:tc>
          <w:tcPr>
            <w:tcW w:w="627" w:type="pct"/>
            <w:shd w:val="clear" w:color="auto" w:fill="auto"/>
            <w:vAlign w:val="center"/>
          </w:tcPr>
          <w:p w14:paraId="1D915B13" w14:textId="77777777" w:rsidR="00293E6D" w:rsidRPr="00FD140C" w:rsidRDefault="00293E6D" w:rsidP="00886A4E">
            <w:pPr>
              <w:pStyle w:val="In-tableHeading"/>
              <w:jc w:val="center"/>
              <w:rPr>
                <w:szCs w:val="20"/>
              </w:rPr>
            </w:pPr>
            <w:r w:rsidRPr="00FD140C">
              <w:rPr>
                <w:szCs w:val="20"/>
              </w:rPr>
              <w:t>Year 5</w:t>
            </w:r>
          </w:p>
        </w:tc>
        <w:tc>
          <w:tcPr>
            <w:tcW w:w="629" w:type="pct"/>
          </w:tcPr>
          <w:p w14:paraId="6C5FBA3F" w14:textId="77777777" w:rsidR="00293E6D" w:rsidRPr="00FD140C" w:rsidRDefault="00293E6D" w:rsidP="00886A4E">
            <w:pPr>
              <w:pStyle w:val="In-tableHeading"/>
              <w:jc w:val="center"/>
              <w:rPr>
                <w:szCs w:val="20"/>
              </w:rPr>
            </w:pPr>
            <w:r w:rsidRPr="00FD140C">
              <w:rPr>
                <w:szCs w:val="20"/>
              </w:rPr>
              <w:t>Year 6</w:t>
            </w:r>
          </w:p>
        </w:tc>
      </w:tr>
      <w:tr w:rsidR="00293E6D" w:rsidRPr="00FD140C" w14:paraId="1138DFC7" w14:textId="77777777" w:rsidTr="002A7FF8">
        <w:tc>
          <w:tcPr>
            <w:tcW w:w="5000" w:type="pct"/>
            <w:gridSpan w:val="7"/>
            <w:shd w:val="clear" w:color="auto" w:fill="auto"/>
            <w:vAlign w:val="center"/>
          </w:tcPr>
          <w:p w14:paraId="4E4D9423" w14:textId="77777777" w:rsidR="00293E6D" w:rsidRPr="00FD140C" w:rsidRDefault="00293E6D" w:rsidP="00886A4E">
            <w:pPr>
              <w:pStyle w:val="In-tableHeading"/>
              <w:rPr>
                <w:bCs/>
                <w:color w:val="000000"/>
                <w:szCs w:val="20"/>
              </w:rPr>
            </w:pPr>
            <w:r w:rsidRPr="00FD140C">
              <w:rPr>
                <w:bCs/>
                <w:color w:val="000000"/>
                <w:szCs w:val="20"/>
              </w:rPr>
              <w:t>Estimated extent of use</w:t>
            </w:r>
          </w:p>
        </w:tc>
      </w:tr>
      <w:tr w:rsidR="00293E6D" w:rsidRPr="00FD140C" w14:paraId="33DDE31D" w14:textId="77777777" w:rsidTr="002A7FF8">
        <w:tc>
          <w:tcPr>
            <w:tcW w:w="1277" w:type="pct"/>
            <w:tcBorders>
              <w:bottom w:val="nil"/>
            </w:tcBorders>
          </w:tcPr>
          <w:p w14:paraId="4DED9FB2" w14:textId="77777777" w:rsidR="00293E6D" w:rsidRPr="00FD140C" w:rsidRDefault="00293E6D" w:rsidP="00886A4E">
            <w:pPr>
              <w:pStyle w:val="TableText0"/>
              <w:rPr>
                <w:rFonts w:ascii="Times" w:hAnsi="Times"/>
                <w:szCs w:val="20"/>
              </w:rPr>
            </w:pPr>
            <w:r w:rsidRPr="00FD140C">
              <w:rPr>
                <w:szCs w:val="20"/>
              </w:rPr>
              <w:t>MIRI scripts - submission</w:t>
            </w:r>
          </w:p>
        </w:tc>
        <w:tc>
          <w:tcPr>
            <w:tcW w:w="585" w:type="pct"/>
            <w:tcBorders>
              <w:bottom w:val="nil"/>
            </w:tcBorders>
            <w:vAlign w:val="center"/>
          </w:tcPr>
          <w:p w14:paraId="301457AA" w14:textId="4189EF0D" w:rsidR="00293E6D" w:rsidRPr="002A7FF8" w:rsidRDefault="00D07BC0" w:rsidP="00886A4E">
            <w:pPr>
              <w:pStyle w:val="TableText0"/>
              <w:jc w:val="center"/>
              <w:rPr>
                <w:color w:val="000000"/>
                <w:szCs w:val="20"/>
                <w:highlight w:val="darkGray"/>
                <w:vertAlign w:val="superscript"/>
              </w:rPr>
            </w:pPr>
            <w:r w:rsidRPr="00D07BC0">
              <w:rPr>
                <w:rFonts w:hint="eastAsia"/>
                <w:color w:val="000000"/>
                <w:w w:val="15"/>
                <w:szCs w:val="20"/>
                <w:shd w:val="solid" w:color="000000" w:fill="000000"/>
                <w:fitText w:val="60" w:id="-1168930288"/>
                <w14:textFill>
                  <w14:solidFill>
                    <w14:srgbClr w14:val="000000">
                      <w14:alpha w14:val="100000"/>
                    </w14:srgbClr>
                  </w14:solidFill>
                </w14:textFill>
              </w:rPr>
              <w:t xml:space="preserve">　</w:t>
            </w:r>
            <w:r w:rsidRPr="00D07BC0">
              <w:rPr>
                <w:color w:val="000000"/>
                <w:w w:val="15"/>
                <w:szCs w:val="20"/>
                <w:shd w:val="solid" w:color="000000" w:fill="000000"/>
                <w:fitText w:val="60" w:id="-1168930288"/>
                <w14:textFill>
                  <w14:solidFill>
                    <w14:srgbClr w14:val="000000">
                      <w14:alpha w14:val="100000"/>
                    </w14:srgbClr>
                  </w14:solidFill>
                </w14:textFill>
              </w:rPr>
              <w:t>|</w:t>
            </w:r>
            <w:r w:rsidRPr="00D07BC0">
              <w:rPr>
                <w:rFonts w:hint="eastAsia"/>
                <w:color w:val="000000"/>
                <w:spacing w:val="-5"/>
                <w:w w:val="15"/>
                <w:szCs w:val="20"/>
                <w:shd w:val="solid" w:color="000000" w:fill="000000"/>
                <w:fitText w:val="60" w:id="-1168930288"/>
                <w14:textFill>
                  <w14:solidFill>
                    <w14:srgbClr w14:val="000000">
                      <w14:alpha w14:val="100000"/>
                    </w14:srgbClr>
                  </w14:solidFill>
                </w14:textFill>
              </w:rPr>
              <w:t xml:space="preserve">　</w:t>
            </w:r>
            <w:r w:rsidR="002A7FF8" w:rsidRPr="002A7FF8">
              <w:rPr>
                <w:szCs w:val="20"/>
                <w:vertAlign w:val="superscript"/>
              </w:rPr>
              <w:t>1</w:t>
            </w:r>
          </w:p>
        </w:tc>
        <w:tc>
          <w:tcPr>
            <w:tcW w:w="628" w:type="pct"/>
            <w:tcBorders>
              <w:bottom w:val="nil"/>
            </w:tcBorders>
            <w:vAlign w:val="center"/>
          </w:tcPr>
          <w:p w14:paraId="1773F318" w14:textId="7D07A9C1" w:rsidR="00293E6D" w:rsidRPr="002A7FF8" w:rsidRDefault="00D07BC0" w:rsidP="00886A4E">
            <w:pPr>
              <w:pStyle w:val="TableText0"/>
              <w:jc w:val="center"/>
              <w:rPr>
                <w:color w:val="000000"/>
                <w:szCs w:val="20"/>
                <w:highlight w:val="darkGray"/>
                <w:vertAlign w:val="superscript"/>
              </w:rPr>
            </w:pPr>
            <w:r w:rsidRPr="00A234BA">
              <w:rPr>
                <w:rFonts w:hint="eastAsia"/>
                <w:color w:val="000000"/>
                <w:w w:val="15"/>
                <w:szCs w:val="20"/>
                <w:shd w:val="solid" w:color="000000" w:fill="000000"/>
                <w:fitText w:val="15" w:id="-1168930304"/>
                <w14:textFill>
                  <w14:solidFill>
                    <w14:srgbClr w14:val="000000">
                      <w14:alpha w14:val="100000"/>
                    </w14:srgbClr>
                  </w14:solidFill>
                </w14:textFill>
              </w:rPr>
              <w:t xml:space="preserve">　</w:t>
            </w:r>
            <w:r w:rsidRPr="00A234BA">
              <w:rPr>
                <w:color w:val="000000"/>
                <w:w w:val="15"/>
                <w:szCs w:val="20"/>
                <w:shd w:val="solid" w:color="000000" w:fill="000000"/>
                <w:fitText w:val="15" w:id="-1168930304"/>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304"/>
                <w14:textFill>
                  <w14:solidFill>
                    <w14:srgbClr w14:val="000000">
                      <w14:alpha w14:val="100000"/>
                    </w14:srgbClr>
                  </w14:solidFill>
                </w14:textFill>
              </w:rPr>
              <w:t xml:space="preserve">　</w:t>
            </w:r>
            <w:r w:rsidR="002A7FF8" w:rsidRPr="002A7FF8">
              <w:rPr>
                <w:szCs w:val="20"/>
                <w:vertAlign w:val="superscript"/>
              </w:rPr>
              <w:t>2</w:t>
            </w:r>
          </w:p>
        </w:tc>
        <w:tc>
          <w:tcPr>
            <w:tcW w:w="627" w:type="pct"/>
            <w:tcBorders>
              <w:bottom w:val="nil"/>
            </w:tcBorders>
            <w:vAlign w:val="center"/>
          </w:tcPr>
          <w:p w14:paraId="5641AD7E" w14:textId="54738FDF" w:rsidR="00293E6D" w:rsidRPr="002A7FF8" w:rsidRDefault="00D07BC0" w:rsidP="00886A4E">
            <w:pPr>
              <w:pStyle w:val="TableText0"/>
              <w:jc w:val="center"/>
              <w:rPr>
                <w:color w:val="000000"/>
                <w:szCs w:val="20"/>
                <w:highlight w:val="darkGray"/>
              </w:rPr>
            </w:pPr>
            <w:r w:rsidRPr="00A234BA">
              <w:rPr>
                <w:rFonts w:hint="eastAsia"/>
                <w:color w:val="000000"/>
                <w:w w:val="15"/>
                <w:szCs w:val="20"/>
                <w:shd w:val="solid" w:color="000000" w:fill="000000"/>
                <w:fitText w:val="15" w:id="-1168930303"/>
                <w14:textFill>
                  <w14:solidFill>
                    <w14:srgbClr w14:val="000000">
                      <w14:alpha w14:val="100000"/>
                    </w14:srgbClr>
                  </w14:solidFill>
                </w14:textFill>
              </w:rPr>
              <w:t xml:space="preserve">　</w:t>
            </w:r>
            <w:r w:rsidRPr="00A234BA">
              <w:rPr>
                <w:color w:val="000000"/>
                <w:w w:val="15"/>
                <w:szCs w:val="20"/>
                <w:shd w:val="solid" w:color="000000" w:fill="000000"/>
                <w:fitText w:val="15" w:id="-1168930303"/>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303"/>
                <w14:textFill>
                  <w14:solidFill>
                    <w14:srgbClr w14:val="000000">
                      <w14:alpha w14:val="100000"/>
                    </w14:srgbClr>
                  </w14:solidFill>
                </w14:textFill>
              </w:rPr>
              <w:t xml:space="preserve">　</w:t>
            </w:r>
            <w:r w:rsidR="002A7FF8">
              <w:rPr>
                <w:szCs w:val="20"/>
                <w:vertAlign w:val="superscript"/>
              </w:rPr>
              <w:t>3</w:t>
            </w:r>
          </w:p>
        </w:tc>
        <w:tc>
          <w:tcPr>
            <w:tcW w:w="627" w:type="pct"/>
            <w:tcBorders>
              <w:bottom w:val="nil"/>
            </w:tcBorders>
            <w:vAlign w:val="center"/>
          </w:tcPr>
          <w:p w14:paraId="30A9A972" w14:textId="5091747F" w:rsidR="00293E6D" w:rsidRPr="002A7FF8" w:rsidRDefault="00D07BC0" w:rsidP="00886A4E">
            <w:pPr>
              <w:pStyle w:val="TableText0"/>
              <w:jc w:val="center"/>
              <w:rPr>
                <w:color w:val="000000"/>
                <w:szCs w:val="20"/>
                <w:highlight w:val="darkGray"/>
              </w:rPr>
            </w:pPr>
            <w:r w:rsidRPr="00A234BA">
              <w:rPr>
                <w:rFonts w:hint="eastAsia"/>
                <w:color w:val="000000"/>
                <w:w w:val="15"/>
                <w:szCs w:val="20"/>
                <w:shd w:val="solid" w:color="000000" w:fill="000000"/>
                <w:fitText w:val="15" w:id="-1168930302"/>
                <w14:textFill>
                  <w14:solidFill>
                    <w14:srgbClr w14:val="000000">
                      <w14:alpha w14:val="100000"/>
                    </w14:srgbClr>
                  </w14:solidFill>
                </w14:textFill>
              </w:rPr>
              <w:t xml:space="preserve">　</w:t>
            </w:r>
            <w:r w:rsidRPr="00A234BA">
              <w:rPr>
                <w:color w:val="000000"/>
                <w:w w:val="15"/>
                <w:szCs w:val="20"/>
                <w:shd w:val="solid" w:color="000000" w:fill="000000"/>
                <w:fitText w:val="15" w:id="-1168930302"/>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302"/>
                <w14:textFill>
                  <w14:solidFill>
                    <w14:srgbClr w14:val="000000">
                      <w14:alpha w14:val="100000"/>
                    </w14:srgbClr>
                  </w14:solidFill>
                </w14:textFill>
              </w:rPr>
              <w:t xml:space="preserve">　</w:t>
            </w:r>
            <w:r w:rsidR="002A7FF8">
              <w:rPr>
                <w:szCs w:val="20"/>
                <w:vertAlign w:val="superscript"/>
              </w:rPr>
              <w:t>3</w:t>
            </w:r>
          </w:p>
        </w:tc>
        <w:tc>
          <w:tcPr>
            <w:tcW w:w="627" w:type="pct"/>
            <w:tcBorders>
              <w:bottom w:val="nil"/>
            </w:tcBorders>
            <w:vAlign w:val="center"/>
          </w:tcPr>
          <w:p w14:paraId="77D638C0" w14:textId="4F686D0E" w:rsidR="00293E6D" w:rsidRPr="002A7FF8" w:rsidRDefault="00D07BC0" w:rsidP="00886A4E">
            <w:pPr>
              <w:pStyle w:val="TableText0"/>
              <w:jc w:val="center"/>
              <w:rPr>
                <w:color w:val="000000"/>
                <w:szCs w:val="20"/>
                <w:highlight w:val="darkGray"/>
              </w:rPr>
            </w:pPr>
            <w:r w:rsidRPr="00A234BA">
              <w:rPr>
                <w:rFonts w:hint="eastAsia"/>
                <w:color w:val="000000"/>
                <w:w w:val="15"/>
                <w:szCs w:val="20"/>
                <w:shd w:val="solid" w:color="000000" w:fill="000000"/>
                <w:fitText w:val="15" w:id="-1168930301"/>
                <w14:textFill>
                  <w14:solidFill>
                    <w14:srgbClr w14:val="000000">
                      <w14:alpha w14:val="100000"/>
                    </w14:srgbClr>
                  </w14:solidFill>
                </w14:textFill>
              </w:rPr>
              <w:t xml:space="preserve">　</w:t>
            </w:r>
            <w:r w:rsidRPr="00A234BA">
              <w:rPr>
                <w:color w:val="000000"/>
                <w:w w:val="15"/>
                <w:szCs w:val="20"/>
                <w:shd w:val="solid" w:color="000000" w:fill="000000"/>
                <w:fitText w:val="15" w:id="-1168930301"/>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301"/>
                <w14:textFill>
                  <w14:solidFill>
                    <w14:srgbClr w14:val="000000">
                      <w14:alpha w14:val="100000"/>
                    </w14:srgbClr>
                  </w14:solidFill>
                </w14:textFill>
              </w:rPr>
              <w:t xml:space="preserve">　</w:t>
            </w:r>
            <w:r w:rsidR="002A7FF8">
              <w:rPr>
                <w:szCs w:val="20"/>
                <w:vertAlign w:val="superscript"/>
              </w:rPr>
              <w:t>4</w:t>
            </w:r>
          </w:p>
        </w:tc>
        <w:tc>
          <w:tcPr>
            <w:tcW w:w="629" w:type="pct"/>
            <w:tcBorders>
              <w:bottom w:val="nil"/>
            </w:tcBorders>
            <w:vAlign w:val="center"/>
          </w:tcPr>
          <w:p w14:paraId="704C22BF" w14:textId="596A11E0" w:rsidR="00293E6D" w:rsidRPr="002A7FF8" w:rsidRDefault="00D07BC0" w:rsidP="00886A4E">
            <w:pPr>
              <w:pStyle w:val="TableText0"/>
              <w:jc w:val="center"/>
              <w:rPr>
                <w:color w:val="000000"/>
                <w:szCs w:val="20"/>
                <w:highlight w:val="darkGray"/>
              </w:rPr>
            </w:pPr>
            <w:r w:rsidRPr="00A234BA">
              <w:rPr>
                <w:rFonts w:hint="eastAsia"/>
                <w:color w:val="000000"/>
                <w:w w:val="15"/>
                <w:szCs w:val="20"/>
                <w:shd w:val="solid" w:color="000000" w:fill="000000"/>
                <w:fitText w:val="15" w:id="-1168930300"/>
                <w14:textFill>
                  <w14:solidFill>
                    <w14:srgbClr w14:val="000000">
                      <w14:alpha w14:val="100000"/>
                    </w14:srgbClr>
                  </w14:solidFill>
                </w14:textFill>
              </w:rPr>
              <w:t xml:space="preserve">　</w:t>
            </w:r>
            <w:r w:rsidRPr="00A234BA">
              <w:rPr>
                <w:color w:val="000000"/>
                <w:w w:val="15"/>
                <w:szCs w:val="20"/>
                <w:shd w:val="solid" w:color="000000" w:fill="000000"/>
                <w:fitText w:val="15" w:id="-1168930300"/>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300"/>
                <w14:textFill>
                  <w14:solidFill>
                    <w14:srgbClr w14:val="000000">
                      <w14:alpha w14:val="100000"/>
                    </w14:srgbClr>
                  </w14:solidFill>
                </w14:textFill>
              </w:rPr>
              <w:t xml:space="preserve">　</w:t>
            </w:r>
            <w:r w:rsidR="002A7FF8">
              <w:rPr>
                <w:szCs w:val="20"/>
                <w:vertAlign w:val="superscript"/>
              </w:rPr>
              <w:t>4</w:t>
            </w:r>
          </w:p>
        </w:tc>
      </w:tr>
      <w:tr w:rsidR="00293E6D" w:rsidRPr="00FD140C" w14:paraId="23ED85F7" w14:textId="77777777" w:rsidTr="002A7FF8">
        <w:tc>
          <w:tcPr>
            <w:tcW w:w="1277" w:type="pct"/>
            <w:tcBorders>
              <w:bottom w:val="nil"/>
            </w:tcBorders>
          </w:tcPr>
          <w:p w14:paraId="625E8E66" w14:textId="77777777" w:rsidR="00293E6D" w:rsidRPr="00FD140C" w:rsidRDefault="00293E6D" w:rsidP="00886A4E">
            <w:pPr>
              <w:pStyle w:val="TableText0"/>
              <w:rPr>
                <w:szCs w:val="20"/>
              </w:rPr>
            </w:pPr>
            <w:r w:rsidRPr="00FD140C">
              <w:rPr>
                <w:szCs w:val="20"/>
              </w:rPr>
              <w:t>MIRI scripts - PSCR</w:t>
            </w:r>
          </w:p>
        </w:tc>
        <w:tc>
          <w:tcPr>
            <w:tcW w:w="585" w:type="pct"/>
            <w:tcBorders>
              <w:bottom w:val="nil"/>
            </w:tcBorders>
            <w:vAlign w:val="center"/>
          </w:tcPr>
          <w:p w14:paraId="6089C81A" w14:textId="5E671FD8"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60" w:id="-1168930299"/>
                <w14:textFill>
                  <w14:solidFill>
                    <w14:srgbClr w14:val="000000">
                      <w14:alpha w14:val="100000"/>
                    </w14:srgbClr>
                  </w14:solidFill>
                </w14:textFill>
              </w:rPr>
              <w:t xml:space="preserve">　</w:t>
            </w:r>
            <w:r w:rsidRPr="00D07BC0">
              <w:rPr>
                <w:color w:val="000000"/>
                <w:w w:val="15"/>
                <w:szCs w:val="20"/>
                <w:shd w:val="solid" w:color="000000" w:fill="000000"/>
                <w:fitText w:val="60" w:id="-1168930299"/>
                <w14:textFill>
                  <w14:solidFill>
                    <w14:srgbClr w14:val="000000">
                      <w14:alpha w14:val="100000"/>
                    </w14:srgbClr>
                  </w14:solidFill>
                </w14:textFill>
              </w:rPr>
              <w:t>|</w:t>
            </w:r>
            <w:r w:rsidRPr="00D07BC0">
              <w:rPr>
                <w:rFonts w:hint="eastAsia"/>
                <w:color w:val="000000"/>
                <w:spacing w:val="-5"/>
                <w:w w:val="15"/>
                <w:szCs w:val="20"/>
                <w:shd w:val="solid" w:color="000000" w:fill="000000"/>
                <w:fitText w:val="60" w:id="-1168930299"/>
                <w14:textFill>
                  <w14:solidFill>
                    <w14:srgbClr w14:val="000000">
                      <w14:alpha w14:val="100000"/>
                    </w14:srgbClr>
                  </w14:solidFill>
                </w14:textFill>
              </w:rPr>
              <w:t xml:space="preserve">　</w:t>
            </w:r>
            <w:r w:rsidR="002A7FF8">
              <w:rPr>
                <w:szCs w:val="20"/>
                <w:vertAlign w:val="superscript"/>
              </w:rPr>
              <w:t>7</w:t>
            </w:r>
            <w:r w:rsidR="00E61FA9" w:rsidRPr="00E61FA9">
              <w:rPr>
                <w:szCs w:val="20"/>
              </w:rPr>
              <w:t xml:space="preserve"> </w:t>
            </w:r>
          </w:p>
        </w:tc>
        <w:tc>
          <w:tcPr>
            <w:tcW w:w="628" w:type="pct"/>
            <w:tcBorders>
              <w:bottom w:val="nil"/>
            </w:tcBorders>
            <w:vAlign w:val="center"/>
          </w:tcPr>
          <w:p w14:paraId="20CE809D" w14:textId="1B2AB795"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30048"/>
                <w14:textFill>
                  <w14:solidFill>
                    <w14:srgbClr w14:val="000000">
                      <w14:alpha w14:val="100000"/>
                    </w14:srgbClr>
                  </w14:solidFill>
                </w14:textFill>
              </w:rPr>
              <w:t xml:space="preserve">　</w:t>
            </w:r>
            <w:r w:rsidRPr="00A234BA">
              <w:rPr>
                <w:color w:val="000000"/>
                <w:w w:val="15"/>
                <w:szCs w:val="20"/>
                <w:shd w:val="solid" w:color="000000" w:fill="000000"/>
                <w:fitText w:val="15" w:id="-1168930048"/>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048"/>
                <w14:textFill>
                  <w14:solidFill>
                    <w14:srgbClr w14:val="000000">
                      <w14:alpha w14:val="100000"/>
                    </w14:srgbClr>
                  </w14:solidFill>
                </w14:textFill>
              </w:rPr>
              <w:t xml:space="preserve">　</w:t>
            </w:r>
            <w:r w:rsidR="002A7FF8">
              <w:rPr>
                <w:szCs w:val="20"/>
                <w:vertAlign w:val="superscript"/>
              </w:rPr>
              <w:t>3</w:t>
            </w:r>
          </w:p>
        </w:tc>
        <w:tc>
          <w:tcPr>
            <w:tcW w:w="627" w:type="pct"/>
            <w:tcBorders>
              <w:bottom w:val="nil"/>
            </w:tcBorders>
            <w:vAlign w:val="center"/>
          </w:tcPr>
          <w:p w14:paraId="2D28C17B" w14:textId="20D93FE6"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30047"/>
                <w14:textFill>
                  <w14:solidFill>
                    <w14:srgbClr w14:val="000000">
                      <w14:alpha w14:val="100000"/>
                    </w14:srgbClr>
                  </w14:solidFill>
                </w14:textFill>
              </w:rPr>
              <w:t xml:space="preserve">　</w:t>
            </w:r>
            <w:r w:rsidRPr="00A234BA">
              <w:rPr>
                <w:color w:val="000000"/>
                <w:w w:val="15"/>
                <w:szCs w:val="20"/>
                <w:shd w:val="solid" w:color="000000" w:fill="000000"/>
                <w:fitText w:val="15" w:id="-1168930047"/>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047"/>
                <w14:textFill>
                  <w14:solidFill>
                    <w14:srgbClr w14:val="000000">
                      <w14:alpha w14:val="100000"/>
                    </w14:srgbClr>
                  </w14:solidFill>
                </w14:textFill>
              </w:rPr>
              <w:t xml:space="preserve">　</w:t>
            </w:r>
            <w:r w:rsidR="002A7FF8">
              <w:rPr>
                <w:szCs w:val="20"/>
                <w:vertAlign w:val="superscript"/>
              </w:rPr>
              <w:t>3</w:t>
            </w:r>
            <w:r w:rsidR="00E61FA9" w:rsidRPr="00E61FA9">
              <w:rPr>
                <w:szCs w:val="20"/>
              </w:rPr>
              <w:t xml:space="preserve"> </w:t>
            </w:r>
          </w:p>
        </w:tc>
        <w:tc>
          <w:tcPr>
            <w:tcW w:w="627" w:type="pct"/>
            <w:tcBorders>
              <w:bottom w:val="nil"/>
            </w:tcBorders>
            <w:vAlign w:val="center"/>
          </w:tcPr>
          <w:p w14:paraId="0F93593D" w14:textId="5C66E19A"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30046"/>
                <w14:textFill>
                  <w14:solidFill>
                    <w14:srgbClr w14:val="000000">
                      <w14:alpha w14:val="100000"/>
                    </w14:srgbClr>
                  </w14:solidFill>
                </w14:textFill>
              </w:rPr>
              <w:t xml:space="preserve">　</w:t>
            </w:r>
            <w:r w:rsidRPr="00A234BA">
              <w:rPr>
                <w:color w:val="000000"/>
                <w:w w:val="15"/>
                <w:szCs w:val="20"/>
                <w:shd w:val="solid" w:color="000000" w:fill="000000"/>
                <w:fitText w:val="15" w:id="-1168930046"/>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046"/>
                <w14:textFill>
                  <w14:solidFill>
                    <w14:srgbClr w14:val="000000">
                      <w14:alpha w14:val="100000"/>
                    </w14:srgbClr>
                  </w14:solidFill>
                </w14:textFill>
              </w:rPr>
              <w:t xml:space="preserve">　</w:t>
            </w:r>
            <w:r w:rsidR="002A7FF8">
              <w:rPr>
                <w:szCs w:val="20"/>
                <w:vertAlign w:val="superscript"/>
              </w:rPr>
              <w:t>4</w:t>
            </w:r>
            <w:r w:rsidR="00E61FA9" w:rsidRPr="00E61FA9">
              <w:rPr>
                <w:szCs w:val="20"/>
              </w:rPr>
              <w:t xml:space="preserve"> </w:t>
            </w:r>
          </w:p>
        </w:tc>
        <w:tc>
          <w:tcPr>
            <w:tcW w:w="627" w:type="pct"/>
            <w:tcBorders>
              <w:bottom w:val="nil"/>
            </w:tcBorders>
            <w:vAlign w:val="center"/>
          </w:tcPr>
          <w:p w14:paraId="22D32C90" w14:textId="7E870A6C"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30045"/>
                <w14:textFill>
                  <w14:solidFill>
                    <w14:srgbClr w14:val="000000">
                      <w14:alpha w14:val="100000"/>
                    </w14:srgbClr>
                  </w14:solidFill>
                </w14:textFill>
              </w:rPr>
              <w:t xml:space="preserve">　</w:t>
            </w:r>
            <w:r w:rsidRPr="00A234BA">
              <w:rPr>
                <w:color w:val="000000"/>
                <w:w w:val="15"/>
                <w:szCs w:val="20"/>
                <w:shd w:val="solid" w:color="000000" w:fill="000000"/>
                <w:fitText w:val="15" w:id="-1168930045"/>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045"/>
                <w14:textFill>
                  <w14:solidFill>
                    <w14:srgbClr w14:val="000000">
                      <w14:alpha w14:val="100000"/>
                    </w14:srgbClr>
                  </w14:solidFill>
                </w14:textFill>
              </w:rPr>
              <w:t xml:space="preserve">　</w:t>
            </w:r>
            <w:r w:rsidR="002A7FF8">
              <w:rPr>
                <w:szCs w:val="20"/>
                <w:vertAlign w:val="superscript"/>
              </w:rPr>
              <w:t>5</w:t>
            </w:r>
            <w:r w:rsidR="00E61FA9" w:rsidRPr="00E61FA9">
              <w:rPr>
                <w:szCs w:val="20"/>
              </w:rPr>
              <w:t xml:space="preserve"> </w:t>
            </w:r>
          </w:p>
        </w:tc>
        <w:tc>
          <w:tcPr>
            <w:tcW w:w="629" w:type="pct"/>
            <w:tcBorders>
              <w:bottom w:val="nil"/>
            </w:tcBorders>
            <w:vAlign w:val="center"/>
          </w:tcPr>
          <w:p w14:paraId="1A615B05" w14:textId="7006D595"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30044"/>
                <w14:textFill>
                  <w14:solidFill>
                    <w14:srgbClr w14:val="000000">
                      <w14:alpha w14:val="100000"/>
                    </w14:srgbClr>
                  </w14:solidFill>
                </w14:textFill>
              </w:rPr>
              <w:t xml:space="preserve">　</w:t>
            </w:r>
            <w:r w:rsidRPr="00A234BA">
              <w:rPr>
                <w:color w:val="000000"/>
                <w:w w:val="15"/>
                <w:szCs w:val="20"/>
                <w:shd w:val="solid" w:color="000000" w:fill="000000"/>
                <w:fitText w:val="15" w:id="-1168930044"/>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044"/>
                <w14:textFill>
                  <w14:solidFill>
                    <w14:srgbClr w14:val="000000">
                      <w14:alpha w14:val="100000"/>
                    </w14:srgbClr>
                  </w14:solidFill>
                </w14:textFill>
              </w:rPr>
              <w:t xml:space="preserve">　</w:t>
            </w:r>
            <w:r w:rsidR="002A7FF8">
              <w:rPr>
                <w:szCs w:val="20"/>
                <w:vertAlign w:val="superscript"/>
              </w:rPr>
              <w:t>6</w:t>
            </w:r>
            <w:r w:rsidR="00E61FA9" w:rsidRPr="00E61FA9">
              <w:rPr>
                <w:szCs w:val="20"/>
              </w:rPr>
              <w:t xml:space="preserve"> </w:t>
            </w:r>
          </w:p>
        </w:tc>
      </w:tr>
      <w:tr w:rsidR="00293E6D" w:rsidRPr="00FD140C" w14:paraId="2CF07D68" w14:textId="77777777" w:rsidTr="002A7FF8">
        <w:tc>
          <w:tcPr>
            <w:tcW w:w="5000" w:type="pct"/>
            <w:gridSpan w:val="7"/>
            <w:shd w:val="clear" w:color="auto" w:fill="auto"/>
            <w:vAlign w:val="center"/>
          </w:tcPr>
          <w:p w14:paraId="6A392294" w14:textId="77777777" w:rsidR="00293E6D" w:rsidRPr="00FD140C" w:rsidRDefault="00293E6D" w:rsidP="00886A4E">
            <w:pPr>
              <w:pStyle w:val="In-tableHeading"/>
              <w:rPr>
                <w:szCs w:val="20"/>
              </w:rPr>
            </w:pPr>
            <w:r w:rsidRPr="00FD140C">
              <w:rPr>
                <w:szCs w:val="20"/>
              </w:rPr>
              <w:t>Estimated financial implications of MIRI</w:t>
            </w:r>
          </w:p>
        </w:tc>
      </w:tr>
      <w:tr w:rsidR="00293E6D" w:rsidRPr="00FD140C" w14:paraId="254F743B" w14:textId="77777777" w:rsidTr="002A7FF8">
        <w:tc>
          <w:tcPr>
            <w:tcW w:w="1277" w:type="pct"/>
            <w:shd w:val="clear" w:color="auto" w:fill="auto"/>
            <w:vAlign w:val="center"/>
          </w:tcPr>
          <w:p w14:paraId="2107B901" w14:textId="77777777" w:rsidR="00293E6D" w:rsidRPr="00FD140C" w:rsidRDefault="00293E6D" w:rsidP="00886A4E">
            <w:pPr>
              <w:pStyle w:val="TableText0"/>
              <w:rPr>
                <w:szCs w:val="20"/>
              </w:rPr>
            </w:pPr>
            <w:r w:rsidRPr="00FD140C">
              <w:rPr>
                <w:szCs w:val="20"/>
              </w:rPr>
              <w:t>Cost to PBS/RPBS less co-pay - submission</w:t>
            </w:r>
          </w:p>
        </w:tc>
        <w:tc>
          <w:tcPr>
            <w:tcW w:w="585" w:type="pct"/>
            <w:tcBorders>
              <w:top w:val="single" w:sz="4" w:space="0" w:color="auto"/>
            </w:tcBorders>
            <w:vAlign w:val="center"/>
          </w:tcPr>
          <w:p w14:paraId="40511402" w14:textId="165B3062"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60" w:id="-1168930043"/>
                <w14:textFill>
                  <w14:solidFill>
                    <w14:srgbClr w14:val="000000">
                      <w14:alpha w14:val="100000"/>
                    </w14:srgbClr>
                  </w14:solidFill>
                </w14:textFill>
              </w:rPr>
              <w:t xml:space="preserve">　</w:t>
            </w:r>
            <w:r w:rsidRPr="00D07BC0">
              <w:rPr>
                <w:color w:val="000000"/>
                <w:w w:val="15"/>
                <w:szCs w:val="20"/>
                <w:shd w:val="solid" w:color="000000" w:fill="000000"/>
                <w:fitText w:val="60" w:id="-1168930043"/>
                <w14:textFill>
                  <w14:solidFill>
                    <w14:srgbClr w14:val="000000">
                      <w14:alpha w14:val="100000"/>
                    </w14:srgbClr>
                  </w14:solidFill>
                </w14:textFill>
              </w:rPr>
              <w:t>|</w:t>
            </w:r>
            <w:r w:rsidRPr="00D07BC0">
              <w:rPr>
                <w:rFonts w:hint="eastAsia"/>
                <w:color w:val="000000"/>
                <w:spacing w:val="-5"/>
                <w:w w:val="15"/>
                <w:szCs w:val="20"/>
                <w:shd w:val="solid" w:color="000000" w:fill="000000"/>
                <w:fitText w:val="60" w:id="-1168930043"/>
                <w14:textFill>
                  <w14:solidFill>
                    <w14:srgbClr w14:val="000000">
                      <w14:alpha w14:val="100000"/>
                    </w14:srgbClr>
                  </w14:solidFill>
                </w14:textFill>
              </w:rPr>
              <w:t xml:space="preserve">　</w:t>
            </w:r>
            <w:r w:rsidR="002A7FF8">
              <w:rPr>
                <w:szCs w:val="20"/>
                <w:vertAlign w:val="superscript"/>
              </w:rPr>
              <w:t>8</w:t>
            </w:r>
          </w:p>
        </w:tc>
        <w:tc>
          <w:tcPr>
            <w:tcW w:w="628" w:type="pct"/>
            <w:tcBorders>
              <w:top w:val="single" w:sz="4" w:space="0" w:color="auto"/>
            </w:tcBorders>
            <w:vAlign w:val="center"/>
          </w:tcPr>
          <w:p w14:paraId="017976DC" w14:textId="01F4D234"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30042"/>
                <w14:textFill>
                  <w14:solidFill>
                    <w14:srgbClr w14:val="000000">
                      <w14:alpha w14:val="100000"/>
                    </w14:srgbClr>
                  </w14:solidFill>
                </w14:textFill>
              </w:rPr>
              <w:t xml:space="preserve">　</w:t>
            </w:r>
            <w:r w:rsidRPr="00A234BA">
              <w:rPr>
                <w:color w:val="000000"/>
                <w:w w:val="15"/>
                <w:szCs w:val="20"/>
                <w:shd w:val="solid" w:color="000000" w:fill="000000"/>
                <w:fitText w:val="15" w:id="-1168930042"/>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042"/>
                <w14:textFill>
                  <w14:solidFill>
                    <w14:srgbClr w14:val="000000">
                      <w14:alpha w14:val="100000"/>
                    </w14:srgbClr>
                  </w14:solidFill>
                </w14:textFill>
              </w:rPr>
              <w:t xml:space="preserve">　</w:t>
            </w:r>
            <w:r w:rsidR="002A7FF8">
              <w:rPr>
                <w:szCs w:val="20"/>
                <w:vertAlign w:val="superscript"/>
              </w:rPr>
              <w:t>9</w:t>
            </w:r>
          </w:p>
        </w:tc>
        <w:tc>
          <w:tcPr>
            <w:tcW w:w="627" w:type="pct"/>
            <w:tcBorders>
              <w:top w:val="single" w:sz="4" w:space="0" w:color="auto"/>
            </w:tcBorders>
            <w:vAlign w:val="center"/>
          </w:tcPr>
          <w:p w14:paraId="2BD17924" w14:textId="4F76D227"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41"/>
                <w14:textFill>
                  <w14:solidFill>
                    <w14:srgbClr w14:val="000000">
                      <w14:alpha w14:val="100000"/>
                    </w14:srgbClr>
                  </w14:solidFill>
                </w14:textFill>
              </w:rPr>
              <w:t xml:space="preserve">　</w:t>
            </w:r>
            <w:r w:rsidRPr="00D07BC0">
              <w:rPr>
                <w:color w:val="000000"/>
                <w:w w:val="15"/>
                <w:szCs w:val="20"/>
                <w:shd w:val="solid" w:color="000000" w:fill="000000"/>
                <w:fitText w:val="45" w:id="-1168930041"/>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41"/>
                <w14:textFill>
                  <w14:solidFill>
                    <w14:srgbClr w14:val="000000">
                      <w14:alpha w14:val="100000"/>
                    </w14:srgbClr>
                  </w14:solidFill>
                </w14:textFill>
              </w:rPr>
              <w:t xml:space="preserve">　</w:t>
            </w:r>
            <w:r w:rsidR="002A7FF8">
              <w:rPr>
                <w:szCs w:val="20"/>
                <w:vertAlign w:val="superscript"/>
              </w:rPr>
              <w:t>10</w:t>
            </w:r>
          </w:p>
        </w:tc>
        <w:tc>
          <w:tcPr>
            <w:tcW w:w="627" w:type="pct"/>
            <w:tcBorders>
              <w:top w:val="single" w:sz="4" w:space="0" w:color="auto"/>
            </w:tcBorders>
            <w:vAlign w:val="center"/>
          </w:tcPr>
          <w:p w14:paraId="1E211BCB" w14:textId="15E3EF93"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40"/>
                <w14:textFill>
                  <w14:solidFill>
                    <w14:srgbClr w14:val="000000">
                      <w14:alpha w14:val="100000"/>
                    </w14:srgbClr>
                  </w14:solidFill>
                </w14:textFill>
              </w:rPr>
              <w:t xml:space="preserve">　</w:t>
            </w:r>
            <w:r w:rsidRPr="00D07BC0">
              <w:rPr>
                <w:color w:val="000000"/>
                <w:w w:val="15"/>
                <w:szCs w:val="20"/>
                <w:shd w:val="solid" w:color="000000" w:fill="000000"/>
                <w:fitText w:val="45" w:id="-1168930040"/>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40"/>
                <w14:textFill>
                  <w14:solidFill>
                    <w14:srgbClr w14:val="000000">
                      <w14:alpha w14:val="100000"/>
                    </w14:srgbClr>
                  </w14:solidFill>
                </w14:textFill>
              </w:rPr>
              <w:t xml:space="preserve">　</w:t>
            </w:r>
            <w:r w:rsidR="002A7FF8">
              <w:rPr>
                <w:szCs w:val="20"/>
                <w:vertAlign w:val="superscript"/>
              </w:rPr>
              <w:t>11</w:t>
            </w:r>
          </w:p>
        </w:tc>
        <w:tc>
          <w:tcPr>
            <w:tcW w:w="627" w:type="pct"/>
            <w:tcBorders>
              <w:top w:val="single" w:sz="4" w:space="0" w:color="auto"/>
            </w:tcBorders>
            <w:vAlign w:val="center"/>
          </w:tcPr>
          <w:p w14:paraId="7734052F" w14:textId="62D512D1"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39"/>
                <w14:textFill>
                  <w14:solidFill>
                    <w14:srgbClr w14:val="000000">
                      <w14:alpha w14:val="100000"/>
                    </w14:srgbClr>
                  </w14:solidFill>
                </w14:textFill>
              </w:rPr>
              <w:t xml:space="preserve">　</w:t>
            </w:r>
            <w:r w:rsidRPr="00D07BC0">
              <w:rPr>
                <w:color w:val="000000"/>
                <w:w w:val="15"/>
                <w:szCs w:val="20"/>
                <w:shd w:val="solid" w:color="000000" w:fill="000000"/>
                <w:fitText w:val="45" w:id="-1168930039"/>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39"/>
                <w14:textFill>
                  <w14:solidFill>
                    <w14:srgbClr w14:val="000000">
                      <w14:alpha w14:val="100000"/>
                    </w14:srgbClr>
                  </w14:solidFill>
                </w14:textFill>
              </w:rPr>
              <w:t xml:space="preserve">　</w:t>
            </w:r>
            <w:r w:rsidR="002A7FF8">
              <w:rPr>
                <w:szCs w:val="20"/>
                <w:vertAlign w:val="superscript"/>
              </w:rPr>
              <w:t>12</w:t>
            </w:r>
          </w:p>
        </w:tc>
        <w:tc>
          <w:tcPr>
            <w:tcW w:w="629" w:type="pct"/>
            <w:tcBorders>
              <w:top w:val="single" w:sz="4" w:space="0" w:color="auto"/>
            </w:tcBorders>
            <w:vAlign w:val="center"/>
          </w:tcPr>
          <w:p w14:paraId="21B7DABE" w14:textId="305BED91"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38"/>
                <w14:textFill>
                  <w14:solidFill>
                    <w14:srgbClr w14:val="000000">
                      <w14:alpha w14:val="100000"/>
                    </w14:srgbClr>
                  </w14:solidFill>
                </w14:textFill>
              </w:rPr>
              <w:t xml:space="preserve">　</w:t>
            </w:r>
            <w:r w:rsidRPr="00D07BC0">
              <w:rPr>
                <w:color w:val="000000"/>
                <w:w w:val="15"/>
                <w:szCs w:val="20"/>
                <w:shd w:val="solid" w:color="000000" w:fill="000000"/>
                <w:fitText w:val="45" w:id="-1168930038"/>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38"/>
                <w14:textFill>
                  <w14:solidFill>
                    <w14:srgbClr w14:val="000000">
                      <w14:alpha w14:val="100000"/>
                    </w14:srgbClr>
                  </w14:solidFill>
                </w14:textFill>
              </w:rPr>
              <w:t xml:space="preserve">　</w:t>
            </w:r>
            <w:r w:rsidR="002A7FF8">
              <w:rPr>
                <w:szCs w:val="20"/>
                <w:vertAlign w:val="superscript"/>
              </w:rPr>
              <w:t>13</w:t>
            </w:r>
          </w:p>
        </w:tc>
      </w:tr>
      <w:tr w:rsidR="00293E6D" w:rsidRPr="00FD140C" w14:paraId="18D3C734" w14:textId="77777777" w:rsidTr="002A7FF8">
        <w:tc>
          <w:tcPr>
            <w:tcW w:w="1277" w:type="pct"/>
            <w:shd w:val="clear" w:color="auto" w:fill="auto"/>
            <w:vAlign w:val="center"/>
          </w:tcPr>
          <w:p w14:paraId="742AC0AA" w14:textId="77777777" w:rsidR="00293E6D" w:rsidRPr="00FD140C" w:rsidRDefault="00293E6D" w:rsidP="00886A4E">
            <w:pPr>
              <w:pStyle w:val="TableText0"/>
              <w:rPr>
                <w:szCs w:val="20"/>
              </w:rPr>
            </w:pPr>
            <w:r w:rsidRPr="00FD140C">
              <w:rPr>
                <w:szCs w:val="20"/>
              </w:rPr>
              <w:t>Cost to PBS/RPBS less co-pay - PSCR</w:t>
            </w:r>
          </w:p>
        </w:tc>
        <w:tc>
          <w:tcPr>
            <w:tcW w:w="585" w:type="pct"/>
            <w:tcBorders>
              <w:top w:val="single" w:sz="4" w:space="0" w:color="auto"/>
            </w:tcBorders>
            <w:vAlign w:val="center"/>
          </w:tcPr>
          <w:p w14:paraId="272E33AB" w14:textId="048C4A27"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60" w:id="-1168930037"/>
                <w14:textFill>
                  <w14:solidFill>
                    <w14:srgbClr w14:val="000000">
                      <w14:alpha w14:val="100000"/>
                    </w14:srgbClr>
                  </w14:solidFill>
                </w14:textFill>
              </w:rPr>
              <w:t xml:space="preserve">　</w:t>
            </w:r>
            <w:r w:rsidRPr="00D07BC0">
              <w:rPr>
                <w:color w:val="000000"/>
                <w:w w:val="15"/>
                <w:szCs w:val="20"/>
                <w:shd w:val="solid" w:color="000000" w:fill="000000"/>
                <w:fitText w:val="60" w:id="-1168930037"/>
                <w14:textFill>
                  <w14:solidFill>
                    <w14:srgbClr w14:val="000000">
                      <w14:alpha w14:val="100000"/>
                    </w14:srgbClr>
                  </w14:solidFill>
                </w14:textFill>
              </w:rPr>
              <w:t>|</w:t>
            </w:r>
            <w:r w:rsidRPr="00D07BC0">
              <w:rPr>
                <w:rFonts w:hint="eastAsia"/>
                <w:color w:val="000000"/>
                <w:spacing w:val="-5"/>
                <w:w w:val="15"/>
                <w:szCs w:val="20"/>
                <w:shd w:val="solid" w:color="000000" w:fill="000000"/>
                <w:fitText w:val="60" w:id="-1168930037"/>
                <w14:textFill>
                  <w14:solidFill>
                    <w14:srgbClr w14:val="000000">
                      <w14:alpha w14:val="100000"/>
                    </w14:srgbClr>
                  </w14:solidFill>
                </w14:textFill>
              </w:rPr>
              <w:t xml:space="preserve">　</w:t>
            </w:r>
            <w:r w:rsidR="002A7FF8">
              <w:rPr>
                <w:szCs w:val="20"/>
                <w:vertAlign w:val="superscript"/>
              </w:rPr>
              <w:t>8</w:t>
            </w:r>
          </w:p>
        </w:tc>
        <w:tc>
          <w:tcPr>
            <w:tcW w:w="628" w:type="pct"/>
            <w:tcBorders>
              <w:top w:val="single" w:sz="4" w:space="0" w:color="auto"/>
            </w:tcBorders>
            <w:vAlign w:val="center"/>
          </w:tcPr>
          <w:p w14:paraId="3280EEFA" w14:textId="2BF6CAA3"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30036"/>
                <w14:textFill>
                  <w14:solidFill>
                    <w14:srgbClr w14:val="000000">
                      <w14:alpha w14:val="100000"/>
                    </w14:srgbClr>
                  </w14:solidFill>
                </w14:textFill>
              </w:rPr>
              <w:t xml:space="preserve">　</w:t>
            </w:r>
            <w:r w:rsidRPr="00A234BA">
              <w:rPr>
                <w:color w:val="000000"/>
                <w:w w:val="15"/>
                <w:szCs w:val="20"/>
                <w:shd w:val="solid" w:color="000000" w:fill="000000"/>
                <w:fitText w:val="15" w:id="-1168930036"/>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30036"/>
                <w14:textFill>
                  <w14:solidFill>
                    <w14:srgbClr w14:val="000000">
                      <w14:alpha w14:val="100000"/>
                    </w14:srgbClr>
                  </w14:solidFill>
                </w14:textFill>
              </w:rPr>
              <w:t xml:space="preserve">　</w:t>
            </w:r>
            <w:r w:rsidR="002A7FF8">
              <w:rPr>
                <w:szCs w:val="20"/>
                <w:vertAlign w:val="superscript"/>
              </w:rPr>
              <w:t>9</w:t>
            </w:r>
          </w:p>
        </w:tc>
        <w:tc>
          <w:tcPr>
            <w:tcW w:w="627" w:type="pct"/>
            <w:tcBorders>
              <w:top w:val="single" w:sz="4" w:space="0" w:color="auto"/>
            </w:tcBorders>
            <w:vAlign w:val="center"/>
          </w:tcPr>
          <w:p w14:paraId="175CCE14" w14:textId="469FD135"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35"/>
                <w14:textFill>
                  <w14:solidFill>
                    <w14:srgbClr w14:val="000000">
                      <w14:alpha w14:val="100000"/>
                    </w14:srgbClr>
                  </w14:solidFill>
                </w14:textFill>
              </w:rPr>
              <w:t xml:space="preserve">　</w:t>
            </w:r>
            <w:r w:rsidRPr="00D07BC0">
              <w:rPr>
                <w:color w:val="000000"/>
                <w:w w:val="15"/>
                <w:szCs w:val="20"/>
                <w:shd w:val="solid" w:color="000000" w:fill="000000"/>
                <w:fitText w:val="45" w:id="-1168930035"/>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35"/>
                <w14:textFill>
                  <w14:solidFill>
                    <w14:srgbClr w14:val="000000">
                      <w14:alpha w14:val="100000"/>
                    </w14:srgbClr>
                  </w14:solidFill>
                </w14:textFill>
              </w:rPr>
              <w:t xml:space="preserve">　</w:t>
            </w:r>
            <w:r w:rsidR="002A7FF8">
              <w:rPr>
                <w:szCs w:val="20"/>
                <w:vertAlign w:val="superscript"/>
              </w:rPr>
              <w:t>11</w:t>
            </w:r>
          </w:p>
        </w:tc>
        <w:tc>
          <w:tcPr>
            <w:tcW w:w="627" w:type="pct"/>
            <w:tcBorders>
              <w:top w:val="single" w:sz="4" w:space="0" w:color="auto"/>
            </w:tcBorders>
            <w:vAlign w:val="center"/>
          </w:tcPr>
          <w:p w14:paraId="5E5AA643" w14:textId="5C567530"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34"/>
                <w14:textFill>
                  <w14:solidFill>
                    <w14:srgbClr w14:val="000000">
                      <w14:alpha w14:val="100000"/>
                    </w14:srgbClr>
                  </w14:solidFill>
                </w14:textFill>
              </w:rPr>
              <w:t xml:space="preserve">　</w:t>
            </w:r>
            <w:r w:rsidRPr="00D07BC0">
              <w:rPr>
                <w:color w:val="000000"/>
                <w:w w:val="15"/>
                <w:szCs w:val="20"/>
                <w:shd w:val="solid" w:color="000000" w:fill="000000"/>
                <w:fitText w:val="45" w:id="-1168930034"/>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34"/>
                <w14:textFill>
                  <w14:solidFill>
                    <w14:srgbClr w14:val="000000">
                      <w14:alpha w14:val="100000"/>
                    </w14:srgbClr>
                  </w14:solidFill>
                </w14:textFill>
              </w:rPr>
              <w:t xml:space="preserve">　</w:t>
            </w:r>
            <w:r w:rsidR="002A7FF8">
              <w:rPr>
                <w:szCs w:val="20"/>
                <w:vertAlign w:val="superscript"/>
              </w:rPr>
              <w:t>13</w:t>
            </w:r>
          </w:p>
        </w:tc>
        <w:tc>
          <w:tcPr>
            <w:tcW w:w="627" w:type="pct"/>
            <w:tcBorders>
              <w:top w:val="single" w:sz="4" w:space="0" w:color="auto"/>
            </w:tcBorders>
            <w:vAlign w:val="center"/>
          </w:tcPr>
          <w:p w14:paraId="56A93FBD" w14:textId="4AA69391"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33"/>
                <w14:textFill>
                  <w14:solidFill>
                    <w14:srgbClr w14:val="000000">
                      <w14:alpha w14:val="100000"/>
                    </w14:srgbClr>
                  </w14:solidFill>
                </w14:textFill>
              </w:rPr>
              <w:t xml:space="preserve">　</w:t>
            </w:r>
            <w:r w:rsidRPr="00D07BC0">
              <w:rPr>
                <w:color w:val="000000"/>
                <w:w w:val="15"/>
                <w:szCs w:val="20"/>
                <w:shd w:val="solid" w:color="000000" w:fill="000000"/>
                <w:fitText w:val="45" w:id="-1168930033"/>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33"/>
                <w14:textFill>
                  <w14:solidFill>
                    <w14:srgbClr w14:val="000000">
                      <w14:alpha w14:val="100000"/>
                    </w14:srgbClr>
                  </w14:solidFill>
                </w14:textFill>
              </w:rPr>
              <w:t xml:space="preserve">　</w:t>
            </w:r>
            <w:r w:rsidR="002A7FF8">
              <w:rPr>
                <w:szCs w:val="20"/>
                <w:vertAlign w:val="superscript"/>
              </w:rPr>
              <w:t>14</w:t>
            </w:r>
          </w:p>
        </w:tc>
        <w:tc>
          <w:tcPr>
            <w:tcW w:w="629" w:type="pct"/>
            <w:tcBorders>
              <w:top w:val="single" w:sz="4" w:space="0" w:color="auto"/>
            </w:tcBorders>
            <w:vAlign w:val="center"/>
          </w:tcPr>
          <w:p w14:paraId="35FF28FA" w14:textId="30AF1381"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32"/>
                <w14:textFill>
                  <w14:solidFill>
                    <w14:srgbClr w14:val="000000">
                      <w14:alpha w14:val="100000"/>
                    </w14:srgbClr>
                  </w14:solidFill>
                </w14:textFill>
              </w:rPr>
              <w:t xml:space="preserve">　</w:t>
            </w:r>
            <w:r w:rsidRPr="00D07BC0">
              <w:rPr>
                <w:color w:val="000000"/>
                <w:w w:val="15"/>
                <w:szCs w:val="20"/>
                <w:shd w:val="solid" w:color="000000" w:fill="000000"/>
                <w:fitText w:val="45" w:id="-1168930032"/>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32"/>
                <w14:textFill>
                  <w14:solidFill>
                    <w14:srgbClr w14:val="000000">
                      <w14:alpha w14:val="100000"/>
                    </w14:srgbClr>
                  </w14:solidFill>
                </w14:textFill>
              </w:rPr>
              <w:t xml:space="preserve">　</w:t>
            </w:r>
            <w:r w:rsidR="002A7FF8">
              <w:rPr>
                <w:szCs w:val="20"/>
                <w:vertAlign w:val="superscript"/>
              </w:rPr>
              <w:t>14</w:t>
            </w:r>
          </w:p>
        </w:tc>
      </w:tr>
      <w:tr w:rsidR="00293E6D" w:rsidRPr="00FD140C" w14:paraId="501F0E0A" w14:textId="77777777" w:rsidTr="002A7FF8">
        <w:tc>
          <w:tcPr>
            <w:tcW w:w="5000" w:type="pct"/>
            <w:gridSpan w:val="7"/>
            <w:shd w:val="clear" w:color="auto" w:fill="auto"/>
            <w:vAlign w:val="center"/>
          </w:tcPr>
          <w:p w14:paraId="0F8DDB34" w14:textId="77777777" w:rsidR="00293E6D" w:rsidRPr="00FD140C" w:rsidRDefault="00293E6D" w:rsidP="00886A4E">
            <w:pPr>
              <w:pStyle w:val="TableText0"/>
              <w:rPr>
                <w:szCs w:val="20"/>
              </w:rPr>
            </w:pPr>
            <w:r w:rsidRPr="00FD140C">
              <w:rPr>
                <w:szCs w:val="20"/>
              </w:rPr>
              <w:t>Estimated financial implications for other medicines</w:t>
            </w:r>
          </w:p>
        </w:tc>
      </w:tr>
      <w:tr w:rsidR="00293E6D" w:rsidRPr="00FD140C" w14:paraId="5611FA9D" w14:textId="77777777" w:rsidTr="002A7FF8">
        <w:tc>
          <w:tcPr>
            <w:tcW w:w="1277" w:type="pct"/>
            <w:shd w:val="clear" w:color="auto" w:fill="auto"/>
            <w:vAlign w:val="center"/>
          </w:tcPr>
          <w:p w14:paraId="526A7FA8" w14:textId="77777777" w:rsidR="00293E6D" w:rsidRPr="00FD140C" w:rsidRDefault="00293E6D" w:rsidP="00886A4E">
            <w:pPr>
              <w:pStyle w:val="TableText0"/>
              <w:rPr>
                <w:szCs w:val="20"/>
              </w:rPr>
            </w:pPr>
            <w:r w:rsidRPr="00FD140C">
              <w:rPr>
                <w:szCs w:val="20"/>
              </w:rPr>
              <w:t>Cost to PBS/RPBS less co-pay - submission</w:t>
            </w:r>
          </w:p>
        </w:tc>
        <w:tc>
          <w:tcPr>
            <w:tcW w:w="585" w:type="pct"/>
            <w:tcBorders>
              <w:top w:val="single" w:sz="4" w:space="0" w:color="auto"/>
              <w:bottom w:val="nil"/>
            </w:tcBorders>
            <w:vAlign w:val="center"/>
          </w:tcPr>
          <w:p w14:paraId="5AB02AB1" w14:textId="5D354617" w:rsidR="00293E6D" w:rsidRPr="002A7FF8" w:rsidRDefault="00D07BC0" w:rsidP="00886A4E">
            <w:pPr>
              <w:pStyle w:val="TableText0"/>
              <w:jc w:val="center"/>
              <w:rPr>
                <w:szCs w:val="20"/>
                <w:highlight w:val="darkGray"/>
              </w:rPr>
            </w:pPr>
            <w:r w:rsidRPr="00D07BC0">
              <w:rPr>
                <w:rFonts w:hint="eastAsia"/>
                <w:color w:val="000000"/>
                <w:w w:val="20"/>
                <w:szCs w:val="20"/>
                <w:shd w:val="solid" w:color="000000" w:fill="000000"/>
                <w:fitText w:val="90" w:id="-1168930048"/>
                <w14:textFill>
                  <w14:solidFill>
                    <w14:srgbClr w14:val="000000">
                      <w14:alpha w14:val="100000"/>
                    </w14:srgbClr>
                  </w14:solidFill>
                </w14:textFill>
              </w:rPr>
              <w:t xml:space="preserve">　</w:t>
            </w:r>
            <w:r w:rsidRPr="00D07BC0">
              <w:rPr>
                <w:color w:val="000000"/>
                <w:w w:val="20"/>
                <w:szCs w:val="20"/>
                <w:shd w:val="solid" w:color="000000" w:fill="000000"/>
                <w:fitText w:val="90" w:id="-1168930048"/>
                <w14:textFill>
                  <w14:solidFill>
                    <w14:srgbClr w14:val="000000">
                      <w14:alpha w14:val="100000"/>
                    </w14:srgbClr>
                  </w14:solidFill>
                </w14:textFill>
              </w:rPr>
              <w:t>|</w:t>
            </w:r>
            <w:r w:rsidRPr="00D07BC0">
              <w:rPr>
                <w:rFonts w:hint="eastAsia"/>
                <w:color w:val="000000"/>
                <w:spacing w:val="3"/>
                <w:w w:val="20"/>
                <w:szCs w:val="20"/>
                <w:shd w:val="solid" w:color="000000" w:fill="000000"/>
                <w:fitText w:val="90" w:id="-1168930048"/>
                <w14:textFill>
                  <w14:solidFill>
                    <w14:srgbClr w14:val="000000">
                      <w14:alpha w14:val="100000"/>
                    </w14:srgbClr>
                  </w14:solidFill>
                </w14:textFill>
              </w:rPr>
              <w:t xml:space="preserve">　</w:t>
            </w:r>
            <w:r w:rsidR="002A7FF8">
              <w:rPr>
                <w:szCs w:val="20"/>
                <w:vertAlign w:val="superscript"/>
              </w:rPr>
              <w:t>15</w:t>
            </w:r>
          </w:p>
        </w:tc>
        <w:tc>
          <w:tcPr>
            <w:tcW w:w="628" w:type="pct"/>
            <w:tcBorders>
              <w:top w:val="single" w:sz="4" w:space="0" w:color="auto"/>
              <w:bottom w:val="nil"/>
            </w:tcBorders>
            <w:vAlign w:val="center"/>
          </w:tcPr>
          <w:p w14:paraId="3362C043" w14:textId="0C5BAB71"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47"/>
                <w14:textFill>
                  <w14:solidFill>
                    <w14:srgbClr w14:val="000000">
                      <w14:alpha w14:val="100000"/>
                    </w14:srgbClr>
                  </w14:solidFill>
                </w14:textFill>
              </w:rPr>
              <w:t xml:space="preserve">　</w:t>
            </w:r>
            <w:r w:rsidRPr="00D07BC0">
              <w:rPr>
                <w:color w:val="000000"/>
                <w:w w:val="15"/>
                <w:szCs w:val="20"/>
                <w:shd w:val="solid" w:color="000000" w:fill="000000"/>
                <w:fitText w:val="45" w:id="-1168930047"/>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47"/>
                <w14:textFill>
                  <w14:solidFill>
                    <w14:srgbClr w14:val="000000">
                      <w14:alpha w14:val="100000"/>
                    </w14:srgbClr>
                  </w14:solidFill>
                </w14:textFill>
              </w:rPr>
              <w:t xml:space="preserve">　</w:t>
            </w:r>
            <w:r w:rsidR="002A7FF8">
              <w:rPr>
                <w:szCs w:val="20"/>
                <w:vertAlign w:val="superscript"/>
              </w:rPr>
              <w:t>15</w:t>
            </w:r>
          </w:p>
        </w:tc>
        <w:tc>
          <w:tcPr>
            <w:tcW w:w="627" w:type="pct"/>
            <w:tcBorders>
              <w:top w:val="single" w:sz="4" w:space="0" w:color="auto"/>
              <w:bottom w:val="nil"/>
            </w:tcBorders>
            <w:vAlign w:val="center"/>
          </w:tcPr>
          <w:p w14:paraId="6E769CC2" w14:textId="658C9253"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46"/>
                <w14:textFill>
                  <w14:solidFill>
                    <w14:srgbClr w14:val="000000">
                      <w14:alpha w14:val="100000"/>
                    </w14:srgbClr>
                  </w14:solidFill>
                </w14:textFill>
              </w:rPr>
              <w:t xml:space="preserve">　</w:t>
            </w:r>
            <w:r w:rsidRPr="00D07BC0">
              <w:rPr>
                <w:color w:val="000000"/>
                <w:w w:val="15"/>
                <w:szCs w:val="20"/>
                <w:shd w:val="solid" w:color="000000" w:fill="000000"/>
                <w:fitText w:val="45" w:id="-1168930046"/>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46"/>
                <w14:textFill>
                  <w14:solidFill>
                    <w14:srgbClr w14:val="000000">
                      <w14:alpha w14:val="100000"/>
                    </w14:srgbClr>
                  </w14:solidFill>
                </w14:textFill>
              </w:rPr>
              <w:t xml:space="preserve">　</w:t>
            </w:r>
            <w:r w:rsidR="002A7FF8">
              <w:rPr>
                <w:szCs w:val="20"/>
                <w:vertAlign w:val="superscript"/>
              </w:rPr>
              <w:t>15</w:t>
            </w:r>
          </w:p>
        </w:tc>
        <w:tc>
          <w:tcPr>
            <w:tcW w:w="627" w:type="pct"/>
            <w:tcBorders>
              <w:top w:val="single" w:sz="4" w:space="0" w:color="auto"/>
              <w:bottom w:val="nil"/>
            </w:tcBorders>
            <w:vAlign w:val="center"/>
          </w:tcPr>
          <w:p w14:paraId="5768B72F" w14:textId="01F3BC7C"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45"/>
                <w14:textFill>
                  <w14:solidFill>
                    <w14:srgbClr w14:val="000000">
                      <w14:alpha w14:val="100000"/>
                    </w14:srgbClr>
                  </w14:solidFill>
                </w14:textFill>
              </w:rPr>
              <w:t xml:space="preserve">　</w:t>
            </w:r>
            <w:r w:rsidRPr="00D07BC0">
              <w:rPr>
                <w:color w:val="000000"/>
                <w:w w:val="15"/>
                <w:szCs w:val="20"/>
                <w:shd w:val="solid" w:color="000000" w:fill="000000"/>
                <w:fitText w:val="45" w:id="-1168930045"/>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45"/>
                <w14:textFill>
                  <w14:solidFill>
                    <w14:srgbClr w14:val="000000">
                      <w14:alpha w14:val="100000"/>
                    </w14:srgbClr>
                  </w14:solidFill>
                </w14:textFill>
              </w:rPr>
              <w:t xml:space="preserve">　</w:t>
            </w:r>
            <w:r w:rsidR="002A7FF8">
              <w:rPr>
                <w:szCs w:val="20"/>
                <w:vertAlign w:val="superscript"/>
              </w:rPr>
              <w:t>15</w:t>
            </w:r>
          </w:p>
        </w:tc>
        <w:tc>
          <w:tcPr>
            <w:tcW w:w="627" w:type="pct"/>
            <w:tcBorders>
              <w:top w:val="single" w:sz="4" w:space="0" w:color="auto"/>
              <w:bottom w:val="nil"/>
            </w:tcBorders>
            <w:vAlign w:val="center"/>
          </w:tcPr>
          <w:p w14:paraId="674877E3" w14:textId="7B2D445A"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44"/>
                <w14:textFill>
                  <w14:solidFill>
                    <w14:srgbClr w14:val="000000">
                      <w14:alpha w14:val="100000"/>
                    </w14:srgbClr>
                  </w14:solidFill>
                </w14:textFill>
              </w:rPr>
              <w:t xml:space="preserve">　</w:t>
            </w:r>
            <w:r w:rsidRPr="00D07BC0">
              <w:rPr>
                <w:color w:val="000000"/>
                <w:w w:val="15"/>
                <w:szCs w:val="20"/>
                <w:shd w:val="solid" w:color="000000" w:fill="000000"/>
                <w:fitText w:val="45" w:id="-1168930044"/>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44"/>
                <w14:textFill>
                  <w14:solidFill>
                    <w14:srgbClr w14:val="000000">
                      <w14:alpha w14:val="100000"/>
                    </w14:srgbClr>
                  </w14:solidFill>
                </w14:textFill>
              </w:rPr>
              <w:t xml:space="preserve">　</w:t>
            </w:r>
            <w:r w:rsidR="002A7FF8">
              <w:rPr>
                <w:szCs w:val="20"/>
                <w:vertAlign w:val="superscript"/>
              </w:rPr>
              <w:t>15</w:t>
            </w:r>
          </w:p>
        </w:tc>
        <w:tc>
          <w:tcPr>
            <w:tcW w:w="629" w:type="pct"/>
            <w:tcBorders>
              <w:top w:val="single" w:sz="4" w:space="0" w:color="auto"/>
              <w:bottom w:val="nil"/>
            </w:tcBorders>
            <w:vAlign w:val="center"/>
          </w:tcPr>
          <w:p w14:paraId="622C3C4B" w14:textId="620BBBA7"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43"/>
                <w14:textFill>
                  <w14:solidFill>
                    <w14:srgbClr w14:val="000000">
                      <w14:alpha w14:val="100000"/>
                    </w14:srgbClr>
                  </w14:solidFill>
                </w14:textFill>
              </w:rPr>
              <w:t xml:space="preserve">　</w:t>
            </w:r>
            <w:r w:rsidRPr="00D07BC0">
              <w:rPr>
                <w:color w:val="000000"/>
                <w:w w:val="15"/>
                <w:szCs w:val="20"/>
                <w:shd w:val="solid" w:color="000000" w:fill="000000"/>
                <w:fitText w:val="45" w:id="-1168930043"/>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43"/>
                <w14:textFill>
                  <w14:solidFill>
                    <w14:srgbClr w14:val="000000">
                      <w14:alpha w14:val="100000"/>
                    </w14:srgbClr>
                  </w14:solidFill>
                </w14:textFill>
              </w:rPr>
              <w:t xml:space="preserve">　</w:t>
            </w:r>
            <w:r w:rsidR="002A7FF8">
              <w:rPr>
                <w:szCs w:val="20"/>
                <w:vertAlign w:val="superscript"/>
              </w:rPr>
              <w:t>15</w:t>
            </w:r>
          </w:p>
        </w:tc>
      </w:tr>
      <w:tr w:rsidR="00293E6D" w:rsidRPr="00FD140C" w14:paraId="257FE1A7" w14:textId="77777777" w:rsidTr="002A7FF8">
        <w:tc>
          <w:tcPr>
            <w:tcW w:w="1277" w:type="pct"/>
            <w:shd w:val="clear" w:color="auto" w:fill="auto"/>
            <w:vAlign w:val="center"/>
          </w:tcPr>
          <w:p w14:paraId="0AC82C0F" w14:textId="77777777" w:rsidR="00293E6D" w:rsidRPr="00FD140C" w:rsidRDefault="00293E6D" w:rsidP="00886A4E">
            <w:pPr>
              <w:pStyle w:val="TableText0"/>
              <w:rPr>
                <w:szCs w:val="20"/>
              </w:rPr>
            </w:pPr>
            <w:r w:rsidRPr="00FD140C">
              <w:rPr>
                <w:szCs w:val="20"/>
              </w:rPr>
              <w:t>Cost to PBS/RPBS less co-pay - PSCR</w:t>
            </w:r>
          </w:p>
        </w:tc>
        <w:tc>
          <w:tcPr>
            <w:tcW w:w="585" w:type="pct"/>
            <w:tcBorders>
              <w:top w:val="single" w:sz="4" w:space="0" w:color="auto"/>
              <w:bottom w:val="nil"/>
            </w:tcBorders>
            <w:vAlign w:val="center"/>
          </w:tcPr>
          <w:p w14:paraId="3C4EF8D1" w14:textId="17B9235E" w:rsidR="00293E6D" w:rsidRPr="002A7FF8" w:rsidRDefault="00D07BC0" w:rsidP="00886A4E">
            <w:pPr>
              <w:pStyle w:val="TableText0"/>
              <w:jc w:val="center"/>
              <w:rPr>
                <w:szCs w:val="20"/>
                <w:highlight w:val="darkGray"/>
              </w:rPr>
            </w:pPr>
            <w:r w:rsidRPr="00D07BC0">
              <w:rPr>
                <w:rFonts w:hint="eastAsia"/>
                <w:color w:val="000000"/>
                <w:w w:val="20"/>
                <w:szCs w:val="20"/>
                <w:shd w:val="solid" w:color="000000" w:fill="000000"/>
                <w:fitText w:val="90" w:id="-1168930042"/>
                <w14:textFill>
                  <w14:solidFill>
                    <w14:srgbClr w14:val="000000">
                      <w14:alpha w14:val="100000"/>
                    </w14:srgbClr>
                  </w14:solidFill>
                </w14:textFill>
              </w:rPr>
              <w:t xml:space="preserve">　</w:t>
            </w:r>
            <w:r w:rsidRPr="00D07BC0">
              <w:rPr>
                <w:color w:val="000000"/>
                <w:w w:val="20"/>
                <w:szCs w:val="20"/>
                <w:shd w:val="solid" w:color="000000" w:fill="000000"/>
                <w:fitText w:val="90" w:id="-1168930042"/>
                <w14:textFill>
                  <w14:solidFill>
                    <w14:srgbClr w14:val="000000">
                      <w14:alpha w14:val="100000"/>
                    </w14:srgbClr>
                  </w14:solidFill>
                </w14:textFill>
              </w:rPr>
              <w:t>|</w:t>
            </w:r>
            <w:r w:rsidRPr="00D07BC0">
              <w:rPr>
                <w:rFonts w:hint="eastAsia"/>
                <w:color w:val="000000"/>
                <w:spacing w:val="3"/>
                <w:w w:val="20"/>
                <w:szCs w:val="20"/>
                <w:shd w:val="solid" w:color="000000" w:fill="000000"/>
                <w:fitText w:val="90" w:id="-1168930042"/>
                <w14:textFill>
                  <w14:solidFill>
                    <w14:srgbClr w14:val="000000">
                      <w14:alpha w14:val="100000"/>
                    </w14:srgbClr>
                  </w14:solidFill>
                </w14:textFill>
              </w:rPr>
              <w:t xml:space="preserve">　</w:t>
            </w:r>
            <w:r w:rsidR="002A7FF8">
              <w:rPr>
                <w:szCs w:val="20"/>
                <w:vertAlign w:val="superscript"/>
              </w:rPr>
              <w:t>15</w:t>
            </w:r>
          </w:p>
        </w:tc>
        <w:tc>
          <w:tcPr>
            <w:tcW w:w="628" w:type="pct"/>
            <w:tcBorders>
              <w:top w:val="single" w:sz="4" w:space="0" w:color="auto"/>
              <w:bottom w:val="nil"/>
            </w:tcBorders>
            <w:vAlign w:val="center"/>
          </w:tcPr>
          <w:p w14:paraId="3CAC3AB3" w14:textId="4C0ECD00"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41"/>
                <w14:textFill>
                  <w14:solidFill>
                    <w14:srgbClr w14:val="000000">
                      <w14:alpha w14:val="100000"/>
                    </w14:srgbClr>
                  </w14:solidFill>
                </w14:textFill>
              </w:rPr>
              <w:t xml:space="preserve">　</w:t>
            </w:r>
            <w:r w:rsidRPr="00D07BC0">
              <w:rPr>
                <w:color w:val="000000"/>
                <w:w w:val="15"/>
                <w:szCs w:val="20"/>
                <w:shd w:val="solid" w:color="000000" w:fill="000000"/>
                <w:fitText w:val="45" w:id="-1168930041"/>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41"/>
                <w14:textFill>
                  <w14:solidFill>
                    <w14:srgbClr w14:val="000000">
                      <w14:alpha w14:val="100000"/>
                    </w14:srgbClr>
                  </w14:solidFill>
                </w14:textFill>
              </w:rPr>
              <w:t xml:space="preserve">　</w:t>
            </w:r>
            <w:r w:rsidR="002A7FF8">
              <w:rPr>
                <w:szCs w:val="20"/>
                <w:vertAlign w:val="superscript"/>
              </w:rPr>
              <w:t>15</w:t>
            </w:r>
          </w:p>
        </w:tc>
        <w:tc>
          <w:tcPr>
            <w:tcW w:w="627" w:type="pct"/>
            <w:tcBorders>
              <w:top w:val="single" w:sz="4" w:space="0" w:color="auto"/>
              <w:bottom w:val="nil"/>
            </w:tcBorders>
            <w:vAlign w:val="center"/>
          </w:tcPr>
          <w:p w14:paraId="3654B786" w14:textId="5FB92ABB"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40"/>
                <w14:textFill>
                  <w14:solidFill>
                    <w14:srgbClr w14:val="000000">
                      <w14:alpha w14:val="100000"/>
                    </w14:srgbClr>
                  </w14:solidFill>
                </w14:textFill>
              </w:rPr>
              <w:t xml:space="preserve">　</w:t>
            </w:r>
            <w:r w:rsidRPr="00D07BC0">
              <w:rPr>
                <w:color w:val="000000"/>
                <w:w w:val="15"/>
                <w:szCs w:val="20"/>
                <w:shd w:val="solid" w:color="000000" w:fill="000000"/>
                <w:fitText w:val="45" w:id="-1168930040"/>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40"/>
                <w14:textFill>
                  <w14:solidFill>
                    <w14:srgbClr w14:val="000000">
                      <w14:alpha w14:val="100000"/>
                    </w14:srgbClr>
                  </w14:solidFill>
                </w14:textFill>
              </w:rPr>
              <w:t xml:space="preserve">　</w:t>
            </w:r>
            <w:r w:rsidR="002A7FF8">
              <w:rPr>
                <w:szCs w:val="20"/>
                <w:vertAlign w:val="superscript"/>
              </w:rPr>
              <w:t>15</w:t>
            </w:r>
          </w:p>
        </w:tc>
        <w:tc>
          <w:tcPr>
            <w:tcW w:w="627" w:type="pct"/>
            <w:tcBorders>
              <w:top w:val="single" w:sz="4" w:space="0" w:color="auto"/>
              <w:bottom w:val="nil"/>
            </w:tcBorders>
            <w:vAlign w:val="center"/>
          </w:tcPr>
          <w:p w14:paraId="6B1168FE" w14:textId="52BF7043"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30039"/>
                <w14:textFill>
                  <w14:solidFill>
                    <w14:srgbClr w14:val="000000">
                      <w14:alpha w14:val="100000"/>
                    </w14:srgbClr>
                  </w14:solidFill>
                </w14:textFill>
              </w:rPr>
              <w:t xml:space="preserve">　</w:t>
            </w:r>
            <w:r w:rsidRPr="00D07BC0">
              <w:rPr>
                <w:color w:val="000000"/>
                <w:w w:val="15"/>
                <w:szCs w:val="20"/>
                <w:shd w:val="solid" w:color="000000" w:fill="000000"/>
                <w:fitText w:val="45" w:id="-1168930039"/>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30039"/>
                <w14:textFill>
                  <w14:solidFill>
                    <w14:srgbClr w14:val="000000">
                      <w14:alpha w14:val="100000"/>
                    </w14:srgbClr>
                  </w14:solidFill>
                </w14:textFill>
              </w:rPr>
              <w:t xml:space="preserve">　</w:t>
            </w:r>
            <w:r w:rsidR="002A7FF8">
              <w:rPr>
                <w:szCs w:val="20"/>
                <w:vertAlign w:val="superscript"/>
              </w:rPr>
              <w:t>15</w:t>
            </w:r>
          </w:p>
        </w:tc>
        <w:tc>
          <w:tcPr>
            <w:tcW w:w="627" w:type="pct"/>
            <w:tcBorders>
              <w:top w:val="single" w:sz="4" w:space="0" w:color="auto"/>
              <w:bottom w:val="nil"/>
            </w:tcBorders>
            <w:vAlign w:val="center"/>
          </w:tcPr>
          <w:p w14:paraId="15F5C5E5" w14:textId="59C84243"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792"/>
                <w14:textFill>
                  <w14:solidFill>
                    <w14:srgbClr w14:val="000000">
                      <w14:alpha w14:val="100000"/>
                    </w14:srgbClr>
                  </w14:solidFill>
                </w14:textFill>
              </w:rPr>
              <w:t xml:space="preserve">　</w:t>
            </w:r>
            <w:r w:rsidRPr="00D07BC0">
              <w:rPr>
                <w:color w:val="000000"/>
                <w:w w:val="15"/>
                <w:szCs w:val="20"/>
                <w:shd w:val="solid" w:color="000000" w:fill="000000"/>
                <w:fitText w:val="45" w:id="-1168929792"/>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792"/>
                <w14:textFill>
                  <w14:solidFill>
                    <w14:srgbClr w14:val="000000">
                      <w14:alpha w14:val="100000"/>
                    </w14:srgbClr>
                  </w14:solidFill>
                </w14:textFill>
              </w:rPr>
              <w:t xml:space="preserve">　</w:t>
            </w:r>
            <w:r w:rsidR="002A7FF8">
              <w:rPr>
                <w:szCs w:val="20"/>
                <w:vertAlign w:val="superscript"/>
              </w:rPr>
              <w:t>15</w:t>
            </w:r>
          </w:p>
        </w:tc>
        <w:tc>
          <w:tcPr>
            <w:tcW w:w="629" w:type="pct"/>
            <w:tcBorders>
              <w:top w:val="single" w:sz="4" w:space="0" w:color="auto"/>
              <w:bottom w:val="nil"/>
            </w:tcBorders>
            <w:vAlign w:val="center"/>
          </w:tcPr>
          <w:p w14:paraId="10B5B225" w14:textId="6583DDC0"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791"/>
                <w14:textFill>
                  <w14:solidFill>
                    <w14:srgbClr w14:val="000000">
                      <w14:alpha w14:val="100000"/>
                    </w14:srgbClr>
                  </w14:solidFill>
                </w14:textFill>
              </w:rPr>
              <w:t xml:space="preserve">　</w:t>
            </w:r>
            <w:r w:rsidRPr="00D07BC0">
              <w:rPr>
                <w:color w:val="000000"/>
                <w:w w:val="15"/>
                <w:szCs w:val="20"/>
                <w:shd w:val="solid" w:color="000000" w:fill="000000"/>
                <w:fitText w:val="45" w:id="-1168929791"/>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791"/>
                <w14:textFill>
                  <w14:solidFill>
                    <w14:srgbClr w14:val="000000">
                      <w14:alpha w14:val="100000"/>
                    </w14:srgbClr>
                  </w14:solidFill>
                </w14:textFill>
              </w:rPr>
              <w:t xml:space="preserve">　</w:t>
            </w:r>
            <w:r w:rsidR="002A7FF8">
              <w:rPr>
                <w:szCs w:val="20"/>
                <w:vertAlign w:val="superscript"/>
              </w:rPr>
              <w:t>15</w:t>
            </w:r>
          </w:p>
        </w:tc>
      </w:tr>
      <w:tr w:rsidR="00293E6D" w:rsidRPr="00FD140C" w14:paraId="4BDECCFE" w14:textId="77777777" w:rsidTr="002A7FF8">
        <w:tc>
          <w:tcPr>
            <w:tcW w:w="5000" w:type="pct"/>
            <w:gridSpan w:val="7"/>
            <w:shd w:val="clear" w:color="auto" w:fill="auto"/>
            <w:vAlign w:val="center"/>
          </w:tcPr>
          <w:p w14:paraId="36007D97" w14:textId="77777777" w:rsidR="00293E6D" w:rsidRPr="00FD140C" w:rsidRDefault="00293E6D" w:rsidP="00886A4E">
            <w:pPr>
              <w:pStyle w:val="In-tableHeading"/>
              <w:rPr>
                <w:szCs w:val="20"/>
              </w:rPr>
            </w:pPr>
            <w:r w:rsidRPr="00FD140C">
              <w:rPr>
                <w:szCs w:val="20"/>
              </w:rPr>
              <w:t>Net financial implications</w:t>
            </w:r>
          </w:p>
        </w:tc>
      </w:tr>
      <w:tr w:rsidR="00293E6D" w:rsidRPr="00FD140C" w14:paraId="16442AA1" w14:textId="77777777" w:rsidTr="002A7FF8">
        <w:tc>
          <w:tcPr>
            <w:tcW w:w="1277" w:type="pct"/>
            <w:shd w:val="clear" w:color="auto" w:fill="auto"/>
            <w:vAlign w:val="center"/>
          </w:tcPr>
          <w:p w14:paraId="3D6AFC86" w14:textId="77777777" w:rsidR="00293E6D" w:rsidRPr="00FD140C" w:rsidRDefault="00293E6D" w:rsidP="00886A4E">
            <w:pPr>
              <w:pStyle w:val="TableText0"/>
              <w:rPr>
                <w:szCs w:val="20"/>
              </w:rPr>
            </w:pPr>
            <w:r w:rsidRPr="00FD140C">
              <w:rPr>
                <w:szCs w:val="20"/>
              </w:rPr>
              <w:t>Net cost to PBS/RPBS - submission</w:t>
            </w:r>
          </w:p>
        </w:tc>
        <w:tc>
          <w:tcPr>
            <w:tcW w:w="585" w:type="pct"/>
            <w:vAlign w:val="center"/>
          </w:tcPr>
          <w:p w14:paraId="4C6668C3" w14:textId="5734BEFA" w:rsidR="00293E6D" w:rsidRPr="002A7FF8" w:rsidRDefault="00D07BC0" w:rsidP="00886A4E">
            <w:pPr>
              <w:pStyle w:val="TableText0"/>
              <w:jc w:val="center"/>
              <w:rPr>
                <w:szCs w:val="20"/>
                <w:highlight w:val="darkGray"/>
              </w:rPr>
            </w:pPr>
            <w:r w:rsidRPr="00D07BC0">
              <w:rPr>
                <w:rFonts w:hint="eastAsia"/>
                <w:color w:val="000000"/>
                <w:w w:val="20"/>
                <w:szCs w:val="20"/>
                <w:shd w:val="solid" w:color="000000" w:fill="000000"/>
                <w:fitText w:val="90" w:id="-1168929790"/>
                <w14:textFill>
                  <w14:solidFill>
                    <w14:srgbClr w14:val="000000">
                      <w14:alpha w14:val="100000"/>
                    </w14:srgbClr>
                  </w14:solidFill>
                </w14:textFill>
              </w:rPr>
              <w:t xml:space="preserve">　</w:t>
            </w:r>
            <w:r w:rsidRPr="00D07BC0">
              <w:rPr>
                <w:color w:val="000000"/>
                <w:w w:val="20"/>
                <w:szCs w:val="20"/>
                <w:shd w:val="solid" w:color="000000" w:fill="000000"/>
                <w:fitText w:val="90" w:id="-1168929790"/>
                <w14:textFill>
                  <w14:solidFill>
                    <w14:srgbClr w14:val="000000">
                      <w14:alpha w14:val="100000"/>
                    </w14:srgbClr>
                  </w14:solidFill>
                </w14:textFill>
              </w:rPr>
              <w:t>|</w:t>
            </w:r>
            <w:r w:rsidRPr="00D07BC0">
              <w:rPr>
                <w:rFonts w:hint="eastAsia"/>
                <w:color w:val="000000"/>
                <w:spacing w:val="3"/>
                <w:w w:val="20"/>
                <w:szCs w:val="20"/>
                <w:shd w:val="solid" w:color="000000" w:fill="000000"/>
                <w:fitText w:val="90" w:id="-1168929790"/>
                <w14:textFill>
                  <w14:solidFill>
                    <w14:srgbClr w14:val="000000">
                      <w14:alpha w14:val="100000"/>
                    </w14:srgbClr>
                  </w14:solidFill>
                </w14:textFill>
              </w:rPr>
              <w:t xml:space="preserve">　</w:t>
            </w:r>
            <w:r w:rsidR="002A7FF8">
              <w:rPr>
                <w:szCs w:val="20"/>
                <w:vertAlign w:val="superscript"/>
              </w:rPr>
              <w:t>15</w:t>
            </w:r>
          </w:p>
        </w:tc>
        <w:tc>
          <w:tcPr>
            <w:tcW w:w="628" w:type="pct"/>
            <w:vAlign w:val="center"/>
          </w:tcPr>
          <w:p w14:paraId="0FCDD0A4" w14:textId="730A666B"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789"/>
                <w14:textFill>
                  <w14:solidFill>
                    <w14:srgbClr w14:val="000000">
                      <w14:alpha w14:val="100000"/>
                    </w14:srgbClr>
                  </w14:solidFill>
                </w14:textFill>
              </w:rPr>
              <w:t xml:space="preserve">　</w:t>
            </w:r>
            <w:r w:rsidRPr="00A234BA">
              <w:rPr>
                <w:color w:val="000000"/>
                <w:w w:val="15"/>
                <w:szCs w:val="20"/>
                <w:shd w:val="solid" w:color="000000" w:fill="000000"/>
                <w:fitText w:val="15" w:id="-1168929789"/>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789"/>
                <w14:textFill>
                  <w14:solidFill>
                    <w14:srgbClr w14:val="000000">
                      <w14:alpha w14:val="100000"/>
                    </w14:srgbClr>
                  </w14:solidFill>
                </w14:textFill>
              </w:rPr>
              <w:t xml:space="preserve">　</w:t>
            </w:r>
            <w:r w:rsidR="002A7FF8">
              <w:rPr>
                <w:szCs w:val="20"/>
                <w:vertAlign w:val="superscript"/>
              </w:rPr>
              <w:t>8</w:t>
            </w:r>
          </w:p>
        </w:tc>
        <w:tc>
          <w:tcPr>
            <w:tcW w:w="627" w:type="pct"/>
            <w:vAlign w:val="center"/>
          </w:tcPr>
          <w:p w14:paraId="65C9E836" w14:textId="04A67E61"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788"/>
                <w14:textFill>
                  <w14:solidFill>
                    <w14:srgbClr w14:val="000000">
                      <w14:alpha w14:val="100000"/>
                    </w14:srgbClr>
                  </w14:solidFill>
                </w14:textFill>
              </w:rPr>
              <w:t xml:space="preserve">　</w:t>
            </w:r>
            <w:r w:rsidRPr="00A234BA">
              <w:rPr>
                <w:color w:val="000000"/>
                <w:w w:val="15"/>
                <w:szCs w:val="20"/>
                <w:shd w:val="solid" w:color="000000" w:fill="000000"/>
                <w:fitText w:val="15" w:id="-1168929788"/>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788"/>
                <w14:textFill>
                  <w14:solidFill>
                    <w14:srgbClr w14:val="000000">
                      <w14:alpha w14:val="100000"/>
                    </w14:srgbClr>
                  </w14:solidFill>
                </w14:textFill>
              </w:rPr>
              <w:t xml:space="preserve">　</w:t>
            </w:r>
            <w:r w:rsidR="002A7FF8">
              <w:rPr>
                <w:szCs w:val="20"/>
                <w:vertAlign w:val="superscript"/>
              </w:rPr>
              <w:t>9</w:t>
            </w:r>
          </w:p>
        </w:tc>
        <w:tc>
          <w:tcPr>
            <w:tcW w:w="627" w:type="pct"/>
            <w:vAlign w:val="center"/>
          </w:tcPr>
          <w:p w14:paraId="0DDE4825" w14:textId="63F4516E"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787"/>
                <w14:textFill>
                  <w14:solidFill>
                    <w14:srgbClr w14:val="000000">
                      <w14:alpha w14:val="100000"/>
                    </w14:srgbClr>
                  </w14:solidFill>
                </w14:textFill>
              </w:rPr>
              <w:t xml:space="preserve">　</w:t>
            </w:r>
            <w:r w:rsidRPr="00A234BA">
              <w:rPr>
                <w:color w:val="000000"/>
                <w:w w:val="15"/>
                <w:szCs w:val="20"/>
                <w:shd w:val="solid" w:color="000000" w:fill="000000"/>
                <w:fitText w:val="15" w:id="-1168929787"/>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787"/>
                <w14:textFill>
                  <w14:solidFill>
                    <w14:srgbClr w14:val="000000">
                      <w14:alpha w14:val="100000"/>
                    </w14:srgbClr>
                  </w14:solidFill>
                </w14:textFill>
              </w:rPr>
              <w:t xml:space="preserve">　</w:t>
            </w:r>
            <w:r w:rsidR="002A7FF8">
              <w:rPr>
                <w:szCs w:val="20"/>
                <w:vertAlign w:val="superscript"/>
              </w:rPr>
              <w:t>9</w:t>
            </w:r>
          </w:p>
        </w:tc>
        <w:tc>
          <w:tcPr>
            <w:tcW w:w="627" w:type="pct"/>
            <w:vAlign w:val="center"/>
          </w:tcPr>
          <w:p w14:paraId="238275D4" w14:textId="18521BD9"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786"/>
                <w14:textFill>
                  <w14:solidFill>
                    <w14:srgbClr w14:val="000000">
                      <w14:alpha w14:val="100000"/>
                    </w14:srgbClr>
                  </w14:solidFill>
                </w14:textFill>
              </w:rPr>
              <w:t xml:space="preserve">　</w:t>
            </w:r>
            <w:r w:rsidRPr="00D07BC0">
              <w:rPr>
                <w:color w:val="000000"/>
                <w:w w:val="15"/>
                <w:szCs w:val="20"/>
                <w:shd w:val="solid" w:color="000000" w:fill="000000"/>
                <w:fitText w:val="45" w:id="-1168929786"/>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786"/>
                <w14:textFill>
                  <w14:solidFill>
                    <w14:srgbClr w14:val="000000">
                      <w14:alpha w14:val="100000"/>
                    </w14:srgbClr>
                  </w14:solidFill>
                </w14:textFill>
              </w:rPr>
              <w:t xml:space="preserve">　</w:t>
            </w:r>
            <w:r w:rsidR="002A7FF8">
              <w:rPr>
                <w:szCs w:val="20"/>
                <w:vertAlign w:val="superscript"/>
              </w:rPr>
              <w:t>10</w:t>
            </w:r>
          </w:p>
        </w:tc>
        <w:tc>
          <w:tcPr>
            <w:tcW w:w="629" w:type="pct"/>
            <w:vAlign w:val="center"/>
          </w:tcPr>
          <w:p w14:paraId="5EEF1D4E" w14:textId="2023A5F0"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785"/>
                <w14:textFill>
                  <w14:solidFill>
                    <w14:srgbClr w14:val="000000">
                      <w14:alpha w14:val="100000"/>
                    </w14:srgbClr>
                  </w14:solidFill>
                </w14:textFill>
              </w:rPr>
              <w:t xml:space="preserve">　</w:t>
            </w:r>
            <w:r w:rsidRPr="00D07BC0">
              <w:rPr>
                <w:color w:val="000000"/>
                <w:w w:val="15"/>
                <w:szCs w:val="20"/>
                <w:shd w:val="solid" w:color="000000" w:fill="000000"/>
                <w:fitText w:val="45" w:id="-1168929785"/>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785"/>
                <w14:textFill>
                  <w14:solidFill>
                    <w14:srgbClr w14:val="000000">
                      <w14:alpha w14:val="100000"/>
                    </w14:srgbClr>
                  </w14:solidFill>
                </w14:textFill>
              </w:rPr>
              <w:t xml:space="preserve">　</w:t>
            </w:r>
            <w:r w:rsidR="002A7FF8">
              <w:rPr>
                <w:szCs w:val="20"/>
                <w:vertAlign w:val="superscript"/>
              </w:rPr>
              <w:t>10</w:t>
            </w:r>
          </w:p>
        </w:tc>
      </w:tr>
      <w:tr w:rsidR="00293E6D" w:rsidRPr="00FD140C" w14:paraId="486AA9B1" w14:textId="77777777" w:rsidTr="002A7FF8">
        <w:tc>
          <w:tcPr>
            <w:tcW w:w="1277" w:type="pct"/>
            <w:shd w:val="clear" w:color="auto" w:fill="auto"/>
            <w:vAlign w:val="center"/>
          </w:tcPr>
          <w:p w14:paraId="50242E8A" w14:textId="77777777" w:rsidR="00293E6D" w:rsidRPr="00FD140C" w:rsidRDefault="00293E6D" w:rsidP="00886A4E">
            <w:pPr>
              <w:pStyle w:val="TableText0"/>
              <w:rPr>
                <w:szCs w:val="20"/>
              </w:rPr>
            </w:pPr>
            <w:r w:rsidRPr="00FD140C">
              <w:rPr>
                <w:szCs w:val="20"/>
              </w:rPr>
              <w:t>Net cost to PBS/RPBS - PSCR</w:t>
            </w:r>
          </w:p>
        </w:tc>
        <w:tc>
          <w:tcPr>
            <w:tcW w:w="585" w:type="pct"/>
            <w:vAlign w:val="center"/>
          </w:tcPr>
          <w:p w14:paraId="171A4BFC" w14:textId="3843C526" w:rsidR="00293E6D" w:rsidRPr="002A7FF8" w:rsidRDefault="00D07BC0" w:rsidP="00886A4E">
            <w:pPr>
              <w:pStyle w:val="TableText0"/>
              <w:jc w:val="center"/>
              <w:rPr>
                <w:szCs w:val="20"/>
                <w:highlight w:val="darkGray"/>
              </w:rPr>
            </w:pPr>
            <w:r w:rsidRPr="00D07BC0">
              <w:rPr>
                <w:rFonts w:hint="eastAsia"/>
                <w:color w:val="000000"/>
                <w:w w:val="20"/>
                <w:szCs w:val="20"/>
                <w:shd w:val="solid" w:color="000000" w:fill="000000"/>
                <w:fitText w:val="90" w:id="-1168929784"/>
                <w14:textFill>
                  <w14:solidFill>
                    <w14:srgbClr w14:val="000000">
                      <w14:alpha w14:val="100000"/>
                    </w14:srgbClr>
                  </w14:solidFill>
                </w14:textFill>
              </w:rPr>
              <w:t xml:space="preserve">　</w:t>
            </w:r>
            <w:r w:rsidRPr="00D07BC0">
              <w:rPr>
                <w:color w:val="000000"/>
                <w:w w:val="20"/>
                <w:szCs w:val="20"/>
                <w:shd w:val="solid" w:color="000000" w:fill="000000"/>
                <w:fitText w:val="90" w:id="-1168929784"/>
                <w14:textFill>
                  <w14:solidFill>
                    <w14:srgbClr w14:val="000000">
                      <w14:alpha w14:val="100000"/>
                    </w14:srgbClr>
                  </w14:solidFill>
                </w14:textFill>
              </w:rPr>
              <w:t>|</w:t>
            </w:r>
            <w:r w:rsidRPr="00D07BC0">
              <w:rPr>
                <w:rFonts w:hint="eastAsia"/>
                <w:color w:val="000000"/>
                <w:spacing w:val="3"/>
                <w:w w:val="20"/>
                <w:szCs w:val="20"/>
                <w:shd w:val="solid" w:color="000000" w:fill="000000"/>
                <w:fitText w:val="90" w:id="-1168929784"/>
                <w14:textFill>
                  <w14:solidFill>
                    <w14:srgbClr w14:val="000000">
                      <w14:alpha w14:val="100000"/>
                    </w14:srgbClr>
                  </w14:solidFill>
                </w14:textFill>
              </w:rPr>
              <w:t xml:space="preserve">　</w:t>
            </w:r>
            <w:r w:rsidR="002A7FF8">
              <w:rPr>
                <w:szCs w:val="20"/>
                <w:vertAlign w:val="superscript"/>
              </w:rPr>
              <w:t>15</w:t>
            </w:r>
          </w:p>
        </w:tc>
        <w:tc>
          <w:tcPr>
            <w:tcW w:w="628" w:type="pct"/>
            <w:vAlign w:val="center"/>
          </w:tcPr>
          <w:p w14:paraId="66E1D2F1" w14:textId="142856DE"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783"/>
                <w14:textFill>
                  <w14:solidFill>
                    <w14:srgbClr w14:val="000000">
                      <w14:alpha w14:val="100000"/>
                    </w14:srgbClr>
                  </w14:solidFill>
                </w14:textFill>
              </w:rPr>
              <w:t xml:space="preserve">　</w:t>
            </w:r>
            <w:r w:rsidRPr="00A234BA">
              <w:rPr>
                <w:color w:val="000000"/>
                <w:w w:val="15"/>
                <w:szCs w:val="20"/>
                <w:shd w:val="solid" w:color="000000" w:fill="000000"/>
                <w:fitText w:val="15" w:id="-1168929783"/>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783"/>
                <w14:textFill>
                  <w14:solidFill>
                    <w14:srgbClr w14:val="000000">
                      <w14:alpha w14:val="100000"/>
                    </w14:srgbClr>
                  </w14:solidFill>
                </w14:textFill>
              </w:rPr>
              <w:t xml:space="preserve">　</w:t>
            </w:r>
            <w:r w:rsidR="002A7FF8">
              <w:rPr>
                <w:szCs w:val="20"/>
                <w:vertAlign w:val="superscript"/>
              </w:rPr>
              <w:t>8</w:t>
            </w:r>
          </w:p>
        </w:tc>
        <w:tc>
          <w:tcPr>
            <w:tcW w:w="627" w:type="pct"/>
            <w:vAlign w:val="center"/>
          </w:tcPr>
          <w:p w14:paraId="006663F0" w14:textId="16286F76"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782"/>
                <w14:textFill>
                  <w14:solidFill>
                    <w14:srgbClr w14:val="000000">
                      <w14:alpha w14:val="100000"/>
                    </w14:srgbClr>
                  </w14:solidFill>
                </w14:textFill>
              </w:rPr>
              <w:t xml:space="preserve">　</w:t>
            </w:r>
            <w:r w:rsidRPr="00A234BA">
              <w:rPr>
                <w:color w:val="000000"/>
                <w:w w:val="15"/>
                <w:szCs w:val="20"/>
                <w:shd w:val="solid" w:color="000000" w:fill="000000"/>
                <w:fitText w:val="15" w:id="-1168929782"/>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782"/>
                <w14:textFill>
                  <w14:solidFill>
                    <w14:srgbClr w14:val="000000">
                      <w14:alpha w14:val="100000"/>
                    </w14:srgbClr>
                  </w14:solidFill>
                </w14:textFill>
              </w:rPr>
              <w:t xml:space="preserve">　</w:t>
            </w:r>
            <w:r w:rsidR="002A7FF8">
              <w:rPr>
                <w:szCs w:val="20"/>
                <w:vertAlign w:val="superscript"/>
              </w:rPr>
              <w:t>9</w:t>
            </w:r>
          </w:p>
        </w:tc>
        <w:tc>
          <w:tcPr>
            <w:tcW w:w="627" w:type="pct"/>
            <w:vAlign w:val="center"/>
          </w:tcPr>
          <w:p w14:paraId="73148F61" w14:textId="00F7777A"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781"/>
                <w14:textFill>
                  <w14:solidFill>
                    <w14:srgbClr w14:val="000000">
                      <w14:alpha w14:val="100000"/>
                    </w14:srgbClr>
                  </w14:solidFill>
                </w14:textFill>
              </w:rPr>
              <w:t xml:space="preserve">　</w:t>
            </w:r>
            <w:r w:rsidRPr="00D07BC0">
              <w:rPr>
                <w:color w:val="000000"/>
                <w:w w:val="15"/>
                <w:szCs w:val="20"/>
                <w:shd w:val="solid" w:color="000000" w:fill="000000"/>
                <w:fitText w:val="45" w:id="-1168929781"/>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781"/>
                <w14:textFill>
                  <w14:solidFill>
                    <w14:srgbClr w14:val="000000">
                      <w14:alpha w14:val="100000"/>
                    </w14:srgbClr>
                  </w14:solidFill>
                </w14:textFill>
              </w:rPr>
              <w:t xml:space="preserve">　</w:t>
            </w:r>
            <w:r w:rsidR="002A7FF8">
              <w:rPr>
                <w:szCs w:val="20"/>
                <w:vertAlign w:val="superscript"/>
              </w:rPr>
              <w:t>10</w:t>
            </w:r>
          </w:p>
        </w:tc>
        <w:tc>
          <w:tcPr>
            <w:tcW w:w="627" w:type="pct"/>
            <w:vAlign w:val="center"/>
          </w:tcPr>
          <w:p w14:paraId="76CD67FC" w14:textId="39F02336"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780"/>
                <w14:textFill>
                  <w14:solidFill>
                    <w14:srgbClr w14:val="000000">
                      <w14:alpha w14:val="100000"/>
                    </w14:srgbClr>
                  </w14:solidFill>
                </w14:textFill>
              </w:rPr>
              <w:t xml:space="preserve">　</w:t>
            </w:r>
            <w:r w:rsidRPr="00D07BC0">
              <w:rPr>
                <w:color w:val="000000"/>
                <w:w w:val="15"/>
                <w:szCs w:val="20"/>
                <w:shd w:val="solid" w:color="000000" w:fill="000000"/>
                <w:fitText w:val="45" w:id="-1168929780"/>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780"/>
                <w14:textFill>
                  <w14:solidFill>
                    <w14:srgbClr w14:val="000000">
                      <w14:alpha w14:val="100000"/>
                    </w14:srgbClr>
                  </w14:solidFill>
                </w14:textFill>
              </w:rPr>
              <w:t xml:space="preserve">　</w:t>
            </w:r>
            <w:r w:rsidR="002A7FF8">
              <w:rPr>
                <w:szCs w:val="20"/>
                <w:vertAlign w:val="superscript"/>
              </w:rPr>
              <w:t>10</w:t>
            </w:r>
          </w:p>
        </w:tc>
        <w:tc>
          <w:tcPr>
            <w:tcW w:w="629" w:type="pct"/>
            <w:vAlign w:val="center"/>
          </w:tcPr>
          <w:p w14:paraId="411B1E6A" w14:textId="65E3EEE7"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779"/>
                <w14:textFill>
                  <w14:solidFill>
                    <w14:srgbClr w14:val="000000">
                      <w14:alpha w14:val="100000"/>
                    </w14:srgbClr>
                  </w14:solidFill>
                </w14:textFill>
              </w:rPr>
              <w:t xml:space="preserve">　</w:t>
            </w:r>
            <w:r w:rsidRPr="00D07BC0">
              <w:rPr>
                <w:color w:val="000000"/>
                <w:w w:val="15"/>
                <w:szCs w:val="20"/>
                <w:shd w:val="solid" w:color="000000" w:fill="000000"/>
                <w:fitText w:val="45" w:id="-1168929779"/>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779"/>
                <w14:textFill>
                  <w14:solidFill>
                    <w14:srgbClr w14:val="000000">
                      <w14:alpha w14:val="100000"/>
                    </w14:srgbClr>
                  </w14:solidFill>
                </w14:textFill>
              </w:rPr>
              <w:t xml:space="preserve">　</w:t>
            </w:r>
            <w:r w:rsidR="002A7FF8">
              <w:rPr>
                <w:szCs w:val="20"/>
                <w:vertAlign w:val="superscript"/>
              </w:rPr>
              <w:t>11</w:t>
            </w:r>
          </w:p>
        </w:tc>
      </w:tr>
      <w:tr w:rsidR="00293E6D" w:rsidRPr="00FD140C" w14:paraId="6765711A" w14:textId="77777777" w:rsidTr="002A7FF8">
        <w:tc>
          <w:tcPr>
            <w:tcW w:w="1277" w:type="pct"/>
            <w:shd w:val="clear" w:color="auto" w:fill="auto"/>
            <w:vAlign w:val="center"/>
          </w:tcPr>
          <w:p w14:paraId="3EFCB555" w14:textId="77777777" w:rsidR="00293E6D" w:rsidRPr="00FD140C" w:rsidRDefault="00293E6D" w:rsidP="00886A4E">
            <w:pPr>
              <w:pStyle w:val="TableText0"/>
              <w:rPr>
                <w:szCs w:val="20"/>
              </w:rPr>
            </w:pPr>
            <w:r w:rsidRPr="00FD140C">
              <w:rPr>
                <w:szCs w:val="20"/>
              </w:rPr>
              <w:t>Net cost to health budget - submission</w:t>
            </w:r>
          </w:p>
        </w:tc>
        <w:tc>
          <w:tcPr>
            <w:tcW w:w="585" w:type="pct"/>
            <w:vAlign w:val="center"/>
          </w:tcPr>
          <w:p w14:paraId="7FC54309" w14:textId="68FB724F" w:rsidR="00293E6D" w:rsidRPr="002A7FF8" w:rsidRDefault="00D07BC0" w:rsidP="00886A4E">
            <w:pPr>
              <w:pStyle w:val="TableText0"/>
              <w:jc w:val="center"/>
              <w:rPr>
                <w:szCs w:val="20"/>
                <w:highlight w:val="darkGray"/>
              </w:rPr>
            </w:pPr>
            <w:r w:rsidRPr="00D07BC0">
              <w:rPr>
                <w:rFonts w:hint="eastAsia"/>
                <w:color w:val="000000"/>
                <w:w w:val="20"/>
                <w:szCs w:val="20"/>
                <w:shd w:val="solid" w:color="000000" w:fill="000000"/>
                <w:fitText w:val="90" w:id="-1168929778"/>
                <w14:textFill>
                  <w14:solidFill>
                    <w14:srgbClr w14:val="000000">
                      <w14:alpha w14:val="100000"/>
                    </w14:srgbClr>
                  </w14:solidFill>
                </w14:textFill>
              </w:rPr>
              <w:t xml:space="preserve">　</w:t>
            </w:r>
            <w:r w:rsidRPr="00D07BC0">
              <w:rPr>
                <w:color w:val="000000"/>
                <w:w w:val="20"/>
                <w:szCs w:val="20"/>
                <w:shd w:val="solid" w:color="000000" w:fill="000000"/>
                <w:fitText w:val="90" w:id="-1168929778"/>
                <w14:textFill>
                  <w14:solidFill>
                    <w14:srgbClr w14:val="000000">
                      <w14:alpha w14:val="100000"/>
                    </w14:srgbClr>
                  </w14:solidFill>
                </w14:textFill>
              </w:rPr>
              <w:t>|</w:t>
            </w:r>
            <w:r w:rsidRPr="00D07BC0">
              <w:rPr>
                <w:rFonts w:hint="eastAsia"/>
                <w:color w:val="000000"/>
                <w:spacing w:val="3"/>
                <w:w w:val="20"/>
                <w:szCs w:val="20"/>
                <w:shd w:val="solid" w:color="000000" w:fill="000000"/>
                <w:fitText w:val="90" w:id="-1168929778"/>
                <w14:textFill>
                  <w14:solidFill>
                    <w14:srgbClr w14:val="000000">
                      <w14:alpha w14:val="100000"/>
                    </w14:srgbClr>
                  </w14:solidFill>
                </w14:textFill>
              </w:rPr>
              <w:t xml:space="preserve">　</w:t>
            </w:r>
            <w:r w:rsidR="002A7FF8">
              <w:rPr>
                <w:szCs w:val="20"/>
                <w:vertAlign w:val="superscript"/>
              </w:rPr>
              <w:t>15</w:t>
            </w:r>
          </w:p>
        </w:tc>
        <w:tc>
          <w:tcPr>
            <w:tcW w:w="628" w:type="pct"/>
            <w:vAlign w:val="center"/>
          </w:tcPr>
          <w:p w14:paraId="4DA9A336" w14:textId="196C10BE"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777"/>
                <w14:textFill>
                  <w14:solidFill>
                    <w14:srgbClr w14:val="000000">
                      <w14:alpha w14:val="100000"/>
                    </w14:srgbClr>
                  </w14:solidFill>
                </w14:textFill>
              </w:rPr>
              <w:t xml:space="preserve">　</w:t>
            </w:r>
            <w:r w:rsidRPr="00A234BA">
              <w:rPr>
                <w:color w:val="000000"/>
                <w:w w:val="15"/>
                <w:szCs w:val="20"/>
                <w:shd w:val="solid" w:color="000000" w:fill="000000"/>
                <w:fitText w:val="15" w:id="-1168929777"/>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777"/>
                <w14:textFill>
                  <w14:solidFill>
                    <w14:srgbClr w14:val="000000">
                      <w14:alpha w14:val="100000"/>
                    </w14:srgbClr>
                  </w14:solidFill>
                </w14:textFill>
              </w:rPr>
              <w:t xml:space="preserve">　</w:t>
            </w:r>
            <w:r w:rsidR="002A7FF8">
              <w:rPr>
                <w:szCs w:val="20"/>
                <w:vertAlign w:val="superscript"/>
              </w:rPr>
              <w:t>8</w:t>
            </w:r>
          </w:p>
        </w:tc>
        <w:tc>
          <w:tcPr>
            <w:tcW w:w="627" w:type="pct"/>
            <w:vAlign w:val="center"/>
          </w:tcPr>
          <w:p w14:paraId="7FE71AAA" w14:textId="79394DC0"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776"/>
                <w14:textFill>
                  <w14:solidFill>
                    <w14:srgbClr w14:val="000000">
                      <w14:alpha w14:val="100000"/>
                    </w14:srgbClr>
                  </w14:solidFill>
                </w14:textFill>
              </w:rPr>
              <w:t xml:space="preserve">　</w:t>
            </w:r>
            <w:r w:rsidRPr="00A234BA">
              <w:rPr>
                <w:color w:val="000000"/>
                <w:w w:val="15"/>
                <w:szCs w:val="20"/>
                <w:shd w:val="solid" w:color="000000" w:fill="000000"/>
                <w:fitText w:val="15" w:id="-1168929776"/>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776"/>
                <w14:textFill>
                  <w14:solidFill>
                    <w14:srgbClr w14:val="000000">
                      <w14:alpha w14:val="100000"/>
                    </w14:srgbClr>
                  </w14:solidFill>
                </w14:textFill>
              </w:rPr>
              <w:t xml:space="preserve">　</w:t>
            </w:r>
            <w:r w:rsidR="002A7FF8">
              <w:rPr>
                <w:szCs w:val="20"/>
                <w:vertAlign w:val="superscript"/>
              </w:rPr>
              <w:t>9</w:t>
            </w:r>
          </w:p>
        </w:tc>
        <w:tc>
          <w:tcPr>
            <w:tcW w:w="627" w:type="pct"/>
            <w:vAlign w:val="center"/>
          </w:tcPr>
          <w:p w14:paraId="5FF6F9F8" w14:textId="1DDDA31F"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792"/>
                <w14:textFill>
                  <w14:solidFill>
                    <w14:srgbClr w14:val="000000">
                      <w14:alpha w14:val="100000"/>
                    </w14:srgbClr>
                  </w14:solidFill>
                </w14:textFill>
              </w:rPr>
              <w:t xml:space="preserve">　</w:t>
            </w:r>
            <w:r w:rsidRPr="00A234BA">
              <w:rPr>
                <w:color w:val="000000"/>
                <w:w w:val="15"/>
                <w:szCs w:val="20"/>
                <w:shd w:val="solid" w:color="000000" w:fill="000000"/>
                <w:fitText w:val="15" w:id="-1168929792"/>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792"/>
                <w14:textFill>
                  <w14:solidFill>
                    <w14:srgbClr w14:val="000000">
                      <w14:alpha w14:val="100000"/>
                    </w14:srgbClr>
                  </w14:solidFill>
                </w14:textFill>
              </w:rPr>
              <w:t xml:space="preserve">　</w:t>
            </w:r>
            <w:r w:rsidR="002A7FF8">
              <w:rPr>
                <w:szCs w:val="20"/>
                <w:vertAlign w:val="superscript"/>
              </w:rPr>
              <w:t>9</w:t>
            </w:r>
          </w:p>
        </w:tc>
        <w:tc>
          <w:tcPr>
            <w:tcW w:w="627" w:type="pct"/>
            <w:vAlign w:val="center"/>
          </w:tcPr>
          <w:p w14:paraId="20E09602" w14:textId="566EADFE"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791"/>
                <w14:textFill>
                  <w14:solidFill>
                    <w14:srgbClr w14:val="000000">
                      <w14:alpha w14:val="100000"/>
                    </w14:srgbClr>
                  </w14:solidFill>
                </w14:textFill>
              </w:rPr>
              <w:t xml:space="preserve">　</w:t>
            </w:r>
            <w:r w:rsidRPr="00D07BC0">
              <w:rPr>
                <w:color w:val="000000"/>
                <w:w w:val="15"/>
                <w:szCs w:val="20"/>
                <w:shd w:val="solid" w:color="000000" w:fill="000000"/>
                <w:fitText w:val="45" w:id="-1168929791"/>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791"/>
                <w14:textFill>
                  <w14:solidFill>
                    <w14:srgbClr w14:val="000000">
                      <w14:alpha w14:val="100000"/>
                    </w14:srgbClr>
                  </w14:solidFill>
                </w14:textFill>
              </w:rPr>
              <w:t xml:space="preserve">　</w:t>
            </w:r>
            <w:r w:rsidR="002A7FF8">
              <w:rPr>
                <w:szCs w:val="20"/>
                <w:vertAlign w:val="superscript"/>
              </w:rPr>
              <w:t>10</w:t>
            </w:r>
          </w:p>
        </w:tc>
        <w:tc>
          <w:tcPr>
            <w:tcW w:w="629" w:type="pct"/>
            <w:vAlign w:val="center"/>
          </w:tcPr>
          <w:p w14:paraId="62E78851" w14:textId="6C74857A"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790"/>
                <w14:textFill>
                  <w14:solidFill>
                    <w14:srgbClr w14:val="000000">
                      <w14:alpha w14:val="100000"/>
                    </w14:srgbClr>
                  </w14:solidFill>
                </w14:textFill>
              </w:rPr>
              <w:t xml:space="preserve">　</w:t>
            </w:r>
            <w:r w:rsidRPr="00D07BC0">
              <w:rPr>
                <w:color w:val="000000"/>
                <w:w w:val="15"/>
                <w:szCs w:val="20"/>
                <w:shd w:val="solid" w:color="000000" w:fill="000000"/>
                <w:fitText w:val="45" w:id="-1168929790"/>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790"/>
                <w14:textFill>
                  <w14:solidFill>
                    <w14:srgbClr w14:val="000000">
                      <w14:alpha w14:val="100000"/>
                    </w14:srgbClr>
                  </w14:solidFill>
                </w14:textFill>
              </w:rPr>
              <w:t xml:space="preserve">　</w:t>
            </w:r>
            <w:r w:rsidR="002A7FF8">
              <w:rPr>
                <w:szCs w:val="20"/>
                <w:vertAlign w:val="superscript"/>
              </w:rPr>
              <w:t>10</w:t>
            </w:r>
          </w:p>
        </w:tc>
      </w:tr>
      <w:tr w:rsidR="00293E6D" w:rsidRPr="00FD140C" w14:paraId="7C3AA83E" w14:textId="77777777" w:rsidTr="002A7FF8">
        <w:tc>
          <w:tcPr>
            <w:tcW w:w="1277" w:type="pct"/>
            <w:shd w:val="clear" w:color="auto" w:fill="auto"/>
            <w:vAlign w:val="center"/>
          </w:tcPr>
          <w:p w14:paraId="39B0DEF1" w14:textId="77777777" w:rsidR="00293E6D" w:rsidRPr="00FD140C" w:rsidRDefault="00293E6D" w:rsidP="00886A4E">
            <w:pPr>
              <w:pStyle w:val="TableText0"/>
              <w:rPr>
                <w:szCs w:val="20"/>
              </w:rPr>
            </w:pPr>
            <w:r w:rsidRPr="00FD140C">
              <w:rPr>
                <w:szCs w:val="20"/>
              </w:rPr>
              <w:t>Net cost to health budget - PSCR</w:t>
            </w:r>
          </w:p>
        </w:tc>
        <w:tc>
          <w:tcPr>
            <w:tcW w:w="585" w:type="pct"/>
            <w:vAlign w:val="center"/>
          </w:tcPr>
          <w:p w14:paraId="51659DFD" w14:textId="7DE8AD56" w:rsidR="00293E6D" w:rsidRPr="002A7FF8" w:rsidRDefault="00D07BC0" w:rsidP="00886A4E">
            <w:pPr>
              <w:pStyle w:val="TableText0"/>
              <w:jc w:val="center"/>
              <w:rPr>
                <w:szCs w:val="20"/>
                <w:highlight w:val="darkGray"/>
              </w:rPr>
            </w:pPr>
            <w:r w:rsidRPr="00D07BC0">
              <w:rPr>
                <w:rFonts w:hint="eastAsia"/>
                <w:color w:val="000000"/>
                <w:w w:val="20"/>
                <w:szCs w:val="20"/>
                <w:shd w:val="solid" w:color="000000" w:fill="000000"/>
                <w:fitText w:val="90" w:id="-1168929789"/>
                <w14:textFill>
                  <w14:solidFill>
                    <w14:srgbClr w14:val="000000">
                      <w14:alpha w14:val="100000"/>
                    </w14:srgbClr>
                  </w14:solidFill>
                </w14:textFill>
              </w:rPr>
              <w:t xml:space="preserve">　</w:t>
            </w:r>
            <w:r w:rsidRPr="00D07BC0">
              <w:rPr>
                <w:color w:val="000000"/>
                <w:w w:val="20"/>
                <w:szCs w:val="20"/>
                <w:shd w:val="solid" w:color="000000" w:fill="000000"/>
                <w:fitText w:val="90" w:id="-1168929789"/>
                <w14:textFill>
                  <w14:solidFill>
                    <w14:srgbClr w14:val="000000">
                      <w14:alpha w14:val="100000"/>
                    </w14:srgbClr>
                  </w14:solidFill>
                </w14:textFill>
              </w:rPr>
              <w:t>|</w:t>
            </w:r>
            <w:r w:rsidRPr="00D07BC0">
              <w:rPr>
                <w:rFonts w:hint="eastAsia"/>
                <w:color w:val="000000"/>
                <w:spacing w:val="3"/>
                <w:w w:val="20"/>
                <w:szCs w:val="20"/>
                <w:shd w:val="solid" w:color="000000" w:fill="000000"/>
                <w:fitText w:val="90" w:id="-1168929789"/>
                <w14:textFill>
                  <w14:solidFill>
                    <w14:srgbClr w14:val="000000">
                      <w14:alpha w14:val="100000"/>
                    </w14:srgbClr>
                  </w14:solidFill>
                </w14:textFill>
              </w:rPr>
              <w:t xml:space="preserve">　</w:t>
            </w:r>
            <w:r w:rsidR="002A7FF8">
              <w:rPr>
                <w:szCs w:val="20"/>
                <w:vertAlign w:val="superscript"/>
              </w:rPr>
              <w:t>15</w:t>
            </w:r>
          </w:p>
        </w:tc>
        <w:tc>
          <w:tcPr>
            <w:tcW w:w="628" w:type="pct"/>
            <w:vAlign w:val="center"/>
          </w:tcPr>
          <w:p w14:paraId="426AD5F7" w14:textId="470697C7"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788"/>
                <w14:textFill>
                  <w14:solidFill>
                    <w14:srgbClr w14:val="000000">
                      <w14:alpha w14:val="100000"/>
                    </w14:srgbClr>
                  </w14:solidFill>
                </w14:textFill>
              </w:rPr>
              <w:t xml:space="preserve">　</w:t>
            </w:r>
            <w:r w:rsidRPr="00A234BA">
              <w:rPr>
                <w:color w:val="000000"/>
                <w:w w:val="15"/>
                <w:szCs w:val="20"/>
                <w:shd w:val="solid" w:color="000000" w:fill="000000"/>
                <w:fitText w:val="15" w:id="-1168929788"/>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788"/>
                <w14:textFill>
                  <w14:solidFill>
                    <w14:srgbClr w14:val="000000">
                      <w14:alpha w14:val="100000"/>
                    </w14:srgbClr>
                  </w14:solidFill>
                </w14:textFill>
              </w:rPr>
              <w:t xml:space="preserve">　</w:t>
            </w:r>
            <w:r w:rsidR="002A7FF8">
              <w:rPr>
                <w:szCs w:val="20"/>
                <w:vertAlign w:val="superscript"/>
              </w:rPr>
              <w:t>8</w:t>
            </w:r>
          </w:p>
        </w:tc>
        <w:tc>
          <w:tcPr>
            <w:tcW w:w="627" w:type="pct"/>
            <w:vAlign w:val="center"/>
          </w:tcPr>
          <w:p w14:paraId="179F4384" w14:textId="29D30FF9" w:rsidR="00293E6D" w:rsidRPr="002A7FF8" w:rsidRDefault="00D07BC0" w:rsidP="00886A4E">
            <w:pPr>
              <w:pStyle w:val="TableText0"/>
              <w:jc w:val="center"/>
              <w:rPr>
                <w:szCs w:val="20"/>
                <w:highlight w:val="darkGray"/>
              </w:rPr>
            </w:pPr>
            <w:r w:rsidRPr="00A234BA">
              <w:rPr>
                <w:rFonts w:hint="eastAsia"/>
                <w:color w:val="000000"/>
                <w:w w:val="15"/>
                <w:szCs w:val="20"/>
                <w:shd w:val="solid" w:color="000000" w:fill="000000"/>
                <w:fitText w:val="15" w:id="-1168929536"/>
                <w14:textFill>
                  <w14:solidFill>
                    <w14:srgbClr w14:val="000000">
                      <w14:alpha w14:val="100000"/>
                    </w14:srgbClr>
                  </w14:solidFill>
                </w14:textFill>
              </w:rPr>
              <w:t xml:space="preserve">　</w:t>
            </w:r>
            <w:r w:rsidRPr="00A234BA">
              <w:rPr>
                <w:color w:val="000000"/>
                <w:w w:val="15"/>
                <w:szCs w:val="20"/>
                <w:shd w:val="solid" w:color="000000" w:fill="000000"/>
                <w:fitText w:val="15" w:id="-1168929536"/>
                <w14:textFill>
                  <w14:solidFill>
                    <w14:srgbClr w14:val="000000">
                      <w14:alpha w14:val="100000"/>
                    </w14:srgbClr>
                  </w14:solidFill>
                </w14:textFill>
              </w:rPr>
              <w:t>|</w:t>
            </w:r>
            <w:r w:rsidRPr="00A234BA">
              <w:rPr>
                <w:rFonts w:hint="eastAsia"/>
                <w:color w:val="000000"/>
                <w:spacing w:val="-51"/>
                <w:w w:val="15"/>
                <w:szCs w:val="20"/>
                <w:shd w:val="solid" w:color="000000" w:fill="000000"/>
                <w:fitText w:val="15" w:id="-1168929536"/>
                <w14:textFill>
                  <w14:solidFill>
                    <w14:srgbClr w14:val="000000">
                      <w14:alpha w14:val="100000"/>
                    </w14:srgbClr>
                  </w14:solidFill>
                </w14:textFill>
              </w:rPr>
              <w:t xml:space="preserve">　</w:t>
            </w:r>
            <w:r w:rsidR="002A7FF8">
              <w:rPr>
                <w:szCs w:val="20"/>
                <w:vertAlign w:val="superscript"/>
              </w:rPr>
              <w:t>9</w:t>
            </w:r>
          </w:p>
        </w:tc>
        <w:tc>
          <w:tcPr>
            <w:tcW w:w="627" w:type="pct"/>
            <w:vAlign w:val="center"/>
          </w:tcPr>
          <w:p w14:paraId="53EDF02D" w14:textId="0CB594FD"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535"/>
                <w14:textFill>
                  <w14:solidFill>
                    <w14:srgbClr w14:val="000000">
                      <w14:alpha w14:val="100000"/>
                    </w14:srgbClr>
                  </w14:solidFill>
                </w14:textFill>
              </w:rPr>
              <w:t xml:space="preserve">　</w:t>
            </w:r>
            <w:r w:rsidRPr="00D07BC0">
              <w:rPr>
                <w:color w:val="000000"/>
                <w:w w:val="15"/>
                <w:szCs w:val="20"/>
                <w:shd w:val="solid" w:color="000000" w:fill="000000"/>
                <w:fitText w:val="45" w:id="-1168929535"/>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535"/>
                <w14:textFill>
                  <w14:solidFill>
                    <w14:srgbClr w14:val="000000">
                      <w14:alpha w14:val="100000"/>
                    </w14:srgbClr>
                  </w14:solidFill>
                </w14:textFill>
              </w:rPr>
              <w:t xml:space="preserve">　</w:t>
            </w:r>
            <w:r w:rsidR="002A7FF8">
              <w:rPr>
                <w:szCs w:val="20"/>
                <w:vertAlign w:val="superscript"/>
              </w:rPr>
              <w:t>10</w:t>
            </w:r>
          </w:p>
        </w:tc>
        <w:tc>
          <w:tcPr>
            <w:tcW w:w="627" w:type="pct"/>
            <w:vAlign w:val="center"/>
          </w:tcPr>
          <w:p w14:paraId="6A23C44A" w14:textId="08B703D3"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534"/>
                <w14:textFill>
                  <w14:solidFill>
                    <w14:srgbClr w14:val="000000">
                      <w14:alpha w14:val="100000"/>
                    </w14:srgbClr>
                  </w14:solidFill>
                </w14:textFill>
              </w:rPr>
              <w:t xml:space="preserve">　</w:t>
            </w:r>
            <w:r w:rsidRPr="00D07BC0">
              <w:rPr>
                <w:color w:val="000000"/>
                <w:w w:val="15"/>
                <w:szCs w:val="20"/>
                <w:shd w:val="solid" w:color="000000" w:fill="000000"/>
                <w:fitText w:val="45" w:id="-1168929534"/>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534"/>
                <w14:textFill>
                  <w14:solidFill>
                    <w14:srgbClr w14:val="000000">
                      <w14:alpha w14:val="100000"/>
                    </w14:srgbClr>
                  </w14:solidFill>
                </w14:textFill>
              </w:rPr>
              <w:t xml:space="preserve">　</w:t>
            </w:r>
            <w:r w:rsidR="002A7FF8">
              <w:rPr>
                <w:szCs w:val="20"/>
                <w:vertAlign w:val="superscript"/>
              </w:rPr>
              <w:t>10</w:t>
            </w:r>
          </w:p>
        </w:tc>
        <w:tc>
          <w:tcPr>
            <w:tcW w:w="629" w:type="pct"/>
            <w:vAlign w:val="center"/>
          </w:tcPr>
          <w:p w14:paraId="792E31D5" w14:textId="4140BF76" w:rsidR="00293E6D" w:rsidRPr="002A7FF8" w:rsidRDefault="00D07BC0" w:rsidP="00886A4E">
            <w:pPr>
              <w:pStyle w:val="TableText0"/>
              <w:jc w:val="center"/>
              <w:rPr>
                <w:szCs w:val="20"/>
                <w:highlight w:val="darkGray"/>
              </w:rPr>
            </w:pPr>
            <w:r w:rsidRPr="00D07BC0">
              <w:rPr>
                <w:rFonts w:hint="eastAsia"/>
                <w:color w:val="000000"/>
                <w:w w:val="15"/>
                <w:szCs w:val="20"/>
                <w:shd w:val="solid" w:color="000000" w:fill="000000"/>
                <w:fitText w:val="45" w:id="-1168929533"/>
                <w14:textFill>
                  <w14:solidFill>
                    <w14:srgbClr w14:val="000000">
                      <w14:alpha w14:val="100000"/>
                    </w14:srgbClr>
                  </w14:solidFill>
                </w14:textFill>
              </w:rPr>
              <w:t xml:space="preserve">　</w:t>
            </w:r>
            <w:r w:rsidRPr="00D07BC0">
              <w:rPr>
                <w:color w:val="000000"/>
                <w:w w:val="15"/>
                <w:szCs w:val="20"/>
                <w:shd w:val="solid" w:color="000000" w:fill="000000"/>
                <w:fitText w:val="45" w:id="-1168929533"/>
                <w14:textFill>
                  <w14:solidFill>
                    <w14:srgbClr w14:val="000000">
                      <w14:alpha w14:val="100000"/>
                    </w14:srgbClr>
                  </w14:solidFill>
                </w14:textFill>
              </w:rPr>
              <w:t>|</w:t>
            </w:r>
            <w:r w:rsidRPr="00D07BC0">
              <w:rPr>
                <w:rFonts w:hint="eastAsia"/>
                <w:color w:val="000000"/>
                <w:spacing w:val="-20"/>
                <w:w w:val="15"/>
                <w:szCs w:val="20"/>
                <w:shd w:val="solid" w:color="000000" w:fill="000000"/>
                <w:fitText w:val="45" w:id="-1168929533"/>
                <w14:textFill>
                  <w14:solidFill>
                    <w14:srgbClr w14:val="000000">
                      <w14:alpha w14:val="100000"/>
                    </w14:srgbClr>
                  </w14:solidFill>
                </w14:textFill>
              </w:rPr>
              <w:t xml:space="preserve">　</w:t>
            </w:r>
            <w:r w:rsidR="002A7FF8">
              <w:rPr>
                <w:szCs w:val="20"/>
                <w:vertAlign w:val="superscript"/>
              </w:rPr>
              <w:t>11</w:t>
            </w:r>
          </w:p>
        </w:tc>
      </w:tr>
    </w:tbl>
    <w:p w14:paraId="71555A11" w14:textId="77777777" w:rsidR="00293E6D" w:rsidRPr="00FD140C" w:rsidRDefault="00293E6D" w:rsidP="00293E6D">
      <w:pPr>
        <w:pStyle w:val="Subtitle"/>
        <w:rPr>
          <w:rFonts w:ascii="Arial Narrow" w:hAnsi="Arial Narrow"/>
          <w:bCs/>
          <w:sz w:val="18"/>
          <w:szCs w:val="18"/>
        </w:rPr>
      </w:pPr>
      <w:r w:rsidRPr="00FD140C">
        <w:rPr>
          <w:rFonts w:ascii="Arial Narrow" w:hAnsi="Arial Narrow"/>
          <w:bCs/>
          <w:sz w:val="18"/>
          <w:szCs w:val="18"/>
        </w:rPr>
        <w:t>Source: A7.1. Section 4_workbook_Miri_updated230523_FINAL.xlsx</w:t>
      </w:r>
    </w:p>
    <w:p w14:paraId="1E9F1F84" w14:textId="2D85E066" w:rsidR="00293E6D" w:rsidRDefault="00293E6D" w:rsidP="007B6B2C">
      <w:pPr>
        <w:pStyle w:val="FooterTableFigure"/>
        <w:spacing w:after="0"/>
        <w:rPr>
          <w:szCs w:val="18"/>
        </w:rPr>
      </w:pPr>
      <w:r w:rsidRPr="00FD140C">
        <w:rPr>
          <w:szCs w:val="18"/>
        </w:rPr>
        <w:t>MIRI=mirikizumab, MBS=Medicare Benefits Schedule, PBS=Pharmaceutical Benefits Scheme, RPBS=Repatriation Pharmaceutical Benefits Scheme.</w:t>
      </w:r>
    </w:p>
    <w:p w14:paraId="11B552B6" w14:textId="77777777" w:rsidR="002A7FF8" w:rsidRPr="009A6D58" w:rsidRDefault="002A7FF8" w:rsidP="002A7FF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432CA1C" w14:textId="69FC919F" w:rsidR="002A7FF8" w:rsidRPr="009A6D58" w:rsidRDefault="002A7FF8" w:rsidP="002A7FF8">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&lt; 500</w:t>
      </w:r>
    </w:p>
    <w:p w14:paraId="5B8084A3" w14:textId="3CF1C361" w:rsidR="002A7FF8" w:rsidRPr="009A6D58" w:rsidRDefault="002A7FF8" w:rsidP="002A7FF8">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5,000 to &lt; 10,000</w:t>
      </w:r>
    </w:p>
    <w:p w14:paraId="6C6D53C7" w14:textId="47896F15" w:rsidR="002A7FF8" w:rsidRDefault="002A7FF8" w:rsidP="002A7FF8">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10,000 to &lt; 20,000</w:t>
      </w:r>
    </w:p>
    <w:p w14:paraId="3933EF15" w14:textId="0EE45DB9" w:rsidR="002A7FF8" w:rsidRDefault="002A7FF8" w:rsidP="002A7FF8">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20,000 to &lt; 30,000</w:t>
      </w:r>
    </w:p>
    <w:p w14:paraId="1867C0CA" w14:textId="5C584F9D" w:rsidR="002A7FF8" w:rsidRDefault="002A7FF8" w:rsidP="002A7FF8">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30,000 to &lt; 40,000</w:t>
      </w:r>
    </w:p>
    <w:p w14:paraId="5F5BB5C9" w14:textId="2D7CC82F" w:rsidR="002A7FF8" w:rsidRDefault="002A7FF8" w:rsidP="002A7FF8">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40,000 to &lt; 50,000</w:t>
      </w:r>
    </w:p>
    <w:p w14:paraId="5C59C6E5" w14:textId="68CC76F3" w:rsidR="002A7FF8" w:rsidRPr="009A6D58" w:rsidRDefault="002A7FF8" w:rsidP="002A7FF8">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500 to &lt; 5,000</w:t>
      </w:r>
    </w:p>
    <w:p w14:paraId="7B302816" w14:textId="70E6502F" w:rsidR="002A7FF8" w:rsidRPr="009A6D58" w:rsidRDefault="002A7FF8" w:rsidP="002A7FF8">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$0 to &lt; $10 million</w:t>
      </w:r>
    </w:p>
    <w:p w14:paraId="017EDF96" w14:textId="34B0A31D" w:rsidR="002A7FF8" w:rsidRDefault="002A7FF8" w:rsidP="002A7FF8">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$10 million to &lt; $20 million</w:t>
      </w:r>
    </w:p>
    <w:p w14:paraId="7B544040" w14:textId="23BCB567" w:rsidR="002A7FF8" w:rsidRDefault="002A7FF8" w:rsidP="002A7FF8">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$20 million to &lt; $30 million</w:t>
      </w:r>
    </w:p>
    <w:p w14:paraId="6A31D162" w14:textId="11E22013" w:rsidR="002A7FF8" w:rsidRDefault="002A7FF8" w:rsidP="002A7FF8">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$30 million to &lt; $40 million</w:t>
      </w:r>
    </w:p>
    <w:p w14:paraId="2AF533F3" w14:textId="262CB1CB" w:rsidR="002A7FF8" w:rsidRDefault="002A7FF8" w:rsidP="002A7FF8">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$40 million to &lt; $50 million</w:t>
      </w:r>
    </w:p>
    <w:p w14:paraId="1BAD8A32" w14:textId="34AE8D3D" w:rsidR="002A7FF8" w:rsidRDefault="002A7FF8" w:rsidP="002A7FF8">
      <w:pPr>
        <w:rPr>
          <w:rFonts w:ascii="Arial Narrow" w:hAnsi="Arial Narrow"/>
          <w:i/>
          <w:sz w:val="18"/>
          <w:szCs w:val="18"/>
        </w:rPr>
      </w:pPr>
      <w:r>
        <w:rPr>
          <w:rFonts w:ascii="Arial Narrow" w:hAnsi="Arial Narrow"/>
          <w:i/>
          <w:sz w:val="18"/>
          <w:szCs w:val="18"/>
          <w:vertAlign w:val="superscript"/>
        </w:rPr>
        <w:t>13</w:t>
      </w:r>
      <w:r>
        <w:rPr>
          <w:rFonts w:ascii="Arial Narrow" w:hAnsi="Arial Narrow"/>
          <w:i/>
          <w:sz w:val="18"/>
          <w:szCs w:val="18"/>
        </w:rPr>
        <w:t xml:space="preserve"> $50 million to &lt; $60 million</w:t>
      </w:r>
    </w:p>
    <w:p w14:paraId="276D211F" w14:textId="36CDE5B5" w:rsidR="002A7FF8" w:rsidRDefault="002A7FF8" w:rsidP="002A7FF8">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$70 million to &lt; $80 million</w:t>
      </w:r>
    </w:p>
    <w:p w14:paraId="13F20FD9" w14:textId="09114C5F" w:rsidR="002A7FF8" w:rsidRPr="002A7FF8" w:rsidRDefault="002A7FF8" w:rsidP="007B6B2C">
      <w:pPr>
        <w:spacing w:after="120"/>
        <w:rPr>
          <w:rFonts w:ascii="Arial Narrow" w:hAnsi="Arial Narrow"/>
          <w:i/>
          <w:sz w:val="18"/>
          <w:szCs w:val="18"/>
        </w:rPr>
      </w:pPr>
      <w:r>
        <w:rPr>
          <w:rFonts w:ascii="Arial Narrow" w:hAnsi="Arial Narrow"/>
          <w:i/>
          <w:sz w:val="18"/>
          <w:szCs w:val="18"/>
          <w:vertAlign w:val="superscript"/>
        </w:rPr>
        <w:t>15</w:t>
      </w:r>
      <w:r>
        <w:rPr>
          <w:rFonts w:ascii="Arial Narrow" w:hAnsi="Arial Narrow"/>
          <w:i/>
          <w:sz w:val="18"/>
          <w:szCs w:val="18"/>
        </w:rPr>
        <w:t xml:space="preserve"> net cost saving</w:t>
      </w:r>
    </w:p>
    <w:p w14:paraId="1A097D22" w14:textId="54ADDA29" w:rsidR="00A719C0" w:rsidRPr="00FD140C" w:rsidRDefault="00A95149" w:rsidP="00330E2E">
      <w:pPr>
        <w:pStyle w:val="3-BodyText"/>
      </w:pPr>
      <w:r w:rsidRPr="00FD140C">
        <w:t>Assuming the published prices of the comparators, the relevant changes increased the net cost to the PBS/RPBS from $</w:t>
      </w:r>
      <w:r w:rsidR="002A7FF8">
        <w:t>80</w:t>
      </w:r>
      <w:r w:rsidR="00254E65">
        <w:t> </w:t>
      </w:r>
      <w:r w:rsidR="002A7FF8">
        <w:t>million</w:t>
      </w:r>
      <w:r w:rsidR="00254E65">
        <w:t> </w:t>
      </w:r>
      <w:r w:rsidR="002A7FF8">
        <w:t>to</w:t>
      </w:r>
      <w:r w:rsidR="00254E65">
        <w:t> </w:t>
      </w:r>
      <w:r w:rsidR="002A7FF8">
        <w:t>&lt;</w:t>
      </w:r>
      <w:r w:rsidR="00254E65">
        <w:t> </w:t>
      </w:r>
      <w:r w:rsidR="002A7FF8">
        <w:t>$90</w:t>
      </w:r>
      <w:r w:rsidRPr="00FD140C">
        <w:t> m</w:t>
      </w:r>
      <w:r w:rsidR="00C34CE9" w:rsidRPr="00FD140C">
        <w:t>illion</w:t>
      </w:r>
      <w:r w:rsidRPr="00FD140C">
        <w:t xml:space="preserve"> in the submission to $</w:t>
      </w:r>
      <w:r w:rsidR="002A7FF8">
        <w:t>90 million</w:t>
      </w:r>
      <w:r w:rsidR="00254E65">
        <w:t> </w:t>
      </w:r>
      <w:r w:rsidR="002A7FF8">
        <w:t>to</w:t>
      </w:r>
      <w:r w:rsidR="00254E65">
        <w:t> </w:t>
      </w:r>
      <w:r w:rsidR="002A7FF8">
        <w:t>&lt;</w:t>
      </w:r>
      <w:r w:rsidR="00254E65">
        <w:t> </w:t>
      </w:r>
      <w:r w:rsidR="002A7FF8">
        <w:t>$100</w:t>
      </w:r>
      <w:r w:rsidRPr="00FD140C">
        <w:t> m</w:t>
      </w:r>
      <w:r w:rsidR="00C34CE9" w:rsidRPr="00FD140C">
        <w:t>illion</w:t>
      </w:r>
      <w:r w:rsidRPr="00FD140C">
        <w:t xml:space="preserve"> in the PSCR over a period of 6 years.</w:t>
      </w:r>
      <w:r w:rsidR="002A6D4A">
        <w:t xml:space="preserve"> </w:t>
      </w:r>
      <w:r w:rsidR="002A6D4A" w:rsidRPr="00746D53">
        <w:t>The PBAC noted these costs were based on the published price of the comparator</w:t>
      </w:r>
      <w:r w:rsidR="002A6D4A">
        <w:t>, and</w:t>
      </w:r>
      <w:r w:rsidR="002A6D4A" w:rsidRPr="00746D53">
        <w:t xml:space="preserve"> </w:t>
      </w:r>
      <w:r w:rsidR="002A6D4A">
        <w:t>t</w:t>
      </w:r>
      <w:r w:rsidR="002A6D4A" w:rsidRPr="00746D53">
        <w:t>he net cost to the PBS will reduce once the effective price of the comparator is applied.</w:t>
      </w:r>
    </w:p>
    <w:p w14:paraId="3777A547" w14:textId="42D4E227" w:rsidR="004D1EA7" w:rsidRDefault="00723B12" w:rsidP="004D1EA7">
      <w:pPr>
        <w:pStyle w:val="3-BodyText"/>
      </w:pPr>
      <w:r w:rsidRPr="00D23701">
        <w:t>These issues notwithstanding, a</w:t>
      </w:r>
      <w:r w:rsidR="004D1EA7" w:rsidRPr="00D23701">
        <w:t>ssuming MIRI is listed on a cost-minimisation basis to the least costly alternative therapy current market growth was unchanged, the</w:t>
      </w:r>
      <w:r w:rsidR="00A95149">
        <w:t xml:space="preserve"> </w:t>
      </w:r>
      <w:r w:rsidR="00A95149" w:rsidRPr="00FD140C">
        <w:t>evaluation and ESC considered the</w:t>
      </w:r>
      <w:r w:rsidR="00A95149">
        <w:rPr>
          <w:i/>
          <w:iCs/>
        </w:rPr>
        <w:t xml:space="preserve"> </w:t>
      </w:r>
      <w:r w:rsidR="004D1EA7" w:rsidRPr="00D23701">
        <w:t>requested listing would be expected</w:t>
      </w:r>
      <w:r w:rsidRPr="00D23701">
        <w:t xml:space="preserve"> to be approximately cost neutral</w:t>
      </w:r>
      <w:r w:rsidR="004D1EA7" w:rsidRPr="00D23701">
        <w:t xml:space="preserve"> </w:t>
      </w:r>
      <w:r w:rsidRPr="00D23701">
        <w:t xml:space="preserve">or modestly cost-saving to the PBS/RPBS, as it would primarily replace therapies that are of equivalent cost or are </w:t>
      </w:r>
      <w:r w:rsidR="002A6D4A">
        <w:t>more</w:t>
      </w:r>
      <w:r w:rsidR="002A6D4A" w:rsidRPr="00D23701">
        <w:t xml:space="preserve"> </w:t>
      </w:r>
      <w:r w:rsidRPr="00D23701">
        <w:t>costly.</w:t>
      </w:r>
    </w:p>
    <w:p w14:paraId="040C6CD6" w14:textId="77777777" w:rsidR="004D1EA7" w:rsidRPr="00C9624D" w:rsidRDefault="004D1EA7" w:rsidP="004D1EA7">
      <w:pPr>
        <w:pStyle w:val="4-SubsectionHeading"/>
      </w:pPr>
      <w:bookmarkStart w:id="64" w:name="_Toc22897648"/>
      <w:bookmarkStart w:id="65" w:name="_Toc135142385"/>
      <w:r w:rsidRPr="00C9624D">
        <w:lastRenderedPageBreak/>
        <w:t>Quality Use of Medicines</w:t>
      </w:r>
      <w:bookmarkEnd w:id="64"/>
      <w:bookmarkEnd w:id="65"/>
    </w:p>
    <w:p w14:paraId="6BB811A0" w14:textId="77777777" w:rsidR="004D1EA7" w:rsidRPr="00460C2C" w:rsidRDefault="004D1EA7" w:rsidP="004D1EA7">
      <w:pPr>
        <w:pStyle w:val="3-BodyText"/>
      </w:pPr>
      <w:r w:rsidRPr="00FE7967">
        <w:t xml:space="preserve">The </w:t>
      </w:r>
      <w:r w:rsidRPr="00460C2C">
        <w:t>sponsor intends to engage in a range of activities supporting the quality use of MIRI for use in patients with MSUC. These include training clinicians in the appropriate use of the medicine.</w:t>
      </w:r>
    </w:p>
    <w:p w14:paraId="430B3718" w14:textId="77777777" w:rsidR="005D7237" w:rsidRDefault="00644126" w:rsidP="004678D2">
      <w:pPr>
        <w:ind w:left="510" w:firstLine="170"/>
        <w:jc w:val="left"/>
        <w:rPr>
          <w:i/>
          <w:iCs/>
        </w:rPr>
      </w:pPr>
      <w:r w:rsidRPr="00644126">
        <w:rPr>
          <w:i/>
          <w:iCs/>
        </w:rPr>
        <w:t>For more detail on PBAC’s view, see section 7 PBAC outcome.</w:t>
      </w:r>
    </w:p>
    <w:p w14:paraId="35F9493B" w14:textId="77777777" w:rsidR="005D7237" w:rsidRPr="0090150D" w:rsidRDefault="005D7237" w:rsidP="005D7237">
      <w:pPr>
        <w:pStyle w:val="2-SectionHeading"/>
      </w:pPr>
      <w:bookmarkStart w:id="66" w:name="_Hlk76381249"/>
      <w:bookmarkStart w:id="67" w:name="_Hlk76377955"/>
      <w:r w:rsidRPr="0090150D">
        <w:t>PBAC Outcome</w:t>
      </w:r>
    </w:p>
    <w:p w14:paraId="06D30943" w14:textId="31780094" w:rsidR="00957433" w:rsidRDefault="006125E5" w:rsidP="005D7237">
      <w:pPr>
        <w:widowControl w:val="0"/>
        <w:numPr>
          <w:ilvl w:val="1"/>
          <w:numId w:val="1"/>
        </w:numPr>
        <w:spacing w:after="120"/>
        <w:rPr>
          <w:rFonts w:asciiTheme="minorHAnsi" w:hAnsiTheme="minorHAnsi"/>
          <w:snapToGrid w:val="0"/>
          <w:lang w:val="en-GB"/>
        </w:rPr>
      </w:pPr>
      <w:bookmarkStart w:id="68" w:name="_Hlk111543188"/>
      <w:r>
        <w:rPr>
          <w:rFonts w:asciiTheme="minorHAnsi" w:hAnsiTheme="minorHAnsi"/>
          <w:snapToGrid w:val="0"/>
          <w:lang w:val="en-GB"/>
        </w:rPr>
        <w:t>The PBAC recommended the</w:t>
      </w:r>
      <w:r w:rsidR="009D5BC2">
        <w:rPr>
          <w:rFonts w:asciiTheme="minorHAnsi" w:hAnsiTheme="minorHAnsi"/>
          <w:snapToGrid w:val="0"/>
          <w:lang w:val="en-GB"/>
        </w:rPr>
        <w:t xml:space="preserve"> Section 100 (Highly Specialised Drugs Program) and General Schedule</w:t>
      </w:r>
      <w:r>
        <w:rPr>
          <w:rFonts w:asciiTheme="minorHAnsi" w:hAnsiTheme="minorHAnsi"/>
          <w:snapToGrid w:val="0"/>
          <w:lang w:val="en-GB"/>
        </w:rPr>
        <w:t xml:space="preserve"> listing</w:t>
      </w:r>
      <w:r w:rsidR="009D5BC2">
        <w:rPr>
          <w:rFonts w:asciiTheme="minorHAnsi" w:hAnsiTheme="minorHAnsi"/>
          <w:snapToGrid w:val="0"/>
          <w:lang w:val="en-GB"/>
        </w:rPr>
        <w:t>s</w:t>
      </w:r>
      <w:r>
        <w:rPr>
          <w:rFonts w:asciiTheme="minorHAnsi" w:hAnsiTheme="minorHAnsi"/>
          <w:snapToGrid w:val="0"/>
          <w:lang w:val="en-GB"/>
        </w:rPr>
        <w:t xml:space="preserve"> of mirikizumab (MIRI)</w:t>
      </w:r>
      <w:r w:rsidR="009D5BC2">
        <w:rPr>
          <w:rFonts w:asciiTheme="minorHAnsi" w:hAnsiTheme="minorHAnsi"/>
          <w:snapToGrid w:val="0"/>
          <w:lang w:val="en-GB"/>
        </w:rPr>
        <w:t xml:space="preserve"> for the treatment of moderate to severe ulcerative colitis (MSUC). The Section 100 </w:t>
      </w:r>
      <w:r w:rsidR="00543614">
        <w:rPr>
          <w:rFonts w:asciiTheme="minorHAnsi" w:hAnsiTheme="minorHAnsi"/>
          <w:snapToGrid w:val="0"/>
          <w:lang w:val="en-GB"/>
        </w:rPr>
        <w:t xml:space="preserve">recommendation </w:t>
      </w:r>
      <w:r w:rsidR="009D5BC2">
        <w:rPr>
          <w:rFonts w:asciiTheme="minorHAnsi" w:hAnsiTheme="minorHAnsi"/>
          <w:snapToGrid w:val="0"/>
          <w:lang w:val="en-GB"/>
        </w:rPr>
        <w:t>was for</w:t>
      </w:r>
      <w:r w:rsidR="00543614">
        <w:rPr>
          <w:rFonts w:asciiTheme="minorHAnsi" w:hAnsiTheme="minorHAnsi"/>
          <w:snapToGrid w:val="0"/>
          <w:lang w:val="en-GB"/>
        </w:rPr>
        <w:t xml:space="preserve"> listing</w:t>
      </w:r>
      <w:r w:rsidR="009D5BC2">
        <w:rPr>
          <w:rFonts w:asciiTheme="minorHAnsi" w:hAnsiTheme="minorHAnsi"/>
          <w:snapToGrid w:val="0"/>
          <w:lang w:val="en-GB"/>
        </w:rPr>
        <w:t xml:space="preserve"> the</w:t>
      </w:r>
      <w:r>
        <w:rPr>
          <w:rFonts w:asciiTheme="minorHAnsi" w:hAnsiTheme="minorHAnsi"/>
          <w:snapToGrid w:val="0"/>
          <w:lang w:val="en-GB"/>
        </w:rPr>
        <w:t xml:space="preserve"> vial for intravenous (IV) infusion</w:t>
      </w:r>
      <w:r w:rsidR="009D5BC2">
        <w:rPr>
          <w:rFonts w:asciiTheme="minorHAnsi" w:hAnsiTheme="minorHAnsi"/>
          <w:snapToGrid w:val="0"/>
          <w:lang w:val="en-GB"/>
        </w:rPr>
        <w:t xml:space="preserve"> </w:t>
      </w:r>
      <w:r w:rsidR="00543614">
        <w:rPr>
          <w:rFonts w:asciiTheme="minorHAnsi" w:hAnsiTheme="minorHAnsi"/>
          <w:snapToGrid w:val="0"/>
          <w:lang w:val="en-GB"/>
        </w:rPr>
        <w:t xml:space="preserve">for </w:t>
      </w:r>
      <w:r w:rsidR="009D5BC2">
        <w:rPr>
          <w:rFonts w:asciiTheme="minorHAnsi" w:hAnsiTheme="minorHAnsi"/>
          <w:snapToGrid w:val="0"/>
          <w:lang w:val="en-GB"/>
        </w:rPr>
        <w:t>initial treatment</w:t>
      </w:r>
      <w:r>
        <w:rPr>
          <w:rFonts w:asciiTheme="minorHAnsi" w:hAnsiTheme="minorHAnsi"/>
          <w:snapToGrid w:val="0"/>
          <w:lang w:val="en-GB"/>
        </w:rPr>
        <w:t xml:space="preserve">, and </w:t>
      </w:r>
      <w:r w:rsidR="009D5BC2">
        <w:rPr>
          <w:rFonts w:asciiTheme="minorHAnsi" w:hAnsiTheme="minorHAnsi"/>
          <w:snapToGrid w:val="0"/>
          <w:lang w:val="en-GB"/>
        </w:rPr>
        <w:t>the General Schedule listing was for the</w:t>
      </w:r>
      <w:r>
        <w:rPr>
          <w:rFonts w:asciiTheme="minorHAnsi" w:hAnsiTheme="minorHAnsi"/>
          <w:snapToGrid w:val="0"/>
          <w:lang w:val="en-GB"/>
        </w:rPr>
        <w:t xml:space="preserve"> pre-filled pen for subcutaneous (SC) injection</w:t>
      </w:r>
      <w:r w:rsidR="009D5BC2">
        <w:rPr>
          <w:rFonts w:asciiTheme="minorHAnsi" w:hAnsiTheme="minorHAnsi"/>
          <w:snapToGrid w:val="0"/>
          <w:lang w:val="en-GB"/>
        </w:rPr>
        <w:t xml:space="preserve"> for maintenance therapy. The PBAC’s recommendation for listing was based on, among other matters, its assessment the cost effectiveness of MIRI would be acceptable if it were cost minimised to the least costly alternative therapy of adalimumab (ADA), golimumab (GOL), infliximab (IFX), ozanimod (OZA), tofacitinib (TOF), ustekinumab (UST), upadacitinib (UPA) and vedolizumab (VDZ).  </w:t>
      </w:r>
    </w:p>
    <w:p w14:paraId="052ECF37" w14:textId="6ABF2C92" w:rsidR="00192BEF" w:rsidRDefault="00192BEF" w:rsidP="00192BEF">
      <w:pPr>
        <w:widowControl w:val="0"/>
        <w:numPr>
          <w:ilvl w:val="1"/>
          <w:numId w:val="1"/>
        </w:numPr>
        <w:spacing w:after="120"/>
        <w:rPr>
          <w:rFonts w:asciiTheme="minorHAnsi" w:hAnsiTheme="minorHAnsi"/>
          <w:snapToGrid w:val="0"/>
          <w:lang w:val="en-GB"/>
        </w:rPr>
      </w:pPr>
      <w:bookmarkStart w:id="69" w:name="_Hlk140128326"/>
      <w:r>
        <w:rPr>
          <w:rFonts w:asciiTheme="minorHAnsi" w:hAnsiTheme="minorHAnsi"/>
          <w:snapToGrid w:val="0"/>
          <w:lang w:val="en-GB"/>
        </w:rPr>
        <w:t xml:space="preserve">The PBAC considered the nominated comparator of VDZ was reasonable, however considered all biologic or targeted synthetic disease modifying anti-rheumatic drugs (bDMARDs/tsDMARDs) to be relevant comparators. The PBAC considered the equi-effective doses of MIRI and the alternatives could be derived with reference to the therapeutic relativity sheets and relevant Product Information documents, however noted there were two initial dose regimens </w:t>
      </w:r>
      <w:r w:rsidR="00543614">
        <w:rPr>
          <w:rFonts w:asciiTheme="minorHAnsi" w:hAnsiTheme="minorHAnsi"/>
          <w:snapToGrid w:val="0"/>
          <w:lang w:val="en-GB"/>
        </w:rPr>
        <w:t xml:space="preserve">for MIRI </w:t>
      </w:r>
      <w:r>
        <w:rPr>
          <w:rFonts w:asciiTheme="minorHAnsi" w:hAnsiTheme="minorHAnsi"/>
          <w:snapToGrid w:val="0"/>
          <w:lang w:val="en-GB"/>
        </w:rPr>
        <w:t>and considered the equi-effective doses to be:</w:t>
      </w:r>
    </w:p>
    <w:p w14:paraId="6FD03038" w14:textId="77777777" w:rsidR="00192BEF" w:rsidRDefault="00192BEF" w:rsidP="003D1D4D">
      <w:pPr>
        <w:pStyle w:val="ListBullet"/>
        <w:numPr>
          <w:ilvl w:val="0"/>
          <w:numId w:val="8"/>
        </w:numPr>
        <w:spacing w:after="120"/>
        <w:ind w:left="1040" w:hanging="357"/>
        <w:contextualSpacing w:val="0"/>
        <w:rPr>
          <w:rFonts w:asciiTheme="minorHAnsi" w:eastAsiaTheme="minorEastAsia" w:hAnsiTheme="minorHAnsi" w:cstheme="minorHAnsi"/>
          <w:lang w:eastAsia="en-US"/>
        </w:rPr>
      </w:pPr>
      <w:r>
        <w:rPr>
          <w:rFonts w:asciiTheme="minorHAnsi" w:eastAsiaTheme="minorEastAsia" w:hAnsiTheme="minorHAnsi" w:cstheme="minorHAnsi"/>
          <w:lang w:eastAsia="en-US"/>
        </w:rPr>
        <w:t>MIRI s</w:t>
      </w:r>
      <w:r w:rsidRPr="00A00298">
        <w:rPr>
          <w:rFonts w:asciiTheme="minorHAnsi" w:eastAsiaTheme="minorEastAsia" w:hAnsiTheme="minorHAnsi" w:cstheme="minorHAnsi"/>
          <w:lang w:eastAsia="en-US"/>
        </w:rPr>
        <w:t>tandard dosing</w:t>
      </w:r>
      <w:r>
        <w:rPr>
          <w:rFonts w:asciiTheme="minorHAnsi" w:eastAsiaTheme="minorEastAsia" w:hAnsiTheme="minorHAnsi" w:cstheme="minorHAnsi"/>
          <w:lang w:eastAsia="en-US"/>
        </w:rPr>
        <w:t xml:space="preserve"> (with standard 12 week initial period)</w:t>
      </w:r>
      <w:r w:rsidRPr="00A00298">
        <w:rPr>
          <w:rFonts w:asciiTheme="minorHAnsi" w:eastAsiaTheme="minorEastAsia" w:hAnsiTheme="minorHAnsi" w:cstheme="minorHAnsi"/>
          <w:lang w:eastAsia="en-US"/>
        </w:rPr>
        <w:t>:</w:t>
      </w:r>
    </w:p>
    <w:p w14:paraId="20D6B9E0" w14:textId="77777777" w:rsidR="00192BEF" w:rsidRPr="00FE6BB7" w:rsidRDefault="00192BEF" w:rsidP="003D1D4D">
      <w:pPr>
        <w:pStyle w:val="ListBullet"/>
        <w:numPr>
          <w:ilvl w:val="0"/>
          <w:numId w:val="12"/>
        </w:numPr>
        <w:spacing w:after="120"/>
        <w:ind w:hanging="357"/>
        <w:contextualSpacing w:val="0"/>
        <w:rPr>
          <w:rFonts w:asciiTheme="minorHAnsi" w:eastAsiaTheme="minorEastAsia" w:hAnsiTheme="minorHAnsi" w:cstheme="minorHAnsi"/>
          <w:lang w:eastAsia="en-US"/>
        </w:rPr>
      </w:pPr>
      <w:r w:rsidRPr="00A00298">
        <w:rPr>
          <w:rFonts w:eastAsiaTheme="minorEastAsia"/>
          <w:lang w:eastAsia="en-US"/>
        </w:rPr>
        <w:t>MIRI IV 300 mg at week 0, 4, 8 and then MIRI SC 200 mg</w:t>
      </w:r>
      <w:r>
        <w:rPr>
          <w:rFonts w:eastAsiaTheme="minorEastAsia"/>
          <w:lang w:eastAsia="en-US"/>
        </w:rPr>
        <w:t xml:space="preserve"> every 4 weeks</w:t>
      </w:r>
      <w:r w:rsidRPr="00A00298">
        <w:rPr>
          <w:rFonts w:eastAsiaTheme="minorEastAsia"/>
          <w:lang w:eastAsia="en-US"/>
        </w:rPr>
        <w:t xml:space="preserve"> </w:t>
      </w:r>
      <w:r>
        <w:rPr>
          <w:rFonts w:eastAsiaTheme="minorEastAsia"/>
          <w:lang w:eastAsia="en-US"/>
        </w:rPr>
        <w:t>(</w:t>
      </w:r>
      <w:r w:rsidRPr="00A00298">
        <w:rPr>
          <w:rFonts w:eastAsiaTheme="minorEastAsia"/>
          <w:lang w:eastAsia="en-US"/>
        </w:rPr>
        <w:t>Q4W</w:t>
      </w:r>
      <w:r>
        <w:rPr>
          <w:rFonts w:eastAsiaTheme="minorEastAsia"/>
          <w:lang w:eastAsia="en-US"/>
        </w:rPr>
        <w:t>)</w:t>
      </w:r>
      <w:r w:rsidRPr="00A00298">
        <w:rPr>
          <w:rFonts w:eastAsiaTheme="minorEastAsia"/>
          <w:lang w:eastAsia="en-US"/>
        </w:rPr>
        <w:t xml:space="preserve"> thereafter</w:t>
      </w:r>
    </w:p>
    <w:p w14:paraId="68A57EA5" w14:textId="77777777" w:rsidR="00192BEF" w:rsidRPr="00FE6BB7" w:rsidRDefault="00192BEF" w:rsidP="003D1D4D">
      <w:pPr>
        <w:pStyle w:val="ListBullet"/>
        <w:numPr>
          <w:ilvl w:val="0"/>
          <w:numId w:val="8"/>
        </w:numPr>
        <w:spacing w:after="120"/>
        <w:ind w:left="1040" w:hanging="357"/>
        <w:contextualSpacing w:val="0"/>
        <w:rPr>
          <w:rFonts w:eastAsiaTheme="minorEastAsia"/>
          <w:lang w:eastAsia="en-US"/>
        </w:rPr>
      </w:pPr>
      <w:r>
        <w:rPr>
          <w:rFonts w:asciiTheme="minorHAnsi" w:eastAsiaTheme="minorEastAsia" w:hAnsiTheme="minorHAnsi" w:cstheme="minorHAnsi"/>
          <w:lang w:eastAsia="en-US"/>
        </w:rPr>
        <w:t>MIRI e</w:t>
      </w:r>
      <w:r w:rsidRPr="00A00298">
        <w:rPr>
          <w:rFonts w:asciiTheme="minorHAnsi" w:eastAsiaTheme="minorEastAsia" w:hAnsiTheme="minorHAnsi" w:cstheme="minorHAnsi"/>
          <w:lang w:eastAsia="en-US"/>
        </w:rPr>
        <w:t>xtended</w:t>
      </w:r>
      <w:r>
        <w:rPr>
          <w:rFonts w:asciiTheme="minorHAnsi" w:eastAsiaTheme="minorEastAsia" w:hAnsiTheme="minorHAnsi" w:cstheme="minorHAnsi"/>
          <w:lang w:eastAsia="en-US"/>
        </w:rPr>
        <w:t xml:space="preserve"> </w:t>
      </w:r>
      <w:r w:rsidRPr="00A00298">
        <w:rPr>
          <w:rFonts w:asciiTheme="minorHAnsi" w:eastAsiaTheme="minorEastAsia" w:hAnsiTheme="minorHAnsi" w:cstheme="minorHAnsi"/>
          <w:lang w:eastAsia="en-US"/>
        </w:rPr>
        <w:t>dosing</w:t>
      </w:r>
      <w:r>
        <w:rPr>
          <w:rFonts w:asciiTheme="minorHAnsi" w:eastAsiaTheme="minorEastAsia" w:hAnsiTheme="minorHAnsi" w:cstheme="minorHAnsi"/>
          <w:lang w:eastAsia="en-US"/>
        </w:rPr>
        <w:t xml:space="preserve"> (with extended 24 week initial period)</w:t>
      </w:r>
      <w:r w:rsidRPr="00A00298">
        <w:rPr>
          <w:rFonts w:asciiTheme="minorHAnsi" w:eastAsiaTheme="minorEastAsia" w:hAnsiTheme="minorHAnsi" w:cstheme="minorHAnsi"/>
          <w:lang w:eastAsia="en-US"/>
        </w:rPr>
        <w:t>:</w:t>
      </w:r>
    </w:p>
    <w:p w14:paraId="5361C385" w14:textId="133D36BE" w:rsidR="007C2C84" w:rsidRPr="007C2C84" w:rsidRDefault="00192BEF" w:rsidP="003D1D4D">
      <w:pPr>
        <w:pStyle w:val="ListBullet"/>
        <w:numPr>
          <w:ilvl w:val="0"/>
          <w:numId w:val="13"/>
        </w:numPr>
        <w:spacing w:after="120"/>
        <w:ind w:hanging="357"/>
        <w:contextualSpacing w:val="0"/>
        <w:rPr>
          <w:rFonts w:eastAsiaTheme="minorEastAsia"/>
          <w:lang w:eastAsia="en-US"/>
        </w:rPr>
      </w:pPr>
      <w:r w:rsidRPr="00A00298">
        <w:rPr>
          <w:rFonts w:eastAsiaTheme="minorEastAsia"/>
          <w:lang w:eastAsia="en-US"/>
        </w:rPr>
        <w:t>MIRI IV 300 mg at week 0, 4, 8, 12, 16, 20 and then MIRI SC 200 mg Q4W thereafter</w:t>
      </w:r>
    </w:p>
    <w:p w14:paraId="6687A133" w14:textId="0AFB9AC0" w:rsidR="007C2C84" w:rsidRPr="007C2C84" w:rsidRDefault="007C2C84" w:rsidP="003D1D4D">
      <w:pPr>
        <w:pStyle w:val="ListBullet"/>
        <w:numPr>
          <w:ilvl w:val="0"/>
          <w:numId w:val="8"/>
        </w:numPr>
        <w:spacing w:after="120"/>
        <w:ind w:left="1040" w:hanging="357"/>
        <w:rPr>
          <w:rFonts w:asciiTheme="minorHAnsi" w:eastAsiaTheme="minorEastAsia" w:hAnsiTheme="minorHAnsi" w:cstheme="minorHAnsi"/>
          <w:lang w:eastAsia="en-US"/>
        </w:rPr>
      </w:pPr>
      <w:r w:rsidRPr="007C2C84">
        <w:rPr>
          <w:rFonts w:asciiTheme="minorHAnsi" w:eastAsiaTheme="minorEastAsia" w:hAnsiTheme="minorHAnsi" w:cstheme="minorHAnsi"/>
          <w:lang w:eastAsia="en-US"/>
        </w:rPr>
        <w:t>The PBAC advised the split of regimens of 76.4% receiving standard induction and 23.6% of responders receiving extended induction, as proposed in the cost minimisation approach</w:t>
      </w:r>
      <w:r>
        <w:rPr>
          <w:rFonts w:asciiTheme="minorHAnsi" w:eastAsiaTheme="minorEastAsia" w:hAnsiTheme="minorHAnsi" w:cstheme="minorHAnsi"/>
          <w:lang w:eastAsia="en-US"/>
        </w:rPr>
        <w:t xml:space="preserve"> (see Table 10),</w:t>
      </w:r>
      <w:r w:rsidRPr="007C2C84">
        <w:rPr>
          <w:rFonts w:asciiTheme="minorHAnsi" w:eastAsiaTheme="minorEastAsia" w:hAnsiTheme="minorHAnsi" w:cstheme="minorHAnsi"/>
          <w:lang w:eastAsia="en-US"/>
        </w:rPr>
        <w:t xml:space="preserve"> was reasonable.</w:t>
      </w:r>
    </w:p>
    <w:bookmarkEnd w:id="69"/>
    <w:p w14:paraId="53ED8B26" w14:textId="4F64646D" w:rsidR="003C3D16" w:rsidRPr="008B5623" w:rsidRDefault="003C3D16" w:rsidP="008B5623">
      <w:pPr>
        <w:widowControl w:val="0"/>
        <w:numPr>
          <w:ilvl w:val="1"/>
          <w:numId w:val="1"/>
        </w:numPr>
        <w:spacing w:after="120"/>
        <w:rPr>
          <w:rFonts w:asciiTheme="minorHAnsi" w:hAnsiTheme="minorHAnsi"/>
          <w:snapToGrid w:val="0"/>
          <w:lang w:val="en-GB"/>
        </w:rPr>
      </w:pPr>
      <w:r w:rsidRPr="008B5623">
        <w:rPr>
          <w:snapToGrid w:val="0"/>
          <w:lang w:val="en-GB"/>
        </w:rPr>
        <w:t>The PBAC considered it was reasonable for the PBS listing of MIRI to be consistent with other disease modifying anti-rheumatic drugs (DMARDs) for MSUC, with prescribing restricted to eligible medical practitioners.</w:t>
      </w:r>
      <w:r w:rsidR="00F668B3">
        <w:rPr>
          <w:snapToGrid w:val="0"/>
          <w:lang w:val="en-GB"/>
        </w:rPr>
        <w:t xml:space="preserve"> The PBAC noted that extending the induction period with MIRI from 12 to 24 weeks may also delay induction non-responders from receiving an effective alternative treatment</w:t>
      </w:r>
      <w:r w:rsidR="00192BEF">
        <w:rPr>
          <w:snapToGrid w:val="0"/>
          <w:lang w:val="en-GB"/>
        </w:rPr>
        <w:t xml:space="preserve">, however considered this option </w:t>
      </w:r>
      <w:r w:rsidR="006C77DF">
        <w:rPr>
          <w:snapToGrid w:val="0"/>
          <w:lang w:val="en-GB"/>
        </w:rPr>
        <w:t xml:space="preserve">would be </w:t>
      </w:r>
      <w:r w:rsidR="00192BEF">
        <w:rPr>
          <w:snapToGrid w:val="0"/>
          <w:lang w:val="en-GB"/>
        </w:rPr>
        <w:t xml:space="preserve">reasonable </w:t>
      </w:r>
      <w:r w:rsidR="006C77DF">
        <w:rPr>
          <w:snapToGrid w:val="0"/>
          <w:lang w:val="en-GB"/>
        </w:rPr>
        <w:t>if</w:t>
      </w:r>
      <w:r w:rsidR="00192BEF">
        <w:rPr>
          <w:snapToGrid w:val="0"/>
          <w:lang w:val="en-GB"/>
        </w:rPr>
        <w:t xml:space="preserve"> included in the Product Information</w:t>
      </w:r>
      <w:r w:rsidR="00F668B3">
        <w:rPr>
          <w:snapToGrid w:val="0"/>
          <w:lang w:val="en-GB"/>
        </w:rPr>
        <w:t xml:space="preserve">. </w:t>
      </w:r>
      <w:r w:rsidR="00192BEF">
        <w:rPr>
          <w:snapToGrid w:val="0"/>
          <w:lang w:val="en-GB"/>
        </w:rPr>
        <w:t xml:space="preserve">To facilitate </w:t>
      </w:r>
      <w:r w:rsidR="006C77DF">
        <w:rPr>
          <w:snapToGrid w:val="0"/>
          <w:lang w:val="en-GB"/>
        </w:rPr>
        <w:lastRenderedPageBreak/>
        <w:t>both schedules</w:t>
      </w:r>
      <w:r w:rsidR="00192BEF">
        <w:rPr>
          <w:snapToGrid w:val="0"/>
          <w:lang w:val="en-GB"/>
        </w:rPr>
        <w:t>, t</w:t>
      </w:r>
      <w:r w:rsidRPr="008B5623">
        <w:rPr>
          <w:snapToGrid w:val="0"/>
          <w:lang w:val="en-GB"/>
        </w:rPr>
        <w:t>he PBAC considered a maximum of 2</w:t>
      </w:r>
      <w:r>
        <w:t> repeats for</w:t>
      </w:r>
      <w:r w:rsidR="006C77DF">
        <w:t xml:space="preserve"> the</w:t>
      </w:r>
      <w:r>
        <w:t xml:space="preserve"> Initial treatment listings (MIRI 300 mg/15 mL injection) was appropriate to allow for an initial assessment of response at Week 12, and that an additional three doses could be requested through a Balance of Supply listing if patients required extended induction doses. The PBAC considered a </w:t>
      </w:r>
      <w:r w:rsidR="00A13761">
        <w:t>grandfather</w:t>
      </w:r>
      <w:r>
        <w:t xml:space="preserve"> listing was appropriate to allow patients currently enrolled in the LUCENT-3 </w:t>
      </w:r>
      <w:r w:rsidR="00390A2A">
        <w:t>trial</w:t>
      </w:r>
      <w:r>
        <w:t xml:space="preserve"> </w:t>
      </w:r>
      <w:r w:rsidR="00DE51AF">
        <w:t xml:space="preserve">who meet the requirements for the PBS listing to transition to accessing MIRI through the </w:t>
      </w:r>
      <w:r w:rsidR="00A13761">
        <w:t>PBS and</w:t>
      </w:r>
      <w:r w:rsidR="008B5623">
        <w:t xml:space="preserve"> recommended</w:t>
      </w:r>
      <w:r w:rsidR="00DE51AF">
        <w:t xml:space="preserve"> the </w:t>
      </w:r>
      <w:r w:rsidR="00A13761">
        <w:t>grandfather</w:t>
      </w:r>
      <w:r w:rsidR="00DE51AF">
        <w:t xml:space="preserve"> listing should </w:t>
      </w:r>
      <w:r w:rsidR="008B5623" w:rsidRPr="008B5623">
        <w:rPr>
          <w:rFonts w:cstheme="minorHAnsi"/>
        </w:rPr>
        <w:t xml:space="preserve">be in operation for a 12 months. </w:t>
      </w:r>
    </w:p>
    <w:bookmarkEnd w:id="68"/>
    <w:p w14:paraId="6DB0648E" w14:textId="77777777" w:rsidR="007C2C84" w:rsidRDefault="00BD5E40" w:rsidP="005D723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there are currently eight different bDMARD/tsDMARD therapies listed on the PBS for the treatment of MSUC and considered that as MIRI </w:t>
      </w:r>
      <w:r w:rsidR="00192BEF">
        <w:rPr>
          <w:rFonts w:asciiTheme="minorHAnsi" w:hAnsiTheme="minorHAnsi"/>
          <w:snapToGrid w:val="0"/>
          <w:lang w:val="en-GB"/>
        </w:rPr>
        <w:t>does not appear to provide a</w:t>
      </w:r>
      <w:r>
        <w:rPr>
          <w:rFonts w:asciiTheme="minorHAnsi" w:hAnsiTheme="minorHAnsi"/>
          <w:snapToGrid w:val="0"/>
          <w:lang w:val="en-GB"/>
        </w:rPr>
        <w:t xml:space="preserve"> significant benefit over other existing treatments, there is a low clinical need for the addition of a new therapy on the PBS. The PBAC noted the comment from a health care professional that stated a significant proportion of patients do not respond to therapies available and require surgery, and there is therefore a strong need for more classes of effective medical therapies to be available through the PBS. The PBAC also noted </w:t>
      </w:r>
      <w:r w:rsidR="0048747F">
        <w:rPr>
          <w:rFonts w:asciiTheme="minorHAnsi" w:hAnsiTheme="minorHAnsi"/>
          <w:snapToGrid w:val="0"/>
          <w:lang w:val="en-GB"/>
        </w:rPr>
        <w:t xml:space="preserve">the comment stated the benefits of MIRI include its </w:t>
      </w:r>
      <w:r w:rsidR="00192BEF">
        <w:rPr>
          <w:rFonts w:asciiTheme="minorHAnsi" w:hAnsiTheme="minorHAnsi"/>
          <w:snapToGrid w:val="0"/>
          <w:lang w:val="en-GB"/>
        </w:rPr>
        <w:t xml:space="preserve">favourable </w:t>
      </w:r>
      <w:r w:rsidR="0048747F">
        <w:rPr>
          <w:rFonts w:asciiTheme="minorHAnsi" w:hAnsiTheme="minorHAnsi"/>
          <w:snapToGrid w:val="0"/>
          <w:lang w:val="en-GB"/>
        </w:rPr>
        <w:t>safety profile and the convenience of SC maintenance dosing.</w:t>
      </w:r>
      <w:r w:rsidR="00192BEF">
        <w:rPr>
          <w:rFonts w:asciiTheme="minorHAnsi" w:hAnsiTheme="minorHAnsi"/>
          <w:snapToGrid w:val="0"/>
          <w:lang w:val="en-GB"/>
        </w:rPr>
        <w:t xml:space="preserve"> </w:t>
      </w:r>
    </w:p>
    <w:p w14:paraId="03B6FBB9" w14:textId="71586A06" w:rsidR="007C2C84" w:rsidRPr="00326A92" w:rsidRDefault="007C2C84" w:rsidP="007C2C84">
      <w:pPr>
        <w:widowControl w:val="0"/>
        <w:numPr>
          <w:ilvl w:val="1"/>
          <w:numId w:val="1"/>
        </w:numPr>
        <w:spacing w:after="120"/>
        <w:rPr>
          <w:rFonts w:asciiTheme="minorHAnsi" w:hAnsiTheme="minorHAnsi"/>
          <w:snapToGrid w:val="0"/>
          <w:lang w:val="en-GB"/>
        </w:rPr>
      </w:pPr>
      <w:r w:rsidRPr="007C2C84">
        <w:rPr>
          <w:rFonts w:asciiTheme="minorHAnsi" w:hAnsiTheme="minorHAnsi"/>
          <w:snapToGrid w:val="0"/>
          <w:lang w:val="en-GB"/>
        </w:rPr>
        <w:t xml:space="preserve">The submission nominated vedolizumab (VDZ) as the main comparator, adalimumab (ADA) as the secondary comparator and ustekinumab (UST) as a near market comparator. The PBAC considered the comparators were </w:t>
      </w:r>
      <w:r w:rsidR="00A13761" w:rsidRPr="007C2C84">
        <w:rPr>
          <w:rFonts w:asciiTheme="minorHAnsi" w:hAnsiTheme="minorHAnsi"/>
          <w:snapToGrid w:val="0"/>
          <w:lang w:val="en-GB"/>
        </w:rPr>
        <w:t>reasonable but</w:t>
      </w:r>
      <w:r w:rsidRPr="007C2C84">
        <w:rPr>
          <w:rFonts w:asciiTheme="minorHAnsi" w:hAnsiTheme="minorHAnsi"/>
          <w:snapToGrid w:val="0"/>
          <w:lang w:val="en-GB"/>
        </w:rPr>
        <w:t xml:space="preserve"> noted MIRI </w:t>
      </w:r>
      <w:r w:rsidRPr="00326A92">
        <w:rPr>
          <w:rFonts w:asciiTheme="minorHAnsi" w:hAnsiTheme="minorHAnsi"/>
          <w:snapToGrid w:val="0"/>
          <w:lang w:val="en-GB"/>
        </w:rPr>
        <w:t xml:space="preserve">may substitute for any of the DMARDs listed for MSUC, including IFX, GOL, OZA, TOF and UPA.  </w:t>
      </w:r>
    </w:p>
    <w:p w14:paraId="1341016D" w14:textId="6B0C6783" w:rsidR="007C2C84" w:rsidRPr="00326A92" w:rsidRDefault="009E6566" w:rsidP="00A234BA">
      <w:pPr>
        <w:widowControl w:val="0"/>
        <w:numPr>
          <w:ilvl w:val="1"/>
          <w:numId w:val="1"/>
        </w:numPr>
        <w:spacing w:after="120"/>
        <w:rPr>
          <w:rFonts w:asciiTheme="minorHAnsi" w:hAnsiTheme="minorHAnsi"/>
          <w:snapToGrid w:val="0"/>
          <w:lang w:val="en-GB"/>
        </w:rPr>
      </w:pPr>
      <w:r w:rsidRPr="00326A92">
        <w:rPr>
          <w:rFonts w:asciiTheme="minorHAnsi" w:hAnsiTheme="minorHAnsi"/>
          <w:snapToGrid w:val="0"/>
          <w:lang w:val="en-GB"/>
        </w:rPr>
        <w:t>The PBAC noted</w:t>
      </w:r>
      <w:r w:rsidR="00192BEF" w:rsidRPr="00326A92">
        <w:rPr>
          <w:rFonts w:asciiTheme="minorHAnsi" w:hAnsiTheme="minorHAnsi"/>
          <w:snapToGrid w:val="0"/>
          <w:lang w:val="en-GB"/>
        </w:rPr>
        <w:t xml:space="preserve"> the</w:t>
      </w:r>
      <w:r w:rsidRPr="00326A92">
        <w:rPr>
          <w:rFonts w:asciiTheme="minorHAnsi" w:hAnsiTheme="minorHAnsi"/>
          <w:snapToGrid w:val="0"/>
          <w:lang w:val="en-GB"/>
        </w:rPr>
        <w:t xml:space="preserve"> trial results demonstrated that more patients achieved clinical remission and/or clinical response following induction treatment with MIRI</w:t>
      </w:r>
      <w:r w:rsidR="00C333F5" w:rsidRPr="00326A92">
        <w:rPr>
          <w:rFonts w:asciiTheme="minorHAnsi" w:hAnsiTheme="minorHAnsi"/>
          <w:snapToGrid w:val="0"/>
          <w:lang w:val="en-GB"/>
        </w:rPr>
        <w:t xml:space="preserve"> compared to placebo</w:t>
      </w:r>
      <w:r w:rsidRPr="00326A92">
        <w:rPr>
          <w:rFonts w:asciiTheme="minorHAnsi" w:hAnsiTheme="minorHAnsi"/>
          <w:snapToGrid w:val="0"/>
          <w:lang w:val="en-GB"/>
        </w:rPr>
        <w:t>, and that</w:t>
      </w:r>
      <w:r w:rsidR="00C333F5" w:rsidRPr="00326A92">
        <w:rPr>
          <w:rFonts w:asciiTheme="minorHAnsi" w:hAnsiTheme="minorHAnsi"/>
          <w:snapToGrid w:val="0"/>
          <w:lang w:val="en-GB"/>
        </w:rPr>
        <w:t xml:space="preserve"> response was generally well maintained out to 52 weeks.</w:t>
      </w:r>
      <w:r w:rsidRPr="00326A92">
        <w:rPr>
          <w:rFonts w:asciiTheme="minorHAnsi" w:hAnsiTheme="minorHAnsi"/>
          <w:snapToGrid w:val="0"/>
          <w:lang w:val="en-GB"/>
        </w:rPr>
        <w:t xml:space="preserve"> The PBAC</w:t>
      </w:r>
      <w:r w:rsidR="00C333F5" w:rsidRPr="00326A92">
        <w:rPr>
          <w:rFonts w:asciiTheme="minorHAnsi" w:hAnsiTheme="minorHAnsi"/>
          <w:snapToGrid w:val="0"/>
          <w:lang w:val="en-GB"/>
        </w:rPr>
        <w:t xml:space="preserve"> also</w:t>
      </w:r>
      <w:r w:rsidRPr="00326A92">
        <w:rPr>
          <w:rFonts w:asciiTheme="minorHAnsi" w:hAnsiTheme="minorHAnsi"/>
          <w:snapToGrid w:val="0"/>
          <w:lang w:val="en-GB"/>
        </w:rPr>
        <w:t xml:space="preserve"> noted the results of indirect treatment comparisons generally</w:t>
      </w:r>
      <w:r w:rsidR="00C333F5" w:rsidRPr="00326A92">
        <w:rPr>
          <w:rFonts w:asciiTheme="minorHAnsi" w:hAnsiTheme="minorHAnsi"/>
          <w:snapToGrid w:val="0"/>
          <w:lang w:val="en-GB"/>
        </w:rPr>
        <w:t xml:space="preserve"> found</w:t>
      </w:r>
      <w:r w:rsidRPr="00326A92">
        <w:rPr>
          <w:rFonts w:asciiTheme="minorHAnsi" w:hAnsiTheme="minorHAnsi"/>
          <w:snapToGrid w:val="0"/>
          <w:lang w:val="en-GB"/>
        </w:rPr>
        <w:t xml:space="preserve"> no statistically significant differences between MIRI and VDZ for induction or maintenance treatment, with the exception of one comparison favouring VDZ over MIRI using the relative risk statistic for maintenance of response. </w:t>
      </w:r>
      <w:r w:rsidR="00C333F5" w:rsidRPr="00326A92">
        <w:rPr>
          <w:rFonts w:asciiTheme="minorHAnsi" w:hAnsiTheme="minorHAnsi"/>
          <w:snapToGrid w:val="0"/>
          <w:lang w:val="en-GB"/>
        </w:rPr>
        <w:t>For the indirect comparisons</w:t>
      </w:r>
      <w:r w:rsidR="00E25F25">
        <w:rPr>
          <w:rFonts w:asciiTheme="minorHAnsi" w:hAnsiTheme="minorHAnsi"/>
          <w:snapToGrid w:val="0"/>
          <w:lang w:val="en-GB"/>
        </w:rPr>
        <w:t xml:space="preserve"> versus UST</w:t>
      </w:r>
      <w:r w:rsidR="00C333F5" w:rsidRPr="00326A92">
        <w:rPr>
          <w:rFonts w:asciiTheme="minorHAnsi" w:hAnsiTheme="minorHAnsi"/>
          <w:snapToGrid w:val="0"/>
          <w:lang w:val="en-GB"/>
        </w:rPr>
        <w:t>, the Committee</w:t>
      </w:r>
      <w:r w:rsidRPr="00326A92">
        <w:rPr>
          <w:rFonts w:asciiTheme="minorHAnsi" w:hAnsiTheme="minorHAnsi"/>
          <w:snapToGrid w:val="0"/>
          <w:lang w:val="en-GB"/>
        </w:rPr>
        <w:t xml:space="preserve"> noted there were a few comparisons that favoured MIRI </w:t>
      </w:r>
      <w:r w:rsidR="00E25F25">
        <w:rPr>
          <w:rFonts w:asciiTheme="minorHAnsi" w:hAnsiTheme="minorHAnsi"/>
          <w:snapToGrid w:val="0"/>
          <w:lang w:val="en-GB"/>
        </w:rPr>
        <w:t xml:space="preserve">over UST </w:t>
      </w:r>
      <w:r w:rsidRPr="00326A92">
        <w:rPr>
          <w:rFonts w:asciiTheme="minorHAnsi" w:hAnsiTheme="minorHAnsi"/>
          <w:snapToGrid w:val="0"/>
          <w:lang w:val="en-GB"/>
        </w:rPr>
        <w:t>using the risk difference statistic, and there were a few comparisons favouring UST over MIRI in the bDMARDs/tsDMARDs experienced subgroup using the relative risk statistic.</w:t>
      </w:r>
      <w:r w:rsidR="00C333F5" w:rsidRPr="00326A92">
        <w:rPr>
          <w:rFonts w:asciiTheme="minorHAnsi" w:hAnsiTheme="minorHAnsi"/>
          <w:snapToGrid w:val="0"/>
          <w:lang w:val="en-GB"/>
        </w:rPr>
        <w:t xml:space="preserve"> </w:t>
      </w:r>
    </w:p>
    <w:p w14:paraId="755F3A86" w14:textId="73D48DED" w:rsidR="009E6566" w:rsidRPr="00326A92" w:rsidRDefault="007C2C84" w:rsidP="00A234BA">
      <w:pPr>
        <w:widowControl w:val="0"/>
        <w:numPr>
          <w:ilvl w:val="1"/>
          <w:numId w:val="1"/>
        </w:numPr>
        <w:spacing w:after="120"/>
        <w:rPr>
          <w:rFonts w:asciiTheme="minorHAnsi" w:hAnsiTheme="minorHAnsi"/>
          <w:snapToGrid w:val="0"/>
          <w:lang w:val="en-GB"/>
        </w:rPr>
      </w:pPr>
      <w:r w:rsidRPr="00326A92">
        <w:rPr>
          <w:rFonts w:asciiTheme="minorHAnsi" w:hAnsiTheme="minorHAnsi"/>
          <w:snapToGrid w:val="0"/>
          <w:lang w:val="en-GB"/>
        </w:rPr>
        <w:t>The PBAC noted the submission made a claim of superior comparative effectiveness versus ADA</w:t>
      </w:r>
      <w:r w:rsidR="00326A92" w:rsidRPr="00326A92">
        <w:rPr>
          <w:rFonts w:asciiTheme="minorHAnsi" w:hAnsiTheme="minorHAnsi"/>
          <w:snapToGrid w:val="0"/>
          <w:lang w:val="en-GB"/>
        </w:rPr>
        <w:t xml:space="preserve">, however also noted the evaluation found there were generally no statistically significant differences between the two treatments for induction or maintenance treatment, with the exception of a few comparisons that favoured MIRI over ADA using the risk difference (RD) statistic and the results using the RR statistic showed no difference between the two treatments for induction or maintenance treatment. </w:t>
      </w:r>
      <w:r w:rsidR="007E4A53" w:rsidRPr="00326A92">
        <w:rPr>
          <w:rFonts w:asciiTheme="minorHAnsi" w:hAnsiTheme="minorHAnsi"/>
          <w:snapToGrid w:val="0"/>
          <w:lang w:val="en-GB"/>
        </w:rPr>
        <w:t xml:space="preserve">Overall, the PBAC considered the totality of the available evidence did not strongly support a contention that MIRI is likely to be </w:t>
      </w:r>
      <w:r w:rsidR="00326A92">
        <w:rPr>
          <w:rFonts w:asciiTheme="minorHAnsi" w:hAnsiTheme="minorHAnsi"/>
          <w:snapToGrid w:val="0"/>
          <w:lang w:val="en-GB"/>
        </w:rPr>
        <w:t>of superior comparative effectiveness to ADA.</w:t>
      </w:r>
    </w:p>
    <w:p w14:paraId="2942ECB1" w14:textId="6ED20118" w:rsidR="000834D6" w:rsidRDefault="00A60939" w:rsidP="005D7237">
      <w:pPr>
        <w:widowControl w:val="0"/>
        <w:numPr>
          <w:ilvl w:val="1"/>
          <w:numId w:val="1"/>
        </w:numPr>
        <w:spacing w:after="120"/>
        <w:rPr>
          <w:rFonts w:asciiTheme="minorHAnsi" w:hAnsiTheme="minorHAnsi"/>
          <w:snapToGrid w:val="0"/>
          <w:lang w:val="en-GB"/>
        </w:rPr>
      </w:pPr>
      <w:r w:rsidRPr="00475815">
        <w:rPr>
          <w:rFonts w:asciiTheme="minorHAnsi" w:hAnsiTheme="minorHAnsi"/>
          <w:snapToGrid w:val="0"/>
          <w:lang w:val="en-GB"/>
        </w:rPr>
        <w:lastRenderedPageBreak/>
        <w:t>The PBAC noted th</w:t>
      </w:r>
      <w:r w:rsidR="009E6566" w:rsidRPr="00475815">
        <w:rPr>
          <w:rFonts w:asciiTheme="minorHAnsi" w:hAnsiTheme="minorHAnsi"/>
          <w:snapToGrid w:val="0"/>
          <w:lang w:val="en-GB"/>
        </w:rPr>
        <w:t xml:space="preserve">e </w:t>
      </w:r>
      <w:r w:rsidRPr="00475815">
        <w:rPr>
          <w:rFonts w:asciiTheme="minorHAnsi" w:hAnsiTheme="minorHAnsi"/>
          <w:snapToGrid w:val="0"/>
          <w:lang w:val="en-GB"/>
        </w:rPr>
        <w:t>results of the</w:t>
      </w:r>
      <w:r w:rsidR="00390A2A" w:rsidRPr="00475815">
        <w:rPr>
          <w:rFonts w:asciiTheme="minorHAnsi" w:hAnsiTheme="minorHAnsi"/>
          <w:snapToGrid w:val="0"/>
          <w:lang w:val="en-GB"/>
        </w:rPr>
        <w:t xml:space="preserve"> network meta-analysis</w:t>
      </w:r>
      <w:r w:rsidRPr="00475815">
        <w:rPr>
          <w:rFonts w:asciiTheme="minorHAnsi" w:hAnsiTheme="minorHAnsi"/>
          <w:snapToGrid w:val="0"/>
          <w:lang w:val="en-GB"/>
        </w:rPr>
        <w:t xml:space="preserve"> </w:t>
      </w:r>
      <w:r w:rsidR="00390A2A" w:rsidRPr="00475815">
        <w:rPr>
          <w:rFonts w:asciiTheme="minorHAnsi" w:hAnsiTheme="minorHAnsi"/>
          <w:snapToGrid w:val="0"/>
          <w:lang w:val="en-GB"/>
        </w:rPr>
        <w:t>(</w:t>
      </w:r>
      <w:r w:rsidRPr="00475815">
        <w:rPr>
          <w:rFonts w:asciiTheme="minorHAnsi" w:hAnsiTheme="minorHAnsi"/>
          <w:snapToGrid w:val="0"/>
          <w:lang w:val="en-GB"/>
        </w:rPr>
        <w:t>NMA</w:t>
      </w:r>
      <w:r w:rsidR="00390A2A" w:rsidRPr="00475815">
        <w:rPr>
          <w:rFonts w:asciiTheme="minorHAnsi" w:hAnsiTheme="minorHAnsi"/>
          <w:snapToGrid w:val="0"/>
          <w:lang w:val="en-GB"/>
        </w:rPr>
        <w:t>)</w:t>
      </w:r>
      <w:r w:rsidR="009E6566" w:rsidRPr="00475815">
        <w:rPr>
          <w:rFonts w:asciiTheme="minorHAnsi" w:hAnsiTheme="minorHAnsi"/>
          <w:snapToGrid w:val="0"/>
          <w:lang w:val="en-GB"/>
        </w:rPr>
        <w:t xml:space="preserve"> </w:t>
      </w:r>
      <w:r w:rsidR="00C333F5" w:rsidRPr="00475815">
        <w:rPr>
          <w:rFonts w:asciiTheme="minorHAnsi" w:hAnsiTheme="minorHAnsi"/>
          <w:snapToGrid w:val="0"/>
          <w:lang w:val="en-GB"/>
        </w:rPr>
        <w:t>found</w:t>
      </w:r>
      <w:r w:rsidR="009E6566" w:rsidRPr="00475815">
        <w:rPr>
          <w:rFonts w:asciiTheme="minorHAnsi" w:hAnsiTheme="minorHAnsi"/>
          <w:snapToGrid w:val="0"/>
          <w:lang w:val="en-GB"/>
        </w:rPr>
        <w:t xml:space="preserve"> no statistically significan</w:t>
      </w:r>
      <w:r w:rsidR="004D4672" w:rsidRPr="00475815">
        <w:rPr>
          <w:rFonts w:asciiTheme="minorHAnsi" w:hAnsiTheme="minorHAnsi"/>
          <w:snapToGrid w:val="0"/>
          <w:lang w:val="en-GB"/>
        </w:rPr>
        <w:t>t</w:t>
      </w:r>
      <w:r w:rsidR="009E6566" w:rsidRPr="00475815">
        <w:rPr>
          <w:rFonts w:asciiTheme="minorHAnsi" w:hAnsiTheme="minorHAnsi"/>
          <w:snapToGrid w:val="0"/>
          <w:lang w:val="en-GB"/>
        </w:rPr>
        <w:t xml:space="preserve"> differences between MIRI and</w:t>
      </w:r>
      <w:r w:rsidR="004D4672" w:rsidRPr="00475815">
        <w:rPr>
          <w:rFonts w:asciiTheme="minorHAnsi" w:hAnsiTheme="minorHAnsi"/>
          <w:snapToGrid w:val="0"/>
          <w:lang w:val="en-GB"/>
        </w:rPr>
        <w:t xml:space="preserve"> either</w:t>
      </w:r>
      <w:r w:rsidR="009E6566" w:rsidRPr="00475815">
        <w:rPr>
          <w:rFonts w:asciiTheme="minorHAnsi" w:hAnsiTheme="minorHAnsi"/>
          <w:snapToGrid w:val="0"/>
          <w:lang w:val="en-GB"/>
        </w:rPr>
        <w:t xml:space="preserve"> VDZ </w:t>
      </w:r>
      <w:r w:rsidR="004D4672" w:rsidRPr="00475815">
        <w:rPr>
          <w:rFonts w:asciiTheme="minorHAnsi" w:hAnsiTheme="minorHAnsi"/>
          <w:snapToGrid w:val="0"/>
          <w:lang w:val="en-GB"/>
        </w:rPr>
        <w:t xml:space="preserve">of UST </w:t>
      </w:r>
      <w:r w:rsidR="009E6566" w:rsidRPr="00475815">
        <w:rPr>
          <w:rFonts w:asciiTheme="minorHAnsi" w:hAnsiTheme="minorHAnsi"/>
          <w:snapToGrid w:val="0"/>
          <w:lang w:val="en-GB"/>
        </w:rPr>
        <w:t>for induction or maintenance treatment</w:t>
      </w:r>
      <w:r w:rsidR="00475815" w:rsidRPr="00475815">
        <w:rPr>
          <w:rFonts w:asciiTheme="minorHAnsi" w:hAnsiTheme="minorHAnsi"/>
          <w:snapToGrid w:val="0"/>
          <w:lang w:val="en-GB"/>
        </w:rPr>
        <w:t>, and further noted that for the comparisons versus ADA, the results only favoured MIRI when the models adjusted for baseline risk</w:t>
      </w:r>
      <w:r w:rsidR="004D4672" w:rsidRPr="00475815">
        <w:rPr>
          <w:rFonts w:asciiTheme="minorHAnsi" w:hAnsiTheme="minorHAnsi"/>
          <w:snapToGrid w:val="0"/>
          <w:lang w:val="en-GB"/>
        </w:rPr>
        <w:t>.</w:t>
      </w:r>
      <w:r w:rsidR="00475815" w:rsidRPr="00475815">
        <w:rPr>
          <w:rFonts w:asciiTheme="minorHAnsi" w:hAnsiTheme="minorHAnsi"/>
          <w:snapToGrid w:val="0"/>
          <w:lang w:val="en-GB"/>
        </w:rPr>
        <w:t xml:space="preserve"> Overall, the PBAC agreed with the ESC and considered the NMA was of limited informative value for assessing the clinical claim, as the NMA results were only presented based on bDMARD/tsDMARD naïve/experienced subgroups and no intention to treat (ITT) population results were reported. The PBAC noted the arguments in the Pre-PBAC Response that evaluation of the ITT population was not feasible due to heterogeneity (paragraph </w:t>
      </w:r>
      <w:r w:rsidR="00475815" w:rsidRPr="00475815">
        <w:rPr>
          <w:rFonts w:asciiTheme="minorHAnsi" w:hAnsiTheme="minorHAnsi"/>
          <w:snapToGrid w:val="0"/>
          <w:lang w:val="en-GB"/>
        </w:rPr>
        <w:fldChar w:fldCharType="begin" w:fldLock="1"/>
      </w:r>
      <w:r w:rsidR="00475815" w:rsidRPr="00475815">
        <w:rPr>
          <w:rFonts w:asciiTheme="minorHAnsi" w:hAnsiTheme="minorHAnsi"/>
          <w:snapToGrid w:val="0"/>
          <w:lang w:val="en-GB"/>
        </w:rPr>
        <w:instrText xml:space="preserve"> REF _Ref140223521 \r \h </w:instrText>
      </w:r>
      <w:r w:rsidR="00475815">
        <w:rPr>
          <w:rFonts w:asciiTheme="minorHAnsi" w:hAnsiTheme="minorHAnsi"/>
          <w:snapToGrid w:val="0"/>
          <w:lang w:val="en-GB"/>
        </w:rPr>
        <w:instrText xml:space="preserve"> \* MERGEFORMAT </w:instrText>
      </w:r>
      <w:r w:rsidR="00475815" w:rsidRPr="00475815">
        <w:rPr>
          <w:rFonts w:asciiTheme="minorHAnsi" w:hAnsiTheme="minorHAnsi"/>
          <w:snapToGrid w:val="0"/>
          <w:lang w:val="en-GB"/>
        </w:rPr>
      </w:r>
      <w:r w:rsidR="00475815" w:rsidRPr="00475815">
        <w:rPr>
          <w:rFonts w:asciiTheme="minorHAnsi" w:hAnsiTheme="minorHAnsi"/>
          <w:snapToGrid w:val="0"/>
          <w:lang w:val="en-GB"/>
        </w:rPr>
        <w:fldChar w:fldCharType="separate"/>
      </w:r>
      <w:r w:rsidR="00475815" w:rsidRPr="00475815">
        <w:rPr>
          <w:rFonts w:asciiTheme="minorHAnsi" w:hAnsiTheme="minorHAnsi"/>
          <w:snapToGrid w:val="0"/>
          <w:lang w:val="en-GB"/>
        </w:rPr>
        <w:t>6.32</w:t>
      </w:r>
      <w:r w:rsidR="00475815" w:rsidRPr="00475815">
        <w:rPr>
          <w:rFonts w:asciiTheme="minorHAnsi" w:hAnsiTheme="minorHAnsi"/>
          <w:snapToGrid w:val="0"/>
          <w:lang w:val="en-GB"/>
        </w:rPr>
        <w:fldChar w:fldCharType="end"/>
      </w:r>
      <w:r w:rsidR="00475815" w:rsidRPr="00475815">
        <w:rPr>
          <w:rFonts w:asciiTheme="minorHAnsi" w:hAnsiTheme="minorHAnsi"/>
          <w:snapToGrid w:val="0"/>
          <w:lang w:val="en-GB"/>
        </w:rPr>
        <w:t xml:space="preserve"> refers), however noted that previous submissions such as OZA for MSUC in November 2022 had presented an NMA which included analyses based on ITT populations and therefore considered the argument to not undertake such analyses was not well justified. Overall, the PBAC agreed with the ESC and considered the NMA was not particularly informative for assessing the clinical claims, as the ITT population most closely aligns with the PBS restrictions for bDMARDs/tsDMARDs for MSUC.  </w:t>
      </w:r>
      <w:r w:rsidR="004D4672">
        <w:rPr>
          <w:rFonts w:asciiTheme="minorHAnsi" w:hAnsiTheme="minorHAnsi"/>
          <w:snapToGrid w:val="0"/>
          <w:lang w:val="en-GB"/>
        </w:rPr>
        <w:t>The PBAC noted that the proportion of adverse events, serious adverse events and infections were comparable between MIRI and VDZ, UST and ADA during induction and maintenance treatment, and there were fewer discontinuations due to adverse events in patients treated with MIRI versus VDZ or ADA.</w:t>
      </w:r>
      <w:r w:rsidR="000C2F84">
        <w:rPr>
          <w:rFonts w:asciiTheme="minorHAnsi" w:hAnsiTheme="minorHAnsi"/>
          <w:snapToGrid w:val="0"/>
          <w:lang w:val="en-GB"/>
        </w:rPr>
        <w:t xml:space="preserve"> Overall, the PBAC considered the evidence presented supported a claim that MIRI is of non-inferior comparative safety to the </w:t>
      </w:r>
      <w:r w:rsidR="00D26903">
        <w:rPr>
          <w:rFonts w:asciiTheme="minorHAnsi" w:hAnsiTheme="minorHAnsi"/>
          <w:snapToGrid w:val="0"/>
          <w:lang w:val="en-GB"/>
        </w:rPr>
        <w:t>nominated comparators</w:t>
      </w:r>
      <w:r w:rsidR="000C2F84">
        <w:rPr>
          <w:rFonts w:asciiTheme="minorHAnsi" w:hAnsiTheme="minorHAnsi"/>
          <w:snapToGrid w:val="0"/>
          <w:lang w:val="en-GB"/>
        </w:rPr>
        <w:t xml:space="preserve">. </w:t>
      </w:r>
      <w:r w:rsidR="007C2C84">
        <w:rPr>
          <w:rFonts w:asciiTheme="minorHAnsi" w:hAnsiTheme="minorHAnsi"/>
          <w:snapToGrid w:val="0"/>
          <w:lang w:val="en-GB"/>
        </w:rPr>
        <w:t xml:space="preserve"> </w:t>
      </w:r>
    </w:p>
    <w:p w14:paraId="2633D69E" w14:textId="3213FFBE" w:rsidR="007C2C84" w:rsidRDefault="007C2C84" w:rsidP="007C2C84">
      <w:pPr>
        <w:pStyle w:val="3-BodyText"/>
        <w:rPr>
          <w:lang w:val="en-GB"/>
        </w:rPr>
      </w:pPr>
      <w:r>
        <w:rPr>
          <w:lang w:val="en-GB"/>
        </w:rPr>
        <w:t>Overall, t</w:t>
      </w:r>
      <w:r w:rsidRPr="0048747F">
        <w:rPr>
          <w:lang w:val="en-GB"/>
        </w:rPr>
        <w:t>he PBAC accepted MIRI is likely of non-inferior comparative effectiveness to the nominated comparators UST and VDZ</w:t>
      </w:r>
      <w:r w:rsidR="00A34D8B">
        <w:rPr>
          <w:lang w:val="en-GB"/>
        </w:rPr>
        <w:t xml:space="preserve"> and considered the </w:t>
      </w:r>
      <w:r w:rsidR="00A34D8B" w:rsidRPr="00A34D8B">
        <w:rPr>
          <w:lang w:val="en-GB"/>
        </w:rPr>
        <w:t>totality of the available evidence did not strongly support a contention that MIRI is likely to be superior or inferior in terms of comparative effectiveness</w:t>
      </w:r>
      <w:r w:rsidR="00A34D8B">
        <w:rPr>
          <w:lang w:val="en-GB"/>
        </w:rPr>
        <w:t xml:space="preserve"> or safety</w:t>
      </w:r>
      <w:r w:rsidR="00A34D8B" w:rsidRPr="00A34D8B">
        <w:rPr>
          <w:lang w:val="en-GB"/>
        </w:rPr>
        <w:t xml:space="preserve"> to any of the alternative therapies</w:t>
      </w:r>
      <w:r w:rsidRPr="0048747F">
        <w:rPr>
          <w:lang w:val="en-GB"/>
        </w:rPr>
        <w:t>. The PBAC</w:t>
      </w:r>
      <w:r>
        <w:rPr>
          <w:lang w:val="en-GB"/>
        </w:rPr>
        <w:t xml:space="preserve"> noted the submission’s claim that MIRI demonstrated superior effectiveness compared to ADA, </w:t>
      </w:r>
      <w:r w:rsidR="00A34D8B">
        <w:rPr>
          <w:lang w:val="en-GB"/>
        </w:rPr>
        <w:t>however,</w:t>
      </w:r>
      <w:r w:rsidRPr="0048747F">
        <w:rPr>
          <w:lang w:val="en-GB"/>
        </w:rPr>
        <w:t xml:space="preserve"> </w:t>
      </w:r>
      <w:r>
        <w:rPr>
          <w:lang w:val="en-GB"/>
        </w:rPr>
        <w:t>considered that</w:t>
      </w:r>
      <w:r w:rsidRPr="0048747F">
        <w:rPr>
          <w:lang w:val="en-GB"/>
        </w:rPr>
        <w:t xml:space="preserve"> the evidence did not </w:t>
      </w:r>
      <w:r>
        <w:rPr>
          <w:lang w:val="en-GB"/>
        </w:rPr>
        <w:t xml:space="preserve">support this claim and considered MIRI was more likely to be of non-inferior comparative effectiveness to ADA. </w:t>
      </w:r>
      <w:r w:rsidR="00326A92">
        <w:rPr>
          <w:lang w:val="en-GB"/>
        </w:rPr>
        <w:t xml:space="preserve"> </w:t>
      </w:r>
    </w:p>
    <w:p w14:paraId="60354F23" w14:textId="07A45CB7" w:rsidR="003A0278" w:rsidRPr="007C2C84" w:rsidRDefault="003A0278" w:rsidP="007C2C84">
      <w:pPr>
        <w:pStyle w:val="3-BodyText"/>
        <w:rPr>
          <w:lang w:val="en-GB"/>
        </w:rPr>
      </w:pPr>
      <w:r>
        <w:rPr>
          <w:lang w:val="en-GB"/>
        </w:rPr>
        <w:t xml:space="preserve">The PBAC recalled that OZA, UST and UPA were recommended for PBS listing on the basis </w:t>
      </w:r>
      <w:r w:rsidRPr="003A0278">
        <w:rPr>
          <w:lang w:val="en-GB"/>
        </w:rPr>
        <w:t xml:space="preserve">that cost-effectiveness would be acceptable if </w:t>
      </w:r>
      <w:r>
        <w:rPr>
          <w:lang w:val="en-GB"/>
        </w:rPr>
        <w:t xml:space="preserve">they </w:t>
      </w:r>
      <w:r w:rsidRPr="003A0278">
        <w:rPr>
          <w:lang w:val="en-GB"/>
        </w:rPr>
        <w:t xml:space="preserve">were cost minimised to the least costly alternative </w:t>
      </w:r>
      <w:r>
        <w:rPr>
          <w:lang w:val="en-GB"/>
        </w:rPr>
        <w:t xml:space="preserve">PBS listed </w:t>
      </w:r>
      <w:r w:rsidRPr="003A0278">
        <w:rPr>
          <w:lang w:val="en-GB"/>
        </w:rPr>
        <w:t xml:space="preserve">therapy, </w:t>
      </w:r>
      <w:r>
        <w:rPr>
          <w:lang w:val="en-GB"/>
        </w:rPr>
        <w:t xml:space="preserve">excluding </w:t>
      </w:r>
      <w:r w:rsidR="00081E64">
        <w:rPr>
          <w:lang w:val="en-GB"/>
        </w:rPr>
        <w:t>ADA</w:t>
      </w:r>
      <w:r>
        <w:rPr>
          <w:lang w:val="en-GB"/>
        </w:rPr>
        <w:t xml:space="preserve">. </w:t>
      </w:r>
      <w:r w:rsidRPr="003A0278">
        <w:rPr>
          <w:lang w:val="en-GB"/>
        </w:rPr>
        <w:t xml:space="preserve">The PBAC considered there </w:t>
      </w:r>
      <w:r>
        <w:rPr>
          <w:lang w:val="en-GB"/>
        </w:rPr>
        <w:t xml:space="preserve">was </w:t>
      </w:r>
      <w:r w:rsidRPr="003A0278">
        <w:rPr>
          <w:lang w:val="en-GB"/>
        </w:rPr>
        <w:t>sufficient evidence that</w:t>
      </w:r>
      <w:r>
        <w:rPr>
          <w:lang w:val="en-GB"/>
        </w:rPr>
        <w:t xml:space="preserve"> OZ</w:t>
      </w:r>
      <w:r w:rsidR="00860DFE">
        <w:rPr>
          <w:lang w:val="en-GB"/>
        </w:rPr>
        <w:t>A</w:t>
      </w:r>
      <w:r>
        <w:rPr>
          <w:lang w:val="en-GB"/>
        </w:rPr>
        <w:t>, UST and UPA</w:t>
      </w:r>
      <w:r w:rsidRPr="003A0278">
        <w:rPr>
          <w:lang w:val="en-GB"/>
        </w:rPr>
        <w:t>, for some patients, provide</w:t>
      </w:r>
      <w:r>
        <w:rPr>
          <w:lang w:val="en-GB"/>
        </w:rPr>
        <w:t>d</w:t>
      </w:r>
      <w:r w:rsidRPr="003A0278">
        <w:rPr>
          <w:lang w:val="en-GB"/>
        </w:rPr>
        <w:t xml:space="preserve"> a significant improvement in effectiveness in the induction phase compared to adalimumab</w:t>
      </w:r>
      <w:r>
        <w:rPr>
          <w:lang w:val="en-GB"/>
        </w:rPr>
        <w:t xml:space="preserve">. The PBAC considered the clinical evidence for </w:t>
      </w:r>
      <w:r w:rsidR="00860DFE">
        <w:rPr>
          <w:lang w:val="en-GB"/>
        </w:rPr>
        <w:t>MIRI</w:t>
      </w:r>
      <w:r>
        <w:rPr>
          <w:lang w:val="en-GB"/>
        </w:rPr>
        <w:t xml:space="preserve"> presented in the submission did not support a significant improvement in effectiveness in the induction phase compared to </w:t>
      </w:r>
      <w:r w:rsidR="00860DFE">
        <w:rPr>
          <w:lang w:val="en-GB"/>
        </w:rPr>
        <w:t>ADA</w:t>
      </w:r>
      <w:r>
        <w:rPr>
          <w:lang w:val="en-GB"/>
        </w:rPr>
        <w:t xml:space="preserve">. </w:t>
      </w:r>
    </w:p>
    <w:p w14:paraId="44EE8364" w14:textId="64D66A66" w:rsidR="007C2C84" w:rsidRPr="007C2C84" w:rsidRDefault="000C2F84" w:rsidP="007C2C84">
      <w:pPr>
        <w:pStyle w:val="3-BodyText"/>
        <w:rPr>
          <w:lang w:val="en-GB"/>
        </w:rPr>
      </w:pPr>
      <w:r>
        <w:rPr>
          <w:lang w:val="en-GB"/>
        </w:rPr>
        <w:t xml:space="preserve">The PBAC considered that a listing based on a cost minimisation approach with costs over two years, consistent with the approach previously used for bDMARDs/tsDMARDs, was appropriate to determine the cost minimised price of MIRI. The PBAC considered the cost of MIRI should be no greater than the alternative </w:t>
      </w:r>
      <w:r>
        <w:rPr>
          <w:lang w:val="en-GB"/>
        </w:rPr>
        <w:lastRenderedPageBreak/>
        <w:t>therapies</w:t>
      </w:r>
      <w:r w:rsidR="007C2C84">
        <w:rPr>
          <w:lang w:val="en-GB"/>
        </w:rPr>
        <w:t xml:space="preserve">, including the proposed </w:t>
      </w:r>
      <w:r w:rsidR="007C2C84" w:rsidRPr="007C2C84">
        <w:rPr>
          <w:lang w:val="en-GB"/>
        </w:rPr>
        <w:t>weighted AEMP for MIRI</w:t>
      </w:r>
      <w:r w:rsidR="007C2C84">
        <w:rPr>
          <w:lang w:val="en-GB"/>
        </w:rPr>
        <w:t xml:space="preserve">, assuming </w:t>
      </w:r>
      <w:r w:rsidR="007C2C84" w:rsidRPr="007C2C84">
        <w:rPr>
          <w:lang w:val="en-GB"/>
        </w:rPr>
        <w:t>76.4% receiv</w:t>
      </w:r>
      <w:r w:rsidR="007C2C84">
        <w:rPr>
          <w:lang w:val="en-GB"/>
        </w:rPr>
        <w:t>ing</w:t>
      </w:r>
      <w:r w:rsidR="007C2C84" w:rsidRPr="007C2C84">
        <w:rPr>
          <w:lang w:val="en-GB"/>
        </w:rPr>
        <w:t xml:space="preserve"> standard induction</w:t>
      </w:r>
      <w:r w:rsidR="007C2C84">
        <w:rPr>
          <w:lang w:val="en-GB"/>
        </w:rPr>
        <w:t xml:space="preserve"> and</w:t>
      </w:r>
      <w:r w:rsidR="007C2C84" w:rsidRPr="007C2C84">
        <w:rPr>
          <w:lang w:val="en-GB"/>
        </w:rPr>
        <w:t xml:space="preserve"> 23.6% receiv</w:t>
      </w:r>
      <w:r w:rsidR="007C2C84">
        <w:rPr>
          <w:lang w:val="en-GB"/>
        </w:rPr>
        <w:t>ing</w:t>
      </w:r>
      <w:r w:rsidR="007C2C84" w:rsidRPr="007C2C84">
        <w:rPr>
          <w:lang w:val="en-GB"/>
        </w:rPr>
        <w:t xml:space="preserve"> extended induction</w:t>
      </w:r>
      <w:r w:rsidR="007C2C84">
        <w:rPr>
          <w:lang w:val="en-GB"/>
        </w:rPr>
        <w:t xml:space="preserve"> (see Table 10).</w:t>
      </w:r>
    </w:p>
    <w:p w14:paraId="33737A48" w14:textId="665B2636" w:rsidR="004D4672" w:rsidRPr="00C06E13" w:rsidRDefault="00413C1E" w:rsidP="005D723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an estimated net cost to the PBS</w:t>
      </w:r>
      <w:r w:rsidR="00F668B3">
        <w:rPr>
          <w:rFonts w:asciiTheme="minorHAnsi" w:hAnsiTheme="minorHAnsi"/>
          <w:snapToGrid w:val="0"/>
          <w:lang w:val="en-GB"/>
        </w:rPr>
        <w:t>/RPBS</w:t>
      </w:r>
      <w:r>
        <w:rPr>
          <w:rFonts w:asciiTheme="minorHAnsi" w:hAnsiTheme="minorHAnsi"/>
          <w:snapToGrid w:val="0"/>
          <w:lang w:val="en-GB"/>
        </w:rPr>
        <w:t xml:space="preserve"> of $</w:t>
      </w:r>
      <w:r w:rsidR="00AD0E54">
        <w:rPr>
          <w:rFonts w:asciiTheme="minorHAnsi" w:hAnsiTheme="minorHAnsi"/>
          <w:snapToGrid w:val="0"/>
          <w:lang w:val="en-GB"/>
        </w:rPr>
        <w:t>90</w:t>
      </w:r>
      <w:r w:rsidR="00254E65">
        <w:rPr>
          <w:rFonts w:asciiTheme="minorHAnsi" w:hAnsiTheme="minorHAnsi"/>
          <w:snapToGrid w:val="0"/>
          <w:lang w:val="en-GB"/>
        </w:rPr>
        <w:t> </w:t>
      </w:r>
      <w:r w:rsidR="00AD0E54">
        <w:rPr>
          <w:rFonts w:asciiTheme="minorHAnsi" w:hAnsiTheme="minorHAnsi"/>
          <w:snapToGrid w:val="0"/>
          <w:lang w:val="en-GB"/>
        </w:rPr>
        <w:t>million</w:t>
      </w:r>
      <w:r w:rsidR="00254E65">
        <w:rPr>
          <w:rFonts w:asciiTheme="minorHAnsi" w:hAnsiTheme="minorHAnsi"/>
          <w:snapToGrid w:val="0"/>
          <w:lang w:val="en-GB"/>
        </w:rPr>
        <w:t> </w:t>
      </w:r>
      <w:r w:rsidR="00AD0E54">
        <w:rPr>
          <w:rFonts w:asciiTheme="minorHAnsi" w:hAnsiTheme="minorHAnsi"/>
          <w:snapToGrid w:val="0"/>
          <w:lang w:val="en-GB"/>
        </w:rPr>
        <w:t>to</w:t>
      </w:r>
      <w:r w:rsidR="00254E65">
        <w:rPr>
          <w:rFonts w:asciiTheme="minorHAnsi" w:hAnsiTheme="minorHAnsi"/>
          <w:snapToGrid w:val="0"/>
          <w:lang w:val="en-GB"/>
        </w:rPr>
        <w:t> </w:t>
      </w:r>
      <w:r w:rsidR="00AD0E54">
        <w:rPr>
          <w:rFonts w:asciiTheme="minorHAnsi" w:hAnsiTheme="minorHAnsi"/>
          <w:snapToGrid w:val="0"/>
          <w:lang w:val="en-GB"/>
        </w:rPr>
        <w:t>&lt;</w:t>
      </w:r>
      <w:r w:rsidR="00254E65">
        <w:rPr>
          <w:rFonts w:asciiTheme="minorHAnsi" w:hAnsiTheme="minorHAnsi"/>
          <w:snapToGrid w:val="0"/>
          <w:lang w:val="en-GB"/>
        </w:rPr>
        <w:t> </w:t>
      </w:r>
      <w:r w:rsidR="00AD0E54">
        <w:rPr>
          <w:rFonts w:asciiTheme="minorHAnsi" w:hAnsiTheme="minorHAnsi"/>
          <w:snapToGrid w:val="0"/>
          <w:lang w:val="en-GB"/>
        </w:rPr>
        <w:t>$100</w:t>
      </w:r>
      <w:r w:rsidR="00F668B3">
        <w:rPr>
          <w:rFonts w:asciiTheme="minorHAnsi" w:hAnsiTheme="minorHAnsi"/>
          <w:snapToGrid w:val="0"/>
          <w:lang w:val="en-GB"/>
        </w:rPr>
        <w:t> million over 6 years</w:t>
      </w:r>
      <w:r>
        <w:rPr>
          <w:rFonts w:asciiTheme="minorHAnsi" w:hAnsiTheme="minorHAnsi"/>
          <w:snapToGrid w:val="0"/>
          <w:lang w:val="en-GB"/>
        </w:rPr>
        <w:t xml:space="preserve"> with the listing of </w:t>
      </w:r>
      <w:r w:rsidR="00A13761">
        <w:rPr>
          <w:rFonts w:asciiTheme="minorHAnsi" w:hAnsiTheme="minorHAnsi"/>
          <w:snapToGrid w:val="0"/>
          <w:lang w:val="en-GB"/>
        </w:rPr>
        <w:t>MIRI and</w:t>
      </w:r>
      <w:r>
        <w:rPr>
          <w:rFonts w:asciiTheme="minorHAnsi" w:hAnsiTheme="minorHAnsi"/>
          <w:snapToGrid w:val="0"/>
          <w:lang w:val="en-GB"/>
        </w:rPr>
        <w:t xml:space="preserve"> noted that this cost was based on the published price of the comparator</w:t>
      </w:r>
      <w:r w:rsidR="00A55543">
        <w:rPr>
          <w:rFonts w:asciiTheme="minorHAnsi" w:hAnsiTheme="minorHAnsi"/>
          <w:snapToGrid w:val="0"/>
          <w:lang w:val="en-GB"/>
        </w:rPr>
        <w:t>.</w:t>
      </w:r>
      <w:r>
        <w:rPr>
          <w:rFonts w:asciiTheme="minorHAnsi" w:hAnsiTheme="minorHAnsi"/>
          <w:snapToGrid w:val="0"/>
          <w:lang w:val="en-GB"/>
        </w:rPr>
        <w:t xml:space="preserve"> The PBAC </w:t>
      </w:r>
      <w:r w:rsidR="00A55543">
        <w:rPr>
          <w:rFonts w:asciiTheme="minorHAnsi" w:hAnsiTheme="minorHAnsi"/>
          <w:snapToGrid w:val="0"/>
          <w:lang w:val="en-GB"/>
        </w:rPr>
        <w:t>considered that, under the parameters of its recommended listing on a cost minimisation basis with the least costly alternative, the listing of MIRI would be expected</w:t>
      </w:r>
      <w:r>
        <w:rPr>
          <w:rFonts w:asciiTheme="minorHAnsi" w:hAnsiTheme="minorHAnsi"/>
          <w:snapToGrid w:val="0"/>
          <w:lang w:val="en-GB"/>
        </w:rPr>
        <w:t xml:space="preserve"> to be cost neutral or modestly </w:t>
      </w:r>
      <w:r w:rsidR="00A13761">
        <w:rPr>
          <w:rFonts w:asciiTheme="minorHAnsi" w:hAnsiTheme="minorHAnsi"/>
          <w:snapToGrid w:val="0"/>
          <w:lang w:val="en-GB"/>
        </w:rPr>
        <w:t>cost saving</w:t>
      </w:r>
      <w:r>
        <w:rPr>
          <w:rFonts w:asciiTheme="minorHAnsi" w:hAnsiTheme="minorHAnsi"/>
          <w:snapToGrid w:val="0"/>
          <w:lang w:val="en-GB"/>
        </w:rPr>
        <w:t xml:space="preserve"> to the PBS/RPBS, as it </w:t>
      </w:r>
      <w:r w:rsidRPr="00C06E13">
        <w:rPr>
          <w:rFonts w:asciiTheme="minorHAnsi" w:hAnsiTheme="minorHAnsi"/>
          <w:snapToGrid w:val="0"/>
          <w:lang w:val="en-GB"/>
        </w:rPr>
        <w:t xml:space="preserve">would primarily replace therapies that are of equivalent cost or </w:t>
      </w:r>
      <w:r w:rsidR="00A55543" w:rsidRPr="00C06E13">
        <w:rPr>
          <w:rFonts w:asciiTheme="minorHAnsi" w:hAnsiTheme="minorHAnsi"/>
          <w:snapToGrid w:val="0"/>
          <w:lang w:val="en-GB"/>
        </w:rPr>
        <w:t>more expensive.</w:t>
      </w:r>
      <w:r w:rsidRPr="00C06E13">
        <w:rPr>
          <w:rFonts w:asciiTheme="minorHAnsi" w:hAnsiTheme="minorHAnsi"/>
          <w:snapToGrid w:val="0"/>
          <w:lang w:val="en-GB"/>
        </w:rPr>
        <w:t xml:space="preserve"> </w:t>
      </w:r>
    </w:p>
    <w:p w14:paraId="323CD517" w14:textId="38BD269C" w:rsidR="005D7237" w:rsidRPr="00C06E13" w:rsidRDefault="005D7237" w:rsidP="005704BB">
      <w:pPr>
        <w:widowControl w:val="0"/>
        <w:numPr>
          <w:ilvl w:val="1"/>
          <w:numId w:val="1"/>
        </w:numPr>
        <w:spacing w:after="120"/>
        <w:rPr>
          <w:rFonts w:asciiTheme="minorHAnsi" w:hAnsiTheme="minorHAnsi"/>
          <w:snapToGrid w:val="0"/>
          <w:lang w:val="en-GB"/>
        </w:rPr>
      </w:pPr>
      <w:r w:rsidRPr="00C06E13">
        <w:rPr>
          <w:rFonts w:asciiTheme="minorHAnsi" w:hAnsiTheme="minorHAnsi"/>
          <w:bCs/>
          <w:snapToGrid w:val="0"/>
          <w:lang w:val="en-GB"/>
        </w:rPr>
        <w:t xml:space="preserve">The PBAC </w:t>
      </w:r>
      <w:r w:rsidR="00A55543" w:rsidRPr="00C06E13">
        <w:rPr>
          <w:rFonts w:asciiTheme="minorHAnsi" w:hAnsiTheme="minorHAnsi"/>
          <w:bCs/>
          <w:snapToGrid w:val="0"/>
          <w:lang w:val="en-GB"/>
        </w:rPr>
        <w:t xml:space="preserve">advised </w:t>
      </w:r>
      <w:r w:rsidRPr="00C06E13">
        <w:rPr>
          <w:rFonts w:asciiTheme="minorHAnsi" w:hAnsiTheme="minorHAnsi"/>
          <w:bCs/>
          <w:snapToGrid w:val="0"/>
          <w:lang w:val="en-GB"/>
        </w:rPr>
        <w:t xml:space="preserve">that </w:t>
      </w:r>
      <w:r w:rsidR="005704BB" w:rsidRPr="00C06E13">
        <w:rPr>
          <w:rFonts w:asciiTheme="minorHAnsi" w:hAnsiTheme="minorHAnsi"/>
          <w:bCs/>
          <w:snapToGrid w:val="0"/>
          <w:lang w:val="en-GB"/>
        </w:rPr>
        <w:t>MIRI</w:t>
      </w:r>
      <w:r w:rsidRPr="00C06E13">
        <w:rPr>
          <w:rFonts w:asciiTheme="minorHAnsi" w:hAnsiTheme="minorHAnsi"/>
          <w:bCs/>
          <w:snapToGrid w:val="0"/>
          <w:lang w:val="en-GB"/>
        </w:rPr>
        <w:t xml:space="preserve"> should be treated as interchangeable on an individual patient basis with</w:t>
      </w:r>
      <w:r w:rsidR="00A55543" w:rsidRPr="00C06E13">
        <w:rPr>
          <w:rFonts w:asciiTheme="minorHAnsi" w:hAnsiTheme="minorHAnsi"/>
          <w:bCs/>
          <w:snapToGrid w:val="0"/>
          <w:lang w:val="en-GB"/>
        </w:rPr>
        <w:t xml:space="preserve"> </w:t>
      </w:r>
      <w:r w:rsidR="001C005C" w:rsidRPr="00C06E13">
        <w:rPr>
          <w:rFonts w:asciiTheme="minorHAnsi" w:hAnsiTheme="minorHAnsi"/>
          <w:bCs/>
          <w:snapToGrid w:val="0"/>
          <w:lang w:val="en-GB"/>
        </w:rPr>
        <w:t>vedolizumab, adalimumab, ozanimod, upadacitinib, ustekinumab, infliximab, golimumab and tofacitinib.</w:t>
      </w:r>
      <w:r w:rsidR="005704BB" w:rsidRPr="00C06E13">
        <w:rPr>
          <w:rFonts w:asciiTheme="minorHAnsi" w:hAnsiTheme="minorHAnsi"/>
          <w:bCs/>
          <w:snapToGrid w:val="0"/>
          <w:lang w:val="en-GB"/>
        </w:rPr>
        <w:t xml:space="preserve"> </w:t>
      </w:r>
    </w:p>
    <w:p w14:paraId="4B452E0D" w14:textId="189CB5AC" w:rsidR="005D7237" w:rsidRPr="00525B39" w:rsidRDefault="005D7237" w:rsidP="005D7237">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sidR="005704BB">
        <w:rPr>
          <w:rFonts w:asciiTheme="minorHAnsi" w:hAnsiTheme="minorHAnsi"/>
          <w:bCs/>
          <w:snapToGrid w:val="0"/>
          <w:lang w:val="en-GB"/>
        </w:rPr>
        <w:t xml:space="preserve">MIRI </w:t>
      </w:r>
      <w:r w:rsidRPr="00525B39">
        <w:rPr>
          <w:rFonts w:asciiTheme="minorHAnsi" w:hAnsiTheme="minorHAnsi"/>
          <w:bCs/>
          <w:snapToGrid w:val="0"/>
          <w:lang w:val="en-GB"/>
        </w:rPr>
        <w:t>is not suitable for presc</w:t>
      </w:r>
      <w:r>
        <w:rPr>
          <w:rFonts w:asciiTheme="minorHAnsi" w:hAnsiTheme="minorHAnsi"/>
          <w:bCs/>
          <w:snapToGrid w:val="0"/>
          <w:lang w:val="en-GB"/>
        </w:rPr>
        <w:t>ribing by nurse practitioners</w:t>
      </w:r>
      <w:r w:rsidR="000C2F84">
        <w:rPr>
          <w:rFonts w:asciiTheme="minorHAnsi" w:hAnsiTheme="minorHAnsi"/>
          <w:bCs/>
          <w:snapToGrid w:val="0"/>
          <w:lang w:val="en-GB"/>
        </w:rPr>
        <w:t>, similar to other PBS listings for MSUC</w:t>
      </w:r>
      <w:r>
        <w:rPr>
          <w:rFonts w:asciiTheme="minorHAnsi" w:hAnsiTheme="minorHAnsi"/>
          <w:bCs/>
          <w:snapToGrid w:val="0"/>
          <w:lang w:val="en-GB"/>
        </w:rPr>
        <w:t xml:space="preserve">. </w:t>
      </w:r>
    </w:p>
    <w:p w14:paraId="5CC73260" w14:textId="72BA173C" w:rsidR="008B5623" w:rsidRDefault="005D7237" w:rsidP="008B5623">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w:t>
      </w:r>
      <w:r w:rsidR="008B5623">
        <w:rPr>
          <w:rFonts w:asciiTheme="minorHAnsi" w:hAnsiTheme="minorHAnsi"/>
          <w:bCs/>
          <w:snapToGrid w:val="0"/>
          <w:lang w:val="en-GB"/>
        </w:rPr>
        <w:t xml:space="preserve">advised </w:t>
      </w:r>
      <w:r w:rsidRPr="00525B39">
        <w:rPr>
          <w:rFonts w:asciiTheme="minorHAnsi" w:hAnsiTheme="minorHAnsi"/>
          <w:bCs/>
          <w:snapToGrid w:val="0"/>
          <w:lang w:val="en-GB"/>
        </w:rPr>
        <w:t>that the Early Supply Rule should not apply</w:t>
      </w:r>
      <w:r w:rsidR="00886A4E">
        <w:rPr>
          <w:rFonts w:asciiTheme="minorHAnsi" w:hAnsiTheme="minorHAnsi"/>
          <w:bCs/>
          <w:snapToGrid w:val="0"/>
          <w:lang w:val="en-GB"/>
        </w:rPr>
        <w:t xml:space="preserve"> to the IV form of </w:t>
      </w:r>
      <w:r w:rsidR="00A13761">
        <w:rPr>
          <w:rFonts w:asciiTheme="minorHAnsi" w:hAnsiTheme="minorHAnsi"/>
          <w:bCs/>
          <w:snapToGrid w:val="0"/>
          <w:lang w:val="en-GB"/>
        </w:rPr>
        <w:t>MIRI but</w:t>
      </w:r>
      <w:r w:rsidR="00886A4E">
        <w:rPr>
          <w:rFonts w:asciiTheme="minorHAnsi" w:hAnsiTheme="minorHAnsi"/>
          <w:bCs/>
          <w:snapToGrid w:val="0"/>
          <w:lang w:val="en-GB"/>
        </w:rPr>
        <w:t xml:space="preserve"> should apply to the SC form for maintenance therapy</w:t>
      </w:r>
      <w:r w:rsidRPr="00525B39">
        <w:rPr>
          <w:rFonts w:asciiTheme="minorHAnsi" w:hAnsiTheme="minorHAnsi"/>
          <w:bCs/>
          <w:snapToGrid w:val="0"/>
          <w:lang w:val="en-GB"/>
        </w:rPr>
        <w:t xml:space="preserve">. </w:t>
      </w:r>
    </w:p>
    <w:p w14:paraId="711F8930" w14:textId="76172737" w:rsidR="005D7237" w:rsidRPr="008B5623" w:rsidRDefault="005D7237" w:rsidP="008B5623">
      <w:pPr>
        <w:widowControl w:val="0"/>
        <w:numPr>
          <w:ilvl w:val="1"/>
          <w:numId w:val="1"/>
        </w:numPr>
        <w:spacing w:after="120"/>
        <w:rPr>
          <w:rFonts w:asciiTheme="minorHAnsi" w:hAnsiTheme="minorHAnsi"/>
          <w:bCs/>
          <w:snapToGrid w:val="0"/>
          <w:lang w:val="en-GB"/>
        </w:rPr>
      </w:pPr>
      <w:r w:rsidRPr="008B5623">
        <w:rPr>
          <w:rFonts w:asciiTheme="minorHAnsi" w:hAnsiTheme="minorHAnsi" w:cstheme="minorHAnsi"/>
          <w:lang w:val="en-GB"/>
        </w:rPr>
        <w:t xml:space="preserve">The PBAC noted that its recommendation was on a cost-minimisation basis and advised that, because </w:t>
      </w:r>
      <w:r w:rsidR="008B5623" w:rsidRPr="008B5623">
        <w:rPr>
          <w:rFonts w:asciiTheme="minorHAnsi" w:hAnsiTheme="minorHAnsi" w:cstheme="minorHAnsi"/>
          <w:lang w:val="en-GB"/>
        </w:rPr>
        <w:t xml:space="preserve">MIRI </w:t>
      </w:r>
      <w:r w:rsidRPr="008B5623">
        <w:rPr>
          <w:rFonts w:asciiTheme="minorHAnsi" w:hAnsiTheme="minorHAnsi" w:cstheme="minorHAnsi"/>
          <w:lang w:val="en-GB"/>
        </w:rPr>
        <w:t>is not expected to provide a substantial</w:t>
      </w:r>
      <w:r w:rsidRPr="008B5623">
        <w:rPr>
          <w:rFonts w:asciiTheme="minorHAnsi" w:hAnsiTheme="minorHAnsi"/>
          <w:bCs/>
          <w:lang w:val="en-GB"/>
        </w:rPr>
        <w:t xml:space="preserve"> and clinically relevant improvement in efficacy, or reduction of toxicity, over </w:t>
      </w:r>
      <w:r w:rsidR="008B5623" w:rsidRPr="008B5623">
        <w:rPr>
          <w:rFonts w:asciiTheme="minorHAnsi" w:hAnsiTheme="minorHAnsi"/>
          <w:bCs/>
          <w:lang w:val="en-GB"/>
        </w:rPr>
        <w:t>VDZ,</w:t>
      </w:r>
      <w:r w:rsidRPr="008B5623">
        <w:rPr>
          <w:rFonts w:asciiTheme="minorHAnsi" w:hAnsiTheme="minorHAnsi"/>
          <w:bCs/>
          <w:lang w:val="en-GB"/>
        </w:rPr>
        <w:t xml:space="preserve"> or not expected to address a high and urgent unmet clinical need given the presence of an alternative therapy, the criteria prescribed by the </w:t>
      </w:r>
      <w:r w:rsidRPr="008B5623">
        <w:rPr>
          <w:rFonts w:asciiTheme="minorHAnsi" w:hAnsiTheme="minorHAnsi"/>
          <w:bCs/>
          <w:i/>
          <w:lang w:val="en-GB"/>
        </w:rPr>
        <w:t>National Health (Pharmaceuticals and Vaccines – Cost Recovery) Regulations 2022</w:t>
      </w:r>
      <w:r w:rsidRPr="008B5623">
        <w:rPr>
          <w:rFonts w:asciiTheme="minorHAnsi" w:hAnsiTheme="minorHAnsi"/>
          <w:bCs/>
          <w:lang w:val="en-GB"/>
        </w:rPr>
        <w:t xml:space="preserve"> for Pricing Pathway A were not met.</w:t>
      </w:r>
    </w:p>
    <w:p w14:paraId="06B35603" w14:textId="639C8F35" w:rsidR="00F40BF4" w:rsidRPr="00E87D72" w:rsidRDefault="005D7237" w:rsidP="00E87D72">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 submission is</w:t>
      </w:r>
      <w:r w:rsidR="00D01279">
        <w:rPr>
          <w:rFonts w:asciiTheme="minorHAnsi" w:hAnsiTheme="minorHAnsi"/>
          <w:bCs/>
          <w:snapToGrid w:val="0"/>
          <w:lang w:val="en-GB"/>
        </w:rPr>
        <w:t xml:space="preserve"> not eligible</w:t>
      </w:r>
      <w:r w:rsidRPr="00525B39">
        <w:rPr>
          <w:rFonts w:asciiTheme="minorHAnsi" w:hAnsiTheme="minorHAnsi"/>
          <w:bCs/>
          <w:snapToGrid w:val="0"/>
          <w:lang w:val="en-GB"/>
        </w:rPr>
        <w:t xml:space="preserve"> for an Independent Review</w:t>
      </w:r>
      <w:r w:rsidR="008B5623">
        <w:rPr>
          <w:rFonts w:asciiTheme="minorHAnsi" w:hAnsiTheme="minorHAnsi"/>
          <w:bCs/>
          <w:snapToGrid w:val="0"/>
          <w:lang w:val="en-GB"/>
        </w:rPr>
        <w:t xml:space="preserve"> because it received a positive recommendation.</w:t>
      </w:r>
    </w:p>
    <w:p w14:paraId="7C9FCB04" w14:textId="77777777" w:rsidR="005D7237" w:rsidRPr="00525B39" w:rsidRDefault="005D7237" w:rsidP="005D7237">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93C488C" w14:textId="36F5E0E8" w:rsidR="005D7237" w:rsidRPr="00525B39" w:rsidRDefault="005D7237" w:rsidP="005D7237">
      <w:pPr>
        <w:rPr>
          <w:rFonts w:asciiTheme="minorHAnsi" w:hAnsiTheme="minorHAnsi"/>
          <w:bCs/>
          <w:snapToGrid w:val="0"/>
          <w:lang w:val="en-GB"/>
        </w:rPr>
      </w:pPr>
      <w:r w:rsidRPr="00525B39">
        <w:rPr>
          <w:rFonts w:asciiTheme="minorHAnsi" w:hAnsiTheme="minorHAnsi"/>
          <w:bCs/>
          <w:snapToGrid w:val="0"/>
          <w:lang w:val="en-GB"/>
        </w:rPr>
        <w:t>Recommended</w:t>
      </w:r>
    </w:p>
    <w:bookmarkEnd w:id="66"/>
    <w:p w14:paraId="5F058EE4" w14:textId="77777777" w:rsidR="005D7237" w:rsidRPr="00F237A4" w:rsidRDefault="005D7237" w:rsidP="005D7237">
      <w:pPr>
        <w:pStyle w:val="2-SectionHeading"/>
        <w:rPr>
          <w:b w:val="0"/>
          <w:iCs/>
          <w:lang w:val="en-GB"/>
        </w:rPr>
      </w:pPr>
      <w:r w:rsidRPr="00525B39">
        <w:rPr>
          <w:lang w:val="en-GB"/>
        </w:rPr>
        <w:t xml:space="preserve">Recommended </w:t>
      </w:r>
      <w:proofErr w:type="gramStart"/>
      <w:r w:rsidRPr="00525B39">
        <w:rPr>
          <w:lang w:val="en-GB"/>
        </w:rPr>
        <w:t>listing</w:t>
      </w:r>
      <w:proofErr w:type="gramEnd"/>
    </w:p>
    <w:p w14:paraId="69F0E26D" w14:textId="1744420C" w:rsidR="005D7237" w:rsidRPr="00A234BA" w:rsidRDefault="005D7237" w:rsidP="00A234BA">
      <w:pPr>
        <w:pStyle w:val="3-BodyText"/>
        <w:rPr>
          <w:b/>
        </w:rPr>
      </w:pPr>
      <w:r w:rsidRPr="00390A2A">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1"/>
        <w:gridCol w:w="2668"/>
        <w:gridCol w:w="811"/>
        <w:gridCol w:w="812"/>
        <w:gridCol w:w="811"/>
        <w:gridCol w:w="812"/>
        <w:gridCol w:w="1831"/>
      </w:tblGrid>
      <w:tr w:rsidR="0037570E" w:rsidRPr="00A3494F" w14:paraId="2EC69AF3" w14:textId="77777777" w:rsidTr="0037570E">
        <w:trPr>
          <w:cantSplit/>
          <w:trHeight w:val="20"/>
        </w:trPr>
        <w:tc>
          <w:tcPr>
            <w:tcW w:w="3940" w:type="dxa"/>
            <w:gridSpan w:val="3"/>
            <w:vAlign w:val="center"/>
          </w:tcPr>
          <w:p w14:paraId="7EA40633" w14:textId="77777777" w:rsidR="0037570E" w:rsidRPr="00A3494F" w:rsidRDefault="0037570E" w:rsidP="00886A4E">
            <w:pPr>
              <w:keepLines/>
              <w:rPr>
                <w:rFonts w:ascii="Arial Narrow" w:hAnsi="Arial Narrow"/>
                <w:b/>
                <w:bCs/>
                <w:sz w:val="20"/>
                <w:szCs w:val="20"/>
              </w:rPr>
            </w:pPr>
            <w:r w:rsidRPr="00A3494F">
              <w:rPr>
                <w:rFonts w:ascii="Arial Narrow" w:hAnsi="Arial Narrow"/>
                <w:b/>
                <w:bCs/>
                <w:sz w:val="20"/>
                <w:szCs w:val="20"/>
              </w:rPr>
              <w:t>MEDICINAL PRODUCT</w:t>
            </w:r>
          </w:p>
          <w:p w14:paraId="758EC384" w14:textId="77777777" w:rsidR="0037570E" w:rsidRPr="00A3494F" w:rsidRDefault="0037570E" w:rsidP="00886A4E">
            <w:pPr>
              <w:keepLines/>
              <w:rPr>
                <w:rFonts w:ascii="Arial Narrow" w:hAnsi="Arial Narrow"/>
                <w:b/>
                <w:sz w:val="20"/>
                <w:szCs w:val="20"/>
              </w:rPr>
            </w:pPr>
            <w:r w:rsidRPr="00A3494F">
              <w:rPr>
                <w:rFonts w:ascii="Arial Narrow" w:hAnsi="Arial Narrow"/>
                <w:b/>
                <w:bCs/>
                <w:sz w:val="20"/>
                <w:szCs w:val="20"/>
              </w:rPr>
              <w:t>medicinal product pack</w:t>
            </w:r>
          </w:p>
        </w:tc>
        <w:tc>
          <w:tcPr>
            <w:tcW w:w="811" w:type="dxa"/>
            <w:vAlign w:val="center"/>
          </w:tcPr>
          <w:p w14:paraId="00EF9BDD" w14:textId="77777777" w:rsidR="0037570E" w:rsidRPr="00A3494F" w:rsidRDefault="0037570E" w:rsidP="00886A4E">
            <w:pPr>
              <w:keepLines/>
              <w:jc w:val="center"/>
              <w:rPr>
                <w:rFonts w:ascii="Arial Narrow" w:hAnsi="Arial Narrow"/>
                <w:b/>
                <w:sz w:val="20"/>
                <w:szCs w:val="20"/>
              </w:rPr>
            </w:pPr>
            <w:r w:rsidRPr="00A3494F">
              <w:rPr>
                <w:rFonts w:ascii="Arial Narrow" w:hAnsi="Arial Narrow"/>
                <w:b/>
                <w:sz w:val="20"/>
                <w:szCs w:val="20"/>
              </w:rPr>
              <w:t>PBS item code</w:t>
            </w:r>
          </w:p>
        </w:tc>
        <w:tc>
          <w:tcPr>
            <w:tcW w:w="812" w:type="dxa"/>
            <w:vAlign w:val="center"/>
          </w:tcPr>
          <w:p w14:paraId="033B18F9" w14:textId="77777777" w:rsidR="0037570E" w:rsidRPr="00A3494F" w:rsidRDefault="0037570E" w:rsidP="00886A4E">
            <w:pPr>
              <w:keepLines/>
              <w:jc w:val="center"/>
              <w:rPr>
                <w:rFonts w:ascii="Arial Narrow" w:hAnsi="Arial Narrow"/>
                <w:b/>
                <w:sz w:val="20"/>
                <w:szCs w:val="20"/>
              </w:rPr>
            </w:pPr>
            <w:r w:rsidRPr="00A3494F">
              <w:rPr>
                <w:rFonts w:ascii="Arial Narrow" w:hAnsi="Arial Narrow"/>
                <w:b/>
                <w:sz w:val="20"/>
                <w:szCs w:val="20"/>
              </w:rPr>
              <w:t>Max. qty packs</w:t>
            </w:r>
          </w:p>
        </w:tc>
        <w:tc>
          <w:tcPr>
            <w:tcW w:w="811" w:type="dxa"/>
            <w:vAlign w:val="center"/>
          </w:tcPr>
          <w:p w14:paraId="0D39B7F7" w14:textId="77777777" w:rsidR="0037570E" w:rsidRPr="00A3494F" w:rsidRDefault="0037570E" w:rsidP="00886A4E">
            <w:pPr>
              <w:keepLines/>
              <w:jc w:val="center"/>
              <w:rPr>
                <w:rFonts w:ascii="Arial Narrow" w:hAnsi="Arial Narrow"/>
                <w:b/>
                <w:sz w:val="20"/>
                <w:szCs w:val="20"/>
              </w:rPr>
            </w:pPr>
            <w:r w:rsidRPr="00A3494F">
              <w:rPr>
                <w:rFonts w:ascii="Arial Narrow" w:hAnsi="Arial Narrow"/>
                <w:b/>
                <w:sz w:val="20"/>
                <w:szCs w:val="20"/>
              </w:rPr>
              <w:t>Max. qty units</w:t>
            </w:r>
          </w:p>
        </w:tc>
        <w:tc>
          <w:tcPr>
            <w:tcW w:w="812" w:type="dxa"/>
            <w:vAlign w:val="center"/>
          </w:tcPr>
          <w:p w14:paraId="7A5343D9" w14:textId="110FB128" w:rsidR="0037570E" w:rsidRPr="00A3494F" w:rsidRDefault="00A13761" w:rsidP="00886A4E">
            <w:pPr>
              <w:keepLines/>
              <w:jc w:val="center"/>
              <w:rPr>
                <w:rFonts w:ascii="Arial Narrow" w:hAnsi="Arial Narrow"/>
                <w:b/>
                <w:sz w:val="20"/>
                <w:szCs w:val="20"/>
              </w:rPr>
            </w:pPr>
            <w:r w:rsidRPr="00A3494F">
              <w:rPr>
                <w:rFonts w:ascii="Arial Narrow" w:hAnsi="Arial Narrow"/>
                <w:b/>
                <w:sz w:val="20"/>
                <w:szCs w:val="20"/>
              </w:rPr>
              <w:t>№. of</w:t>
            </w:r>
          </w:p>
          <w:p w14:paraId="675EC779" w14:textId="77777777" w:rsidR="0037570E" w:rsidRPr="00A3494F" w:rsidRDefault="0037570E" w:rsidP="00886A4E">
            <w:pPr>
              <w:keepLines/>
              <w:jc w:val="center"/>
              <w:rPr>
                <w:rFonts w:ascii="Arial Narrow" w:hAnsi="Arial Narrow"/>
                <w:b/>
                <w:sz w:val="20"/>
                <w:szCs w:val="20"/>
              </w:rPr>
            </w:pPr>
            <w:r w:rsidRPr="00A3494F">
              <w:rPr>
                <w:rFonts w:ascii="Arial Narrow" w:hAnsi="Arial Narrow"/>
                <w:b/>
                <w:sz w:val="20"/>
                <w:szCs w:val="20"/>
              </w:rPr>
              <w:t>Rpts</w:t>
            </w:r>
          </w:p>
        </w:tc>
        <w:tc>
          <w:tcPr>
            <w:tcW w:w="1831" w:type="dxa"/>
            <w:vAlign w:val="center"/>
          </w:tcPr>
          <w:p w14:paraId="3A176691" w14:textId="77777777" w:rsidR="0037570E" w:rsidRPr="00A3494F" w:rsidRDefault="0037570E" w:rsidP="00886A4E">
            <w:pPr>
              <w:keepLines/>
              <w:rPr>
                <w:rFonts w:ascii="Arial Narrow" w:hAnsi="Arial Narrow"/>
                <w:b/>
                <w:sz w:val="20"/>
                <w:szCs w:val="20"/>
                <w:lang w:val="fr-FR"/>
              </w:rPr>
            </w:pPr>
            <w:r w:rsidRPr="00A3494F">
              <w:rPr>
                <w:rFonts w:ascii="Arial Narrow" w:hAnsi="Arial Narrow"/>
                <w:b/>
                <w:sz w:val="20"/>
                <w:szCs w:val="20"/>
              </w:rPr>
              <w:t>Available brands</w:t>
            </w:r>
          </w:p>
        </w:tc>
      </w:tr>
      <w:tr w:rsidR="0037570E" w:rsidRPr="00A3494F" w14:paraId="0879D390" w14:textId="77777777" w:rsidTr="0037570E">
        <w:trPr>
          <w:cantSplit/>
          <w:trHeight w:val="20"/>
        </w:trPr>
        <w:tc>
          <w:tcPr>
            <w:tcW w:w="9017" w:type="dxa"/>
            <w:gridSpan w:val="8"/>
            <w:vAlign w:val="center"/>
          </w:tcPr>
          <w:p w14:paraId="143320B1" w14:textId="77777777" w:rsidR="0037570E" w:rsidRPr="00A3494F" w:rsidRDefault="0037570E" w:rsidP="00886A4E">
            <w:pPr>
              <w:keepLines/>
              <w:rPr>
                <w:rFonts w:ascii="Arial Narrow" w:hAnsi="Arial Narrow"/>
                <w:sz w:val="20"/>
                <w:szCs w:val="20"/>
              </w:rPr>
            </w:pPr>
            <w:r w:rsidRPr="00A3494F">
              <w:rPr>
                <w:rFonts w:ascii="Arial Narrow" w:hAnsi="Arial Narrow"/>
                <w:sz w:val="20"/>
                <w:szCs w:val="20"/>
              </w:rPr>
              <w:t>MIRIKIZUMAB</w:t>
            </w:r>
          </w:p>
        </w:tc>
      </w:tr>
      <w:tr w:rsidR="0037570E" w:rsidRPr="00A3494F" w14:paraId="128E631E" w14:textId="77777777" w:rsidTr="0037570E">
        <w:trPr>
          <w:cantSplit/>
          <w:trHeight w:val="20"/>
        </w:trPr>
        <w:tc>
          <w:tcPr>
            <w:tcW w:w="3940" w:type="dxa"/>
            <w:gridSpan w:val="3"/>
            <w:vAlign w:val="center"/>
          </w:tcPr>
          <w:p w14:paraId="44B5E3B3" w14:textId="77777777" w:rsidR="0037570E" w:rsidRPr="00A3494F" w:rsidRDefault="0037570E" w:rsidP="00886A4E">
            <w:pPr>
              <w:keepLines/>
              <w:rPr>
                <w:rFonts w:ascii="Arial Narrow" w:hAnsi="Arial Narrow"/>
                <w:sz w:val="20"/>
                <w:szCs w:val="20"/>
              </w:rPr>
            </w:pPr>
            <w:r w:rsidRPr="00A3494F">
              <w:rPr>
                <w:rFonts w:ascii="Arial Narrow" w:hAnsi="Arial Narrow"/>
                <w:sz w:val="20"/>
                <w:szCs w:val="20"/>
              </w:rPr>
              <w:t xml:space="preserve">mirikizumab 300 mg/15 mL injection, 15 mL vial </w:t>
            </w:r>
          </w:p>
        </w:tc>
        <w:tc>
          <w:tcPr>
            <w:tcW w:w="811" w:type="dxa"/>
            <w:vAlign w:val="center"/>
          </w:tcPr>
          <w:p w14:paraId="10ED2033" w14:textId="77777777" w:rsidR="0037570E" w:rsidRPr="00A3494F" w:rsidRDefault="0037570E" w:rsidP="00886A4E">
            <w:pPr>
              <w:keepLines/>
              <w:jc w:val="center"/>
              <w:rPr>
                <w:rFonts w:ascii="Arial Narrow" w:hAnsi="Arial Narrow"/>
                <w:sz w:val="20"/>
                <w:szCs w:val="20"/>
              </w:rPr>
            </w:pPr>
            <w:r w:rsidRPr="00A3494F">
              <w:rPr>
                <w:rFonts w:ascii="Arial Narrow" w:hAnsi="Arial Narrow"/>
                <w:sz w:val="20"/>
                <w:szCs w:val="20"/>
              </w:rPr>
              <w:t>NEW</w:t>
            </w:r>
          </w:p>
        </w:tc>
        <w:tc>
          <w:tcPr>
            <w:tcW w:w="812" w:type="dxa"/>
            <w:vAlign w:val="center"/>
          </w:tcPr>
          <w:p w14:paraId="73F8F3A8" w14:textId="77777777" w:rsidR="0037570E" w:rsidRPr="00A3494F" w:rsidRDefault="0037570E" w:rsidP="00886A4E">
            <w:pPr>
              <w:keepLines/>
              <w:jc w:val="center"/>
              <w:rPr>
                <w:rFonts w:ascii="Arial Narrow" w:hAnsi="Arial Narrow"/>
                <w:sz w:val="20"/>
                <w:szCs w:val="20"/>
              </w:rPr>
            </w:pPr>
            <w:r w:rsidRPr="00A3494F">
              <w:rPr>
                <w:rFonts w:ascii="Arial Narrow" w:hAnsi="Arial Narrow"/>
                <w:sz w:val="20"/>
                <w:szCs w:val="20"/>
              </w:rPr>
              <w:t>1</w:t>
            </w:r>
          </w:p>
        </w:tc>
        <w:tc>
          <w:tcPr>
            <w:tcW w:w="811" w:type="dxa"/>
            <w:vAlign w:val="center"/>
          </w:tcPr>
          <w:p w14:paraId="30A8578A" w14:textId="77777777" w:rsidR="0037570E" w:rsidRPr="00A3494F" w:rsidRDefault="0037570E" w:rsidP="00886A4E">
            <w:pPr>
              <w:keepLines/>
              <w:jc w:val="center"/>
              <w:rPr>
                <w:rFonts w:ascii="Arial Narrow" w:hAnsi="Arial Narrow"/>
                <w:sz w:val="20"/>
                <w:szCs w:val="20"/>
              </w:rPr>
            </w:pPr>
            <w:r w:rsidRPr="00A3494F">
              <w:rPr>
                <w:rFonts w:ascii="Arial Narrow" w:hAnsi="Arial Narrow"/>
                <w:sz w:val="20"/>
                <w:szCs w:val="20"/>
              </w:rPr>
              <w:t>1</w:t>
            </w:r>
          </w:p>
        </w:tc>
        <w:tc>
          <w:tcPr>
            <w:tcW w:w="812" w:type="dxa"/>
            <w:vAlign w:val="center"/>
          </w:tcPr>
          <w:p w14:paraId="45330500" w14:textId="2DE75D34" w:rsidR="0037570E" w:rsidRPr="0037570E" w:rsidRDefault="0037570E" w:rsidP="00886A4E">
            <w:pPr>
              <w:keepLines/>
              <w:jc w:val="center"/>
              <w:rPr>
                <w:rFonts w:ascii="Arial Narrow" w:hAnsi="Arial Narrow"/>
                <w:strike/>
                <w:sz w:val="20"/>
                <w:szCs w:val="20"/>
              </w:rPr>
            </w:pPr>
            <w:r w:rsidRPr="0037570E">
              <w:rPr>
                <w:rFonts w:ascii="Arial Narrow" w:hAnsi="Arial Narrow"/>
                <w:sz w:val="20"/>
                <w:szCs w:val="20"/>
              </w:rPr>
              <w:t>2</w:t>
            </w:r>
          </w:p>
        </w:tc>
        <w:tc>
          <w:tcPr>
            <w:tcW w:w="1831" w:type="dxa"/>
            <w:vAlign w:val="center"/>
          </w:tcPr>
          <w:p w14:paraId="5153AFDC" w14:textId="77777777" w:rsidR="0037570E" w:rsidRPr="00A3494F" w:rsidRDefault="0037570E" w:rsidP="00886A4E">
            <w:pPr>
              <w:keepLines/>
              <w:rPr>
                <w:rFonts w:ascii="Arial Narrow" w:hAnsi="Arial Narrow"/>
                <w:sz w:val="20"/>
                <w:szCs w:val="20"/>
              </w:rPr>
            </w:pPr>
            <w:r w:rsidRPr="00A3494F">
              <w:rPr>
                <w:rFonts w:ascii="Arial Narrow" w:hAnsi="Arial Narrow"/>
                <w:sz w:val="20"/>
                <w:szCs w:val="20"/>
              </w:rPr>
              <w:t>Omvoh</w:t>
            </w:r>
          </w:p>
        </w:tc>
      </w:tr>
      <w:tr w:rsidR="0037570E" w:rsidRPr="00A3494F" w14:paraId="0A758763" w14:textId="77777777" w:rsidTr="0037570E">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7B7D215B" w14:textId="07718354" w:rsidR="0037570E" w:rsidRPr="00A3494F" w:rsidRDefault="0037570E" w:rsidP="00886A4E">
            <w:pPr>
              <w:keepLines/>
              <w:rPr>
                <w:rFonts w:ascii="Arial Narrow" w:hAnsi="Arial Narrow"/>
                <w:b/>
                <w:sz w:val="20"/>
                <w:szCs w:val="20"/>
              </w:rPr>
            </w:pPr>
            <w:r w:rsidRPr="00A3494F">
              <w:rPr>
                <w:rFonts w:ascii="Arial Narrow" w:hAnsi="Arial Narrow"/>
                <w:b/>
                <w:sz w:val="20"/>
                <w:szCs w:val="20"/>
              </w:rPr>
              <w:t xml:space="preserve">Restriction Summary </w:t>
            </w:r>
            <w:r w:rsidR="00D125D2">
              <w:rPr>
                <w:rFonts w:ascii="Arial Narrow" w:hAnsi="Arial Narrow"/>
                <w:b/>
                <w:sz w:val="20"/>
                <w:szCs w:val="20"/>
              </w:rPr>
              <w:t xml:space="preserve">based on </w:t>
            </w:r>
            <w:r w:rsidRPr="00A3494F">
              <w:rPr>
                <w:rFonts w:ascii="Arial Narrow" w:hAnsi="Arial Narrow"/>
                <w:b/>
                <w:sz w:val="20"/>
                <w:szCs w:val="20"/>
              </w:rPr>
              <w:t>12180</w:t>
            </w:r>
            <w:r w:rsidRPr="00A3494F">
              <w:rPr>
                <w:rFonts w:ascii="Arial Narrow" w:hAnsi="Arial Narrow"/>
                <w:b/>
                <w:color w:val="FF0000"/>
                <w:sz w:val="20"/>
                <w:szCs w:val="20"/>
              </w:rPr>
              <w:t xml:space="preserve"> </w:t>
            </w:r>
            <w:r w:rsidRPr="00A3494F">
              <w:rPr>
                <w:rFonts w:ascii="Arial Narrow" w:hAnsi="Arial Narrow"/>
                <w:b/>
                <w:sz w:val="20"/>
                <w:szCs w:val="20"/>
              </w:rPr>
              <w:t xml:space="preserve">/ Treatment of Concept: </w:t>
            </w:r>
            <w:r w:rsidR="00D125D2">
              <w:rPr>
                <w:rFonts w:ascii="Arial Narrow" w:hAnsi="Arial Narrow"/>
                <w:b/>
                <w:sz w:val="20"/>
                <w:szCs w:val="20"/>
              </w:rPr>
              <w:t xml:space="preserve">based on </w:t>
            </w:r>
            <w:r w:rsidRPr="00A3494F">
              <w:rPr>
                <w:rFonts w:ascii="Arial Narrow" w:hAnsi="Arial Narrow"/>
                <w:b/>
                <w:sz w:val="20"/>
                <w:szCs w:val="20"/>
              </w:rPr>
              <w:t>12080</w:t>
            </w:r>
          </w:p>
        </w:tc>
      </w:tr>
      <w:tr w:rsidR="0037570E" w:rsidRPr="00A3494F" w14:paraId="52351B7B" w14:textId="77777777" w:rsidTr="0037570E">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59D7A706" w14:textId="137FF640" w:rsidR="0037570E" w:rsidRPr="00A3494F" w:rsidRDefault="0037570E" w:rsidP="00886A4E">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12F64A6" w14:textId="77777777" w:rsidR="0037570E" w:rsidRPr="00A3494F" w:rsidRDefault="0037570E" w:rsidP="00886A4E">
            <w:pPr>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sz w:val="20"/>
                <w:szCs w:val="20"/>
              </w:rPr>
              <w:t xml:space="preserve">Section 100 – Highly Specialised Drugs Program </w:t>
            </w:r>
          </w:p>
        </w:tc>
      </w:tr>
      <w:tr w:rsidR="0037570E" w:rsidRPr="00A3494F" w14:paraId="13D22E6B" w14:textId="77777777" w:rsidTr="0037570E">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5A6C1C18" w14:textId="77777777" w:rsidR="0037570E" w:rsidRPr="00A3494F" w:rsidRDefault="0037570E" w:rsidP="00886A4E">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7E9978" w14:textId="77777777" w:rsidR="0037570E" w:rsidRPr="00A3494F" w:rsidRDefault="0037570E" w:rsidP="00886A4E">
            <w:pPr>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37570E" w:rsidRPr="00A3494F" w14:paraId="39DF5181" w14:textId="77777777" w:rsidTr="0037570E">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014B7D97" w14:textId="77777777" w:rsidR="0037570E" w:rsidRPr="00A3494F" w:rsidRDefault="0037570E" w:rsidP="00886A4E">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81DCA1B" w14:textId="77777777" w:rsidR="0037570E" w:rsidRPr="00A3494F" w:rsidRDefault="0037570E" w:rsidP="00886A4E">
            <w:pPr>
              <w:keepLines/>
              <w:rPr>
                <w:rFonts w:ascii="Arial Narrow" w:eastAsia="Calibri" w:hAnsi="Arial Narrow"/>
                <w:color w:val="FF0000"/>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(in writing only via post/HPOS upload) </w:t>
            </w:r>
          </w:p>
        </w:tc>
      </w:tr>
      <w:tr w:rsidR="000C5E89" w:rsidRPr="00A3494F" w14:paraId="6C7E92E4" w14:textId="77777777" w:rsidTr="000C5E89">
        <w:tblPrEx>
          <w:tblCellMar>
            <w:top w:w="15" w:type="dxa"/>
            <w:bottom w:w="15" w:type="dxa"/>
          </w:tblCellMar>
          <w:tblLook w:val="04A0" w:firstRow="1" w:lastRow="0" w:firstColumn="1" w:lastColumn="0" w:noHBand="0" w:noVBand="1"/>
        </w:tblPrEx>
        <w:trPr>
          <w:trHeight w:val="420"/>
        </w:trPr>
        <w:tc>
          <w:tcPr>
            <w:tcW w:w="421" w:type="dxa"/>
            <w:vMerge w:val="restart"/>
            <w:textDirection w:val="btLr"/>
            <w:vAlign w:val="center"/>
          </w:tcPr>
          <w:p w14:paraId="47468779" w14:textId="2F16C1D4" w:rsidR="000C5E89" w:rsidRPr="00A3494F" w:rsidRDefault="000C5E89" w:rsidP="00886A4E">
            <w:pPr>
              <w:keepLines/>
              <w:ind w:right="113"/>
              <w:jc w:val="center"/>
              <w:rPr>
                <w:rFonts w:ascii="Arial Narrow" w:hAnsi="Arial Narrow"/>
                <w:color w:val="333333"/>
                <w:sz w:val="20"/>
                <w:szCs w:val="20"/>
              </w:rPr>
            </w:pPr>
          </w:p>
        </w:tc>
        <w:tc>
          <w:tcPr>
            <w:tcW w:w="851" w:type="dxa"/>
            <w:vAlign w:val="center"/>
          </w:tcPr>
          <w:p w14:paraId="77C7FCFA" w14:textId="1716ADEC" w:rsidR="000C5E89" w:rsidRPr="00A3494F" w:rsidRDefault="000C5E89" w:rsidP="00886A4E">
            <w:pPr>
              <w:keepLines/>
              <w:ind w:hanging="35"/>
              <w:jc w:val="center"/>
              <w:rPr>
                <w:rFonts w:ascii="Arial Narrow" w:hAnsi="Arial Narrow"/>
                <w:color w:val="333333"/>
                <w:sz w:val="20"/>
                <w:szCs w:val="20"/>
              </w:rPr>
            </w:pPr>
          </w:p>
        </w:tc>
        <w:tc>
          <w:tcPr>
            <w:tcW w:w="7745" w:type="dxa"/>
            <w:gridSpan w:val="6"/>
            <w:vAlign w:val="center"/>
          </w:tcPr>
          <w:p w14:paraId="5C995403" w14:textId="77777777" w:rsidR="000C5E89" w:rsidRPr="0037570E" w:rsidRDefault="000C5E89" w:rsidP="00886A4E">
            <w:pPr>
              <w:rPr>
                <w:rFonts w:ascii="Arial Narrow" w:hAnsi="Arial Narrow"/>
                <w:b/>
                <w:bCs/>
                <w:color w:val="333333"/>
                <w:sz w:val="20"/>
                <w:szCs w:val="20"/>
              </w:rPr>
            </w:pPr>
            <w:r w:rsidRPr="0037570E">
              <w:rPr>
                <w:rFonts w:ascii="Arial Narrow" w:hAnsi="Arial Narrow"/>
                <w:b/>
                <w:bCs/>
                <w:color w:val="333333"/>
                <w:sz w:val="20"/>
                <w:szCs w:val="20"/>
              </w:rPr>
              <w:t xml:space="preserve">Administrative Advice: </w:t>
            </w:r>
          </w:p>
          <w:p w14:paraId="2F124F72" w14:textId="0138F041" w:rsidR="000C5E89" w:rsidRPr="0037570E" w:rsidRDefault="000C5E89" w:rsidP="00886A4E">
            <w:pPr>
              <w:rPr>
                <w:rFonts w:ascii="Open Sans" w:hAnsi="Open Sans" w:cs="Open Sans"/>
                <w:color w:val="333333"/>
                <w:sz w:val="22"/>
                <w:szCs w:val="22"/>
              </w:rPr>
            </w:pPr>
            <w:r w:rsidRPr="0037570E">
              <w:rPr>
                <w:rFonts w:ascii="Arial Narrow" w:hAnsi="Arial Narrow"/>
                <w:color w:val="333333"/>
                <w:sz w:val="20"/>
                <w:szCs w:val="20"/>
              </w:rPr>
              <w:t>No increase in the maximum quantity or number of units may be authorised.</w:t>
            </w:r>
          </w:p>
        </w:tc>
      </w:tr>
      <w:tr w:rsidR="0037570E" w:rsidRPr="00A3494F" w14:paraId="126E2A0A" w14:textId="77777777" w:rsidTr="00D125D2">
        <w:tblPrEx>
          <w:tblCellMar>
            <w:top w:w="15" w:type="dxa"/>
            <w:bottom w:w="15" w:type="dxa"/>
          </w:tblCellMar>
          <w:tblLook w:val="04A0" w:firstRow="1" w:lastRow="0" w:firstColumn="1" w:lastColumn="0" w:noHBand="0" w:noVBand="1"/>
        </w:tblPrEx>
        <w:trPr>
          <w:trHeight w:val="20"/>
        </w:trPr>
        <w:tc>
          <w:tcPr>
            <w:tcW w:w="421" w:type="dxa"/>
            <w:vMerge/>
            <w:textDirection w:val="btLr"/>
            <w:vAlign w:val="center"/>
          </w:tcPr>
          <w:p w14:paraId="36CDA84D" w14:textId="77777777" w:rsidR="0037570E" w:rsidRPr="00A3494F" w:rsidRDefault="0037570E" w:rsidP="00886A4E">
            <w:pPr>
              <w:keepLines/>
              <w:ind w:right="113"/>
              <w:jc w:val="center"/>
              <w:rPr>
                <w:rFonts w:ascii="Arial Narrow" w:hAnsi="Arial Narrow"/>
                <w:color w:val="333333"/>
                <w:sz w:val="20"/>
                <w:szCs w:val="20"/>
              </w:rPr>
            </w:pPr>
          </w:p>
        </w:tc>
        <w:tc>
          <w:tcPr>
            <w:tcW w:w="851" w:type="dxa"/>
            <w:vAlign w:val="center"/>
          </w:tcPr>
          <w:p w14:paraId="0ABE5569" w14:textId="0F9ACB2A" w:rsidR="0037570E" w:rsidRPr="00A3494F" w:rsidRDefault="0037570E" w:rsidP="00886A4E">
            <w:pPr>
              <w:keepLines/>
              <w:ind w:hanging="35"/>
              <w:jc w:val="center"/>
              <w:rPr>
                <w:rFonts w:ascii="Arial Narrow" w:hAnsi="Arial Narrow"/>
                <w:color w:val="333333"/>
                <w:sz w:val="20"/>
                <w:szCs w:val="20"/>
              </w:rPr>
            </w:pPr>
          </w:p>
        </w:tc>
        <w:tc>
          <w:tcPr>
            <w:tcW w:w="7745" w:type="dxa"/>
            <w:gridSpan w:val="6"/>
            <w:vAlign w:val="center"/>
          </w:tcPr>
          <w:p w14:paraId="42DF62E7" w14:textId="77777777" w:rsidR="0037570E" w:rsidRPr="0037570E" w:rsidRDefault="0037570E" w:rsidP="00886A4E">
            <w:pPr>
              <w:rPr>
                <w:rFonts w:ascii="Arial Narrow" w:hAnsi="Arial Narrow"/>
                <w:b/>
                <w:bCs/>
                <w:color w:val="333333"/>
                <w:sz w:val="20"/>
                <w:szCs w:val="20"/>
              </w:rPr>
            </w:pPr>
            <w:r w:rsidRPr="0037570E">
              <w:rPr>
                <w:rFonts w:ascii="Arial Narrow" w:hAnsi="Arial Narrow"/>
                <w:b/>
                <w:bCs/>
                <w:color w:val="333333"/>
                <w:sz w:val="20"/>
                <w:szCs w:val="20"/>
              </w:rPr>
              <w:t xml:space="preserve">Administrative Advice: </w:t>
            </w:r>
          </w:p>
          <w:p w14:paraId="0EE215E2" w14:textId="77777777" w:rsidR="0037570E" w:rsidRPr="0037570E" w:rsidRDefault="0037570E" w:rsidP="00886A4E">
            <w:pPr>
              <w:rPr>
                <w:rFonts w:ascii="Arial Narrow" w:hAnsi="Arial Narrow"/>
                <w:b/>
                <w:bCs/>
                <w:sz w:val="20"/>
                <w:szCs w:val="20"/>
              </w:rPr>
            </w:pPr>
            <w:r w:rsidRPr="0037570E">
              <w:rPr>
                <w:rFonts w:ascii="Arial Narrow" w:hAnsi="Arial Narrow"/>
                <w:color w:val="333333"/>
                <w:sz w:val="20"/>
                <w:szCs w:val="20"/>
              </w:rPr>
              <w:lastRenderedPageBreak/>
              <w:t>No increase in the maximum number of repeats may be authorised.</w:t>
            </w:r>
          </w:p>
        </w:tc>
      </w:tr>
      <w:tr w:rsidR="0037570E" w:rsidRPr="00A3494F" w14:paraId="1193ACC4" w14:textId="77777777" w:rsidTr="00D125D2">
        <w:tblPrEx>
          <w:tblCellMar>
            <w:top w:w="15" w:type="dxa"/>
            <w:bottom w:w="15" w:type="dxa"/>
          </w:tblCellMar>
          <w:tblLook w:val="04A0" w:firstRow="1" w:lastRow="0" w:firstColumn="1" w:lastColumn="0" w:noHBand="0" w:noVBand="1"/>
        </w:tblPrEx>
        <w:trPr>
          <w:trHeight w:val="20"/>
        </w:trPr>
        <w:tc>
          <w:tcPr>
            <w:tcW w:w="421" w:type="dxa"/>
            <w:vMerge/>
            <w:vAlign w:val="center"/>
          </w:tcPr>
          <w:p w14:paraId="274F782F" w14:textId="77777777" w:rsidR="0037570E" w:rsidRPr="00A3494F" w:rsidRDefault="0037570E" w:rsidP="00886A4E">
            <w:pPr>
              <w:keepLines/>
              <w:jc w:val="center"/>
              <w:rPr>
                <w:rFonts w:ascii="Arial Narrow" w:hAnsi="Arial Narrow"/>
                <w:color w:val="333333"/>
                <w:sz w:val="20"/>
                <w:szCs w:val="20"/>
              </w:rPr>
            </w:pPr>
          </w:p>
        </w:tc>
        <w:tc>
          <w:tcPr>
            <w:tcW w:w="851" w:type="dxa"/>
            <w:vAlign w:val="center"/>
          </w:tcPr>
          <w:p w14:paraId="2EC25F8B" w14:textId="4070B92A" w:rsidR="0037570E" w:rsidRPr="0037570E" w:rsidRDefault="0037570E" w:rsidP="00886A4E">
            <w:pPr>
              <w:keepLines/>
              <w:ind w:hanging="35"/>
              <w:jc w:val="center"/>
              <w:rPr>
                <w:rFonts w:ascii="Arial Narrow" w:hAnsi="Arial Narrow"/>
                <w:color w:val="333333"/>
                <w:sz w:val="20"/>
                <w:szCs w:val="20"/>
              </w:rPr>
            </w:pPr>
          </w:p>
        </w:tc>
        <w:tc>
          <w:tcPr>
            <w:tcW w:w="7745" w:type="dxa"/>
            <w:gridSpan w:val="6"/>
            <w:vAlign w:val="center"/>
          </w:tcPr>
          <w:p w14:paraId="71D8215F" w14:textId="77777777" w:rsidR="0037570E" w:rsidRPr="0037570E" w:rsidRDefault="0037570E" w:rsidP="00886A4E">
            <w:pPr>
              <w:keepLines/>
              <w:rPr>
                <w:rFonts w:ascii="Arial Narrow" w:hAnsi="Arial Narrow"/>
                <w:b/>
                <w:bCs/>
                <w:color w:val="333333"/>
                <w:sz w:val="20"/>
                <w:szCs w:val="20"/>
              </w:rPr>
            </w:pPr>
            <w:r w:rsidRPr="0037570E">
              <w:rPr>
                <w:rFonts w:ascii="Arial Narrow" w:hAnsi="Arial Narrow"/>
                <w:b/>
                <w:bCs/>
                <w:color w:val="333333"/>
                <w:sz w:val="20"/>
                <w:szCs w:val="20"/>
              </w:rPr>
              <w:t>Administrative Advice:</w:t>
            </w:r>
          </w:p>
          <w:p w14:paraId="0B853D77" w14:textId="77777777" w:rsidR="0037570E" w:rsidRPr="0037570E" w:rsidRDefault="0037570E" w:rsidP="00886A4E">
            <w:pPr>
              <w:keepLines/>
              <w:rPr>
                <w:rFonts w:ascii="Arial Narrow" w:hAnsi="Arial Narrow"/>
                <w:b/>
                <w:bCs/>
                <w:color w:val="333333"/>
                <w:sz w:val="20"/>
                <w:szCs w:val="20"/>
              </w:rPr>
            </w:pPr>
            <w:r w:rsidRPr="0037570E">
              <w:rPr>
                <w:rFonts w:ascii="Arial Narrow" w:hAnsi="Arial Narrow" w:cs="Open Sans"/>
                <w:color w:val="333333"/>
                <w:sz w:val="20"/>
                <w:szCs w:val="20"/>
                <w:shd w:val="clear" w:color="auto" w:fill="FFFFFF"/>
              </w:rPr>
              <w:t>Special Pricing Arrangements apply.</w:t>
            </w:r>
          </w:p>
        </w:tc>
      </w:tr>
      <w:tr w:rsidR="0037570E" w:rsidRPr="00A3494F" w14:paraId="2B676EC1"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95786F6" w14:textId="3F7C4EDC" w:rsidR="0037570E" w:rsidRPr="00A3494F" w:rsidRDefault="0037570E" w:rsidP="00886A4E">
            <w:pPr>
              <w:keepLines/>
              <w:jc w:val="center"/>
              <w:rPr>
                <w:rFonts w:ascii="Arial Narrow" w:hAnsi="Arial Narrow"/>
                <w:color w:val="333333"/>
                <w:sz w:val="20"/>
                <w:szCs w:val="20"/>
              </w:rPr>
            </w:pPr>
          </w:p>
        </w:tc>
        <w:tc>
          <w:tcPr>
            <w:tcW w:w="7745" w:type="dxa"/>
            <w:gridSpan w:val="6"/>
            <w:vAlign w:val="center"/>
            <w:hideMark/>
          </w:tcPr>
          <w:p w14:paraId="5DE16834" w14:textId="77777777" w:rsidR="0037570E" w:rsidRPr="00A3494F" w:rsidRDefault="0037570E" w:rsidP="00886A4E">
            <w:pPr>
              <w:keepLines/>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37570E" w:rsidRPr="00A3494F" w14:paraId="3751E8BA"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A10B01D" w14:textId="77777777"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2D4125BF" w14:textId="77777777" w:rsidR="0037570E" w:rsidRPr="00A3494F" w:rsidRDefault="0037570E" w:rsidP="00886A4E">
            <w:pPr>
              <w:rPr>
                <w:rFonts w:ascii="Arial Narrow" w:hAnsi="Arial Narrow"/>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sz w:val="20"/>
                <w:szCs w:val="20"/>
              </w:rPr>
              <w:t>Initial treatment – Initial 1 (new patient)</w:t>
            </w:r>
          </w:p>
        </w:tc>
      </w:tr>
      <w:tr w:rsidR="0037570E" w:rsidRPr="00A3494F" w14:paraId="6D9BDAAD"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C5A0754" w14:textId="1EEA1628"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04D8009B" w14:textId="77777777" w:rsidR="0037570E" w:rsidRPr="00A3494F" w:rsidRDefault="0037570E" w:rsidP="00886A4E">
            <w:pPr>
              <w:rPr>
                <w:rFonts w:ascii="Arial Narrow" w:hAnsi="Arial Narrow"/>
                <w:sz w:val="20"/>
                <w:szCs w:val="20"/>
              </w:rPr>
            </w:pPr>
            <w:r w:rsidRPr="00A3494F">
              <w:rPr>
                <w:rFonts w:ascii="Arial Narrow" w:hAnsi="Arial Narrow"/>
                <w:b/>
                <w:bCs/>
                <w:color w:val="333333"/>
                <w:sz w:val="20"/>
                <w:szCs w:val="20"/>
              </w:rPr>
              <w:t>Clinical criteria:</w:t>
            </w:r>
          </w:p>
        </w:tc>
      </w:tr>
      <w:tr w:rsidR="0037570E" w:rsidRPr="00A3494F" w14:paraId="6BA7E4B0"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F210AAC" w14:textId="1560B3E8"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01A32AA6"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Patient must have failed to achieve an adequate response to a 5-aminosalicylate oral preparation in a standard dose for induction of remission for 3 or more consecutive months or have intolerance necessitating permanent treatment withdrawal,</w:t>
            </w:r>
          </w:p>
        </w:tc>
      </w:tr>
      <w:tr w:rsidR="0037570E" w:rsidRPr="00A3494F" w14:paraId="35608CD0"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2FD3198" w14:textId="77777777"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66646AC2"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37570E" w:rsidRPr="00A3494F" w14:paraId="2E552DB6"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406D676" w14:textId="39E287AD"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255E50F9"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37570E" w:rsidRPr="00A3494F" w14:paraId="45F21D05"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4C75D03" w14:textId="427BBAC2"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3F47F0EA" w14:textId="696292DA"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Patient must have failed to achieve an adequate response to azathioprine at a dose of at least 2 mg per</w:t>
            </w:r>
            <w:r>
              <w:rPr>
                <w:rFonts w:ascii="Arial Narrow" w:hAnsi="Arial Narrow"/>
                <w:color w:val="333333"/>
                <w:sz w:val="20"/>
                <w:szCs w:val="20"/>
              </w:rPr>
              <w:t> </w:t>
            </w:r>
            <w:r w:rsidRPr="00A3494F">
              <w:rPr>
                <w:rFonts w:ascii="Arial Narrow" w:hAnsi="Arial Narrow"/>
                <w:color w:val="333333"/>
                <w:sz w:val="20"/>
                <w:szCs w:val="20"/>
              </w:rPr>
              <w:t>kg daily for 3 or more consecutive months or have intolerance necessitating permanent treatment withdrawal;</w:t>
            </w:r>
            <w:r w:rsidR="00D125D2">
              <w:rPr>
                <w:rFonts w:ascii="Arial Narrow" w:hAnsi="Arial Narrow"/>
                <w:color w:val="333333"/>
                <w:sz w:val="20"/>
                <w:szCs w:val="20"/>
              </w:rPr>
              <w:t xml:space="preserve"> OR</w:t>
            </w:r>
          </w:p>
        </w:tc>
      </w:tr>
      <w:tr w:rsidR="0037570E" w:rsidRPr="00A3494F" w14:paraId="3668F2BB"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89D9DB8" w14:textId="1FB8862F"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21B84CD9" w14:textId="785AA29D"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Patient must have failed to achieve an adequate response to 6-mercaptopurine at a dose of at least 1 mg</w:t>
            </w:r>
            <w:r>
              <w:rPr>
                <w:rFonts w:ascii="Arial Narrow" w:hAnsi="Arial Narrow"/>
                <w:color w:val="333333"/>
                <w:sz w:val="20"/>
                <w:szCs w:val="20"/>
              </w:rPr>
              <w:t> </w:t>
            </w:r>
            <w:r w:rsidRPr="00A3494F">
              <w:rPr>
                <w:rFonts w:ascii="Arial Narrow" w:hAnsi="Arial Narrow"/>
                <w:color w:val="333333"/>
                <w:sz w:val="20"/>
                <w:szCs w:val="20"/>
              </w:rPr>
              <w:t>per kg daily for 3 or more consecutive months or have intolerance necessitating permanent treatment withdrawal;</w:t>
            </w:r>
            <w:r w:rsidR="00D125D2">
              <w:rPr>
                <w:rFonts w:ascii="Arial Narrow" w:hAnsi="Arial Narrow"/>
                <w:color w:val="333333"/>
                <w:sz w:val="20"/>
                <w:szCs w:val="20"/>
              </w:rPr>
              <w:t xml:space="preserve"> OR</w:t>
            </w:r>
          </w:p>
        </w:tc>
      </w:tr>
      <w:tr w:rsidR="0037570E" w:rsidRPr="00A3494F" w14:paraId="48ACF06C"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A0B0F0A" w14:textId="05008D86"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654CA6EE"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Patient must have failed to achieve an adequate response to a tapered course of oral steroids, starting at a dose of at least 40 mg prednisolone (or equivalent), over a 6 week period or have intolerance necessitating permanent treatment withdrawal, and followed by a failure to achieve an adequate response to 3 or more consecutive months of treatment of an appropriately dosed thiopurine agent,</w:t>
            </w:r>
          </w:p>
        </w:tc>
      </w:tr>
      <w:tr w:rsidR="0037570E" w:rsidRPr="00A3494F" w14:paraId="6526709D"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D9031A8" w14:textId="77777777"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0FCDCC61"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37570E" w:rsidRPr="00A3494F" w14:paraId="1428DFDC"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EBB2CE7" w14:textId="0141F5FF"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3DB642AE"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37570E" w:rsidRPr="00A3494F" w14:paraId="7E94D376"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F20BBCE" w14:textId="5A86E079"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25D1D994" w14:textId="6F83E882"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Patient must have a Mayo clinic score greater than or equal to 6;</w:t>
            </w:r>
            <w:r w:rsidR="00D125D2">
              <w:rPr>
                <w:rFonts w:ascii="Arial Narrow" w:hAnsi="Arial Narrow"/>
                <w:color w:val="333333"/>
                <w:sz w:val="20"/>
                <w:szCs w:val="20"/>
              </w:rPr>
              <w:t xml:space="preserve"> OR</w:t>
            </w:r>
          </w:p>
        </w:tc>
      </w:tr>
      <w:tr w:rsidR="0037570E" w:rsidRPr="00A3494F" w14:paraId="3AF9621A"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741B282" w14:textId="035E5B94"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7E69C6B7"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Patient must have a partial Mayo clinic score greater than or equal to 6, provided the rectal bleeding and stool frequency subscores are both greater than or equal to 2 (endoscopy subscore is not required for a partial Mayo clinic score).</w:t>
            </w:r>
          </w:p>
        </w:tc>
      </w:tr>
      <w:tr w:rsidR="0037570E" w:rsidRPr="00A3494F" w14:paraId="613190DF"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C355099" w14:textId="55EBDEA2" w:rsidR="0037570E" w:rsidRPr="00A3494F" w:rsidRDefault="0037570E" w:rsidP="00886A4E">
            <w:pPr>
              <w:keepNext/>
              <w:jc w:val="center"/>
              <w:rPr>
                <w:rFonts w:ascii="Arial Narrow" w:hAnsi="Arial Narrow"/>
                <w:color w:val="333333"/>
                <w:sz w:val="20"/>
                <w:szCs w:val="20"/>
              </w:rPr>
            </w:pPr>
          </w:p>
        </w:tc>
        <w:tc>
          <w:tcPr>
            <w:tcW w:w="7745" w:type="dxa"/>
            <w:gridSpan w:val="6"/>
            <w:vAlign w:val="center"/>
            <w:hideMark/>
          </w:tcPr>
          <w:p w14:paraId="7461A631" w14:textId="77777777" w:rsidR="0037570E" w:rsidRPr="00A3494F" w:rsidRDefault="0037570E" w:rsidP="00886A4E">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37570E" w:rsidRPr="00A3494F" w14:paraId="3FDB0549"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2664EAA" w14:textId="54C8CA96" w:rsidR="0037570E" w:rsidRPr="00A3494F" w:rsidRDefault="0037570E" w:rsidP="00D125D2">
            <w:pPr>
              <w:jc w:val="center"/>
              <w:rPr>
                <w:rFonts w:ascii="Arial Narrow" w:hAnsi="Arial Narrow"/>
                <w:color w:val="333333"/>
                <w:sz w:val="20"/>
                <w:szCs w:val="20"/>
              </w:rPr>
            </w:pPr>
          </w:p>
        </w:tc>
        <w:tc>
          <w:tcPr>
            <w:tcW w:w="7745" w:type="dxa"/>
            <w:gridSpan w:val="6"/>
            <w:vAlign w:val="center"/>
            <w:hideMark/>
          </w:tcPr>
          <w:p w14:paraId="1A8D7555" w14:textId="4478DC69" w:rsidR="0037570E" w:rsidRPr="0037570E" w:rsidRDefault="0037570E" w:rsidP="00886A4E">
            <w:pPr>
              <w:autoSpaceDE w:val="0"/>
              <w:autoSpaceDN w:val="0"/>
              <w:adjustRightInd w:val="0"/>
              <w:rPr>
                <w:rFonts w:ascii="Arial Narrow" w:hAnsi="Arial Narrow" w:cs="Arial Narrow"/>
                <w:sz w:val="20"/>
                <w:szCs w:val="20"/>
              </w:rPr>
            </w:pPr>
            <w:r w:rsidRPr="0037570E">
              <w:rPr>
                <w:rFonts w:ascii="Arial Narrow" w:hAnsi="Arial Narrow" w:cs="Arial Narrow"/>
                <w:sz w:val="20"/>
                <w:szCs w:val="20"/>
              </w:rPr>
              <w:t>Must be treated by a gastroenterologist [code 87</w:t>
            </w:r>
            <w:r w:rsidR="00A13761" w:rsidRPr="0037570E">
              <w:rPr>
                <w:rFonts w:ascii="Arial Narrow" w:hAnsi="Arial Narrow" w:cs="Arial Narrow"/>
                <w:sz w:val="20"/>
                <w:szCs w:val="20"/>
              </w:rPr>
              <w:t>]; OR</w:t>
            </w:r>
            <w:r w:rsidRPr="0037570E">
              <w:rPr>
                <w:rFonts w:ascii="Arial Narrow" w:hAnsi="Arial Narrow" w:cs="Arial Narrow"/>
                <w:sz w:val="20"/>
                <w:szCs w:val="20"/>
              </w:rPr>
              <w:t xml:space="preserve"> </w:t>
            </w:r>
          </w:p>
        </w:tc>
      </w:tr>
      <w:tr w:rsidR="00D125D2" w:rsidRPr="00A3494F" w14:paraId="11DF974D"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C2E4AE6" w14:textId="77777777" w:rsidR="00D125D2" w:rsidRPr="00A3494F" w:rsidRDefault="00D125D2" w:rsidP="00886A4E">
            <w:pPr>
              <w:jc w:val="center"/>
              <w:rPr>
                <w:rFonts w:ascii="Arial Narrow" w:hAnsi="Arial Narrow"/>
                <w:color w:val="333333"/>
                <w:sz w:val="20"/>
                <w:szCs w:val="20"/>
              </w:rPr>
            </w:pPr>
          </w:p>
        </w:tc>
        <w:tc>
          <w:tcPr>
            <w:tcW w:w="7745" w:type="dxa"/>
            <w:gridSpan w:val="6"/>
            <w:vAlign w:val="center"/>
          </w:tcPr>
          <w:p w14:paraId="06FC2337" w14:textId="05659D60" w:rsidR="00D125D2" w:rsidRPr="0037570E" w:rsidRDefault="00D125D2" w:rsidP="00886A4E">
            <w:pPr>
              <w:autoSpaceDE w:val="0"/>
              <w:autoSpaceDN w:val="0"/>
              <w:adjustRightInd w:val="0"/>
              <w:rPr>
                <w:rFonts w:ascii="Arial Narrow" w:hAnsi="Arial Narrow" w:cs="Arial Narrow"/>
                <w:sz w:val="20"/>
                <w:szCs w:val="20"/>
              </w:rPr>
            </w:pPr>
            <w:r w:rsidRPr="0037570E">
              <w:rPr>
                <w:rFonts w:ascii="Arial Narrow" w:hAnsi="Arial Narrow" w:cs="Arial Narrow"/>
                <w:sz w:val="20"/>
                <w:szCs w:val="20"/>
              </w:rPr>
              <w:t xml:space="preserve">Must be treated by a consultant physician [internal medicine specialising in gastroenterology (code 81)]; OR </w:t>
            </w:r>
          </w:p>
        </w:tc>
      </w:tr>
      <w:tr w:rsidR="00D125D2" w:rsidRPr="00A3494F" w14:paraId="1A2CFBC0"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C522F74" w14:textId="3B85BD29" w:rsidR="00D125D2" w:rsidRPr="00A3494F" w:rsidRDefault="00D125D2" w:rsidP="00886A4E">
            <w:pPr>
              <w:jc w:val="center"/>
              <w:rPr>
                <w:rFonts w:ascii="Arial Narrow" w:hAnsi="Arial Narrow"/>
                <w:color w:val="333333"/>
                <w:sz w:val="20"/>
                <w:szCs w:val="20"/>
              </w:rPr>
            </w:pPr>
          </w:p>
        </w:tc>
        <w:tc>
          <w:tcPr>
            <w:tcW w:w="7745" w:type="dxa"/>
            <w:gridSpan w:val="6"/>
            <w:vAlign w:val="center"/>
          </w:tcPr>
          <w:p w14:paraId="07F341B9" w14:textId="6441715D" w:rsidR="00D125D2" w:rsidRPr="0037570E" w:rsidRDefault="00D125D2" w:rsidP="00886A4E">
            <w:pPr>
              <w:autoSpaceDE w:val="0"/>
              <w:autoSpaceDN w:val="0"/>
              <w:adjustRightInd w:val="0"/>
              <w:rPr>
                <w:rFonts w:ascii="Arial Narrow" w:hAnsi="Arial Narrow" w:cs="Arial Narrow"/>
                <w:sz w:val="20"/>
                <w:szCs w:val="20"/>
              </w:rPr>
            </w:pPr>
            <w:r w:rsidRPr="0037570E">
              <w:rPr>
                <w:rFonts w:ascii="Arial Narrow" w:hAnsi="Arial Narrow" w:cs="Arial Narrow"/>
                <w:sz w:val="20"/>
                <w:szCs w:val="20"/>
              </w:rPr>
              <w:t>Must be treated by a consultant physician [general medicine specialising in gastroenterology (code 82)].</w:t>
            </w:r>
          </w:p>
        </w:tc>
      </w:tr>
      <w:tr w:rsidR="0037570E" w:rsidRPr="00A3494F" w14:paraId="414F6050"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0669F54" w14:textId="14B6AF9B"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0BFB433E"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37570E" w:rsidRPr="00A3494F" w14:paraId="18253338"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D2EBF25" w14:textId="3F7B7B64"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2567BF5E" w14:textId="38A9E904"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 xml:space="preserve">Patient must be </w:t>
            </w:r>
            <w:r w:rsidR="00D125D2">
              <w:rPr>
                <w:rFonts w:ascii="Arial Narrow" w:hAnsi="Arial Narrow"/>
                <w:color w:val="333333"/>
                <w:sz w:val="20"/>
                <w:szCs w:val="20"/>
              </w:rPr>
              <w:t xml:space="preserve">at </w:t>
            </w:r>
            <w:r w:rsidR="00A13761">
              <w:rPr>
                <w:rFonts w:ascii="Arial Narrow" w:hAnsi="Arial Narrow"/>
                <w:color w:val="333333"/>
                <w:sz w:val="20"/>
                <w:szCs w:val="20"/>
              </w:rPr>
              <w:t xml:space="preserve">least </w:t>
            </w:r>
            <w:r w:rsidR="00A13761" w:rsidRPr="00A3494F">
              <w:rPr>
                <w:rFonts w:ascii="Arial Narrow" w:hAnsi="Arial Narrow"/>
                <w:color w:val="333333"/>
                <w:sz w:val="20"/>
                <w:szCs w:val="20"/>
              </w:rPr>
              <w:t>18</w:t>
            </w:r>
            <w:r w:rsidRPr="00A3494F">
              <w:rPr>
                <w:rFonts w:ascii="Arial Narrow" w:hAnsi="Arial Narrow"/>
                <w:color w:val="333333"/>
                <w:sz w:val="20"/>
                <w:szCs w:val="20"/>
              </w:rPr>
              <w:t xml:space="preserve"> years </w:t>
            </w:r>
            <w:r w:rsidR="00D125D2">
              <w:rPr>
                <w:rFonts w:ascii="Arial Narrow" w:hAnsi="Arial Narrow"/>
                <w:color w:val="333333"/>
                <w:sz w:val="20"/>
                <w:szCs w:val="20"/>
              </w:rPr>
              <w:t>of age</w:t>
            </w:r>
          </w:p>
        </w:tc>
      </w:tr>
      <w:tr w:rsidR="0037570E" w:rsidRPr="00A3494F" w14:paraId="67CB090A"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08B1CE1" w14:textId="5B0A4790"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43DFAC92" w14:textId="3F2372AD"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76EC25CB" w14:textId="3AC5AB76" w:rsidR="0037570E" w:rsidRPr="00A3494F" w:rsidRDefault="0037570E" w:rsidP="00886A4E">
            <w:pPr>
              <w:rPr>
                <w:rFonts w:ascii="Arial Narrow" w:hAnsi="Arial Narrow"/>
                <w:color w:val="333333"/>
                <w:sz w:val="20"/>
                <w:szCs w:val="20"/>
              </w:rPr>
            </w:pPr>
            <w:r w:rsidRPr="0037570E">
              <w:rPr>
                <w:rFonts w:ascii="Arial Narrow" w:hAnsi="Arial Narrow"/>
                <w:color w:val="333333"/>
                <w:sz w:val="20"/>
                <w:szCs w:val="20"/>
              </w:rPr>
              <w:t>The authority application</w:t>
            </w:r>
            <w:r w:rsidRPr="00A3494F">
              <w:rPr>
                <w:rFonts w:ascii="Arial Narrow" w:hAnsi="Arial Narrow"/>
                <w:i/>
                <w:iCs/>
                <w:color w:val="333333"/>
                <w:sz w:val="20"/>
                <w:szCs w:val="20"/>
              </w:rPr>
              <w:t xml:space="preserve"> </w:t>
            </w:r>
            <w:r w:rsidRPr="00A3494F">
              <w:rPr>
                <w:rFonts w:ascii="Arial Narrow" w:hAnsi="Arial Narrow"/>
                <w:color w:val="333333"/>
                <w:sz w:val="20"/>
                <w:szCs w:val="20"/>
              </w:rPr>
              <w:t>must be in writing and must include:</w:t>
            </w:r>
          </w:p>
          <w:p w14:paraId="5C72C4E5" w14:textId="4C4FB09F" w:rsidR="0037570E" w:rsidRPr="00A3494F" w:rsidRDefault="0037570E" w:rsidP="00886A4E">
            <w:pPr>
              <w:rPr>
                <w:rFonts w:ascii="Arial Narrow" w:hAnsi="Arial Narrow"/>
                <w:color w:val="333333"/>
                <w:sz w:val="20"/>
                <w:szCs w:val="20"/>
              </w:rPr>
            </w:pPr>
            <w:r w:rsidRPr="0037570E">
              <w:rPr>
                <w:rFonts w:ascii="Arial Narrow" w:hAnsi="Arial Narrow"/>
                <w:color w:val="333333"/>
                <w:sz w:val="20"/>
                <w:szCs w:val="20"/>
              </w:rPr>
              <w:t>(1)</w:t>
            </w:r>
            <w:r w:rsidRPr="00A3494F">
              <w:rPr>
                <w:rFonts w:ascii="Arial Narrow" w:hAnsi="Arial Narrow"/>
                <w:color w:val="333333"/>
                <w:sz w:val="20"/>
                <w:szCs w:val="20"/>
              </w:rPr>
              <w:t xml:space="preserve"> a completed authority prescription form; and</w:t>
            </w:r>
          </w:p>
          <w:p w14:paraId="39F8719D" w14:textId="4D693244"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w:t>
            </w:r>
            <w:r w:rsidRPr="0037570E">
              <w:rPr>
                <w:rFonts w:ascii="Arial Narrow" w:hAnsi="Arial Narrow"/>
                <w:color w:val="333333"/>
                <w:sz w:val="20"/>
                <w:szCs w:val="20"/>
              </w:rPr>
              <w:t>2)</w:t>
            </w:r>
            <w:r w:rsidRPr="00A3494F">
              <w:rPr>
                <w:rFonts w:ascii="Arial Narrow" w:hAnsi="Arial Narrow"/>
                <w:color w:val="333333"/>
                <w:sz w:val="20"/>
                <w:szCs w:val="20"/>
              </w:rPr>
              <w:t xml:space="preserve"> a completed </w:t>
            </w:r>
            <w:r w:rsidRPr="0037570E">
              <w:rPr>
                <w:rFonts w:ascii="Arial Narrow" w:hAnsi="Arial Narrow"/>
                <w:color w:val="333333"/>
                <w:sz w:val="20"/>
                <w:szCs w:val="20"/>
              </w:rPr>
              <w:t>authority application form relevant to the indication and treatment phase (the latest version is located on the website specified in the Administrative Advice), which includes:</w:t>
            </w:r>
            <w:r w:rsidRPr="00A3494F">
              <w:rPr>
                <w:rFonts w:ascii="Arial Narrow" w:hAnsi="Arial Narrow"/>
                <w:i/>
                <w:iCs/>
                <w:color w:val="333333"/>
                <w:sz w:val="20"/>
                <w:szCs w:val="20"/>
              </w:rPr>
              <w:t xml:space="preserve"> </w:t>
            </w:r>
          </w:p>
          <w:p w14:paraId="0B2B6782"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(i) the completed current Mayo clinic or partial Mayo clinic calculation sheet including the date of assessment of the patient's condition; and</w:t>
            </w:r>
          </w:p>
          <w:p w14:paraId="1B2EA70B" w14:textId="77777777" w:rsidR="0037570E" w:rsidRPr="00A3494F" w:rsidRDefault="0037570E" w:rsidP="00886A4E">
            <w:pPr>
              <w:rPr>
                <w:rFonts w:ascii="Arial Narrow" w:hAnsi="Arial Narrow"/>
                <w:b/>
                <w:bCs/>
                <w:color w:val="333333"/>
                <w:sz w:val="20"/>
                <w:szCs w:val="20"/>
              </w:rPr>
            </w:pPr>
            <w:r w:rsidRPr="00A3494F">
              <w:rPr>
                <w:rFonts w:ascii="Arial Narrow" w:hAnsi="Arial Narrow"/>
                <w:color w:val="333333"/>
                <w:sz w:val="20"/>
                <w:szCs w:val="20"/>
              </w:rPr>
              <w:t>(ii) details of prior systemic drug therapy [dosage, date of commencement and duration of therapy].</w:t>
            </w:r>
          </w:p>
        </w:tc>
      </w:tr>
      <w:tr w:rsidR="0037570E" w:rsidRPr="00A3494F" w14:paraId="147EF401"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BC0BA19" w14:textId="34683901"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5BB031E3" w14:textId="704F7C4E" w:rsidR="0037570E" w:rsidRPr="00A3494F" w:rsidRDefault="0037570E" w:rsidP="00886A4E">
            <w:pPr>
              <w:rPr>
                <w:rFonts w:ascii="Arial Narrow" w:hAnsi="Arial Narrow"/>
                <w:bCs/>
                <w:color w:val="FF0000"/>
                <w:sz w:val="20"/>
                <w:szCs w:val="20"/>
              </w:rPr>
            </w:pPr>
            <w:r w:rsidRPr="00A3494F">
              <w:rPr>
                <w:rFonts w:ascii="Arial Narrow" w:hAnsi="Arial Narrow"/>
                <w:b/>
                <w:bCs/>
                <w:color w:val="333333"/>
                <w:sz w:val="20"/>
                <w:szCs w:val="20"/>
              </w:rPr>
              <w:t>Prescribing Instructions:</w:t>
            </w:r>
          </w:p>
          <w:p w14:paraId="1176C562" w14:textId="77777777" w:rsidR="0037570E" w:rsidRPr="00A3494F" w:rsidRDefault="0037570E" w:rsidP="00886A4E">
            <w:pPr>
              <w:rPr>
                <w:rFonts w:ascii="Arial Narrow" w:hAnsi="Arial Narrow"/>
                <w:b/>
                <w:bCs/>
                <w:color w:val="333333"/>
                <w:sz w:val="20"/>
                <w:szCs w:val="20"/>
              </w:rPr>
            </w:pPr>
            <w:r w:rsidRPr="00A3494F">
              <w:rPr>
                <w:rFonts w:ascii="Arial Narrow" w:hAnsi="Arial Narrow"/>
                <w:color w:val="333333"/>
                <w:sz w:val="20"/>
                <w:szCs w:val="20"/>
              </w:rPr>
              <w:t>All tests and assessments should be performed preferably whilst still on treatment, but no longer than 4 weeks following cessation of the most recent prior conventional treatment</w:t>
            </w:r>
          </w:p>
        </w:tc>
      </w:tr>
      <w:tr w:rsidR="0037570E" w:rsidRPr="00A3494F" w14:paraId="560CC7A8"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5639511" w14:textId="1D5F9F1A"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385A8AB0" w14:textId="79AFFF9B" w:rsidR="0037570E" w:rsidRPr="00A3494F" w:rsidRDefault="0037570E" w:rsidP="00886A4E">
            <w:pPr>
              <w:rPr>
                <w:rFonts w:ascii="Arial Narrow" w:hAnsi="Arial Narrow"/>
                <w:bCs/>
                <w:color w:val="FF0000"/>
                <w:sz w:val="20"/>
                <w:szCs w:val="20"/>
              </w:rPr>
            </w:pPr>
            <w:r w:rsidRPr="00A3494F">
              <w:rPr>
                <w:rFonts w:ascii="Arial Narrow" w:hAnsi="Arial Narrow"/>
                <w:b/>
                <w:bCs/>
                <w:color w:val="333333"/>
                <w:sz w:val="20"/>
                <w:szCs w:val="20"/>
              </w:rPr>
              <w:t>Prescribing Instructions:</w:t>
            </w:r>
          </w:p>
          <w:p w14:paraId="04874FCB"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The most recent Mayo clinic or partial Mayo clinic score must be no more than 4 weeks old at the time of application.</w:t>
            </w:r>
          </w:p>
        </w:tc>
      </w:tr>
      <w:tr w:rsidR="0037570E" w:rsidRPr="00A3494F" w14:paraId="6F2180C7"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D0795F7" w14:textId="786763B6"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57110A08" w14:textId="77777777"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43BAC4ED"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An assessment of a patient's response to this initial course of treatment must be conducted 12 weeks after initial dose.</w:t>
            </w:r>
          </w:p>
        </w:tc>
      </w:tr>
      <w:tr w:rsidR="0037570E" w:rsidRPr="00A3494F" w14:paraId="12DCA5E6"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3563379" w14:textId="316930F5"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4D01996D" w14:textId="3B00A124"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5167B6CD" w14:textId="380C7175"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If patients do not have adequate therapeutic response at Week 12 after induction dosing,</w:t>
            </w:r>
            <w:r w:rsidRPr="0037570E">
              <w:rPr>
                <w:rFonts w:ascii="Arial Narrow" w:hAnsi="Arial Narrow"/>
                <w:color w:val="333333"/>
                <w:sz w:val="20"/>
                <w:szCs w:val="20"/>
              </w:rPr>
              <w:t xml:space="preserve"> additional doses to extend induction treatment to 20 weeks can be accessed through the balance of supply (IV infusion to occur at week 12,16 and 20.) An assessment of a patient’s response to extended induction treatment must be made no later than 4 weeks from the last induction dose.</w:t>
            </w:r>
          </w:p>
        </w:tc>
      </w:tr>
      <w:tr w:rsidR="0037570E" w:rsidRPr="00A3494F" w14:paraId="130CA413"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3A7E5A9" w14:textId="2B87F9F3"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2B2237CC" w14:textId="7D48DAB0"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5AC357D0"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7570E" w:rsidRPr="00A3494F" w14:paraId="4E6CE6C6"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87DCD63" w14:textId="2416A087"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3D3D2F8C" w14:textId="1DE4DF7B"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6F55ECDE"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If treatment with any of the above-mentioned drugs is contraindicated according to the relevant TGA-approved Product Information, details must be provided at the time of application.</w:t>
            </w:r>
          </w:p>
        </w:tc>
      </w:tr>
      <w:tr w:rsidR="00D125D2" w:rsidRPr="00A3494F" w14:paraId="75132C26"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988B0AC" w14:textId="47E68118" w:rsidR="00D125D2" w:rsidRPr="00A3494F" w:rsidRDefault="00D125D2" w:rsidP="00886A4E">
            <w:pPr>
              <w:jc w:val="center"/>
              <w:rPr>
                <w:rFonts w:ascii="Arial Narrow" w:hAnsi="Arial Narrow"/>
                <w:color w:val="333333"/>
                <w:sz w:val="20"/>
                <w:szCs w:val="20"/>
              </w:rPr>
            </w:pPr>
          </w:p>
        </w:tc>
        <w:tc>
          <w:tcPr>
            <w:tcW w:w="7745" w:type="dxa"/>
            <w:gridSpan w:val="6"/>
            <w:vAlign w:val="center"/>
          </w:tcPr>
          <w:p w14:paraId="3160D3F8" w14:textId="77777777" w:rsidR="00D125D2" w:rsidRPr="004C07DA" w:rsidRDefault="00D125D2" w:rsidP="00D125D2">
            <w:pPr>
              <w:rPr>
                <w:rFonts w:ascii="Arial Narrow" w:hAnsi="Arial Narrow"/>
                <w:b/>
                <w:bCs/>
                <w:sz w:val="20"/>
                <w:szCs w:val="20"/>
              </w:rPr>
            </w:pPr>
            <w:r w:rsidRPr="004C07DA">
              <w:rPr>
                <w:rFonts w:ascii="Arial Narrow" w:hAnsi="Arial Narrow"/>
                <w:b/>
                <w:bCs/>
                <w:sz w:val="20"/>
                <w:szCs w:val="20"/>
              </w:rPr>
              <w:t xml:space="preserve">Prescribing Instructions: </w:t>
            </w:r>
          </w:p>
          <w:p w14:paraId="2BEE6E88" w14:textId="6AB0998D" w:rsidR="00D125D2" w:rsidRPr="00A3494F" w:rsidRDefault="00D125D2" w:rsidP="00D125D2">
            <w:pPr>
              <w:rPr>
                <w:rFonts w:ascii="Arial Narrow" w:hAnsi="Arial Narrow"/>
                <w:b/>
                <w:bCs/>
                <w:color w:val="333333"/>
                <w:sz w:val="20"/>
                <w:szCs w:val="20"/>
              </w:rPr>
            </w:pPr>
            <w:r>
              <w:rPr>
                <w:rFonts w:ascii="Arial Narrow" w:hAnsi="Arial Narrow"/>
                <w:sz w:val="20"/>
                <w:szCs w:val="20"/>
              </w:rPr>
              <w:t>If intolerance to treatment develops during the relevant period of use, which is of a severity necessitating permanent treatment withdrawal, details of this toxicity must be provided at the time of application.</w:t>
            </w:r>
          </w:p>
        </w:tc>
      </w:tr>
      <w:tr w:rsidR="0037570E" w:rsidRPr="00A3494F" w14:paraId="5C0DC3E3"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5966FAE" w14:textId="70F35194"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374737F5" w14:textId="77777777"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423A925D"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If a patient fails to demonstrate a response to treatment with this drug after 24 weeks of treatment they will not be eligible to receive further PBS-subsidised treatment with this drug for this condition. Serious adverse reaction of a severity resulting in the necessity for permanent withdrawal of treatment is not considered as a treatment failure.</w:t>
            </w:r>
          </w:p>
        </w:tc>
      </w:tr>
      <w:tr w:rsidR="0037570E" w:rsidRPr="00A3494F" w14:paraId="2BD2C8D6"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720CDF5" w14:textId="418D8F21"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6089F875" w14:textId="5ED519CE"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280D9325" w14:textId="520224E1" w:rsidR="0037570E" w:rsidRPr="00A3494F" w:rsidRDefault="00D125D2" w:rsidP="00886A4E">
            <w:pPr>
              <w:rPr>
                <w:rFonts w:ascii="Arial Narrow" w:hAnsi="Arial Narrow"/>
                <w:b/>
                <w:bCs/>
                <w:i/>
                <w:iCs/>
                <w:color w:val="333333"/>
                <w:sz w:val="20"/>
                <w:szCs w:val="20"/>
              </w:rPr>
            </w:pPr>
            <w:r>
              <w:rPr>
                <w:rFonts w:ascii="Arial Narrow" w:hAnsi="Arial Narrow"/>
                <w:sz w:val="20"/>
                <w:szCs w:val="20"/>
              </w:rPr>
              <w:t>The Services Australia website (</w:t>
            </w:r>
            <w:r w:rsidRPr="00E72926">
              <w:rPr>
                <w:rFonts w:ascii="Arial Narrow" w:hAnsi="Arial Narrow"/>
                <w:sz w:val="20"/>
                <w:szCs w:val="20"/>
              </w:rPr>
              <w:t>www.servicesaustralia.gov.au</w:t>
            </w:r>
            <w:r>
              <w:rPr>
                <w:rFonts w:ascii="Arial Narrow" w:hAnsi="Arial Narrow"/>
                <w:sz w:val="20"/>
                <w:szCs w:val="20"/>
              </w:rPr>
              <w:t>) has details of the toxicities, including severity, which will be accepted where one is claimed.</w:t>
            </w:r>
          </w:p>
        </w:tc>
      </w:tr>
      <w:tr w:rsidR="0037570E" w:rsidRPr="00A3494F" w14:paraId="5A13B78F"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39126F" w14:textId="4101D6BD"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08850FAF" w14:textId="77777777" w:rsidR="0037570E" w:rsidRPr="00A3494F" w:rsidRDefault="0037570E" w:rsidP="00886A4E">
            <w:pPr>
              <w:rPr>
                <w:rFonts w:ascii="Arial Narrow" w:hAnsi="Arial Narrow"/>
                <w:bCs/>
                <w:color w:val="FF0000"/>
                <w:sz w:val="20"/>
                <w:szCs w:val="20"/>
              </w:rPr>
            </w:pPr>
            <w:r w:rsidRPr="00A3494F">
              <w:rPr>
                <w:rFonts w:ascii="Arial Narrow" w:hAnsi="Arial Narrow"/>
                <w:b/>
                <w:bCs/>
                <w:color w:val="333333"/>
                <w:sz w:val="20"/>
                <w:szCs w:val="20"/>
              </w:rPr>
              <w:t xml:space="preserve">Administrative Advice: </w:t>
            </w:r>
          </w:p>
          <w:p w14:paraId="73B75A81" w14:textId="1889448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Any queries concerning the arrangements to prescribe may be directed to Services Australia on 1800 700 270 (hours of operation 8 a.m. to 5 p.m. Monday to Friday).</w:t>
            </w:r>
          </w:p>
          <w:p w14:paraId="5C17EDF7"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proofErr w:type="gramStart"/>
            <w:r w:rsidRPr="00A3494F">
              <w:rPr>
                <w:rFonts w:ascii="Arial Narrow" w:hAnsi="Arial Narrow"/>
                <w:color w:val="333333"/>
                <w:sz w:val="20"/>
                <w:szCs w:val="20"/>
              </w:rPr>
              <w:t>www.servicesaustralia.gov.au</w:t>
            </w:r>
            <w:proofErr w:type="gramEnd"/>
          </w:p>
          <w:p w14:paraId="1D10F42D"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 xml:space="preserve">Applications for authority to prescribe should be submitted online using the form upload facility in Health Professional Online Services (HPOS) at </w:t>
            </w:r>
            <w:proofErr w:type="gramStart"/>
            <w:r w:rsidRPr="00A3494F">
              <w:rPr>
                <w:rFonts w:ascii="Arial Narrow" w:hAnsi="Arial Narrow"/>
                <w:color w:val="333333"/>
                <w:sz w:val="20"/>
                <w:szCs w:val="20"/>
              </w:rPr>
              <w:t>www.servicesaustralia.gov.au/hpos</w:t>
            </w:r>
            <w:proofErr w:type="gramEnd"/>
          </w:p>
          <w:p w14:paraId="2E7414DA"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Or mailed to:</w:t>
            </w:r>
          </w:p>
          <w:p w14:paraId="3650B302"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Services Australia</w:t>
            </w:r>
          </w:p>
          <w:p w14:paraId="50F015F6"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Complex Drugs</w:t>
            </w:r>
          </w:p>
          <w:p w14:paraId="25876E16"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Reply Paid 9826</w:t>
            </w:r>
          </w:p>
          <w:p w14:paraId="57971529" w14:textId="77777777" w:rsidR="0037570E" w:rsidRPr="00A3494F" w:rsidRDefault="0037570E" w:rsidP="00886A4E">
            <w:pPr>
              <w:rPr>
                <w:rFonts w:ascii="Arial Narrow" w:hAnsi="Arial Narrow"/>
                <w:bCs/>
                <w:color w:val="333333"/>
                <w:sz w:val="20"/>
                <w:szCs w:val="20"/>
              </w:rPr>
            </w:pPr>
            <w:r w:rsidRPr="00A3494F">
              <w:rPr>
                <w:rFonts w:ascii="Arial Narrow" w:hAnsi="Arial Narrow"/>
                <w:color w:val="333333"/>
                <w:sz w:val="20"/>
                <w:szCs w:val="20"/>
              </w:rPr>
              <w:t>HOBART TAS 7001</w:t>
            </w:r>
          </w:p>
        </w:tc>
      </w:tr>
      <w:tr w:rsidR="0037570E" w:rsidRPr="00A3494F" w14:paraId="60E64CB6" w14:textId="77777777" w:rsidTr="0037570E">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4175D7D8" w14:textId="77777777" w:rsidR="0037570E" w:rsidRPr="00A3494F" w:rsidRDefault="0037570E" w:rsidP="00886A4E">
            <w:pPr>
              <w:rPr>
                <w:rFonts w:ascii="Arial Narrow" w:hAnsi="Arial Narrow"/>
                <w:bCs/>
                <w:color w:val="FF0000"/>
                <w:sz w:val="20"/>
                <w:szCs w:val="20"/>
              </w:rPr>
            </w:pPr>
          </w:p>
        </w:tc>
      </w:tr>
      <w:tr w:rsidR="0037570E" w:rsidRPr="00A3494F" w14:paraId="40E9E286" w14:textId="77777777" w:rsidTr="0037570E">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7E19DAC0" w14:textId="77777777" w:rsidR="0037570E" w:rsidRPr="00A3494F" w:rsidRDefault="0037570E" w:rsidP="00886A4E">
            <w:pPr>
              <w:rPr>
                <w:rFonts w:ascii="Arial Narrow" w:hAnsi="Arial Narrow"/>
                <w:bCs/>
                <w:color w:val="FF0000"/>
                <w:sz w:val="20"/>
                <w:szCs w:val="20"/>
              </w:rPr>
            </w:pPr>
          </w:p>
        </w:tc>
      </w:tr>
      <w:tr w:rsidR="0037570E" w:rsidRPr="00A3494F" w14:paraId="19FBF298" w14:textId="77777777" w:rsidTr="0037570E">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67A4025F" w14:textId="0A7F7F0B" w:rsidR="0037570E" w:rsidRPr="00A3494F" w:rsidRDefault="0037570E" w:rsidP="00886A4E">
            <w:pPr>
              <w:keepNext/>
              <w:keepLines/>
              <w:rPr>
                <w:rFonts w:ascii="Arial Narrow" w:hAnsi="Arial Narrow"/>
                <w:b/>
                <w:bCs/>
                <w:color w:val="333333"/>
                <w:sz w:val="20"/>
                <w:szCs w:val="20"/>
              </w:rPr>
            </w:pPr>
            <w:r w:rsidRPr="00A3494F">
              <w:rPr>
                <w:rFonts w:ascii="Arial Narrow" w:hAnsi="Arial Narrow"/>
                <w:b/>
                <w:bCs/>
                <w:color w:val="333333"/>
                <w:sz w:val="20"/>
                <w:szCs w:val="20"/>
              </w:rPr>
              <w:t xml:space="preserve">Restriction Summary </w:t>
            </w:r>
            <w:r w:rsidR="00D125D2">
              <w:rPr>
                <w:rFonts w:ascii="Arial Narrow" w:hAnsi="Arial Narrow"/>
                <w:b/>
                <w:bCs/>
                <w:color w:val="333333"/>
                <w:sz w:val="20"/>
                <w:szCs w:val="20"/>
              </w:rPr>
              <w:t xml:space="preserve">based on </w:t>
            </w:r>
            <w:r w:rsidRPr="00A3494F">
              <w:rPr>
                <w:rFonts w:ascii="Arial Narrow" w:hAnsi="Arial Narrow"/>
                <w:b/>
                <w:bCs/>
                <w:color w:val="333333"/>
                <w:sz w:val="20"/>
                <w:szCs w:val="20"/>
              </w:rPr>
              <w:t>12136</w:t>
            </w:r>
            <w:r w:rsidRPr="00A3494F">
              <w:rPr>
                <w:rFonts w:ascii="Arial Narrow" w:hAnsi="Arial Narrow"/>
                <w:b/>
                <w:bCs/>
                <w:color w:val="FF0000"/>
                <w:sz w:val="20"/>
                <w:szCs w:val="20"/>
              </w:rPr>
              <w:t xml:space="preserve"> </w:t>
            </w:r>
            <w:r w:rsidRPr="00A3494F">
              <w:rPr>
                <w:rFonts w:ascii="Arial Narrow" w:hAnsi="Arial Narrow"/>
                <w:b/>
                <w:bCs/>
                <w:color w:val="333333"/>
                <w:sz w:val="20"/>
                <w:szCs w:val="20"/>
              </w:rPr>
              <w:t xml:space="preserve">/ Treatment of Concept: </w:t>
            </w:r>
            <w:r w:rsidR="00D125D2">
              <w:rPr>
                <w:rFonts w:ascii="Arial Narrow" w:hAnsi="Arial Narrow"/>
                <w:b/>
                <w:bCs/>
                <w:color w:val="333333"/>
                <w:sz w:val="20"/>
                <w:szCs w:val="20"/>
              </w:rPr>
              <w:t xml:space="preserve">based on </w:t>
            </w:r>
            <w:r w:rsidRPr="00A3494F">
              <w:rPr>
                <w:rFonts w:ascii="Arial Narrow" w:hAnsi="Arial Narrow"/>
                <w:b/>
                <w:bCs/>
                <w:color w:val="333333"/>
                <w:sz w:val="20"/>
                <w:szCs w:val="20"/>
              </w:rPr>
              <w:t>12179</w:t>
            </w:r>
            <w:r w:rsidRPr="00A3494F">
              <w:rPr>
                <w:rFonts w:ascii="Arial Narrow" w:hAnsi="Arial Narrow"/>
                <w:b/>
                <w:bCs/>
                <w:color w:val="FF0000"/>
                <w:sz w:val="20"/>
                <w:szCs w:val="20"/>
              </w:rPr>
              <w:t xml:space="preserve"> </w:t>
            </w:r>
          </w:p>
        </w:tc>
      </w:tr>
      <w:tr w:rsidR="0037570E" w:rsidRPr="00A3494F" w14:paraId="6847CA2C"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Merge w:val="restart"/>
            <w:tcBorders>
              <w:top w:val="single" w:sz="4" w:space="0" w:color="auto"/>
              <w:left w:val="single" w:sz="4" w:space="0" w:color="auto"/>
              <w:right w:val="single" w:sz="4" w:space="0" w:color="auto"/>
            </w:tcBorders>
          </w:tcPr>
          <w:p w14:paraId="71968343" w14:textId="2550FF12" w:rsidR="0037570E" w:rsidRPr="00A3494F" w:rsidRDefault="0037570E" w:rsidP="00886A4E">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6369D92" w14:textId="77777777" w:rsidR="0037570E" w:rsidRPr="00A3494F" w:rsidRDefault="0037570E" w:rsidP="00886A4E">
            <w:pPr>
              <w:keepNext/>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sz w:val="20"/>
                <w:szCs w:val="20"/>
              </w:rPr>
              <w:t>Section 100 – Highly Specialised Drugs Program</w:t>
            </w:r>
          </w:p>
        </w:tc>
      </w:tr>
      <w:tr w:rsidR="0037570E" w:rsidRPr="00A3494F" w14:paraId="04192808"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right w:val="single" w:sz="4" w:space="0" w:color="auto"/>
            </w:tcBorders>
          </w:tcPr>
          <w:p w14:paraId="2523D58C" w14:textId="77777777" w:rsidR="0037570E" w:rsidRPr="00A3494F" w:rsidRDefault="0037570E" w:rsidP="00886A4E">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AC43459" w14:textId="77777777" w:rsidR="0037570E" w:rsidRPr="00A3494F" w:rsidRDefault="0037570E" w:rsidP="00886A4E">
            <w:pPr>
              <w:keepNext/>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37570E" w:rsidRPr="00A3494F" w14:paraId="1CB00632"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bottom w:val="single" w:sz="4" w:space="0" w:color="auto"/>
              <w:right w:val="single" w:sz="4" w:space="0" w:color="auto"/>
            </w:tcBorders>
          </w:tcPr>
          <w:p w14:paraId="54216B62" w14:textId="77777777" w:rsidR="0037570E" w:rsidRPr="00A3494F" w:rsidRDefault="0037570E" w:rsidP="00886A4E">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1217C73" w14:textId="77777777" w:rsidR="0037570E" w:rsidRPr="00A3494F" w:rsidRDefault="0037570E" w:rsidP="00886A4E">
            <w:pPr>
              <w:keepNext/>
              <w:keepLines/>
              <w:rPr>
                <w:rFonts w:ascii="Arial Narrow" w:eastAsia="Calibri" w:hAnsi="Arial Narrow"/>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(in writing only via post/HPOS upload) </w:t>
            </w:r>
          </w:p>
        </w:tc>
      </w:tr>
      <w:tr w:rsidR="0037570E" w:rsidRPr="00A3494F" w14:paraId="6600A979"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7EA6B68" w14:textId="2F5618E7"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672733F2"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37570E" w:rsidRPr="00A3494F" w14:paraId="7BC1F824"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27269A3" w14:textId="77777777"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3A4B7485" w14:textId="77777777" w:rsidR="0037570E" w:rsidRPr="00A3494F" w:rsidRDefault="0037570E" w:rsidP="00886A4E">
            <w:pPr>
              <w:rPr>
                <w:rFonts w:ascii="Arial Narrow" w:hAnsi="Arial Narrow"/>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sz w:val="20"/>
                <w:szCs w:val="20"/>
              </w:rPr>
              <w:t>Initial treatment - Initial 2 (change or recommencement of treatment after a break in biological medicine of less than 5 years)</w:t>
            </w:r>
          </w:p>
        </w:tc>
      </w:tr>
      <w:tr w:rsidR="0037570E" w:rsidRPr="00A3494F" w14:paraId="5625F890"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B597782" w14:textId="150614B6"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124AAEF0" w14:textId="77777777" w:rsidR="0037570E" w:rsidRPr="00A3494F" w:rsidRDefault="0037570E" w:rsidP="00886A4E">
            <w:pPr>
              <w:rPr>
                <w:rFonts w:ascii="Arial Narrow" w:hAnsi="Arial Narrow"/>
                <w:sz w:val="20"/>
                <w:szCs w:val="20"/>
              </w:rPr>
            </w:pPr>
            <w:r w:rsidRPr="00A3494F">
              <w:rPr>
                <w:rFonts w:ascii="Arial Narrow" w:hAnsi="Arial Narrow"/>
                <w:b/>
                <w:bCs/>
                <w:color w:val="333333"/>
                <w:sz w:val="20"/>
                <w:szCs w:val="20"/>
              </w:rPr>
              <w:t>Clinical criteria:</w:t>
            </w:r>
          </w:p>
        </w:tc>
      </w:tr>
      <w:tr w:rsidR="0037570E" w:rsidRPr="00A3494F" w14:paraId="5CA55F9A"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9BDA22E" w14:textId="255545D6"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4B036779"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Patient must have received prior PBS-subsidised treatment with a biological medicine for this condition in this treatment cycle,</w:t>
            </w:r>
          </w:p>
        </w:tc>
      </w:tr>
      <w:tr w:rsidR="0037570E" w:rsidRPr="00A3494F" w14:paraId="6B3D8A1E"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F517E32" w14:textId="77777777"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0463298C"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37570E" w:rsidRPr="00A3494F" w14:paraId="6BB6A335"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2E88BD2" w14:textId="5364F3AA"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1E48D8EC"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37570E" w:rsidRPr="00A3494F" w14:paraId="23E5AFE3"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8A02169" w14:textId="62E4A130"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122EAE69" w14:textId="6516B001"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Patient must not have already failed, or ceased to respond to, PBS-subsidised treatment with this drug for this condition during the current treatment cycle.</w:t>
            </w:r>
          </w:p>
        </w:tc>
      </w:tr>
      <w:tr w:rsidR="0037570E" w:rsidRPr="00A3494F" w14:paraId="2CF19B7C"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D9964B7" w14:textId="7808A5DF" w:rsidR="0037570E" w:rsidRPr="00A3494F" w:rsidRDefault="0037570E" w:rsidP="00886A4E">
            <w:pPr>
              <w:keepNext/>
              <w:jc w:val="center"/>
              <w:rPr>
                <w:rFonts w:ascii="Arial Narrow" w:hAnsi="Arial Narrow"/>
                <w:color w:val="333333"/>
                <w:sz w:val="20"/>
                <w:szCs w:val="20"/>
              </w:rPr>
            </w:pPr>
          </w:p>
        </w:tc>
        <w:tc>
          <w:tcPr>
            <w:tcW w:w="7745" w:type="dxa"/>
            <w:gridSpan w:val="6"/>
            <w:vAlign w:val="center"/>
            <w:hideMark/>
          </w:tcPr>
          <w:p w14:paraId="40B9A4BC" w14:textId="77777777" w:rsidR="0037570E" w:rsidRPr="00A3494F" w:rsidRDefault="0037570E" w:rsidP="00886A4E">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37570E" w:rsidRPr="00A3494F" w14:paraId="22FF1389"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BC65F11" w14:textId="7ED04A61" w:rsidR="0037570E" w:rsidRPr="00A3494F" w:rsidRDefault="0037570E" w:rsidP="00D125D2">
            <w:pPr>
              <w:jc w:val="center"/>
              <w:rPr>
                <w:rFonts w:ascii="Arial Narrow" w:hAnsi="Arial Narrow"/>
                <w:color w:val="333333"/>
                <w:sz w:val="20"/>
                <w:szCs w:val="20"/>
              </w:rPr>
            </w:pPr>
          </w:p>
        </w:tc>
        <w:tc>
          <w:tcPr>
            <w:tcW w:w="7745" w:type="dxa"/>
            <w:gridSpan w:val="6"/>
            <w:vAlign w:val="center"/>
            <w:hideMark/>
          </w:tcPr>
          <w:p w14:paraId="1285684D" w14:textId="1D5CEBC9" w:rsidR="0037570E" w:rsidRPr="00A3494F" w:rsidRDefault="0037570E" w:rsidP="00886A4E">
            <w:pPr>
              <w:autoSpaceDE w:val="0"/>
              <w:autoSpaceDN w:val="0"/>
              <w:adjustRightInd w:val="0"/>
              <w:rPr>
                <w:rFonts w:ascii="Arial Narrow" w:hAnsi="Arial Narrow" w:cs="Arial Narrow"/>
                <w:i/>
                <w:iCs/>
                <w:sz w:val="20"/>
                <w:szCs w:val="20"/>
              </w:rPr>
            </w:pPr>
            <w:r w:rsidRPr="00E60B12">
              <w:rPr>
                <w:rFonts w:ascii="Arial Narrow" w:hAnsi="Arial Narrow" w:cs="Arial Narrow"/>
                <w:sz w:val="20"/>
                <w:szCs w:val="20"/>
              </w:rPr>
              <w:t xml:space="preserve">Must be treated by a gastroenterologist [code 87]; OR </w:t>
            </w:r>
          </w:p>
        </w:tc>
      </w:tr>
      <w:tr w:rsidR="00D125D2" w:rsidRPr="00A3494F" w14:paraId="19ECB4AB"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F1C8474" w14:textId="77777777" w:rsidR="00D125D2" w:rsidRPr="00A3494F" w:rsidRDefault="00D125D2" w:rsidP="00886A4E">
            <w:pPr>
              <w:jc w:val="center"/>
              <w:rPr>
                <w:rFonts w:ascii="Arial Narrow" w:hAnsi="Arial Narrow"/>
                <w:color w:val="333333"/>
                <w:sz w:val="20"/>
                <w:szCs w:val="20"/>
              </w:rPr>
            </w:pPr>
          </w:p>
        </w:tc>
        <w:tc>
          <w:tcPr>
            <w:tcW w:w="7745" w:type="dxa"/>
            <w:gridSpan w:val="6"/>
            <w:vAlign w:val="center"/>
          </w:tcPr>
          <w:p w14:paraId="141237A0" w14:textId="76AA958C" w:rsidR="00D125D2" w:rsidRPr="00E60B12" w:rsidRDefault="00D125D2" w:rsidP="00886A4E">
            <w:pPr>
              <w:autoSpaceDE w:val="0"/>
              <w:autoSpaceDN w:val="0"/>
              <w:adjustRightInd w:val="0"/>
              <w:rPr>
                <w:rFonts w:ascii="Arial Narrow" w:hAnsi="Arial Narrow" w:cs="Arial Narrow"/>
                <w:sz w:val="20"/>
                <w:szCs w:val="20"/>
              </w:rPr>
            </w:pPr>
            <w:r w:rsidRPr="00E60B12">
              <w:rPr>
                <w:rFonts w:ascii="Arial Narrow" w:hAnsi="Arial Narrow" w:cs="Arial Narrow"/>
                <w:sz w:val="20"/>
                <w:szCs w:val="20"/>
              </w:rPr>
              <w:t xml:space="preserve">Must be treated by a consultant physician [internal medicine specialising in gastroenterology (code 81)]; OR </w:t>
            </w:r>
          </w:p>
        </w:tc>
      </w:tr>
      <w:tr w:rsidR="00D125D2" w:rsidRPr="00A3494F" w14:paraId="64413783"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D714740" w14:textId="1616FD07" w:rsidR="00D125D2" w:rsidRPr="00A3494F" w:rsidRDefault="00D125D2" w:rsidP="00886A4E">
            <w:pPr>
              <w:jc w:val="center"/>
              <w:rPr>
                <w:rFonts w:ascii="Arial Narrow" w:hAnsi="Arial Narrow"/>
                <w:color w:val="333333"/>
                <w:sz w:val="20"/>
                <w:szCs w:val="20"/>
              </w:rPr>
            </w:pPr>
          </w:p>
        </w:tc>
        <w:tc>
          <w:tcPr>
            <w:tcW w:w="7745" w:type="dxa"/>
            <w:gridSpan w:val="6"/>
            <w:vAlign w:val="center"/>
          </w:tcPr>
          <w:p w14:paraId="7DC75CD4" w14:textId="12B6691A" w:rsidR="00D125D2" w:rsidRPr="00E60B12" w:rsidRDefault="00D125D2" w:rsidP="00886A4E">
            <w:pPr>
              <w:autoSpaceDE w:val="0"/>
              <w:autoSpaceDN w:val="0"/>
              <w:adjustRightInd w:val="0"/>
              <w:rPr>
                <w:rFonts w:ascii="Arial Narrow" w:hAnsi="Arial Narrow" w:cs="Arial Narrow"/>
                <w:sz w:val="20"/>
                <w:szCs w:val="20"/>
              </w:rPr>
            </w:pPr>
            <w:r w:rsidRPr="00E60B12">
              <w:rPr>
                <w:rFonts w:ascii="Arial Narrow" w:hAnsi="Arial Narrow" w:cs="Arial Narrow"/>
                <w:sz w:val="20"/>
                <w:szCs w:val="20"/>
              </w:rPr>
              <w:t>Must be treated by a consultant physician [general medicine specialising in gastroenterology (code 82)].</w:t>
            </w:r>
          </w:p>
        </w:tc>
      </w:tr>
      <w:tr w:rsidR="0037570E" w:rsidRPr="00A3494F" w14:paraId="0F3E14F8"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E9D4623" w14:textId="0AF5BA2E"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62987E9C"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37570E" w:rsidRPr="00A3494F" w14:paraId="27241D84"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BB72FF4" w14:textId="0FF438E0"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1DB796E2" w14:textId="74C2D62B" w:rsidR="0037570E" w:rsidRPr="00A3494F" w:rsidRDefault="004A5AF3" w:rsidP="00886A4E">
            <w:pPr>
              <w:rPr>
                <w:rFonts w:ascii="Arial Narrow" w:hAnsi="Arial Narrow"/>
                <w:color w:val="333333"/>
                <w:sz w:val="20"/>
                <w:szCs w:val="20"/>
              </w:rPr>
            </w:pPr>
            <w:r w:rsidRPr="004C07DA">
              <w:rPr>
                <w:rFonts w:ascii="Arial Narrow" w:hAnsi="Arial Narrow"/>
                <w:sz w:val="20"/>
                <w:szCs w:val="20"/>
              </w:rPr>
              <w:t xml:space="preserve">Patient must be </w:t>
            </w:r>
            <w:r>
              <w:rPr>
                <w:rFonts w:ascii="Arial Narrow" w:hAnsi="Arial Narrow"/>
                <w:sz w:val="20"/>
                <w:szCs w:val="20"/>
              </w:rPr>
              <w:t>at least 18 years of age</w:t>
            </w:r>
          </w:p>
        </w:tc>
      </w:tr>
      <w:tr w:rsidR="0037570E" w:rsidRPr="00A3494F" w14:paraId="16240DAA"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65E2E23" w14:textId="77777777" w:rsidR="0037570E" w:rsidRPr="00A3494F" w:rsidRDefault="0037570E" w:rsidP="00886A4E">
            <w:pPr>
              <w:rPr>
                <w:rFonts w:ascii="Arial Narrow" w:hAnsi="Arial Narrow"/>
                <w:color w:val="333333"/>
                <w:sz w:val="20"/>
                <w:szCs w:val="20"/>
              </w:rPr>
            </w:pPr>
          </w:p>
        </w:tc>
        <w:tc>
          <w:tcPr>
            <w:tcW w:w="7745" w:type="dxa"/>
            <w:gridSpan w:val="6"/>
            <w:vAlign w:val="center"/>
            <w:hideMark/>
          </w:tcPr>
          <w:p w14:paraId="061CB71B" w14:textId="7FDDB4B1" w:rsidR="0037570E" w:rsidRPr="00A3494F" w:rsidRDefault="0037570E" w:rsidP="00886A4E">
            <w:pPr>
              <w:rPr>
                <w:rFonts w:ascii="Arial Narrow" w:hAnsi="Arial Narrow"/>
                <w:b/>
                <w:bCs/>
                <w:strike/>
                <w:color w:val="333333"/>
                <w:sz w:val="20"/>
                <w:szCs w:val="20"/>
              </w:rPr>
            </w:pPr>
            <w:r w:rsidRPr="00A3494F">
              <w:rPr>
                <w:rFonts w:ascii="Arial Narrow" w:hAnsi="Arial Narrow"/>
                <w:b/>
                <w:bCs/>
                <w:color w:val="333333"/>
                <w:sz w:val="20"/>
                <w:szCs w:val="20"/>
              </w:rPr>
              <w:t>Prescribing Instructions:</w:t>
            </w:r>
          </w:p>
          <w:p w14:paraId="16A937BD" w14:textId="35F7215E" w:rsidR="0037570E" w:rsidRPr="00E60B12" w:rsidRDefault="0037570E" w:rsidP="00886A4E">
            <w:pPr>
              <w:rPr>
                <w:rFonts w:ascii="Arial Narrow" w:hAnsi="Arial Narrow"/>
                <w:color w:val="333333"/>
                <w:sz w:val="20"/>
                <w:szCs w:val="20"/>
              </w:rPr>
            </w:pPr>
            <w:r w:rsidRPr="00E60B12">
              <w:rPr>
                <w:rFonts w:ascii="Arial Narrow" w:hAnsi="Arial Narrow"/>
                <w:color w:val="333333"/>
                <w:sz w:val="20"/>
                <w:szCs w:val="20"/>
              </w:rPr>
              <w:t>The authority application must be made in writing and must include:</w:t>
            </w:r>
          </w:p>
          <w:p w14:paraId="74CC1896" w14:textId="64C7F2FB" w:rsidR="0037570E" w:rsidRPr="00E60B12" w:rsidRDefault="0037570E" w:rsidP="00886A4E">
            <w:pPr>
              <w:rPr>
                <w:rFonts w:ascii="Arial Narrow" w:hAnsi="Arial Narrow"/>
                <w:color w:val="333333"/>
                <w:sz w:val="20"/>
                <w:szCs w:val="20"/>
              </w:rPr>
            </w:pPr>
            <w:r w:rsidRPr="00E60B12">
              <w:rPr>
                <w:rFonts w:ascii="Arial Narrow" w:hAnsi="Arial Narrow"/>
                <w:color w:val="333333"/>
                <w:sz w:val="20"/>
                <w:szCs w:val="20"/>
              </w:rPr>
              <w:t>(1) a completed authority prescription form; and</w:t>
            </w:r>
          </w:p>
          <w:p w14:paraId="54D824E8" w14:textId="25D3C950" w:rsidR="0037570E" w:rsidRPr="00E60B12" w:rsidRDefault="0037570E" w:rsidP="00886A4E">
            <w:pPr>
              <w:rPr>
                <w:rFonts w:ascii="Arial Narrow" w:hAnsi="Arial Narrow"/>
                <w:color w:val="333333"/>
                <w:sz w:val="20"/>
                <w:szCs w:val="20"/>
              </w:rPr>
            </w:pPr>
            <w:r w:rsidRPr="00E60B12">
              <w:rPr>
                <w:rFonts w:ascii="Arial Narrow" w:hAnsi="Arial Narrow"/>
                <w:color w:val="333333"/>
                <w:sz w:val="20"/>
                <w:szCs w:val="20"/>
              </w:rPr>
              <w:t>(2) a completed authority application form relevant to the indication and treatment phase (the latest version is located on the website specified in the Administrative Advice), which includes:</w:t>
            </w:r>
          </w:p>
          <w:p w14:paraId="030CC036"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(i) the completed current Mayo clinic or partial Mayo clinic calculation sheet including the date of assessment of the patient's condition if relevant; and</w:t>
            </w:r>
          </w:p>
          <w:p w14:paraId="1B36889F"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(ii) the details of prior biological medicine treatment including the details of date and duration of treatment.</w:t>
            </w:r>
          </w:p>
        </w:tc>
      </w:tr>
      <w:tr w:rsidR="0037570E" w:rsidRPr="00A3494F" w14:paraId="3044CDF5"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331758A" w14:textId="72E4F647"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5B7709F2" w14:textId="77777777"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00C56874" w14:textId="77777777"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An assessment of a patient's response to this initial course of treatment must be conducted 12 weeks after initial dose.</w:t>
            </w:r>
          </w:p>
        </w:tc>
      </w:tr>
      <w:tr w:rsidR="0037570E" w:rsidRPr="00A3494F" w14:paraId="46E92AD4"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A9E0319" w14:textId="54C8F435" w:rsidR="0037570E" w:rsidRPr="00A3494F" w:rsidRDefault="0037570E" w:rsidP="004A5AF3">
            <w:pPr>
              <w:jc w:val="center"/>
              <w:rPr>
                <w:rFonts w:ascii="Arial Narrow" w:hAnsi="Arial Narrow"/>
                <w:color w:val="333333"/>
                <w:sz w:val="20"/>
                <w:szCs w:val="20"/>
              </w:rPr>
            </w:pPr>
          </w:p>
        </w:tc>
        <w:tc>
          <w:tcPr>
            <w:tcW w:w="7745" w:type="dxa"/>
            <w:gridSpan w:val="6"/>
            <w:vAlign w:val="center"/>
          </w:tcPr>
          <w:p w14:paraId="7AE9CC47" w14:textId="765141EE"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465F0900" w14:textId="719F2B1A" w:rsidR="0037570E" w:rsidRPr="00A3494F" w:rsidRDefault="0037570E" w:rsidP="00886A4E">
            <w:pPr>
              <w:rPr>
                <w:rFonts w:ascii="Arial Narrow" w:hAnsi="Arial Narrow"/>
                <w:color w:val="333333"/>
                <w:sz w:val="20"/>
                <w:szCs w:val="20"/>
              </w:rPr>
            </w:pPr>
            <w:r w:rsidRPr="00A3494F">
              <w:rPr>
                <w:rFonts w:ascii="Arial Narrow" w:hAnsi="Arial Narrow"/>
                <w:color w:val="333333"/>
                <w:sz w:val="20"/>
                <w:szCs w:val="20"/>
              </w:rPr>
              <w:t>If patients do not have adequate therapeutic response at Week 12 after induction dosing,</w:t>
            </w:r>
            <w:r w:rsidRPr="00E60B12">
              <w:rPr>
                <w:rFonts w:ascii="Arial Narrow" w:hAnsi="Arial Narrow"/>
                <w:color w:val="333333"/>
                <w:sz w:val="20"/>
                <w:szCs w:val="20"/>
              </w:rPr>
              <w:t xml:space="preserve"> additional doses to extend induction treatment to 20 weeks can be accessed through the balance of supply (IV infusion to occur at week 12,16 and 20.) An assessment of a patient’s response to extended induction treatment must be made no later than 4 weeks from the last induction dose.</w:t>
            </w:r>
          </w:p>
        </w:tc>
      </w:tr>
      <w:tr w:rsidR="0037570E" w:rsidRPr="00A3494F" w14:paraId="7CE733F0"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125A0F7" w14:textId="3C4D7D2E"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4B9D2428" w14:textId="7A69AD07" w:rsidR="0037570E" w:rsidRPr="00E60B12" w:rsidRDefault="0037570E" w:rsidP="00886A4E">
            <w:pPr>
              <w:rPr>
                <w:rFonts w:ascii="Arial Narrow" w:hAnsi="Arial Narrow"/>
                <w:b/>
                <w:bCs/>
                <w:color w:val="333333"/>
                <w:sz w:val="20"/>
                <w:szCs w:val="20"/>
              </w:rPr>
            </w:pPr>
            <w:r w:rsidRPr="00E60B12">
              <w:rPr>
                <w:rFonts w:ascii="Arial Narrow" w:hAnsi="Arial Narrow"/>
                <w:b/>
                <w:bCs/>
                <w:color w:val="333333"/>
                <w:sz w:val="20"/>
                <w:szCs w:val="20"/>
              </w:rPr>
              <w:t xml:space="preserve">Prescribing Instructions: </w:t>
            </w:r>
          </w:p>
          <w:p w14:paraId="6680F942" w14:textId="77777777" w:rsidR="0037570E" w:rsidRPr="00A3494F" w:rsidRDefault="0037570E" w:rsidP="00886A4E">
            <w:pPr>
              <w:rPr>
                <w:rFonts w:ascii="Arial Narrow" w:hAnsi="Arial Narrow"/>
                <w:sz w:val="20"/>
                <w:szCs w:val="20"/>
              </w:rPr>
            </w:pPr>
            <w:r w:rsidRPr="00A3494F">
              <w:rPr>
                <w:rFonts w:ascii="Arial Narrow" w:hAnsi="Arial Narrow"/>
                <w:sz w:val="20"/>
                <w:szCs w:val="20"/>
              </w:rPr>
              <w:t>An application for a patient who has received PBS-subsidised biological medicine treatment for this condition who wishes to change or recommence therapy with this drug, must be accompanied by evidence of a response to the patient's most recent course of PBS-subsidised biological medicine treatment, within the timeframes specified below.</w:t>
            </w:r>
          </w:p>
        </w:tc>
      </w:tr>
      <w:tr w:rsidR="0037570E" w:rsidRPr="00A3494F" w14:paraId="74619AE0"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08148FC" w14:textId="03C82515"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2AD9E4C9" w14:textId="77777777" w:rsidR="0037570E" w:rsidRPr="00E60B12" w:rsidRDefault="0037570E" w:rsidP="00886A4E">
            <w:pPr>
              <w:rPr>
                <w:rFonts w:ascii="Arial Narrow" w:hAnsi="Arial Narrow"/>
                <w:b/>
                <w:bCs/>
                <w:color w:val="333333"/>
                <w:sz w:val="20"/>
                <w:szCs w:val="20"/>
              </w:rPr>
            </w:pPr>
            <w:r w:rsidRPr="00E60B12">
              <w:rPr>
                <w:rFonts w:ascii="Arial Narrow" w:hAnsi="Arial Narrow"/>
                <w:b/>
                <w:bCs/>
                <w:color w:val="333333"/>
                <w:sz w:val="20"/>
                <w:szCs w:val="20"/>
              </w:rPr>
              <w:t xml:space="preserve">Prescribing Instructions: </w:t>
            </w:r>
          </w:p>
          <w:p w14:paraId="042AADFE" w14:textId="77777777" w:rsidR="0037570E" w:rsidRPr="00A3494F" w:rsidRDefault="0037570E" w:rsidP="00886A4E">
            <w:pPr>
              <w:rPr>
                <w:rFonts w:ascii="Arial Narrow" w:hAnsi="Arial Narrow"/>
                <w:b/>
                <w:bCs/>
                <w:i/>
                <w:iCs/>
                <w:strike/>
                <w:color w:val="333333"/>
                <w:sz w:val="20"/>
                <w:szCs w:val="20"/>
              </w:rPr>
            </w:pPr>
            <w:r w:rsidRPr="00E60B12">
              <w:rPr>
                <w:rFonts w:ascii="Arial Narrow" w:hAnsi="Arial Narrow"/>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37570E" w:rsidRPr="00A3494F" w14:paraId="2AA7E91D"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7F66A7" w14:textId="3043422A"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3592086F" w14:textId="77777777" w:rsidR="0037570E" w:rsidRPr="00E60B12" w:rsidRDefault="0037570E" w:rsidP="00886A4E">
            <w:pPr>
              <w:rPr>
                <w:rFonts w:ascii="Arial Narrow" w:hAnsi="Arial Narrow"/>
                <w:b/>
                <w:bCs/>
                <w:color w:val="333333"/>
                <w:sz w:val="20"/>
                <w:szCs w:val="20"/>
              </w:rPr>
            </w:pPr>
            <w:r w:rsidRPr="00E60B12">
              <w:rPr>
                <w:rFonts w:ascii="Arial Narrow" w:hAnsi="Arial Narrow"/>
                <w:b/>
                <w:bCs/>
                <w:color w:val="333333"/>
                <w:sz w:val="20"/>
                <w:szCs w:val="20"/>
              </w:rPr>
              <w:t>Prescribing Instructions:</w:t>
            </w:r>
          </w:p>
          <w:p w14:paraId="3E5A5627" w14:textId="77777777" w:rsidR="0037570E" w:rsidRPr="00A3494F" w:rsidRDefault="0037570E" w:rsidP="00886A4E">
            <w:pPr>
              <w:rPr>
                <w:rFonts w:ascii="Arial Narrow" w:hAnsi="Arial Narrow"/>
                <w:color w:val="333333"/>
                <w:sz w:val="20"/>
                <w:szCs w:val="20"/>
              </w:rPr>
            </w:pPr>
            <w:r w:rsidRPr="00E60B12">
              <w:rPr>
                <w:rFonts w:ascii="Arial Narrow" w:hAnsi="Arial Narrow"/>
                <w:color w:val="333333"/>
                <w:sz w:val="20"/>
                <w:szCs w:val="20"/>
              </w:rPr>
              <w:t>If a patient fails to demonstrate a response to treatment with this drug after 24 weeks of treatment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37570E" w:rsidRPr="00A3494F" w14:paraId="5472A862"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6A6DA4D" w14:textId="1F4E0D31"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4A116A81" w14:textId="5F74A31A" w:rsidR="0037570E" w:rsidRPr="00E60B12" w:rsidRDefault="0037570E" w:rsidP="00886A4E">
            <w:pPr>
              <w:rPr>
                <w:rFonts w:ascii="Arial Narrow" w:hAnsi="Arial Narrow"/>
                <w:b/>
                <w:bCs/>
                <w:color w:val="333333"/>
                <w:sz w:val="20"/>
                <w:szCs w:val="20"/>
              </w:rPr>
            </w:pPr>
            <w:r w:rsidRPr="00E60B12">
              <w:rPr>
                <w:rFonts w:ascii="Arial Narrow" w:hAnsi="Arial Narrow"/>
                <w:b/>
                <w:bCs/>
                <w:color w:val="333333"/>
                <w:sz w:val="20"/>
                <w:szCs w:val="20"/>
              </w:rPr>
              <w:t>Prescribing Instructions:</w:t>
            </w:r>
          </w:p>
          <w:p w14:paraId="192FA8FD" w14:textId="77777777" w:rsidR="0037570E" w:rsidRPr="00A3494F" w:rsidRDefault="0037570E" w:rsidP="00886A4E">
            <w:pPr>
              <w:rPr>
                <w:rFonts w:ascii="Arial Narrow" w:hAnsi="Arial Narrow"/>
                <w:b/>
                <w:bCs/>
                <w:strike/>
                <w:color w:val="333333"/>
                <w:sz w:val="20"/>
                <w:szCs w:val="20"/>
              </w:rPr>
            </w:pPr>
            <w:r w:rsidRPr="00E60B12">
              <w:rPr>
                <w:rFonts w:ascii="Arial Narrow" w:hAnsi="Arial Narrow"/>
                <w:color w:val="333333"/>
                <w:sz w:val="20"/>
                <w:szCs w:val="20"/>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4A5AF3" w:rsidRPr="00A3494F" w14:paraId="68E39EBA"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298DF3" w14:textId="105CD2AA"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51D29774" w14:textId="77777777" w:rsidR="004A5AF3" w:rsidRPr="001010E4" w:rsidRDefault="004A5AF3" w:rsidP="004A5AF3">
            <w:pPr>
              <w:rPr>
                <w:rFonts w:ascii="Arial Narrow" w:hAnsi="Arial Narrow"/>
                <w:b/>
                <w:bCs/>
                <w:sz w:val="20"/>
                <w:szCs w:val="20"/>
              </w:rPr>
            </w:pPr>
            <w:r w:rsidRPr="001010E4">
              <w:rPr>
                <w:rFonts w:ascii="Arial Narrow" w:hAnsi="Arial Narrow"/>
                <w:b/>
                <w:bCs/>
                <w:sz w:val="20"/>
                <w:szCs w:val="20"/>
              </w:rPr>
              <w:t>Prescribing Instructions:</w:t>
            </w:r>
          </w:p>
          <w:p w14:paraId="58379F35" w14:textId="55C2EA53" w:rsidR="004A5AF3" w:rsidRPr="00E60B12" w:rsidRDefault="004A5AF3" w:rsidP="004A5AF3">
            <w:pPr>
              <w:rPr>
                <w:rFonts w:ascii="Arial Narrow" w:hAnsi="Arial Narrow"/>
                <w:b/>
                <w:bCs/>
                <w:color w:val="333333"/>
                <w:sz w:val="20"/>
                <w:szCs w:val="20"/>
              </w:rPr>
            </w:pPr>
            <w:r w:rsidRPr="001010E4">
              <w:rPr>
                <w:rFonts w:ascii="Arial Narrow" w:hAnsi="Arial Narrow"/>
                <w:sz w:val="20"/>
                <w:szCs w:val="20"/>
              </w:rPr>
              <w:t>The Services Australia website (www.servicesaustralia.gov.au) has details of the toxicities, including severity, which will be accepted where one is claimed.</w:t>
            </w:r>
            <w:r>
              <w:rPr>
                <w:rFonts w:ascii="Arial Narrow" w:hAnsi="Arial Narrow"/>
                <w:sz w:val="20"/>
                <w:szCs w:val="20"/>
              </w:rPr>
              <w:t xml:space="preserve"> </w:t>
            </w:r>
          </w:p>
        </w:tc>
      </w:tr>
      <w:tr w:rsidR="004A5AF3" w:rsidRPr="00A3494F" w14:paraId="473ACF74"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6D00A3B" w14:textId="345B7EA1"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062556A6" w14:textId="77777777" w:rsidR="004A5AF3" w:rsidRPr="00A3494F" w:rsidRDefault="004A5AF3" w:rsidP="004A5AF3">
            <w:pPr>
              <w:rPr>
                <w:rFonts w:ascii="Arial Narrow" w:hAnsi="Arial Narrow"/>
                <w:bCs/>
                <w:color w:val="FF0000"/>
                <w:sz w:val="20"/>
                <w:szCs w:val="20"/>
              </w:rPr>
            </w:pPr>
            <w:r w:rsidRPr="00A3494F">
              <w:rPr>
                <w:rFonts w:ascii="Arial Narrow" w:hAnsi="Arial Narrow"/>
                <w:b/>
                <w:bCs/>
                <w:color w:val="333333"/>
                <w:sz w:val="20"/>
                <w:szCs w:val="20"/>
              </w:rPr>
              <w:t xml:space="preserve">Administrative Advice: </w:t>
            </w:r>
          </w:p>
          <w:p w14:paraId="6179D048" w14:textId="78B11225"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Any queries concerning the arrangements to prescribe may be directed to Services Australia on 1800 700 270 (hours of operation 8 a.m. to 5 p.m. Monday to Friday).</w:t>
            </w:r>
          </w:p>
          <w:p w14:paraId="193839EB"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proofErr w:type="gramStart"/>
            <w:r w:rsidRPr="00A3494F">
              <w:rPr>
                <w:rFonts w:ascii="Arial Narrow" w:hAnsi="Arial Narrow"/>
                <w:color w:val="333333"/>
                <w:sz w:val="20"/>
                <w:szCs w:val="20"/>
              </w:rPr>
              <w:t>www.servicesaustralia.gov.au</w:t>
            </w:r>
            <w:proofErr w:type="gramEnd"/>
          </w:p>
          <w:p w14:paraId="1D12A518"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 xml:space="preserve">Applications for authority to prescribe should be submitted online using the form upload facility in Health Professional Online Services (HPOS) at </w:t>
            </w:r>
            <w:proofErr w:type="gramStart"/>
            <w:r w:rsidRPr="00A3494F">
              <w:rPr>
                <w:rFonts w:ascii="Arial Narrow" w:hAnsi="Arial Narrow"/>
                <w:color w:val="333333"/>
                <w:sz w:val="20"/>
                <w:szCs w:val="20"/>
              </w:rPr>
              <w:t>www.servicesaustralia.gov.au/hpos</w:t>
            </w:r>
            <w:proofErr w:type="gramEnd"/>
          </w:p>
          <w:p w14:paraId="6F545073"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Or mailed to:</w:t>
            </w:r>
          </w:p>
          <w:p w14:paraId="109F379A"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Services Australia</w:t>
            </w:r>
          </w:p>
          <w:p w14:paraId="4724D11B"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Complex Drugs</w:t>
            </w:r>
          </w:p>
          <w:p w14:paraId="6A76E18E"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Reply Paid 9826</w:t>
            </w:r>
          </w:p>
          <w:p w14:paraId="6DB8023D" w14:textId="77777777" w:rsidR="004A5AF3" w:rsidRPr="00A3494F" w:rsidRDefault="004A5AF3" w:rsidP="004A5AF3">
            <w:pPr>
              <w:rPr>
                <w:rFonts w:ascii="Arial Narrow" w:hAnsi="Arial Narrow"/>
                <w:bCs/>
                <w:color w:val="333333"/>
                <w:sz w:val="20"/>
                <w:szCs w:val="20"/>
              </w:rPr>
            </w:pPr>
            <w:r w:rsidRPr="00A3494F">
              <w:rPr>
                <w:rFonts w:ascii="Arial Narrow" w:hAnsi="Arial Narrow"/>
                <w:color w:val="333333"/>
                <w:sz w:val="20"/>
                <w:szCs w:val="20"/>
              </w:rPr>
              <w:t>HOBART TAS 7001</w:t>
            </w:r>
          </w:p>
        </w:tc>
      </w:tr>
      <w:tr w:rsidR="004A5AF3" w:rsidRPr="00A3494F" w14:paraId="4A60E311"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6356132" w14:textId="77777777"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38DE7CA7" w14:textId="77777777" w:rsidR="004A5AF3" w:rsidRPr="00A3494F" w:rsidRDefault="004A5AF3" w:rsidP="004A5AF3">
            <w:pPr>
              <w:rPr>
                <w:rFonts w:ascii="Arial Narrow" w:hAnsi="Arial Narrow"/>
                <w:b/>
                <w:bCs/>
                <w:color w:val="333333"/>
                <w:sz w:val="20"/>
                <w:szCs w:val="20"/>
              </w:rPr>
            </w:pPr>
          </w:p>
        </w:tc>
      </w:tr>
      <w:tr w:rsidR="004A5AF3" w:rsidRPr="00A3494F" w14:paraId="6A6DF097"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1F3D933" w14:textId="77777777"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02E01ABA" w14:textId="77777777" w:rsidR="004A5AF3" w:rsidRPr="00A3494F" w:rsidRDefault="004A5AF3" w:rsidP="004A5AF3">
            <w:pPr>
              <w:rPr>
                <w:rFonts w:ascii="Arial Narrow" w:hAnsi="Arial Narrow"/>
                <w:b/>
                <w:bCs/>
                <w:color w:val="333333"/>
                <w:sz w:val="20"/>
                <w:szCs w:val="20"/>
              </w:rPr>
            </w:pPr>
          </w:p>
        </w:tc>
      </w:tr>
      <w:tr w:rsidR="004A5AF3" w:rsidRPr="00A3494F" w14:paraId="0A3FBD70" w14:textId="77777777" w:rsidTr="0037570E">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16B3C957" w14:textId="03861087" w:rsidR="004A5AF3" w:rsidRPr="00A3494F" w:rsidRDefault="004A5AF3" w:rsidP="004A5AF3">
            <w:pPr>
              <w:keepNext/>
              <w:keepLines/>
              <w:rPr>
                <w:rFonts w:ascii="Arial Narrow" w:hAnsi="Arial Narrow"/>
                <w:b/>
                <w:bCs/>
                <w:color w:val="333333"/>
                <w:sz w:val="20"/>
                <w:szCs w:val="20"/>
              </w:rPr>
            </w:pPr>
            <w:r w:rsidRPr="00A3494F">
              <w:rPr>
                <w:rFonts w:ascii="Arial Narrow" w:hAnsi="Arial Narrow"/>
                <w:b/>
                <w:bCs/>
                <w:color w:val="333333"/>
                <w:sz w:val="20"/>
                <w:szCs w:val="20"/>
              </w:rPr>
              <w:t xml:space="preserve">Restriction Summary </w:t>
            </w:r>
            <w:r>
              <w:rPr>
                <w:rFonts w:ascii="Arial Narrow" w:hAnsi="Arial Narrow"/>
                <w:b/>
                <w:bCs/>
                <w:color w:val="333333"/>
                <w:sz w:val="20"/>
                <w:szCs w:val="20"/>
              </w:rPr>
              <w:t xml:space="preserve">based on </w:t>
            </w:r>
            <w:r w:rsidRPr="00A3494F">
              <w:rPr>
                <w:rFonts w:ascii="Arial Narrow" w:hAnsi="Arial Narrow"/>
                <w:b/>
                <w:bCs/>
                <w:color w:val="333333"/>
                <w:sz w:val="20"/>
                <w:szCs w:val="20"/>
              </w:rPr>
              <w:t>12079</w:t>
            </w:r>
            <w:r w:rsidRPr="00A3494F">
              <w:rPr>
                <w:rFonts w:ascii="Arial Narrow" w:hAnsi="Arial Narrow"/>
                <w:b/>
                <w:bCs/>
                <w:color w:val="FF0000"/>
                <w:sz w:val="20"/>
                <w:szCs w:val="20"/>
              </w:rPr>
              <w:t xml:space="preserve"> </w:t>
            </w:r>
            <w:r w:rsidRPr="00A3494F">
              <w:rPr>
                <w:rFonts w:ascii="Arial Narrow" w:hAnsi="Arial Narrow"/>
                <w:b/>
                <w:bCs/>
                <w:color w:val="333333"/>
                <w:sz w:val="20"/>
                <w:szCs w:val="20"/>
              </w:rPr>
              <w:t xml:space="preserve">/ Treatment of Concept: </w:t>
            </w:r>
            <w:r>
              <w:rPr>
                <w:rFonts w:ascii="Arial Narrow" w:hAnsi="Arial Narrow"/>
                <w:b/>
                <w:bCs/>
                <w:color w:val="333333"/>
                <w:sz w:val="20"/>
                <w:szCs w:val="20"/>
              </w:rPr>
              <w:t xml:space="preserve">based on </w:t>
            </w:r>
            <w:r w:rsidRPr="00A3494F">
              <w:rPr>
                <w:rFonts w:ascii="Arial Narrow" w:hAnsi="Arial Narrow"/>
                <w:b/>
                <w:bCs/>
                <w:color w:val="333333"/>
                <w:sz w:val="20"/>
                <w:szCs w:val="20"/>
              </w:rPr>
              <w:t>12219</w:t>
            </w:r>
            <w:r w:rsidRPr="00A3494F">
              <w:rPr>
                <w:rFonts w:ascii="Arial Narrow" w:hAnsi="Arial Narrow"/>
                <w:b/>
                <w:bCs/>
                <w:color w:val="FF0000"/>
                <w:sz w:val="20"/>
                <w:szCs w:val="20"/>
              </w:rPr>
              <w:t xml:space="preserve"> </w:t>
            </w:r>
          </w:p>
        </w:tc>
      </w:tr>
      <w:tr w:rsidR="004A5AF3" w:rsidRPr="00A3494F" w14:paraId="7FE0016F"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Merge w:val="restart"/>
            <w:tcBorders>
              <w:top w:val="single" w:sz="4" w:space="0" w:color="auto"/>
              <w:left w:val="single" w:sz="4" w:space="0" w:color="auto"/>
              <w:right w:val="single" w:sz="4" w:space="0" w:color="auto"/>
            </w:tcBorders>
          </w:tcPr>
          <w:p w14:paraId="4A533952" w14:textId="1C0AA483" w:rsidR="004A5AF3" w:rsidRPr="00A3494F" w:rsidRDefault="004A5AF3" w:rsidP="004A5AF3">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5CACB23" w14:textId="77777777" w:rsidR="004A5AF3" w:rsidRPr="00A3494F" w:rsidRDefault="004A5AF3" w:rsidP="004A5AF3">
            <w:pPr>
              <w:keepNext/>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sz w:val="20"/>
                <w:szCs w:val="20"/>
              </w:rPr>
              <w:t>Section 100 – Highly Specialised Drugs Program</w:t>
            </w:r>
          </w:p>
        </w:tc>
      </w:tr>
      <w:tr w:rsidR="004A5AF3" w:rsidRPr="00A3494F" w14:paraId="18303660"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right w:val="single" w:sz="4" w:space="0" w:color="auto"/>
            </w:tcBorders>
          </w:tcPr>
          <w:p w14:paraId="4FA40C1D" w14:textId="77777777" w:rsidR="004A5AF3" w:rsidRPr="00A3494F" w:rsidRDefault="004A5AF3" w:rsidP="004A5AF3">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3719A10" w14:textId="77777777" w:rsidR="004A5AF3" w:rsidRPr="00A3494F" w:rsidRDefault="004A5AF3" w:rsidP="004A5AF3">
            <w:pPr>
              <w:keepNext/>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4A5AF3" w:rsidRPr="00A3494F" w14:paraId="065568A4"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bottom w:val="single" w:sz="4" w:space="0" w:color="auto"/>
              <w:right w:val="single" w:sz="4" w:space="0" w:color="auto"/>
            </w:tcBorders>
          </w:tcPr>
          <w:p w14:paraId="0CA2BD32" w14:textId="77777777" w:rsidR="004A5AF3" w:rsidRPr="00A3494F" w:rsidRDefault="004A5AF3" w:rsidP="004A5AF3">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A40E31B" w14:textId="77777777" w:rsidR="004A5AF3" w:rsidRPr="00A3494F" w:rsidRDefault="004A5AF3" w:rsidP="004A5AF3">
            <w:pPr>
              <w:keepNext/>
              <w:keepLines/>
              <w:rPr>
                <w:rFonts w:ascii="Arial Narrow" w:eastAsia="Calibri" w:hAnsi="Arial Narrow"/>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(in writing only via post/HPOS upload) </w:t>
            </w:r>
          </w:p>
        </w:tc>
      </w:tr>
      <w:tr w:rsidR="004A5AF3" w:rsidRPr="00A3494F" w14:paraId="5ABDDB49"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59C094A" w14:textId="5F55FCC5"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1E1D07B8" w14:textId="77777777" w:rsidR="004A5AF3" w:rsidRPr="00A3494F" w:rsidRDefault="004A5AF3" w:rsidP="004A5AF3">
            <w:pPr>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4A5AF3" w:rsidRPr="00A3494F" w14:paraId="7CA60D2B"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0925743" w14:textId="77777777"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492A73B7" w14:textId="77777777" w:rsidR="004A5AF3" w:rsidRPr="00A3494F" w:rsidRDefault="004A5AF3" w:rsidP="004A5AF3">
            <w:pPr>
              <w:rPr>
                <w:rFonts w:ascii="Arial Narrow" w:hAnsi="Arial Narrow"/>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sz w:val="20"/>
                <w:szCs w:val="20"/>
              </w:rPr>
              <w:t>Initial treatment - Initial 3 (recommencement of treatment after a break in biological medicine of more than 5 years)</w:t>
            </w:r>
          </w:p>
        </w:tc>
      </w:tr>
      <w:tr w:rsidR="004A5AF3" w:rsidRPr="00A3494F" w14:paraId="4BD0EDCC"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95414B9" w14:textId="00CF00D7"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79ABB879" w14:textId="77777777" w:rsidR="004A5AF3" w:rsidRPr="00A3494F" w:rsidRDefault="004A5AF3" w:rsidP="004A5AF3">
            <w:pPr>
              <w:rPr>
                <w:rFonts w:ascii="Arial Narrow" w:hAnsi="Arial Narrow"/>
                <w:sz w:val="20"/>
                <w:szCs w:val="20"/>
              </w:rPr>
            </w:pPr>
            <w:r w:rsidRPr="00A3494F">
              <w:rPr>
                <w:rFonts w:ascii="Arial Narrow" w:hAnsi="Arial Narrow"/>
                <w:b/>
                <w:bCs/>
                <w:color w:val="333333"/>
                <w:sz w:val="20"/>
                <w:szCs w:val="20"/>
              </w:rPr>
              <w:t>Clinical criteria:</w:t>
            </w:r>
          </w:p>
        </w:tc>
      </w:tr>
      <w:tr w:rsidR="004A5AF3" w:rsidRPr="00A3494F" w14:paraId="6CDA48B9"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93F7E0F" w14:textId="205FE178"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03D3BBDA"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 xml:space="preserve">Patient must have previously received PBS-subsidised treatment with a biological medicine for this condition, </w:t>
            </w:r>
          </w:p>
        </w:tc>
      </w:tr>
      <w:tr w:rsidR="004A5AF3" w:rsidRPr="00A3494F" w14:paraId="3E367294"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D24D9B2" w14:textId="77777777"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59C03823" w14:textId="77777777" w:rsidR="004A5AF3" w:rsidRPr="00A3494F" w:rsidRDefault="004A5AF3" w:rsidP="004A5AF3">
            <w:pPr>
              <w:rPr>
                <w:rFonts w:ascii="Arial Narrow" w:hAnsi="Arial Narrow"/>
                <w:color w:val="333333"/>
                <w:sz w:val="20"/>
                <w:szCs w:val="20"/>
              </w:rPr>
            </w:pPr>
            <w:r w:rsidRPr="00A3494F">
              <w:rPr>
                <w:rFonts w:ascii="Arial Narrow" w:hAnsi="Arial Narrow"/>
                <w:b/>
                <w:bCs/>
                <w:color w:val="333333"/>
                <w:sz w:val="20"/>
                <w:szCs w:val="20"/>
              </w:rPr>
              <w:t>AND</w:t>
            </w:r>
          </w:p>
        </w:tc>
      </w:tr>
      <w:tr w:rsidR="004A5AF3" w:rsidRPr="00A3494F" w14:paraId="5B42D3D9"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D665C4" w14:textId="19597643"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410AED6A" w14:textId="77777777" w:rsidR="004A5AF3" w:rsidRPr="00A3494F" w:rsidRDefault="004A5AF3" w:rsidP="004A5AF3">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4A5AF3" w:rsidRPr="00A3494F" w14:paraId="178DAA49"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DC60B98" w14:textId="181ABA20"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21B77EF1"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 xml:space="preserve">Patient must have had a break in treatment of 5 years or more from the most recently approved PBS-subsidised biological medicine for this condition, </w:t>
            </w:r>
          </w:p>
        </w:tc>
      </w:tr>
      <w:tr w:rsidR="004A5AF3" w:rsidRPr="00A3494F" w14:paraId="08502ADA"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0CA77FB" w14:textId="77777777"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62699A45" w14:textId="77777777" w:rsidR="004A5AF3" w:rsidRPr="00A3494F" w:rsidRDefault="004A5AF3" w:rsidP="004A5AF3">
            <w:pPr>
              <w:rPr>
                <w:rFonts w:ascii="Arial Narrow" w:hAnsi="Arial Narrow"/>
                <w:color w:val="333333"/>
                <w:sz w:val="20"/>
                <w:szCs w:val="20"/>
              </w:rPr>
            </w:pPr>
            <w:r w:rsidRPr="00A3494F">
              <w:rPr>
                <w:rFonts w:ascii="Arial Narrow" w:hAnsi="Arial Narrow"/>
                <w:b/>
                <w:bCs/>
                <w:color w:val="333333"/>
                <w:sz w:val="20"/>
                <w:szCs w:val="20"/>
              </w:rPr>
              <w:t>AND</w:t>
            </w:r>
          </w:p>
        </w:tc>
      </w:tr>
      <w:tr w:rsidR="004A5AF3" w:rsidRPr="00A3494F" w14:paraId="1DD45FA1"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688A240" w14:textId="54632E49"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42C51571" w14:textId="77777777" w:rsidR="004A5AF3" w:rsidRPr="00A3494F" w:rsidRDefault="004A5AF3" w:rsidP="004A5AF3">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4A5AF3" w:rsidRPr="00A3494F" w14:paraId="11228147"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7655337" w14:textId="7BF381BE"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053659DF" w14:textId="586B64B1"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 xml:space="preserve">Patient must have a Mayo clinic score greater than or equal to 6; </w:t>
            </w:r>
            <w:r>
              <w:rPr>
                <w:rFonts w:ascii="Arial Narrow" w:hAnsi="Arial Narrow"/>
                <w:color w:val="333333"/>
                <w:sz w:val="20"/>
                <w:szCs w:val="20"/>
              </w:rPr>
              <w:t>OR</w:t>
            </w:r>
          </w:p>
        </w:tc>
      </w:tr>
      <w:tr w:rsidR="004A5AF3" w:rsidRPr="00A3494F" w14:paraId="2DD08A86"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28596FE" w14:textId="47C548AA"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79FE5A06"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Patient must have a partial Mayo clinic score greater than or equal to 6, provided the rectal bleeding and stool frequency subscores are both greater than or equal to 2 (endoscopy subscore is not required for a partial Mayo clinic score).</w:t>
            </w:r>
          </w:p>
        </w:tc>
      </w:tr>
      <w:tr w:rsidR="004A5AF3" w:rsidRPr="00A3494F" w14:paraId="5D79A3C8"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45EF159" w14:textId="7681784C" w:rsidR="004A5AF3" w:rsidRPr="00A3494F" w:rsidRDefault="004A5AF3" w:rsidP="004A5AF3">
            <w:pPr>
              <w:keepNext/>
              <w:jc w:val="center"/>
              <w:rPr>
                <w:rFonts w:ascii="Arial Narrow" w:hAnsi="Arial Narrow"/>
                <w:color w:val="333333"/>
                <w:sz w:val="20"/>
                <w:szCs w:val="20"/>
              </w:rPr>
            </w:pPr>
          </w:p>
        </w:tc>
        <w:tc>
          <w:tcPr>
            <w:tcW w:w="7745" w:type="dxa"/>
            <w:gridSpan w:val="6"/>
            <w:vAlign w:val="center"/>
            <w:hideMark/>
          </w:tcPr>
          <w:p w14:paraId="395DC5CA" w14:textId="77777777" w:rsidR="004A5AF3" w:rsidRPr="00A3494F" w:rsidRDefault="004A5AF3" w:rsidP="004A5AF3">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4A5AF3" w:rsidRPr="00A3494F" w14:paraId="0147AA45"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5E874FC" w14:textId="5FF0F3F1"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27159025" w14:textId="7BDC2473" w:rsidR="004A5AF3" w:rsidRPr="00A3494F" w:rsidRDefault="004A5AF3" w:rsidP="004A5AF3">
            <w:pPr>
              <w:autoSpaceDE w:val="0"/>
              <w:autoSpaceDN w:val="0"/>
              <w:adjustRightInd w:val="0"/>
              <w:rPr>
                <w:rFonts w:ascii="Arial Narrow" w:hAnsi="Arial Narrow" w:cs="Arial Narrow"/>
                <w:i/>
                <w:iCs/>
                <w:sz w:val="20"/>
                <w:szCs w:val="20"/>
              </w:rPr>
            </w:pPr>
            <w:r w:rsidRPr="00E60B12">
              <w:rPr>
                <w:rFonts w:ascii="Arial Narrow" w:hAnsi="Arial Narrow" w:cs="Arial Narrow"/>
                <w:sz w:val="20"/>
                <w:szCs w:val="20"/>
              </w:rPr>
              <w:t xml:space="preserve">Must be treated by a gastroenterologist [code 87]; OR </w:t>
            </w:r>
          </w:p>
        </w:tc>
      </w:tr>
      <w:tr w:rsidR="004A5AF3" w:rsidRPr="00A3494F" w14:paraId="36547F9A"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9052607" w14:textId="77777777"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25909297" w14:textId="1A230B18" w:rsidR="004A5AF3" w:rsidRPr="00E60B12" w:rsidRDefault="004A5AF3" w:rsidP="004A5AF3">
            <w:pPr>
              <w:autoSpaceDE w:val="0"/>
              <w:autoSpaceDN w:val="0"/>
              <w:adjustRightInd w:val="0"/>
              <w:rPr>
                <w:rFonts w:ascii="Arial Narrow" w:hAnsi="Arial Narrow" w:cs="Arial Narrow"/>
                <w:sz w:val="20"/>
                <w:szCs w:val="20"/>
              </w:rPr>
            </w:pPr>
            <w:r w:rsidRPr="00E60B12">
              <w:rPr>
                <w:rFonts w:ascii="Arial Narrow" w:hAnsi="Arial Narrow" w:cs="Arial Narrow"/>
                <w:sz w:val="20"/>
                <w:szCs w:val="20"/>
              </w:rPr>
              <w:t xml:space="preserve">Must be treated by a consultant physician [internal medicine specialising in gastroenterology (code 81)]; OR </w:t>
            </w:r>
          </w:p>
        </w:tc>
      </w:tr>
      <w:tr w:rsidR="004A5AF3" w:rsidRPr="00A3494F" w14:paraId="62DFC027"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3EF954A" w14:textId="49472468"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593F0CED" w14:textId="6DB7803D" w:rsidR="004A5AF3" w:rsidRPr="00E60B12" w:rsidRDefault="004A5AF3" w:rsidP="004A5AF3">
            <w:pPr>
              <w:autoSpaceDE w:val="0"/>
              <w:autoSpaceDN w:val="0"/>
              <w:adjustRightInd w:val="0"/>
              <w:rPr>
                <w:rFonts w:ascii="Arial Narrow" w:hAnsi="Arial Narrow" w:cs="Arial Narrow"/>
                <w:sz w:val="20"/>
                <w:szCs w:val="20"/>
              </w:rPr>
            </w:pPr>
            <w:r w:rsidRPr="00E60B12">
              <w:rPr>
                <w:rFonts w:ascii="Arial Narrow" w:hAnsi="Arial Narrow" w:cs="Arial Narrow"/>
                <w:sz w:val="20"/>
                <w:szCs w:val="20"/>
              </w:rPr>
              <w:t>Must be treated by a consultant physician [general medicine specialising in gastroenterology (code 82)].</w:t>
            </w:r>
          </w:p>
        </w:tc>
      </w:tr>
      <w:tr w:rsidR="004A5AF3" w:rsidRPr="00A3494F" w14:paraId="47BA03B3"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55BCFD7" w14:textId="494C9527"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1E413C7B" w14:textId="77777777" w:rsidR="004A5AF3" w:rsidRPr="00A3494F" w:rsidRDefault="004A5AF3" w:rsidP="004A5AF3">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4A5AF3" w:rsidRPr="00A3494F" w14:paraId="2ADC8CC3"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62CD763" w14:textId="1A02DE2D"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414FBB98" w14:textId="51704032" w:rsidR="004A5AF3" w:rsidRPr="00A3494F" w:rsidRDefault="004A5AF3" w:rsidP="004A5AF3">
            <w:pPr>
              <w:rPr>
                <w:rFonts w:ascii="Arial Narrow" w:hAnsi="Arial Narrow"/>
                <w:color w:val="333333"/>
                <w:sz w:val="20"/>
                <w:szCs w:val="20"/>
              </w:rPr>
            </w:pPr>
            <w:r w:rsidRPr="004C07DA">
              <w:rPr>
                <w:rFonts w:ascii="Arial Narrow" w:hAnsi="Arial Narrow"/>
                <w:sz w:val="20"/>
                <w:szCs w:val="20"/>
              </w:rPr>
              <w:t xml:space="preserve">Patient must be </w:t>
            </w:r>
            <w:r>
              <w:rPr>
                <w:rFonts w:ascii="Arial Narrow" w:hAnsi="Arial Narrow"/>
                <w:sz w:val="20"/>
                <w:szCs w:val="20"/>
              </w:rPr>
              <w:t>at least 18 years of age</w:t>
            </w:r>
          </w:p>
        </w:tc>
      </w:tr>
      <w:tr w:rsidR="004A5AF3" w:rsidRPr="00A3494F" w14:paraId="38582111"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4A342EA" w14:textId="7F4E5526" w:rsidR="004A5AF3" w:rsidRPr="00A3494F" w:rsidRDefault="004A5AF3" w:rsidP="004A5AF3">
            <w:pPr>
              <w:jc w:val="center"/>
              <w:rPr>
                <w:rFonts w:ascii="Arial Narrow" w:hAnsi="Arial Narrow"/>
                <w:color w:val="333333"/>
                <w:sz w:val="20"/>
                <w:szCs w:val="20"/>
              </w:rPr>
            </w:pPr>
          </w:p>
        </w:tc>
        <w:tc>
          <w:tcPr>
            <w:tcW w:w="7745" w:type="dxa"/>
            <w:gridSpan w:val="6"/>
            <w:vAlign w:val="center"/>
            <w:hideMark/>
          </w:tcPr>
          <w:p w14:paraId="764AE704" w14:textId="73E1E94C" w:rsidR="004A5AF3" w:rsidRPr="00E60B12" w:rsidRDefault="004A5AF3" w:rsidP="004A5AF3">
            <w:pPr>
              <w:rPr>
                <w:rFonts w:ascii="Arial Narrow" w:hAnsi="Arial Narrow"/>
                <w:b/>
                <w:bCs/>
                <w:color w:val="333333"/>
                <w:sz w:val="20"/>
                <w:szCs w:val="20"/>
              </w:rPr>
            </w:pPr>
            <w:r w:rsidRPr="00E60B12">
              <w:rPr>
                <w:rFonts w:ascii="Arial Narrow" w:hAnsi="Arial Narrow"/>
                <w:b/>
                <w:bCs/>
                <w:color w:val="333333"/>
                <w:sz w:val="20"/>
                <w:szCs w:val="20"/>
              </w:rPr>
              <w:t xml:space="preserve">Prescribing Instructions: </w:t>
            </w:r>
          </w:p>
          <w:p w14:paraId="328D86C1" w14:textId="2D24D07D" w:rsidR="004A5AF3" w:rsidRPr="00E60B12" w:rsidRDefault="004A5AF3" w:rsidP="004A5AF3">
            <w:pPr>
              <w:rPr>
                <w:rFonts w:ascii="Arial Narrow" w:hAnsi="Arial Narrow"/>
                <w:color w:val="333333"/>
                <w:sz w:val="20"/>
                <w:szCs w:val="20"/>
              </w:rPr>
            </w:pPr>
            <w:r w:rsidRPr="00E60B12">
              <w:rPr>
                <w:rFonts w:ascii="Arial Narrow" w:hAnsi="Arial Narrow"/>
                <w:color w:val="333333"/>
                <w:sz w:val="20"/>
                <w:szCs w:val="20"/>
              </w:rPr>
              <w:t>The authority application must be made in writing and must include:</w:t>
            </w:r>
          </w:p>
          <w:p w14:paraId="7A776F27" w14:textId="785F0BB2" w:rsidR="004A5AF3" w:rsidRPr="00E60B12" w:rsidRDefault="004A5AF3" w:rsidP="004A5AF3">
            <w:pPr>
              <w:rPr>
                <w:rFonts w:ascii="Arial Narrow" w:hAnsi="Arial Narrow"/>
                <w:color w:val="333333"/>
                <w:sz w:val="20"/>
                <w:szCs w:val="20"/>
              </w:rPr>
            </w:pPr>
            <w:r w:rsidRPr="00E60B12">
              <w:rPr>
                <w:rFonts w:ascii="Arial Narrow" w:hAnsi="Arial Narrow"/>
                <w:color w:val="333333"/>
                <w:sz w:val="20"/>
                <w:szCs w:val="20"/>
              </w:rPr>
              <w:t>(1) a completed authority prescription form; and</w:t>
            </w:r>
          </w:p>
          <w:p w14:paraId="52F03197" w14:textId="3FA80C41" w:rsidR="004A5AF3" w:rsidRPr="00E60B12" w:rsidRDefault="004A5AF3" w:rsidP="004A5AF3">
            <w:pPr>
              <w:rPr>
                <w:rFonts w:ascii="Arial Narrow" w:hAnsi="Arial Narrow"/>
                <w:color w:val="333333"/>
                <w:sz w:val="20"/>
                <w:szCs w:val="20"/>
              </w:rPr>
            </w:pPr>
            <w:r w:rsidRPr="00E60B12">
              <w:rPr>
                <w:rFonts w:ascii="Arial Narrow" w:hAnsi="Arial Narrow"/>
                <w:color w:val="333333"/>
                <w:sz w:val="20"/>
                <w:szCs w:val="20"/>
              </w:rPr>
              <w:t>(2) a completed authority application form relevant to the indication and treatment phase (the latest version is located on the website specified in the Administrative Advice), which includes:</w:t>
            </w:r>
          </w:p>
          <w:p w14:paraId="63AB4299"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(i) the completed current Mayo clinic or partial Mayo clinic calculation sheet including the date of assessment of the patient's condition; and</w:t>
            </w:r>
          </w:p>
          <w:p w14:paraId="3C26D221"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(ii) the details of prior biological medicine treatment including the details of date and duration of treatment.</w:t>
            </w:r>
          </w:p>
        </w:tc>
      </w:tr>
      <w:tr w:rsidR="004A5AF3" w:rsidRPr="00A3494F" w14:paraId="77C49E1F"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7F9644A" w14:textId="6C6B7B20"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25893FEE" w14:textId="4962BF27" w:rsidR="004A5AF3" w:rsidRPr="00E60B12" w:rsidRDefault="004A5AF3" w:rsidP="004A5AF3">
            <w:pPr>
              <w:rPr>
                <w:rFonts w:ascii="Arial Narrow" w:hAnsi="Arial Narrow"/>
                <w:b/>
                <w:bCs/>
                <w:color w:val="333333"/>
                <w:sz w:val="20"/>
                <w:szCs w:val="20"/>
              </w:rPr>
            </w:pPr>
            <w:r w:rsidRPr="00E60B12">
              <w:rPr>
                <w:rFonts w:ascii="Arial Narrow" w:hAnsi="Arial Narrow"/>
                <w:b/>
                <w:bCs/>
                <w:color w:val="333333"/>
                <w:sz w:val="20"/>
                <w:szCs w:val="20"/>
              </w:rPr>
              <w:t>Prescribing Instructions:</w:t>
            </w:r>
          </w:p>
          <w:p w14:paraId="1D664728"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The most recent Mayo clinic or partial Mayo clinic score must be no more than 4 weeks old at the time of application.</w:t>
            </w:r>
          </w:p>
        </w:tc>
      </w:tr>
      <w:tr w:rsidR="004A5AF3" w:rsidRPr="00A3494F" w14:paraId="38FE046D"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CF30E3C" w14:textId="725F6AA4"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2376011F"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 xml:space="preserve">Prescribing Instructions: </w:t>
            </w:r>
          </w:p>
          <w:p w14:paraId="0115B644"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An assessment of a patient's response to this initial course of treatment must be conducted 12 weeks after initial dose.</w:t>
            </w:r>
          </w:p>
        </w:tc>
      </w:tr>
      <w:tr w:rsidR="004A5AF3" w:rsidRPr="00A3494F" w14:paraId="55E8B8EB"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F987CF" w14:textId="518B04B2"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4ADBDAD4" w14:textId="7F128938" w:rsidR="004A5AF3" w:rsidRPr="00A3494F" w:rsidRDefault="004A5AF3" w:rsidP="004A5AF3">
            <w:pPr>
              <w:rPr>
                <w:rFonts w:ascii="Arial Narrow" w:hAnsi="Arial Narrow"/>
                <w:b/>
                <w:bCs/>
                <w:color w:val="333333"/>
                <w:sz w:val="20"/>
                <w:szCs w:val="20"/>
              </w:rPr>
            </w:pPr>
            <w:r w:rsidRPr="00A3494F">
              <w:rPr>
                <w:rFonts w:ascii="Arial Narrow" w:hAnsi="Arial Narrow"/>
                <w:color w:val="333333"/>
                <w:sz w:val="20"/>
                <w:szCs w:val="20"/>
              </w:rPr>
              <w:t xml:space="preserve"> </w:t>
            </w:r>
            <w:r w:rsidRPr="00A3494F">
              <w:rPr>
                <w:rFonts w:ascii="Arial Narrow" w:hAnsi="Arial Narrow"/>
                <w:b/>
                <w:bCs/>
                <w:color w:val="333333"/>
                <w:sz w:val="20"/>
                <w:szCs w:val="20"/>
              </w:rPr>
              <w:t xml:space="preserve">Prescribing Instructions: </w:t>
            </w:r>
          </w:p>
          <w:p w14:paraId="6F66CD8E" w14:textId="76148905"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 xml:space="preserve">If patients do not have adequate therapeutic response at Week 12 after induction dosing, </w:t>
            </w:r>
            <w:r w:rsidRPr="00955A14">
              <w:rPr>
                <w:rFonts w:ascii="Arial Narrow" w:hAnsi="Arial Narrow"/>
                <w:color w:val="333333"/>
                <w:sz w:val="20"/>
                <w:szCs w:val="20"/>
              </w:rPr>
              <w:t>additional doses to extend induction treatment to 20 weeks can be accessed through the balance of supply (IV infusion to occur at week 12,16 and 20.) An assessment of a patient’s response to extended induction treatment must be made no later than 4 weeks from the last induction dose</w:t>
            </w:r>
          </w:p>
        </w:tc>
      </w:tr>
      <w:tr w:rsidR="004A5AF3" w:rsidRPr="00A3494F" w14:paraId="0C3CC6A9"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68BE1E0" w14:textId="5D4008E3"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4F653374"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Prescribing Instructions:</w:t>
            </w:r>
          </w:p>
          <w:p w14:paraId="7873C440" w14:textId="77777777" w:rsidR="004A5AF3" w:rsidRPr="00955A14" w:rsidRDefault="004A5AF3" w:rsidP="004A5AF3">
            <w:pPr>
              <w:rPr>
                <w:rFonts w:ascii="Arial Narrow" w:hAnsi="Arial Narrow"/>
                <w:b/>
                <w:bCs/>
                <w:color w:val="333333"/>
                <w:sz w:val="20"/>
                <w:szCs w:val="20"/>
              </w:rPr>
            </w:pPr>
            <w:r w:rsidRPr="00955A14">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4A5AF3" w:rsidRPr="00A3494F" w14:paraId="77688CFC"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29DFB2B" w14:textId="7CA1DFB4"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51B955D2" w14:textId="3484F57E" w:rsidR="004A5AF3" w:rsidRPr="00955A14" w:rsidRDefault="004A5AF3" w:rsidP="004A5AF3">
            <w:pPr>
              <w:rPr>
                <w:rFonts w:ascii="Arial Narrow" w:hAnsi="Arial Narrow"/>
                <w:b/>
                <w:bCs/>
                <w:color w:val="333333"/>
                <w:sz w:val="20"/>
                <w:szCs w:val="20"/>
              </w:rPr>
            </w:pPr>
            <w:r w:rsidRPr="00955A14">
              <w:rPr>
                <w:rFonts w:ascii="Arial Narrow" w:hAnsi="Arial Narrow"/>
                <w:b/>
                <w:bCs/>
                <w:color w:val="333333"/>
                <w:sz w:val="20"/>
                <w:szCs w:val="20"/>
              </w:rPr>
              <w:t>Prescribing Instructions:</w:t>
            </w:r>
          </w:p>
          <w:p w14:paraId="4E1E31C7"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If a patient fails to demonstrate a response to treatment with this drug after 24 weeks of treatment they will not be eligible to receive further PBS-subsidised treatment with this drug for this condition. Serious adverse reaction of a severity resulting in the necessity for permanent withdrawal of treatment is not considered as a treatment failure.</w:t>
            </w:r>
          </w:p>
        </w:tc>
      </w:tr>
      <w:tr w:rsidR="004A5AF3" w:rsidRPr="00A3494F" w14:paraId="55614798"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0F59CC2" w14:textId="690FE42A"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698B5FAB" w14:textId="57B6329E" w:rsidR="004A5AF3" w:rsidRPr="00955A14" w:rsidRDefault="004A5AF3" w:rsidP="004A5AF3">
            <w:pPr>
              <w:rPr>
                <w:rFonts w:ascii="Arial Narrow" w:hAnsi="Arial Narrow"/>
                <w:b/>
                <w:bCs/>
                <w:color w:val="333333"/>
                <w:sz w:val="20"/>
                <w:szCs w:val="20"/>
              </w:rPr>
            </w:pPr>
            <w:r w:rsidRPr="00955A14">
              <w:rPr>
                <w:rFonts w:ascii="Arial Narrow" w:hAnsi="Arial Narrow"/>
                <w:b/>
                <w:bCs/>
                <w:color w:val="333333"/>
                <w:sz w:val="20"/>
                <w:szCs w:val="20"/>
              </w:rPr>
              <w:t>Prescribing Instructions:</w:t>
            </w:r>
          </w:p>
          <w:p w14:paraId="22E20EDF" w14:textId="14FE3BA1" w:rsidR="004A5AF3" w:rsidRPr="00A3494F" w:rsidRDefault="00070B10" w:rsidP="004A5AF3">
            <w:pPr>
              <w:rPr>
                <w:rFonts w:ascii="Arial Narrow" w:hAnsi="Arial Narrow"/>
                <w:b/>
                <w:bCs/>
                <w:color w:val="333333"/>
                <w:sz w:val="20"/>
                <w:szCs w:val="20"/>
              </w:rPr>
            </w:pPr>
            <w:r>
              <w:rPr>
                <w:rFonts w:ascii="Arial Narrow" w:hAnsi="Arial Narrow"/>
                <w:sz w:val="20"/>
                <w:szCs w:val="20"/>
              </w:rPr>
              <w:t>The Services Australia website (</w:t>
            </w:r>
            <w:r w:rsidRPr="0091632E">
              <w:rPr>
                <w:rFonts w:ascii="Arial Narrow" w:hAnsi="Arial Narrow"/>
                <w:sz w:val="20"/>
                <w:szCs w:val="20"/>
              </w:rPr>
              <w:t>www.servicesaustralia.gov.au</w:t>
            </w:r>
            <w:r>
              <w:rPr>
                <w:rFonts w:ascii="Arial Narrow" w:hAnsi="Arial Narrow"/>
                <w:sz w:val="20"/>
                <w:szCs w:val="20"/>
              </w:rPr>
              <w:t>) has details of the toxicities, including severity, which will be accepted where one is claimed.</w:t>
            </w:r>
          </w:p>
        </w:tc>
      </w:tr>
      <w:tr w:rsidR="004A5AF3" w:rsidRPr="00A3494F" w14:paraId="172E1D06"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54D8624" w14:textId="209E1FBC" w:rsidR="004A5AF3" w:rsidRPr="00A3494F" w:rsidRDefault="004A5AF3" w:rsidP="004A5AF3">
            <w:pPr>
              <w:jc w:val="center"/>
              <w:rPr>
                <w:rFonts w:ascii="Arial Narrow" w:hAnsi="Arial Narrow"/>
                <w:color w:val="333333"/>
                <w:sz w:val="20"/>
                <w:szCs w:val="20"/>
              </w:rPr>
            </w:pPr>
          </w:p>
        </w:tc>
        <w:tc>
          <w:tcPr>
            <w:tcW w:w="7745" w:type="dxa"/>
            <w:gridSpan w:val="6"/>
            <w:vAlign w:val="center"/>
          </w:tcPr>
          <w:p w14:paraId="5A1FCDBF" w14:textId="77777777" w:rsidR="004A5AF3" w:rsidRPr="00A3494F" w:rsidRDefault="004A5AF3" w:rsidP="004A5AF3">
            <w:pPr>
              <w:rPr>
                <w:rFonts w:ascii="Arial Narrow" w:hAnsi="Arial Narrow"/>
                <w:bCs/>
                <w:color w:val="FF0000"/>
                <w:sz w:val="20"/>
                <w:szCs w:val="20"/>
              </w:rPr>
            </w:pPr>
            <w:r w:rsidRPr="00A3494F">
              <w:rPr>
                <w:rFonts w:ascii="Arial Narrow" w:hAnsi="Arial Narrow"/>
                <w:b/>
                <w:bCs/>
                <w:color w:val="333333"/>
                <w:sz w:val="20"/>
                <w:szCs w:val="20"/>
              </w:rPr>
              <w:t xml:space="preserve">Administrative Advice: </w:t>
            </w:r>
          </w:p>
          <w:p w14:paraId="1124FAD8" w14:textId="37C366C5"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Any queries concerning the arrangements to prescribe may be directed to Services Australia on 1800 700 270 (hours of operation 8 a.m. to 5 p.m. Monday to Friday).</w:t>
            </w:r>
          </w:p>
          <w:p w14:paraId="52B7FDDE"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 xml:space="preserve">Prescribing information (including Authority Application forms and other relevant documentation as applicable) is available on the Services Australia website at </w:t>
            </w:r>
            <w:proofErr w:type="gramStart"/>
            <w:r w:rsidRPr="00A3494F">
              <w:rPr>
                <w:rFonts w:ascii="Arial Narrow" w:hAnsi="Arial Narrow"/>
                <w:color w:val="333333"/>
                <w:sz w:val="20"/>
                <w:szCs w:val="20"/>
              </w:rPr>
              <w:t>www.servicesaustralia.gov.au</w:t>
            </w:r>
            <w:proofErr w:type="gramEnd"/>
          </w:p>
          <w:p w14:paraId="77931FD6"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 xml:space="preserve">Applications for authority to prescribe should be submitted online using the form upload facility in Health Professional Online Services (HPOS) at </w:t>
            </w:r>
            <w:proofErr w:type="gramStart"/>
            <w:r w:rsidRPr="00A3494F">
              <w:rPr>
                <w:rFonts w:ascii="Arial Narrow" w:hAnsi="Arial Narrow"/>
                <w:color w:val="333333"/>
                <w:sz w:val="20"/>
                <w:szCs w:val="20"/>
              </w:rPr>
              <w:t>www.servicesaustralia.gov.au/hpos</w:t>
            </w:r>
            <w:proofErr w:type="gramEnd"/>
          </w:p>
          <w:p w14:paraId="62394E0D"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Or mailed to:</w:t>
            </w:r>
          </w:p>
          <w:p w14:paraId="4B74258F"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Services Australia</w:t>
            </w:r>
          </w:p>
          <w:p w14:paraId="41D1BAD0"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Complex Drugs</w:t>
            </w:r>
          </w:p>
          <w:p w14:paraId="25F88B91" w14:textId="77777777" w:rsidR="004A5AF3" w:rsidRPr="00A3494F" w:rsidRDefault="004A5AF3" w:rsidP="004A5AF3">
            <w:pPr>
              <w:rPr>
                <w:rFonts w:ascii="Arial Narrow" w:hAnsi="Arial Narrow"/>
                <w:color w:val="333333"/>
                <w:sz w:val="20"/>
                <w:szCs w:val="20"/>
              </w:rPr>
            </w:pPr>
            <w:r w:rsidRPr="00A3494F">
              <w:rPr>
                <w:rFonts w:ascii="Arial Narrow" w:hAnsi="Arial Narrow"/>
                <w:color w:val="333333"/>
                <w:sz w:val="20"/>
                <w:szCs w:val="20"/>
              </w:rPr>
              <w:t>Reply Paid 9826</w:t>
            </w:r>
          </w:p>
          <w:p w14:paraId="4B0EF086" w14:textId="77777777" w:rsidR="004A5AF3" w:rsidRPr="00A3494F" w:rsidRDefault="004A5AF3" w:rsidP="004A5AF3">
            <w:pPr>
              <w:rPr>
                <w:rFonts w:ascii="Arial Narrow" w:hAnsi="Arial Narrow"/>
                <w:bCs/>
                <w:color w:val="333333"/>
                <w:sz w:val="20"/>
                <w:szCs w:val="20"/>
              </w:rPr>
            </w:pPr>
            <w:r w:rsidRPr="00A3494F">
              <w:rPr>
                <w:rFonts w:ascii="Arial Narrow" w:hAnsi="Arial Narrow"/>
                <w:color w:val="333333"/>
                <w:sz w:val="20"/>
                <w:szCs w:val="20"/>
              </w:rPr>
              <w:t>HOBART TAS 7001</w:t>
            </w:r>
          </w:p>
        </w:tc>
      </w:tr>
      <w:tr w:rsidR="004A5AF3" w:rsidRPr="00A3494F" w14:paraId="73947824"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F1C2893" w14:textId="77777777" w:rsidR="004A5AF3" w:rsidRPr="00A3494F" w:rsidDel="004E6FC5" w:rsidRDefault="004A5AF3" w:rsidP="004A5AF3">
            <w:pPr>
              <w:jc w:val="center"/>
              <w:rPr>
                <w:rFonts w:ascii="Arial Narrow" w:hAnsi="Arial Narrow"/>
                <w:color w:val="333333"/>
                <w:sz w:val="20"/>
                <w:szCs w:val="20"/>
              </w:rPr>
            </w:pPr>
          </w:p>
        </w:tc>
        <w:tc>
          <w:tcPr>
            <w:tcW w:w="7745" w:type="dxa"/>
            <w:gridSpan w:val="6"/>
            <w:vAlign w:val="center"/>
          </w:tcPr>
          <w:p w14:paraId="564D6E7C" w14:textId="77777777" w:rsidR="004A5AF3" w:rsidRPr="00A3494F" w:rsidRDefault="004A5AF3" w:rsidP="004A5AF3">
            <w:pPr>
              <w:rPr>
                <w:rFonts w:ascii="Arial Narrow" w:hAnsi="Arial Narrow"/>
                <w:b/>
                <w:bCs/>
                <w:color w:val="333333"/>
                <w:sz w:val="20"/>
                <w:szCs w:val="20"/>
              </w:rPr>
            </w:pPr>
          </w:p>
        </w:tc>
      </w:tr>
      <w:tr w:rsidR="004A5AF3" w:rsidRPr="00A3494F" w14:paraId="219CF004" w14:textId="77777777" w:rsidTr="0037570E">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1D1E8E7" w14:textId="77777777" w:rsidR="004A5AF3" w:rsidRPr="00A3494F" w:rsidDel="004E6FC5" w:rsidRDefault="004A5AF3" w:rsidP="004A5AF3">
            <w:pPr>
              <w:jc w:val="center"/>
              <w:rPr>
                <w:rFonts w:ascii="Arial Narrow" w:hAnsi="Arial Narrow"/>
                <w:color w:val="333333"/>
                <w:sz w:val="20"/>
                <w:szCs w:val="20"/>
              </w:rPr>
            </w:pPr>
          </w:p>
        </w:tc>
        <w:tc>
          <w:tcPr>
            <w:tcW w:w="7745" w:type="dxa"/>
            <w:gridSpan w:val="6"/>
            <w:vAlign w:val="center"/>
          </w:tcPr>
          <w:p w14:paraId="0CE0A815" w14:textId="77777777" w:rsidR="004A5AF3" w:rsidRPr="00A3494F" w:rsidRDefault="004A5AF3" w:rsidP="004A5AF3">
            <w:pPr>
              <w:rPr>
                <w:rFonts w:ascii="Arial Narrow" w:hAnsi="Arial Narrow"/>
                <w:b/>
                <w:bCs/>
                <w:color w:val="333333"/>
                <w:sz w:val="20"/>
                <w:szCs w:val="20"/>
              </w:rPr>
            </w:pPr>
          </w:p>
        </w:tc>
      </w:tr>
      <w:tr w:rsidR="004A5AF3" w:rsidRPr="00A3494F" w14:paraId="3F138A51" w14:textId="77777777" w:rsidTr="0037570E">
        <w:tblPrEx>
          <w:tblLook w:val="04A0" w:firstRow="1" w:lastRow="0" w:firstColumn="1" w:lastColumn="0" w:noHBand="0" w:noVBand="1"/>
        </w:tblPrEx>
        <w:trPr>
          <w:cantSplit/>
          <w:trHeight w:val="20"/>
        </w:trPr>
        <w:tc>
          <w:tcPr>
            <w:tcW w:w="901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CB0A0BF"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 xml:space="preserve">Restriction Summary: modification of / Treatment of Concept: modification of </w:t>
            </w:r>
          </w:p>
        </w:tc>
      </w:tr>
      <w:tr w:rsidR="004A5AF3" w:rsidRPr="00A3494F" w14:paraId="0F39125D"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BAE117A" w14:textId="067CBCB5"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E15D2D" w14:textId="77777777" w:rsidR="004A5AF3" w:rsidRPr="00A3494F" w:rsidRDefault="004A5AF3" w:rsidP="004A5AF3">
            <w:pPr>
              <w:keepNext/>
              <w:keepLines/>
              <w:rPr>
                <w:rFonts w:ascii="Arial Narrow" w:hAnsi="Arial Narrow"/>
                <w:sz w:val="20"/>
                <w:szCs w:val="20"/>
              </w:rPr>
            </w:pPr>
            <w:r w:rsidRPr="00A3494F">
              <w:rPr>
                <w:rFonts w:ascii="Arial Narrow" w:hAnsi="Arial Narrow"/>
                <w:b/>
                <w:sz w:val="20"/>
                <w:szCs w:val="20"/>
              </w:rPr>
              <w:t xml:space="preserve">Category / Program: </w:t>
            </w:r>
            <w:r w:rsidRPr="00955A14">
              <w:rPr>
                <w:rFonts w:ascii="Arial Narrow" w:hAnsi="Arial Narrow"/>
                <w:sz w:val="20"/>
                <w:szCs w:val="20"/>
              </w:rPr>
              <w:t xml:space="preserve">Section 100 – Highly Specialised Drugs Program </w:t>
            </w:r>
          </w:p>
          <w:p w14:paraId="53C03188" w14:textId="77777777" w:rsidR="004A5AF3" w:rsidRPr="00A3494F" w:rsidRDefault="004A5AF3" w:rsidP="004A5AF3">
            <w:pPr>
              <w:rPr>
                <w:rFonts w:ascii="Arial Narrow" w:hAnsi="Arial Narrow"/>
                <w:b/>
                <w:bCs/>
                <w:color w:val="333333"/>
                <w:sz w:val="20"/>
                <w:szCs w:val="20"/>
              </w:rPr>
            </w:pPr>
          </w:p>
        </w:tc>
      </w:tr>
      <w:tr w:rsidR="004A5AF3" w:rsidRPr="00A3494F" w14:paraId="2DE6E835"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82391A" w14:textId="77777777"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DD56093" w14:textId="77777777" w:rsidR="004A5AF3" w:rsidRPr="00A3494F" w:rsidRDefault="004A5AF3" w:rsidP="004A5AF3">
            <w:pPr>
              <w:rPr>
                <w:rFonts w:ascii="Arial Narrow" w:hAnsi="Arial Narrow"/>
                <w:b/>
                <w:bCs/>
                <w:color w:val="333333"/>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4A5AF3" w:rsidRPr="00A3494F" w14:paraId="520AC524"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66F606" w14:textId="77777777"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EF90392" w14:textId="77777777" w:rsidR="004A5AF3" w:rsidRPr="00A3494F" w:rsidRDefault="004A5AF3" w:rsidP="004A5AF3">
            <w:pPr>
              <w:rPr>
                <w:rFonts w:ascii="Arial Narrow" w:hAnsi="Arial Narrow"/>
                <w:b/>
                <w:bCs/>
                <w:color w:val="333333"/>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 </w:t>
            </w:r>
            <w:r w:rsidRPr="00955A14">
              <w:rPr>
                <w:rFonts w:ascii="Arial Narrow" w:eastAsia="Calibri" w:hAnsi="Arial Narrow"/>
                <w:sz w:val="20"/>
                <w:szCs w:val="20"/>
              </w:rPr>
              <w:t xml:space="preserve">Authority Required </w:t>
            </w:r>
            <w:r w:rsidRPr="00955A14">
              <w:rPr>
                <w:rFonts w:ascii="Arial Narrow" w:hAnsi="Arial Narrow"/>
                <w:sz w:val="20"/>
                <w:szCs w:val="20"/>
              </w:rPr>
              <w:t>immediate/real time assessment by Services Australia (telephone/online application aven</w:t>
            </w:r>
            <w:r w:rsidRPr="00955A14">
              <w:rPr>
                <w:rFonts w:ascii="Arial Narrow" w:eastAsiaTheme="minorEastAsia" w:hAnsi="Arial Narrow"/>
                <w:sz w:val="20"/>
                <w:szCs w:val="20"/>
              </w:rPr>
              <w:t>ues)</w:t>
            </w:r>
          </w:p>
        </w:tc>
      </w:tr>
      <w:tr w:rsidR="004A5AF3" w:rsidRPr="00A3494F" w14:paraId="3C20DA87"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39CC66" w14:textId="7A6011BD"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63221E"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w:t>
            </w:r>
            <w:r w:rsidRPr="00955A14">
              <w:rPr>
                <w:rFonts w:ascii="Arial Narrow" w:hAnsi="Arial Narrow"/>
                <w:color w:val="333333"/>
                <w:sz w:val="20"/>
                <w:szCs w:val="20"/>
              </w:rPr>
              <w:t>Moderate to Severe Ulcerative Colitis</w:t>
            </w:r>
          </w:p>
        </w:tc>
      </w:tr>
      <w:tr w:rsidR="004A5AF3" w:rsidRPr="00A3494F" w14:paraId="403D2349"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36C40BD" w14:textId="77777777"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FC6860"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955A14">
              <w:rPr>
                <w:rFonts w:ascii="Arial Narrow" w:hAnsi="Arial Narrow"/>
                <w:sz w:val="20"/>
                <w:szCs w:val="20"/>
              </w:rPr>
              <w:t>Initial 1 (new patient) or Initial 2 (change or recommencement of treatment after a break in biological medicine of less than 5 years) or Initial 3 (recommencement of treatment after a break in biological medicine of more than 5 years) – Balance of Supply</w:t>
            </w:r>
          </w:p>
        </w:tc>
      </w:tr>
      <w:tr w:rsidR="004A5AF3" w:rsidRPr="00A3494F" w14:paraId="69C887CB"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47F7D77" w14:textId="77777777"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FCFED2"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 xml:space="preserve">Clinical criteria: </w:t>
            </w:r>
          </w:p>
        </w:tc>
      </w:tr>
      <w:tr w:rsidR="004A5AF3" w:rsidRPr="00A3494F" w14:paraId="3E28B00B"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0E57DA" w14:textId="52958362"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4D2F9F" w14:textId="5F86DE2E" w:rsidR="004A5AF3" w:rsidRPr="00955A14" w:rsidRDefault="004A5AF3" w:rsidP="004A5AF3">
            <w:pPr>
              <w:rPr>
                <w:rFonts w:ascii="Arial Narrow" w:hAnsi="Arial Narrow"/>
                <w:color w:val="333333"/>
                <w:sz w:val="20"/>
                <w:szCs w:val="20"/>
              </w:rPr>
            </w:pPr>
            <w:r w:rsidRPr="00955A14">
              <w:rPr>
                <w:rFonts w:ascii="Arial Narrow" w:hAnsi="Arial Narrow"/>
                <w:color w:val="333333"/>
                <w:sz w:val="20"/>
                <w:szCs w:val="20"/>
              </w:rPr>
              <w:t>Patient must have received insufficient therapy with this drug for this condition under the Initial 1 (new patient) restriction to complete 20 weeks of treatment (administered at weeks 0, 4, 8, 12,16 and 20)</w:t>
            </w:r>
            <w:r w:rsidR="00EC3762">
              <w:rPr>
                <w:rFonts w:ascii="Arial Narrow" w:hAnsi="Arial Narrow"/>
                <w:color w:val="333333"/>
                <w:sz w:val="20"/>
                <w:szCs w:val="20"/>
              </w:rPr>
              <w:t>; OR</w:t>
            </w:r>
          </w:p>
        </w:tc>
      </w:tr>
      <w:tr w:rsidR="004A5AF3" w:rsidRPr="00A3494F" w14:paraId="017E11CD"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F66233" w14:textId="4CDE2D07"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220DF4" w14:textId="23DEF51A" w:rsidR="004A5AF3" w:rsidRPr="00955A14" w:rsidRDefault="004A5AF3" w:rsidP="004A5AF3">
            <w:pPr>
              <w:rPr>
                <w:rFonts w:ascii="Arial Narrow" w:hAnsi="Arial Narrow"/>
                <w:color w:val="333333"/>
                <w:sz w:val="20"/>
                <w:szCs w:val="20"/>
              </w:rPr>
            </w:pPr>
            <w:r w:rsidRPr="00955A14">
              <w:rPr>
                <w:rFonts w:ascii="Arial Narrow" w:hAnsi="Arial Narrow"/>
                <w:color w:val="333333"/>
                <w:sz w:val="20"/>
                <w:szCs w:val="20"/>
              </w:rPr>
              <w:t>Patient must have received insufficient therapy with this drug for this condition under the Initial 2 (change or recommencement of treatment after a break in biological medicine of less than 5 years) restriction to complete 20 weeks of treatment (administered at weeks 0, 4, 8, 12,16 and 20)</w:t>
            </w:r>
            <w:r w:rsidR="00EC3762">
              <w:rPr>
                <w:rFonts w:ascii="Arial Narrow" w:hAnsi="Arial Narrow"/>
                <w:color w:val="333333"/>
                <w:sz w:val="20"/>
                <w:szCs w:val="20"/>
              </w:rPr>
              <w:t>; OR</w:t>
            </w:r>
          </w:p>
        </w:tc>
      </w:tr>
      <w:tr w:rsidR="004A5AF3" w:rsidRPr="00A3494F" w14:paraId="6163209D"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7D95E0" w14:textId="02724B00"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EB9940" w14:textId="1D3CBD0D" w:rsidR="004A5AF3" w:rsidRPr="00955A14" w:rsidRDefault="004A5AF3" w:rsidP="004A5AF3">
            <w:pPr>
              <w:rPr>
                <w:rFonts w:ascii="Arial Narrow" w:hAnsi="Arial Narrow"/>
                <w:color w:val="333333"/>
                <w:sz w:val="20"/>
                <w:szCs w:val="20"/>
              </w:rPr>
            </w:pPr>
            <w:r w:rsidRPr="00955A14">
              <w:rPr>
                <w:rFonts w:ascii="Arial Narrow" w:hAnsi="Arial Narrow"/>
                <w:color w:val="333333"/>
                <w:sz w:val="20"/>
                <w:szCs w:val="20"/>
              </w:rPr>
              <w:t>Patient must have received insufficient therapy with this drug for this condition under the Initial 3 (change or recommencement of treatment after a break in biological medicine of more than 5 years) restriction to complete 20 weeks of treatment (administered at weeks 0, 4, 8, 12,16 and 20)</w:t>
            </w:r>
            <w:r w:rsidR="00EC3762">
              <w:rPr>
                <w:rFonts w:ascii="Arial Narrow" w:hAnsi="Arial Narrow"/>
                <w:color w:val="333333"/>
                <w:sz w:val="20"/>
                <w:szCs w:val="20"/>
              </w:rPr>
              <w:t>; OR</w:t>
            </w:r>
          </w:p>
        </w:tc>
      </w:tr>
      <w:tr w:rsidR="00EC3762" w:rsidRPr="00A3494F" w14:paraId="564CFE34"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A66D67" w14:textId="75B3F03A" w:rsidR="00EC3762" w:rsidRPr="00A3494F" w:rsidRDefault="00EC3762"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BFC749" w14:textId="6F550F48" w:rsidR="00EC3762" w:rsidRPr="00955A14" w:rsidRDefault="00EC3762" w:rsidP="004A5AF3">
            <w:pPr>
              <w:rPr>
                <w:rFonts w:ascii="Arial Narrow" w:hAnsi="Arial Narrow"/>
                <w:color w:val="333333"/>
                <w:sz w:val="20"/>
                <w:szCs w:val="20"/>
              </w:rPr>
            </w:pPr>
            <w:r>
              <w:rPr>
                <w:rFonts w:ascii="Arial Narrow" w:hAnsi="Arial Narrow"/>
                <w:color w:val="333333"/>
                <w:sz w:val="20"/>
                <w:szCs w:val="20"/>
              </w:rPr>
              <w:t xml:space="preserve">Patient must have received insufficient therapy with this drug for this condition under the </w:t>
            </w:r>
            <w:r w:rsidRPr="00752982">
              <w:rPr>
                <w:rFonts w:ascii="Arial Narrow" w:hAnsi="Arial Narrow"/>
                <w:sz w:val="20"/>
                <w:szCs w:val="20"/>
              </w:rPr>
              <w:t>Transitioning from non-PBS to PBS-subsidised supply - Grandfather arrangements</w:t>
            </w:r>
            <w:r>
              <w:rPr>
                <w:rFonts w:ascii="Arial Narrow" w:hAnsi="Arial Narrow"/>
                <w:sz w:val="20"/>
                <w:szCs w:val="20"/>
              </w:rPr>
              <w:t xml:space="preserve"> restriction to complete 20 weeks of non-PBS and PBS treatment (administered at weeks 0, 4, 8, 12, 16, 20)</w:t>
            </w:r>
          </w:p>
        </w:tc>
      </w:tr>
      <w:tr w:rsidR="004A5AF3" w:rsidRPr="00A3494F" w14:paraId="425A39D4"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E7043F" w14:textId="77777777"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9ABD3A"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AND</w:t>
            </w:r>
          </w:p>
        </w:tc>
      </w:tr>
      <w:tr w:rsidR="004A5AF3" w:rsidRPr="00A3494F" w14:paraId="5416072B"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69591A" w14:textId="1313C7E1"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8C012D"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Clinical criteria:</w:t>
            </w:r>
          </w:p>
        </w:tc>
      </w:tr>
      <w:tr w:rsidR="004A5AF3" w:rsidRPr="00A3494F" w14:paraId="1043B648"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1DE512" w14:textId="78E7AF05"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E9C552" w14:textId="77777777" w:rsidR="004A5AF3" w:rsidRPr="008646DB" w:rsidRDefault="004A5AF3" w:rsidP="004A5AF3">
            <w:pPr>
              <w:rPr>
                <w:rFonts w:ascii="Arial Narrow" w:hAnsi="Arial Narrow"/>
                <w:color w:val="333333"/>
                <w:sz w:val="20"/>
                <w:szCs w:val="20"/>
              </w:rPr>
            </w:pPr>
            <w:r w:rsidRPr="008646DB">
              <w:rPr>
                <w:rFonts w:ascii="Arial Narrow" w:hAnsi="Arial Narrow"/>
                <w:color w:val="333333"/>
                <w:sz w:val="20"/>
                <w:szCs w:val="20"/>
              </w:rPr>
              <w:t>The treatment must provide no more than the balance of up to 20 weeks treatment available under the above restrictions.</w:t>
            </w:r>
          </w:p>
        </w:tc>
      </w:tr>
      <w:tr w:rsidR="004A5AF3" w:rsidRPr="00A3494F" w14:paraId="41DF6F35"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B49351" w14:textId="6B323A11"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8455E0"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Treatment criteria:</w:t>
            </w:r>
          </w:p>
        </w:tc>
      </w:tr>
      <w:tr w:rsidR="004A5AF3" w:rsidRPr="00A3494F" w14:paraId="592CD325"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3BA0F68" w14:textId="00EA83B5"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EDE9BE" w14:textId="77777777" w:rsidR="004A5AF3" w:rsidRPr="008646DB" w:rsidRDefault="004A5AF3" w:rsidP="004A5AF3">
            <w:pPr>
              <w:rPr>
                <w:rFonts w:ascii="Arial Narrow" w:hAnsi="Arial Narrow"/>
                <w:b/>
                <w:bCs/>
                <w:color w:val="333333"/>
                <w:sz w:val="20"/>
                <w:szCs w:val="20"/>
              </w:rPr>
            </w:pPr>
            <w:r w:rsidRPr="008646DB">
              <w:rPr>
                <w:rFonts w:ascii="Arial Narrow" w:hAnsi="Arial Narrow"/>
                <w:sz w:val="20"/>
                <w:szCs w:val="20"/>
              </w:rPr>
              <w:t>Must be treated by a gastroenterologist (code 87); or</w:t>
            </w:r>
          </w:p>
        </w:tc>
      </w:tr>
      <w:tr w:rsidR="004A5AF3" w:rsidRPr="00A3494F" w14:paraId="0CC83790"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AD2A54" w14:textId="3FCB6F07"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3DA3F8" w14:textId="77777777" w:rsidR="004A5AF3" w:rsidRPr="008646DB" w:rsidRDefault="004A5AF3" w:rsidP="004A5AF3">
            <w:pPr>
              <w:rPr>
                <w:rFonts w:ascii="Arial Narrow" w:hAnsi="Arial Narrow"/>
                <w:b/>
                <w:bCs/>
                <w:color w:val="333333"/>
                <w:sz w:val="20"/>
                <w:szCs w:val="20"/>
              </w:rPr>
            </w:pPr>
            <w:r w:rsidRPr="008646DB">
              <w:rPr>
                <w:rFonts w:ascii="Arial Narrow" w:hAnsi="Arial Narrow"/>
                <w:sz w:val="20"/>
                <w:szCs w:val="20"/>
              </w:rPr>
              <w:t>Must be treated by a consultant physician [internal medicine specialising in gastroenterology (code 81)]; or</w:t>
            </w:r>
          </w:p>
        </w:tc>
      </w:tr>
      <w:tr w:rsidR="004A5AF3" w:rsidRPr="00A3494F" w14:paraId="36B40125"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8085A50" w14:textId="7A6F22D4"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37DA872" w14:textId="77777777" w:rsidR="004A5AF3" w:rsidRPr="008646DB" w:rsidRDefault="004A5AF3" w:rsidP="004A5AF3">
            <w:pPr>
              <w:rPr>
                <w:rFonts w:ascii="Arial Narrow" w:hAnsi="Arial Narrow"/>
                <w:b/>
                <w:bCs/>
                <w:color w:val="333333"/>
                <w:sz w:val="20"/>
                <w:szCs w:val="20"/>
              </w:rPr>
            </w:pPr>
            <w:r w:rsidRPr="008646DB">
              <w:rPr>
                <w:rFonts w:ascii="Arial Narrow" w:hAnsi="Arial Narrow"/>
                <w:sz w:val="20"/>
                <w:szCs w:val="20"/>
              </w:rPr>
              <w:t>Must be treated by a consultant physician [general medicine specialising in gastroenterology (code 82)]</w:t>
            </w:r>
          </w:p>
        </w:tc>
      </w:tr>
      <w:tr w:rsidR="004A5AF3" w:rsidRPr="00A3494F" w14:paraId="1614EF34" w14:textId="77777777" w:rsidTr="0037570E">
        <w:tblPrEx>
          <w:tblLook w:val="04A0" w:firstRow="1" w:lastRow="0" w:firstColumn="1" w:lastColumn="0" w:noHBand="0" w:noVBand="1"/>
        </w:tblPrEx>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7D2559" w14:textId="27914018" w:rsidR="004A5AF3" w:rsidRPr="00A3494F" w:rsidRDefault="004A5AF3" w:rsidP="004A5AF3">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90E9C86" w14:textId="77777777" w:rsidR="004A5AF3" w:rsidRPr="00A3494F" w:rsidRDefault="004A5AF3" w:rsidP="004A5AF3">
            <w:pPr>
              <w:rPr>
                <w:rFonts w:ascii="Arial Narrow" w:hAnsi="Arial Narrow"/>
                <w:b/>
                <w:bCs/>
                <w:color w:val="333333"/>
                <w:sz w:val="20"/>
                <w:szCs w:val="20"/>
              </w:rPr>
            </w:pPr>
            <w:r w:rsidRPr="00A3494F">
              <w:rPr>
                <w:rFonts w:ascii="Arial Narrow" w:hAnsi="Arial Narrow"/>
                <w:b/>
                <w:bCs/>
                <w:color w:val="333333"/>
                <w:sz w:val="20"/>
                <w:szCs w:val="20"/>
              </w:rPr>
              <w:t xml:space="preserve">Administrative Advice: </w:t>
            </w:r>
          </w:p>
          <w:p w14:paraId="4097AEAD" w14:textId="77777777" w:rsidR="004A5AF3" w:rsidRPr="008646DB" w:rsidRDefault="004A5AF3" w:rsidP="004A5AF3">
            <w:pPr>
              <w:rPr>
                <w:rFonts w:ascii="Arial Narrow" w:hAnsi="Arial Narrow"/>
                <w:b/>
                <w:bCs/>
                <w:color w:val="333333"/>
                <w:sz w:val="20"/>
                <w:szCs w:val="20"/>
              </w:rPr>
            </w:pPr>
            <w:r w:rsidRPr="008646DB">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3C2954E3" w14:textId="77777777" w:rsidR="0037570E" w:rsidRPr="00A3494F" w:rsidRDefault="0037570E" w:rsidP="0037570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1"/>
        <w:gridCol w:w="2668"/>
        <w:gridCol w:w="811"/>
        <w:gridCol w:w="812"/>
        <w:gridCol w:w="811"/>
        <w:gridCol w:w="812"/>
        <w:gridCol w:w="1831"/>
      </w:tblGrid>
      <w:tr w:rsidR="0037570E" w:rsidRPr="00A3494F" w14:paraId="1F7F69EC" w14:textId="77777777" w:rsidTr="00752982">
        <w:trPr>
          <w:cantSplit/>
          <w:trHeight w:val="20"/>
        </w:trPr>
        <w:tc>
          <w:tcPr>
            <w:tcW w:w="3940" w:type="dxa"/>
            <w:gridSpan w:val="3"/>
            <w:vAlign w:val="center"/>
          </w:tcPr>
          <w:p w14:paraId="18AA6EBF" w14:textId="77777777" w:rsidR="0037570E" w:rsidRPr="00A3494F" w:rsidRDefault="0037570E" w:rsidP="00886A4E">
            <w:pPr>
              <w:keepLines/>
              <w:rPr>
                <w:rFonts w:ascii="Arial Narrow" w:hAnsi="Arial Narrow"/>
                <w:b/>
                <w:bCs/>
                <w:sz w:val="20"/>
                <w:szCs w:val="20"/>
              </w:rPr>
            </w:pPr>
            <w:r w:rsidRPr="00A3494F">
              <w:rPr>
                <w:rFonts w:ascii="Arial Narrow" w:hAnsi="Arial Narrow"/>
                <w:b/>
                <w:bCs/>
                <w:sz w:val="20"/>
                <w:szCs w:val="20"/>
              </w:rPr>
              <w:t>MEDICINAL PRODUCT</w:t>
            </w:r>
          </w:p>
          <w:p w14:paraId="5D67468A" w14:textId="77777777" w:rsidR="0037570E" w:rsidRPr="00A3494F" w:rsidRDefault="0037570E" w:rsidP="00886A4E">
            <w:pPr>
              <w:keepLines/>
              <w:rPr>
                <w:rFonts w:ascii="Arial Narrow" w:hAnsi="Arial Narrow"/>
                <w:b/>
                <w:sz w:val="20"/>
                <w:szCs w:val="20"/>
              </w:rPr>
            </w:pPr>
            <w:r w:rsidRPr="00A3494F">
              <w:rPr>
                <w:rFonts w:ascii="Arial Narrow" w:hAnsi="Arial Narrow"/>
                <w:b/>
                <w:bCs/>
                <w:sz w:val="20"/>
                <w:szCs w:val="20"/>
              </w:rPr>
              <w:t>medicinal product pack</w:t>
            </w:r>
          </w:p>
        </w:tc>
        <w:tc>
          <w:tcPr>
            <w:tcW w:w="811" w:type="dxa"/>
            <w:vAlign w:val="center"/>
          </w:tcPr>
          <w:p w14:paraId="5E09FBF7" w14:textId="77777777" w:rsidR="0037570E" w:rsidRPr="00A3494F" w:rsidRDefault="0037570E" w:rsidP="00886A4E">
            <w:pPr>
              <w:keepLines/>
              <w:jc w:val="center"/>
              <w:rPr>
                <w:rFonts w:ascii="Arial Narrow" w:hAnsi="Arial Narrow"/>
                <w:b/>
                <w:sz w:val="20"/>
                <w:szCs w:val="20"/>
              </w:rPr>
            </w:pPr>
            <w:r w:rsidRPr="00A3494F">
              <w:rPr>
                <w:rFonts w:ascii="Arial Narrow" w:hAnsi="Arial Narrow"/>
                <w:b/>
                <w:sz w:val="20"/>
                <w:szCs w:val="20"/>
              </w:rPr>
              <w:t>PBS item code</w:t>
            </w:r>
          </w:p>
        </w:tc>
        <w:tc>
          <w:tcPr>
            <w:tcW w:w="812" w:type="dxa"/>
            <w:vAlign w:val="center"/>
          </w:tcPr>
          <w:p w14:paraId="401418C8" w14:textId="77777777" w:rsidR="0037570E" w:rsidRPr="00A3494F" w:rsidRDefault="0037570E" w:rsidP="00886A4E">
            <w:pPr>
              <w:keepLines/>
              <w:jc w:val="center"/>
              <w:rPr>
                <w:rFonts w:ascii="Arial Narrow" w:hAnsi="Arial Narrow"/>
                <w:b/>
                <w:sz w:val="20"/>
                <w:szCs w:val="20"/>
              </w:rPr>
            </w:pPr>
            <w:r w:rsidRPr="00A3494F">
              <w:rPr>
                <w:rFonts w:ascii="Arial Narrow" w:hAnsi="Arial Narrow"/>
                <w:b/>
                <w:sz w:val="20"/>
                <w:szCs w:val="20"/>
              </w:rPr>
              <w:t>Max. qty packs</w:t>
            </w:r>
          </w:p>
        </w:tc>
        <w:tc>
          <w:tcPr>
            <w:tcW w:w="811" w:type="dxa"/>
            <w:vAlign w:val="center"/>
          </w:tcPr>
          <w:p w14:paraId="5E0799A1" w14:textId="77777777" w:rsidR="0037570E" w:rsidRPr="00A3494F" w:rsidRDefault="0037570E" w:rsidP="00886A4E">
            <w:pPr>
              <w:keepLines/>
              <w:jc w:val="center"/>
              <w:rPr>
                <w:rFonts w:ascii="Arial Narrow" w:hAnsi="Arial Narrow"/>
                <w:b/>
                <w:sz w:val="20"/>
                <w:szCs w:val="20"/>
              </w:rPr>
            </w:pPr>
            <w:r w:rsidRPr="00A3494F">
              <w:rPr>
                <w:rFonts w:ascii="Arial Narrow" w:hAnsi="Arial Narrow"/>
                <w:b/>
                <w:sz w:val="20"/>
                <w:szCs w:val="20"/>
              </w:rPr>
              <w:t>Max. qty units</w:t>
            </w:r>
          </w:p>
        </w:tc>
        <w:tc>
          <w:tcPr>
            <w:tcW w:w="812" w:type="dxa"/>
            <w:vAlign w:val="center"/>
          </w:tcPr>
          <w:p w14:paraId="649DA1AF" w14:textId="0DB986FD" w:rsidR="0037570E" w:rsidRPr="00A3494F" w:rsidRDefault="00A13761" w:rsidP="00886A4E">
            <w:pPr>
              <w:keepLines/>
              <w:jc w:val="center"/>
              <w:rPr>
                <w:rFonts w:ascii="Arial Narrow" w:hAnsi="Arial Narrow"/>
                <w:b/>
                <w:sz w:val="20"/>
                <w:szCs w:val="20"/>
              </w:rPr>
            </w:pPr>
            <w:r w:rsidRPr="00A3494F">
              <w:rPr>
                <w:rFonts w:ascii="Arial Narrow" w:hAnsi="Arial Narrow"/>
                <w:b/>
                <w:sz w:val="20"/>
                <w:szCs w:val="20"/>
              </w:rPr>
              <w:t>№. of</w:t>
            </w:r>
          </w:p>
          <w:p w14:paraId="0E509B82" w14:textId="77777777" w:rsidR="0037570E" w:rsidRPr="00A3494F" w:rsidRDefault="0037570E" w:rsidP="00886A4E">
            <w:pPr>
              <w:keepLines/>
              <w:jc w:val="center"/>
              <w:rPr>
                <w:rFonts w:ascii="Arial Narrow" w:hAnsi="Arial Narrow"/>
                <w:b/>
                <w:sz w:val="20"/>
                <w:szCs w:val="20"/>
              </w:rPr>
            </w:pPr>
            <w:r w:rsidRPr="00A3494F">
              <w:rPr>
                <w:rFonts w:ascii="Arial Narrow" w:hAnsi="Arial Narrow"/>
                <w:b/>
                <w:sz w:val="20"/>
                <w:szCs w:val="20"/>
              </w:rPr>
              <w:t>Rpts</w:t>
            </w:r>
          </w:p>
        </w:tc>
        <w:tc>
          <w:tcPr>
            <w:tcW w:w="1831" w:type="dxa"/>
            <w:vAlign w:val="center"/>
          </w:tcPr>
          <w:p w14:paraId="456A710A" w14:textId="77777777" w:rsidR="0037570E" w:rsidRPr="00A3494F" w:rsidRDefault="0037570E" w:rsidP="00886A4E">
            <w:pPr>
              <w:keepLines/>
              <w:rPr>
                <w:rFonts w:ascii="Arial Narrow" w:hAnsi="Arial Narrow"/>
                <w:b/>
                <w:sz w:val="20"/>
                <w:szCs w:val="20"/>
                <w:lang w:val="fr-FR"/>
              </w:rPr>
            </w:pPr>
            <w:r w:rsidRPr="00A3494F">
              <w:rPr>
                <w:rFonts w:ascii="Arial Narrow" w:hAnsi="Arial Narrow"/>
                <w:b/>
                <w:sz w:val="20"/>
                <w:szCs w:val="20"/>
              </w:rPr>
              <w:t>Available brands</w:t>
            </w:r>
          </w:p>
        </w:tc>
      </w:tr>
      <w:tr w:rsidR="0037570E" w:rsidRPr="00A3494F" w14:paraId="41715DD9" w14:textId="77777777" w:rsidTr="00752982">
        <w:trPr>
          <w:cantSplit/>
          <w:trHeight w:val="20"/>
        </w:trPr>
        <w:tc>
          <w:tcPr>
            <w:tcW w:w="9017" w:type="dxa"/>
            <w:gridSpan w:val="8"/>
            <w:vAlign w:val="center"/>
          </w:tcPr>
          <w:p w14:paraId="760F3BAD" w14:textId="77777777" w:rsidR="0037570E" w:rsidRPr="00A3494F" w:rsidRDefault="0037570E" w:rsidP="00886A4E">
            <w:pPr>
              <w:keepLines/>
              <w:rPr>
                <w:rFonts w:ascii="Arial Narrow" w:hAnsi="Arial Narrow"/>
                <w:sz w:val="20"/>
                <w:szCs w:val="20"/>
              </w:rPr>
            </w:pPr>
            <w:r w:rsidRPr="00A3494F">
              <w:rPr>
                <w:rFonts w:ascii="Arial Narrow" w:hAnsi="Arial Narrow"/>
                <w:sz w:val="20"/>
                <w:szCs w:val="20"/>
              </w:rPr>
              <w:t xml:space="preserve">MIRIKIZUMAB </w:t>
            </w:r>
          </w:p>
        </w:tc>
      </w:tr>
      <w:tr w:rsidR="0037570E" w:rsidRPr="00A3494F" w14:paraId="53B1B3C8" w14:textId="77777777" w:rsidTr="00752982">
        <w:trPr>
          <w:cantSplit/>
          <w:trHeight w:val="20"/>
        </w:trPr>
        <w:tc>
          <w:tcPr>
            <w:tcW w:w="3940" w:type="dxa"/>
            <w:gridSpan w:val="3"/>
            <w:vAlign w:val="center"/>
          </w:tcPr>
          <w:p w14:paraId="352A2D5E" w14:textId="77777777" w:rsidR="0037570E" w:rsidRPr="00A3494F" w:rsidRDefault="0037570E" w:rsidP="00886A4E">
            <w:pPr>
              <w:keepLines/>
              <w:rPr>
                <w:rFonts w:ascii="Arial Narrow" w:hAnsi="Arial Narrow"/>
                <w:sz w:val="20"/>
                <w:szCs w:val="20"/>
              </w:rPr>
            </w:pPr>
            <w:r w:rsidRPr="00A3494F">
              <w:rPr>
                <w:rFonts w:ascii="Arial Narrow" w:hAnsi="Arial Narrow"/>
                <w:sz w:val="20"/>
                <w:szCs w:val="20"/>
              </w:rPr>
              <w:t>mirikizumab 100 mg/mL injection 2 x 1 mL pen devices</w:t>
            </w:r>
          </w:p>
        </w:tc>
        <w:tc>
          <w:tcPr>
            <w:tcW w:w="811" w:type="dxa"/>
            <w:vAlign w:val="center"/>
          </w:tcPr>
          <w:p w14:paraId="2E1B3954" w14:textId="77777777" w:rsidR="0037570E" w:rsidRPr="00A3494F" w:rsidRDefault="0037570E" w:rsidP="00886A4E">
            <w:pPr>
              <w:keepLines/>
              <w:jc w:val="center"/>
              <w:rPr>
                <w:rFonts w:ascii="Arial Narrow" w:hAnsi="Arial Narrow"/>
                <w:sz w:val="20"/>
                <w:szCs w:val="20"/>
              </w:rPr>
            </w:pPr>
            <w:r w:rsidRPr="00A3494F">
              <w:rPr>
                <w:rFonts w:ascii="Arial Narrow" w:hAnsi="Arial Narrow"/>
                <w:sz w:val="20"/>
                <w:szCs w:val="20"/>
              </w:rPr>
              <w:t>NEW</w:t>
            </w:r>
          </w:p>
        </w:tc>
        <w:tc>
          <w:tcPr>
            <w:tcW w:w="812" w:type="dxa"/>
            <w:vAlign w:val="center"/>
          </w:tcPr>
          <w:p w14:paraId="65731E9C" w14:textId="77777777" w:rsidR="0037570E" w:rsidRPr="00A3494F" w:rsidRDefault="0037570E" w:rsidP="00886A4E">
            <w:pPr>
              <w:keepLines/>
              <w:jc w:val="center"/>
              <w:rPr>
                <w:rFonts w:ascii="Arial Narrow" w:hAnsi="Arial Narrow"/>
                <w:sz w:val="20"/>
                <w:szCs w:val="20"/>
              </w:rPr>
            </w:pPr>
            <w:r w:rsidRPr="00A3494F">
              <w:rPr>
                <w:rFonts w:ascii="Arial Narrow" w:hAnsi="Arial Narrow"/>
                <w:sz w:val="20"/>
                <w:szCs w:val="20"/>
              </w:rPr>
              <w:t>1</w:t>
            </w:r>
          </w:p>
        </w:tc>
        <w:tc>
          <w:tcPr>
            <w:tcW w:w="811" w:type="dxa"/>
            <w:vAlign w:val="center"/>
          </w:tcPr>
          <w:p w14:paraId="0C6A3160" w14:textId="77777777" w:rsidR="0037570E" w:rsidRPr="00A3494F" w:rsidRDefault="0037570E" w:rsidP="00886A4E">
            <w:pPr>
              <w:keepLines/>
              <w:jc w:val="center"/>
              <w:rPr>
                <w:rFonts w:ascii="Arial Narrow" w:hAnsi="Arial Narrow"/>
                <w:sz w:val="20"/>
                <w:szCs w:val="20"/>
              </w:rPr>
            </w:pPr>
            <w:r w:rsidRPr="00A3494F">
              <w:rPr>
                <w:rFonts w:ascii="Arial Narrow" w:hAnsi="Arial Narrow"/>
                <w:sz w:val="20"/>
                <w:szCs w:val="20"/>
              </w:rPr>
              <w:t>2</w:t>
            </w:r>
          </w:p>
        </w:tc>
        <w:tc>
          <w:tcPr>
            <w:tcW w:w="812" w:type="dxa"/>
            <w:vAlign w:val="center"/>
          </w:tcPr>
          <w:p w14:paraId="60F4D629" w14:textId="77777777" w:rsidR="0037570E" w:rsidRPr="00A3494F" w:rsidRDefault="0037570E" w:rsidP="00886A4E">
            <w:pPr>
              <w:keepLines/>
              <w:jc w:val="center"/>
              <w:rPr>
                <w:rFonts w:ascii="Arial Narrow" w:hAnsi="Arial Narrow"/>
                <w:sz w:val="20"/>
                <w:szCs w:val="20"/>
              </w:rPr>
            </w:pPr>
            <w:r w:rsidRPr="00A3494F">
              <w:rPr>
                <w:rFonts w:ascii="Arial Narrow" w:hAnsi="Arial Narrow"/>
                <w:sz w:val="20"/>
                <w:szCs w:val="20"/>
              </w:rPr>
              <w:t>5</w:t>
            </w:r>
          </w:p>
        </w:tc>
        <w:tc>
          <w:tcPr>
            <w:tcW w:w="1831" w:type="dxa"/>
            <w:vAlign w:val="center"/>
          </w:tcPr>
          <w:p w14:paraId="2BC8DC21" w14:textId="77777777" w:rsidR="0037570E" w:rsidRPr="00A3494F" w:rsidRDefault="0037570E" w:rsidP="00886A4E">
            <w:pPr>
              <w:keepLines/>
              <w:rPr>
                <w:rFonts w:ascii="Arial Narrow" w:hAnsi="Arial Narrow"/>
                <w:sz w:val="20"/>
                <w:szCs w:val="20"/>
              </w:rPr>
            </w:pPr>
            <w:r w:rsidRPr="00A3494F">
              <w:rPr>
                <w:rFonts w:ascii="Arial Narrow" w:hAnsi="Arial Narrow"/>
                <w:sz w:val="20"/>
                <w:szCs w:val="20"/>
              </w:rPr>
              <w:t>Omvoh</w:t>
            </w:r>
          </w:p>
        </w:tc>
      </w:tr>
      <w:tr w:rsidR="0037570E" w:rsidRPr="00A3494F" w14:paraId="4967103B" w14:textId="77777777" w:rsidTr="0075298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634AD8AB" w14:textId="77777777" w:rsidR="0037570E" w:rsidRPr="00A3494F" w:rsidRDefault="0037570E" w:rsidP="00886A4E">
            <w:pPr>
              <w:rPr>
                <w:rFonts w:ascii="Arial Narrow" w:hAnsi="Arial Narrow"/>
                <w:sz w:val="20"/>
                <w:szCs w:val="20"/>
              </w:rPr>
            </w:pPr>
          </w:p>
        </w:tc>
      </w:tr>
      <w:tr w:rsidR="0037570E" w:rsidRPr="00A3494F" w14:paraId="53F440D9" w14:textId="77777777" w:rsidTr="00752982">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11E687CB" w14:textId="77777777" w:rsidR="0037570E" w:rsidRPr="00A3494F" w:rsidRDefault="0037570E" w:rsidP="00886A4E">
            <w:pPr>
              <w:keepLines/>
              <w:rPr>
                <w:rFonts w:ascii="Arial Narrow" w:hAnsi="Arial Narrow"/>
                <w:b/>
                <w:sz w:val="20"/>
                <w:szCs w:val="20"/>
              </w:rPr>
            </w:pPr>
            <w:r w:rsidRPr="00A3494F">
              <w:rPr>
                <w:rFonts w:ascii="Arial Narrow" w:hAnsi="Arial Narrow"/>
                <w:b/>
                <w:sz w:val="20"/>
                <w:szCs w:val="20"/>
              </w:rPr>
              <w:t xml:space="preserve">Restriction Summary 12181 / Treatment of Concept: 12135 </w:t>
            </w:r>
          </w:p>
        </w:tc>
      </w:tr>
      <w:tr w:rsidR="0037570E" w:rsidRPr="00A3494F" w14:paraId="17F033F4" w14:textId="77777777" w:rsidTr="00752982">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5C68B752" w14:textId="6C841E71" w:rsidR="0037570E" w:rsidRPr="00A3494F" w:rsidRDefault="0037570E" w:rsidP="00886A4E">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84DB39C" w14:textId="77777777" w:rsidR="0037570E" w:rsidRPr="00A3494F" w:rsidRDefault="0037570E" w:rsidP="00886A4E">
            <w:pPr>
              <w:keepLines/>
              <w:rPr>
                <w:rFonts w:ascii="Arial Narrow" w:hAnsi="Arial Narrow"/>
                <w:sz w:val="20"/>
                <w:szCs w:val="20"/>
              </w:rPr>
            </w:pPr>
            <w:r w:rsidRPr="00A3494F">
              <w:rPr>
                <w:rFonts w:ascii="Arial Narrow" w:hAnsi="Arial Narrow"/>
                <w:b/>
                <w:sz w:val="20"/>
                <w:szCs w:val="20"/>
              </w:rPr>
              <w:t xml:space="preserve">Category / Program: </w:t>
            </w:r>
            <w:r w:rsidRPr="00A3494F">
              <w:rPr>
                <w:rFonts w:ascii="Arial Narrow" w:hAnsi="Arial Narrow"/>
                <w:sz w:val="20"/>
                <w:szCs w:val="20"/>
              </w:rPr>
              <w:t>GENERAL – General Schedule (Code GE)</w:t>
            </w:r>
          </w:p>
        </w:tc>
      </w:tr>
      <w:tr w:rsidR="0037570E" w:rsidRPr="00A3494F" w14:paraId="4F112675" w14:textId="77777777" w:rsidTr="0075298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7505C7AB" w14:textId="77777777" w:rsidR="0037570E" w:rsidRPr="00A3494F" w:rsidRDefault="0037570E" w:rsidP="00886A4E">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9C9D584" w14:textId="77777777" w:rsidR="0037570E" w:rsidRPr="00A3494F" w:rsidRDefault="0037570E" w:rsidP="00886A4E">
            <w:pPr>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37570E" w:rsidRPr="00A3494F" w14:paraId="0D2D6BFA" w14:textId="77777777" w:rsidTr="00752982">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5FFD39EF" w14:textId="77777777" w:rsidR="0037570E" w:rsidRPr="00A3494F" w:rsidRDefault="0037570E" w:rsidP="00886A4E">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0A46117" w14:textId="77777777" w:rsidR="0037570E" w:rsidRPr="00A3494F" w:rsidRDefault="0037570E" w:rsidP="00886A4E">
            <w:pPr>
              <w:keepLines/>
              <w:rPr>
                <w:rFonts w:ascii="Arial Narrow" w:eastAsia="Calibri" w:hAnsi="Arial Narrow"/>
                <w:color w:val="FF0000"/>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Check3"/>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(telephone/online PBS Authorities system) </w:t>
            </w:r>
          </w:p>
        </w:tc>
      </w:tr>
      <w:tr w:rsidR="000C5E89" w:rsidRPr="00A3494F" w14:paraId="2776C2C9" w14:textId="77777777" w:rsidTr="0000520E">
        <w:tblPrEx>
          <w:tblCellMar>
            <w:top w:w="15" w:type="dxa"/>
            <w:bottom w:w="15" w:type="dxa"/>
          </w:tblCellMar>
          <w:tblLook w:val="04A0" w:firstRow="1" w:lastRow="0" w:firstColumn="1" w:lastColumn="0" w:noHBand="0" w:noVBand="1"/>
        </w:tblPrEx>
        <w:trPr>
          <w:trHeight w:val="499"/>
        </w:trPr>
        <w:tc>
          <w:tcPr>
            <w:tcW w:w="421" w:type="dxa"/>
            <w:vMerge w:val="restart"/>
            <w:tcBorders>
              <w:left w:val="single" w:sz="4" w:space="0" w:color="auto"/>
              <w:right w:val="single" w:sz="4" w:space="0" w:color="auto"/>
            </w:tcBorders>
            <w:textDirection w:val="btLr"/>
            <w:vAlign w:val="center"/>
          </w:tcPr>
          <w:p w14:paraId="22940746" w14:textId="2390B9C2" w:rsidR="000C5E89" w:rsidRPr="00A3494F" w:rsidRDefault="000C5E89" w:rsidP="00886A4E">
            <w:pPr>
              <w:jc w:val="center"/>
              <w:rPr>
                <w:rFonts w:ascii="Arial Narrow" w:hAnsi="Arial Narrow"/>
                <w:sz w:val="20"/>
                <w:szCs w:val="20"/>
              </w:rPr>
            </w:pPr>
          </w:p>
        </w:tc>
        <w:tc>
          <w:tcPr>
            <w:tcW w:w="851" w:type="dxa"/>
            <w:vAlign w:val="center"/>
          </w:tcPr>
          <w:p w14:paraId="23E7DDC6" w14:textId="0232FFC0" w:rsidR="000C5E89" w:rsidRPr="00A3494F" w:rsidRDefault="000C5E89" w:rsidP="00886A4E">
            <w:pPr>
              <w:jc w:val="center"/>
              <w:rPr>
                <w:rFonts w:ascii="Arial Narrow" w:hAnsi="Arial Narrow"/>
                <w:color w:val="333333"/>
                <w:sz w:val="20"/>
                <w:szCs w:val="20"/>
              </w:rPr>
            </w:pPr>
          </w:p>
        </w:tc>
        <w:tc>
          <w:tcPr>
            <w:tcW w:w="7745" w:type="dxa"/>
            <w:gridSpan w:val="6"/>
            <w:vAlign w:val="center"/>
          </w:tcPr>
          <w:p w14:paraId="7C1F01C6" w14:textId="77777777" w:rsidR="000C5E89" w:rsidRPr="00B21DE7" w:rsidRDefault="000C5E89" w:rsidP="00886A4E">
            <w:pPr>
              <w:rPr>
                <w:rFonts w:ascii="Arial Narrow" w:hAnsi="Arial Narrow"/>
                <w:b/>
                <w:bCs/>
                <w:color w:val="333333"/>
                <w:sz w:val="20"/>
                <w:szCs w:val="20"/>
              </w:rPr>
            </w:pPr>
            <w:r w:rsidRPr="00B21DE7">
              <w:rPr>
                <w:rFonts w:ascii="Arial Narrow" w:hAnsi="Arial Narrow"/>
                <w:b/>
                <w:bCs/>
                <w:color w:val="333333"/>
                <w:sz w:val="20"/>
                <w:szCs w:val="20"/>
              </w:rPr>
              <w:t xml:space="preserve">Administrative Advice: </w:t>
            </w:r>
          </w:p>
          <w:p w14:paraId="0AEC549D" w14:textId="4C93F07B" w:rsidR="000C5E89" w:rsidRPr="00A3494F" w:rsidRDefault="000C5E89" w:rsidP="00886A4E">
            <w:pPr>
              <w:rPr>
                <w:rFonts w:ascii="Arial Narrow" w:hAnsi="Arial Narrow"/>
                <w:color w:val="333333"/>
                <w:sz w:val="20"/>
                <w:szCs w:val="20"/>
              </w:rPr>
            </w:pPr>
            <w:r w:rsidRPr="00B21DE7">
              <w:rPr>
                <w:rFonts w:ascii="Arial Narrow" w:hAnsi="Arial Narrow"/>
                <w:color w:val="333333"/>
                <w:sz w:val="20"/>
                <w:szCs w:val="20"/>
              </w:rPr>
              <w:t>No increase in the maximum quantity or number of units may be authorised.</w:t>
            </w:r>
          </w:p>
        </w:tc>
      </w:tr>
      <w:tr w:rsidR="0037570E" w:rsidRPr="00A3494F" w14:paraId="4A51C07D" w14:textId="77777777" w:rsidTr="00070B10">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extDirection w:val="btLr"/>
            <w:vAlign w:val="center"/>
          </w:tcPr>
          <w:p w14:paraId="46E3DBEB" w14:textId="77777777" w:rsidR="0037570E" w:rsidRPr="00A3494F" w:rsidRDefault="0037570E" w:rsidP="00886A4E">
            <w:pPr>
              <w:jc w:val="center"/>
              <w:rPr>
                <w:rFonts w:ascii="Arial Narrow" w:hAnsi="Arial Narrow"/>
                <w:sz w:val="20"/>
                <w:szCs w:val="20"/>
              </w:rPr>
            </w:pPr>
          </w:p>
        </w:tc>
        <w:tc>
          <w:tcPr>
            <w:tcW w:w="851" w:type="dxa"/>
            <w:vAlign w:val="center"/>
          </w:tcPr>
          <w:p w14:paraId="2E789BB7" w14:textId="44C83375"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63FA910C" w14:textId="77777777"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 xml:space="preserve">Administrative Advice: </w:t>
            </w:r>
          </w:p>
          <w:p w14:paraId="1E9B63D6" w14:textId="77777777" w:rsidR="0037570E" w:rsidRPr="00B21DE7" w:rsidRDefault="0037570E" w:rsidP="00886A4E">
            <w:pPr>
              <w:rPr>
                <w:rFonts w:ascii="Arial Narrow" w:hAnsi="Arial Narrow"/>
                <w:color w:val="333333"/>
                <w:sz w:val="20"/>
                <w:szCs w:val="20"/>
              </w:rPr>
            </w:pPr>
            <w:r w:rsidRPr="00B21DE7">
              <w:rPr>
                <w:rFonts w:ascii="Arial Narrow" w:hAnsi="Arial Narrow"/>
                <w:color w:val="333333"/>
                <w:sz w:val="20"/>
                <w:szCs w:val="20"/>
              </w:rPr>
              <w:t>No increase in the maximum number of repeats may be authorised.</w:t>
            </w:r>
          </w:p>
        </w:tc>
      </w:tr>
      <w:tr w:rsidR="0037570E" w:rsidRPr="00A3494F" w14:paraId="76153A83" w14:textId="77777777" w:rsidTr="00070B10">
        <w:tblPrEx>
          <w:tblCellMar>
            <w:top w:w="15" w:type="dxa"/>
            <w:bottom w:w="15" w:type="dxa"/>
          </w:tblCellMar>
          <w:tblLook w:val="04A0" w:firstRow="1" w:lastRow="0" w:firstColumn="1" w:lastColumn="0" w:noHBand="0" w:noVBand="1"/>
        </w:tblPrEx>
        <w:trPr>
          <w:trHeight w:val="20"/>
        </w:trPr>
        <w:tc>
          <w:tcPr>
            <w:tcW w:w="421" w:type="dxa"/>
            <w:vMerge/>
            <w:tcBorders>
              <w:left w:val="single" w:sz="4" w:space="0" w:color="auto"/>
              <w:right w:val="single" w:sz="4" w:space="0" w:color="auto"/>
            </w:tcBorders>
          </w:tcPr>
          <w:p w14:paraId="3D525AA5" w14:textId="77777777" w:rsidR="0037570E" w:rsidRPr="00A3494F" w:rsidRDefault="0037570E" w:rsidP="00886A4E">
            <w:pPr>
              <w:rPr>
                <w:rFonts w:ascii="Arial Narrow" w:hAnsi="Arial Narrow"/>
                <w:sz w:val="20"/>
                <w:szCs w:val="20"/>
              </w:rPr>
            </w:pPr>
          </w:p>
        </w:tc>
        <w:tc>
          <w:tcPr>
            <w:tcW w:w="851" w:type="dxa"/>
            <w:vAlign w:val="center"/>
          </w:tcPr>
          <w:p w14:paraId="1B6C409D" w14:textId="4F6AE658" w:rsidR="0037570E" w:rsidRPr="00A3494F" w:rsidRDefault="0037570E" w:rsidP="00886A4E">
            <w:pPr>
              <w:jc w:val="center"/>
              <w:rPr>
                <w:rFonts w:ascii="Arial Narrow" w:hAnsi="Arial Narrow"/>
                <w:color w:val="333333"/>
                <w:sz w:val="20"/>
                <w:szCs w:val="20"/>
              </w:rPr>
            </w:pPr>
          </w:p>
        </w:tc>
        <w:tc>
          <w:tcPr>
            <w:tcW w:w="7745" w:type="dxa"/>
            <w:gridSpan w:val="6"/>
            <w:vAlign w:val="center"/>
          </w:tcPr>
          <w:p w14:paraId="22F78441" w14:textId="77777777" w:rsidR="0037570E" w:rsidRPr="00A3494F" w:rsidRDefault="0037570E" w:rsidP="00886A4E">
            <w:pPr>
              <w:rPr>
                <w:rFonts w:ascii="Arial Narrow" w:hAnsi="Arial Narrow"/>
                <w:b/>
                <w:bCs/>
                <w:color w:val="333333"/>
                <w:sz w:val="20"/>
                <w:szCs w:val="20"/>
              </w:rPr>
            </w:pPr>
            <w:r w:rsidRPr="00A3494F">
              <w:rPr>
                <w:rFonts w:ascii="Arial Narrow" w:hAnsi="Arial Narrow"/>
                <w:b/>
                <w:bCs/>
                <w:color w:val="333333"/>
                <w:sz w:val="20"/>
                <w:szCs w:val="20"/>
              </w:rPr>
              <w:t>Administrative Advice:</w:t>
            </w:r>
          </w:p>
          <w:p w14:paraId="0C997474" w14:textId="77777777" w:rsidR="0037570E" w:rsidRPr="00B21DE7" w:rsidRDefault="0037570E" w:rsidP="00886A4E">
            <w:pPr>
              <w:rPr>
                <w:rFonts w:ascii="Arial Narrow" w:hAnsi="Arial Narrow"/>
                <w:color w:val="333333"/>
                <w:sz w:val="20"/>
                <w:szCs w:val="20"/>
              </w:rPr>
            </w:pPr>
            <w:r w:rsidRPr="00B21DE7">
              <w:rPr>
                <w:rFonts w:ascii="Arial Narrow" w:hAnsi="Arial Narrow"/>
                <w:color w:val="333333"/>
                <w:sz w:val="20"/>
                <w:szCs w:val="20"/>
              </w:rPr>
              <w:t>Special Pricing Arrangements apply.</w:t>
            </w:r>
          </w:p>
        </w:tc>
      </w:tr>
      <w:tr w:rsidR="0037570E" w:rsidRPr="00A3494F" w14:paraId="466E4DDC"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772B285" w14:textId="5313ABD0" w:rsidR="0037570E" w:rsidRPr="00A3494F" w:rsidRDefault="0037570E" w:rsidP="00886A4E">
            <w:pPr>
              <w:keepLines/>
              <w:jc w:val="center"/>
              <w:rPr>
                <w:rFonts w:ascii="Arial Narrow" w:hAnsi="Arial Narrow"/>
                <w:color w:val="333333"/>
                <w:sz w:val="20"/>
                <w:szCs w:val="20"/>
              </w:rPr>
            </w:pPr>
          </w:p>
        </w:tc>
        <w:tc>
          <w:tcPr>
            <w:tcW w:w="7745" w:type="dxa"/>
            <w:gridSpan w:val="6"/>
            <w:vAlign w:val="center"/>
            <w:hideMark/>
          </w:tcPr>
          <w:p w14:paraId="763766C3" w14:textId="77777777" w:rsidR="0037570E" w:rsidRPr="00A3494F" w:rsidRDefault="0037570E" w:rsidP="00886A4E">
            <w:pPr>
              <w:keepLines/>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37570E" w:rsidRPr="00A3494F" w14:paraId="78938D0C"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0ADD70D" w14:textId="77777777"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781FD74D" w14:textId="04B63D85" w:rsidR="0037570E" w:rsidRPr="00A3494F" w:rsidRDefault="0037570E" w:rsidP="00886A4E">
            <w:pPr>
              <w:rPr>
                <w:rFonts w:ascii="Arial Narrow" w:hAnsi="Arial Narrow"/>
                <w:sz w:val="20"/>
                <w:szCs w:val="20"/>
              </w:rPr>
            </w:pPr>
            <w:r w:rsidRPr="00A3494F">
              <w:rPr>
                <w:rFonts w:ascii="Arial Narrow" w:hAnsi="Arial Narrow"/>
                <w:b/>
                <w:bCs/>
                <w:color w:val="333333"/>
                <w:sz w:val="20"/>
                <w:szCs w:val="20"/>
              </w:rPr>
              <w:t>Treatment Phase:</w:t>
            </w:r>
            <w:r w:rsidRPr="00A3494F">
              <w:rPr>
                <w:rFonts w:ascii="Arial Narrow" w:hAnsi="Arial Narrow"/>
                <w:color w:val="FF0000"/>
                <w:sz w:val="20"/>
                <w:szCs w:val="20"/>
              </w:rPr>
              <w:t xml:space="preserve"> </w:t>
            </w:r>
            <w:r w:rsidRPr="00A3494F">
              <w:rPr>
                <w:rFonts w:ascii="Arial Narrow" w:hAnsi="Arial Narrow"/>
                <w:color w:val="333333"/>
                <w:sz w:val="20"/>
                <w:szCs w:val="20"/>
              </w:rPr>
              <w:t xml:space="preserve">Continuing treatment </w:t>
            </w:r>
          </w:p>
        </w:tc>
      </w:tr>
      <w:tr w:rsidR="0037570E" w:rsidRPr="00A3494F" w14:paraId="127E05F4"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F96EABD" w14:textId="34B32F58"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6BB8255B" w14:textId="77777777" w:rsidR="0037570E" w:rsidRPr="00A3494F" w:rsidRDefault="0037570E" w:rsidP="00886A4E">
            <w:pPr>
              <w:rPr>
                <w:rFonts w:ascii="Arial Narrow" w:hAnsi="Arial Narrow"/>
                <w:sz w:val="20"/>
                <w:szCs w:val="20"/>
              </w:rPr>
            </w:pPr>
            <w:r w:rsidRPr="00A3494F">
              <w:rPr>
                <w:rFonts w:ascii="Arial Narrow" w:hAnsi="Arial Narrow"/>
                <w:b/>
                <w:bCs/>
                <w:color w:val="333333"/>
                <w:sz w:val="20"/>
                <w:szCs w:val="20"/>
              </w:rPr>
              <w:t xml:space="preserve">Clinical criteria: </w:t>
            </w:r>
          </w:p>
        </w:tc>
      </w:tr>
      <w:tr w:rsidR="0037570E" w:rsidRPr="00A3494F" w14:paraId="13C1222F"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7B718B7" w14:textId="592C0235"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163BEB5E" w14:textId="754CA435" w:rsidR="0037570E" w:rsidRPr="00A3494F" w:rsidRDefault="00070B10" w:rsidP="00886A4E">
            <w:pPr>
              <w:rPr>
                <w:rFonts w:ascii="Arial Narrow" w:hAnsi="Arial Narrow" w:cs="Arial Narrow"/>
                <w:sz w:val="20"/>
                <w:szCs w:val="20"/>
              </w:rPr>
            </w:pPr>
            <w:r w:rsidRPr="005C58A9">
              <w:rPr>
                <w:rFonts w:ascii="Arial Narrow" w:hAnsi="Arial Narrow" w:cs="Arial Narrow"/>
                <w:sz w:val="20"/>
                <w:szCs w:val="20"/>
              </w:rPr>
              <w:t>Patient must have</w:t>
            </w:r>
            <w:r w:rsidRPr="005C58A9">
              <w:rPr>
                <w:rFonts w:ascii="Arial Narrow" w:hAnsi="Arial Narrow" w:cs="Arial Narrow"/>
                <w:i/>
                <w:iCs/>
                <w:sz w:val="20"/>
                <w:szCs w:val="20"/>
              </w:rPr>
              <w:t xml:space="preserve"> </w:t>
            </w:r>
            <w:r w:rsidRPr="005C58A9">
              <w:rPr>
                <w:rFonts w:ascii="Arial Narrow" w:hAnsi="Arial Narrow" w:cs="Arial Narrow"/>
                <w:sz w:val="20"/>
                <w:szCs w:val="20"/>
              </w:rPr>
              <w:t xml:space="preserve">received </w:t>
            </w:r>
            <w:r w:rsidRPr="00BD26EB">
              <w:rPr>
                <w:rFonts w:ascii="Arial Narrow" w:hAnsi="Arial Narrow" w:cs="Arial Narrow"/>
                <w:sz w:val="20"/>
                <w:szCs w:val="20"/>
              </w:rPr>
              <w:t>this drug as their most recent course of</w:t>
            </w:r>
            <w:r w:rsidRPr="005C58A9">
              <w:rPr>
                <w:rFonts w:ascii="Arial Narrow" w:hAnsi="Arial Narrow" w:cs="Arial Narrow"/>
                <w:sz w:val="20"/>
                <w:szCs w:val="20"/>
              </w:rPr>
              <w:t xml:space="preserve"> PBS-subsidised </w:t>
            </w:r>
            <w:r w:rsidRPr="00BD26EB">
              <w:rPr>
                <w:rFonts w:ascii="Arial Narrow" w:hAnsi="Arial Narrow" w:cs="Arial Narrow"/>
                <w:sz w:val="20"/>
                <w:szCs w:val="20"/>
              </w:rPr>
              <w:t>biological medicine</w:t>
            </w:r>
            <w:r w:rsidRPr="005C58A9">
              <w:rPr>
                <w:rFonts w:ascii="Arial Narrow" w:hAnsi="Arial Narrow" w:cs="Arial Narrow"/>
                <w:strike/>
                <w:sz w:val="20"/>
                <w:szCs w:val="20"/>
              </w:rPr>
              <w:t xml:space="preserve"> </w:t>
            </w:r>
            <w:r w:rsidRPr="005C58A9">
              <w:rPr>
                <w:rFonts w:ascii="Arial Narrow" w:hAnsi="Arial Narrow" w:cs="Arial Narrow"/>
                <w:sz w:val="20"/>
                <w:szCs w:val="20"/>
              </w:rPr>
              <w:t>treatment</w:t>
            </w:r>
            <w:r w:rsidRPr="005C58A9">
              <w:rPr>
                <w:rFonts w:ascii="Arial Narrow" w:hAnsi="Arial Narrow" w:cs="Arial Narrow"/>
                <w:i/>
                <w:iCs/>
                <w:sz w:val="20"/>
                <w:szCs w:val="20"/>
              </w:rPr>
              <w:t xml:space="preserve"> </w:t>
            </w:r>
            <w:r w:rsidRPr="005C58A9">
              <w:rPr>
                <w:rFonts w:ascii="Arial Narrow" w:hAnsi="Arial Narrow" w:cs="Arial Narrow"/>
                <w:sz w:val="20"/>
                <w:szCs w:val="20"/>
              </w:rPr>
              <w:t>for this condition;</w:t>
            </w:r>
          </w:p>
        </w:tc>
      </w:tr>
      <w:tr w:rsidR="0037570E" w:rsidRPr="00A3494F" w14:paraId="00ED155E"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3491EEB" w14:textId="77777777"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5733FFE7"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AND</w:t>
            </w:r>
          </w:p>
        </w:tc>
      </w:tr>
      <w:tr w:rsidR="0037570E" w:rsidRPr="00A3494F" w14:paraId="5025CE4A"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2595F76" w14:textId="085D90C9"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59B00111" w14:textId="77777777" w:rsidR="0037570E" w:rsidRPr="00A3494F" w:rsidRDefault="0037570E" w:rsidP="00886A4E">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37570E" w:rsidRPr="00A3494F" w14:paraId="4CCB1C40"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567DE9F" w14:textId="08882738" w:rsidR="0037570E" w:rsidRPr="00A3494F" w:rsidRDefault="0037570E" w:rsidP="00886A4E">
            <w:pPr>
              <w:jc w:val="center"/>
              <w:rPr>
                <w:rFonts w:ascii="Arial Narrow" w:hAnsi="Arial Narrow"/>
                <w:color w:val="333333"/>
                <w:sz w:val="20"/>
                <w:szCs w:val="20"/>
              </w:rPr>
            </w:pPr>
          </w:p>
        </w:tc>
        <w:tc>
          <w:tcPr>
            <w:tcW w:w="7745" w:type="dxa"/>
            <w:gridSpan w:val="6"/>
            <w:vAlign w:val="center"/>
            <w:hideMark/>
          </w:tcPr>
          <w:p w14:paraId="0CD46FA1" w14:textId="77777777" w:rsidR="0037570E" w:rsidRPr="00A3494F" w:rsidRDefault="0037570E" w:rsidP="00886A4E">
            <w:pPr>
              <w:rPr>
                <w:rFonts w:ascii="Arial Narrow" w:hAnsi="Arial Narrow" w:cs="Arial Narrow"/>
                <w:sz w:val="20"/>
                <w:szCs w:val="20"/>
              </w:rPr>
            </w:pPr>
            <w:r w:rsidRPr="00A3494F">
              <w:rPr>
                <w:rFonts w:ascii="Arial Narrow" w:hAnsi="Arial Narrow" w:cs="Arial Narrow"/>
                <w:sz w:val="20"/>
                <w:szCs w:val="20"/>
              </w:rPr>
              <w:t>Patient must have demonstrated or sustained an adequate response to treatment by having a partial Mayo clinic score less than or equal to 2, with no subscore greater than 1 while receiving treatment with this drug.</w:t>
            </w:r>
          </w:p>
        </w:tc>
      </w:tr>
      <w:tr w:rsidR="00070B10" w:rsidRPr="00A3494F" w14:paraId="547B0E4F"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6CA3FD5" w14:textId="77777777"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67FF9EC6" w14:textId="23999DAB" w:rsidR="00070B10" w:rsidRPr="00A3494F" w:rsidRDefault="00070B10" w:rsidP="00070B10">
            <w:pPr>
              <w:rPr>
                <w:rFonts w:ascii="Arial Narrow" w:hAnsi="Arial Narrow" w:cs="Arial Narrow"/>
                <w:sz w:val="20"/>
                <w:szCs w:val="20"/>
              </w:rPr>
            </w:pPr>
            <w:r w:rsidRPr="001428E9">
              <w:rPr>
                <w:rFonts w:ascii="Arial Narrow" w:hAnsi="Arial Narrow"/>
                <w:b/>
                <w:bCs/>
                <w:color w:val="333333"/>
                <w:sz w:val="20"/>
                <w:szCs w:val="20"/>
              </w:rPr>
              <w:t>AND</w:t>
            </w:r>
          </w:p>
        </w:tc>
      </w:tr>
      <w:tr w:rsidR="00070B10" w:rsidRPr="00A3494F" w14:paraId="7D596240"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4912BED" w14:textId="6A554BA9"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504EE2A3" w14:textId="2BD81DDD" w:rsidR="00070B10" w:rsidRPr="00A3494F" w:rsidRDefault="00070B10" w:rsidP="00070B10">
            <w:pPr>
              <w:rPr>
                <w:rFonts w:ascii="Arial Narrow" w:hAnsi="Arial Narrow" w:cs="Arial Narrow"/>
                <w:sz w:val="20"/>
                <w:szCs w:val="20"/>
              </w:rPr>
            </w:pPr>
            <w:r w:rsidRPr="001428E9">
              <w:rPr>
                <w:rFonts w:ascii="Arial Narrow" w:hAnsi="Arial Narrow"/>
                <w:b/>
                <w:bCs/>
                <w:color w:val="333333"/>
                <w:sz w:val="20"/>
                <w:szCs w:val="20"/>
              </w:rPr>
              <w:t>Clinical criteria:</w:t>
            </w:r>
          </w:p>
        </w:tc>
      </w:tr>
      <w:tr w:rsidR="00070B10" w:rsidRPr="00A3494F" w14:paraId="1EE1E5F4"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813D3DB" w14:textId="654474B3"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2BB376D0" w14:textId="668D89C2" w:rsidR="00070B10" w:rsidRPr="00A3494F" w:rsidRDefault="00070B10" w:rsidP="00070B10">
            <w:pPr>
              <w:rPr>
                <w:rFonts w:ascii="Arial Narrow" w:hAnsi="Arial Narrow" w:cs="Arial Narrow"/>
                <w:sz w:val="20"/>
                <w:szCs w:val="20"/>
              </w:rPr>
            </w:pPr>
            <w:r w:rsidRPr="00BD26EB">
              <w:rPr>
                <w:rFonts w:ascii="Arial Narrow" w:hAnsi="Arial Narrow"/>
                <w:color w:val="333333"/>
                <w:sz w:val="20"/>
                <w:szCs w:val="20"/>
              </w:rPr>
              <w:t>Patient must not receive more than 24 weeks of treatment under this restriction</w:t>
            </w:r>
          </w:p>
        </w:tc>
      </w:tr>
      <w:tr w:rsidR="00070B10" w:rsidRPr="00A3494F" w14:paraId="668A296D"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70795E6" w14:textId="0E3DDCDC" w:rsidR="00070B10" w:rsidRPr="00A3494F" w:rsidRDefault="00070B10" w:rsidP="00070B10">
            <w:pPr>
              <w:keepNext/>
              <w:jc w:val="center"/>
              <w:rPr>
                <w:rFonts w:ascii="Arial Narrow" w:hAnsi="Arial Narrow"/>
                <w:color w:val="333333"/>
                <w:sz w:val="20"/>
                <w:szCs w:val="20"/>
              </w:rPr>
            </w:pPr>
          </w:p>
        </w:tc>
        <w:tc>
          <w:tcPr>
            <w:tcW w:w="7745" w:type="dxa"/>
            <w:gridSpan w:val="6"/>
            <w:vAlign w:val="center"/>
            <w:hideMark/>
          </w:tcPr>
          <w:p w14:paraId="690E5971" w14:textId="77777777" w:rsidR="00070B10" w:rsidRPr="00A3494F" w:rsidRDefault="00070B10" w:rsidP="00070B10">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070B10" w:rsidRPr="00A3494F" w14:paraId="6CBBCB44"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988CB4D" w14:textId="764E91A0" w:rsidR="00070B10" w:rsidRPr="00A3494F" w:rsidRDefault="00070B10" w:rsidP="00070B10">
            <w:pPr>
              <w:jc w:val="center"/>
              <w:rPr>
                <w:rFonts w:ascii="Arial Narrow" w:hAnsi="Arial Narrow"/>
                <w:color w:val="333333"/>
                <w:sz w:val="20"/>
                <w:szCs w:val="20"/>
              </w:rPr>
            </w:pPr>
          </w:p>
        </w:tc>
        <w:tc>
          <w:tcPr>
            <w:tcW w:w="7745" w:type="dxa"/>
            <w:gridSpan w:val="6"/>
            <w:vAlign w:val="center"/>
            <w:hideMark/>
          </w:tcPr>
          <w:p w14:paraId="50C9E750" w14:textId="4072D89E" w:rsidR="00070B10" w:rsidRPr="00A3494F" w:rsidRDefault="00070B10" w:rsidP="00070B10">
            <w:pPr>
              <w:autoSpaceDE w:val="0"/>
              <w:autoSpaceDN w:val="0"/>
              <w:adjustRightInd w:val="0"/>
              <w:rPr>
                <w:rFonts w:ascii="Arial Narrow" w:hAnsi="Arial Narrow" w:cs="Arial Narrow"/>
                <w:i/>
                <w:iCs/>
                <w:sz w:val="20"/>
                <w:szCs w:val="20"/>
              </w:rPr>
            </w:pPr>
            <w:r w:rsidRPr="00A3494F">
              <w:rPr>
                <w:rFonts w:ascii="Arial Narrow" w:hAnsi="Arial Narrow" w:cs="Arial Narrow"/>
                <w:sz w:val="20"/>
                <w:szCs w:val="20"/>
              </w:rPr>
              <w:t>Must be treated by a gastroenterologist (code 87); OR</w:t>
            </w:r>
          </w:p>
        </w:tc>
      </w:tr>
      <w:tr w:rsidR="00070B10" w:rsidRPr="00A3494F" w14:paraId="6C782BAF"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57AD966" w14:textId="3F359FAF"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34F314F8" w14:textId="456B53EF" w:rsidR="00070B10" w:rsidRPr="00A3494F" w:rsidRDefault="00070B10" w:rsidP="00070B10">
            <w:pPr>
              <w:autoSpaceDE w:val="0"/>
              <w:autoSpaceDN w:val="0"/>
              <w:adjustRightInd w:val="0"/>
              <w:rPr>
                <w:rFonts w:ascii="Arial Narrow" w:hAnsi="Arial Narrow" w:cs="Arial Narrow"/>
                <w:sz w:val="20"/>
                <w:szCs w:val="20"/>
              </w:rPr>
            </w:pPr>
            <w:r w:rsidRPr="00A3494F">
              <w:rPr>
                <w:rFonts w:ascii="Arial Narrow" w:hAnsi="Arial Narrow" w:cs="Arial Narrow"/>
                <w:sz w:val="20"/>
                <w:szCs w:val="20"/>
              </w:rPr>
              <w:t>Must be treated by a consultant physician [internal medicine specialising in gastroenterology (code 81)]; OR</w:t>
            </w:r>
          </w:p>
        </w:tc>
      </w:tr>
      <w:tr w:rsidR="00070B10" w:rsidRPr="00A3494F" w14:paraId="15AFD9BE"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F571EB3" w14:textId="073BE075"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1C41719A" w14:textId="74CE7ED7" w:rsidR="00070B10" w:rsidRPr="00A3494F" w:rsidRDefault="00070B10" w:rsidP="00070B10">
            <w:pPr>
              <w:autoSpaceDE w:val="0"/>
              <w:autoSpaceDN w:val="0"/>
              <w:adjustRightInd w:val="0"/>
              <w:rPr>
                <w:rFonts w:ascii="Arial Narrow" w:hAnsi="Arial Narrow" w:cs="Arial Narrow"/>
                <w:sz w:val="20"/>
                <w:szCs w:val="20"/>
              </w:rPr>
            </w:pPr>
            <w:r w:rsidRPr="00A3494F">
              <w:rPr>
                <w:rFonts w:ascii="Arial Narrow" w:hAnsi="Arial Narrow" w:cs="Arial Narrow"/>
                <w:sz w:val="20"/>
                <w:szCs w:val="20"/>
              </w:rPr>
              <w:t>Must be treated by a consultant physician [general medicine specialising in gastroenterology (code 82)].</w:t>
            </w:r>
          </w:p>
        </w:tc>
      </w:tr>
      <w:tr w:rsidR="00070B10" w:rsidRPr="00A3494F" w14:paraId="66FF8667"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B71DC6C" w14:textId="1F1EA0DA" w:rsidR="00070B10" w:rsidRPr="00A3494F" w:rsidRDefault="00070B10" w:rsidP="00070B10">
            <w:pPr>
              <w:jc w:val="center"/>
              <w:rPr>
                <w:rFonts w:ascii="Arial Narrow" w:hAnsi="Arial Narrow"/>
                <w:color w:val="333333"/>
                <w:sz w:val="20"/>
                <w:szCs w:val="20"/>
              </w:rPr>
            </w:pPr>
          </w:p>
        </w:tc>
        <w:tc>
          <w:tcPr>
            <w:tcW w:w="7745" w:type="dxa"/>
            <w:gridSpan w:val="6"/>
            <w:vAlign w:val="center"/>
            <w:hideMark/>
          </w:tcPr>
          <w:p w14:paraId="5A220AA7" w14:textId="77777777" w:rsidR="00070B10" w:rsidRPr="00A3494F" w:rsidRDefault="00070B10" w:rsidP="00070B10">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070B10" w:rsidRPr="00A3494F" w14:paraId="4BC6A2C2"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3D4002C" w14:textId="750D9572" w:rsidR="00070B10" w:rsidRPr="00A3494F" w:rsidRDefault="00070B10" w:rsidP="00070B10">
            <w:pPr>
              <w:jc w:val="center"/>
              <w:rPr>
                <w:rFonts w:ascii="Arial Narrow" w:hAnsi="Arial Narrow"/>
                <w:color w:val="333333"/>
                <w:sz w:val="20"/>
                <w:szCs w:val="20"/>
              </w:rPr>
            </w:pPr>
          </w:p>
        </w:tc>
        <w:tc>
          <w:tcPr>
            <w:tcW w:w="7745" w:type="dxa"/>
            <w:gridSpan w:val="6"/>
            <w:vAlign w:val="center"/>
            <w:hideMark/>
          </w:tcPr>
          <w:p w14:paraId="27178143" w14:textId="0B8F3EFD" w:rsidR="00070B10" w:rsidRPr="00A3494F" w:rsidRDefault="00070B10" w:rsidP="00070B10">
            <w:pPr>
              <w:rPr>
                <w:rFonts w:ascii="Arial Narrow" w:hAnsi="Arial Narrow"/>
                <w:color w:val="333333"/>
                <w:sz w:val="20"/>
                <w:szCs w:val="20"/>
              </w:rPr>
            </w:pPr>
            <w:r w:rsidRPr="00B53CDC">
              <w:rPr>
                <w:rFonts w:ascii="Arial Narrow" w:hAnsi="Arial Narrow"/>
                <w:color w:val="333333"/>
                <w:sz w:val="20"/>
                <w:szCs w:val="20"/>
              </w:rPr>
              <w:t xml:space="preserve">Patient must be </w:t>
            </w:r>
            <w:r>
              <w:rPr>
                <w:rFonts w:ascii="Arial Narrow" w:hAnsi="Arial Narrow"/>
                <w:color w:val="333333"/>
                <w:sz w:val="20"/>
                <w:szCs w:val="20"/>
              </w:rPr>
              <w:t>at least 18 years of age</w:t>
            </w:r>
          </w:p>
        </w:tc>
      </w:tr>
      <w:tr w:rsidR="00070B10" w:rsidRPr="00A3494F" w14:paraId="7EFBF770"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E5EC7E4" w14:textId="252B36D8"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35274062" w14:textId="77777777" w:rsidR="00070B10" w:rsidRPr="00A3494F" w:rsidRDefault="00070B10" w:rsidP="00070B10">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3DDDBF2D" w14:textId="77777777" w:rsidR="00070B10" w:rsidRPr="00A3494F" w:rsidRDefault="00070B10" w:rsidP="00070B10">
            <w:pPr>
              <w:rPr>
                <w:rFonts w:ascii="Arial Narrow" w:hAnsi="Arial Narrow"/>
                <w:color w:val="333333"/>
                <w:sz w:val="20"/>
                <w:szCs w:val="20"/>
              </w:rPr>
            </w:pPr>
            <w:r w:rsidRPr="00A3494F">
              <w:rPr>
                <w:rFonts w:ascii="Arial Narrow" w:hAnsi="Arial Narrow"/>
                <w:color w:val="333333"/>
                <w:sz w:val="20"/>
                <w:szCs w:val="20"/>
              </w:rPr>
              <w:t>Patients who have failed to maintain a partial Mayo clinic score less than or equal to 2, with no subscore greater than 1 with continuing treatment with this drug, will not be eligible to receive further PBS-subsidised treatment with this drug.</w:t>
            </w:r>
          </w:p>
        </w:tc>
      </w:tr>
      <w:tr w:rsidR="00070B10" w:rsidRPr="00A3494F" w14:paraId="60B2A06F"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3507894" w14:textId="05E3BCD6"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612E8707" w14:textId="77777777" w:rsidR="00070B10" w:rsidRPr="00A3494F" w:rsidRDefault="00070B10" w:rsidP="00070B10">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50FEF966" w14:textId="77777777" w:rsidR="00070B10" w:rsidRPr="00A3494F" w:rsidRDefault="00070B10" w:rsidP="00070B10">
            <w:pPr>
              <w:rPr>
                <w:rFonts w:ascii="Arial Narrow" w:hAnsi="Arial Narrow"/>
                <w:color w:val="333333"/>
                <w:sz w:val="20"/>
                <w:szCs w:val="20"/>
              </w:rPr>
            </w:pPr>
            <w:r w:rsidRPr="00A3494F">
              <w:rPr>
                <w:rFonts w:ascii="Arial Narrow" w:hAnsi="Arial Narrow"/>
                <w:color w:val="333333"/>
                <w:sz w:val="20"/>
                <w:szCs w:val="20"/>
              </w:rPr>
              <w:t>Patients are eligible to receive continuing treatment with this drug in courses of up to 24 weeks providing they continue to sustain a response.</w:t>
            </w:r>
          </w:p>
        </w:tc>
      </w:tr>
      <w:tr w:rsidR="00070B10" w:rsidRPr="00A3494F" w14:paraId="47FF5BB8"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FC1AF1F" w14:textId="0CD01258"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04680837" w14:textId="77777777" w:rsidR="00070B10" w:rsidRPr="00A3494F" w:rsidRDefault="00070B10" w:rsidP="00070B10">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260FD231" w14:textId="77777777" w:rsidR="00070B10" w:rsidRPr="00A3494F" w:rsidRDefault="00070B10" w:rsidP="00070B10">
            <w:pPr>
              <w:rPr>
                <w:rFonts w:ascii="Arial Narrow" w:hAnsi="Arial Narrow"/>
                <w:color w:val="333333"/>
                <w:sz w:val="20"/>
                <w:szCs w:val="20"/>
              </w:rPr>
            </w:pPr>
            <w:r w:rsidRPr="00A3494F">
              <w:rPr>
                <w:rFonts w:ascii="Arial Narrow" w:hAnsi="Arial Narrow"/>
                <w:color w:val="333333"/>
                <w:sz w:val="20"/>
                <w:szCs w:val="20"/>
              </w:rPr>
              <w:t>At the time of the authority application, medical practitioners should request sufficient quantity for up to 24 weeks of treatment under this restriction.</w:t>
            </w:r>
          </w:p>
        </w:tc>
      </w:tr>
      <w:tr w:rsidR="00070B10" w:rsidRPr="00A3494F" w14:paraId="5180D88C"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A6E8B58" w14:textId="255C8114"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6DE47F37" w14:textId="77777777" w:rsidR="00070B10" w:rsidRPr="00A3494F" w:rsidRDefault="00070B10" w:rsidP="00070B10">
            <w:pPr>
              <w:rPr>
                <w:rFonts w:ascii="Arial Narrow" w:hAnsi="Arial Narrow"/>
                <w:b/>
                <w:bCs/>
                <w:color w:val="333333"/>
                <w:sz w:val="20"/>
                <w:szCs w:val="20"/>
              </w:rPr>
            </w:pPr>
            <w:r w:rsidRPr="00A3494F">
              <w:rPr>
                <w:rFonts w:ascii="Arial Narrow" w:hAnsi="Arial Narrow"/>
                <w:b/>
                <w:bCs/>
                <w:color w:val="333333"/>
                <w:sz w:val="20"/>
                <w:szCs w:val="20"/>
              </w:rPr>
              <w:t>Prescribing Instructions:</w:t>
            </w:r>
          </w:p>
          <w:p w14:paraId="71F14F6C" w14:textId="392FA61A" w:rsidR="00070B10" w:rsidRPr="00A3494F" w:rsidRDefault="00070B10" w:rsidP="00070B10">
            <w:pPr>
              <w:rPr>
                <w:rFonts w:ascii="Arial Narrow" w:hAnsi="Arial Narrow"/>
                <w:color w:val="333333"/>
                <w:sz w:val="20"/>
                <w:szCs w:val="20"/>
              </w:rPr>
            </w:pPr>
            <w:r w:rsidRPr="00B53CDC">
              <w:rPr>
                <w:rFonts w:ascii="Arial Narrow" w:hAnsi="Arial Narrow"/>
                <w:color w:val="333333"/>
                <w:sz w:val="20"/>
                <w:szCs w:val="20"/>
              </w:rPr>
              <w:t xml:space="preserve">An application for the continuing treatment must be accompanied with the assessment of response </w:t>
            </w:r>
            <w:r w:rsidRPr="00336EC6">
              <w:rPr>
                <w:rFonts w:ascii="Arial Narrow" w:hAnsi="Arial Narrow"/>
                <w:color w:val="333333"/>
                <w:sz w:val="20"/>
                <w:szCs w:val="20"/>
              </w:rPr>
              <w:t xml:space="preserve">conducted </w:t>
            </w:r>
            <w:r>
              <w:rPr>
                <w:rFonts w:ascii="Arial Narrow" w:hAnsi="Arial Narrow"/>
                <w:color w:val="333333"/>
                <w:sz w:val="20"/>
                <w:szCs w:val="20"/>
              </w:rPr>
              <w:t xml:space="preserve">following a minimum of </w:t>
            </w:r>
            <w:r w:rsidRPr="00B53CDC">
              <w:rPr>
                <w:rFonts w:ascii="Arial Narrow" w:hAnsi="Arial Narrow"/>
                <w:color w:val="333333"/>
                <w:sz w:val="20"/>
                <w:szCs w:val="20"/>
              </w:rPr>
              <w:t>12 weeks</w:t>
            </w:r>
            <w:r>
              <w:rPr>
                <w:rFonts w:ascii="Arial Narrow" w:hAnsi="Arial Narrow"/>
                <w:color w:val="333333"/>
                <w:sz w:val="20"/>
                <w:szCs w:val="20"/>
              </w:rPr>
              <w:t xml:space="preserve"> </w:t>
            </w:r>
            <w:r w:rsidRPr="00336EC6">
              <w:rPr>
                <w:rFonts w:ascii="Arial Narrow" w:hAnsi="Arial Narrow"/>
                <w:color w:val="333333"/>
                <w:sz w:val="20"/>
                <w:szCs w:val="20"/>
              </w:rPr>
              <w:t>of therapy</w:t>
            </w:r>
            <w:r>
              <w:rPr>
                <w:rFonts w:ascii="Arial Narrow" w:hAnsi="Arial Narrow"/>
                <w:i/>
                <w:iCs/>
                <w:color w:val="333333"/>
                <w:sz w:val="20"/>
                <w:szCs w:val="20"/>
              </w:rPr>
              <w:t xml:space="preserve"> </w:t>
            </w:r>
            <w:r w:rsidRPr="00336EC6">
              <w:rPr>
                <w:rFonts w:ascii="Arial Narrow" w:hAnsi="Arial Narrow"/>
                <w:color w:val="333333"/>
                <w:sz w:val="20"/>
                <w:szCs w:val="20"/>
              </w:rPr>
              <w:t xml:space="preserve">and </w:t>
            </w:r>
            <w:r w:rsidRPr="00B53CDC">
              <w:rPr>
                <w:rFonts w:ascii="Arial Narrow" w:hAnsi="Arial Narrow"/>
                <w:color w:val="333333"/>
                <w:sz w:val="20"/>
                <w:szCs w:val="20"/>
              </w:rPr>
              <w:t>no later than 4 weeks from</w:t>
            </w:r>
            <w:r>
              <w:rPr>
                <w:rFonts w:ascii="Arial Narrow" w:hAnsi="Arial Narrow"/>
                <w:color w:val="333333"/>
                <w:sz w:val="20"/>
                <w:szCs w:val="20"/>
              </w:rPr>
              <w:t xml:space="preserve"> </w:t>
            </w:r>
            <w:r w:rsidRPr="00336EC6">
              <w:rPr>
                <w:rFonts w:ascii="Arial Narrow" w:hAnsi="Arial Narrow"/>
                <w:color w:val="333333"/>
                <w:sz w:val="20"/>
                <w:szCs w:val="20"/>
              </w:rPr>
              <w:t xml:space="preserve">cessation of the most recent course </w:t>
            </w:r>
            <w:r w:rsidRPr="00B53CDC">
              <w:rPr>
                <w:rFonts w:ascii="Arial Narrow" w:hAnsi="Arial Narrow"/>
                <w:color w:val="333333"/>
                <w:sz w:val="20"/>
                <w:szCs w:val="20"/>
              </w:rPr>
              <w:t>of treatment. This will enable ongoing treatment for those who meet the continuing restriction for PBS-subsidised treatment.</w:t>
            </w:r>
          </w:p>
        </w:tc>
      </w:tr>
      <w:tr w:rsidR="00070B10" w:rsidRPr="00A3494F" w14:paraId="0F4753B4"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0774D1D" w14:textId="77777777" w:rsidR="00070B10" w:rsidRPr="00A3494F" w:rsidRDefault="00070B10" w:rsidP="00070B10">
            <w:pPr>
              <w:jc w:val="center"/>
              <w:rPr>
                <w:rFonts w:ascii="Arial Narrow" w:hAnsi="Arial Narrow"/>
                <w:color w:val="333333"/>
                <w:sz w:val="20"/>
                <w:szCs w:val="20"/>
              </w:rPr>
            </w:pPr>
          </w:p>
        </w:tc>
        <w:tc>
          <w:tcPr>
            <w:tcW w:w="7745" w:type="dxa"/>
            <w:gridSpan w:val="6"/>
            <w:vAlign w:val="center"/>
            <w:hideMark/>
          </w:tcPr>
          <w:p w14:paraId="3BD636EA" w14:textId="77777777" w:rsidR="00070B10" w:rsidRPr="00A3494F" w:rsidRDefault="00070B10" w:rsidP="00070B10">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01FE2E6A" w14:textId="57BD1655" w:rsidR="00070B10" w:rsidRPr="00A13761" w:rsidRDefault="00070B10" w:rsidP="00070B10">
            <w:pPr>
              <w:rPr>
                <w:rFonts w:ascii="Arial Narrow" w:hAnsi="Arial Narrow"/>
                <w:color w:val="333333"/>
                <w:sz w:val="20"/>
                <w:szCs w:val="20"/>
              </w:rPr>
            </w:pPr>
            <w:r w:rsidRPr="00A3494F">
              <w:rPr>
                <w:rFonts w:ascii="Arial Narrow" w:hAnsi="Arial Narrow"/>
                <w:color w:val="333333"/>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070B10" w:rsidRPr="00A3494F" w14:paraId="4FC35F06"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E62E6E7" w14:textId="265204BD"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7340F379" w14:textId="77777777" w:rsidR="00070B10" w:rsidRPr="00A3494F" w:rsidRDefault="00070B10" w:rsidP="00070B10">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1DC954B5" w14:textId="77777777" w:rsidR="00070B10" w:rsidRPr="00A3494F" w:rsidRDefault="00070B10" w:rsidP="00070B10">
            <w:pPr>
              <w:rPr>
                <w:rFonts w:ascii="Arial Narrow" w:hAnsi="Arial Narrow"/>
                <w:color w:val="333333"/>
                <w:sz w:val="20"/>
                <w:szCs w:val="20"/>
              </w:rPr>
            </w:pPr>
            <w:r w:rsidRPr="00A3494F">
              <w:rPr>
                <w:rFonts w:ascii="Arial Narrow" w:hAnsi="Arial Narrow"/>
                <w:color w:val="333333"/>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070B10" w:rsidRPr="00A3494F" w14:paraId="151EC13F" w14:textId="77777777" w:rsidTr="00752982">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52136A9" w14:textId="338C83F4" w:rsidR="00070B10" w:rsidRPr="00A3494F" w:rsidRDefault="00070B10" w:rsidP="00070B10">
            <w:pPr>
              <w:jc w:val="center"/>
              <w:rPr>
                <w:rFonts w:ascii="Arial Narrow" w:hAnsi="Arial Narrow"/>
                <w:color w:val="333333"/>
                <w:sz w:val="20"/>
                <w:szCs w:val="20"/>
              </w:rPr>
            </w:pPr>
          </w:p>
        </w:tc>
        <w:tc>
          <w:tcPr>
            <w:tcW w:w="7745" w:type="dxa"/>
            <w:gridSpan w:val="6"/>
            <w:vAlign w:val="center"/>
          </w:tcPr>
          <w:p w14:paraId="363A9DD4" w14:textId="77777777" w:rsidR="00070B10" w:rsidRPr="00A3494F" w:rsidRDefault="00070B10" w:rsidP="00070B10">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01C59CD8" w14:textId="77777777" w:rsidR="00070B10" w:rsidRPr="00A3494F" w:rsidRDefault="00070B10" w:rsidP="00070B10">
            <w:pPr>
              <w:rPr>
                <w:rFonts w:ascii="Arial Narrow" w:hAnsi="Arial Narrow"/>
                <w:b/>
                <w:bCs/>
                <w:color w:val="333333"/>
                <w:sz w:val="20"/>
                <w:szCs w:val="20"/>
              </w:rPr>
            </w:pPr>
            <w:r w:rsidRPr="00A3494F">
              <w:rPr>
                <w:rFonts w:ascii="Arial Narrow" w:hAnsi="Arial Narrow"/>
                <w:color w:val="333333"/>
                <w:sz w:val="20"/>
                <w:szCs w:val="20"/>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p>
        </w:tc>
      </w:tr>
      <w:tr w:rsidR="00070B10" w:rsidRPr="00A3494F" w14:paraId="70E34B2D"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2DBA414" w14:textId="42717908" w:rsidR="00070B10" w:rsidRPr="00A3494F" w:rsidRDefault="00070B10" w:rsidP="00070B10">
            <w:pPr>
              <w:jc w:val="center"/>
              <w:rPr>
                <w:rFonts w:ascii="Arial Narrow" w:hAnsi="Arial Narrow"/>
                <w:color w:val="333333"/>
                <w:sz w:val="20"/>
                <w:szCs w:val="20"/>
              </w:rPr>
            </w:pPr>
          </w:p>
        </w:tc>
        <w:tc>
          <w:tcPr>
            <w:tcW w:w="7745" w:type="dxa"/>
            <w:gridSpan w:val="6"/>
            <w:vAlign w:val="center"/>
            <w:hideMark/>
          </w:tcPr>
          <w:p w14:paraId="3F32428C" w14:textId="77777777" w:rsidR="00070B10" w:rsidRPr="00A3494F" w:rsidRDefault="00070B10" w:rsidP="00070B10">
            <w:pPr>
              <w:rPr>
                <w:rFonts w:ascii="Arial Narrow" w:hAnsi="Arial Narrow"/>
                <w:bCs/>
                <w:color w:val="FF0000"/>
                <w:sz w:val="20"/>
                <w:szCs w:val="20"/>
              </w:rPr>
            </w:pPr>
            <w:r w:rsidRPr="00A3494F">
              <w:rPr>
                <w:rFonts w:ascii="Arial Narrow" w:hAnsi="Arial Narrow"/>
                <w:b/>
                <w:bCs/>
                <w:color w:val="333333"/>
                <w:sz w:val="20"/>
                <w:szCs w:val="20"/>
              </w:rPr>
              <w:t xml:space="preserve">Administrative Advice: </w:t>
            </w:r>
          </w:p>
          <w:p w14:paraId="062FBFF2" w14:textId="333D069F" w:rsidR="00070B10" w:rsidRPr="00A3494F" w:rsidRDefault="00070B10" w:rsidP="00070B10">
            <w:pPr>
              <w:rPr>
                <w:rFonts w:ascii="Arial Narrow" w:hAnsi="Arial Narrow"/>
                <w:color w:val="333333"/>
                <w:sz w:val="20"/>
                <w:szCs w:val="20"/>
              </w:rPr>
            </w:pPr>
            <w:r w:rsidRPr="00A3494F">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070B10" w:rsidRPr="00A3494F" w14:paraId="44D861A9" w14:textId="77777777" w:rsidTr="00752982">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5AC7FA40" w14:textId="77777777" w:rsidR="00070B10" w:rsidRPr="00A3494F" w:rsidRDefault="00070B10" w:rsidP="00070B10">
            <w:pPr>
              <w:rPr>
                <w:rFonts w:ascii="Arial Narrow" w:hAnsi="Arial Narrow"/>
                <w:bCs/>
                <w:color w:val="FF0000"/>
                <w:sz w:val="20"/>
                <w:szCs w:val="20"/>
              </w:rPr>
            </w:pPr>
          </w:p>
        </w:tc>
      </w:tr>
      <w:tr w:rsidR="00070B10" w:rsidRPr="001428E9" w14:paraId="430D6380" w14:textId="77777777" w:rsidTr="00070B10">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361447A5" w14:textId="3EA97DD3" w:rsidR="00070B10" w:rsidRPr="001428E9" w:rsidRDefault="00070B10" w:rsidP="00397F50">
            <w:pPr>
              <w:keepLines/>
              <w:rPr>
                <w:rFonts w:ascii="Arial Narrow" w:hAnsi="Arial Narrow"/>
                <w:b/>
                <w:sz w:val="20"/>
                <w:szCs w:val="20"/>
              </w:rPr>
            </w:pPr>
            <w:r w:rsidRPr="001428E9">
              <w:rPr>
                <w:rFonts w:ascii="Arial Narrow" w:hAnsi="Arial Narrow"/>
                <w:b/>
                <w:sz w:val="20"/>
                <w:szCs w:val="20"/>
              </w:rPr>
              <w:t xml:space="preserve">Restriction Summary </w:t>
            </w:r>
            <w:r>
              <w:rPr>
                <w:rFonts w:ascii="Arial Narrow" w:hAnsi="Arial Narrow"/>
                <w:b/>
                <w:sz w:val="20"/>
                <w:szCs w:val="20"/>
              </w:rPr>
              <w:t xml:space="preserve">based on 12181 </w:t>
            </w:r>
            <w:r w:rsidRPr="001428E9">
              <w:rPr>
                <w:rFonts w:ascii="Arial Narrow" w:hAnsi="Arial Narrow"/>
                <w:b/>
                <w:sz w:val="20"/>
                <w:szCs w:val="20"/>
              </w:rPr>
              <w:t xml:space="preserve">/ Treatment of Concept: </w:t>
            </w:r>
            <w:r>
              <w:rPr>
                <w:rFonts w:ascii="Arial Narrow" w:hAnsi="Arial Narrow"/>
                <w:b/>
                <w:sz w:val="20"/>
                <w:szCs w:val="20"/>
              </w:rPr>
              <w:t>based on 12135</w:t>
            </w:r>
            <w:r w:rsidRPr="001428E9">
              <w:rPr>
                <w:rFonts w:ascii="Arial Narrow" w:hAnsi="Arial Narrow"/>
                <w:b/>
                <w:sz w:val="20"/>
                <w:szCs w:val="20"/>
              </w:rPr>
              <w:t xml:space="preserve"> </w:t>
            </w:r>
          </w:p>
        </w:tc>
      </w:tr>
      <w:tr w:rsidR="00070B10" w:rsidRPr="001428E9" w14:paraId="661C1247" w14:textId="77777777" w:rsidTr="00070B10">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73AF082D" w14:textId="3D564F9C" w:rsidR="00070B10" w:rsidRPr="001428E9" w:rsidRDefault="00070B10" w:rsidP="00397F50">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CD9AF05" w14:textId="77777777" w:rsidR="00070B10" w:rsidRPr="001428E9" w:rsidRDefault="00070B10" w:rsidP="00397F50">
            <w:pPr>
              <w:keepLines/>
              <w:rPr>
                <w:rFonts w:ascii="Arial Narrow" w:hAnsi="Arial Narrow"/>
                <w:sz w:val="20"/>
                <w:szCs w:val="20"/>
              </w:rPr>
            </w:pPr>
            <w:r w:rsidRPr="001428E9">
              <w:rPr>
                <w:rFonts w:ascii="Arial Narrow" w:hAnsi="Arial Narrow"/>
                <w:b/>
                <w:sz w:val="20"/>
                <w:szCs w:val="20"/>
              </w:rPr>
              <w:t xml:space="preserve">Category / Program: </w:t>
            </w:r>
            <w:r w:rsidRPr="001428E9">
              <w:rPr>
                <w:rFonts w:ascii="Arial Narrow" w:hAnsi="Arial Narrow"/>
                <w:sz w:val="20"/>
                <w:szCs w:val="20"/>
              </w:rPr>
              <w:t>GENERAL – General Schedule (Code GE)</w:t>
            </w:r>
          </w:p>
        </w:tc>
      </w:tr>
      <w:tr w:rsidR="00070B10" w:rsidRPr="001428E9" w14:paraId="7D271381" w14:textId="77777777" w:rsidTr="00070B10">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5DF62839" w14:textId="77777777" w:rsidR="00070B10" w:rsidRPr="001428E9" w:rsidRDefault="00070B10" w:rsidP="00397F50">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7720B44" w14:textId="77777777" w:rsidR="00070B10" w:rsidRPr="001428E9" w:rsidRDefault="00070B10" w:rsidP="00397F50">
            <w:pPr>
              <w:keepLines/>
              <w:rPr>
                <w:rFonts w:ascii="Arial Narrow" w:hAnsi="Arial Narrow"/>
                <w:b/>
                <w:sz w:val="20"/>
                <w:szCs w:val="20"/>
              </w:rPr>
            </w:pPr>
            <w:r w:rsidRPr="001428E9">
              <w:rPr>
                <w:rFonts w:ascii="Arial Narrow" w:hAnsi="Arial Narrow"/>
                <w:b/>
                <w:sz w:val="20"/>
                <w:szCs w:val="20"/>
              </w:rPr>
              <w:t xml:space="preserve">Prescriber type: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 xml:space="preserve">Medical Practitioners </w:t>
            </w:r>
          </w:p>
        </w:tc>
      </w:tr>
      <w:tr w:rsidR="00070B10" w:rsidRPr="00D56F94" w14:paraId="5F9E8E27" w14:textId="77777777" w:rsidTr="00070B10">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bottom w:val="single" w:sz="4" w:space="0" w:color="auto"/>
              <w:right w:val="single" w:sz="4" w:space="0" w:color="auto"/>
            </w:tcBorders>
          </w:tcPr>
          <w:p w14:paraId="5F2439F7" w14:textId="77777777" w:rsidR="00070B10" w:rsidRPr="001428E9" w:rsidRDefault="00070B10" w:rsidP="00397F50">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BD0AD8C" w14:textId="77777777" w:rsidR="00070B10" w:rsidRPr="00D56F94" w:rsidRDefault="00070B10" w:rsidP="00397F50">
            <w:pPr>
              <w:keepLines/>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Check3"/>
                  <w:enabled/>
                  <w:calcOnExit w:val="0"/>
                  <w:checkBox>
                    <w:sizeAuto/>
                    <w:default w:val="1"/>
                  </w:checkBox>
                </w:ffData>
              </w:fldChar>
            </w:r>
            <w:r>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 xml:space="preserve">Authority Required (telephone/online PBS Authorities system) </w:t>
            </w:r>
          </w:p>
        </w:tc>
      </w:tr>
      <w:tr w:rsidR="00070B10" w:rsidRPr="001428E9" w14:paraId="4E0392BB"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C05425" w14:textId="3338F827" w:rsidR="00070B10" w:rsidRPr="001428E9" w:rsidRDefault="00070B10" w:rsidP="00397F50">
            <w:pPr>
              <w:keepLines/>
              <w:jc w:val="center"/>
              <w:rPr>
                <w:rFonts w:ascii="Arial Narrow" w:hAnsi="Arial Narrow"/>
                <w:color w:val="333333"/>
                <w:sz w:val="20"/>
                <w:szCs w:val="20"/>
              </w:rPr>
            </w:pPr>
          </w:p>
        </w:tc>
        <w:tc>
          <w:tcPr>
            <w:tcW w:w="7745" w:type="dxa"/>
            <w:gridSpan w:val="6"/>
            <w:vAlign w:val="center"/>
            <w:hideMark/>
          </w:tcPr>
          <w:p w14:paraId="4D68F172" w14:textId="77777777" w:rsidR="00070B10" w:rsidRPr="001428E9" w:rsidRDefault="00070B10" w:rsidP="00397F50">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Moderate to severe ulcerative colitis</w:t>
            </w:r>
          </w:p>
        </w:tc>
      </w:tr>
      <w:tr w:rsidR="00070B10" w:rsidRPr="001428E9" w14:paraId="68526DC6"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A20F47C" w14:textId="77777777" w:rsidR="00070B10" w:rsidRPr="001428E9" w:rsidRDefault="00070B10" w:rsidP="00397F50">
            <w:pPr>
              <w:jc w:val="center"/>
              <w:rPr>
                <w:rFonts w:ascii="Arial Narrow" w:hAnsi="Arial Narrow"/>
                <w:color w:val="333333"/>
                <w:sz w:val="20"/>
                <w:szCs w:val="20"/>
              </w:rPr>
            </w:pPr>
          </w:p>
        </w:tc>
        <w:tc>
          <w:tcPr>
            <w:tcW w:w="7745" w:type="dxa"/>
            <w:gridSpan w:val="6"/>
            <w:vAlign w:val="center"/>
            <w:hideMark/>
          </w:tcPr>
          <w:p w14:paraId="5D50301B" w14:textId="77777777" w:rsidR="00070B10" w:rsidRPr="001428E9" w:rsidRDefault="00070B10" w:rsidP="00397F50">
            <w:pPr>
              <w:rPr>
                <w:rFonts w:ascii="Arial Narrow" w:hAnsi="Arial Narrow"/>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B53CDC">
              <w:rPr>
                <w:rFonts w:ascii="Arial Narrow" w:hAnsi="Arial Narrow"/>
                <w:color w:val="333333"/>
                <w:sz w:val="20"/>
                <w:szCs w:val="20"/>
              </w:rPr>
              <w:t xml:space="preserve">Continuing treatment </w:t>
            </w:r>
            <w:r>
              <w:rPr>
                <w:rFonts w:ascii="Arial Narrow" w:hAnsi="Arial Narrow"/>
                <w:color w:val="333333"/>
                <w:sz w:val="20"/>
                <w:szCs w:val="20"/>
              </w:rPr>
              <w:t>– balance of supply</w:t>
            </w:r>
          </w:p>
        </w:tc>
      </w:tr>
      <w:tr w:rsidR="00070B10" w:rsidRPr="001428E9" w14:paraId="38817922"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D4A2956" w14:textId="2B94B9E6" w:rsidR="00070B10" w:rsidRPr="001428E9" w:rsidRDefault="00070B10" w:rsidP="00397F50">
            <w:pPr>
              <w:jc w:val="center"/>
              <w:rPr>
                <w:rFonts w:ascii="Arial Narrow" w:hAnsi="Arial Narrow"/>
                <w:color w:val="333333"/>
                <w:sz w:val="20"/>
                <w:szCs w:val="20"/>
              </w:rPr>
            </w:pPr>
          </w:p>
        </w:tc>
        <w:tc>
          <w:tcPr>
            <w:tcW w:w="7745" w:type="dxa"/>
            <w:gridSpan w:val="6"/>
            <w:vAlign w:val="center"/>
            <w:hideMark/>
          </w:tcPr>
          <w:p w14:paraId="61208B00" w14:textId="77777777" w:rsidR="00070B10" w:rsidRPr="001428E9" w:rsidRDefault="00070B10" w:rsidP="00397F50">
            <w:pPr>
              <w:rPr>
                <w:rFonts w:ascii="Arial Narrow" w:hAnsi="Arial Narrow"/>
                <w:sz w:val="20"/>
                <w:szCs w:val="20"/>
              </w:rPr>
            </w:pPr>
            <w:r w:rsidRPr="001428E9">
              <w:rPr>
                <w:rFonts w:ascii="Arial Narrow" w:hAnsi="Arial Narrow"/>
                <w:b/>
                <w:bCs/>
                <w:color w:val="333333"/>
                <w:sz w:val="20"/>
                <w:szCs w:val="20"/>
              </w:rPr>
              <w:t xml:space="preserve">Clinical criteria: </w:t>
            </w:r>
          </w:p>
        </w:tc>
      </w:tr>
      <w:tr w:rsidR="00070B10" w:rsidRPr="00B53CDC" w14:paraId="58CBF731"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A10EA09" w14:textId="03AC7C35" w:rsidR="00070B10" w:rsidRPr="001428E9" w:rsidRDefault="00070B10" w:rsidP="00397F50">
            <w:pPr>
              <w:jc w:val="center"/>
              <w:rPr>
                <w:rFonts w:ascii="Arial Narrow" w:hAnsi="Arial Narrow"/>
                <w:color w:val="333333"/>
                <w:sz w:val="20"/>
                <w:szCs w:val="20"/>
              </w:rPr>
            </w:pPr>
          </w:p>
        </w:tc>
        <w:tc>
          <w:tcPr>
            <w:tcW w:w="7745" w:type="dxa"/>
            <w:gridSpan w:val="6"/>
            <w:vAlign w:val="center"/>
            <w:hideMark/>
          </w:tcPr>
          <w:p w14:paraId="55EF4F8F" w14:textId="77777777" w:rsidR="00070B10" w:rsidRPr="00B53CDC" w:rsidRDefault="00070B10" w:rsidP="00397F50">
            <w:pPr>
              <w:rPr>
                <w:rFonts w:ascii="Arial Narrow" w:hAnsi="Arial Narrow" w:cs="Arial Narrow"/>
                <w:sz w:val="20"/>
                <w:szCs w:val="20"/>
              </w:rPr>
            </w:pPr>
            <w:r w:rsidRPr="005C58A9">
              <w:rPr>
                <w:rFonts w:ascii="Arial Narrow" w:hAnsi="Arial Narrow" w:cs="Arial Narrow"/>
                <w:sz w:val="20"/>
                <w:szCs w:val="20"/>
              </w:rPr>
              <w:t>Patient must have</w:t>
            </w:r>
            <w:r w:rsidRPr="005C58A9">
              <w:rPr>
                <w:rFonts w:ascii="Arial Narrow" w:hAnsi="Arial Narrow" w:cs="Arial Narrow"/>
                <w:i/>
                <w:iCs/>
                <w:sz w:val="20"/>
                <w:szCs w:val="20"/>
              </w:rPr>
              <w:t xml:space="preserve"> </w:t>
            </w:r>
            <w:r w:rsidRPr="005C58A9">
              <w:rPr>
                <w:rFonts w:ascii="Arial Narrow" w:hAnsi="Arial Narrow" w:cs="Arial Narrow"/>
                <w:sz w:val="20"/>
                <w:szCs w:val="20"/>
              </w:rPr>
              <w:t xml:space="preserve">received </w:t>
            </w:r>
            <w:r>
              <w:rPr>
                <w:rFonts w:ascii="Arial Narrow" w:hAnsi="Arial Narrow" w:cs="Arial Narrow"/>
                <w:sz w:val="20"/>
                <w:szCs w:val="20"/>
              </w:rPr>
              <w:t xml:space="preserve">insufficient therapy with this drug for this condition under the continuing treatment restriction to complete 24 weeks treatment </w:t>
            </w:r>
          </w:p>
        </w:tc>
      </w:tr>
      <w:tr w:rsidR="00070B10" w:rsidRPr="001428E9" w14:paraId="7C45E7CF" w14:textId="77777777" w:rsidTr="00C37C7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3D6EF44" w14:textId="77777777" w:rsidR="00070B10" w:rsidRPr="001428E9" w:rsidRDefault="00070B10" w:rsidP="00397F50">
            <w:pPr>
              <w:jc w:val="center"/>
              <w:rPr>
                <w:rFonts w:ascii="Arial Narrow" w:hAnsi="Arial Narrow"/>
                <w:color w:val="333333"/>
                <w:sz w:val="20"/>
                <w:szCs w:val="20"/>
              </w:rPr>
            </w:pPr>
          </w:p>
        </w:tc>
        <w:tc>
          <w:tcPr>
            <w:tcW w:w="7745" w:type="dxa"/>
            <w:gridSpan w:val="6"/>
            <w:vAlign w:val="center"/>
            <w:hideMark/>
          </w:tcPr>
          <w:p w14:paraId="07A5BCBA" w14:textId="77777777" w:rsidR="00070B10" w:rsidRPr="001428E9" w:rsidRDefault="00070B10" w:rsidP="00397F50">
            <w:pPr>
              <w:rPr>
                <w:rFonts w:ascii="Arial Narrow" w:hAnsi="Arial Narrow"/>
                <w:color w:val="333333"/>
                <w:sz w:val="20"/>
                <w:szCs w:val="20"/>
              </w:rPr>
            </w:pPr>
            <w:r w:rsidRPr="001428E9">
              <w:rPr>
                <w:rFonts w:ascii="Arial Narrow" w:hAnsi="Arial Narrow"/>
                <w:b/>
                <w:bCs/>
                <w:color w:val="333333"/>
                <w:sz w:val="20"/>
                <w:szCs w:val="20"/>
              </w:rPr>
              <w:t>AND</w:t>
            </w:r>
          </w:p>
        </w:tc>
      </w:tr>
      <w:tr w:rsidR="00070B10" w:rsidRPr="001428E9" w14:paraId="42937E6E" w14:textId="77777777" w:rsidTr="00070B1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0DAF1E7" w14:textId="0B25B3F5" w:rsidR="00070B10" w:rsidRPr="001428E9" w:rsidRDefault="00070B10" w:rsidP="00397F50">
            <w:pPr>
              <w:jc w:val="center"/>
              <w:rPr>
                <w:rFonts w:ascii="Arial Narrow" w:hAnsi="Arial Narrow"/>
                <w:color w:val="333333"/>
                <w:sz w:val="20"/>
                <w:szCs w:val="20"/>
              </w:rPr>
            </w:pPr>
          </w:p>
        </w:tc>
        <w:tc>
          <w:tcPr>
            <w:tcW w:w="7745" w:type="dxa"/>
            <w:gridSpan w:val="6"/>
            <w:vAlign w:val="center"/>
            <w:hideMark/>
          </w:tcPr>
          <w:p w14:paraId="0A7EEE95" w14:textId="77777777" w:rsidR="00070B10" w:rsidRPr="001428E9" w:rsidRDefault="00070B10" w:rsidP="00397F50">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070B10" w:rsidRPr="00B53CDC" w14:paraId="4C3839DC" w14:textId="77777777" w:rsidTr="00070B1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F66138F" w14:textId="4075620B" w:rsidR="00070B10" w:rsidRPr="001428E9" w:rsidRDefault="00070B10" w:rsidP="00397F50">
            <w:pPr>
              <w:jc w:val="center"/>
              <w:rPr>
                <w:rFonts w:ascii="Arial Narrow" w:hAnsi="Arial Narrow"/>
                <w:color w:val="333333"/>
                <w:sz w:val="20"/>
                <w:szCs w:val="20"/>
              </w:rPr>
            </w:pPr>
          </w:p>
        </w:tc>
        <w:tc>
          <w:tcPr>
            <w:tcW w:w="7745" w:type="dxa"/>
            <w:gridSpan w:val="6"/>
            <w:vAlign w:val="center"/>
            <w:hideMark/>
          </w:tcPr>
          <w:p w14:paraId="7A09275E" w14:textId="77777777" w:rsidR="00070B10" w:rsidRPr="00B53CDC" w:rsidRDefault="00070B10" w:rsidP="00397F50">
            <w:pPr>
              <w:rPr>
                <w:rFonts w:ascii="Arial Narrow" w:hAnsi="Arial Narrow" w:cs="Arial Narrow"/>
                <w:sz w:val="20"/>
                <w:szCs w:val="20"/>
              </w:rPr>
            </w:pPr>
            <w:r>
              <w:rPr>
                <w:rFonts w:ascii="Arial Narrow" w:hAnsi="Arial Narrow" w:cs="Arial Narrow"/>
                <w:sz w:val="20"/>
                <w:szCs w:val="20"/>
              </w:rPr>
              <w:t>The treatment must provide no more than the balance of up to 24 weeks treatment available under the above restriction</w:t>
            </w:r>
          </w:p>
        </w:tc>
      </w:tr>
      <w:tr w:rsidR="00070B10" w:rsidRPr="001428E9" w14:paraId="7FF9E7F8" w14:textId="77777777" w:rsidTr="00070B1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4107860" w14:textId="723F27FE" w:rsidR="00070B10" w:rsidRPr="001428E9" w:rsidRDefault="00070B10" w:rsidP="00397F50">
            <w:pPr>
              <w:keepNext/>
              <w:jc w:val="center"/>
              <w:rPr>
                <w:rFonts w:ascii="Arial Narrow" w:hAnsi="Arial Narrow"/>
                <w:color w:val="333333"/>
                <w:sz w:val="20"/>
                <w:szCs w:val="20"/>
              </w:rPr>
            </w:pPr>
          </w:p>
        </w:tc>
        <w:tc>
          <w:tcPr>
            <w:tcW w:w="7745" w:type="dxa"/>
            <w:gridSpan w:val="6"/>
            <w:vAlign w:val="center"/>
            <w:hideMark/>
          </w:tcPr>
          <w:p w14:paraId="26E6D158" w14:textId="77777777" w:rsidR="00070B10" w:rsidRPr="001428E9" w:rsidRDefault="00070B10" w:rsidP="00397F50">
            <w:pPr>
              <w:keepNext/>
              <w:rPr>
                <w:rFonts w:ascii="Arial Narrow" w:hAnsi="Arial Narrow"/>
                <w:color w:val="333333"/>
                <w:sz w:val="20"/>
                <w:szCs w:val="20"/>
              </w:rPr>
            </w:pPr>
            <w:r w:rsidRPr="001428E9">
              <w:rPr>
                <w:rFonts w:ascii="Arial Narrow" w:hAnsi="Arial Narrow"/>
                <w:b/>
                <w:bCs/>
                <w:color w:val="333333"/>
                <w:sz w:val="20"/>
                <w:szCs w:val="20"/>
              </w:rPr>
              <w:t>Treatment criteria:</w:t>
            </w:r>
          </w:p>
        </w:tc>
      </w:tr>
      <w:tr w:rsidR="00070B10" w:rsidRPr="00BD26EB" w14:paraId="3277BD7F" w14:textId="77777777" w:rsidTr="00070B1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1450E7B" w14:textId="7BEE3FF8" w:rsidR="00070B10" w:rsidRPr="001428E9" w:rsidRDefault="00070B10" w:rsidP="00397F50">
            <w:pPr>
              <w:jc w:val="center"/>
              <w:rPr>
                <w:rFonts w:ascii="Arial Narrow" w:hAnsi="Arial Narrow"/>
                <w:color w:val="333333"/>
                <w:sz w:val="20"/>
                <w:szCs w:val="20"/>
              </w:rPr>
            </w:pPr>
          </w:p>
        </w:tc>
        <w:tc>
          <w:tcPr>
            <w:tcW w:w="7745" w:type="dxa"/>
            <w:gridSpan w:val="6"/>
            <w:vAlign w:val="center"/>
            <w:hideMark/>
          </w:tcPr>
          <w:p w14:paraId="4149420D" w14:textId="77777777" w:rsidR="00070B10" w:rsidRPr="00BD26EB" w:rsidRDefault="00070B10" w:rsidP="00397F50">
            <w:pPr>
              <w:autoSpaceDE w:val="0"/>
              <w:autoSpaceDN w:val="0"/>
              <w:adjustRightInd w:val="0"/>
              <w:rPr>
                <w:rFonts w:ascii="Arial Narrow" w:hAnsi="Arial Narrow" w:cs="Arial Narrow"/>
                <w:sz w:val="20"/>
                <w:szCs w:val="20"/>
              </w:rPr>
            </w:pPr>
            <w:r w:rsidRPr="00B53CDC">
              <w:rPr>
                <w:rFonts w:ascii="Arial Narrow" w:hAnsi="Arial Narrow" w:cs="Arial Narrow"/>
                <w:sz w:val="20"/>
                <w:szCs w:val="20"/>
              </w:rPr>
              <w:t>Must be treated by a gastroenterologist (code 87); OR</w:t>
            </w:r>
          </w:p>
        </w:tc>
      </w:tr>
      <w:tr w:rsidR="00070B10" w:rsidRPr="00B53CDC" w14:paraId="3F42B3E1" w14:textId="77777777" w:rsidTr="00070B1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6AD83A2" w14:textId="7E19014E" w:rsidR="00070B10" w:rsidRDefault="00070B10" w:rsidP="00397F50">
            <w:pPr>
              <w:jc w:val="center"/>
              <w:rPr>
                <w:rFonts w:ascii="Arial Narrow" w:hAnsi="Arial Narrow"/>
                <w:color w:val="333333"/>
                <w:sz w:val="20"/>
                <w:szCs w:val="20"/>
              </w:rPr>
            </w:pPr>
          </w:p>
        </w:tc>
        <w:tc>
          <w:tcPr>
            <w:tcW w:w="7745" w:type="dxa"/>
            <w:gridSpan w:val="6"/>
            <w:vAlign w:val="center"/>
          </w:tcPr>
          <w:p w14:paraId="399FB72B" w14:textId="77777777" w:rsidR="00070B10" w:rsidRPr="00B53CDC" w:rsidRDefault="00070B10" w:rsidP="00397F50">
            <w:pPr>
              <w:autoSpaceDE w:val="0"/>
              <w:autoSpaceDN w:val="0"/>
              <w:adjustRightInd w:val="0"/>
              <w:rPr>
                <w:rFonts w:ascii="Arial Narrow" w:hAnsi="Arial Narrow" w:cs="Arial Narrow"/>
                <w:sz w:val="20"/>
                <w:szCs w:val="20"/>
              </w:rPr>
            </w:pPr>
            <w:r w:rsidRPr="00B53CDC">
              <w:rPr>
                <w:rFonts w:ascii="Arial Narrow" w:hAnsi="Arial Narrow" w:cs="Arial Narrow"/>
                <w:sz w:val="20"/>
                <w:szCs w:val="20"/>
              </w:rPr>
              <w:t>Must be treated by a consultant physician [internal medicine specialising in gastroenterology (code 81)]; OR</w:t>
            </w:r>
          </w:p>
        </w:tc>
      </w:tr>
      <w:tr w:rsidR="00070B10" w:rsidRPr="00B53CDC" w14:paraId="26DB99B2" w14:textId="77777777" w:rsidTr="00070B1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CFB8E9C" w14:textId="2054030D" w:rsidR="00070B10" w:rsidRDefault="00070B10" w:rsidP="00397F50">
            <w:pPr>
              <w:jc w:val="center"/>
              <w:rPr>
                <w:rFonts w:ascii="Arial Narrow" w:hAnsi="Arial Narrow"/>
                <w:color w:val="333333"/>
                <w:sz w:val="20"/>
                <w:szCs w:val="20"/>
              </w:rPr>
            </w:pPr>
          </w:p>
        </w:tc>
        <w:tc>
          <w:tcPr>
            <w:tcW w:w="7745" w:type="dxa"/>
            <w:gridSpan w:val="6"/>
            <w:vAlign w:val="center"/>
          </w:tcPr>
          <w:p w14:paraId="599AE8A3" w14:textId="77777777" w:rsidR="00070B10" w:rsidRPr="00B53CDC" w:rsidRDefault="00070B10" w:rsidP="00397F50">
            <w:pPr>
              <w:autoSpaceDE w:val="0"/>
              <w:autoSpaceDN w:val="0"/>
              <w:adjustRightInd w:val="0"/>
              <w:rPr>
                <w:rFonts w:ascii="Arial Narrow" w:hAnsi="Arial Narrow" w:cs="Arial Narrow"/>
                <w:sz w:val="20"/>
                <w:szCs w:val="20"/>
              </w:rPr>
            </w:pPr>
            <w:r w:rsidRPr="00B53CDC">
              <w:rPr>
                <w:rFonts w:ascii="Arial Narrow" w:hAnsi="Arial Narrow" w:cs="Arial Narrow"/>
                <w:sz w:val="20"/>
                <w:szCs w:val="20"/>
              </w:rPr>
              <w:t>Must be treated by a consultant physician [general medicine specialising in gastroenterology (code 82)].</w:t>
            </w:r>
          </w:p>
        </w:tc>
      </w:tr>
      <w:tr w:rsidR="00070B10" w:rsidRPr="001428E9" w14:paraId="05EAC9AF" w14:textId="77777777" w:rsidTr="00070B1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D55F158" w14:textId="43490767" w:rsidR="00070B10" w:rsidRPr="001428E9" w:rsidRDefault="00070B10" w:rsidP="00397F50">
            <w:pPr>
              <w:jc w:val="center"/>
              <w:rPr>
                <w:rFonts w:ascii="Arial Narrow" w:hAnsi="Arial Narrow"/>
                <w:color w:val="333333"/>
                <w:sz w:val="20"/>
                <w:szCs w:val="20"/>
              </w:rPr>
            </w:pPr>
          </w:p>
        </w:tc>
        <w:tc>
          <w:tcPr>
            <w:tcW w:w="7745" w:type="dxa"/>
            <w:gridSpan w:val="6"/>
            <w:vAlign w:val="center"/>
            <w:hideMark/>
          </w:tcPr>
          <w:p w14:paraId="051873AC" w14:textId="77777777" w:rsidR="00070B10" w:rsidRDefault="00070B10" w:rsidP="00397F50">
            <w:pPr>
              <w:rPr>
                <w:rFonts w:ascii="Arial Narrow" w:hAnsi="Arial Narrow"/>
                <w:bCs/>
                <w:color w:val="FF0000"/>
                <w:sz w:val="20"/>
                <w:szCs w:val="20"/>
              </w:rPr>
            </w:pPr>
            <w:r w:rsidRPr="001428E9">
              <w:rPr>
                <w:rFonts w:ascii="Arial Narrow" w:hAnsi="Arial Narrow"/>
                <w:b/>
                <w:bCs/>
                <w:color w:val="333333"/>
                <w:sz w:val="20"/>
                <w:szCs w:val="20"/>
              </w:rPr>
              <w:t xml:space="preserve">Administrative Advice: </w:t>
            </w:r>
          </w:p>
          <w:p w14:paraId="161A3187" w14:textId="77777777" w:rsidR="00070B10" w:rsidRPr="001428E9" w:rsidRDefault="00070B10" w:rsidP="00397F50">
            <w:pPr>
              <w:rPr>
                <w:rFonts w:ascii="Arial Narrow" w:hAnsi="Arial Narrow"/>
                <w:color w:val="333333"/>
                <w:sz w:val="20"/>
                <w:szCs w:val="20"/>
              </w:rPr>
            </w:pPr>
            <w:r w:rsidRPr="00B53CDC">
              <w:rPr>
                <w:rFonts w:ascii="Arial Narrow" w:hAnsi="Arial Narrow"/>
                <w:color w:val="333333"/>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bl>
    <w:p w14:paraId="074CDD60" w14:textId="3034E52B" w:rsidR="00070B10" w:rsidRDefault="00070B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1"/>
        <w:gridCol w:w="756"/>
        <w:gridCol w:w="756"/>
        <w:gridCol w:w="756"/>
        <w:gridCol w:w="756"/>
        <w:gridCol w:w="1812"/>
      </w:tblGrid>
      <w:tr w:rsidR="00070B10" w:rsidRPr="004C07DA" w14:paraId="2DCAC17F" w14:textId="77777777" w:rsidTr="00397F50">
        <w:trPr>
          <w:cantSplit/>
          <w:trHeight w:val="20"/>
        </w:trPr>
        <w:tc>
          <w:tcPr>
            <w:tcW w:w="2319" w:type="pct"/>
            <w:vAlign w:val="center"/>
          </w:tcPr>
          <w:p w14:paraId="0E1B20B8" w14:textId="77777777" w:rsidR="00070B10" w:rsidRPr="004C07DA" w:rsidRDefault="00070B10" w:rsidP="00397F50">
            <w:pPr>
              <w:keepLines/>
              <w:rPr>
                <w:rFonts w:ascii="Arial Narrow" w:hAnsi="Arial Narrow"/>
                <w:b/>
                <w:bCs/>
                <w:sz w:val="20"/>
                <w:szCs w:val="20"/>
              </w:rPr>
            </w:pPr>
            <w:r w:rsidRPr="004C07DA">
              <w:rPr>
                <w:rFonts w:ascii="Arial Narrow" w:hAnsi="Arial Narrow"/>
                <w:b/>
                <w:bCs/>
                <w:sz w:val="20"/>
                <w:szCs w:val="20"/>
              </w:rPr>
              <w:t>MEDICINAL PRODUCT</w:t>
            </w:r>
          </w:p>
          <w:p w14:paraId="41C2DCBB" w14:textId="77777777" w:rsidR="00070B10" w:rsidRPr="004C07DA" w:rsidRDefault="00070B10" w:rsidP="00397F50">
            <w:pPr>
              <w:keepLines/>
              <w:rPr>
                <w:rFonts w:ascii="Arial Narrow" w:hAnsi="Arial Narrow"/>
                <w:b/>
                <w:sz w:val="20"/>
                <w:szCs w:val="20"/>
              </w:rPr>
            </w:pPr>
            <w:r w:rsidRPr="004C07DA">
              <w:rPr>
                <w:rFonts w:ascii="Arial Narrow" w:hAnsi="Arial Narrow"/>
                <w:b/>
                <w:bCs/>
                <w:sz w:val="20"/>
                <w:szCs w:val="20"/>
              </w:rPr>
              <w:t>medicinal product pack</w:t>
            </w:r>
          </w:p>
        </w:tc>
        <w:tc>
          <w:tcPr>
            <w:tcW w:w="419" w:type="pct"/>
            <w:vAlign w:val="center"/>
          </w:tcPr>
          <w:p w14:paraId="6B9ABA03" w14:textId="77777777" w:rsidR="00070B10" w:rsidRPr="004C07DA" w:rsidRDefault="00070B10" w:rsidP="00397F50">
            <w:pPr>
              <w:keepLines/>
              <w:jc w:val="center"/>
              <w:rPr>
                <w:rFonts w:ascii="Arial Narrow" w:hAnsi="Arial Narrow"/>
                <w:b/>
                <w:sz w:val="20"/>
                <w:szCs w:val="20"/>
              </w:rPr>
            </w:pPr>
            <w:r w:rsidRPr="004C07DA">
              <w:rPr>
                <w:rFonts w:ascii="Arial Narrow" w:hAnsi="Arial Narrow"/>
                <w:b/>
                <w:sz w:val="20"/>
                <w:szCs w:val="20"/>
              </w:rPr>
              <w:t>PBS item code</w:t>
            </w:r>
          </w:p>
        </w:tc>
        <w:tc>
          <w:tcPr>
            <w:tcW w:w="419" w:type="pct"/>
            <w:vAlign w:val="center"/>
          </w:tcPr>
          <w:p w14:paraId="29DEFB41" w14:textId="77777777" w:rsidR="00070B10" w:rsidRPr="004C07DA" w:rsidRDefault="00070B10" w:rsidP="00397F50">
            <w:pPr>
              <w:keepLines/>
              <w:jc w:val="center"/>
              <w:rPr>
                <w:rFonts w:ascii="Arial Narrow" w:hAnsi="Arial Narrow"/>
                <w:b/>
                <w:sz w:val="20"/>
                <w:szCs w:val="20"/>
              </w:rPr>
            </w:pPr>
            <w:r w:rsidRPr="004C07DA">
              <w:rPr>
                <w:rFonts w:ascii="Arial Narrow" w:hAnsi="Arial Narrow"/>
                <w:b/>
                <w:sz w:val="20"/>
                <w:szCs w:val="20"/>
              </w:rPr>
              <w:t>Max. qty packs</w:t>
            </w:r>
          </w:p>
        </w:tc>
        <w:tc>
          <w:tcPr>
            <w:tcW w:w="419" w:type="pct"/>
            <w:vAlign w:val="center"/>
          </w:tcPr>
          <w:p w14:paraId="6A59B152" w14:textId="77777777" w:rsidR="00070B10" w:rsidRPr="004C07DA" w:rsidRDefault="00070B10" w:rsidP="00397F50">
            <w:pPr>
              <w:keepLines/>
              <w:jc w:val="center"/>
              <w:rPr>
                <w:rFonts w:ascii="Arial Narrow" w:hAnsi="Arial Narrow"/>
                <w:b/>
                <w:sz w:val="20"/>
                <w:szCs w:val="20"/>
              </w:rPr>
            </w:pPr>
            <w:r w:rsidRPr="004C07DA">
              <w:rPr>
                <w:rFonts w:ascii="Arial Narrow" w:hAnsi="Arial Narrow"/>
                <w:b/>
                <w:sz w:val="20"/>
                <w:szCs w:val="20"/>
              </w:rPr>
              <w:t>Max. qty units</w:t>
            </w:r>
          </w:p>
        </w:tc>
        <w:tc>
          <w:tcPr>
            <w:tcW w:w="419" w:type="pct"/>
            <w:vAlign w:val="center"/>
          </w:tcPr>
          <w:p w14:paraId="0DF48649" w14:textId="4F54B8B9" w:rsidR="00070B10" w:rsidRPr="004C07DA" w:rsidRDefault="00A13761" w:rsidP="00397F50">
            <w:pPr>
              <w:keepLines/>
              <w:jc w:val="center"/>
              <w:rPr>
                <w:rFonts w:ascii="Arial Narrow" w:hAnsi="Arial Narrow"/>
                <w:b/>
                <w:sz w:val="20"/>
                <w:szCs w:val="20"/>
              </w:rPr>
            </w:pPr>
            <w:r w:rsidRPr="004C07DA">
              <w:rPr>
                <w:rFonts w:ascii="Arial Narrow" w:hAnsi="Arial Narrow"/>
                <w:b/>
                <w:sz w:val="20"/>
                <w:szCs w:val="20"/>
              </w:rPr>
              <w:t>№. of</w:t>
            </w:r>
          </w:p>
          <w:p w14:paraId="78D05CC8" w14:textId="77777777" w:rsidR="00070B10" w:rsidRPr="004C07DA" w:rsidRDefault="00070B10" w:rsidP="00397F50">
            <w:pPr>
              <w:keepLines/>
              <w:jc w:val="center"/>
              <w:rPr>
                <w:rFonts w:ascii="Arial Narrow" w:hAnsi="Arial Narrow"/>
                <w:b/>
                <w:sz w:val="20"/>
                <w:szCs w:val="20"/>
              </w:rPr>
            </w:pPr>
            <w:r w:rsidRPr="004C07DA">
              <w:rPr>
                <w:rFonts w:ascii="Arial Narrow" w:hAnsi="Arial Narrow"/>
                <w:b/>
                <w:sz w:val="20"/>
                <w:szCs w:val="20"/>
              </w:rPr>
              <w:t>Rpts</w:t>
            </w:r>
          </w:p>
        </w:tc>
        <w:tc>
          <w:tcPr>
            <w:tcW w:w="1005" w:type="pct"/>
            <w:vAlign w:val="center"/>
          </w:tcPr>
          <w:p w14:paraId="6C8462AF" w14:textId="77777777" w:rsidR="00070B10" w:rsidRPr="004C07DA" w:rsidRDefault="00070B10" w:rsidP="00397F50">
            <w:pPr>
              <w:keepLines/>
              <w:rPr>
                <w:rFonts w:ascii="Arial Narrow" w:hAnsi="Arial Narrow"/>
                <w:b/>
                <w:sz w:val="20"/>
                <w:szCs w:val="20"/>
                <w:lang w:val="fr-FR"/>
              </w:rPr>
            </w:pPr>
            <w:r w:rsidRPr="004C07DA">
              <w:rPr>
                <w:rFonts w:ascii="Arial Narrow" w:hAnsi="Arial Narrow"/>
                <w:b/>
                <w:sz w:val="20"/>
                <w:szCs w:val="20"/>
              </w:rPr>
              <w:t>Available brands</w:t>
            </w:r>
          </w:p>
        </w:tc>
      </w:tr>
      <w:tr w:rsidR="00070B10" w:rsidRPr="004C07DA" w14:paraId="51CDB1AB" w14:textId="77777777" w:rsidTr="00397F50">
        <w:trPr>
          <w:cantSplit/>
          <w:trHeight w:val="20"/>
        </w:trPr>
        <w:tc>
          <w:tcPr>
            <w:tcW w:w="5000" w:type="pct"/>
            <w:gridSpan w:val="6"/>
            <w:vAlign w:val="center"/>
          </w:tcPr>
          <w:p w14:paraId="566DEA98" w14:textId="77777777" w:rsidR="00070B10" w:rsidRPr="004C07DA" w:rsidRDefault="00070B10" w:rsidP="00397F50">
            <w:pPr>
              <w:keepLines/>
              <w:rPr>
                <w:rFonts w:ascii="Arial Narrow" w:hAnsi="Arial Narrow"/>
                <w:sz w:val="20"/>
                <w:szCs w:val="20"/>
              </w:rPr>
            </w:pPr>
            <w:r w:rsidRPr="004C07DA">
              <w:rPr>
                <w:rFonts w:ascii="Arial Narrow" w:hAnsi="Arial Narrow"/>
                <w:sz w:val="20"/>
                <w:szCs w:val="20"/>
              </w:rPr>
              <w:t>MIRIKIZUMAB</w:t>
            </w:r>
          </w:p>
        </w:tc>
      </w:tr>
      <w:tr w:rsidR="00070B10" w:rsidRPr="004C07DA" w14:paraId="2090E6A5" w14:textId="77777777" w:rsidTr="00397F50">
        <w:trPr>
          <w:cantSplit/>
          <w:trHeight w:val="20"/>
        </w:trPr>
        <w:tc>
          <w:tcPr>
            <w:tcW w:w="2319" w:type="pct"/>
            <w:vAlign w:val="center"/>
          </w:tcPr>
          <w:p w14:paraId="5B25CEE7" w14:textId="77777777" w:rsidR="00070B10" w:rsidRPr="004C07DA" w:rsidRDefault="00070B10" w:rsidP="00397F50">
            <w:pPr>
              <w:keepLines/>
              <w:rPr>
                <w:rFonts w:ascii="Arial Narrow" w:hAnsi="Arial Narrow"/>
                <w:sz w:val="20"/>
                <w:szCs w:val="20"/>
              </w:rPr>
            </w:pPr>
            <w:r w:rsidRPr="004C07DA">
              <w:rPr>
                <w:rFonts w:ascii="Arial Narrow" w:hAnsi="Arial Narrow"/>
                <w:sz w:val="20"/>
                <w:szCs w:val="20"/>
              </w:rPr>
              <w:t xml:space="preserve">mirikizumab 300 mg/15 mL injection, 15 mL vial </w:t>
            </w:r>
          </w:p>
        </w:tc>
        <w:tc>
          <w:tcPr>
            <w:tcW w:w="419" w:type="pct"/>
            <w:vAlign w:val="center"/>
          </w:tcPr>
          <w:p w14:paraId="547F4F54" w14:textId="77777777" w:rsidR="00070B10" w:rsidRPr="004C07DA" w:rsidRDefault="00070B10" w:rsidP="00397F50">
            <w:pPr>
              <w:keepLines/>
              <w:jc w:val="center"/>
              <w:rPr>
                <w:rFonts w:ascii="Arial Narrow" w:hAnsi="Arial Narrow"/>
                <w:sz w:val="20"/>
                <w:szCs w:val="20"/>
              </w:rPr>
            </w:pPr>
            <w:r w:rsidRPr="004C07DA">
              <w:rPr>
                <w:rFonts w:ascii="Arial Narrow" w:hAnsi="Arial Narrow"/>
                <w:sz w:val="20"/>
                <w:szCs w:val="20"/>
              </w:rPr>
              <w:t>NEW</w:t>
            </w:r>
          </w:p>
        </w:tc>
        <w:tc>
          <w:tcPr>
            <w:tcW w:w="419" w:type="pct"/>
            <w:vAlign w:val="center"/>
          </w:tcPr>
          <w:p w14:paraId="33133A6F" w14:textId="77777777" w:rsidR="00070B10" w:rsidRPr="004C07DA" w:rsidRDefault="00070B10" w:rsidP="00397F50">
            <w:pPr>
              <w:keepLines/>
              <w:jc w:val="center"/>
              <w:rPr>
                <w:rFonts w:ascii="Arial Narrow" w:hAnsi="Arial Narrow"/>
                <w:sz w:val="20"/>
                <w:szCs w:val="20"/>
              </w:rPr>
            </w:pPr>
            <w:r w:rsidRPr="004C07DA">
              <w:rPr>
                <w:rFonts w:ascii="Arial Narrow" w:hAnsi="Arial Narrow"/>
                <w:sz w:val="20"/>
                <w:szCs w:val="20"/>
              </w:rPr>
              <w:t>1</w:t>
            </w:r>
          </w:p>
        </w:tc>
        <w:tc>
          <w:tcPr>
            <w:tcW w:w="419" w:type="pct"/>
            <w:vAlign w:val="center"/>
          </w:tcPr>
          <w:p w14:paraId="03B583E7" w14:textId="77777777" w:rsidR="00070B10" w:rsidRPr="004C07DA" w:rsidRDefault="00070B10" w:rsidP="00397F50">
            <w:pPr>
              <w:keepLines/>
              <w:jc w:val="center"/>
              <w:rPr>
                <w:rFonts w:ascii="Arial Narrow" w:hAnsi="Arial Narrow"/>
                <w:sz w:val="20"/>
                <w:szCs w:val="20"/>
              </w:rPr>
            </w:pPr>
            <w:r w:rsidRPr="004C07DA">
              <w:rPr>
                <w:rFonts w:ascii="Arial Narrow" w:hAnsi="Arial Narrow"/>
                <w:sz w:val="20"/>
                <w:szCs w:val="20"/>
              </w:rPr>
              <w:t>1</w:t>
            </w:r>
          </w:p>
        </w:tc>
        <w:tc>
          <w:tcPr>
            <w:tcW w:w="419" w:type="pct"/>
            <w:vAlign w:val="center"/>
          </w:tcPr>
          <w:p w14:paraId="6591E4A5" w14:textId="77777777" w:rsidR="00070B10" w:rsidRPr="004C07DA" w:rsidRDefault="00070B10" w:rsidP="00397F50">
            <w:pPr>
              <w:keepLines/>
              <w:jc w:val="center"/>
              <w:rPr>
                <w:rFonts w:ascii="Arial Narrow" w:hAnsi="Arial Narrow"/>
                <w:strike/>
                <w:sz w:val="20"/>
                <w:szCs w:val="20"/>
              </w:rPr>
            </w:pPr>
            <w:r w:rsidRPr="004C07DA">
              <w:rPr>
                <w:rFonts w:ascii="Arial Narrow" w:hAnsi="Arial Narrow"/>
                <w:sz w:val="20"/>
                <w:szCs w:val="20"/>
              </w:rPr>
              <w:t>2</w:t>
            </w:r>
          </w:p>
        </w:tc>
        <w:tc>
          <w:tcPr>
            <w:tcW w:w="1005" w:type="pct"/>
            <w:vAlign w:val="center"/>
          </w:tcPr>
          <w:p w14:paraId="28FD82D5" w14:textId="77777777" w:rsidR="00070B10" w:rsidRPr="004C07DA" w:rsidRDefault="00070B10" w:rsidP="00397F50">
            <w:pPr>
              <w:keepLines/>
              <w:rPr>
                <w:rFonts w:ascii="Arial Narrow" w:hAnsi="Arial Narrow"/>
                <w:sz w:val="20"/>
                <w:szCs w:val="20"/>
              </w:rPr>
            </w:pPr>
            <w:r w:rsidRPr="004C07DA">
              <w:rPr>
                <w:rFonts w:ascii="Arial Narrow" w:hAnsi="Arial Narrow"/>
                <w:sz w:val="20"/>
                <w:szCs w:val="20"/>
              </w:rPr>
              <w:t>Omvoh</w:t>
            </w:r>
          </w:p>
        </w:tc>
      </w:tr>
      <w:tr w:rsidR="00070B10" w:rsidRPr="004C07DA" w14:paraId="369525E3" w14:textId="77777777" w:rsidTr="00397F50">
        <w:trPr>
          <w:cantSplit/>
          <w:trHeight w:val="20"/>
        </w:trPr>
        <w:tc>
          <w:tcPr>
            <w:tcW w:w="2319" w:type="pct"/>
            <w:vAlign w:val="center"/>
          </w:tcPr>
          <w:p w14:paraId="71ED036F" w14:textId="77777777" w:rsidR="00070B10" w:rsidRPr="004C07DA" w:rsidRDefault="00070B10" w:rsidP="00397F50">
            <w:pPr>
              <w:keepLines/>
              <w:rPr>
                <w:rFonts w:ascii="Arial Narrow" w:hAnsi="Arial Narrow"/>
                <w:sz w:val="20"/>
                <w:szCs w:val="20"/>
              </w:rPr>
            </w:pPr>
            <w:r>
              <w:rPr>
                <w:rFonts w:ascii="Arial Narrow" w:hAnsi="Arial Narrow"/>
                <w:sz w:val="20"/>
                <w:szCs w:val="20"/>
              </w:rPr>
              <w:t>mirikizumab 100 mg/mL injection 2 x 1 mL pen devices</w:t>
            </w:r>
          </w:p>
        </w:tc>
        <w:tc>
          <w:tcPr>
            <w:tcW w:w="419" w:type="pct"/>
            <w:vAlign w:val="center"/>
          </w:tcPr>
          <w:p w14:paraId="2CA99BB5" w14:textId="77777777" w:rsidR="00070B10" w:rsidRPr="004C07DA" w:rsidRDefault="00070B10" w:rsidP="00397F50">
            <w:pPr>
              <w:keepLines/>
              <w:jc w:val="center"/>
              <w:rPr>
                <w:rFonts w:ascii="Arial Narrow" w:hAnsi="Arial Narrow"/>
                <w:sz w:val="20"/>
                <w:szCs w:val="20"/>
              </w:rPr>
            </w:pPr>
            <w:r w:rsidRPr="001428E9">
              <w:rPr>
                <w:rFonts w:ascii="Arial Narrow" w:hAnsi="Arial Narrow"/>
                <w:sz w:val="20"/>
                <w:szCs w:val="20"/>
              </w:rPr>
              <w:t>NEW</w:t>
            </w:r>
          </w:p>
        </w:tc>
        <w:tc>
          <w:tcPr>
            <w:tcW w:w="419" w:type="pct"/>
            <w:vAlign w:val="center"/>
          </w:tcPr>
          <w:p w14:paraId="01C73544" w14:textId="77777777" w:rsidR="00070B10" w:rsidRPr="004C07DA" w:rsidRDefault="00070B10" w:rsidP="00397F50">
            <w:pPr>
              <w:keepLines/>
              <w:jc w:val="center"/>
              <w:rPr>
                <w:rFonts w:ascii="Arial Narrow" w:hAnsi="Arial Narrow"/>
                <w:sz w:val="20"/>
                <w:szCs w:val="20"/>
              </w:rPr>
            </w:pPr>
            <w:r w:rsidRPr="001428E9">
              <w:rPr>
                <w:rFonts w:ascii="Arial Narrow" w:hAnsi="Arial Narrow"/>
                <w:sz w:val="20"/>
                <w:szCs w:val="20"/>
              </w:rPr>
              <w:t>1</w:t>
            </w:r>
          </w:p>
        </w:tc>
        <w:tc>
          <w:tcPr>
            <w:tcW w:w="419" w:type="pct"/>
            <w:vAlign w:val="center"/>
          </w:tcPr>
          <w:p w14:paraId="52532242" w14:textId="77777777" w:rsidR="00070B10" w:rsidRPr="004C07DA" w:rsidRDefault="00070B10" w:rsidP="00397F50">
            <w:pPr>
              <w:keepLines/>
              <w:jc w:val="center"/>
              <w:rPr>
                <w:rFonts w:ascii="Arial Narrow" w:hAnsi="Arial Narrow"/>
                <w:sz w:val="20"/>
                <w:szCs w:val="20"/>
              </w:rPr>
            </w:pPr>
            <w:r>
              <w:rPr>
                <w:rFonts w:ascii="Arial Narrow" w:hAnsi="Arial Narrow"/>
                <w:sz w:val="20"/>
                <w:szCs w:val="20"/>
              </w:rPr>
              <w:t>2</w:t>
            </w:r>
          </w:p>
        </w:tc>
        <w:tc>
          <w:tcPr>
            <w:tcW w:w="419" w:type="pct"/>
            <w:vAlign w:val="center"/>
          </w:tcPr>
          <w:p w14:paraId="5A560C6D" w14:textId="77777777" w:rsidR="00070B10" w:rsidRPr="004C07DA" w:rsidRDefault="00070B10" w:rsidP="00397F50">
            <w:pPr>
              <w:keepLines/>
              <w:jc w:val="center"/>
              <w:rPr>
                <w:rFonts w:ascii="Arial Narrow" w:hAnsi="Arial Narrow"/>
                <w:sz w:val="20"/>
                <w:szCs w:val="20"/>
              </w:rPr>
            </w:pPr>
            <w:r w:rsidRPr="001428E9">
              <w:rPr>
                <w:rFonts w:ascii="Arial Narrow" w:hAnsi="Arial Narrow"/>
                <w:sz w:val="20"/>
                <w:szCs w:val="20"/>
              </w:rPr>
              <w:t>5</w:t>
            </w:r>
          </w:p>
        </w:tc>
        <w:tc>
          <w:tcPr>
            <w:tcW w:w="1005" w:type="pct"/>
            <w:vAlign w:val="center"/>
          </w:tcPr>
          <w:p w14:paraId="3227A942" w14:textId="77777777" w:rsidR="00070B10" w:rsidRPr="004C07DA" w:rsidRDefault="00070B10" w:rsidP="00397F50">
            <w:pPr>
              <w:keepLines/>
              <w:rPr>
                <w:rFonts w:ascii="Arial Narrow" w:hAnsi="Arial Narrow"/>
                <w:sz w:val="20"/>
                <w:szCs w:val="20"/>
              </w:rPr>
            </w:pPr>
            <w:r>
              <w:rPr>
                <w:rFonts w:ascii="Arial Narrow" w:hAnsi="Arial Narrow"/>
                <w:sz w:val="20"/>
                <w:szCs w:val="20"/>
              </w:rPr>
              <w:t>Omvoh</w:t>
            </w:r>
          </w:p>
        </w:tc>
      </w:tr>
    </w:tbl>
    <w:p w14:paraId="784870C5" w14:textId="77777777" w:rsidR="00070B10" w:rsidRDefault="00070B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421"/>
        <w:gridCol w:w="851"/>
        <w:gridCol w:w="7745"/>
      </w:tblGrid>
      <w:tr w:rsidR="00070B10" w:rsidRPr="00A3494F" w14:paraId="7E989406" w14:textId="77777777" w:rsidTr="00752982">
        <w:trPr>
          <w:cantSplit/>
          <w:trHeight w:val="20"/>
        </w:trPr>
        <w:tc>
          <w:tcPr>
            <w:tcW w:w="9017" w:type="dxa"/>
            <w:gridSpan w:val="3"/>
            <w:vAlign w:val="center"/>
          </w:tcPr>
          <w:p w14:paraId="446555C7" w14:textId="77777777" w:rsidR="00070B10" w:rsidRPr="00A3494F" w:rsidRDefault="00070B10" w:rsidP="00070B10">
            <w:pPr>
              <w:keepNext/>
              <w:keepLines/>
              <w:rPr>
                <w:rFonts w:ascii="Arial Narrow" w:hAnsi="Arial Narrow"/>
                <w:b/>
                <w:bCs/>
                <w:color w:val="333333"/>
                <w:sz w:val="20"/>
                <w:szCs w:val="20"/>
              </w:rPr>
            </w:pPr>
            <w:r w:rsidRPr="00A3494F">
              <w:rPr>
                <w:rFonts w:ascii="Arial Narrow" w:hAnsi="Arial Narrow"/>
                <w:b/>
                <w:bCs/>
                <w:color w:val="333333"/>
                <w:sz w:val="20"/>
                <w:szCs w:val="20"/>
              </w:rPr>
              <w:t xml:space="preserve">Restriction Summary [new] / Treatment of Concept: [new] </w:t>
            </w:r>
          </w:p>
        </w:tc>
      </w:tr>
      <w:tr w:rsidR="00070B10" w:rsidRPr="00A3494F" w14:paraId="17E31FAA" w14:textId="77777777" w:rsidTr="00752982">
        <w:trPr>
          <w:cantSplit/>
          <w:trHeight w:val="20"/>
        </w:trPr>
        <w:tc>
          <w:tcPr>
            <w:tcW w:w="1272" w:type="dxa"/>
            <w:gridSpan w:val="2"/>
            <w:vMerge w:val="restart"/>
            <w:tcBorders>
              <w:top w:val="single" w:sz="4" w:space="0" w:color="auto"/>
              <w:left w:val="single" w:sz="4" w:space="0" w:color="auto"/>
              <w:right w:val="single" w:sz="4" w:space="0" w:color="auto"/>
            </w:tcBorders>
          </w:tcPr>
          <w:p w14:paraId="3E739720" w14:textId="1FFC6AE8" w:rsidR="00070B10" w:rsidRPr="00A3494F" w:rsidRDefault="00070B10" w:rsidP="00070B10">
            <w:pPr>
              <w:jc w:val="center"/>
              <w:rPr>
                <w:rFonts w:ascii="Arial Narrow" w:hAnsi="Arial Narrow"/>
                <w:b/>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19C48637" w14:textId="77777777" w:rsidR="008267EB" w:rsidRDefault="00070B10" w:rsidP="00070B10">
            <w:pPr>
              <w:keepNext/>
              <w:keepLines/>
              <w:rPr>
                <w:rFonts w:ascii="Arial Narrow" w:hAnsi="Arial Narrow"/>
                <w:b/>
                <w:sz w:val="20"/>
                <w:szCs w:val="20"/>
              </w:rPr>
            </w:pPr>
            <w:r w:rsidRPr="00A3494F">
              <w:rPr>
                <w:rFonts w:ascii="Arial Narrow" w:hAnsi="Arial Narrow"/>
                <w:b/>
                <w:sz w:val="20"/>
                <w:szCs w:val="20"/>
              </w:rPr>
              <w:t xml:space="preserve">Category / Program: </w:t>
            </w:r>
          </w:p>
          <w:p w14:paraId="79DB4B51" w14:textId="751FDD45" w:rsidR="008267EB" w:rsidRDefault="008267EB" w:rsidP="00070B10">
            <w:pPr>
              <w:keepNext/>
              <w:keepLines/>
              <w:rPr>
                <w:rFonts w:ascii="Arial Narrow" w:hAnsi="Arial Narrow"/>
                <w:b/>
                <w:sz w:val="20"/>
                <w:szCs w:val="20"/>
              </w:rPr>
            </w:pPr>
            <w:r>
              <w:rPr>
                <w:rFonts w:ascii="Arial Narrow" w:hAnsi="Arial Narrow"/>
                <w:b/>
                <w:sz w:val="20"/>
                <w:szCs w:val="20"/>
              </w:rPr>
              <w:t xml:space="preserve">Intravenous form: </w:t>
            </w:r>
            <w:r w:rsidRPr="00A3494F">
              <w:rPr>
                <w:rFonts w:ascii="Arial Narrow" w:hAnsi="Arial Narrow"/>
                <w:sz w:val="20"/>
                <w:szCs w:val="20"/>
              </w:rPr>
              <w:t>Section 100 – Highly Specialised Drugs Program</w:t>
            </w:r>
          </w:p>
          <w:p w14:paraId="737984A8" w14:textId="546078BF" w:rsidR="00070B10" w:rsidRPr="00A3494F" w:rsidRDefault="008267EB" w:rsidP="00070B10">
            <w:pPr>
              <w:keepNext/>
              <w:keepLines/>
              <w:rPr>
                <w:rFonts w:ascii="Arial Narrow" w:hAnsi="Arial Narrow"/>
                <w:sz w:val="20"/>
                <w:szCs w:val="20"/>
              </w:rPr>
            </w:pPr>
            <w:r>
              <w:rPr>
                <w:rFonts w:ascii="Arial Narrow" w:hAnsi="Arial Narrow"/>
                <w:b/>
                <w:sz w:val="20"/>
                <w:szCs w:val="20"/>
              </w:rPr>
              <w:t xml:space="preserve">Subcutaneous form: </w:t>
            </w:r>
            <w:r w:rsidR="00070B10" w:rsidRPr="00A3494F">
              <w:rPr>
                <w:rFonts w:ascii="Arial Narrow" w:hAnsi="Arial Narrow"/>
                <w:sz w:val="20"/>
                <w:szCs w:val="20"/>
              </w:rPr>
              <w:t>GENERAL – General Schedule (Code GE)</w:t>
            </w:r>
            <w:r w:rsidR="00070B10" w:rsidRPr="00A3494F">
              <w:rPr>
                <w:rFonts w:ascii="Arial Narrow" w:hAnsi="Arial Narrow"/>
                <w:color w:val="FF0000"/>
                <w:sz w:val="20"/>
                <w:szCs w:val="20"/>
              </w:rPr>
              <w:t xml:space="preserve"> </w:t>
            </w:r>
          </w:p>
        </w:tc>
      </w:tr>
      <w:tr w:rsidR="00070B10" w:rsidRPr="00A3494F" w14:paraId="0B520173" w14:textId="77777777" w:rsidTr="00752982">
        <w:trPr>
          <w:cantSplit/>
          <w:trHeight w:val="20"/>
        </w:trPr>
        <w:tc>
          <w:tcPr>
            <w:tcW w:w="1272" w:type="dxa"/>
            <w:gridSpan w:val="2"/>
            <w:vMerge/>
            <w:tcBorders>
              <w:left w:val="single" w:sz="4" w:space="0" w:color="auto"/>
              <w:right w:val="single" w:sz="4" w:space="0" w:color="auto"/>
            </w:tcBorders>
          </w:tcPr>
          <w:p w14:paraId="7F426F55" w14:textId="77777777" w:rsidR="00070B10" w:rsidRPr="00A3494F" w:rsidRDefault="00070B10" w:rsidP="00070B10">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32B60106" w14:textId="77777777" w:rsidR="00070B10" w:rsidRPr="00A3494F" w:rsidRDefault="00070B10" w:rsidP="00070B10">
            <w:pPr>
              <w:keepNext/>
              <w:keepLines/>
              <w:rPr>
                <w:rFonts w:ascii="Arial Narrow" w:hAnsi="Arial Narrow"/>
                <w:b/>
                <w:sz w:val="20"/>
                <w:szCs w:val="20"/>
              </w:rPr>
            </w:pPr>
            <w:r w:rsidRPr="00A3494F">
              <w:rPr>
                <w:rFonts w:ascii="Arial Narrow" w:hAnsi="Arial Narrow"/>
                <w:b/>
                <w:sz w:val="20"/>
                <w:szCs w:val="20"/>
              </w:rPr>
              <w:t xml:space="preserve">Prescriber type: </w:t>
            </w:r>
            <w:r w:rsidRPr="00A3494F">
              <w:rPr>
                <w:rFonts w:ascii="Arial Narrow" w:hAnsi="Arial Narrow"/>
                <w:sz w:val="20"/>
                <w:szCs w:val="20"/>
              </w:rPr>
              <w:fldChar w:fldCharType="begin" w:fldLock="1">
                <w:ffData>
                  <w:name w:val=""/>
                  <w:enabled/>
                  <w:calcOnExit w:val="0"/>
                  <w:checkBox>
                    <w:sizeAuto/>
                    <w:default w:val="1"/>
                  </w:checkBox>
                </w:ffData>
              </w:fldChar>
            </w:r>
            <w:r w:rsidRPr="00A3494F">
              <w:rPr>
                <w:rFonts w:ascii="Arial Narrow" w:hAnsi="Arial Narrow"/>
                <w:sz w:val="20"/>
                <w:szCs w:val="20"/>
              </w:rPr>
              <w:instrText xml:space="preserve"> FORMCHECKBOX </w:instrText>
            </w:r>
            <w:r w:rsidR="00A234BA">
              <w:rPr>
                <w:rFonts w:ascii="Arial Narrow" w:hAnsi="Arial Narrow"/>
                <w:sz w:val="20"/>
                <w:szCs w:val="20"/>
              </w:rPr>
            </w:r>
            <w:r w:rsidR="00A234BA">
              <w:rPr>
                <w:rFonts w:ascii="Arial Narrow" w:hAnsi="Arial Narrow"/>
                <w:sz w:val="20"/>
                <w:szCs w:val="20"/>
              </w:rPr>
              <w:fldChar w:fldCharType="separate"/>
            </w:r>
            <w:r w:rsidRPr="00A3494F">
              <w:rPr>
                <w:rFonts w:ascii="Arial Narrow" w:hAnsi="Arial Narrow"/>
                <w:sz w:val="20"/>
                <w:szCs w:val="20"/>
              </w:rPr>
              <w:fldChar w:fldCharType="end"/>
            </w:r>
            <w:r w:rsidRPr="00A3494F">
              <w:rPr>
                <w:rFonts w:ascii="Arial Narrow" w:hAnsi="Arial Narrow"/>
                <w:sz w:val="20"/>
                <w:szCs w:val="20"/>
              </w:rPr>
              <w:t xml:space="preserve">Medical Practitioners </w:t>
            </w:r>
          </w:p>
        </w:tc>
      </w:tr>
      <w:tr w:rsidR="00070B10" w:rsidRPr="00A3494F" w14:paraId="1EDF6A15" w14:textId="77777777" w:rsidTr="00752982">
        <w:trPr>
          <w:cantSplit/>
          <w:trHeight w:val="20"/>
        </w:trPr>
        <w:tc>
          <w:tcPr>
            <w:tcW w:w="1272" w:type="dxa"/>
            <w:gridSpan w:val="2"/>
            <w:vMerge/>
            <w:tcBorders>
              <w:left w:val="single" w:sz="4" w:space="0" w:color="auto"/>
              <w:bottom w:val="single" w:sz="4" w:space="0" w:color="auto"/>
              <w:right w:val="single" w:sz="4" w:space="0" w:color="auto"/>
            </w:tcBorders>
          </w:tcPr>
          <w:p w14:paraId="640E4A14" w14:textId="77777777" w:rsidR="00070B10" w:rsidRPr="00A3494F" w:rsidRDefault="00070B10" w:rsidP="00070B10">
            <w:pPr>
              <w:rPr>
                <w:rFonts w:ascii="Arial Narrow" w:hAnsi="Arial Narrow"/>
                <w:sz w:val="20"/>
                <w:szCs w:val="20"/>
              </w:rPr>
            </w:pPr>
          </w:p>
        </w:tc>
        <w:tc>
          <w:tcPr>
            <w:tcW w:w="7745" w:type="dxa"/>
            <w:tcBorders>
              <w:top w:val="single" w:sz="4" w:space="0" w:color="auto"/>
              <w:left w:val="single" w:sz="4" w:space="0" w:color="auto"/>
              <w:bottom w:val="single" w:sz="4" w:space="0" w:color="auto"/>
              <w:right w:val="single" w:sz="4" w:space="0" w:color="auto"/>
            </w:tcBorders>
            <w:vAlign w:val="center"/>
          </w:tcPr>
          <w:p w14:paraId="133CCF0A" w14:textId="2B42F735" w:rsidR="00070B10" w:rsidRPr="00A3494F" w:rsidRDefault="00070B10" w:rsidP="00070B10">
            <w:pPr>
              <w:keepNext/>
              <w:keepLines/>
              <w:rPr>
                <w:rFonts w:ascii="Arial Narrow" w:eastAsia="Calibri" w:hAnsi="Arial Narrow"/>
                <w:sz w:val="20"/>
                <w:szCs w:val="20"/>
              </w:rPr>
            </w:pPr>
            <w:r w:rsidRPr="00A3494F">
              <w:rPr>
                <w:rFonts w:ascii="Arial Narrow" w:hAnsi="Arial Narrow"/>
                <w:b/>
                <w:sz w:val="20"/>
                <w:szCs w:val="20"/>
              </w:rPr>
              <w:t xml:space="preserve">Restriction type: </w:t>
            </w:r>
            <w:r w:rsidRPr="00A3494F">
              <w:rPr>
                <w:rFonts w:ascii="Arial Narrow" w:eastAsia="Calibri" w:hAnsi="Arial Narrow"/>
                <w:sz w:val="20"/>
                <w:szCs w:val="20"/>
              </w:rPr>
              <w:fldChar w:fldCharType="begin" w:fldLock="1">
                <w:ffData>
                  <w:name w:val=""/>
                  <w:enabled/>
                  <w:calcOnExit w:val="0"/>
                  <w:checkBox>
                    <w:sizeAuto/>
                    <w:default w:val="1"/>
                  </w:checkBox>
                </w:ffData>
              </w:fldChar>
            </w:r>
            <w:r w:rsidRPr="00A3494F">
              <w:rPr>
                <w:rFonts w:ascii="Arial Narrow" w:eastAsia="Calibri" w:hAnsi="Arial Narrow"/>
                <w:sz w:val="20"/>
                <w:szCs w:val="20"/>
              </w:rPr>
              <w:instrText xml:space="preserve"> FORMCHECKBOX </w:instrText>
            </w:r>
            <w:r w:rsidR="00A234BA">
              <w:rPr>
                <w:rFonts w:ascii="Arial Narrow" w:eastAsia="Calibri" w:hAnsi="Arial Narrow"/>
                <w:sz w:val="20"/>
                <w:szCs w:val="20"/>
              </w:rPr>
            </w:r>
            <w:r w:rsidR="00A234BA">
              <w:rPr>
                <w:rFonts w:ascii="Arial Narrow" w:eastAsia="Calibri" w:hAnsi="Arial Narrow"/>
                <w:sz w:val="20"/>
                <w:szCs w:val="20"/>
              </w:rPr>
              <w:fldChar w:fldCharType="separate"/>
            </w:r>
            <w:r w:rsidRPr="00A3494F">
              <w:rPr>
                <w:rFonts w:ascii="Arial Narrow" w:eastAsia="Calibri" w:hAnsi="Arial Narrow"/>
                <w:sz w:val="20"/>
                <w:szCs w:val="20"/>
              </w:rPr>
              <w:fldChar w:fldCharType="end"/>
            </w:r>
            <w:r w:rsidRPr="00A3494F">
              <w:rPr>
                <w:rFonts w:ascii="Arial Narrow" w:eastAsia="Calibri" w:hAnsi="Arial Narrow"/>
                <w:sz w:val="20"/>
                <w:szCs w:val="20"/>
              </w:rPr>
              <w:t xml:space="preserve">Authority Required </w:t>
            </w:r>
            <w:r w:rsidRPr="00752982">
              <w:rPr>
                <w:rFonts w:ascii="Arial Narrow" w:eastAsia="Calibri" w:hAnsi="Arial Narrow"/>
                <w:sz w:val="20"/>
                <w:szCs w:val="20"/>
              </w:rPr>
              <w:t>(in writing only via post/HPOS upload)</w:t>
            </w:r>
          </w:p>
        </w:tc>
      </w:tr>
      <w:tr w:rsidR="000C5E89" w:rsidRPr="00A3494F" w14:paraId="5DEABABF" w14:textId="77777777" w:rsidTr="004C79D4">
        <w:tblPrEx>
          <w:tblLook w:val="0000" w:firstRow="0" w:lastRow="0" w:firstColumn="0" w:lastColumn="0" w:noHBand="0" w:noVBand="0"/>
        </w:tblPrEx>
        <w:trPr>
          <w:cantSplit/>
          <w:trHeight w:val="499"/>
        </w:trPr>
        <w:tc>
          <w:tcPr>
            <w:tcW w:w="421" w:type="dxa"/>
            <w:vMerge w:val="restart"/>
            <w:textDirection w:val="btLr"/>
            <w:vAlign w:val="center"/>
          </w:tcPr>
          <w:p w14:paraId="7BF56AFC" w14:textId="319E163B" w:rsidR="000C5E89" w:rsidRPr="00A3494F" w:rsidRDefault="000C5E89" w:rsidP="00070B10">
            <w:pPr>
              <w:ind w:left="113" w:right="113"/>
              <w:jc w:val="center"/>
              <w:rPr>
                <w:rFonts w:ascii="Arial Narrow" w:hAnsi="Arial Narrow"/>
                <w:color w:val="333333"/>
                <w:sz w:val="20"/>
                <w:szCs w:val="20"/>
              </w:rPr>
            </w:pPr>
          </w:p>
        </w:tc>
        <w:tc>
          <w:tcPr>
            <w:tcW w:w="851" w:type="dxa"/>
            <w:vAlign w:val="center"/>
          </w:tcPr>
          <w:p w14:paraId="11165111" w14:textId="18C7A802" w:rsidR="000C5E89" w:rsidRPr="00A3494F" w:rsidRDefault="000C5E89" w:rsidP="00070B10">
            <w:pPr>
              <w:jc w:val="center"/>
              <w:rPr>
                <w:rFonts w:ascii="Arial Narrow" w:hAnsi="Arial Narrow"/>
                <w:color w:val="333333"/>
                <w:sz w:val="20"/>
                <w:szCs w:val="20"/>
              </w:rPr>
            </w:pPr>
          </w:p>
        </w:tc>
        <w:tc>
          <w:tcPr>
            <w:tcW w:w="7745" w:type="dxa"/>
            <w:vAlign w:val="center"/>
          </w:tcPr>
          <w:p w14:paraId="1FD7CBF1" w14:textId="77777777" w:rsidR="000C5E89" w:rsidRPr="00A3494F" w:rsidRDefault="000C5E89" w:rsidP="00070B10">
            <w:pPr>
              <w:rPr>
                <w:rFonts w:ascii="Arial Narrow" w:hAnsi="Arial Narrow"/>
                <w:b/>
                <w:bCs/>
                <w:color w:val="333333"/>
                <w:sz w:val="20"/>
                <w:szCs w:val="20"/>
              </w:rPr>
            </w:pPr>
            <w:r w:rsidRPr="00A3494F">
              <w:rPr>
                <w:rFonts w:ascii="Arial Narrow" w:hAnsi="Arial Narrow"/>
                <w:b/>
                <w:bCs/>
                <w:color w:val="333333"/>
                <w:sz w:val="20"/>
                <w:szCs w:val="20"/>
              </w:rPr>
              <w:t xml:space="preserve">Administrative Advice: </w:t>
            </w:r>
          </w:p>
          <w:p w14:paraId="079E45DC" w14:textId="34B7AA7A" w:rsidR="000C5E89" w:rsidRPr="00A3494F" w:rsidRDefault="000C5E89" w:rsidP="00070B10">
            <w:pPr>
              <w:rPr>
                <w:rFonts w:ascii="Arial Narrow" w:hAnsi="Arial Narrow"/>
                <w:b/>
                <w:bCs/>
                <w:color w:val="333333"/>
                <w:sz w:val="20"/>
                <w:szCs w:val="20"/>
              </w:rPr>
            </w:pPr>
            <w:r w:rsidRPr="00752982">
              <w:rPr>
                <w:rFonts w:ascii="Arial Narrow" w:hAnsi="Arial Narrow"/>
                <w:color w:val="333333"/>
                <w:sz w:val="20"/>
                <w:szCs w:val="20"/>
              </w:rPr>
              <w:t>No increase in the maximum quantity or number of units may be authorised.</w:t>
            </w:r>
          </w:p>
        </w:tc>
      </w:tr>
      <w:tr w:rsidR="00070B10" w:rsidRPr="00A3494F" w14:paraId="250FB416" w14:textId="77777777" w:rsidTr="008267EB">
        <w:trPr>
          <w:cantSplit/>
          <w:trHeight w:val="20"/>
        </w:trPr>
        <w:tc>
          <w:tcPr>
            <w:tcW w:w="421" w:type="dxa"/>
            <w:vMerge/>
            <w:vAlign w:val="center"/>
          </w:tcPr>
          <w:p w14:paraId="02949EBE" w14:textId="77777777" w:rsidR="00070B10" w:rsidRPr="00A3494F" w:rsidRDefault="00070B10" w:rsidP="00070B10">
            <w:pPr>
              <w:jc w:val="center"/>
              <w:rPr>
                <w:rFonts w:ascii="Arial Narrow" w:hAnsi="Arial Narrow"/>
                <w:color w:val="333333"/>
                <w:sz w:val="20"/>
                <w:szCs w:val="20"/>
              </w:rPr>
            </w:pPr>
          </w:p>
        </w:tc>
        <w:tc>
          <w:tcPr>
            <w:tcW w:w="851" w:type="dxa"/>
            <w:vAlign w:val="center"/>
          </w:tcPr>
          <w:p w14:paraId="1A9A9FB0" w14:textId="118FB972" w:rsidR="00070B10" w:rsidRPr="00A3494F" w:rsidRDefault="00070B10" w:rsidP="00070B10">
            <w:pPr>
              <w:jc w:val="center"/>
              <w:rPr>
                <w:rFonts w:ascii="Arial Narrow" w:hAnsi="Arial Narrow"/>
                <w:color w:val="333333"/>
                <w:sz w:val="20"/>
                <w:szCs w:val="20"/>
              </w:rPr>
            </w:pPr>
          </w:p>
        </w:tc>
        <w:tc>
          <w:tcPr>
            <w:tcW w:w="7745" w:type="dxa"/>
            <w:vAlign w:val="center"/>
          </w:tcPr>
          <w:p w14:paraId="38ECF36A" w14:textId="77777777" w:rsidR="00070B10" w:rsidRPr="00A3494F" w:rsidRDefault="00070B10" w:rsidP="00070B10">
            <w:pPr>
              <w:rPr>
                <w:rFonts w:ascii="Arial Narrow" w:hAnsi="Arial Narrow"/>
                <w:b/>
                <w:bCs/>
                <w:color w:val="333333"/>
                <w:sz w:val="20"/>
                <w:szCs w:val="20"/>
              </w:rPr>
            </w:pPr>
            <w:r w:rsidRPr="00A3494F">
              <w:rPr>
                <w:rFonts w:ascii="Arial Narrow" w:hAnsi="Arial Narrow"/>
                <w:b/>
                <w:bCs/>
                <w:color w:val="333333"/>
                <w:sz w:val="20"/>
                <w:szCs w:val="20"/>
              </w:rPr>
              <w:t xml:space="preserve">Administrative Advice: </w:t>
            </w:r>
          </w:p>
          <w:p w14:paraId="7542F721" w14:textId="77777777" w:rsidR="00070B10" w:rsidRPr="00752982" w:rsidRDefault="00070B10" w:rsidP="00070B10">
            <w:pPr>
              <w:rPr>
                <w:rFonts w:ascii="Arial Narrow" w:hAnsi="Arial Narrow"/>
                <w:b/>
                <w:bCs/>
                <w:color w:val="333333"/>
                <w:sz w:val="20"/>
                <w:szCs w:val="20"/>
              </w:rPr>
            </w:pPr>
            <w:r w:rsidRPr="00752982">
              <w:rPr>
                <w:rFonts w:ascii="Arial Narrow" w:hAnsi="Arial Narrow"/>
                <w:color w:val="333333"/>
                <w:sz w:val="20"/>
                <w:szCs w:val="20"/>
              </w:rPr>
              <w:t>No increase in the maximum number of repeats may be authorised.</w:t>
            </w:r>
          </w:p>
        </w:tc>
      </w:tr>
      <w:tr w:rsidR="00070B10" w:rsidRPr="00A3494F" w14:paraId="63BE2A21" w14:textId="77777777" w:rsidTr="008267EB">
        <w:trPr>
          <w:cantSplit/>
          <w:trHeight w:val="20"/>
        </w:trPr>
        <w:tc>
          <w:tcPr>
            <w:tcW w:w="421" w:type="dxa"/>
            <w:vMerge/>
            <w:vAlign w:val="center"/>
          </w:tcPr>
          <w:p w14:paraId="667C76A6" w14:textId="77777777" w:rsidR="00070B10" w:rsidRPr="00A3494F" w:rsidRDefault="00070B10" w:rsidP="00070B10">
            <w:pPr>
              <w:jc w:val="center"/>
              <w:rPr>
                <w:rFonts w:ascii="Arial Narrow" w:hAnsi="Arial Narrow"/>
                <w:color w:val="333333"/>
                <w:sz w:val="20"/>
                <w:szCs w:val="20"/>
              </w:rPr>
            </w:pPr>
          </w:p>
        </w:tc>
        <w:tc>
          <w:tcPr>
            <w:tcW w:w="851" w:type="dxa"/>
            <w:vAlign w:val="center"/>
          </w:tcPr>
          <w:p w14:paraId="4FE0A328" w14:textId="51C9F44C" w:rsidR="00070B10" w:rsidRPr="00A3494F" w:rsidRDefault="00070B10" w:rsidP="00070B10">
            <w:pPr>
              <w:jc w:val="center"/>
              <w:rPr>
                <w:rFonts w:ascii="Arial Narrow" w:hAnsi="Arial Narrow"/>
                <w:color w:val="333333"/>
                <w:sz w:val="20"/>
                <w:szCs w:val="20"/>
              </w:rPr>
            </w:pPr>
          </w:p>
        </w:tc>
        <w:tc>
          <w:tcPr>
            <w:tcW w:w="7745" w:type="dxa"/>
            <w:vAlign w:val="center"/>
          </w:tcPr>
          <w:p w14:paraId="77E02219" w14:textId="77777777" w:rsidR="00070B10" w:rsidRPr="00A3494F" w:rsidRDefault="00070B10" w:rsidP="00070B10">
            <w:pPr>
              <w:rPr>
                <w:rFonts w:ascii="Arial Narrow" w:hAnsi="Arial Narrow"/>
                <w:b/>
                <w:bCs/>
                <w:color w:val="333333"/>
                <w:sz w:val="20"/>
                <w:szCs w:val="20"/>
              </w:rPr>
            </w:pPr>
            <w:r w:rsidRPr="00A3494F">
              <w:rPr>
                <w:rFonts w:ascii="Arial Narrow" w:hAnsi="Arial Narrow"/>
                <w:b/>
                <w:bCs/>
                <w:color w:val="333333"/>
                <w:sz w:val="20"/>
                <w:szCs w:val="20"/>
              </w:rPr>
              <w:t xml:space="preserve">Administrative Advice: </w:t>
            </w:r>
          </w:p>
          <w:p w14:paraId="6C8920DA" w14:textId="77777777" w:rsidR="00070B10" w:rsidRPr="00752982" w:rsidRDefault="00070B10" w:rsidP="00070B10">
            <w:pPr>
              <w:rPr>
                <w:rFonts w:ascii="Arial Narrow" w:hAnsi="Arial Narrow"/>
                <w:b/>
                <w:bCs/>
                <w:color w:val="333333"/>
                <w:sz w:val="20"/>
                <w:szCs w:val="20"/>
              </w:rPr>
            </w:pPr>
            <w:r w:rsidRPr="00752982">
              <w:rPr>
                <w:rFonts w:ascii="Arial Narrow" w:hAnsi="Arial Narrow"/>
                <w:color w:val="333333"/>
                <w:sz w:val="20"/>
                <w:szCs w:val="20"/>
              </w:rPr>
              <w:t xml:space="preserve">Special Pricing Arrangements Apply. </w:t>
            </w:r>
          </w:p>
        </w:tc>
      </w:tr>
      <w:tr w:rsidR="00070B10" w:rsidRPr="00A3494F" w14:paraId="16C9B475" w14:textId="77777777" w:rsidTr="00C37C70">
        <w:trPr>
          <w:cantSplit/>
          <w:trHeight w:val="20"/>
        </w:trPr>
        <w:tc>
          <w:tcPr>
            <w:tcW w:w="1272" w:type="dxa"/>
            <w:gridSpan w:val="2"/>
            <w:vAlign w:val="center"/>
          </w:tcPr>
          <w:p w14:paraId="1163133A" w14:textId="4BADF60E" w:rsidR="00070B10" w:rsidRPr="00A3494F" w:rsidRDefault="00070B10" w:rsidP="00070B10">
            <w:pPr>
              <w:jc w:val="center"/>
              <w:rPr>
                <w:rFonts w:ascii="Arial Narrow" w:hAnsi="Arial Narrow"/>
                <w:color w:val="333333"/>
                <w:sz w:val="20"/>
                <w:szCs w:val="20"/>
              </w:rPr>
            </w:pPr>
          </w:p>
        </w:tc>
        <w:tc>
          <w:tcPr>
            <w:tcW w:w="7745" w:type="dxa"/>
            <w:vAlign w:val="center"/>
            <w:hideMark/>
          </w:tcPr>
          <w:p w14:paraId="20E54661" w14:textId="77777777" w:rsidR="00070B10" w:rsidRPr="00A3494F" w:rsidRDefault="00070B10" w:rsidP="00070B10">
            <w:pPr>
              <w:rPr>
                <w:rFonts w:ascii="Arial Narrow" w:hAnsi="Arial Narrow"/>
                <w:color w:val="333333"/>
                <w:sz w:val="20"/>
                <w:szCs w:val="20"/>
              </w:rPr>
            </w:pPr>
            <w:r w:rsidRPr="00A3494F">
              <w:rPr>
                <w:rFonts w:ascii="Arial Narrow" w:hAnsi="Arial Narrow"/>
                <w:b/>
                <w:bCs/>
                <w:color w:val="333333"/>
                <w:sz w:val="20"/>
                <w:szCs w:val="20"/>
              </w:rPr>
              <w:t>Indication:</w:t>
            </w:r>
            <w:r w:rsidRPr="00A3494F">
              <w:rPr>
                <w:rFonts w:ascii="Arial Narrow" w:hAnsi="Arial Narrow"/>
                <w:color w:val="333333"/>
                <w:sz w:val="20"/>
                <w:szCs w:val="20"/>
              </w:rPr>
              <w:t xml:space="preserve"> Moderate to severe ulcerative colitis</w:t>
            </w:r>
          </w:p>
        </w:tc>
      </w:tr>
      <w:tr w:rsidR="00070B10" w:rsidRPr="00A3494F" w14:paraId="4B124389" w14:textId="77777777" w:rsidTr="00C37C70">
        <w:trPr>
          <w:cantSplit/>
          <w:trHeight w:val="20"/>
        </w:trPr>
        <w:tc>
          <w:tcPr>
            <w:tcW w:w="1272" w:type="dxa"/>
            <w:gridSpan w:val="2"/>
            <w:vAlign w:val="center"/>
          </w:tcPr>
          <w:p w14:paraId="531CAF57" w14:textId="77777777" w:rsidR="00070B10" w:rsidRPr="00A3494F" w:rsidRDefault="00070B10" w:rsidP="00070B10">
            <w:pPr>
              <w:jc w:val="center"/>
              <w:rPr>
                <w:rFonts w:ascii="Arial Narrow" w:hAnsi="Arial Narrow"/>
                <w:color w:val="333333"/>
                <w:sz w:val="20"/>
                <w:szCs w:val="20"/>
              </w:rPr>
            </w:pPr>
          </w:p>
        </w:tc>
        <w:tc>
          <w:tcPr>
            <w:tcW w:w="7745" w:type="dxa"/>
            <w:vAlign w:val="center"/>
            <w:hideMark/>
          </w:tcPr>
          <w:p w14:paraId="0E7F7759" w14:textId="33B8918E" w:rsidR="00070B10" w:rsidRPr="00752982" w:rsidRDefault="00070B10" w:rsidP="00070B10">
            <w:pPr>
              <w:rPr>
                <w:rFonts w:ascii="Arial Narrow" w:hAnsi="Arial Narrow"/>
                <w:sz w:val="20"/>
                <w:szCs w:val="20"/>
              </w:rPr>
            </w:pPr>
            <w:r w:rsidRPr="00752982">
              <w:rPr>
                <w:rFonts w:ascii="Arial Narrow" w:hAnsi="Arial Narrow"/>
                <w:b/>
                <w:bCs/>
                <w:color w:val="333333"/>
                <w:sz w:val="20"/>
                <w:szCs w:val="20"/>
              </w:rPr>
              <w:t>Treatment Phase:</w:t>
            </w:r>
            <w:r w:rsidRPr="00752982">
              <w:rPr>
                <w:rFonts w:ascii="Arial Narrow" w:hAnsi="Arial Narrow"/>
                <w:color w:val="FF0000"/>
                <w:sz w:val="20"/>
                <w:szCs w:val="20"/>
              </w:rPr>
              <w:t xml:space="preserve"> </w:t>
            </w:r>
            <w:r w:rsidRPr="00752982">
              <w:rPr>
                <w:rFonts w:ascii="Arial Narrow" w:hAnsi="Arial Narrow"/>
                <w:sz w:val="20"/>
                <w:szCs w:val="20"/>
              </w:rPr>
              <w:t>Transitioning from non-PBS to PBS-subsidised supply - Grandfather arrangements</w:t>
            </w:r>
          </w:p>
        </w:tc>
      </w:tr>
      <w:tr w:rsidR="00070B10" w:rsidRPr="00A3494F" w14:paraId="45D5F832" w14:textId="77777777" w:rsidTr="00C37C70">
        <w:trPr>
          <w:cantSplit/>
          <w:trHeight w:val="20"/>
        </w:trPr>
        <w:tc>
          <w:tcPr>
            <w:tcW w:w="1272" w:type="dxa"/>
            <w:gridSpan w:val="2"/>
            <w:vAlign w:val="center"/>
          </w:tcPr>
          <w:p w14:paraId="16B5AD13" w14:textId="77777777" w:rsidR="00070B10" w:rsidRPr="00A3494F" w:rsidRDefault="00070B10" w:rsidP="00070B10">
            <w:pPr>
              <w:jc w:val="center"/>
              <w:rPr>
                <w:rFonts w:ascii="Arial Narrow" w:hAnsi="Arial Narrow"/>
                <w:color w:val="333333"/>
                <w:sz w:val="20"/>
                <w:szCs w:val="20"/>
              </w:rPr>
            </w:pPr>
          </w:p>
        </w:tc>
        <w:tc>
          <w:tcPr>
            <w:tcW w:w="7745" w:type="dxa"/>
            <w:vAlign w:val="center"/>
            <w:hideMark/>
          </w:tcPr>
          <w:p w14:paraId="52BD5E42" w14:textId="77777777" w:rsidR="00070B10" w:rsidRPr="00A3494F" w:rsidRDefault="00070B10" w:rsidP="00070B10">
            <w:pPr>
              <w:rPr>
                <w:rFonts w:ascii="Arial Narrow" w:hAnsi="Arial Narrow"/>
                <w:sz w:val="20"/>
                <w:szCs w:val="20"/>
              </w:rPr>
            </w:pPr>
            <w:r w:rsidRPr="00A3494F">
              <w:rPr>
                <w:rFonts w:ascii="Arial Narrow" w:hAnsi="Arial Narrow"/>
                <w:b/>
                <w:bCs/>
                <w:color w:val="333333"/>
                <w:sz w:val="20"/>
                <w:szCs w:val="20"/>
              </w:rPr>
              <w:t xml:space="preserve">Clinical criteria: </w:t>
            </w:r>
          </w:p>
        </w:tc>
      </w:tr>
      <w:tr w:rsidR="00070B10" w:rsidRPr="00A3494F" w14:paraId="5FAE2DD5" w14:textId="77777777" w:rsidTr="00C37C70">
        <w:trPr>
          <w:cantSplit/>
          <w:trHeight w:val="20"/>
        </w:trPr>
        <w:tc>
          <w:tcPr>
            <w:tcW w:w="1272" w:type="dxa"/>
            <w:gridSpan w:val="2"/>
            <w:vAlign w:val="center"/>
          </w:tcPr>
          <w:p w14:paraId="3C9F776C" w14:textId="6BC546E2" w:rsidR="00070B10" w:rsidRPr="00A3494F" w:rsidRDefault="00070B10" w:rsidP="00070B10">
            <w:pPr>
              <w:jc w:val="center"/>
              <w:rPr>
                <w:rFonts w:ascii="Arial Narrow" w:hAnsi="Arial Narrow"/>
                <w:color w:val="333333"/>
                <w:sz w:val="20"/>
                <w:szCs w:val="20"/>
              </w:rPr>
            </w:pPr>
          </w:p>
        </w:tc>
        <w:tc>
          <w:tcPr>
            <w:tcW w:w="7745" w:type="dxa"/>
            <w:vAlign w:val="center"/>
            <w:hideMark/>
          </w:tcPr>
          <w:p w14:paraId="4CB53B3B" w14:textId="12522073" w:rsidR="00070B10" w:rsidRPr="00752982" w:rsidRDefault="00070B10" w:rsidP="00070B10">
            <w:pPr>
              <w:rPr>
                <w:rFonts w:ascii="Arial Narrow" w:hAnsi="Arial Narrow" w:cs="Arial Narrow"/>
                <w:sz w:val="20"/>
                <w:szCs w:val="20"/>
              </w:rPr>
            </w:pPr>
            <w:r w:rsidRPr="00752982">
              <w:rPr>
                <w:rFonts w:ascii="Arial Narrow" w:hAnsi="Arial Narrow" w:cs="Arial Narrow"/>
                <w:sz w:val="20"/>
                <w:szCs w:val="20"/>
              </w:rPr>
              <w:t>Patient must have received non-PBS-subsidised treatment with this drug for this condition prior to [PBS listing date].</w:t>
            </w:r>
          </w:p>
        </w:tc>
      </w:tr>
      <w:tr w:rsidR="008267EB" w:rsidRPr="00A3494F" w14:paraId="780E76FB" w14:textId="77777777" w:rsidTr="00752982">
        <w:trPr>
          <w:cantSplit/>
          <w:trHeight w:val="20"/>
        </w:trPr>
        <w:tc>
          <w:tcPr>
            <w:tcW w:w="1272" w:type="dxa"/>
            <w:gridSpan w:val="2"/>
            <w:vAlign w:val="center"/>
          </w:tcPr>
          <w:p w14:paraId="5AEC4BED" w14:textId="77777777" w:rsidR="008267EB" w:rsidRPr="00A3494F" w:rsidRDefault="008267EB" w:rsidP="008267EB">
            <w:pPr>
              <w:jc w:val="center"/>
              <w:rPr>
                <w:rFonts w:ascii="Arial Narrow" w:hAnsi="Arial Narrow"/>
                <w:color w:val="333333"/>
                <w:sz w:val="20"/>
                <w:szCs w:val="20"/>
              </w:rPr>
            </w:pPr>
          </w:p>
        </w:tc>
        <w:tc>
          <w:tcPr>
            <w:tcW w:w="7745" w:type="dxa"/>
            <w:vAlign w:val="center"/>
          </w:tcPr>
          <w:p w14:paraId="3629AE3F" w14:textId="6DF58A5F" w:rsidR="008267EB" w:rsidRPr="00752982" w:rsidRDefault="008267EB" w:rsidP="008267EB">
            <w:pPr>
              <w:rPr>
                <w:rFonts w:ascii="Arial Narrow" w:hAnsi="Arial Narrow" w:cs="Arial Narrow"/>
                <w:sz w:val="20"/>
                <w:szCs w:val="20"/>
              </w:rPr>
            </w:pPr>
            <w:r w:rsidRPr="001428E9">
              <w:rPr>
                <w:rFonts w:ascii="Arial Narrow" w:hAnsi="Arial Narrow"/>
                <w:b/>
                <w:bCs/>
                <w:color w:val="333333"/>
                <w:sz w:val="20"/>
                <w:szCs w:val="20"/>
              </w:rPr>
              <w:t>AND</w:t>
            </w:r>
          </w:p>
        </w:tc>
      </w:tr>
      <w:tr w:rsidR="008267EB" w:rsidRPr="00A3494F" w14:paraId="1DD57F1B" w14:textId="77777777" w:rsidTr="00752982">
        <w:trPr>
          <w:cantSplit/>
          <w:trHeight w:val="20"/>
        </w:trPr>
        <w:tc>
          <w:tcPr>
            <w:tcW w:w="1272" w:type="dxa"/>
            <w:gridSpan w:val="2"/>
            <w:vAlign w:val="center"/>
          </w:tcPr>
          <w:p w14:paraId="279454E0" w14:textId="0A3D371A" w:rsidR="008267EB" w:rsidRPr="008267EB" w:rsidRDefault="008267EB" w:rsidP="008267EB">
            <w:pPr>
              <w:jc w:val="center"/>
              <w:rPr>
                <w:rFonts w:ascii="Arial Narrow" w:hAnsi="Arial Narrow"/>
                <w:color w:val="333333"/>
                <w:sz w:val="20"/>
                <w:szCs w:val="20"/>
              </w:rPr>
            </w:pPr>
          </w:p>
        </w:tc>
        <w:tc>
          <w:tcPr>
            <w:tcW w:w="7745" w:type="dxa"/>
            <w:vAlign w:val="center"/>
          </w:tcPr>
          <w:p w14:paraId="0088DEBC" w14:textId="1010D622" w:rsidR="008267EB" w:rsidRPr="008267EB" w:rsidRDefault="008267EB" w:rsidP="008267EB">
            <w:pPr>
              <w:rPr>
                <w:rFonts w:ascii="Arial Narrow" w:hAnsi="Arial Narrow" w:cs="Arial Narrow"/>
                <w:sz w:val="20"/>
                <w:szCs w:val="20"/>
              </w:rPr>
            </w:pPr>
            <w:r w:rsidRPr="008267EB">
              <w:rPr>
                <w:rFonts w:ascii="Arial Narrow" w:hAnsi="Arial Narrow"/>
                <w:b/>
                <w:bCs/>
                <w:color w:val="333333"/>
                <w:sz w:val="20"/>
                <w:szCs w:val="20"/>
              </w:rPr>
              <w:t>Clinical criteria:</w:t>
            </w:r>
          </w:p>
        </w:tc>
      </w:tr>
      <w:tr w:rsidR="008267EB" w:rsidRPr="00A3494F" w14:paraId="0B9079B3" w14:textId="77777777" w:rsidTr="00752982">
        <w:trPr>
          <w:cantSplit/>
          <w:trHeight w:val="20"/>
        </w:trPr>
        <w:tc>
          <w:tcPr>
            <w:tcW w:w="1272" w:type="dxa"/>
            <w:gridSpan w:val="2"/>
            <w:vAlign w:val="center"/>
          </w:tcPr>
          <w:p w14:paraId="223EE292" w14:textId="6977A29B" w:rsidR="008267EB" w:rsidRPr="008267EB" w:rsidRDefault="008267EB" w:rsidP="008267EB">
            <w:pPr>
              <w:jc w:val="center"/>
              <w:rPr>
                <w:rFonts w:ascii="Arial Narrow" w:hAnsi="Arial Narrow"/>
                <w:color w:val="333333"/>
                <w:sz w:val="20"/>
                <w:szCs w:val="20"/>
              </w:rPr>
            </w:pPr>
          </w:p>
        </w:tc>
        <w:tc>
          <w:tcPr>
            <w:tcW w:w="7745" w:type="dxa"/>
            <w:vAlign w:val="center"/>
          </w:tcPr>
          <w:p w14:paraId="6186CDC2" w14:textId="498860DC" w:rsidR="008267EB" w:rsidRPr="008267EB" w:rsidRDefault="008267EB" w:rsidP="008267EB">
            <w:pPr>
              <w:rPr>
                <w:rFonts w:ascii="Arial Narrow" w:hAnsi="Arial Narrow" w:cs="Arial Narrow"/>
                <w:sz w:val="20"/>
                <w:szCs w:val="20"/>
              </w:rPr>
            </w:pPr>
            <w:r w:rsidRPr="008267EB">
              <w:rPr>
                <w:rFonts w:ascii="Arial Narrow" w:hAnsi="Arial Narrow" w:cs="Arial Narrow"/>
                <w:sz w:val="20"/>
                <w:szCs w:val="20"/>
              </w:rPr>
              <w:t>Patient must be receiving treatment with this drug for this condition at the time of application</w:t>
            </w:r>
          </w:p>
        </w:tc>
      </w:tr>
      <w:tr w:rsidR="008267EB" w:rsidRPr="00A3494F" w14:paraId="2435DEEB" w14:textId="77777777" w:rsidTr="00752982">
        <w:trPr>
          <w:cantSplit/>
          <w:trHeight w:val="20"/>
        </w:trPr>
        <w:tc>
          <w:tcPr>
            <w:tcW w:w="1272" w:type="dxa"/>
            <w:gridSpan w:val="2"/>
            <w:vAlign w:val="center"/>
          </w:tcPr>
          <w:p w14:paraId="143F9FED" w14:textId="77777777" w:rsidR="008267EB" w:rsidRPr="008267EB" w:rsidRDefault="008267EB" w:rsidP="008267EB">
            <w:pPr>
              <w:jc w:val="center"/>
              <w:rPr>
                <w:rFonts w:ascii="Arial Narrow" w:hAnsi="Arial Narrow"/>
                <w:color w:val="333333"/>
                <w:sz w:val="20"/>
                <w:szCs w:val="20"/>
              </w:rPr>
            </w:pPr>
          </w:p>
        </w:tc>
        <w:tc>
          <w:tcPr>
            <w:tcW w:w="7745" w:type="dxa"/>
            <w:vAlign w:val="center"/>
          </w:tcPr>
          <w:p w14:paraId="67E7019D" w14:textId="5CAB203B" w:rsidR="008267EB" w:rsidRPr="008267EB" w:rsidRDefault="008267EB" w:rsidP="008267EB">
            <w:pPr>
              <w:rPr>
                <w:rFonts w:ascii="Arial Narrow" w:hAnsi="Arial Narrow" w:cs="Arial Narrow"/>
                <w:sz w:val="20"/>
                <w:szCs w:val="20"/>
              </w:rPr>
            </w:pPr>
            <w:r w:rsidRPr="001428E9">
              <w:rPr>
                <w:rFonts w:ascii="Arial Narrow" w:hAnsi="Arial Narrow"/>
                <w:b/>
                <w:bCs/>
                <w:color w:val="333333"/>
                <w:sz w:val="20"/>
                <w:szCs w:val="20"/>
              </w:rPr>
              <w:t>AND</w:t>
            </w:r>
          </w:p>
        </w:tc>
      </w:tr>
      <w:tr w:rsidR="008267EB" w:rsidRPr="00A3494F" w14:paraId="00F95EFF" w14:textId="77777777" w:rsidTr="00752982">
        <w:trPr>
          <w:cantSplit/>
          <w:trHeight w:val="20"/>
        </w:trPr>
        <w:tc>
          <w:tcPr>
            <w:tcW w:w="1272" w:type="dxa"/>
            <w:gridSpan w:val="2"/>
            <w:vAlign w:val="center"/>
          </w:tcPr>
          <w:p w14:paraId="35A71A65" w14:textId="2DA5FD0F" w:rsidR="008267EB" w:rsidRPr="008267EB" w:rsidRDefault="008267EB" w:rsidP="008267EB">
            <w:pPr>
              <w:jc w:val="center"/>
              <w:rPr>
                <w:rFonts w:ascii="Arial Narrow" w:hAnsi="Arial Narrow"/>
                <w:color w:val="333333"/>
                <w:sz w:val="20"/>
                <w:szCs w:val="20"/>
              </w:rPr>
            </w:pPr>
          </w:p>
        </w:tc>
        <w:tc>
          <w:tcPr>
            <w:tcW w:w="7745" w:type="dxa"/>
            <w:vAlign w:val="center"/>
          </w:tcPr>
          <w:p w14:paraId="66AC745F" w14:textId="27316E74" w:rsidR="008267EB" w:rsidRPr="008267EB" w:rsidRDefault="008267EB" w:rsidP="008267EB">
            <w:pPr>
              <w:rPr>
                <w:rFonts w:ascii="Arial Narrow" w:hAnsi="Arial Narrow" w:cs="Arial Narrow"/>
                <w:sz w:val="20"/>
                <w:szCs w:val="20"/>
              </w:rPr>
            </w:pPr>
            <w:r w:rsidRPr="008267EB">
              <w:rPr>
                <w:rFonts w:ascii="Arial Narrow" w:hAnsi="Arial Narrow"/>
                <w:b/>
                <w:bCs/>
                <w:color w:val="333333"/>
                <w:sz w:val="20"/>
                <w:szCs w:val="20"/>
              </w:rPr>
              <w:t>Clinical criteria:</w:t>
            </w:r>
          </w:p>
        </w:tc>
      </w:tr>
      <w:tr w:rsidR="008267EB" w:rsidRPr="00A3494F" w14:paraId="17DCAAD6" w14:textId="77777777" w:rsidTr="00752982">
        <w:trPr>
          <w:cantSplit/>
          <w:trHeight w:val="20"/>
        </w:trPr>
        <w:tc>
          <w:tcPr>
            <w:tcW w:w="1272" w:type="dxa"/>
            <w:gridSpan w:val="2"/>
            <w:vAlign w:val="center"/>
          </w:tcPr>
          <w:p w14:paraId="08710CA6" w14:textId="53E9FFBD" w:rsidR="008267EB" w:rsidRPr="008267EB" w:rsidRDefault="008267EB" w:rsidP="008267EB">
            <w:pPr>
              <w:jc w:val="center"/>
              <w:rPr>
                <w:rFonts w:ascii="Arial Narrow" w:hAnsi="Arial Narrow"/>
                <w:color w:val="333333"/>
                <w:sz w:val="20"/>
                <w:szCs w:val="20"/>
              </w:rPr>
            </w:pPr>
          </w:p>
        </w:tc>
        <w:tc>
          <w:tcPr>
            <w:tcW w:w="7745" w:type="dxa"/>
            <w:vAlign w:val="center"/>
          </w:tcPr>
          <w:p w14:paraId="73FEFA7E" w14:textId="429A198B" w:rsidR="008267EB" w:rsidRPr="008267EB" w:rsidRDefault="008267EB" w:rsidP="008267EB">
            <w:pPr>
              <w:rPr>
                <w:rFonts w:ascii="Arial Narrow" w:hAnsi="Arial Narrow" w:cs="Arial Narrow"/>
                <w:sz w:val="20"/>
                <w:szCs w:val="20"/>
              </w:rPr>
            </w:pPr>
            <w:r w:rsidRPr="008267EB">
              <w:rPr>
                <w:rFonts w:ascii="Arial Narrow" w:hAnsi="Arial Narrow" w:cs="Arial Narrow"/>
                <w:sz w:val="20"/>
                <w:szCs w:val="20"/>
              </w:rPr>
              <w:t xml:space="preserve">The condition must have responded inadequately to a 5-aminsalicylate oral preparation in a standard dose for induction of remission for at least 3 consecutive months prior to treatment initiation with this drug; or </w:t>
            </w:r>
          </w:p>
        </w:tc>
      </w:tr>
      <w:tr w:rsidR="008267EB" w:rsidRPr="00A3494F" w14:paraId="56433B9D" w14:textId="77777777" w:rsidTr="00752982">
        <w:trPr>
          <w:cantSplit/>
          <w:trHeight w:val="20"/>
        </w:trPr>
        <w:tc>
          <w:tcPr>
            <w:tcW w:w="1272" w:type="dxa"/>
            <w:gridSpan w:val="2"/>
            <w:vAlign w:val="center"/>
          </w:tcPr>
          <w:p w14:paraId="0CC344F9" w14:textId="5304E6F3" w:rsidR="008267EB" w:rsidRPr="008267EB" w:rsidRDefault="008267EB" w:rsidP="008267EB">
            <w:pPr>
              <w:jc w:val="center"/>
              <w:rPr>
                <w:rFonts w:ascii="Arial Narrow" w:hAnsi="Arial Narrow"/>
                <w:color w:val="333333"/>
                <w:sz w:val="20"/>
                <w:szCs w:val="20"/>
              </w:rPr>
            </w:pPr>
          </w:p>
        </w:tc>
        <w:tc>
          <w:tcPr>
            <w:tcW w:w="7745" w:type="dxa"/>
            <w:vAlign w:val="center"/>
          </w:tcPr>
          <w:p w14:paraId="3A39CB91" w14:textId="2DECDCC9" w:rsidR="008267EB" w:rsidRPr="008267EB" w:rsidRDefault="008267EB" w:rsidP="008267EB">
            <w:pPr>
              <w:rPr>
                <w:rFonts w:ascii="Arial Narrow" w:hAnsi="Arial Narrow" w:cs="Arial Narrow"/>
                <w:sz w:val="20"/>
                <w:szCs w:val="20"/>
              </w:rPr>
            </w:pPr>
            <w:r w:rsidRPr="008267EB">
              <w:rPr>
                <w:rFonts w:ascii="Arial Narrow" w:hAnsi="Arial Narrow" w:cs="Arial Narrow"/>
                <w:sz w:val="20"/>
                <w:szCs w:val="20"/>
              </w:rPr>
              <w:t>Patient must have experienced a severe intolerance to the above therapy leading to a permanent treatment discontinuation</w:t>
            </w:r>
          </w:p>
        </w:tc>
      </w:tr>
      <w:tr w:rsidR="008267EB" w:rsidRPr="00A3494F" w14:paraId="779B554E" w14:textId="77777777" w:rsidTr="00752982">
        <w:trPr>
          <w:cantSplit/>
          <w:trHeight w:val="20"/>
        </w:trPr>
        <w:tc>
          <w:tcPr>
            <w:tcW w:w="1272" w:type="dxa"/>
            <w:gridSpan w:val="2"/>
            <w:vAlign w:val="center"/>
          </w:tcPr>
          <w:p w14:paraId="5D2B4B5B" w14:textId="77777777" w:rsidR="008267EB" w:rsidRPr="008267EB" w:rsidRDefault="008267EB" w:rsidP="008267EB">
            <w:pPr>
              <w:jc w:val="center"/>
              <w:rPr>
                <w:rFonts w:ascii="Arial Narrow" w:hAnsi="Arial Narrow"/>
                <w:color w:val="333333"/>
                <w:sz w:val="20"/>
                <w:szCs w:val="20"/>
              </w:rPr>
            </w:pPr>
          </w:p>
        </w:tc>
        <w:tc>
          <w:tcPr>
            <w:tcW w:w="7745" w:type="dxa"/>
            <w:vAlign w:val="center"/>
          </w:tcPr>
          <w:p w14:paraId="60F6D020" w14:textId="72DECE9A" w:rsidR="008267EB" w:rsidRPr="008267EB" w:rsidRDefault="008267EB" w:rsidP="008267EB">
            <w:pPr>
              <w:rPr>
                <w:rFonts w:ascii="Arial Narrow" w:hAnsi="Arial Narrow" w:cs="Arial Narrow"/>
                <w:sz w:val="20"/>
                <w:szCs w:val="20"/>
              </w:rPr>
            </w:pPr>
            <w:r w:rsidRPr="008267EB">
              <w:rPr>
                <w:rFonts w:ascii="Arial Narrow" w:hAnsi="Arial Narrow"/>
                <w:b/>
                <w:bCs/>
                <w:color w:val="333333"/>
                <w:sz w:val="20"/>
                <w:szCs w:val="20"/>
              </w:rPr>
              <w:t>AND</w:t>
            </w:r>
          </w:p>
        </w:tc>
      </w:tr>
      <w:tr w:rsidR="008267EB" w:rsidRPr="00A3494F" w14:paraId="458A3698" w14:textId="77777777" w:rsidTr="00752982">
        <w:trPr>
          <w:cantSplit/>
          <w:trHeight w:val="20"/>
        </w:trPr>
        <w:tc>
          <w:tcPr>
            <w:tcW w:w="1272" w:type="dxa"/>
            <w:gridSpan w:val="2"/>
            <w:vAlign w:val="center"/>
          </w:tcPr>
          <w:p w14:paraId="675776D0" w14:textId="7E1CEAB0" w:rsidR="008267EB" w:rsidRPr="008267EB" w:rsidRDefault="008267EB" w:rsidP="008267EB">
            <w:pPr>
              <w:jc w:val="center"/>
              <w:rPr>
                <w:rFonts w:ascii="Arial Narrow" w:hAnsi="Arial Narrow"/>
                <w:color w:val="333333"/>
                <w:sz w:val="20"/>
                <w:szCs w:val="20"/>
              </w:rPr>
            </w:pPr>
          </w:p>
        </w:tc>
        <w:tc>
          <w:tcPr>
            <w:tcW w:w="7745" w:type="dxa"/>
            <w:vAlign w:val="center"/>
          </w:tcPr>
          <w:p w14:paraId="2175F6CF" w14:textId="323FD028" w:rsidR="008267EB" w:rsidRPr="008267EB" w:rsidRDefault="008267EB" w:rsidP="008267EB">
            <w:pPr>
              <w:rPr>
                <w:rFonts w:ascii="Arial Narrow" w:hAnsi="Arial Narrow" w:cs="Arial Narrow"/>
                <w:sz w:val="20"/>
                <w:szCs w:val="20"/>
              </w:rPr>
            </w:pPr>
            <w:r w:rsidRPr="008267EB">
              <w:rPr>
                <w:rFonts w:ascii="Arial Narrow" w:hAnsi="Arial Narrow"/>
                <w:b/>
                <w:bCs/>
                <w:color w:val="333333"/>
                <w:sz w:val="20"/>
                <w:szCs w:val="20"/>
              </w:rPr>
              <w:t>Clinical criteria:</w:t>
            </w:r>
          </w:p>
        </w:tc>
      </w:tr>
      <w:tr w:rsidR="008267EB" w:rsidRPr="00A3494F" w14:paraId="67A82D8E" w14:textId="77777777" w:rsidTr="00752982">
        <w:trPr>
          <w:cantSplit/>
          <w:trHeight w:val="20"/>
        </w:trPr>
        <w:tc>
          <w:tcPr>
            <w:tcW w:w="1272" w:type="dxa"/>
            <w:gridSpan w:val="2"/>
            <w:vAlign w:val="center"/>
          </w:tcPr>
          <w:p w14:paraId="04C382F6" w14:textId="36647027" w:rsidR="008267EB" w:rsidRPr="008267EB" w:rsidRDefault="008267EB" w:rsidP="008267EB">
            <w:pPr>
              <w:jc w:val="center"/>
              <w:rPr>
                <w:rFonts w:ascii="Arial Narrow" w:hAnsi="Arial Narrow"/>
                <w:color w:val="333333"/>
                <w:sz w:val="20"/>
                <w:szCs w:val="20"/>
              </w:rPr>
            </w:pPr>
          </w:p>
        </w:tc>
        <w:tc>
          <w:tcPr>
            <w:tcW w:w="7745" w:type="dxa"/>
            <w:vAlign w:val="center"/>
          </w:tcPr>
          <w:p w14:paraId="5B83BAF5" w14:textId="7D8E379A" w:rsidR="008267EB" w:rsidRPr="008267EB" w:rsidRDefault="008267EB" w:rsidP="008267EB">
            <w:pPr>
              <w:rPr>
                <w:rFonts w:ascii="Arial Narrow" w:hAnsi="Arial Narrow" w:cs="Arial Narrow"/>
                <w:sz w:val="20"/>
                <w:szCs w:val="20"/>
              </w:rPr>
            </w:pPr>
            <w:r w:rsidRPr="008267EB">
              <w:rPr>
                <w:rFonts w:ascii="Arial Narrow" w:hAnsi="Arial Narrow"/>
                <w:color w:val="333333"/>
                <w:sz w:val="20"/>
                <w:szCs w:val="20"/>
              </w:rPr>
              <w:t>The condition must have responded inadequately to azathioprine at a dose of at least 2 mg per kg daily for at least 3 consecutive months prior to treatment initiation with this drug; or</w:t>
            </w:r>
          </w:p>
        </w:tc>
      </w:tr>
      <w:tr w:rsidR="008267EB" w:rsidRPr="00A3494F" w14:paraId="60C0BAA5" w14:textId="77777777" w:rsidTr="00752982">
        <w:trPr>
          <w:cantSplit/>
          <w:trHeight w:val="20"/>
        </w:trPr>
        <w:tc>
          <w:tcPr>
            <w:tcW w:w="1272" w:type="dxa"/>
            <w:gridSpan w:val="2"/>
            <w:vAlign w:val="center"/>
          </w:tcPr>
          <w:p w14:paraId="79553CCB" w14:textId="462F58B7" w:rsidR="008267EB" w:rsidRPr="008267EB" w:rsidRDefault="008267EB" w:rsidP="008267EB">
            <w:pPr>
              <w:jc w:val="center"/>
              <w:rPr>
                <w:rFonts w:ascii="Arial Narrow" w:hAnsi="Arial Narrow"/>
                <w:color w:val="333333"/>
                <w:sz w:val="20"/>
                <w:szCs w:val="20"/>
              </w:rPr>
            </w:pPr>
          </w:p>
        </w:tc>
        <w:tc>
          <w:tcPr>
            <w:tcW w:w="7745" w:type="dxa"/>
            <w:vAlign w:val="center"/>
          </w:tcPr>
          <w:p w14:paraId="560A35D9" w14:textId="6F640B5F" w:rsidR="008267EB" w:rsidRPr="008267EB" w:rsidRDefault="008267EB" w:rsidP="008267EB">
            <w:pPr>
              <w:rPr>
                <w:rFonts w:ascii="Arial Narrow" w:hAnsi="Arial Narrow" w:cs="Arial Narrow"/>
                <w:sz w:val="20"/>
                <w:szCs w:val="20"/>
              </w:rPr>
            </w:pPr>
            <w:r w:rsidRPr="008267EB">
              <w:rPr>
                <w:rFonts w:ascii="Arial Narrow" w:hAnsi="Arial Narrow"/>
                <w:color w:val="333333"/>
                <w:sz w:val="20"/>
                <w:szCs w:val="20"/>
              </w:rPr>
              <w:t xml:space="preserve">The condition must have responded inadequately to 6-mercaptopurine at a dose of at least 1 mg per kg daily for at least 3 consecutive months prior to treatment initiation with this drug; or </w:t>
            </w:r>
          </w:p>
        </w:tc>
      </w:tr>
      <w:tr w:rsidR="008267EB" w:rsidRPr="00A3494F" w14:paraId="469D88C5" w14:textId="77777777" w:rsidTr="00752982">
        <w:trPr>
          <w:cantSplit/>
          <w:trHeight w:val="20"/>
        </w:trPr>
        <w:tc>
          <w:tcPr>
            <w:tcW w:w="1272" w:type="dxa"/>
            <w:gridSpan w:val="2"/>
            <w:vAlign w:val="center"/>
          </w:tcPr>
          <w:p w14:paraId="5577A25F" w14:textId="216B4870" w:rsidR="008267EB" w:rsidRPr="008267EB" w:rsidRDefault="008267EB" w:rsidP="008267EB">
            <w:pPr>
              <w:jc w:val="center"/>
              <w:rPr>
                <w:rFonts w:ascii="Arial Narrow" w:hAnsi="Arial Narrow"/>
                <w:color w:val="333333"/>
                <w:sz w:val="20"/>
                <w:szCs w:val="20"/>
              </w:rPr>
            </w:pPr>
          </w:p>
        </w:tc>
        <w:tc>
          <w:tcPr>
            <w:tcW w:w="7745" w:type="dxa"/>
            <w:vAlign w:val="center"/>
          </w:tcPr>
          <w:p w14:paraId="699CFCDD" w14:textId="05A94CEB" w:rsidR="008267EB" w:rsidRPr="008267EB" w:rsidRDefault="008267EB" w:rsidP="008267EB">
            <w:pPr>
              <w:rPr>
                <w:rFonts w:ascii="Arial Narrow" w:hAnsi="Arial Narrow" w:cs="Arial Narrow"/>
                <w:sz w:val="20"/>
                <w:szCs w:val="20"/>
              </w:rPr>
            </w:pPr>
            <w:r w:rsidRPr="008267EB">
              <w:rPr>
                <w:rFonts w:ascii="Arial Narrow" w:hAnsi="Arial Narrow"/>
                <w:color w:val="333333"/>
                <w:sz w:val="20"/>
                <w:szCs w:val="20"/>
              </w:rPr>
              <w:t xml:space="preserve">The condition must have responded inadequately to a tapered course of oral steroids, starting at a dose of at least 40 mg prednisolone (or equivalent), over a 6 week period, followed by an inadequate response to at least 3 consecutive months of treatment with an appropriately dosed thiopurine agent, prior to treatment initiation with this drug; or </w:t>
            </w:r>
          </w:p>
        </w:tc>
      </w:tr>
      <w:tr w:rsidR="008267EB" w:rsidRPr="00A3494F" w14:paraId="39B89EC9" w14:textId="77777777" w:rsidTr="00752982">
        <w:trPr>
          <w:cantSplit/>
          <w:trHeight w:val="20"/>
        </w:trPr>
        <w:tc>
          <w:tcPr>
            <w:tcW w:w="1272" w:type="dxa"/>
            <w:gridSpan w:val="2"/>
            <w:vAlign w:val="center"/>
          </w:tcPr>
          <w:p w14:paraId="4E961579" w14:textId="2BC6B001" w:rsidR="008267EB" w:rsidRPr="008267EB" w:rsidRDefault="008267EB" w:rsidP="008267EB">
            <w:pPr>
              <w:jc w:val="center"/>
              <w:rPr>
                <w:rFonts w:ascii="Arial Narrow" w:hAnsi="Arial Narrow"/>
                <w:color w:val="333333"/>
                <w:sz w:val="20"/>
                <w:szCs w:val="20"/>
              </w:rPr>
            </w:pPr>
          </w:p>
        </w:tc>
        <w:tc>
          <w:tcPr>
            <w:tcW w:w="7745" w:type="dxa"/>
            <w:vAlign w:val="center"/>
          </w:tcPr>
          <w:p w14:paraId="6EC2941A" w14:textId="3B88026F" w:rsidR="008267EB" w:rsidRPr="008267EB" w:rsidRDefault="008267EB" w:rsidP="008267EB">
            <w:pPr>
              <w:rPr>
                <w:rFonts w:ascii="Arial Narrow" w:hAnsi="Arial Narrow" w:cs="Arial Narrow"/>
                <w:sz w:val="20"/>
                <w:szCs w:val="20"/>
              </w:rPr>
            </w:pPr>
            <w:r w:rsidRPr="008267EB">
              <w:rPr>
                <w:rFonts w:ascii="Arial Narrow" w:hAnsi="Arial Narrow"/>
                <w:color w:val="333333"/>
                <w:sz w:val="20"/>
                <w:szCs w:val="20"/>
              </w:rPr>
              <w:t>Patient must have experienced a severe intolerance to each of the above 3 therapies leading to permanent treatment discontinuation</w:t>
            </w:r>
          </w:p>
        </w:tc>
      </w:tr>
      <w:tr w:rsidR="008267EB" w:rsidRPr="00A3494F" w14:paraId="747141AA" w14:textId="77777777" w:rsidTr="00C37C70">
        <w:trPr>
          <w:cantSplit/>
          <w:trHeight w:val="20"/>
        </w:trPr>
        <w:tc>
          <w:tcPr>
            <w:tcW w:w="1272" w:type="dxa"/>
            <w:gridSpan w:val="2"/>
            <w:vAlign w:val="center"/>
          </w:tcPr>
          <w:p w14:paraId="382137B2" w14:textId="77777777" w:rsidR="008267EB" w:rsidRPr="00A3494F" w:rsidRDefault="008267EB" w:rsidP="008267EB">
            <w:pPr>
              <w:jc w:val="center"/>
              <w:rPr>
                <w:rFonts w:ascii="Arial Narrow" w:hAnsi="Arial Narrow"/>
                <w:color w:val="333333"/>
                <w:sz w:val="20"/>
                <w:szCs w:val="20"/>
              </w:rPr>
            </w:pPr>
          </w:p>
        </w:tc>
        <w:tc>
          <w:tcPr>
            <w:tcW w:w="7745" w:type="dxa"/>
            <w:vAlign w:val="center"/>
            <w:hideMark/>
          </w:tcPr>
          <w:p w14:paraId="6D62700B" w14:textId="77777777" w:rsidR="008267EB" w:rsidRPr="00A3494F" w:rsidRDefault="008267EB" w:rsidP="008267EB">
            <w:pPr>
              <w:rPr>
                <w:rFonts w:ascii="Arial Narrow" w:hAnsi="Arial Narrow"/>
                <w:color w:val="333333"/>
                <w:sz w:val="20"/>
                <w:szCs w:val="20"/>
              </w:rPr>
            </w:pPr>
            <w:r w:rsidRPr="00A3494F">
              <w:rPr>
                <w:rFonts w:ascii="Arial Narrow" w:hAnsi="Arial Narrow"/>
                <w:b/>
                <w:bCs/>
                <w:color w:val="333333"/>
                <w:sz w:val="20"/>
                <w:szCs w:val="20"/>
              </w:rPr>
              <w:t>AND</w:t>
            </w:r>
          </w:p>
        </w:tc>
      </w:tr>
      <w:tr w:rsidR="008267EB" w:rsidRPr="00A3494F" w14:paraId="7E6034CC" w14:textId="77777777" w:rsidTr="00752982">
        <w:trPr>
          <w:cantSplit/>
          <w:trHeight w:val="20"/>
        </w:trPr>
        <w:tc>
          <w:tcPr>
            <w:tcW w:w="1272" w:type="dxa"/>
            <w:gridSpan w:val="2"/>
            <w:vAlign w:val="center"/>
          </w:tcPr>
          <w:p w14:paraId="37F117B6" w14:textId="005ADC80" w:rsidR="008267EB" w:rsidRPr="00A3494F" w:rsidRDefault="008267EB" w:rsidP="008267EB">
            <w:pPr>
              <w:jc w:val="center"/>
              <w:rPr>
                <w:rFonts w:ascii="Arial Narrow" w:hAnsi="Arial Narrow"/>
                <w:color w:val="333333"/>
                <w:sz w:val="20"/>
                <w:szCs w:val="20"/>
              </w:rPr>
            </w:pPr>
          </w:p>
        </w:tc>
        <w:tc>
          <w:tcPr>
            <w:tcW w:w="7745" w:type="dxa"/>
            <w:vAlign w:val="center"/>
            <w:hideMark/>
          </w:tcPr>
          <w:p w14:paraId="37276BD2" w14:textId="77777777" w:rsidR="008267EB" w:rsidRPr="00A3494F" w:rsidRDefault="008267EB" w:rsidP="008267EB">
            <w:pPr>
              <w:rPr>
                <w:rFonts w:ascii="Arial Narrow" w:hAnsi="Arial Narrow"/>
                <w:color w:val="333333"/>
                <w:sz w:val="20"/>
                <w:szCs w:val="20"/>
              </w:rPr>
            </w:pPr>
            <w:r w:rsidRPr="00A3494F">
              <w:rPr>
                <w:rFonts w:ascii="Arial Narrow" w:hAnsi="Arial Narrow"/>
                <w:b/>
                <w:bCs/>
                <w:color w:val="333333"/>
                <w:sz w:val="20"/>
                <w:szCs w:val="20"/>
              </w:rPr>
              <w:t>Clinical criteria:</w:t>
            </w:r>
          </w:p>
        </w:tc>
      </w:tr>
      <w:tr w:rsidR="008267EB" w:rsidRPr="00A3494F" w14:paraId="6F6E1730" w14:textId="77777777" w:rsidTr="00752982">
        <w:trPr>
          <w:cantSplit/>
          <w:trHeight w:val="20"/>
        </w:trPr>
        <w:tc>
          <w:tcPr>
            <w:tcW w:w="1272" w:type="dxa"/>
            <w:gridSpan w:val="2"/>
            <w:vAlign w:val="center"/>
          </w:tcPr>
          <w:p w14:paraId="005054C4" w14:textId="38C9CE93" w:rsidR="008267EB" w:rsidRPr="00A3494F" w:rsidRDefault="008267EB" w:rsidP="008267EB">
            <w:pPr>
              <w:keepNext/>
              <w:jc w:val="center"/>
              <w:rPr>
                <w:rFonts w:ascii="Arial Narrow" w:hAnsi="Arial Narrow"/>
                <w:color w:val="333333"/>
                <w:sz w:val="20"/>
                <w:szCs w:val="20"/>
              </w:rPr>
            </w:pPr>
          </w:p>
        </w:tc>
        <w:tc>
          <w:tcPr>
            <w:tcW w:w="7745" w:type="dxa"/>
            <w:vAlign w:val="center"/>
          </w:tcPr>
          <w:p w14:paraId="24D08AEB" w14:textId="77777777" w:rsidR="008267EB" w:rsidRPr="00752982" w:rsidRDefault="008267EB" w:rsidP="008267EB">
            <w:pPr>
              <w:keepNext/>
              <w:rPr>
                <w:rFonts w:ascii="Arial Narrow" w:hAnsi="Arial Narrow"/>
                <w:b/>
                <w:bCs/>
                <w:color w:val="333333"/>
                <w:sz w:val="20"/>
                <w:szCs w:val="20"/>
              </w:rPr>
            </w:pPr>
            <w:r w:rsidRPr="00752982">
              <w:rPr>
                <w:rFonts w:ascii="Arial Narrow" w:hAnsi="Arial Narrow"/>
                <w:color w:val="333333"/>
                <w:sz w:val="20"/>
                <w:szCs w:val="20"/>
              </w:rPr>
              <w:t>Patient must have had a Mayo clinic score greater than or equal to 6 prior to commencing non-PBS-subsidised treatment with this drug for this condition; or</w:t>
            </w:r>
          </w:p>
        </w:tc>
      </w:tr>
      <w:tr w:rsidR="008267EB" w:rsidRPr="00A3494F" w14:paraId="3C2AAAE7" w14:textId="77777777" w:rsidTr="00752982">
        <w:trPr>
          <w:cantSplit/>
          <w:trHeight w:val="20"/>
        </w:trPr>
        <w:tc>
          <w:tcPr>
            <w:tcW w:w="1272" w:type="dxa"/>
            <w:gridSpan w:val="2"/>
            <w:vAlign w:val="center"/>
          </w:tcPr>
          <w:p w14:paraId="6D7C6F0A" w14:textId="3106C076" w:rsidR="008267EB" w:rsidRPr="00A3494F" w:rsidRDefault="008267EB" w:rsidP="008267EB">
            <w:pPr>
              <w:keepNext/>
              <w:jc w:val="center"/>
              <w:rPr>
                <w:rFonts w:ascii="Arial Narrow" w:hAnsi="Arial Narrow"/>
                <w:color w:val="333333"/>
                <w:sz w:val="20"/>
                <w:szCs w:val="20"/>
              </w:rPr>
            </w:pPr>
          </w:p>
        </w:tc>
        <w:tc>
          <w:tcPr>
            <w:tcW w:w="7745" w:type="dxa"/>
            <w:vAlign w:val="center"/>
          </w:tcPr>
          <w:p w14:paraId="59BCD455" w14:textId="77777777" w:rsidR="008267EB" w:rsidRPr="00752982" w:rsidRDefault="008267EB" w:rsidP="008267EB">
            <w:pPr>
              <w:keepNext/>
              <w:rPr>
                <w:rFonts w:ascii="Arial Narrow" w:hAnsi="Arial Narrow"/>
                <w:b/>
                <w:bCs/>
                <w:color w:val="333333"/>
                <w:sz w:val="20"/>
                <w:szCs w:val="20"/>
              </w:rPr>
            </w:pPr>
            <w:r w:rsidRPr="00752982">
              <w:rPr>
                <w:rFonts w:ascii="Arial Narrow" w:hAnsi="Arial Narrow"/>
                <w:color w:val="333333"/>
                <w:sz w:val="20"/>
                <w:szCs w:val="20"/>
              </w:rPr>
              <w:t>Patient must have had a partial Mayo clinic score greater than or equal to 6, provided the rectal bleeding and stool frequency subscores are both greater than or equal to 2 (endoscopy subscore is not required for a partial Mayo clinic score)</w:t>
            </w:r>
            <w:r w:rsidRPr="00752982">
              <w:rPr>
                <w:rFonts w:ascii="Arial Narrow" w:hAnsi="Arial Narrow" w:cs="Open Sans"/>
                <w:color w:val="333333"/>
                <w:sz w:val="20"/>
                <w:szCs w:val="20"/>
              </w:rPr>
              <w:t xml:space="preserve"> prior to commencing non-PBS-subsidised treatment with this drug for this condition; or</w:t>
            </w:r>
          </w:p>
        </w:tc>
      </w:tr>
      <w:tr w:rsidR="008267EB" w:rsidRPr="00A3494F" w14:paraId="39EDACFE" w14:textId="77777777" w:rsidTr="00752982">
        <w:trPr>
          <w:cantSplit/>
          <w:trHeight w:val="20"/>
        </w:trPr>
        <w:tc>
          <w:tcPr>
            <w:tcW w:w="1272" w:type="dxa"/>
            <w:gridSpan w:val="2"/>
            <w:vAlign w:val="center"/>
          </w:tcPr>
          <w:p w14:paraId="4BEB3A95" w14:textId="6B1235AC" w:rsidR="008267EB" w:rsidRPr="00A3494F" w:rsidRDefault="008267EB" w:rsidP="008267EB">
            <w:pPr>
              <w:keepNext/>
              <w:jc w:val="center"/>
              <w:rPr>
                <w:rFonts w:ascii="Arial Narrow" w:hAnsi="Arial Narrow"/>
                <w:color w:val="333333"/>
                <w:sz w:val="20"/>
                <w:szCs w:val="20"/>
              </w:rPr>
            </w:pPr>
          </w:p>
        </w:tc>
        <w:tc>
          <w:tcPr>
            <w:tcW w:w="7745" w:type="dxa"/>
            <w:vAlign w:val="center"/>
          </w:tcPr>
          <w:p w14:paraId="1A3337BA" w14:textId="77777777" w:rsidR="008267EB" w:rsidRPr="00752982" w:rsidRDefault="008267EB" w:rsidP="008267EB">
            <w:pPr>
              <w:keepNext/>
              <w:rPr>
                <w:rFonts w:ascii="Arial Narrow" w:hAnsi="Arial Narrow"/>
                <w:b/>
                <w:bCs/>
                <w:color w:val="333333"/>
                <w:sz w:val="20"/>
                <w:szCs w:val="20"/>
              </w:rPr>
            </w:pPr>
            <w:r w:rsidRPr="00752982">
              <w:rPr>
                <w:rFonts w:ascii="Arial Narrow" w:hAnsi="Arial Narrow" w:cs="Open Sans"/>
                <w:color w:val="333333"/>
                <w:sz w:val="20"/>
                <w:szCs w:val="20"/>
              </w:rPr>
              <w:t>Patient must have a documented history of moderate to severe refractory ulcerative colitis prior to having commenced non-PBS-subsidised treatment with this drug for this condition where a Mayo clinic or partial Mayo clinic baseline assessment is not available.</w:t>
            </w:r>
          </w:p>
        </w:tc>
      </w:tr>
      <w:tr w:rsidR="008267EB" w:rsidRPr="00A3494F" w14:paraId="04CBC5BB" w14:textId="77777777" w:rsidTr="00752982">
        <w:trPr>
          <w:cantSplit/>
          <w:trHeight w:val="20"/>
        </w:trPr>
        <w:tc>
          <w:tcPr>
            <w:tcW w:w="1272" w:type="dxa"/>
            <w:gridSpan w:val="2"/>
            <w:vAlign w:val="center"/>
          </w:tcPr>
          <w:p w14:paraId="6E125E9E" w14:textId="34A1FA47" w:rsidR="008267EB" w:rsidRPr="00A3494F" w:rsidRDefault="008267EB" w:rsidP="008267EB">
            <w:pPr>
              <w:keepNext/>
              <w:jc w:val="center"/>
              <w:rPr>
                <w:rFonts w:ascii="Arial Narrow" w:hAnsi="Arial Narrow"/>
                <w:color w:val="333333"/>
                <w:sz w:val="20"/>
                <w:szCs w:val="20"/>
              </w:rPr>
            </w:pPr>
          </w:p>
        </w:tc>
        <w:tc>
          <w:tcPr>
            <w:tcW w:w="7745" w:type="dxa"/>
            <w:vAlign w:val="center"/>
            <w:hideMark/>
          </w:tcPr>
          <w:p w14:paraId="51C4C524" w14:textId="77777777" w:rsidR="008267EB" w:rsidRPr="00A3494F" w:rsidRDefault="008267EB" w:rsidP="008267EB">
            <w:pPr>
              <w:keepNext/>
              <w:rPr>
                <w:rFonts w:ascii="Arial Narrow" w:hAnsi="Arial Narrow"/>
                <w:color w:val="333333"/>
                <w:sz w:val="20"/>
                <w:szCs w:val="20"/>
              </w:rPr>
            </w:pPr>
            <w:r w:rsidRPr="00A3494F">
              <w:rPr>
                <w:rFonts w:ascii="Arial Narrow" w:hAnsi="Arial Narrow"/>
                <w:b/>
                <w:bCs/>
                <w:color w:val="333333"/>
                <w:sz w:val="20"/>
                <w:szCs w:val="20"/>
              </w:rPr>
              <w:t>Treatment criteria:</w:t>
            </w:r>
          </w:p>
        </w:tc>
      </w:tr>
      <w:tr w:rsidR="008267EB" w:rsidRPr="00A3494F" w14:paraId="3027E7ED" w14:textId="77777777" w:rsidTr="00752982">
        <w:trPr>
          <w:cantSplit/>
          <w:trHeight w:val="20"/>
        </w:trPr>
        <w:tc>
          <w:tcPr>
            <w:tcW w:w="1272" w:type="dxa"/>
            <w:gridSpan w:val="2"/>
            <w:vAlign w:val="center"/>
          </w:tcPr>
          <w:p w14:paraId="22BA3131" w14:textId="450B33C2" w:rsidR="008267EB" w:rsidRPr="00A3494F" w:rsidRDefault="008267EB" w:rsidP="008267EB">
            <w:pPr>
              <w:jc w:val="center"/>
              <w:rPr>
                <w:rFonts w:ascii="Arial Narrow" w:hAnsi="Arial Narrow"/>
                <w:color w:val="333333"/>
                <w:sz w:val="20"/>
                <w:szCs w:val="20"/>
              </w:rPr>
            </w:pPr>
          </w:p>
        </w:tc>
        <w:tc>
          <w:tcPr>
            <w:tcW w:w="7745" w:type="dxa"/>
            <w:vAlign w:val="center"/>
            <w:hideMark/>
          </w:tcPr>
          <w:p w14:paraId="3FDA2E1D" w14:textId="7085EDBE" w:rsidR="008267EB" w:rsidRPr="00A3494F" w:rsidRDefault="008267EB" w:rsidP="008267EB">
            <w:pPr>
              <w:autoSpaceDE w:val="0"/>
              <w:autoSpaceDN w:val="0"/>
              <w:adjustRightInd w:val="0"/>
              <w:rPr>
                <w:rFonts w:ascii="Arial Narrow" w:hAnsi="Arial Narrow" w:cs="Arial Narrow"/>
                <w:i/>
                <w:iCs/>
                <w:sz w:val="20"/>
                <w:szCs w:val="20"/>
              </w:rPr>
            </w:pPr>
            <w:r w:rsidRPr="00A3494F">
              <w:rPr>
                <w:rFonts w:ascii="Arial Narrow" w:hAnsi="Arial Narrow" w:cs="Arial Narrow"/>
                <w:sz w:val="20"/>
                <w:szCs w:val="20"/>
              </w:rPr>
              <w:t>Must be treated by a gastroenterologist (code 87); OR</w:t>
            </w:r>
          </w:p>
        </w:tc>
      </w:tr>
      <w:tr w:rsidR="008267EB" w:rsidRPr="00A3494F" w14:paraId="3F5E5684" w14:textId="77777777" w:rsidTr="00752982">
        <w:trPr>
          <w:cantSplit/>
          <w:trHeight w:val="20"/>
        </w:trPr>
        <w:tc>
          <w:tcPr>
            <w:tcW w:w="1272" w:type="dxa"/>
            <w:gridSpan w:val="2"/>
            <w:vAlign w:val="center"/>
          </w:tcPr>
          <w:p w14:paraId="09B99226" w14:textId="59CD7BA2" w:rsidR="008267EB" w:rsidRPr="00A3494F" w:rsidRDefault="008267EB" w:rsidP="008267EB">
            <w:pPr>
              <w:jc w:val="center"/>
              <w:rPr>
                <w:rFonts w:ascii="Arial Narrow" w:hAnsi="Arial Narrow"/>
                <w:color w:val="333333"/>
                <w:sz w:val="20"/>
                <w:szCs w:val="20"/>
              </w:rPr>
            </w:pPr>
          </w:p>
        </w:tc>
        <w:tc>
          <w:tcPr>
            <w:tcW w:w="7745" w:type="dxa"/>
            <w:vAlign w:val="center"/>
          </w:tcPr>
          <w:p w14:paraId="2F287D5E" w14:textId="51E2BD11" w:rsidR="008267EB" w:rsidRPr="00A3494F" w:rsidRDefault="008267EB" w:rsidP="008267EB">
            <w:pPr>
              <w:autoSpaceDE w:val="0"/>
              <w:autoSpaceDN w:val="0"/>
              <w:adjustRightInd w:val="0"/>
              <w:rPr>
                <w:rFonts w:ascii="Arial Narrow" w:hAnsi="Arial Narrow" w:cs="Arial Narrow"/>
                <w:sz w:val="20"/>
                <w:szCs w:val="20"/>
              </w:rPr>
            </w:pPr>
            <w:r w:rsidRPr="00B53CDC">
              <w:rPr>
                <w:rFonts w:ascii="Arial Narrow" w:hAnsi="Arial Narrow" w:cs="Arial Narrow"/>
                <w:sz w:val="20"/>
                <w:szCs w:val="20"/>
              </w:rPr>
              <w:t>Must be treated by a consultant physician [internal medicine specialising in gastroenterology (code 81)]; OR</w:t>
            </w:r>
          </w:p>
        </w:tc>
      </w:tr>
      <w:tr w:rsidR="008267EB" w:rsidRPr="00A3494F" w14:paraId="34D58351" w14:textId="77777777" w:rsidTr="00752982">
        <w:trPr>
          <w:cantSplit/>
          <w:trHeight w:val="20"/>
        </w:trPr>
        <w:tc>
          <w:tcPr>
            <w:tcW w:w="1272" w:type="dxa"/>
            <w:gridSpan w:val="2"/>
            <w:vAlign w:val="center"/>
          </w:tcPr>
          <w:p w14:paraId="103B49DA" w14:textId="3B0CCDBE" w:rsidR="008267EB" w:rsidRPr="00A3494F" w:rsidRDefault="008267EB" w:rsidP="008267EB">
            <w:pPr>
              <w:jc w:val="center"/>
              <w:rPr>
                <w:rFonts w:ascii="Arial Narrow" w:hAnsi="Arial Narrow"/>
                <w:color w:val="333333"/>
                <w:sz w:val="20"/>
                <w:szCs w:val="20"/>
              </w:rPr>
            </w:pPr>
          </w:p>
        </w:tc>
        <w:tc>
          <w:tcPr>
            <w:tcW w:w="7745" w:type="dxa"/>
            <w:vAlign w:val="center"/>
          </w:tcPr>
          <w:p w14:paraId="4D8CFD12" w14:textId="6E4D1E9F" w:rsidR="008267EB" w:rsidRPr="00A3494F" w:rsidRDefault="008267EB" w:rsidP="008267EB">
            <w:pPr>
              <w:autoSpaceDE w:val="0"/>
              <w:autoSpaceDN w:val="0"/>
              <w:adjustRightInd w:val="0"/>
              <w:rPr>
                <w:rFonts w:ascii="Arial Narrow" w:hAnsi="Arial Narrow" w:cs="Arial Narrow"/>
                <w:sz w:val="20"/>
                <w:szCs w:val="20"/>
              </w:rPr>
            </w:pPr>
            <w:r w:rsidRPr="00B53CDC">
              <w:rPr>
                <w:rFonts w:ascii="Arial Narrow" w:hAnsi="Arial Narrow" w:cs="Arial Narrow"/>
                <w:sz w:val="20"/>
                <w:szCs w:val="20"/>
              </w:rPr>
              <w:t>Must be treated by a consultant physician [general medicine specialising in gastroenterology (code 82)].</w:t>
            </w:r>
          </w:p>
        </w:tc>
      </w:tr>
      <w:tr w:rsidR="008267EB" w:rsidRPr="00A3494F" w14:paraId="67D5E442" w14:textId="77777777" w:rsidTr="00752982">
        <w:trPr>
          <w:cantSplit/>
          <w:trHeight w:val="20"/>
        </w:trPr>
        <w:tc>
          <w:tcPr>
            <w:tcW w:w="1272" w:type="dxa"/>
            <w:gridSpan w:val="2"/>
            <w:vAlign w:val="center"/>
          </w:tcPr>
          <w:p w14:paraId="05F93D54" w14:textId="753DCE55" w:rsidR="008267EB" w:rsidRPr="00A3494F" w:rsidRDefault="008267EB" w:rsidP="008267EB">
            <w:pPr>
              <w:jc w:val="center"/>
              <w:rPr>
                <w:rFonts w:ascii="Arial Narrow" w:hAnsi="Arial Narrow"/>
                <w:color w:val="333333"/>
                <w:sz w:val="20"/>
                <w:szCs w:val="20"/>
              </w:rPr>
            </w:pPr>
          </w:p>
        </w:tc>
        <w:tc>
          <w:tcPr>
            <w:tcW w:w="7745" w:type="dxa"/>
            <w:vAlign w:val="center"/>
            <w:hideMark/>
          </w:tcPr>
          <w:p w14:paraId="45B264E8" w14:textId="77777777" w:rsidR="008267EB" w:rsidRPr="00A3494F" w:rsidRDefault="008267EB" w:rsidP="008267EB">
            <w:pPr>
              <w:rPr>
                <w:rFonts w:ascii="Arial Narrow" w:hAnsi="Arial Narrow"/>
                <w:color w:val="333333"/>
                <w:sz w:val="20"/>
                <w:szCs w:val="20"/>
              </w:rPr>
            </w:pPr>
            <w:r w:rsidRPr="00A3494F">
              <w:rPr>
                <w:rFonts w:ascii="Arial Narrow" w:hAnsi="Arial Narrow"/>
                <w:b/>
                <w:bCs/>
                <w:color w:val="333333"/>
                <w:sz w:val="20"/>
                <w:szCs w:val="20"/>
              </w:rPr>
              <w:t>Population criteria:</w:t>
            </w:r>
          </w:p>
        </w:tc>
      </w:tr>
      <w:tr w:rsidR="008267EB" w:rsidRPr="00A3494F" w14:paraId="23EA38B2" w14:textId="77777777" w:rsidTr="00C37C70">
        <w:trPr>
          <w:cantSplit/>
          <w:trHeight w:val="20"/>
        </w:trPr>
        <w:tc>
          <w:tcPr>
            <w:tcW w:w="1272" w:type="dxa"/>
            <w:gridSpan w:val="2"/>
            <w:vAlign w:val="center"/>
          </w:tcPr>
          <w:p w14:paraId="13A298DD" w14:textId="5F218AB0" w:rsidR="008267EB" w:rsidRPr="00A3494F" w:rsidRDefault="008267EB" w:rsidP="008267EB">
            <w:pPr>
              <w:jc w:val="center"/>
              <w:rPr>
                <w:rFonts w:ascii="Arial Narrow" w:hAnsi="Arial Narrow"/>
                <w:color w:val="333333"/>
                <w:sz w:val="20"/>
                <w:szCs w:val="20"/>
              </w:rPr>
            </w:pPr>
          </w:p>
        </w:tc>
        <w:tc>
          <w:tcPr>
            <w:tcW w:w="7745" w:type="dxa"/>
            <w:vAlign w:val="center"/>
            <w:hideMark/>
          </w:tcPr>
          <w:p w14:paraId="5FCF0470" w14:textId="270A09C1" w:rsidR="008267EB" w:rsidRPr="00A3494F" w:rsidRDefault="008267EB" w:rsidP="008267EB">
            <w:pPr>
              <w:rPr>
                <w:rFonts w:ascii="Arial Narrow" w:hAnsi="Arial Narrow"/>
                <w:color w:val="333333"/>
                <w:sz w:val="20"/>
                <w:szCs w:val="20"/>
              </w:rPr>
            </w:pPr>
            <w:r w:rsidRPr="00B53CDC">
              <w:rPr>
                <w:rFonts w:ascii="Arial Narrow" w:hAnsi="Arial Narrow"/>
                <w:color w:val="333333"/>
                <w:sz w:val="20"/>
                <w:szCs w:val="20"/>
              </w:rPr>
              <w:t xml:space="preserve">Patient must be </w:t>
            </w:r>
            <w:r>
              <w:rPr>
                <w:rFonts w:ascii="Arial Narrow" w:hAnsi="Arial Narrow"/>
                <w:color w:val="333333"/>
                <w:sz w:val="20"/>
                <w:szCs w:val="20"/>
              </w:rPr>
              <w:t>at least 18 years of age</w:t>
            </w:r>
          </w:p>
        </w:tc>
      </w:tr>
      <w:tr w:rsidR="008267EB" w:rsidRPr="00A3494F" w14:paraId="32CC2E34" w14:textId="77777777" w:rsidTr="00752982">
        <w:trPr>
          <w:cantSplit/>
          <w:trHeight w:val="20"/>
        </w:trPr>
        <w:tc>
          <w:tcPr>
            <w:tcW w:w="1272" w:type="dxa"/>
            <w:gridSpan w:val="2"/>
            <w:vAlign w:val="center"/>
          </w:tcPr>
          <w:p w14:paraId="308D00C6" w14:textId="37A7157B" w:rsidR="008267EB" w:rsidRPr="00A3494F" w:rsidRDefault="008267EB" w:rsidP="008267EB">
            <w:pPr>
              <w:jc w:val="center"/>
              <w:rPr>
                <w:rFonts w:ascii="Arial Narrow" w:hAnsi="Arial Narrow"/>
                <w:color w:val="333333"/>
                <w:sz w:val="20"/>
                <w:szCs w:val="20"/>
              </w:rPr>
            </w:pPr>
          </w:p>
        </w:tc>
        <w:tc>
          <w:tcPr>
            <w:tcW w:w="7745" w:type="dxa"/>
            <w:vAlign w:val="center"/>
          </w:tcPr>
          <w:p w14:paraId="2C63840C" w14:textId="77777777" w:rsidR="008267EB" w:rsidRPr="00A3494F" w:rsidRDefault="008267EB" w:rsidP="008267EB">
            <w:pPr>
              <w:rPr>
                <w:rFonts w:ascii="Arial Narrow" w:hAnsi="Arial Narrow"/>
                <w:b/>
                <w:bCs/>
                <w:sz w:val="20"/>
                <w:szCs w:val="20"/>
              </w:rPr>
            </w:pPr>
            <w:r w:rsidRPr="00A3494F">
              <w:rPr>
                <w:rFonts w:ascii="Arial Narrow" w:hAnsi="Arial Narrow"/>
                <w:b/>
                <w:bCs/>
                <w:sz w:val="20"/>
                <w:szCs w:val="20"/>
              </w:rPr>
              <w:t xml:space="preserve">Prescribing Instructions: </w:t>
            </w:r>
          </w:p>
          <w:p w14:paraId="00CD8B38" w14:textId="77777777" w:rsidR="008267EB" w:rsidRPr="00752982" w:rsidRDefault="008267EB" w:rsidP="008267EB">
            <w:pPr>
              <w:rPr>
                <w:rFonts w:ascii="Arial Narrow" w:hAnsi="Arial Narrow"/>
                <w:sz w:val="20"/>
                <w:szCs w:val="20"/>
              </w:rPr>
            </w:pPr>
            <w:r w:rsidRPr="00752982">
              <w:rPr>
                <w:rFonts w:ascii="Arial Narrow" w:hAnsi="Arial Narrow"/>
                <w:sz w:val="20"/>
                <w:szCs w:val="20"/>
              </w:rPr>
              <w:t>The authority application must be made in writing and must include:</w:t>
            </w:r>
          </w:p>
          <w:p w14:paraId="68628210" w14:textId="77777777" w:rsidR="008267EB" w:rsidRPr="00752982" w:rsidRDefault="008267EB" w:rsidP="008267EB">
            <w:pPr>
              <w:rPr>
                <w:rFonts w:ascii="Arial Narrow" w:hAnsi="Arial Narrow"/>
                <w:sz w:val="20"/>
                <w:szCs w:val="20"/>
              </w:rPr>
            </w:pPr>
            <w:r w:rsidRPr="00752982">
              <w:rPr>
                <w:rFonts w:ascii="Arial Narrow" w:hAnsi="Arial Narrow"/>
                <w:sz w:val="20"/>
                <w:szCs w:val="20"/>
              </w:rPr>
              <w:t>(1) a completed authority prescription form; and</w:t>
            </w:r>
          </w:p>
          <w:p w14:paraId="26248BCA" w14:textId="77777777" w:rsidR="008267EB" w:rsidRPr="00752982" w:rsidRDefault="008267EB" w:rsidP="008267EB">
            <w:pPr>
              <w:rPr>
                <w:rFonts w:ascii="Arial Narrow" w:hAnsi="Arial Narrow"/>
                <w:sz w:val="20"/>
                <w:szCs w:val="20"/>
              </w:rPr>
            </w:pPr>
            <w:r w:rsidRPr="00752982">
              <w:rPr>
                <w:rFonts w:ascii="Arial Narrow" w:hAnsi="Arial Narrow"/>
                <w:sz w:val="20"/>
                <w:szCs w:val="20"/>
              </w:rPr>
              <w:t>(2) a completed authority application form relevant to the indication and treatment phase (the latest version is located on the website specified in the Administrative Advice), which includes:</w:t>
            </w:r>
          </w:p>
          <w:p w14:paraId="63137981" w14:textId="77777777" w:rsidR="008267EB" w:rsidRPr="00752982" w:rsidRDefault="008267EB" w:rsidP="008267EB">
            <w:pPr>
              <w:rPr>
                <w:rFonts w:ascii="Arial Narrow" w:hAnsi="Arial Narrow"/>
                <w:sz w:val="20"/>
                <w:szCs w:val="20"/>
              </w:rPr>
            </w:pPr>
            <w:r w:rsidRPr="00752982">
              <w:rPr>
                <w:rFonts w:ascii="Arial Narrow" w:hAnsi="Arial Narrow"/>
                <w:sz w:val="20"/>
                <w:szCs w:val="20"/>
              </w:rPr>
              <w:t>(i) the completed baseline Mayo clinic or partial Mayo clinic calculation sheet prior to initiating treatment (if available) including the date of assessment;</w:t>
            </w:r>
          </w:p>
          <w:p w14:paraId="7D2941BF" w14:textId="77777777" w:rsidR="008267EB" w:rsidRPr="00A3494F" w:rsidRDefault="008267EB" w:rsidP="008267EB">
            <w:pPr>
              <w:rPr>
                <w:rFonts w:ascii="Arial Narrow" w:hAnsi="Arial Narrow"/>
                <w:b/>
                <w:bCs/>
                <w:color w:val="333333"/>
                <w:sz w:val="20"/>
                <w:szCs w:val="20"/>
              </w:rPr>
            </w:pPr>
            <w:r w:rsidRPr="00752982">
              <w:rPr>
                <w:rFonts w:ascii="Arial Narrow" w:hAnsi="Arial Narrow"/>
                <w:sz w:val="20"/>
                <w:szCs w:val="20"/>
              </w:rPr>
              <w:t>(ii) the date of commencement of this drug.</w:t>
            </w:r>
          </w:p>
        </w:tc>
      </w:tr>
      <w:tr w:rsidR="008267EB" w:rsidRPr="00A3494F" w14:paraId="567D5068" w14:textId="77777777" w:rsidTr="00752982">
        <w:trPr>
          <w:cantSplit/>
          <w:trHeight w:val="20"/>
        </w:trPr>
        <w:tc>
          <w:tcPr>
            <w:tcW w:w="1272" w:type="dxa"/>
            <w:gridSpan w:val="2"/>
            <w:vAlign w:val="center"/>
          </w:tcPr>
          <w:p w14:paraId="5E15576E" w14:textId="1FEFD632" w:rsidR="008267EB" w:rsidRPr="00A3494F" w:rsidRDefault="008267EB" w:rsidP="008267EB">
            <w:pPr>
              <w:jc w:val="center"/>
              <w:rPr>
                <w:rFonts w:ascii="Arial Narrow" w:hAnsi="Arial Narrow"/>
                <w:color w:val="333333"/>
                <w:sz w:val="20"/>
                <w:szCs w:val="20"/>
              </w:rPr>
            </w:pPr>
          </w:p>
        </w:tc>
        <w:tc>
          <w:tcPr>
            <w:tcW w:w="7745" w:type="dxa"/>
            <w:vAlign w:val="center"/>
          </w:tcPr>
          <w:p w14:paraId="73C80F4B" w14:textId="77777777" w:rsidR="008267EB" w:rsidRPr="00A3494F" w:rsidRDefault="008267EB" w:rsidP="008267EB">
            <w:pPr>
              <w:rPr>
                <w:rFonts w:ascii="Arial Narrow" w:hAnsi="Arial Narrow"/>
                <w:b/>
                <w:bCs/>
                <w:sz w:val="20"/>
                <w:szCs w:val="20"/>
              </w:rPr>
            </w:pPr>
            <w:r w:rsidRPr="00A3494F">
              <w:rPr>
                <w:rFonts w:ascii="Arial Narrow" w:hAnsi="Arial Narrow"/>
                <w:b/>
                <w:bCs/>
                <w:sz w:val="20"/>
                <w:szCs w:val="20"/>
              </w:rPr>
              <w:t xml:space="preserve">Prescribing Instructions: </w:t>
            </w:r>
          </w:p>
          <w:p w14:paraId="5CFFA582" w14:textId="77777777" w:rsidR="008267EB" w:rsidRPr="00752982" w:rsidRDefault="008267EB" w:rsidP="008267EB">
            <w:pPr>
              <w:rPr>
                <w:rFonts w:ascii="Arial Narrow" w:hAnsi="Arial Narrow"/>
                <w:b/>
                <w:bCs/>
                <w:color w:val="333333"/>
                <w:sz w:val="20"/>
                <w:szCs w:val="20"/>
              </w:rPr>
            </w:pPr>
            <w:r w:rsidRPr="00752982">
              <w:rPr>
                <w:rFonts w:ascii="Arial Narrow" w:hAnsi="Arial Narrow"/>
                <w:color w:val="333333"/>
                <w:sz w:val="20"/>
                <w:szCs w:val="20"/>
              </w:rPr>
              <w:t>A patient may qualify for PBS-subsidised treatment under this restriction once only.</w:t>
            </w:r>
          </w:p>
        </w:tc>
      </w:tr>
      <w:tr w:rsidR="008267EB" w:rsidRPr="00A3494F" w14:paraId="191F7280" w14:textId="77777777" w:rsidTr="00752982">
        <w:trPr>
          <w:cantSplit/>
          <w:trHeight w:val="20"/>
        </w:trPr>
        <w:tc>
          <w:tcPr>
            <w:tcW w:w="1272" w:type="dxa"/>
            <w:gridSpan w:val="2"/>
            <w:vAlign w:val="center"/>
          </w:tcPr>
          <w:p w14:paraId="20827A01" w14:textId="4EF8ECB8" w:rsidR="008267EB" w:rsidRPr="00A3494F" w:rsidRDefault="008267EB" w:rsidP="008267EB">
            <w:pPr>
              <w:jc w:val="center"/>
              <w:rPr>
                <w:rFonts w:ascii="Arial Narrow" w:hAnsi="Arial Narrow"/>
                <w:color w:val="333333"/>
                <w:sz w:val="20"/>
                <w:szCs w:val="20"/>
              </w:rPr>
            </w:pPr>
          </w:p>
        </w:tc>
        <w:tc>
          <w:tcPr>
            <w:tcW w:w="7745" w:type="dxa"/>
            <w:vAlign w:val="center"/>
          </w:tcPr>
          <w:p w14:paraId="488F3222" w14:textId="77777777" w:rsidR="008267EB" w:rsidRPr="00A3494F" w:rsidRDefault="008267EB" w:rsidP="008267EB">
            <w:pPr>
              <w:rPr>
                <w:rFonts w:ascii="Arial Narrow" w:hAnsi="Arial Narrow"/>
                <w:b/>
                <w:bCs/>
                <w:color w:val="333333"/>
                <w:sz w:val="20"/>
                <w:szCs w:val="20"/>
              </w:rPr>
            </w:pPr>
            <w:r w:rsidRPr="00A3494F">
              <w:rPr>
                <w:rFonts w:ascii="Arial Narrow" w:hAnsi="Arial Narrow"/>
                <w:b/>
                <w:bCs/>
                <w:color w:val="333333"/>
                <w:sz w:val="20"/>
                <w:szCs w:val="20"/>
              </w:rPr>
              <w:t>Prescribing Instructions:</w:t>
            </w:r>
          </w:p>
          <w:p w14:paraId="38831DEA" w14:textId="77777777" w:rsidR="008267EB" w:rsidRPr="00752982" w:rsidRDefault="008267EB" w:rsidP="008267EB">
            <w:pPr>
              <w:rPr>
                <w:rFonts w:ascii="Arial Narrow" w:hAnsi="Arial Narrow"/>
                <w:b/>
                <w:bCs/>
                <w:color w:val="333333"/>
                <w:sz w:val="20"/>
                <w:szCs w:val="20"/>
              </w:rPr>
            </w:pPr>
            <w:r w:rsidRPr="00752982">
              <w:rPr>
                <w:rFonts w:ascii="Arial Narrow" w:hAnsi="Arial Narrow"/>
                <w:color w:val="333333"/>
                <w:sz w:val="20"/>
                <w:szCs w:val="20"/>
              </w:rPr>
              <w:t>For continuing PBS-subsidised treatment, a Grandfathered patient must qualify under the Continuing treatment criteria.</w:t>
            </w:r>
          </w:p>
        </w:tc>
      </w:tr>
      <w:tr w:rsidR="008267EB" w:rsidRPr="00A3494F" w14:paraId="224D25A9" w14:textId="77777777" w:rsidTr="00C37C70">
        <w:trPr>
          <w:cantSplit/>
          <w:trHeight w:val="20"/>
        </w:trPr>
        <w:tc>
          <w:tcPr>
            <w:tcW w:w="1272" w:type="dxa"/>
            <w:gridSpan w:val="2"/>
            <w:vAlign w:val="center"/>
          </w:tcPr>
          <w:p w14:paraId="33014539" w14:textId="77777777" w:rsidR="008267EB" w:rsidRPr="00A3494F" w:rsidRDefault="008267EB" w:rsidP="008267EB">
            <w:pPr>
              <w:jc w:val="center"/>
              <w:rPr>
                <w:rFonts w:ascii="Arial Narrow" w:hAnsi="Arial Narrow"/>
                <w:color w:val="333333"/>
                <w:sz w:val="20"/>
                <w:szCs w:val="20"/>
              </w:rPr>
            </w:pPr>
          </w:p>
        </w:tc>
        <w:tc>
          <w:tcPr>
            <w:tcW w:w="7745" w:type="dxa"/>
            <w:vAlign w:val="center"/>
            <w:hideMark/>
          </w:tcPr>
          <w:p w14:paraId="52C96330" w14:textId="77777777" w:rsidR="008267EB" w:rsidRPr="00A3494F" w:rsidRDefault="008267EB" w:rsidP="008267EB">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77DADC95" w14:textId="0C0E928C" w:rsidR="008267EB" w:rsidRPr="00A13761" w:rsidRDefault="008267EB" w:rsidP="008267EB">
            <w:pPr>
              <w:rPr>
                <w:rFonts w:ascii="Arial Narrow" w:hAnsi="Arial Narrow"/>
                <w:color w:val="333333"/>
                <w:sz w:val="20"/>
                <w:szCs w:val="20"/>
              </w:rPr>
            </w:pPr>
            <w:r w:rsidRPr="00A3494F">
              <w:rPr>
                <w:rFonts w:ascii="Arial Narrow" w:hAnsi="Arial Narrow"/>
                <w:color w:val="333333"/>
                <w:sz w:val="20"/>
                <w:szCs w:val="20"/>
              </w:rPr>
              <w:t>Patients who have failed to maintain a partial Mayo clinic score less than or equal to 2, with no subscore greater than 1 with continuing treatment with this drug, will not be eligible to receive further PBS-subsidised treatment with this drug.</w:t>
            </w:r>
          </w:p>
        </w:tc>
      </w:tr>
      <w:tr w:rsidR="008267EB" w:rsidRPr="00A3494F" w14:paraId="2F08D7EF" w14:textId="77777777" w:rsidTr="00752982">
        <w:trPr>
          <w:cantSplit/>
          <w:trHeight w:val="20"/>
        </w:trPr>
        <w:tc>
          <w:tcPr>
            <w:tcW w:w="1272" w:type="dxa"/>
            <w:gridSpan w:val="2"/>
            <w:vAlign w:val="center"/>
          </w:tcPr>
          <w:p w14:paraId="04AA7CAB" w14:textId="52D6A6E7" w:rsidR="008267EB" w:rsidRPr="00A3494F" w:rsidRDefault="008267EB" w:rsidP="008267EB">
            <w:pPr>
              <w:jc w:val="center"/>
              <w:rPr>
                <w:rFonts w:ascii="Arial Narrow" w:hAnsi="Arial Narrow"/>
                <w:color w:val="333333"/>
                <w:sz w:val="20"/>
                <w:szCs w:val="20"/>
              </w:rPr>
            </w:pPr>
          </w:p>
        </w:tc>
        <w:tc>
          <w:tcPr>
            <w:tcW w:w="7745" w:type="dxa"/>
            <w:vAlign w:val="center"/>
          </w:tcPr>
          <w:p w14:paraId="1B7D6F69" w14:textId="77777777" w:rsidR="008267EB" w:rsidRPr="00A3494F" w:rsidRDefault="008267EB" w:rsidP="008267EB">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3627C6F8" w14:textId="77777777" w:rsidR="008267EB" w:rsidRPr="00A3494F" w:rsidRDefault="008267EB" w:rsidP="008267EB">
            <w:pPr>
              <w:rPr>
                <w:rFonts w:ascii="Arial Narrow" w:hAnsi="Arial Narrow"/>
                <w:color w:val="333333"/>
                <w:sz w:val="20"/>
                <w:szCs w:val="20"/>
              </w:rPr>
            </w:pPr>
            <w:r w:rsidRPr="00A3494F">
              <w:rPr>
                <w:rFonts w:ascii="Arial Narrow" w:hAnsi="Arial Narrow"/>
                <w:color w:val="333333"/>
                <w:sz w:val="20"/>
                <w:szCs w:val="20"/>
              </w:rPr>
              <w:t>Patients are eligible to receive continuing treatment with this drug in courses of up to 24 weeks providing they continue to sustain a response.</w:t>
            </w:r>
          </w:p>
        </w:tc>
      </w:tr>
      <w:tr w:rsidR="008267EB" w:rsidRPr="00A3494F" w14:paraId="41551A47" w14:textId="77777777" w:rsidTr="00752982">
        <w:trPr>
          <w:cantSplit/>
          <w:trHeight w:val="20"/>
        </w:trPr>
        <w:tc>
          <w:tcPr>
            <w:tcW w:w="1272" w:type="dxa"/>
            <w:gridSpan w:val="2"/>
            <w:vAlign w:val="center"/>
          </w:tcPr>
          <w:p w14:paraId="0150BC60" w14:textId="0FCDD1E6" w:rsidR="008267EB" w:rsidRPr="00A3494F" w:rsidRDefault="008267EB" w:rsidP="008267EB">
            <w:pPr>
              <w:jc w:val="center"/>
              <w:rPr>
                <w:rFonts w:ascii="Arial Narrow" w:hAnsi="Arial Narrow"/>
                <w:color w:val="333333"/>
                <w:sz w:val="20"/>
                <w:szCs w:val="20"/>
              </w:rPr>
            </w:pPr>
          </w:p>
        </w:tc>
        <w:tc>
          <w:tcPr>
            <w:tcW w:w="7745" w:type="dxa"/>
            <w:vAlign w:val="center"/>
          </w:tcPr>
          <w:p w14:paraId="11576C78" w14:textId="77777777" w:rsidR="008267EB" w:rsidRPr="00A3494F" w:rsidRDefault="008267EB" w:rsidP="008267EB">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61E8F6E8" w14:textId="77777777" w:rsidR="008267EB" w:rsidRPr="00A3494F" w:rsidRDefault="008267EB" w:rsidP="008267EB">
            <w:pPr>
              <w:rPr>
                <w:rFonts w:ascii="Arial Narrow" w:hAnsi="Arial Narrow"/>
                <w:color w:val="333333"/>
                <w:sz w:val="20"/>
                <w:szCs w:val="20"/>
              </w:rPr>
            </w:pPr>
            <w:r w:rsidRPr="00A3494F">
              <w:rPr>
                <w:rFonts w:ascii="Arial Narrow" w:hAnsi="Arial Narrow"/>
                <w:color w:val="333333"/>
                <w:sz w:val="20"/>
                <w:szCs w:val="20"/>
              </w:rPr>
              <w:t>At the time of the authority application, medical practitioners should request sufficient quantity for up to 24 weeks of treatment under this restriction.</w:t>
            </w:r>
          </w:p>
        </w:tc>
      </w:tr>
      <w:tr w:rsidR="008267EB" w:rsidRPr="00A3494F" w14:paraId="5BD95D90" w14:textId="77777777" w:rsidTr="00752982">
        <w:trPr>
          <w:cantSplit/>
          <w:trHeight w:val="20"/>
        </w:trPr>
        <w:tc>
          <w:tcPr>
            <w:tcW w:w="1272" w:type="dxa"/>
            <w:gridSpan w:val="2"/>
            <w:vAlign w:val="center"/>
          </w:tcPr>
          <w:p w14:paraId="3E0331B3" w14:textId="65FA2032" w:rsidR="008267EB" w:rsidRPr="00A3494F" w:rsidRDefault="008267EB" w:rsidP="008267EB">
            <w:pPr>
              <w:jc w:val="center"/>
              <w:rPr>
                <w:rFonts w:ascii="Arial Narrow" w:hAnsi="Arial Narrow"/>
                <w:color w:val="333333"/>
                <w:sz w:val="20"/>
                <w:szCs w:val="20"/>
              </w:rPr>
            </w:pPr>
          </w:p>
        </w:tc>
        <w:tc>
          <w:tcPr>
            <w:tcW w:w="7745" w:type="dxa"/>
            <w:vAlign w:val="center"/>
          </w:tcPr>
          <w:p w14:paraId="1B966DF5" w14:textId="77777777" w:rsidR="008267EB" w:rsidRPr="00A3494F" w:rsidRDefault="008267EB" w:rsidP="008267EB">
            <w:pPr>
              <w:rPr>
                <w:rFonts w:ascii="Arial Narrow" w:hAnsi="Arial Narrow"/>
                <w:b/>
                <w:bCs/>
                <w:color w:val="333333"/>
                <w:sz w:val="20"/>
                <w:szCs w:val="20"/>
              </w:rPr>
            </w:pPr>
            <w:r w:rsidRPr="00A3494F">
              <w:rPr>
                <w:rFonts w:ascii="Arial Narrow" w:hAnsi="Arial Narrow"/>
                <w:b/>
                <w:bCs/>
                <w:color w:val="333333"/>
                <w:sz w:val="20"/>
                <w:szCs w:val="20"/>
              </w:rPr>
              <w:t>Prescribing Instructions:</w:t>
            </w:r>
          </w:p>
          <w:p w14:paraId="7504FFE1" w14:textId="77777777" w:rsidR="008267EB" w:rsidRPr="00752982" w:rsidRDefault="008267EB" w:rsidP="008267EB">
            <w:pPr>
              <w:rPr>
                <w:rFonts w:ascii="Arial Narrow" w:hAnsi="Arial Narrow"/>
                <w:b/>
                <w:bCs/>
                <w:color w:val="333333"/>
                <w:sz w:val="20"/>
                <w:szCs w:val="20"/>
              </w:rPr>
            </w:pPr>
            <w:r w:rsidRPr="00752982">
              <w:rPr>
                <w:rFonts w:ascii="Arial Narrow" w:hAnsi="Arial Narrow"/>
                <w:color w:val="333333"/>
                <w:sz w:val="20"/>
                <w:szCs w:val="20"/>
              </w:rPr>
              <w:t xml:space="preserve">The assessment of the patient’s response to this PBS-subsidised course of therapy must be conducted no later than 4 weeks from the cessation of the treatment course. </w:t>
            </w:r>
          </w:p>
        </w:tc>
      </w:tr>
      <w:tr w:rsidR="008267EB" w:rsidRPr="00A3494F" w14:paraId="6D9496C5" w14:textId="77777777" w:rsidTr="00752982">
        <w:trPr>
          <w:cantSplit/>
          <w:trHeight w:val="20"/>
        </w:trPr>
        <w:tc>
          <w:tcPr>
            <w:tcW w:w="1272" w:type="dxa"/>
            <w:gridSpan w:val="2"/>
            <w:vAlign w:val="center"/>
          </w:tcPr>
          <w:p w14:paraId="3CE73CD9" w14:textId="47B20E7B" w:rsidR="008267EB" w:rsidRPr="00A3494F" w:rsidRDefault="008267EB" w:rsidP="008267EB">
            <w:pPr>
              <w:jc w:val="center"/>
              <w:rPr>
                <w:rFonts w:ascii="Arial Narrow" w:hAnsi="Arial Narrow"/>
                <w:color w:val="333333"/>
                <w:sz w:val="20"/>
                <w:szCs w:val="20"/>
              </w:rPr>
            </w:pPr>
          </w:p>
        </w:tc>
        <w:tc>
          <w:tcPr>
            <w:tcW w:w="7745" w:type="dxa"/>
            <w:vAlign w:val="center"/>
          </w:tcPr>
          <w:p w14:paraId="0E161B04" w14:textId="77777777" w:rsidR="008267EB" w:rsidRPr="00A3494F" w:rsidRDefault="008267EB" w:rsidP="008267EB">
            <w:pPr>
              <w:rPr>
                <w:rFonts w:ascii="Arial Narrow" w:hAnsi="Arial Narrow"/>
                <w:bCs/>
                <w:color w:val="FF0000"/>
                <w:sz w:val="20"/>
                <w:szCs w:val="20"/>
              </w:rPr>
            </w:pPr>
            <w:r w:rsidRPr="00A3494F">
              <w:rPr>
                <w:rFonts w:ascii="Arial Narrow" w:hAnsi="Arial Narrow"/>
                <w:b/>
                <w:bCs/>
                <w:color w:val="333333"/>
                <w:sz w:val="20"/>
                <w:szCs w:val="20"/>
              </w:rPr>
              <w:t xml:space="preserve">Prescribing Instructions: </w:t>
            </w:r>
          </w:p>
          <w:p w14:paraId="01171531" w14:textId="480C7660" w:rsidR="008267EB" w:rsidRPr="00A3494F" w:rsidRDefault="008267EB" w:rsidP="008267EB">
            <w:pPr>
              <w:rPr>
                <w:rFonts w:ascii="Arial Narrow" w:hAnsi="Arial Narrow"/>
                <w:color w:val="333333"/>
                <w:sz w:val="20"/>
                <w:szCs w:val="20"/>
              </w:rPr>
            </w:pPr>
            <w:r w:rsidRPr="00A3494F">
              <w:rPr>
                <w:rFonts w:ascii="Arial Narrow" w:hAnsi="Arial Narrow"/>
                <w:color w:val="333333"/>
                <w:sz w:val="20"/>
                <w:szCs w:val="20"/>
              </w:rPr>
              <w:t>Where a response assessment is not conducted within the required timeframe, the patient will be deemed to have failed to respond to treatment with this drug.</w:t>
            </w:r>
          </w:p>
        </w:tc>
      </w:tr>
      <w:tr w:rsidR="008267EB" w:rsidRPr="00A3494F" w14:paraId="2E3F4A2A" w14:textId="77777777" w:rsidTr="00752982">
        <w:trPr>
          <w:cantSplit/>
          <w:trHeight w:val="20"/>
        </w:trPr>
        <w:tc>
          <w:tcPr>
            <w:tcW w:w="1272" w:type="dxa"/>
            <w:gridSpan w:val="2"/>
            <w:vAlign w:val="center"/>
          </w:tcPr>
          <w:p w14:paraId="536161E3" w14:textId="4CEC19DC" w:rsidR="008267EB" w:rsidRPr="00A3494F" w:rsidRDefault="008267EB" w:rsidP="008267EB">
            <w:pPr>
              <w:jc w:val="center"/>
              <w:rPr>
                <w:rFonts w:ascii="Arial Narrow" w:hAnsi="Arial Narrow"/>
                <w:bCs/>
                <w:sz w:val="20"/>
                <w:szCs w:val="20"/>
              </w:rPr>
            </w:pPr>
          </w:p>
        </w:tc>
        <w:tc>
          <w:tcPr>
            <w:tcW w:w="7745" w:type="dxa"/>
            <w:vAlign w:val="center"/>
          </w:tcPr>
          <w:p w14:paraId="59F52066" w14:textId="77777777" w:rsidR="008267EB" w:rsidRPr="00A3494F" w:rsidRDefault="008267EB" w:rsidP="008267EB">
            <w:pPr>
              <w:ind w:left="5"/>
              <w:textAlignment w:val="baseline"/>
              <w:rPr>
                <w:rFonts w:ascii="Arial Narrow" w:hAnsi="Arial Narrow" w:cs="Open Sans"/>
                <w:color w:val="333333"/>
                <w:sz w:val="20"/>
                <w:szCs w:val="20"/>
              </w:rPr>
            </w:pPr>
            <w:r w:rsidRPr="00A3494F">
              <w:rPr>
                <w:rFonts w:ascii="Arial Narrow" w:hAnsi="Arial Narrow" w:cs="Open Sans"/>
                <w:b/>
                <w:bCs/>
                <w:color w:val="333333"/>
                <w:sz w:val="20"/>
                <w:szCs w:val="20"/>
                <w:bdr w:val="none" w:sz="0" w:space="0" w:color="auto" w:frame="1"/>
              </w:rPr>
              <w:t>Administrative Advice:</w:t>
            </w:r>
          </w:p>
          <w:p w14:paraId="2BE8C837" w14:textId="77777777" w:rsidR="008267EB" w:rsidRPr="00A3494F" w:rsidRDefault="008267EB" w:rsidP="008267EB">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1C55B3AF" w14:textId="77777777" w:rsidR="008267EB" w:rsidRPr="00A3494F" w:rsidRDefault="008267EB" w:rsidP="008267EB">
            <w:pPr>
              <w:textAlignment w:val="baseline"/>
              <w:rPr>
                <w:rFonts w:ascii="Arial Narrow" w:hAnsi="Arial Narrow" w:cs="Open Sans"/>
                <w:color w:val="333333"/>
                <w:sz w:val="20"/>
                <w:szCs w:val="20"/>
              </w:rPr>
            </w:pPr>
            <w:r w:rsidRPr="00A3494F">
              <w:rPr>
                <w:rFonts w:ascii="Arial Narrow" w:hAnsi="Arial Narrow" w:cs="Open Sans"/>
                <w:color w:val="333333"/>
                <w:sz w:val="20"/>
                <w:szCs w:val="20"/>
              </w:rPr>
              <w:t xml:space="preserve">Prescribing information (including Authority Application forms and other relevant documentation as applicable) is available on the Services Australia website at </w:t>
            </w:r>
            <w:hyperlink r:id="rId11" w:history="1">
              <w:r w:rsidRPr="00A3494F">
                <w:rPr>
                  <w:rStyle w:val="Hyperlink"/>
                  <w:rFonts w:ascii="Arial Narrow" w:hAnsi="Arial Narrow" w:cs="Open Sans"/>
                  <w:sz w:val="20"/>
                  <w:szCs w:val="20"/>
                </w:rPr>
                <w:t>www.servicesaustralia.gov.au</w:t>
              </w:r>
            </w:hyperlink>
          </w:p>
          <w:p w14:paraId="1EDB01EA" w14:textId="77777777" w:rsidR="008267EB" w:rsidRPr="00A3494F" w:rsidRDefault="008267EB" w:rsidP="008267EB">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 xml:space="preserve">Applications for authority to prescribe should be submitted online using the form upload facility in Health Professional Online Services (HPOS) at </w:t>
            </w:r>
            <w:hyperlink r:id="rId12" w:history="1">
              <w:r w:rsidRPr="00A3494F">
                <w:rPr>
                  <w:rStyle w:val="Hyperlink"/>
                  <w:rFonts w:ascii="Arial Narrow" w:hAnsi="Arial Narrow" w:cs="Open Sans"/>
                  <w:sz w:val="20"/>
                  <w:szCs w:val="20"/>
                </w:rPr>
                <w:t>www.servicesaustralia.gov.au/hpos</w:t>
              </w:r>
            </w:hyperlink>
          </w:p>
          <w:p w14:paraId="52E53078" w14:textId="77777777" w:rsidR="008267EB" w:rsidRPr="00A3494F" w:rsidRDefault="008267EB" w:rsidP="008267EB">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Or mailed to:</w:t>
            </w:r>
          </w:p>
          <w:p w14:paraId="3D8149DB" w14:textId="77777777" w:rsidR="008267EB" w:rsidRPr="00A3494F" w:rsidRDefault="008267EB" w:rsidP="008267EB">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Services Australia</w:t>
            </w:r>
          </w:p>
          <w:p w14:paraId="23FB1D5E" w14:textId="77777777" w:rsidR="008267EB" w:rsidRPr="00A3494F" w:rsidRDefault="008267EB" w:rsidP="008267EB">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Complex Drugs</w:t>
            </w:r>
          </w:p>
          <w:p w14:paraId="73A26B93" w14:textId="77777777" w:rsidR="008267EB" w:rsidRPr="00A3494F" w:rsidRDefault="008267EB" w:rsidP="008267EB">
            <w:pPr>
              <w:ind w:left="5"/>
              <w:textAlignment w:val="baseline"/>
              <w:rPr>
                <w:rFonts w:ascii="Arial Narrow" w:hAnsi="Arial Narrow" w:cs="Open Sans"/>
                <w:color w:val="333333"/>
                <w:sz w:val="20"/>
                <w:szCs w:val="20"/>
              </w:rPr>
            </w:pPr>
            <w:r w:rsidRPr="00A3494F">
              <w:rPr>
                <w:rFonts w:ascii="Arial Narrow" w:hAnsi="Arial Narrow" w:cs="Open Sans"/>
                <w:color w:val="333333"/>
                <w:sz w:val="20"/>
                <w:szCs w:val="20"/>
              </w:rPr>
              <w:t>Reply Paid 9826</w:t>
            </w:r>
          </w:p>
          <w:p w14:paraId="3905CABB" w14:textId="77777777" w:rsidR="008267EB" w:rsidRPr="00A3494F" w:rsidRDefault="008267EB" w:rsidP="008267EB">
            <w:pPr>
              <w:rPr>
                <w:rFonts w:ascii="Arial Narrow" w:hAnsi="Arial Narrow"/>
                <w:b/>
                <w:bCs/>
                <w:i/>
                <w:iCs/>
                <w:sz w:val="20"/>
                <w:szCs w:val="20"/>
              </w:rPr>
            </w:pPr>
            <w:r w:rsidRPr="00A3494F">
              <w:rPr>
                <w:rFonts w:ascii="Arial Narrow" w:hAnsi="Arial Narrow" w:cs="Open Sans"/>
                <w:color w:val="333333"/>
                <w:sz w:val="20"/>
                <w:szCs w:val="20"/>
              </w:rPr>
              <w:t>HOBART TAS 7001</w:t>
            </w:r>
          </w:p>
        </w:tc>
      </w:tr>
      <w:tr w:rsidR="008267EB" w:rsidRPr="00A3494F" w14:paraId="626365E1" w14:textId="77777777" w:rsidTr="00752982">
        <w:trPr>
          <w:cantSplit/>
          <w:trHeight w:val="20"/>
        </w:trPr>
        <w:tc>
          <w:tcPr>
            <w:tcW w:w="1272" w:type="dxa"/>
            <w:gridSpan w:val="2"/>
            <w:vAlign w:val="center"/>
          </w:tcPr>
          <w:p w14:paraId="678DE4AC" w14:textId="18A8D874" w:rsidR="008267EB" w:rsidRPr="00A3494F" w:rsidRDefault="008267EB" w:rsidP="008267EB">
            <w:pPr>
              <w:jc w:val="center"/>
              <w:rPr>
                <w:rFonts w:ascii="Arial Narrow" w:hAnsi="Arial Narrow"/>
                <w:color w:val="333333"/>
                <w:sz w:val="20"/>
                <w:szCs w:val="20"/>
              </w:rPr>
            </w:pPr>
          </w:p>
        </w:tc>
        <w:tc>
          <w:tcPr>
            <w:tcW w:w="7745" w:type="dxa"/>
            <w:vAlign w:val="center"/>
          </w:tcPr>
          <w:p w14:paraId="498A86D5" w14:textId="77777777" w:rsidR="008267EB" w:rsidRPr="0067031E" w:rsidRDefault="008267EB" w:rsidP="008267EB">
            <w:pPr>
              <w:rPr>
                <w:rFonts w:ascii="Arial Narrow" w:hAnsi="Arial Narrow"/>
                <w:b/>
                <w:bCs/>
                <w:color w:val="333333"/>
                <w:sz w:val="20"/>
                <w:szCs w:val="20"/>
              </w:rPr>
            </w:pPr>
            <w:r w:rsidRPr="0067031E">
              <w:rPr>
                <w:rFonts w:ascii="Arial Narrow" w:hAnsi="Arial Narrow"/>
                <w:b/>
                <w:bCs/>
                <w:sz w:val="20"/>
                <w:szCs w:val="20"/>
              </w:rPr>
              <w:t xml:space="preserve">Administrative Advice: </w:t>
            </w:r>
            <w:r w:rsidRPr="0067031E">
              <w:rPr>
                <w:rFonts w:ascii="Arial Narrow" w:hAnsi="Arial Narrow"/>
                <w:bCs/>
                <w:sz w:val="20"/>
                <w:szCs w:val="20"/>
              </w:rPr>
              <w:t>This grandfather restriction will cease to operate from 12 months after the date specified in the clinical criteria.</w:t>
            </w:r>
          </w:p>
        </w:tc>
      </w:tr>
    </w:tbl>
    <w:p w14:paraId="0C504642" w14:textId="758E98FC" w:rsidR="0037570E" w:rsidRPr="000C5E89" w:rsidRDefault="0037570E" w:rsidP="005D7237">
      <w:pPr>
        <w:rPr>
          <w:rFonts w:asciiTheme="minorHAnsi" w:hAnsiTheme="minorHAnsi" w:cstheme="minorHAnsi"/>
          <w:color w:val="365F91" w:themeColor="accent1" w:themeShade="BF"/>
        </w:rPr>
      </w:pPr>
    </w:p>
    <w:p w14:paraId="73129E42" w14:textId="7C7297D7" w:rsidR="003D1D4D" w:rsidRDefault="008A1682" w:rsidP="00A13761">
      <w:pPr>
        <w:widowControl w:val="0"/>
        <w:spacing w:after="120"/>
        <w:rPr>
          <w:rFonts w:asciiTheme="minorHAnsi" w:hAnsiTheme="minorHAnsi"/>
          <w:b/>
          <w:i/>
        </w:rPr>
      </w:pPr>
      <w:r>
        <w:rPr>
          <w:rFonts w:asciiTheme="minorHAnsi" w:hAnsiTheme="minorHAnsi"/>
          <w:b/>
          <w:i/>
        </w:rPr>
        <w:t>T</w:t>
      </w:r>
      <w:r w:rsidRPr="00936FC8">
        <w:rPr>
          <w:rFonts w:asciiTheme="minorHAnsi" w:hAnsiTheme="minorHAnsi"/>
          <w:b/>
          <w:i/>
        </w:rPr>
        <w:t xml:space="preserve">his restriction may be subject to further review. Should there be any changes made to the restriction the </w:t>
      </w:r>
      <w:r>
        <w:rPr>
          <w:rFonts w:asciiTheme="minorHAnsi" w:hAnsiTheme="minorHAnsi"/>
          <w:b/>
          <w:i/>
        </w:rPr>
        <w:t>s</w:t>
      </w:r>
      <w:r w:rsidRPr="00936FC8">
        <w:rPr>
          <w:rFonts w:asciiTheme="minorHAnsi" w:hAnsiTheme="minorHAnsi"/>
          <w:b/>
          <w:i/>
        </w:rPr>
        <w:t xml:space="preserve">ponsor will be informed. </w:t>
      </w:r>
      <w:bookmarkEnd w:id="67"/>
    </w:p>
    <w:p w14:paraId="2EEE17A2" w14:textId="39B7F9A7" w:rsidR="003D1D4D" w:rsidRPr="003D1D4D" w:rsidRDefault="003D1D4D" w:rsidP="003D1D4D">
      <w:pPr>
        <w:pStyle w:val="2-SectionHeading"/>
        <w:rPr>
          <w:lang w:val="en-GB"/>
        </w:rPr>
      </w:pPr>
      <w:r w:rsidRPr="003D1D4D">
        <w:rPr>
          <w:lang w:val="en-GB"/>
        </w:rPr>
        <w:t>Context for Decision</w:t>
      </w:r>
    </w:p>
    <w:p w14:paraId="7F0D67E8" w14:textId="77777777" w:rsidR="003D1D4D" w:rsidRPr="007129F2" w:rsidRDefault="003D1D4D" w:rsidP="003D1D4D">
      <w:pPr>
        <w:spacing w:after="120"/>
        <w:ind w:left="68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058291D" w14:textId="75F8320E" w:rsidR="003D1D4D" w:rsidRPr="003D1D4D" w:rsidRDefault="003D1D4D" w:rsidP="003D1D4D">
      <w:pPr>
        <w:pStyle w:val="2-SectionHeading"/>
        <w:rPr>
          <w:lang w:val="en-GB"/>
        </w:rPr>
      </w:pPr>
      <w:r w:rsidRPr="003D1D4D">
        <w:rPr>
          <w:lang w:val="en-GB"/>
        </w:rPr>
        <w:t>Sponsor’s Comment</w:t>
      </w:r>
    </w:p>
    <w:p w14:paraId="4EEE8195" w14:textId="7A8FDF33" w:rsidR="003D1D4D" w:rsidRPr="00D13A3E" w:rsidRDefault="003D1D4D" w:rsidP="000C5E89">
      <w:pPr>
        <w:spacing w:after="120"/>
        <w:ind w:left="596" w:firstLine="84"/>
      </w:pPr>
      <w:r w:rsidRPr="00C07617">
        <w:rPr>
          <w:rFonts w:asciiTheme="minorHAnsi" w:hAnsiTheme="minorHAnsi"/>
          <w:bCs/>
        </w:rPr>
        <w:t>The sponsor had no comment.</w:t>
      </w:r>
    </w:p>
    <w:sectPr w:rsidR="003D1D4D" w:rsidRPr="00D13A3E" w:rsidSect="0080456A">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67B3" w14:textId="77777777" w:rsidR="00A06F1A" w:rsidRDefault="00A06F1A" w:rsidP="00124A51">
      <w:r>
        <w:separator/>
      </w:r>
    </w:p>
    <w:p w14:paraId="3496F207" w14:textId="77777777" w:rsidR="00A06F1A" w:rsidRDefault="00A06F1A"/>
  </w:endnote>
  <w:endnote w:type="continuationSeparator" w:id="0">
    <w:p w14:paraId="48D04D65" w14:textId="77777777" w:rsidR="00A06F1A" w:rsidRDefault="00A06F1A" w:rsidP="00124A51">
      <w:r>
        <w:continuationSeparator/>
      </w:r>
    </w:p>
    <w:p w14:paraId="7A35EC89" w14:textId="77777777" w:rsidR="00A06F1A" w:rsidRDefault="00A06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DB3C" w14:textId="77777777" w:rsidR="000C5E89" w:rsidRDefault="000C5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869494"/>
      <w:docPartObj>
        <w:docPartGallery w:val="Page Numbers (Bottom of Page)"/>
        <w:docPartUnique/>
      </w:docPartObj>
    </w:sdtPr>
    <w:sdtEndPr>
      <w:rPr>
        <w:noProof/>
      </w:rPr>
    </w:sdtEndPr>
    <w:sdtContent>
      <w:p w14:paraId="2E7D503A" w14:textId="77777777" w:rsidR="00644126" w:rsidRDefault="00644126" w:rsidP="00644126">
        <w:pPr>
          <w:pStyle w:val="Footer"/>
          <w:jc w:val="center"/>
        </w:pPr>
      </w:p>
      <w:p w14:paraId="68B6E05F" w14:textId="1E86A539" w:rsidR="00A06F1A" w:rsidRPr="007C1CD9" w:rsidRDefault="00644126" w:rsidP="00644126">
        <w:pPr>
          <w:pStyle w:val="Footer"/>
          <w:jc w:val="center"/>
        </w:pPr>
        <w:r w:rsidRPr="00644126">
          <w:rPr>
            <w:b/>
            <w:bCs/>
          </w:rPr>
          <w:fldChar w:fldCharType="begin"/>
        </w:r>
        <w:r w:rsidRPr="00644126">
          <w:rPr>
            <w:b/>
            <w:bCs/>
          </w:rPr>
          <w:instrText xml:space="preserve"> PAGE   \* MERGEFORMAT </w:instrText>
        </w:r>
        <w:r w:rsidRPr="00644126">
          <w:rPr>
            <w:b/>
            <w:bCs/>
          </w:rPr>
          <w:fldChar w:fldCharType="separate"/>
        </w:r>
        <w:r w:rsidRPr="00644126">
          <w:rPr>
            <w:b/>
            <w:bCs/>
            <w:noProof/>
          </w:rPr>
          <w:t>2</w:t>
        </w:r>
        <w:r w:rsidRPr="00644126">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28F7" w14:textId="77777777" w:rsidR="000C5E89" w:rsidRDefault="000C5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7EC6" w14:textId="77777777" w:rsidR="00A06F1A" w:rsidRDefault="00A06F1A" w:rsidP="00124A51">
      <w:r>
        <w:separator/>
      </w:r>
    </w:p>
    <w:p w14:paraId="28EB26AE" w14:textId="77777777" w:rsidR="00A06F1A" w:rsidRDefault="00A06F1A"/>
  </w:footnote>
  <w:footnote w:type="continuationSeparator" w:id="0">
    <w:p w14:paraId="5457BBAC" w14:textId="77777777" w:rsidR="00A06F1A" w:rsidRDefault="00A06F1A" w:rsidP="00124A51">
      <w:r>
        <w:continuationSeparator/>
      </w:r>
    </w:p>
    <w:p w14:paraId="44C78A14" w14:textId="77777777" w:rsidR="00A06F1A" w:rsidRDefault="00A06F1A"/>
  </w:footnote>
  <w:footnote w:id="1">
    <w:p w14:paraId="08B19293" w14:textId="77777777" w:rsidR="00A06F1A" w:rsidRDefault="00A06F1A" w:rsidP="004D1EA7">
      <w:pPr>
        <w:pStyle w:val="FootnoteText"/>
      </w:pPr>
      <w:r>
        <w:rPr>
          <w:rStyle w:val="FootnoteReference"/>
        </w:rPr>
        <w:footnoteRef/>
      </w:r>
      <w:r w:rsidRPr="00D4677F">
        <w:rPr>
          <w:lang w:val="de-DE"/>
        </w:rPr>
        <w:t xml:space="preserve"> Naegeli AN, Hunter T, Dong Y et al. 2021. </w:t>
      </w:r>
      <w:r>
        <w:t>Full, partial and modified permutations of the Mayo score: Characterizing clinical and patient-reported outcomes in ulcerative colitis patients. Crohn’s &amp; Colitis 360. 3(1):1-8. doi: 10.1093/crocol/otab007.</w:t>
      </w:r>
    </w:p>
  </w:footnote>
  <w:footnote w:id="2">
    <w:p w14:paraId="1F50D8F6" w14:textId="19AE820A" w:rsidR="00A06F1A" w:rsidRPr="0074232C" w:rsidRDefault="00A06F1A" w:rsidP="004D1EA7">
      <w:pPr>
        <w:pStyle w:val="FootnoteText"/>
      </w:pPr>
      <w:r w:rsidRPr="0074232C">
        <w:rPr>
          <w:rStyle w:val="FootnoteReference"/>
        </w:rPr>
        <w:footnoteRef/>
      </w:r>
      <w:r w:rsidRPr="0074232C">
        <w:t xml:space="preserve"> FDA Guidance Document, 2016. Ulcerative Colitis: Clinical Trial Endpoints Guidance for Industry. Available from: </w:t>
      </w:r>
      <w:hyperlink r:id="rId1" w:history="1">
        <w:r w:rsidRPr="0074232C">
          <w:rPr>
            <w:rStyle w:val="Hyperlink"/>
          </w:rPr>
          <w:t>www.fda.gov/regulatory-information/search-fda-guidance-documents/ulcerative-colitis-clinical-trial-endpoints-guidance-industry</w:t>
        </w:r>
      </w:hyperlink>
    </w:p>
  </w:footnote>
  <w:footnote w:id="3">
    <w:p w14:paraId="7BA01ABF" w14:textId="6C00AB21" w:rsidR="00A06F1A" w:rsidRDefault="00A06F1A" w:rsidP="004D1EA7">
      <w:pPr>
        <w:pStyle w:val="FootnoteText"/>
      </w:pPr>
      <w:r>
        <w:rPr>
          <w:rStyle w:val="FootnoteReference"/>
        </w:rPr>
        <w:footnoteRef/>
      </w:r>
      <w:r>
        <w:t xml:space="preserve"> NICE (</w:t>
      </w:r>
      <w:r w:rsidRPr="00DC5E53">
        <w:t xml:space="preserve">National Institute </w:t>
      </w:r>
      <w:r>
        <w:t>for</w:t>
      </w:r>
      <w:r w:rsidRPr="00DC5E53">
        <w:t xml:space="preserve"> Health and Care Excellence</w:t>
      </w:r>
      <w:r>
        <w:t>)</w:t>
      </w:r>
      <w:r w:rsidRPr="00DC5E53">
        <w:t>, Vedolizumab for treating moderately to severely active ulcerative colitis (TA342). 2015.</w:t>
      </w:r>
    </w:p>
  </w:footnote>
  <w:footnote w:id="4">
    <w:p w14:paraId="482F193B" w14:textId="77777777" w:rsidR="00A06F1A" w:rsidRDefault="00A06F1A" w:rsidP="004D1EA7">
      <w:pPr>
        <w:pStyle w:val="FootnoteText"/>
      </w:pPr>
      <w:r>
        <w:rPr>
          <w:rStyle w:val="FootnoteReference"/>
        </w:rPr>
        <w:footnoteRef/>
      </w:r>
      <w:r>
        <w:t xml:space="preserve"> NICE</w:t>
      </w:r>
      <w:r w:rsidRPr="00DC5E53">
        <w:t>, Infliximab, adalimumab and golimumab for treating moderately to severely active ulcerative colitis after the failure of conventional therapy (TA329). 2015.</w:t>
      </w:r>
    </w:p>
  </w:footnote>
  <w:footnote w:id="5">
    <w:p w14:paraId="51E7D269" w14:textId="77777777" w:rsidR="00A06F1A" w:rsidRDefault="00A06F1A" w:rsidP="004D1EA7">
      <w:pPr>
        <w:pStyle w:val="FootnoteText"/>
      </w:pPr>
      <w:r>
        <w:rPr>
          <w:rStyle w:val="FootnoteReference"/>
        </w:rPr>
        <w:footnoteRef/>
      </w:r>
      <w:r>
        <w:t xml:space="preserve"> NICE</w:t>
      </w:r>
      <w:r w:rsidRPr="00DC5E53">
        <w:t>, Tofacitinib for moderately to severely active ulcerative colitis (TA547). 2018.</w:t>
      </w:r>
    </w:p>
  </w:footnote>
  <w:footnote w:id="6">
    <w:p w14:paraId="457FE827" w14:textId="77777777" w:rsidR="00A06F1A" w:rsidRDefault="00A06F1A" w:rsidP="004D1EA7">
      <w:pPr>
        <w:pStyle w:val="FootnoteText"/>
      </w:pPr>
      <w:r>
        <w:rPr>
          <w:rStyle w:val="FootnoteReference"/>
        </w:rPr>
        <w:footnoteRef/>
      </w:r>
      <w:r>
        <w:t xml:space="preserve"> NICE</w:t>
      </w:r>
      <w:r w:rsidRPr="00DC5E53">
        <w:t>, Filgotinib for treating moderately to severely active ulcerative colitis (TA792). 2022.</w:t>
      </w:r>
    </w:p>
  </w:footnote>
  <w:footnote w:id="7">
    <w:p w14:paraId="56F9EA1F" w14:textId="77777777" w:rsidR="00A06F1A" w:rsidRDefault="00A06F1A" w:rsidP="004D1EA7">
      <w:pPr>
        <w:pStyle w:val="FootnoteText"/>
      </w:pPr>
      <w:r>
        <w:rPr>
          <w:rStyle w:val="FootnoteReference"/>
          <w:rFonts w:eastAsiaTheme="minorHAnsi"/>
        </w:rPr>
        <w:footnoteRef/>
      </w:r>
      <w:r w:rsidRPr="00C145F3">
        <w:t xml:space="preserve"> Dias S, Sutton AJ, Welton NJ, Ades AE. 2013. </w:t>
      </w:r>
      <w:r w:rsidRPr="00F42266">
        <w:t>Evidence Synthesis for Decision Making 3: Heterogeneity</w:t>
      </w:r>
      <w:r>
        <w:t xml:space="preserve"> - </w:t>
      </w:r>
      <w:r w:rsidRPr="00F42266">
        <w:t>Subgroups, Meta-Regression, Bias, and Bias-Adjustment. Medical Decision Making.</w:t>
      </w:r>
      <w:r>
        <w:t xml:space="preserve"> </w:t>
      </w:r>
      <w:r w:rsidRPr="00F42266">
        <w:t>33(5):618-640</w:t>
      </w:r>
      <w:r>
        <w:t>.</w:t>
      </w:r>
    </w:p>
  </w:footnote>
  <w:footnote w:id="8">
    <w:p w14:paraId="54B40A23" w14:textId="65D919A2" w:rsidR="0015494A" w:rsidRDefault="0015494A" w:rsidP="0015494A">
      <w:pPr>
        <w:pStyle w:val="FootnoteText"/>
      </w:pPr>
      <w:r>
        <w:rPr>
          <w:rStyle w:val="FootnoteReference"/>
        </w:rPr>
        <w:footnoteRef/>
      </w:r>
      <w:r>
        <w:t xml:space="preserve"> </w:t>
      </w:r>
      <w:r w:rsidRPr="00772763">
        <w:t xml:space="preserve">Eckermann S, Coory M, Willian A. Indirect Comparison: relative risk fallacies and odds solution. Journal of clinical Epidemiology. 2009; 62: </w:t>
      </w:r>
      <w:r w:rsidR="00E70CE4">
        <w:t>p</w:t>
      </w:r>
      <w:r w:rsidRPr="00772763">
        <w:t>1031-1036, accessed on 23 May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7CD3" w14:textId="77777777" w:rsidR="000C5E89" w:rsidRDefault="000C5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D8C7" w14:textId="2E3CAAE7" w:rsidR="00A06F1A" w:rsidRDefault="003D1D4D" w:rsidP="003D1D4D">
    <w:pPr>
      <w:pStyle w:val="Header"/>
      <w:rPr>
        <w:rFonts w:asciiTheme="minorHAnsi" w:hAnsiTheme="minorHAnsi"/>
        <w:i/>
        <w:color w:val="808080"/>
      </w:rPr>
    </w:pPr>
    <w:r>
      <w:rPr>
        <w:rFonts w:asciiTheme="minorHAnsi" w:hAnsiTheme="minorHAnsi"/>
        <w:i/>
        <w:color w:val="808080"/>
      </w:rPr>
      <w:t>Public Summary Document</w:t>
    </w:r>
    <w:r w:rsidR="00592813">
      <w:rPr>
        <w:rFonts w:asciiTheme="minorHAnsi" w:hAnsiTheme="minorHAnsi"/>
        <w:i/>
        <w:color w:val="808080"/>
      </w:rPr>
      <w:t xml:space="preserve"> – </w:t>
    </w:r>
    <w:r w:rsidR="00A06F1A">
      <w:rPr>
        <w:rFonts w:asciiTheme="minorHAnsi" w:hAnsiTheme="minorHAnsi"/>
        <w:i/>
        <w:color w:val="808080"/>
      </w:rPr>
      <w:t xml:space="preserve">July 2023 </w:t>
    </w:r>
    <w:r w:rsidR="00A06F1A" w:rsidRPr="00195452">
      <w:rPr>
        <w:rFonts w:asciiTheme="minorHAnsi" w:hAnsiTheme="minorHAnsi"/>
        <w:i/>
        <w:color w:val="808080"/>
      </w:rPr>
      <w:t>PBAC Meeting</w:t>
    </w:r>
  </w:p>
  <w:p w14:paraId="68753A0E" w14:textId="77777777" w:rsidR="003D1D4D" w:rsidRPr="003D1D4D" w:rsidRDefault="003D1D4D" w:rsidP="003D1D4D">
    <w:pPr>
      <w:pStyle w:val="Header"/>
      <w:rPr>
        <w:rFonts w:asciiTheme="minorHAnsi" w:hAnsiTheme="minorHAnsi"/>
        <w:i/>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530B" w14:textId="77777777" w:rsidR="000C5E89" w:rsidRDefault="000C5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78E2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91123"/>
    <w:multiLevelType w:val="hybridMultilevel"/>
    <w:tmpl w:val="523AE468"/>
    <w:lvl w:ilvl="0" w:tplc="0C090003">
      <w:start w:val="1"/>
      <w:numFmt w:val="bullet"/>
      <w:lvlText w:val="o"/>
      <w:lvlJc w:val="left"/>
      <w:pPr>
        <w:ind w:left="1397" w:hanging="360"/>
      </w:pPr>
      <w:rPr>
        <w:rFonts w:ascii="Courier New" w:hAnsi="Courier New" w:cs="Courier New" w:hint="default"/>
      </w:rPr>
    </w:lvl>
    <w:lvl w:ilvl="1" w:tplc="FFFFFFFF">
      <w:start w:val="1"/>
      <w:numFmt w:val="bullet"/>
      <w:lvlText w:val="o"/>
      <w:lvlJc w:val="left"/>
      <w:pPr>
        <w:ind w:left="2117" w:hanging="360"/>
      </w:pPr>
      <w:rPr>
        <w:rFonts w:ascii="Courier New" w:hAnsi="Courier New" w:cs="Courier New" w:hint="default"/>
      </w:rPr>
    </w:lvl>
    <w:lvl w:ilvl="2" w:tplc="FFFFFFFF" w:tentative="1">
      <w:start w:val="1"/>
      <w:numFmt w:val="bullet"/>
      <w:lvlText w:val=""/>
      <w:lvlJc w:val="left"/>
      <w:pPr>
        <w:ind w:left="2837" w:hanging="360"/>
      </w:pPr>
      <w:rPr>
        <w:rFonts w:ascii="Wingdings" w:hAnsi="Wingdings" w:hint="default"/>
      </w:rPr>
    </w:lvl>
    <w:lvl w:ilvl="3" w:tplc="FFFFFFFF" w:tentative="1">
      <w:start w:val="1"/>
      <w:numFmt w:val="bullet"/>
      <w:lvlText w:val=""/>
      <w:lvlJc w:val="left"/>
      <w:pPr>
        <w:ind w:left="3557" w:hanging="360"/>
      </w:pPr>
      <w:rPr>
        <w:rFonts w:ascii="Symbol" w:hAnsi="Symbol" w:hint="default"/>
      </w:rPr>
    </w:lvl>
    <w:lvl w:ilvl="4" w:tplc="FFFFFFFF" w:tentative="1">
      <w:start w:val="1"/>
      <w:numFmt w:val="bullet"/>
      <w:lvlText w:val="o"/>
      <w:lvlJc w:val="left"/>
      <w:pPr>
        <w:ind w:left="4277" w:hanging="360"/>
      </w:pPr>
      <w:rPr>
        <w:rFonts w:ascii="Courier New" w:hAnsi="Courier New" w:cs="Courier New" w:hint="default"/>
      </w:rPr>
    </w:lvl>
    <w:lvl w:ilvl="5" w:tplc="FFFFFFFF" w:tentative="1">
      <w:start w:val="1"/>
      <w:numFmt w:val="bullet"/>
      <w:lvlText w:val=""/>
      <w:lvlJc w:val="left"/>
      <w:pPr>
        <w:ind w:left="4997" w:hanging="360"/>
      </w:pPr>
      <w:rPr>
        <w:rFonts w:ascii="Wingdings" w:hAnsi="Wingdings" w:hint="default"/>
      </w:rPr>
    </w:lvl>
    <w:lvl w:ilvl="6" w:tplc="FFFFFFFF" w:tentative="1">
      <w:start w:val="1"/>
      <w:numFmt w:val="bullet"/>
      <w:lvlText w:val=""/>
      <w:lvlJc w:val="left"/>
      <w:pPr>
        <w:ind w:left="5717" w:hanging="360"/>
      </w:pPr>
      <w:rPr>
        <w:rFonts w:ascii="Symbol" w:hAnsi="Symbol" w:hint="default"/>
      </w:rPr>
    </w:lvl>
    <w:lvl w:ilvl="7" w:tplc="FFFFFFFF" w:tentative="1">
      <w:start w:val="1"/>
      <w:numFmt w:val="bullet"/>
      <w:lvlText w:val="o"/>
      <w:lvlJc w:val="left"/>
      <w:pPr>
        <w:ind w:left="6437" w:hanging="360"/>
      </w:pPr>
      <w:rPr>
        <w:rFonts w:ascii="Courier New" w:hAnsi="Courier New" w:cs="Courier New" w:hint="default"/>
      </w:rPr>
    </w:lvl>
    <w:lvl w:ilvl="8" w:tplc="FFFFFFFF" w:tentative="1">
      <w:start w:val="1"/>
      <w:numFmt w:val="bullet"/>
      <w:lvlText w:val=""/>
      <w:lvlJc w:val="left"/>
      <w:pPr>
        <w:ind w:left="7157" w:hanging="360"/>
      </w:pPr>
      <w:rPr>
        <w:rFonts w:ascii="Wingdings" w:hAnsi="Wingdings" w:hint="default"/>
      </w:rPr>
    </w:lvl>
  </w:abstractNum>
  <w:abstractNum w:abstractNumId="2" w15:restartNumberingAfterBreak="0">
    <w:nsid w:val="241B5119"/>
    <w:multiLevelType w:val="hybridMultilevel"/>
    <w:tmpl w:val="F0A6D86E"/>
    <w:lvl w:ilvl="0" w:tplc="6D921AD4">
      <w:start w:val="5"/>
      <w:numFmt w:val="bullet"/>
      <w:pStyle w:val="StyleBullet1"/>
      <w:lvlText w:val=""/>
      <w:lvlJc w:val="left"/>
      <w:pPr>
        <w:tabs>
          <w:tab w:val="num" w:pos="454"/>
        </w:tabs>
        <w:ind w:left="454" w:hanging="256"/>
      </w:pPr>
      <w:rPr>
        <w:rFonts w:ascii="Symbol" w:hAnsi="Symbol" w:cs="Elephant" w:hint="default"/>
        <w:b w:val="0"/>
        <w:i w:val="0"/>
        <w:color w:val="333333"/>
        <w:sz w:val="21"/>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CE186B"/>
    <w:multiLevelType w:val="hybridMultilevel"/>
    <w:tmpl w:val="3F2E466E"/>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F63E7"/>
    <w:multiLevelType w:val="hybridMultilevel"/>
    <w:tmpl w:val="E5185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081FB0"/>
    <w:multiLevelType w:val="multilevel"/>
    <w:tmpl w:val="DD34BFC4"/>
    <w:styleLink w:val="PharmeritBullet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66" w:hanging="360"/>
      </w:pPr>
      <w:rPr>
        <w:rFonts w:asciiTheme="minorHAnsi" w:hAnsiTheme="minorHAnsi" w:hint="default"/>
        <w:color w:val="auto"/>
      </w:rPr>
    </w:lvl>
    <w:lvl w:ilvl="2">
      <w:start w:val="1"/>
      <w:numFmt w:val="bullet"/>
      <w:lvlText w:val=""/>
      <w:lvlJc w:val="left"/>
      <w:pPr>
        <w:ind w:left="1772" w:hanging="360"/>
      </w:pPr>
      <w:rPr>
        <w:rFonts w:ascii="Wingdings" w:hAnsi="Wingdings" w:hint="default"/>
        <w:color w:val="auto"/>
      </w:rPr>
    </w:lvl>
    <w:lvl w:ilvl="3">
      <w:start w:val="1"/>
      <w:numFmt w:val="bullet"/>
      <w:lvlText w:val=""/>
      <w:lvlJc w:val="left"/>
      <w:pPr>
        <w:ind w:left="2478" w:hanging="360"/>
      </w:pPr>
      <w:rPr>
        <w:rFonts w:ascii="Wingdings" w:hAnsi="Wingdings" w:hint="default"/>
        <w:color w:val="auto"/>
      </w:rPr>
    </w:lvl>
    <w:lvl w:ilvl="4">
      <w:start w:val="1"/>
      <w:numFmt w:val="bullet"/>
      <w:lvlText w:val="o"/>
      <w:lvlJc w:val="left"/>
      <w:pPr>
        <w:ind w:left="3184" w:hanging="360"/>
      </w:pPr>
      <w:rPr>
        <w:rFonts w:ascii="Courier New" w:hAnsi="Courier New" w:cs="Courier New" w:hint="default"/>
        <w:color w:val="auto"/>
      </w:rPr>
    </w:lvl>
    <w:lvl w:ilvl="5">
      <w:start w:val="1"/>
      <w:numFmt w:val="bullet"/>
      <w:lvlText w:val=""/>
      <w:lvlJc w:val="left"/>
      <w:pPr>
        <w:ind w:left="3890" w:hanging="360"/>
      </w:pPr>
      <w:rPr>
        <w:rFonts w:ascii="Wingdings" w:hAnsi="Wingdings" w:hint="default"/>
        <w:color w:val="auto"/>
      </w:rPr>
    </w:lvl>
    <w:lvl w:ilvl="6">
      <w:start w:val="1"/>
      <w:numFmt w:val="bullet"/>
      <w:lvlText w:val=""/>
      <w:lvlJc w:val="left"/>
      <w:pPr>
        <w:ind w:left="4596" w:hanging="360"/>
      </w:pPr>
      <w:rPr>
        <w:rFonts w:ascii="Symbol" w:hAnsi="Symbol" w:hint="default"/>
        <w:color w:val="auto"/>
      </w:rPr>
    </w:lvl>
    <w:lvl w:ilvl="7">
      <w:start w:val="1"/>
      <w:numFmt w:val="bullet"/>
      <w:lvlText w:val="o"/>
      <w:lvlJc w:val="left"/>
      <w:pPr>
        <w:ind w:left="5302" w:hanging="360"/>
      </w:pPr>
      <w:rPr>
        <w:rFonts w:ascii="Courier New" w:hAnsi="Courier New" w:cs="Courier New" w:hint="default"/>
        <w:color w:val="auto"/>
      </w:rPr>
    </w:lvl>
    <w:lvl w:ilvl="8">
      <w:start w:val="1"/>
      <w:numFmt w:val="bullet"/>
      <w:lvlText w:val=""/>
      <w:lvlJc w:val="left"/>
      <w:pPr>
        <w:ind w:left="6008" w:hanging="360"/>
      </w:pPr>
      <w:rPr>
        <w:rFonts w:ascii="Wingdings" w:hAnsi="Wingdings" w:hint="default"/>
        <w:color w:val="auto"/>
      </w:rPr>
    </w:lvl>
  </w:abstractNum>
  <w:abstractNum w:abstractNumId="9" w15:restartNumberingAfterBreak="0">
    <w:nsid w:val="5A0B122E"/>
    <w:multiLevelType w:val="hybridMultilevel"/>
    <w:tmpl w:val="C6B815D8"/>
    <w:lvl w:ilvl="0" w:tplc="0C090001">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20733DA"/>
    <w:multiLevelType w:val="hybridMultilevel"/>
    <w:tmpl w:val="3C362BF2"/>
    <w:lvl w:ilvl="0" w:tplc="0C090003">
      <w:start w:val="1"/>
      <w:numFmt w:val="bullet"/>
      <w:lvlText w:val="o"/>
      <w:lvlJc w:val="left"/>
      <w:pPr>
        <w:ind w:left="1397" w:hanging="360"/>
      </w:pPr>
      <w:rPr>
        <w:rFonts w:ascii="Courier New" w:hAnsi="Courier New" w:cs="Courier New" w:hint="default"/>
      </w:rPr>
    </w:lvl>
    <w:lvl w:ilvl="1" w:tplc="FFFFFFFF">
      <w:start w:val="1"/>
      <w:numFmt w:val="bullet"/>
      <w:lvlText w:val="o"/>
      <w:lvlJc w:val="left"/>
      <w:pPr>
        <w:ind w:left="2401" w:hanging="360"/>
      </w:pPr>
      <w:rPr>
        <w:rFonts w:ascii="Courier New" w:hAnsi="Courier New" w:cs="Courier New" w:hint="default"/>
      </w:rPr>
    </w:lvl>
    <w:lvl w:ilvl="2" w:tplc="FFFFFFFF" w:tentative="1">
      <w:start w:val="1"/>
      <w:numFmt w:val="bullet"/>
      <w:lvlText w:val=""/>
      <w:lvlJc w:val="left"/>
      <w:pPr>
        <w:ind w:left="3121" w:hanging="360"/>
      </w:pPr>
      <w:rPr>
        <w:rFonts w:ascii="Wingdings" w:hAnsi="Wingdings" w:hint="default"/>
      </w:rPr>
    </w:lvl>
    <w:lvl w:ilvl="3" w:tplc="FFFFFFFF" w:tentative="1">
      <w:start w:val="1"/>
      <w:numFmt w:val="bullet"/>
      <w:lvlText w:val=""/>
      <w:lvlJc w:val="left"/>
      <w:pPr>
        <w:ind w:left="3841" w:hanging="360"/>
      </w:pPr>
      <w:rPr>
        <w:rFonts w:ascii="Symbol" w:hAnsi="Symbol" w:hint="default"/>
      </w:rPr>
    </w:lvl>
    <w:lvl w:ilvl="4" w:tplc="FFFFFFFF" w:tentative="1">
      <w:start w:val="1"/>
      <w:numFmt w:val="bullet"/>
      <w:lvlText w:val="o"/>
      <w:lvlJc w:val="left"/>
      <w:pPr>
        <w:ind w:left="4561" w:hanging="360"/>
      </w:pPr>
      <w:rPr>
        <w:rFonts w:ascii="Courier New" w:hAnsi="Courier New" w:cs="Courier New" w:hint="default"/>
      </w:rPr>
    </w:lvl>
    <w:lvl w:ilvl="5" w:tplc="FFFFFFFF" w:tentative="1">
      <w:start w:val="1"/>
      <w:numFmt w:val="bullet"/>
      <w:lvlText w:val=""/>
      <w:lvlJc w:val="left"/>
      <w:pPr>
        <w:ind w:left="5281" w:hanging="360"/>
      </w:pPr>
      <w:rPr>
        <w:rFonts w:ascii="Wingdings" w:hAnsi="Wingdings" w:hint="default"/>
      </w:rPr>
    </w:lvl>
    <w:lvl w:ilvl="6" w:tplc="FFFFFFFF" w:tentative="1">
      <w:start w:val="1"/>
      <w:numFmt w:val="bullet"/>
      <w:lvlText w:val=""/>
      <w:lvlJc w:val="left"/>
      <w:pPr>
        <w:ind w:left="6001" w:hanging="360"/>
      </w:pPr>
      <w:rPr>
        <w:rFonts w:ascii="Symbol" w:hAnsi="Symbol" w:hint="default"/>
      </w:rPr>
    </w:lvl>
    <w:lvl w:ilvl="7" w:tplc="FFFFFFFF" w:tentative="1">
      <w:start w:val="1"/>
      <w:numFmt w:val="bullet"/>
      <w:lvlText w:val="o"/>
      <w:lvlJc w:val="left"/>
      <w:pPr>
        <w:ind w:left="6721" w:hanging="360"/>
      </w:pPr>
      <w:rPr>
        <w:rFonts w:ascii="Courier New" w:hAnsi="Courier New" w:cs="Courier New" w:hint="default"/>
      </w:rPr>
    </w:lvl>
    <w:lvl w:ilvl="8" w:tplc="FFFFFFFF" w:tentative="1">
      <w:start w:val="1"/>
      <w:numFmt w:val="bullet"/>
      <w:lvlText w:val=""/>
      <w:lvlJc w:val="left"/>
      <w:pPr>
        <w:ind w:left="7441" w:hanging="360"/>
      </w:pPr>
      <w:rPr>
        <w:rFonts w:ascii="Wingdings" w:hAnsi="Wingdings" w:hint="default"/>
      </w:rPr>
    </w:lvl>
  </w:abstractNum>
  <w:abstractNum w:abstractNumId="12" w15:restartNumberingAfterBreak="0">
    <w:nsid w:val="784D033C"/>
    <w:multiLevelType w:val="multilevel"/>
    <w:tmpl w:val="9D9019E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8108525">
    <w:abstractNumId w:val="12"/>
  </w:num>
  <w:num w:numId="2" w16cid:durableId="670763494">
    <w:abstractNumId w:val="5"/>
  </w:num>
  <w:num w:numId="3" w16cid:durableId="1979721477">
    <w:abstractNumId w:val="6"/>
  </w:num>
  <w:num w:numId="4" w16cid:durableId="1139418687">
    <w:abstractNumId w:val="0"/>
  </w:num>
  <w:num w:numId="5" w16cid:durableId="1558739597">
    <w:abstractNumId w:val="12"/>
  </w:num>
  <w:num w:numId="6" w16cid:durableId="213583428">
    <w:abstractNumId w:val="4"/>
  </w:num>
  <w:num w:numId="7" w16cid:durableId="1032264393">
    <w:abstractNumId w:val="10"/>
  </w:num>
  <w:num w:numId="8" w16cid:durableId="1937210470">
    <w:abstractNumId w:val="9"/>
  </w:num>
  <w:num w:numId="9" w16cid:durableId="1096824346">
    <w:abstractNumId w:val="2"/>
  </w:num>
  <w:num w:numId="10" w16cid:durableId="2105375520">
    <w:abstractNumId w:val="8"/>
  </w:num>
  <w:num w:numId="11" w16cid:durableId="514006108">
    <w:abstractNumId w:val="7"/>
  </w:num>
  <w:num w:numId="12" w16cid:durableId="679552843">
    <w:abstractNumId w:val="11"/>
  </w:num>
  <w:num w:numId="13" w16cid:durableId="513035595">
    <w:abstractNumId w:val="1"/>
  </w:num>
  <w:num w:numId="14" w16cid:durableId="60909489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r-FR" w:vendorID="64" w:dllVersion="6" w:nlCheck="1" w:checkStyle="0"/>
  <w:activeWritingStyle w:appName="MSWord" w:lang="en-AU"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392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15F"/>
    <w:rsid w:val="0000050B"/>
    <w:rsid w:val="00000790"/>
    <w:rsid w:val="0000110B"/>
    <w:rsid w:val="00001505"/>
    <w:rsid w:val="00003499"/>
    <w:rsid w:val="000037C2"/>
    <w:rsid w:val="000039B7"/>
    <w:rsid w:val="000056B9"/>
    <w:rsid w:val="0000639A"/>
    <w:rsid w:val="00011CCD"/>
    <w:rsid w:val="00013247"/>
    <w:rsid w:val="00015886"/>
    <w:rsid w:val="00015FD3"/>
    <w:rsid w:val="000162EF"/>
    <w:rsid w:val="00020566"/>
    <w:rsid w:val="000207C9"/>
    <w:rsid w:val="0002131F"/>
    <w:rsid w:val="0002225F"/>
    <w:rsid w:val="00023763"/>
    <w:rsid w:val="000243B1"/>
    <w:rsid w:val="00024EB5"/>
    <w:rsid w:val="00026124"/>
    <w:rsid w:val="00026345"/>
    <w:rsid w:val="00026BA0"/>
    <w:rsid w:val="000274B8"/>
    <w:rsid w:val="000278EC"/>
    <w:rsid w:val="00031932"/>
    <w:rsid w:val="00033863"/>
    <w:rsid w:val="00034A06"/>
    <w:rsid w:val="00035DC0"/>
    <w:rsid w:val="000363D2"/>
    <w:rsid w:val="00036829"/>
    <w:rsid w:val="00040895"/>
    <w:rsid w:val="000410A0"/>
    <w:rsid w:val="000435EE"/>
    <w:rsid w:val="00043C37"/>
    <w:rsid w:val="00045017"/>
    <w:rsid w:val="000458FC"/>
    <w:rsid w:val="00045A2B"/>
    <w:rsid w:val="00046537"/>
    <w:rsid w:val="0004698F"/>
    <w:rsid w:val="00046D64"/>
    <w:rsid w:val="000508C2"/>
    <w:rsid w:val="0005097F"/>
    <w:rsid w:val="00050E16"/>
    <w:rsid w:val="00051808"/>
    <w:rsid w:val="000539D0"/>
    <w:rsid w:val="00054621"/>
    <w:rsid w:val="000546D7"/>
    <w:rsid w:val="00054A8D"/>
    <w:rsid w:val="00054C0B"/>
    <w:rsid w:val="0005588D"/>
    <w:rsid w:val="000565D0"/>
    <w:rsid w:val="00056ECF"/>
    <w:rsid w:val="000604DF"/>
    <w:rsid w:val="00060A21"/>
    <w:rsid w:val="000632A2"/>
    <w:rsid w:val="00064C7B"/>
    <w:rsid w:val="000653B5"/>
    <w:rsid w:val="00066360"/>
    <w:rsid w:val="00066AF8"/>
    <w:rsid w:val="00070B10"/>
    <w:rsid w:val="00071248"/>
    <w:rsid w:val="00071D2E"/>
    <w:rsid w:val="000720B9"/>
    <w:rsid w:val="0007347A"/>
    <w:rsid w:val="000737F7"/>
    <w:rsid w:val="00074B58"/>
    <w:rsid w:val="00074D5B"/>
    <w:rsid w:val="00075BF4"/>
    <w:rsid w:val="00075C21"/>
    <w:rsid w:val="0007672F"/>
    <w:rsid w:val="00076977"/>
    <w:rsid w:val="00076B54"/>
    <w:rsid w:val="000774F0"/>
    <w:rsid w:val="00080909"/>
    <w:rsid w:val="000812CA"/>
    <w:rsid w:val="00081E63"/>
    <w:rsid w:val="00081E64"/>
    <w:rsid w:val="0008258D"/>
    <w:rsid w:val="00082A98"/>
    <w:rsid w:val="000834D6"/>
    <w:rsid w:val="00083E99"/>
    <w:rsid w:val="00084FA8"/>
    <w:rsid w:val="000856C5"/>
    <w:rsid w:val="00085C31"/>
    <w:rsid w:val="0008735E"/>
    <w:rsid w:val="000902D9"/>
    <w:rsid w:val="00090C7E"/>
    <w:rsid w:val="000911AC"/>
    <w:rsid w:val="0009122B"/>
    <w:rsid w:val="00092266"/>
    <w:rsid w:val="00092600"/>
    <w:rsid w:val="0009262B"/>
    <w:rsid w:val="00093310"/>
    <w:rsid w:val="00093E39"/>
    <w:rsid w:val="000943C2"/>
    <w:rsid w:val="0009445C"/>
    <w:rsid w:val="00095200"/>
    <w:rsid w:val="0009558B"/>
    <w:rsid w:val="000957D6"/>
    <w:rsid w:val="00095A6D"/>
    <w:rsid w:val="00095BBB"/>
    <w:rsid w:val="00095FE5"/>
    <w:rsid w:val="00096284"/>
    <w:rsid w:val="000978E2"/>
    <w:rsid w:val="000A1BC0"/>
    <w:rsid w:val="000A2F9E"/>
    <w:rsid w:val="000A3E47"/>
    <w:rsid w:val="000A4A48"/>
    <w:rsid w:val="000A522B"/>
    <w:rsid w:val="000A528D"/>
    <w:rsid w:val="000A6039"/>
    <w:rsid w:val="000A627D"/>
    <w:rsid w:val="000A63AE"/>
    <w:rsid w:val="000A6EE9"/>
    <w:rsid w:val="000A7453"/>
    <w:rsid w:val="000A7D08"/>
    <w:rsid w:val="000B0121"/>
    <w:rsid w:val="000B0670"/>
    <w:rsid w:val="000B0E53"/>
    <w:rsid w:val="000B0E75"/>
    <w:rsid w:val="000B2DCB"/>
    <w:rsid w:val="000B3C57"/>
    <w:rsid w:val="000B484F"/>
    <w:rsid w:val="000B4875"/>
    <w:rsid w:val="000B4D2D"/>
    <w:rsid w:val="000B5CE0"/>
    <w:rsid w:val="000B6CAC"/>
    <w:rsid w:val="000B7612"/>
    <w:rsid w:val="000B78AE"/>
    <w:rsid w:val="000C0F6A"/>
    <w:rsid w:val="000C20F3"/>
    <w:rsid w:val="000C2F84"/>
    <w:rsid w:val="000C3DF9"/>
    <w:rsid w:val="000C4CF2"/>
    <w:rsid w:val="000C55F7"/>
    <w:rsid w:val="000C5762"/>
    <w:rsid w:val="000C5E89"/>
    <w:rsid w:val="000C6713"/>
    <w:rsid w:val="000C7243"/>
    <w:rsid w:val="000D1348"/>
    <w:rsid w:val="000D1BFC"/>
    <w:rsid w:val="000D1D5D"/>
    <w:rsid w:val="000D1E7E"/>
    <w:rsid w:val="000D2581"/>
    <w:rsid w:val="000D281A"/>
    <w:rsid w:val="000D2848"/>
    <w:rsid w:val="000D326A"/>
    <w:rsid w:val="000D43D8"/>
    <w:rsid w:val="000D51FB"/>
    <w:rsid w:val="000D5AAE"/>
    <w:rsid w:val="000E02B1"/>
    <w:rsid w:val="000E0640"/>
    <w:rsid w:val="000E135D"/>
    <w:rsid w:val="000E36E5"/>
    <w:rsid w:val="000E4F97"/>
    <w:rsid w:val="000E5C75"/>
    <w:rsid w:val="000E645A"/>
    <w:rsid w:val="000E6D01"/>
    <w:rsid w:val="000F0003"/>
    <w:rsid w:val="000F00BA"/>
    <w:rsid w:val="000F0995"/>
    <w:rsid w:val="000F1FAA"/>
    <w:rsid w:val="000F2CC1"/>
    <w:rsid w:val="000F316A"/>
    <w:rsid w:val="000F365E"/>
    <w:rsid w:val="000F3C74"/>
    <w:rsid w:val="000F4BB8"/>
    <w:rsid w:val="000F4FA9"/>
    <w:rsid w:val="000F53FB"/>
    <w:rsid w:val="000F68BB"/>
    <w:rsid w:val="000F7127"/>
    <w:rsid w:val="000F7B54"/>
    <w:rsid w:val="001000B3"/>
    <w:rsid w:val="0010022E"/>
    <w:rsid w:val="00100268"/>
    <w:rsid w:val="00100F8A"/>
    <w:rsid w:val="00101C6C"/>
    <w:rsid w:val="00101D5B"/>
    <w:rsid w:val="0010452E"/>
    <w:rsid w:val="0010502F"/>
    <w:rsid w:val="00105AE2"/>
    <w:rsid w:val="001060C6"/>
    <w:rsid w:val="00106B80"/>
    <w:rsid w:val="0011032E"/>
    <w:rsid w:val="00111720"/>
    <w:rsid w:val="0011348B"/>
    <w:rsid w:val="00115982"/>
    <w:rsid w:val="00116C53"/>
    <w:rsid w:val="00121288"/>
    <w:rsid w:val="001216C8"/>
    <w:rsid w:val="00121799"/>
    <w:rsid w:val="001222FC"/>
    <w:rsid w:val="00123902"/>
    <w:rsid w:val="00123E66"/>
    <w:rsid w:val="00124A51"/>
    <w:rsid w:val="00125005"/>
    <w:rsid w:val="00126621"/>
    <w:rsid w:val="00126B1D"/>
    <w:rsid w:val="001271BE"/>
    <w:rsid w:val="0012744B"/>
    <w:rsid w:val="00127650"/>
    <w:rsid w:val="001301E9"/>
    <w:rsid w:val="001305DF"/>
    <w:rsid w:val="00131D82"/>
    <w:rsid w:val="00132AEC"/>
    <w:rsid w:val="00132B22"/>
    <w:rsid w:val="00133D36"/>
    <w:rsid w:val="00135916"/>
    <w:rsid w:val="00136283"/>
    <w:rsid w:val="00136A6D"/>
    <w:rsid w:val="00136CA8"/>
    <w:rsid w:val="00137645"/>
    <w:rsid w:val="0014015A"/>
    <w:rsid w:val="00140D3D"/>
    <w:rsid w:val="00140E99"/>
    <w:rsid w:val="00143F67"/>
    <w:rsid w:val="00145234"/>
    <w:rsid w:val="001452BF"/>
    <w:rsid w:val="00145540"/>
    <w:rsid w:val="001456B0"/>
    <w:rsid w:val="00150A6A"/>
    <w:rsid w:val="0015111C"/>
    <w:rsid w:val="001527EE"/>
    <w:rsid w:val="0015313A"/>
    <w:rsid w:val="0015410E"/>
    <w:rsid w:val="001547AB"/>
    <w:rsid w:val="00154816"/>
    <w:rsid w:val="0015494A"/>
    <w:rsid w:val="00154EE9"/>
    <w:rsid w:val="00155CBA"/>
    <w:rsid w:val="00155D5C"/>
    <w:rsid w:val="00156A01"/>
    <w:rsid w:val="00156F8F"/>
    <w:rsid w:val="00157130"/>
    <w:rsid w:val="001576B1"/>
    <w:rsid w:val="0016047B"/>
    <w:rsid w:val="00160A4C"/>
    <w:rsid w:val="00162913"/>
    <w:rsid w:val="00163EFF"/>
    <w:rsid w:val="00163F66"/>
    <w:rsid w:val="0016478E"/>
    <w:rsid w:val="00165EC4"/>
    <w:rsid w:val="001661FB"/>
    <w:rsid w:val="001671A0"/>
    <w:rsid w:val="001671EB"/>
    <w:rsid w:val="0016767F"/>
    <w:rsid w:val="00171383"/>
    <w:rsid w:val="001725A4"/>
    <w:rsid w:val="00173565"/>
    <w:rsid w:val="00173B07"/>
    <w:rsid w:val="00173CD1"/>
    <w:rsid w:val="001751FA"/>
    <w:rsid w:val="00180252"/>
    <w:rsid w:val="00180818"/>
    <w:rsid w:val="00181C10"/>
    <w:rsid w:val="00181D9C"/>
    <w:rsid w:val="00182495"/>
    <w:rsid w:val="001837FF"/>
    <w:rsid w:val="00184B0E"/>
    <w:rsid w:val="0018752F"/>
    <w:rsid w:val="00191C83"/>
    <w:rsid w:val="00192BEF"/>
    <w:rsid w:val="00193838"/>
    <w:rsid w:val="00194089"/>
    <w:rsid w:val="001947E5"/>
    <w:rsid w:val="00194A6D"/>
    <w:rsid w:val="00194AD8"/>
    <w:rsid w:val="00194F54"/>
    <w:rsid w:val="00195222"/>
    <w:rsid w:val="00195452"/>
    <w:rsid w:val="00196815"/>
    <w:rsid w:val="001975D8"/>
    <w:rsid w:val="00197EAD"/>
    <w:rsid w:val="001A178E"/>
    <w:rsid w:val="001A43FA"/>
    <w:rsid w:val="001A47C5"/>
    <w:rsid w:val="001A5273"/>
    <w:rsid w:val="001A59FB"/>
    <w:rsid w:val="001A5E9E"/>
    <w:rsid w:val="001A6354"/>
    <w:rsid w:val="001A6366"/>
    <w:rsid w:val="001A7AE8"/>
    <w:rsid w:val="001B091D"/>
    <w:rsid w:val="001B0E7F"/>
    <w:rsid w:val="001B11D1"/>
    <w:rsid w:val="001B1C0C"/>
    <w:rsid w:val="001B204E"/>
    <w:rsid w:val="001B2372"/>
    <w:rsid w:val="001B3443"/>
    <w:rsid w:val="001B3AEB"/>
    <w:rsid w:val="001B4D20"/>
    <w:rsid w:val="001B7F84"/>
    <w:rsid w:val="001C005C"/>
    <w:rsid w:val="001C16F4"/>
    <w:rsid w:val="001C1E3E"/>
    <w:rsid w:val="001C2A9B"/>
    <w:rsid w:val="001C3231"/>
    <w:rsid w:val="001C3DD6"/>
    <w:rsid w:val="001C4299"/>
    <w:rsid w:val="001C4874"/>
    <w:rsid w:val="001C50B3"/>
    <w:rsid w:val="001C5F94"/>
    <w:rsid w:val="001C6E66"/>
    <w:rsid w:val="001C7405"/>
    <w:rsid w:val="001D1100"/>
    <w:rsid w:val="001D1391"/>
    <w:rsid w:val="001D1AC4"/>
    <w:rsid w:val="001D25D7"/>
    <w:rsid w:val="001D50B2"/>
    <w:rsid w:val="001D5C2D"/>
    <w:rsid w:val="001D6CE7"/>
    <w:rsid w:val="001D71F4"/>
    <w:rsid w:val="001D73A0"/>
    <w:rsid w:val="001D752B"/>
    <w:rsid w:val="001D7645"/>
    <w:rsid w:val="001E1E86"/>
    <w:rsid w:val="001E238E"/>
    <w:rsid w:val="001E2483"/>
    <w:rsid w:val="001E2B1E"/>
    <w:rsid w:val="001E2CFF"/>
    <w:rsid w:val="001E2F24"/>
    <w:rsid w:val="001E30D4"/>
    <w:rsid w:val="001E34DF"/>
    <w:rsid w:val="001E52EB"/>
    <w:rsid w:val="001E5D05"/>
    <w:rsid w:val="001E61D2"/>
    <w:rsid w:val="001E66E8"/>
    <w:rsid w:val="001E740C"/>
    <w:rsid w:val="001F1235"/>
    <w:rsid w:val="001F1CB3"/>
    <w:rsid w:val="001F3378"/>
    <w:rsid w:val="001F3800"/>
    <w:rsid w:val="001F38B5"/>
    <w:rsid w:val="001F4081"/>
    <w:rsid w:val="001F6696"/>
    <w:rsid w:val="001F68CF"/>
    <w:rsid w:val="001F7361"/>
    <w:rsid w:val="002011B0"/>
    <w:rsid w:val="00203181"/>
    <w:rsid w:val="00203783"/>
    <w:rsid w:val="0020385F"/>
    <w:rsid w:val="00205BA2"/>
    <w:rsid w:val="002068A0"/>
    <w:rsid w:val="00207021"/>
    <w:rsid w:val="0020732F"/>
    <w:rsid w:val="00207D00"/>
    <w:rsid w:val="002105C1"/>
    <w:rsid w:val="002106C0"/>
    <w:rsid w:val="002116FD"/>
    <w:rsid w:val="002128BC"/>
    <w:rsid w:val="00213A90"/>
    <w:rsid w:val="00213EF5"/>
    <w:rsid w:val="002149A7"/>
    <w:rsid w:val="0021508E"/>
    <w:rsid w:val="00215716"/>
    <w:rsid w:val="00216BF5"/>
    <w:rsid w:val="00217766"/>
    <w:rsid w:val="00217D38"/>
    <w:rsid w:val="00221FFA"/>
    <w:rsid w:val="00223657"/>
    <w:rsid w:val="00223B49"/>
    <w:rsid w:val="00223D5A"/>
    <w:rsid w:val="00224DD4"/>
    <w:rsid w:val="002260BB"/>
    <w:rsid w:val="002278A0"/>
    <w:rsid w:val="00227D8F"/>
    <w:rsid w:val="002309CC"/>
    <w:rsid w:val="00231BA9"/>
    <w:rsid w:val="0023209F"/>
    <w:rsid w:val="00233C01"/>
    <w:rsid w:val="0023413C"/>
    <w:rsid w:val="002346F0"/>
    <w:rsid w:val="00235661"/>
    <w:rsid w:val="0023629D"/>
    <w:rsid w:val="00237255"/>
    <w:rsid w:val="002379FC"/>
    <w:rsid w:val="00237C19"/>
    <w:rsid w:val="00240407"/>
    <w:rsid w:val="002424AF"/>
    <w:rsid w:val="002439DC"/>
    <w:rsid w:val="002441D2"/>
    <w:rsid w:val="00244CC2"/>
    <w:rsid w:val="00244DC8"/>
    <w:rsid w:val="00244FA7"/>
    <w:rsid w:val="002458BA"/>
    <w:rsid w:val="00245CE9"/>
    <w:rsid w:val="00245FE3"/>
    <w:rsid w:val="0024636C"/>
    <w:rsid w:val="00247574"/>
    <w:rsid w:val="002476A8"/>
    <w:rsid w:val="00247925"/>
    <w:rsid w:val="00247CAB"/>
    <w:rsid w:val="00251006"/>
    <w:rsid w:val="002524D5"/>
    <w:rsid w:val="00253B1D"/>
    <w:rsid w:val="00254589"/>
    <w:rsid w:val="00254DCF"/>
    <w:rsid w:val="00254E65"/>
    <w:rsid w:val="0025534B"/>
    <w:rsid w:val="00255BB7"/>
    <w:rsid w:val="00256C99"/>
    <w:rsid w:val="00257541"/>
    <w:rsid w:val="00257A39"/>
    <w:rsid w:val="00257AC4"/>
    <w:rsid w:val="00257BBE"/>
    <w:rsid w:val="00261EEF"/>
    <w:rsid w:val="00262A1A"/>
    <w:rsid w:val="00262A87"/>
    <w:rsid w:val="0026304D"/>
    <w:rsid w:val="00264D26"/>
    <w:rsid w:val="00265B6F"/>
    <w:rsid w:val="00266D5F"/>
    <w:rsid w:val="00267642"/>
    <w:rsid w:val="00267957"/>
    <w:rsid w:val="00267AEA"/>
    <w:rsid w:val="002700E6"/>
    <w:rsid w:val="0027294B"/>
    <w:rsid w:val="002729CB"/>
    <w:rsid w:val="0027327F"/>
    <w:rsid w:val="00273EB4"/>
    <w:rsid w:val="00274682"/>
    <w:rsid w:val="00275158"/>
    <w:rsid w:val="00275C5A"/>
    <w:rsid w:val="00281014"/>
    <w:rsid w:val="002822B2"/>
    <w:rsid w:val="00285BCE"/>
    <w:rsid w:val="0028665D"/>
    <w:rsid w:val="0028762B"/>
    <w:rsid w:val="00293E6D"/>
    <w:rsid w:val="00294223"/>
    <w:rsid w:val="002958E0"/>
    <w:rsid w:val="00295CF6"/>
    <w:rsid w:val="002A14AB"/>
    <w:rsid w:val="002A2ADE"/>
    <w:rsid w:val="002A2F50"/>
    <w:rsid w:val="002A3F71"/>
    <w:rsid w:val="002A6D4A"/>
    <w:rsid w:val="002A766C"/>
    <w:rsid w:val="002A7943"/>
    <w:rsid w:val="002A7FF8"/>
    <w:rsid w:val="002B05A1"/>
    <w:rsid w:val="002B0936"/>
    <w:rsid w:val="002B09A4"/>
    <w:rsid w:val="002B10E1"/>
    <w:rsid w:val="002B1C1F"/>
    <w:rsid w:val="002B3A51"/>
    <w:rsid w:val="002B432F"/>
    <w:rsid w:val="002B62B3"/>
    <w:rsid w:val="002B634E"/>
    <w:rsid w:val="002B6754"/>
    <w:rsid w:val="002B6CCE"/>
    <w:rsid w:val="002B749C"/>
    <w:rsid w:val="002C2510"/>
    <w:rsid w:val="002C268B"/>
    <w:rsid w:val="002C2775"/>
    <w:rsid w:val="002C27C1"/>
    <w:rsid w:val="002C2AC7"/>
    <w:rsid w:val="002C36E3"/>
    <w:rsid w:val="002C387C"/>
    <w:rsid w:val="002C508A"/>
    <w:rsid w:val="002C5099"/>
    <w:rsid w:val="002C533D"/>
    <w:rsid w:val="002C5889"/>
    <w:rsid w:val="002C6135"/>
    <w:rsid w:val="002C71CE"/>
    <w:rsid w:val="002D08F8"/>
    <w:rsid w:val="002D4591"/>
    <w:rsid w:val="002D577C"/>
    <w:rsid w:val="002D7832"/>
    <w:rsid w:val="002D7F30"/>
    <w:rsid w:val="002E0837"/>
    <w:rsid w:val="002E1071"/>
    <w:rsid w:val="002E15B9"/>
    <w:rsid w:val="002E2158"/>
    <w:rsid w:val="002E394D"/>
    <w:rsid w:val="002E3A6D"/>
    <w:rsid w:val="002E4F02"/>
    <w:rsid w:val="002E6311"/>
    <w:rsid w:val="002E64C3"/>
    <w:rsid w:val="002E6841"/>
    <w:rsid w:val="002E7722"/>
    <w:rsid w:val="002E7916"/>
    <w:rsid w:val="002E7959"/>
    <w:rsid w:val="002F07BA"/>
    <w:rsid w:val="002F0DA9"/>
    <w:rsid w:val="002F1014"/>
    <w:rsid w:val="002F1840"/>
    <w:rsid w:val="002F1E3B"/>
    <w:rsid w:val="002F5FD2"/>
    <w:rsid w:val="002F643C"/>
    <w:rsid w:val="002F71C0"/>
    <w:rsid w:val="002F74F1"/>
    <w:rsid w:val="00301017"/>
    <w:rsid w:val="0030155F"/>
    <w:rsid w:val="0030303D"/>
    <w:rsid w:val="0030587B"/>
    <w:rsid w:val="00306D98"/>
    <w:rsid w:val="0030786C"/>
    <w:rsid w:val="00307FBE"/>
    <w:rsid w:val="0031031A"/>
    <w:rsid w:val="0031093A"/>
    <w:rsid w:val="00310981"/>
    <w:rsid w:val="00311D9B"/>
    <w:rsid w:val="003124D9"/>
    <w:rsid w:val="00312594"/>
    <w:rsid w:val="0031481C"/>
    <w:rsid w:val="00314B51"/>
    <w:rsid w:val="00314C10"/>
    <w:rsid w:val="00315498"/>
    <w:rsid w:val="00316474"/>
    <w:rsid w:val="00316A05"/>
    <w:rsid w:val="003175C6"/>
    <w:rsid w:val="00317B23"/>
    <w:rsid w:val="003208DE"/>
    <w:rsid w:val="0032193F"/>
    <w:rsid w:val="00322107"/>
    <w:rsid w:val="00322355"/>
    <w:rsid w:val="003224E4"/>
    <w:rsid w:val="00322846"/>
    <w:rsid w:val="00322CFC"/>
    <w:rsid w:val="00323D68"/>
    <w:rsid w:val="00324CE6"/>
    <w:rsid w:val="003254D1"/>
    <w:rsid w:val="00326A92"/>
    <w:rsid w:val="00326DA7"/>
    <w:rsid w:val="003270E4"/>
    <w:rsid w:val="00330DAA"/>
    <w:rsid w:val="00330E2E"/>
    <w:rsid w:val="00330F5C"/>
    <w:rsid w:val="003358C9"/>
    <w:rsid w:val="003366C9"/>
    <w:rsid w:val="003371B0"/>
    <w:rsid w:val="00337641"/>
    <w:rsid w:val="00340DF1"/>
    <w:rsid w:val="00341563"/>
    <w:rsid w:val="0034465C"/>
    <w:rsid w:val="003447EA"/>
    <w:rsid w:val="00344A18"/>
    <w:rsid w:val="00345C04"/>
    <w:rsid w:val="00345CCA"/>
    <w:rsid w:val="003517F9"/>
    <w:rsid w:val="00351BA9"/>
    <w:rsid w:val="00351D28"/>
    <w:rsid w:val="0035353A"/>
    <w:rsid w:val="00354F64"/>
    <w:rsid w:val="0035620E"/>
    <w:rsid w:val="003575BE"/>
    <w:rsid w:val="00360345"/>
    <w:rsid w:val="0036161D"/>
    <w:rsid w:val="00361760"/>
    <w:rsid w:val="00361A05"/>
    <w:rsid w:val="003624C4"/>
    <w:rsid w:val="00363B00"/>
    <w:rsid w:val="003654AC"/>
    <w:rsid w:val="003669A9"/>
    <w:rsid w:val="0037062C"/>
    <w:rsid w:val="00370998"/>
    <w:rsid w:val="00370B42"/>
    <w:rsid w:val="003710CF"/>
    <w:rsid w:val="0037358A"/>
    <w:rsid w:val="003737C5"/>
    <w:rsid w:val="003740F5"/>
    <w:rsid w:val="003750F6"/>
    <w:rsid w:val="0037570E"/>
    <w:rsid w:val="003760FC"/>
    <w:rsid w:val="00376CB5"/>
    <w:rsid w:val="00376E7C"/>
    <w:rsid w:val="00380B0E"/>
    <w:rsid w:val="00381D76"/>
    <w:rsid w:val="0038365C"/>
    <w:rsid w:val="0038369B"/>
    <w:rsid w:val="00383B78"/>
    <w:rsid w:val="00384011"/>
    <w:rsid w:val="003856EF"/>
    <w:rsid w:val="00385A9D"/>
    <w:rsid w:val="00387121"/>
    <w:rsid w:val="003902B1"/>
    <w:rsid w:val="00390A2A"/>
    <w:rsid w:val="0039158E"/>
    <w:rsid w:val="0039179C"/>
    <w:rsid w:val="00395FD4"/>
    <w:rsid w:val="00396896"/>
    <w:rsid w:val="00396FD0"/>
    <w:rsid w:val="00397154"/>
    <w:rsid w:val="0039783A"/>
    <w:rsid w:val="003A0278"/>
    <w:rsid w:val="003A0E55"/>
    <w:rsid w:val="003A1A7A"/>
    <w:rsid w:val="003A224B"/>
    <w:rsid w:val="003A2392"/>
    <w:rsid w:val="003A2831"/>
    <w:rsid w:val="003A3CB6"/>
    <w:rsid w:val="003A3ED1"/>
    <w:rsid w:val="003A44DB"/>
    <w:rsid w:val="003A4A5F"/>
    <w:rsid w:val="003A4C14"/>
    <w:rsid w:val="003A615E"/>
    <w:rsid w:val="003A7229"/>
    <w:rsid w:val="003B2821"/>
    <w:rsid w:val="003B3971"/>
    <w:rsid w:val="003B55D1"/>
    <w:rsid w:val="003B5B61"/>
    <w:rsid w:val="003B649A"/>
    <w:rsid w:val="003B7CCD"/>
    <w:rsid w:val="003C1654"/>
    <w:rsid w:val="003C3D16"/>
    <w:rsid w:val="003C5542"/>
    <w:rsid w:val="003C7857"/>
    <w:rsid w:val="003C7C15"/>
    <w:rsid w:val="003C7D19"/>
    <w:rsid w:val="003C7D2F"/>
    <w:rsid w:val="003D0C5A"/>
    <w:rsid w:val="003D0EDF"/>
    <w:rsid w:val="003D1828"/>
    <w:rsid w:val="003D1D4D"/>
    <w:rsid w:val="003D1DE4"/>
    <w:rsid w:val="003D1E9A"/>
    <w:rsid w:val="003D2422"/>
    <w:rsid w:val="003D39A1"/>
    <w:rsid w:val="003D3FBF"/>
    <w:rsid w:val="003D4A30"/>
    <w:rsid w:val="003D671E"/>
    <w:rsid w:val="003D6A64"/>
    <w:rsid w:val="003D7345"/>
    <w:rsid w:val="003D7452"/>
    <w:rsid w:val="003D79BB"/>
    <w:rsid w:val="003D7C98"/>
    <w:rsid w:val="003D7D9D"/>
    <w:rsid w:val="003E0543"/>
    <w:rsid w:val="003E0BD4"/>
    <w:rsid w:val="003E4C29"/>
    <w:rsid w:val="003E5603"/>
    <w:rsid w:val="003E614F"/>
    <w:rsid w:val="003E749E"/>
    <w:rsid w:val="003E7836"/>
    <w:rsid w:val="003E7EFD"/>
    <w:rsid w:val="003F0AA2"/>
    <w:rsid w:val="003F139B"/>
    <w:rsid w:val="003F20E1"/>
    <w:rsid w:val="003F4156"/>
    <w:rsid w:val="003F5ADF"/>
    <w:rsid w:val="003F6AF0"/>
    <w:rsid w:val="00400B29"/>
    <w:rsid w:val="00400C42"/>
    <w:rsid w:val="00402812"/>
    <w:rsid w:val="0040504B"/>
    <w:rsid w:val="00405470"/>
    <w:rsid w:val="004057B5"/>
    <w:rsid w:val="004059F4"/>
    <w:rsid w:val="00405C11"/>
    <w:rsid w:val="00407FE5"/>
    <w:rsid w:val="004101B0"/>
    <w:rsid w:val="00410326"/>
    <w:rsid w:val="00410708"/>
    <w:rsid w:val="00410E4A"/>
    <w:rsid w:val="00410EC7"/>
    <w:rsid w:val="004119B6"/>
    <w:rsid w:val="00411B39"/>
    <w:rsid w:val="004120C1"/>
    <w:rsid w:val="004127A7"/>
    <w:rsid w:val="00413A1E"/>
    <w:rsid w:val="00413C1E"/>
    <w:rsid w:val="00414476"/>
    <w:rsid w:val="00414C2E"/>
    <w:rsid w:val="004151CF"/>
    <w:rsid w:val="00416364"/>
    <w:rsid w:val="00416D27"/>
    <w:rsid w:val="0042047F"/>
    <w:rsid w:val="00420AA6"/>
    <w:rsid w:val="00420B9F"/>
    <w:rsid w:val="0042192C"/>
    <w:rsid w:val="00422260"/>
    <w:rsid w:val="0042413F"/>
    <w:rsid w:val="004250EE"/>
    <w:rsid w:val="00425239"/>
    <w:rsid w:val="00425BB2"/>
    <w:rsid w:val="004319F8"/>
    <w:rsid w:val="00431E55"/>
    <w:rsid w:val="00431F2E"/>
    <w:rsid w:val="004321F6"/>
    <w:rsid w:val="00433044"/>
    <w:rsid w:val="00434088"/>
    <w:rsid w:val="00435A47"/>
    <w:rsid w:val="00435B84"/>
    <w:rsid w:val="004362F4"/>
    <w:rsid w:val="004375B9"/>
    <w:rsid w:val="00437F04"/>
    <w:rsid w:val="00440413"/>
    <w:rsid w:val="004407E7"/>
    <w:rsid w:val="00441B07"/>
    <w:rsid w:val="004428D0"/>
    <w:rsid w:val="00444185"/>
    <w:rsid w:val="004443A7"/>
    <w:rsid w:val="0044442C"/>
    <w:rsid w:val="00444753"/>
    <w:rsid w:val="00445941"/>
    <w:rsid w:val="004464EB"/>
    <w:rsid w:val="004476C8"/>
    <w:rsid w:val="00447D26"/>
    <w:rsid w:val="00447DFC"/>
    <w:rsid w:val="0045013F"/>
    <w:rsid w:val="00450499"/>
    <w:rsid w:val="00452E29"/>
    <w:rsid w:val="00455D45"/>
    <w:rsid w:val="004568B0"/>
    <w:rsid w:val="0045739C"/>
    <w:rsid w:val="0045752D"/>
    <w:rsid w:val="0046024B"/>
    <w:rsid w:val="004622E6"/>
    <w:rsid w:val="00464595"/>
    <w:rsid w:val="00464F0D"/>
    <w:rsid w:val="004658B5"/>
    <w:rsid w:val="004660AB"/>
    <w:rsid w:val="004669C6"/>
    <w:rsid w:val="0046717A"/>
    <w:rsid w:val="004678D2"/>
    <w:rsid w:val="0047030C"/>
    <w:rsid w:val="004708ED"/>
    <w:rsid w:val="004719B2"/>
    <w:rsid w:val="00471EA5"/>
    <w:rsid w:val="00472A79"/>
    <w:rsid w:val="00473F19"/>
    <w:rsid w:val="00474180"/>
    <w:rsid w:val="00475314"/>
    <w:rsid w:val="00475815"/>
    <w:rsid w:val="00475E22"/>
    <w:rsid w:val="0047734A"/>
    <w:rsid w:val="0048088E"/>
    <w:rsid w:val="00480F2B"/>
    <w:rsid w:val="00481846"/>
    <w:rsid w:val="00482720"/>
    <w:rsid w:val="00483122"/>
    <w:rsid w:val="00483375"/>
    <w:rsid w:val="004835E7"/>
    <w:rsid w:val="004838CD"/>
    <w:rsid w:val="00484CD2"/>
    <w:rsid w:val="004859E1"/>
    <w:rsid w:val="00486398"/>
    <w:rsid w:val="004867E2"/>
    <w:rsid w:val="0048747F"/>
    <w:rsid w:val="0048796C"/>
    <w:rsid w:val="00490B17"/>
    <w:rsid w:val="00490B6E"/>
    <w:rsid w:val="00491B3A"/>
    <w:rsid w:val="00492CFD"/>
    <w:rsid w:val="00492F42"/>
    <w:rsid w:val="00493690"/>
    <w:rsid w:val="00494207"/>
    <w:rsid w:val="00494DD5"/>
    <w:rsid w:val="004962D2"/>
    <w:rsid w:val="004A0DA1"/>
    <w:rsid w:val="004A13D6"/>
    <w:rsid w:val="004A4CE7"/>
    <w:rsid w:val="004A52E9"/>
    <w:rsid w:val="004A5AF3"/>
    <w:rsid w:val="004A5DD5"/>
    <w:rsid w:val="004A6040"/>
    <w:rsid w:val="004A6597"/>
    <w:rsid w:val="004A7848"/>
    <w:rsid w:val="004A793B"/>
    <w:rsid w:val="004B1CA8"/>
    <w:rsid w:val="004B1CB4"/>
    <w:rsid w:val="004B2F18"/>
    <w:rsid w:val="004B3505"/>
    <w:rsid w:val="004B3DDB"/>
    <w:rsid w:val="004B3F15"/>
    <w:rsid w:val="004B44FD"/>
    <w:rsid w:val="004B5CFC"/>
    <w:rsid w:val="004B6F79"/>
    <w:rsid w:val="004B774D"/>
    <w:rsid w:val="004C04BA"/>
    <w:rsid w:val="004C080A"/>
    <w:rsid w:val="004C1FA3"/>
    <w:rsid w:val="004C2AC2"/>
    <w:rsid w:val="004C4AED"/>
    <w:rsid w:val="004C7382"/>
    <w:rsid w:val="004D081D"/>
    <w:rsid w:val="004D1CC5"/>
    <w:rsid w:val="004D1EA7"/>
    <w:rsid w:val="004D2C2D"/>
    <w:rsid w:val="004D32DA"/>
    <w:rsid w:val="004D38ED"/>
    <w:rsid w:val="004D4672"/>
    <w:rsid w:val="004D69B5"/>
    <w:rsid w:val="004D7227"/>
    <w:rsid w:val="004D7B5E"/>
    <w:rsid w:val="004E0E7F"/>
    <w:rsid w:val="004E0EB8"/>
    <w:rsid w:val="004E18E9"/>
    <w:rsid w:val="004E2AB3"/>
    <w:rsid w:val="004E2ADC"/>
    <w:rsid w:val="004E43B2"/>
    <w:rsid w:val="004E58B7"/>
    <w:rsid w:val="004E76E6"/>
    <w:rsid w:val="004F164A"/>
    <w:rsid w:val="004F1D02"/>
    <w:rsid w:val="004F2679"/>
    <w:rsid w:val="004F2F21"/>
    <w:rsid w:val="004F325E"/>
    <w:rsid w:val="004F3DE5"/>
    <w:rsid w:val="004F6913"/>
    <w:rsid w:val="004F73B2"/>
    <w:rsid w:val="004F7865"/>
    <w:rsid w:val="0050174E"/>
    <w:rsid w:val="00501854"/>
    <w:rsid w:val="00501AF5"/>
    <w:rsid w:val="0050219B"/>
    <w:rsid w:val="00503F17"/>
    <w:rsid w:val="00503F3A"/>
    <w:rsid w:val="00506928"/>
    <w:rsid w:val="005077EF"/>
    <w:rsid w:val="00510C04"/>
    <w:rsid w:val="00511AD5"/>
    <w:rsid w:val="00511DC7"/>
    <w:rsid w:val="005131DD"/>
    <w:rsid w:val="005142C5"/>
    <w:rsid w:val="00514A01"/>
    <w:rsid w:val="0051501B"/>
    <w:rsid w:val="005152B5"/>
    <w:rsid w:val="00515886"/>
    <w:rsid w:val="00516A1F"/>
    <w:rsid w:val="00520295"/>
    <w:rsid w:val="0052123C"/>
    <w:rsid w:val="00521319"/>
    <w:rsid w:val="00521840"/>
    <w:rsid w:val="00522BC8"/>
    <w:rsid w:val="00523C28"/>
    <w:rsid w:val="00524394"/>
    <w:rsid w:val="00524B63"/>
    <w:rsid w:val="00527246"/>
    <w:rsid w:val="0053021E"/>
    <w:rsid w:val="0053176B"/>
    <w:rsid w:val="005341B3"/>
    <w:rsid w:val="005341C7"/>
    <w:rsid w:val="00535639"/>
    <w:rsid w:val="00536EA1"/>
    <w:rsid w:val="00536F42"/>
    <w:rsid w:val="00537182"/>
    <w:rsid w:val="005405A4"/>
    <w:rsid w:val="00541772"/>
    <w:rsid w:val="00541EDD"/>
    <w:rsid w:val="00542743"/>
    <w:rsid w:val="0054292E"/>
    <w:rsid w:val="00542C2D"/>
    <w:rsid w:val="00543614"/>
    <w:rsid w:val="00543E28"/>
    <w:rsid w:val="0054569A"/>
    <w:rsid w:val="00546FAF"/>
    <w:rsid w:val="005478BD"/>
    <w:rsid w:val="005479E3"/>
    <w:rsid w:val="00551985"/>
    <w:rsid w:val="00551F6F"/>
    <w:rsid w:val="005526E7"/>
    <w:rsid w:val="00552BD3"/>
    <w:rsid w:val="005532A0"/>
    <w:rsid w:val="00555109"/>
    <w:rsid w:val="00555F49"/>
    <w:rsid w:val="00556B35"/>
    <w:rsid w:val="0055741A"/>
    <w:rsid w:val="005611B7"/>
    <w:rsid w:val="005618D4"/>
    <w:rsid w:val="005622F8"/>
    <w:rsid w:val="00563261"/>
    <w:rsid w:val="005633A1"/>
    <w:rsid w:val="00564867"/>
    <w:rsid w:val="00565C79"/>
    <w:rsid w:val="00565DF0"/>
    <w:rsid w:val="005667AE"/>
    <w:rsid w:val="0056696F"/>
    <w:rsid w:val="005704BB"/>
    <w:rsid w:val="0057063B"/>
    <w:rsid w:val="00572269"/>
    <w:rsid w:val="0057244A"/>
    <w:rsid w:val="00572455"/>
    <w:rsid w:val="00572F26"/>
    <w:rsid w:val="0057310F"/>
    <w:rsid w:val="0057490C"/>
    <w:rsid w:val="005750C5"/>
    <w:rsid w:val="005752DE"/>
    <w:rsid w:val="00575D60"/>
    <w:rsid w:val="00575D8D"/>
    <w:rsid w:val="00576972"/>
    <w:rsid w:val="00577248"/>
    <w:rsid w:val="00577A09"/>
    <w:rsid w:val="00581D8A"/>
    <w:rsid w:val="00583699"/>
    <w:rsid w:val="00585CDD"/>
    <w:rsid w:val="00586E38"/>
    <w:rsid w:val="00587058"/>
    <w:rsid w:val="005871F1"/>
    <w:rsid w:val="005911EF"/>
    <w:rsid w:val="00591957"/>
    <w:rsid w:val="00591D77"/>
    <w:rsid w:val="00592813"/>
    <w:rsid w:val="00592C55"/>
    <w:rsid w:val="005976BA"/>
    <w:rsid w:val="005978A7"/>
    <w:rsid w:val="00597BF9"/>
    <w:rsid w:val="00597F35"/>
    <w:rsid w:val="005A0C11"/>
    <w:rsid w:val="005A1393"/>
    <w:rsid w:val="005A309A"/>
    <w:rsid w:val="005A373D"/>
    <w:rsid w:val="005A6B67"/>
    <w:rsid w:val="005B0B58"/>
    <w:rsid w:val="005B0D6C"/>
    <w:rsid w:val="005B4E53"/>
    <w:rsid w:val="005B56E9"/>
    <w:rsid w:val="005B5857"/>
    <w:rsid w:val="005B59CD"/>
    <w:rsid w:val="005B6B4D"/>
    <w:rsid w:val="005C0844"/>
    <w:rsid w:val="005C16D5"/>
    <w:rsid w:val="005C19C4"/>
    <w:rsid w:val="005C1B83"/>
    <w:rsid w:val="005C1B8B"/>
    <w:rsid w:val="005C25FF"/>
    <w:rsid w:val="005C2D55"/>
    <w:rsid w:val="005C318F"/>
    <w:rsid w:val="005C346B"/>
    <w:rsid w:val="005C4A08"/>
    <w:rsid w:val="005C5ABC"/>
    <w:rsid w:val="005C6170"/>
    <w:rsid w:val="005C7382"/>
    <w:rsid w:val="005D044D"/>
    <w:rsid w:val="005D0ABD"/>
    <w:rsid w:val="005D18AD"/>
    <w:rsid w:val="005D26B4"/>
    <w:rsid w:val="005D2E68"/>
    <w:rsid w:val="005D5C59"/>
    <w:rsid w:val="005D61FB"/>
    <w:rsid w:val="005D7237"/>
    <w:rsid w:val="005D728D"/>
    <w:rsid w:val="005E1995"/>
    <w:rsid w:val="005E1A2C"/>
    <w:rsid w:val="005E3011"/>
    <w:rsid w:val="005E4D34"/>
    <w:rsid w:val="005E62A5"/>
    <w:rsid w:val="005E644C"/>
    <w:rsid w:val="005E6CBC"/>
    <w:rsid w:val="005E6F7E"/>
    <w:rsid w:val="005E72FF"/>
    <w:rsid w:val="005E73C0"/>
    <w:rsid w:val="005F07ED"/>
    <w:rsid w:val="005F0F39"/>
    <w:rsid w:val="005F12BB"/>
    <w:rsid w:val="005F2706"/>
    <w:rsid w:val="005F2BAC"/>
    <w:rsid w:val="005F6A8F"/>
    <w:rsid w:val="005F6BB7"/>
    <w:rsid w:val="005F7588"/>
    <w:rsid w:val="0060089E"/>
    <w:rsid w:val="00603AFC"/>
    <w:rsid w:val="00603DB9"/>
    <w:rsid w:val="00604318"/>
    <w:rsid w:val="00606FBA"/>
    <w:rsid w:val="00607669"/>
    <w:rsid w:val="006076F4"/>
    <w:rsid w:val="00607AFB"/>
    <w:rsid w:val="00607AFD"/>
    <w:rsid w:val="00610500"/>
    <w:rsid w:val="00611B12"/>
    <w:rsid w:val="006125E5"/>
    <w:rsid w:val="00612F97"/>
    <w:rsid w:val="0061345D"/>
    <w:rsid w:val="00614C22"/>
    <w:rsid w:val="0061549B"/>
    <w:rsid w:val="00615696"/>
    <w:rsid w:val="00615B67"/>
    <w:rsid w:val="00616802"/>
    <w:rsid w:val="0061783F"/>
    <w:rsid w:val="00617E12"/>
    <w:rsid w:val="00620C25"/>
    <w:rsid w:val="00621477"/>
    <w:rsid w:val="00621739"/>
    <w:rsid w:val="00621ADA"/>
    <w:rsid w:val="00623D9E"/>
    <w:rsid w:val="00623F7B"/>
    <w:rsid w:val="00624BD4"/>
    <w:rsid w:val="00626712"/>
    <w:rsid w:val="0062726E"/>
    <w:rsid w:val="006277AF"/>
    <w:rsid w:val="00627ABE"/>
    <w:rsid w:val="0063158F"/>
    <w:rsid w:val="00631D6B"/>
    <w:rsid w:val="00632183"/>
    <w:rsid w:val="006330A1"/>
    <w:rsid w:val="0063479F"/>
    <w:rsid w:val="006353F0"/>
    <w:rsid w:val="006357B5"/>
    <w:rsid w:val="006364A1"/>
    <w:rsid w:val="0063678E"/>
    <w:rsid w:val="006375D5"/>
    <w:rsid w:val="00637BFD"/>
    <w:rsid w:val="00637C5C"/>
    <w:rsid w:val="006413DF"/>
    <w:rsid w:val="00641C4E"/>
    <w:rsid w:val="00641FB3"/>
    <w:rsid w:val="00642B4F"/>
    <w:rsid w:val="006434A5"/>
    <w:rsid w:val="00644126"/>
    <w:rsid w:val="0064434C"/>
    <w:rsid w:val="00646E5F"/>
    <w:rsid w:val="00647082"/>
    <w:rsid w:val="006471CC"/>
    <w:rsid w:val="00647258"/>
    <w:rsid w:val="006472FE"/>
    <w:rsid w:val="00647A29"/>
    <w:rsid w:val="0065079F"/>
    <w:rsid w:val="0065096A"/>
    <w:rsid w:val="00652A28"/>
    <w:rsid w:val="0065379F"/>
    <w:rsid w:val="00656188"/>
    <w:rsid w:val="0065715A"/>
    <w:rsid w:val="006605C4"/>
    <w:rsid w:val="006610F1"/>
    <w:rsid w:val="00661C6B"/>
    <w:rsid w:val="00662D3E"/>
    <w:rsid w:val="006642CA"/>
    <w:rsid w:val="00666EA9"/>
    <w:rsid w:val="00667BE3"/>
    <w:rsid w:val="0067022F"/>
    <w:rsid w:val="0067031E"/>
    <w:rsid w:val="00670EAD"/>
    <w:rsid w:val="00671004"/>
    <w:rsid w:val="00672646"/>
    <w:rsid w:val="00674E42"/>
    <w:rsid w:val="00676563"/>
    <w:rsid w:val="006813F8"/>
    <w:rsid w:val="00682112"/>
    <w:rsid w:val="0068245D"/>
    <w:rsid w:val="00682BA6"/>
    <w:rsid w:val="00686957"/>
    <w:rsid w:val="006872BA"/>
    <w:rsid w:val="00687F84"/>
    <w:rsid w:val="00690795"/>
    <w:rsid w:val="00691648"/>
    <w:rsid w:val="006917D7"/>
    <w:rsid w:val="00693115"/>
    <w:rsid w:val="0069434C"/>
    <w:rsid w:val="00694F44"/>
    <w:rsid w:val="006950C1"/>
    <w:rsid w:val="00695D65"/>
    <w:rsid w:val="00695E63"/>
    <w:rsid w:val="006965FE"/>
    <w:rsid w:val="00696EF9"/>
    <w:rsid w:val="00696F51"/>
    <w:rsid w:val="006979A5"/>
    <w:rsid w:val="006A016F"/>
    <w:rsid w:val="006A0DF7"/>
    <w:rsid w:val="006A4321"/>
    <w:rsid w:val="006A43D9"/>
    <w:rsid w:val="006A65FA"/>
    <w:rsid w:val="006A6B99"/>
    <w:rsid w:val="006A73DE"/>
    <w:rsid w:val="006A76F7"/>
    <w:rsid w:val="006A7A00"/>
    <w:rsid w:val="006A7E5F"/>
    <w:rsid w:val="006B0EE8"/>
    <w:rsid w:val="006B1DFC"/>
    <w:rsid w:val="006B261B"/>
    <w:rsid w:val="006B28AB"/>
    <w:rsid w:val="006B2C90"/>
    <w:rsid w:val="006B35E6"/>
    <w:rsid w:val="006B3F90"/>
    <w:rsid w:val="006B465A"/>
    <w:rsid w:val="006B4E9D"/>
    <w:rsid w:val="006B50A9"/>
    <w:rsid w:val="006B51DB"/>
    <w:rsid w:val="006B6674"/>
    <w:rsid w:val="006B6DD0"/>
    <w:rsid w:val="006C0399"/>
    <w:rsid w:val="006C2A8E"/>
    <w:rsid w:val="006C3255"/>
    <w:rsid w:val="006C39D8"/>
    <w:rsid w:val="006C3F26"/>
    <w:rsid w:val="006C66DE"/>
    <w:rsid w:val="006C77DF"/>
    <w:rsid w:val="006C78A4"/>
    <w:rsid w:val="006D01E4"/>
    <w:rsid w:val="006D0D17"/>
    <w:rsid w:val="006D2FD4"/>
    <w:rsid w:val="006D3C7D"/>
    <w:rsid w:val="006D4659"/>
    <w:rsid w:val="006D5ACB"/>
    <w:rsid w:val="006D5D5F"/>
    <w:rsid w:val="006D686D"/>
    <w:rsid w:val="006D68FB"/>
    <w:rsid w:val="006E05BB"/>
    <w:rsid w:val="006E080E"/>
    <w:rsid w:val="006E13AB"/>
    <w:rsid w:val="006E2868"/>
    <w:rsid w:val="006E46EB"/>
    <w:rsid w:val="006E6CDB"/>
    <w:rsid w:val="006E7745"/>
    <w:rsid w:val="006F1F44"/>
    <w:rsid w:val="006F306C"/>
    <w:rsid w:val="006F5095"/>
    <w:rsid w:val="006F5BB3"/>
    <w:rsid w:val="006F63A5"/>
    <w:rsid w:val="006F7E56"/>
    <w:rsid w:val="007007F4"/>
    <w:rsid w:val="0070142B"/>
    <w:rsid w:val="007014EF"/>
    <w:rsid w:val="00701F5C"/>
    <w:rsid w:val="0070276E"/>
    <w:rsid w:val="00702F8F"/>
    <w:rsid w:val="00704090"/>
    <w:rsid w:val="00705899"/>
    <w:rsid w:val="00706839"/>
    <w:rsid w:val="00707326"/>
    <w:rsid w:val="007079FC"/>
    <w:rsid w:val="00710A34"/>
    <w:rsid w:val="00711A36"/>
    <w:rsid w:val="007125D3"/>
    <w:rsid w:val="00713FF8"/>
    <w:rsid w:val="00714ACC"/>
    <w:rsid w:val="00714C26"/>
    <w:rsid w:val="0071529C"/>
    <w:rsid w:val="00716B69"/>
    <w:rsid w:val="007170DA"/>
    <w:rsid w:val="00717291"/>
    <w:rsid w:val="007172AD"/>
    <w:rsid w:val="00717546"/>
    <w:rsid w:val="00717862"/>
    <w:rsid w:val="00720801"/>
    <w:rsid w:val="007208C1"/>
    <w:rsid w:val="00722B1B"/>
    <w:rsid w:val="00722D4F"/>
    <w:rsid w:val="00723B12"/>
    <w:rsid w:val="0072416F"/>
    <w:rsid w:val="00726579"/>
    <w:rsid w:val="00727C94"/>
    <w:rsid w:val="007309B7"/>
    <w:rsid w:val="00731B0A"/>
    <w:rsid w:val="00731EAE"/>
    <w:rsid w:val="00733073"/>
    <w:rsid w:val="00735033"/>
    <w:rsid w:val="00735328"/>
    <w:rsid w:val="0073685B"/>
    <w:rsid w:val="00737203"/>
    <w:rsid w:val="00740D71"/>
    <w:rsid w:val="00741E52"/>
    <w:rsid w:val="0074232C"/>
    <w:rsid w:val="00743CDD"/>
    <w:rsid w:val="00744475"/>
    <w:rsid w:val="007449BF"/>
    <w:rsid w:val="00744B59"/>
    <w:rsid w:val="00746193"/>
    <w:rsid w:val="007463FE"/>
    <w:rsid w:val="00746BC0"/>
    <w:rsid w:val="00746D53"/>
    <w:rsid w:val="007510B4"/>
    <w:rsid w:val="00752142"/>
    <w:rsid w:val="007523F9"/>
    <w:rsid w:val="00752982"/>
    <w:rsid w:val="0075357E"/>
    <w:rsid w:val="00753B29"/>
    <w:rsid w:val="00754656"/>
    <w:rsid w:val="007573E8"/>
    <w:rsid w:val="00757A9C"/>
    <w:rsid w:val="00760C4E"/>
    <w:rsid w:val="00760F9E"/>
    <w:rsid w:val="007616E6"/>
    <w:rsid w:val="007627BE"/>
    <w:rsid w:val="0076387A"/>
    <w:rsid w:val="00764F03"/>
    <w:rsid w:val="00765B1A"/>
    <w:rsid w:val="00765DC1"/>
    <w:rsid w:val="00766300"/>
    <w:rsid w:val="00770499"/>
    <w:rsid w:val="00772325"/>
    <w:rsid w:val="00772763"/>
    <w:rsid w:val="00772836"/>
    <w:rsid w:val="00773A34"/>
    <w:rsid w:val="0077444C"/>
    <w:rsid w:val="0077718D"/>
    <w:rsid w:val="00777335"/>
    <w:rsid w:val="00781433"/>
    <w:rsid w:val="0078343F"/>
    <w:rsid w:val="007843F2"/>
    <w:rsid w:val="007846FA"/>
    <w:rsid w:val="00785647"/>
    <w:rsid w:val="00785A9F"/>
    <w:rsid w:val="00791CB9"/>
    <w:rsid w:val="007925DF"/>
    <w:rsid w:val="0079393D"/>
    <w:rsid w:val="007A08AA"/>
    <w:rsid w:val="007A0A12"/>
    <w:rsid w:val="007A132D"/>
    <w:rsid w:val="007A1345"/>
    <w:rsid w:val="007A2DDB"/>
    <w:rsid w:val="007A4FE4"/>
    <w:rsid w:val="007A70BA"/>
    <w:rsid w:val="007B0110"/>
    <w:rsid w:val="007B0D68"/>
    <w:rsid w:val="007B251D"/>
    <w:rsid w:val="007B3533"/>
    <w:rsid w:val="007B4C07"/>
    <w:rsid w:val="007B4F58"/>
    <w:rsid w:val="007B528D"/>
    <w:rsid w:val="007B63CA"/>
    <w:rsid w:val="007B6B2C"/>
    <w:rsid w:val="007B71F4"/>
    <w:rsid w:val="007B77D1"/>
    <w:rsid w:val="007C06D9"/>
    <w:rsid w:val="007C07C7"/>
    <w:rsid w:val="007C1CD9"/>
    <w:rsid w:val="007C2132"/>
    <w:rsid w:val="007C2143"/>
    <w:rsid w:val="007C2C84"/>
    <w:rsid w:val="007C32EF"/>
    <w:rsid w:val="007C361D"/>
    <w:rsid w:val="007C39B6"/>
    <w:rsid w:val="007C4B84"/>
    <w:rsid w:val="007C70FF"/>
    <w:rsid w:val="007C7C25"/>
    <w:rsid w:val="007D004F"/>
    <w:rsid w:val="007D035F"/>
    <w:rsid w:val="007D06B2"/>
    <w:rsid w:val="007D0B38"/>
    <w:rsid w:val="007D1746"/>
    <w:rsid w:val="007D4191"/>
    <w:rsid w:val="007D5440"/>
    <w:rsid w:val="007D6102"/>
    <w:rsid w:val="007D69EB"/>
    <w:rsid w:val="007E0DD9"/>
    <w:rsid w:val="007E128F"/>
    <w:rsid w:val="007E1763"/>
    <w:rsid w:val="007E49C4"/>
    <w:rsid w:val="007E4A53"/>
    <w:rsid w:val="007E6855"/>
    <w:rsid w:val="007E6E92"/>
    <w:rsid w:val="007F1017"/>
    <w:rsid w:val="007F161F"/>
    <w:rsid w:val="007F4A3F"/>
    <w:rsid w:val="007F4A61"/>
    <w:rsid w:val="007F5255"/>
    <w:rsid w:val="007F56CC"/>
    <w:rsid w:val="007F61C2"/>
    <w:rsid w:val="008006B7"/>
    <w:rsid w:val="008030CD"/>
    <w:rsid w:val="00804060"/>
    <w:rsid w:val="0080456A"/>
    <w:rsid w:val="00805142"/>
    <w:rsid w:val="0080527D"/>
    <w:rsid w:val="00805FCE"/>
    <w:rsid w:val="008068C2"/>
    <w:rsid w:val="00806E6B"/>
    <w:rsid w:val="00807A8B"/>
    <w:rsid w:val="00811383"/>
    <w:rsid w:val="00811C80"/>
    <w:rsid w:val="00812149"/>
    <w:rsid w:val="0081279B"/>
    <w:rsid w:val="00812CAC"/>
    <w:rsid w:val="00815741"/>
    <w:rsid w:val="00816361"/>
    <w:rsid w:val="008166EF"/>
    <w:rsid w:val="00816A43"/>
    <w:rsid w:val="00816FEF"/>
    <w:rsid w:val="00820A8C"/>
    <w:rsid w:val="0082104E"/>
    <w:rsid w:val="008215FB"/>
    <w:rsid w:val="008220CC"/>
    <w:rsid w:val="00823174"/>
    <w:rsid w:val="00823661"/>
    <w:rsid w:val="00825751"/>
    <w:rsid w:val="008264EB"/>
    <w:rsid w:val="008267EB"/>
    <w:rsid w:val="008268CE"/>
    <w:rsid w:val="00827C23"/>
    <w:rsid w:val="00830701"/>
    <w:rsid w:val="0083094B"/>
    <w:rsid w:val="00833B05"/>
    <w:rsid w:val="00833C10"/>
    <w:rsid w:val="00834B60"/>
    <w:rsid w:val="008350B9"/>
    <w:rsid w:val="008362B4"/>
    <w:rsid w:val="00840CA2"/>
    <w:rsid w:val="00842EB3"/>
    <w:rsid w:val="0084374F"/>
    <w:rsid w:val="00844449"/>
    <w:rsid w:val="00844A22"/>
    <w:rsid w:val="008465AA"/>
    <w:rsid w:val="00847340"/>
    <w:rsid w:val="00847703"/>
    <w:rsid w:val="00847DF5"/>
    <w:rsid w:val="00851E19"/>
    <w:rsid w:val="00852027"/>
    <w:rsid w:val="00852E3F"/>
    <w:rsid w:val="0085309D"/>
    <w:rsid w:val="00856897"/>
    <w:rsid w:val="00856E9A"/>
    <w:rsid w:val="0085736F"/>
    <w:rsid w:val="0085761D"/>
    <w:rsid w:val="00857BAF"/>
    <w:rsid w:val="0086075D"/>
    <w:rsid w:val="00860D7F"/>
    <w:rsid w:val="00860DFE"/>
    <w:rsid w:val="00862502"/>
    <w:rsid w:val="00862CC1"/>
    <w:rsid w:val="00863446"/>
    <w:rsid w:val="008642A7"/>
    <w:rsid w:val="008646DB"/>
    <w:rsid w:val="008660D4"/>
    <w:rsid w:val="0086781C"/>
    <w:rsid w:val="0086786E"/>
    <w:rsid w:val="00871FA9"/>
    <w:rsid w:val="008728E9"/>
    <w:rsid w:val="00872A9A"/>
    <w:rsid w:val="008731B8"/>
    <w:rsid w:val="008734F4"/>
    <w:rsid w:val="0087604F"/>
    <w:rsid w:val="00876E3D"/>
    <w:rsid w:val="00877159"/>
    <w:rsid w:val="00880A30"/>
    <w:rsid w:val="00881B61"/>
    <w:rsid w:val="00882484"/>
    <w:rsid w:val="00882874"/>
    <w:rsid w:val="00882E3C"/>
    <w:rsid w:val="0088308A"/>
    <w:rsid w:val="00883787"/>
    <w:rsid w:val="00883D21"/>
    <w:rsid w:val="008849D0"/>
    <w:rsid w:val="0088550E"/>
    <w:rsid w:val="008855E4"/>
    <w:rsid w:val="008862BE"/>
    <w:rsid w:val="00886A4E"/>
    <w:rsid w:val="00886CD2"/>
    <w:rsid w:val="00890CA8"/>
    <w:rsid w:val="00891438"/>
    <w:rsid w:val="00891E6F"/>
    <w:rsid w:val="0089275D"/>
    <w:rsid w:val="00892A36"/>
    <w:rsid w:val="00893239"/>
    <w:rsid w:val="008932F0"/>
    <w:rsid w:val="00893609"/>
    <w:rsid w:val="00894489"/>
    <w:rsid w:val="00894CD6"/>
    <w:rsid w:val="008963A5"/>
    <w:rsid w:val="00896D5D"/>
    <w:rsid w:val="008A07C6"/>
    <w:rsid w:val="008A0B19"/>
    <w:rsid w:val="008A1682"/>
    <w:rsid w:val="008A3158"/>
    <w:rsid w:val="008A3338"/>
    <w:rsid w:val="008A3363"/>
    <w:rsid w:val="008A3371"/>
    <w:rsid w:val="008A34AC"/>
    <w:rsid w:val="008A3B62"/>
    <w:rsid w:val="008A3C3E"/>
    <w:rsid w:val="008A7225"/>
    <w:rsid w:val="008A73EC"/>
    <w:rsid w:val="008A79DE"/>
    <w:rsid w:val="008B1757"/>
    <w:rsid w:val="008B1C33"/>
    <w:rsid w:val="008B2A56"/>
    <w:rsid w:val="008B48E0"/>
    <w:rsid w:val="008B4B6F"/>
    <w:rsid w:val="008B5623"/>
    <w:rsid w:val="008B6F26"/>
    <w:rsid w:val="008B7992"/>
    <w:rsid w:val="008B7D7E"/>
    <w:rsid w:val="008C265F"/>
    <w:rsid w:val="008C5610"/>
    <w:rsid w:val="008C5739"/>
    <w:rsid w:val="008C61E8"/>
    <w:rsid w:val="008C64FC"/>
    <w:rsid w:val="008C6B7E"/>
    <w:rsid w:val="008C7282"/>
    <w:rsid w:val="008C7ECB"/>
    <w:rsid w:val="008D2428"/>
    <w:rsid w:val="008D29E8"/>
    <w:rsid w:val="008D29EC"/>
    <w:rsid w:val="008D3B86"/>
    <w:rsid w:val="008D4063"/>
    <w:rsid w:val="008D43FD"/>
    <w:rsid w:val="008D4755"/>
    <w:rsid w:val="008D4C3D"/>
    <w:rsid w:val="008D743C"/>
    <w:rsid w:val="008E0D3C"/>
    <w:rsid w:val="008E1B9E"/>
    <w:rsid w:val="008E5255"/>
    <w:rsid w:val="008E55AB"/>
    <w:rsid w:val="008F120A"/>
    <w:rsid w:val="008F1E32"/>
    <w:rsid w:val="008F27E0"/>
    <w:rsid w:val="008F48EB"/>
    <w:rsid w:val="008F4F0B"/>
    <w:rsid w:val="009046C4"/>
    <w:rsid w:val="00905D33"/>
    <w:rsid w:val="009062A5"/>
    <w:rsid w:val="00907699"/>
    <w:rsid w:val="00910FA7"/>
    <w:rsid w:val="00911272"/>
    <w:rsid w:val="00911339"/>
    <w:rsid w:val="00911E2E"/>
    <w:rsid w:val="0091242B"/>
    <w:rsid w:val="009135D6"/>
    <w:rsid w:val="009138B4"/>
    <w:rsid w:val="00914C77"/>
    <w:rsid w:val="00916F1D"/>
    <w:rsid w:val="0092042C"/>
    <w:rsid w:val="00921ACB"/>
    <w:rsid w:val="00922028"/>
    <w:rsid w:val="00922838"/>
    <w:rsid w:val="00922B13"/>
    <w:rsid w:val="0092369B"/>
    <w:rsid w:val="00924481"/>
    <w:rsid w:val="00925271"/>
    <w:rsid w:val="00925486"/>
    <w:rsid w:val="00934988"/>
    <w:rsid w:val="00936039"/>
    <w:rsid w:val="009368EC"/>
    <w:rsid w:val="00936C1F"/>
    <w:rsid w:val="00937089"/>
    <w:rsid w:val="009370C4"/>
    <w:rsid w:val="009410B4"/>
    <w:rsid w:val="00941699"/>
    <w:rsid w:val="00944494"/>
    <w:rsid w:val="00944F8A"/>
    <w:rsid w:val="00946F9D"/>
    <w:rsid w:val="00950C7F"/>
    <w:rsid w:val="009510A2"/>
    <w:rsid w:val="00953257"/>
    <w:rsid w:val="00953490"/>
    <w:rsid w:val="0095474C"/>
    <w:rsid w:val="00954AB1"/>
    <w:rsid w:val="00955A14"/>
    <w:rsid w:val="00957433"/>
    <w:rsid w:val="00957C59"/>
    <w:rsid w:val="00957D92"/>
    <w:rsid w:val="009615F1"/>
    <w:rsid w:val="00962CB9"/>
    <w:rsid w:val="009633BC"/>
    <w:rsid w:val="00964312"/>
    <w:rsid w:val="00965B8A"/>
    <w:rsid w:val="0096644A"/>
    <w:rsid w:val="00966FBF"/>
    <w:rsid w:val="00967BDC"/>
    <w:rsid w:val="0097071F"/>
    <w:rsid w:val="009717AC"/>
    <w:rsid w:val="009751C1"/>
    <w:rsid w:val="0098046D"/>
    <w:rsid w:val="009811F1"/>
    <w:rsid w:val="00983E57"/>
    <w:rsid w:val="00985DE2"/>
    <w:rsid w:val="00986504"/>
    <w:rsid w:val="0098675D"/>
    <w:rsid w:val="00987BA4"/>
    <w:rsid w:val="009926E0"/>
    <w:rsid w:val="0099451E"/>
    <w:rsid w:val="00996416"/>
    <w:rsid w:val="00996B1A"/>
    <w:rsid w:val="009A02F0"/>
    <w:rsid w:val="009A0518"/>
    <w:rsid w:val="009A1020"/>
    <w:rsid w:val="009A18F6"/>
    <w:rsid w:val="009A2DCC"/>
    <w:rsid w:val="009A3481"/>
    <w:rsid w:val="009A5ABC"/>
    <w:rsid w:val="009A7F10"/>
    <w:rsid w:val="009B32D4"/>
    <w:rsid w:val="009B3E26"/>
    <w:rsid w:val="009B6DE0"/>
    <w:rsid w:val="009C1271"/>
    <w:rsid w:val="009C28D6"/>
    <w:rsid w:val="009C3706"/>
    <w:rsid w:val="009C3A3A"/>
    <w:rsid w:val="009C499C"/>
    <w:rsid w:val="009C5FB4"/>
    <w:rsid w:val="009C6515"/>
    <w:rsid w:val="009C6CEA"/>
    <w:rsid w:val="009C76EF"/>
    <w:rsid w:val="009C7B85"/>
    <w:rsid w:val="009D0254"/>
    <w:rsid w:val="009D1A64"/>
    <w:rsid w:val="009D3D66"/>
    <w:rsid w:val="009D4A1E"/>
    <w:rsid w:val="009D5B91"/>
    <w:rsid w:val="009D5BC2"/>
    <w:rsid w:val="009D792E"/>
    <w:rsid w:val="009E091A"/>
    <w:rsid w:val="009E0DFE"/>
    <w:rsid w:val="009E2192"/>
    <w:rsid w:val="009E31F6"/>
    <w:rsid w:val="009E3F35"/>
    <w:rsid w:val="009E4C07"/>
    <w:rsid w:val="009E6566"/>
    <w:rsid w:val="009E7391"/>
    <w:rsid w:val="009E777F"/>
    <w:rsid w:val="009F43D1"/>
    <w:rsid w:val="009F5BAE"/>
    <w:rsid w:val="009F6120"/>
    <w:rsid w:val="009F6803"/>
    <w:rsid w:val="00A00D76"/>
    <w:rsid w:val="00A01184"/>
    <w:rsid w:val="00A01449"/>
    <w:rsid w:val="00A0272D"/>
    <w:rsid w:val="00A037C2"/>
    <w:rsid w:val="00A03D43"/>
    <w:rsid w:val="00A04380"/>
    <w:rsid w:val="00A044D5"/>
    <w:rsid w:val="00A04786"/>
    <w:rsid w:val="00A05472"/>
    <w:rsid w:val="00A057EF"/>
    <w:rsid w:val="00A059C1"/>
    <w:rsid w:val="00A05C32"/>
    <w:rsid w:val="00A0653F"/>
    <w:rsid w:val="00A06884"/>
    <w:rsid w:val="00A06F1A"/>
    <w:rsid w:val="00A077E9"/>
    <w:rsid w:val="00A11CD0"/>
    <w:rsid w:val="00A13761"/>
    <w:rsid w:val="00A13948"/>
    <w:rsid w:val="00A1555B"/>
    <w:rsid w:val="00A155C5"/>
    <w:rsid w:val="00A16AD8"/>
    <w:rsid w:val="00A2021E"/>
    <w:rsid w:val="00A208F6"/>
    <w:rsid w:val="00A21C95"/>
    <w:rsid w:val="00A21CF3"/>
    <w:rsid w:val="00A22CE3"/>
    <w:rsid w:val="00A234BA"/>
    <w:rsid w:val="00A237EB"/>
    <w:rsid w:val="00A24813"/>
    <w:rsid w:val="00A263B9"/>
    <w:rsid w:val="00A27AEC"/>
    <w:rsid w:val="00A27BB5"/>
    <w:rsid w:val="00A3151A"/>
    <w:rsid w:val="00A31B7F"/>
    <w:rsid w:val="00A320DB"/>
    <w:rsid w:val="00A3494F"/>
    <w:rsid w:val="00A34D8B"/>
    <w:rsid w:val="00A35D16"/>
    <w:rsid w:val="00A3774E"/>
    <w:rsid w:val="00A37BCD"/>
    <w:rsid w:val="00A41689"/>
    <w:rsid w:val="00A41B92"/>
    <w:rsid w:val="00A42592"/>
    <w:rsid w:val="00A42A5C"/>
    <w:rsid w:val="00A43C59"/>
    <w:rsid w:val="00A44F93"/>
    <w:rsid w:val="00A45B13"/>
    <w:rsid w:val="00A50280"/>
    <w:rsid w:val="00A50ECD"/>
    <w:rsid w:val="00A518F3"/>
    <w:rsid w:val="00A52151"/>
    <w:rsid w:val="00A52729"/>
    <w:rsid w:val="00A53675"/>
    <w:rsid w:val="00A55543"/>
    <w:rsid w:val="00A564D7"/>
    <w:rsid w:val="00A56B6A"/>
    <w:rsid w:val="00A578DC"/>
    <w:rsid w:val="00A60939"/>
    <w:rsid w:val="00A6159E"/>
    <w:rsid w:val="00A63249"/>
    <w:rsid w:val="00A63A2A"/>
    <w:rsid w:val="00A640E2"/>
    <w:rsid w:val="00A64D65"/>
    <w:rsid w:val="00A65EA8"/>
    <w:rsid w:val="00A66D45"/>
    <w:rsid w:val="00A66F07"/>
    <w:rsid w:val="00A6725B"/>
    <w:rsid w:val="00A700CC"/>
    <w:rsid w:val="00A70605"/>
    <w:rsid w:val="00A719C0"/>
    <w:rsid w:val="00A71ED7"/>
    <w:rsid w:val="00A73134"/>
    <w:rsid w:val="00A7365A"/>
    <w:rsid w:val="00A741A7"/>
    <w:rsid w:val="00A743EA"/>
    <w:rsid w:val="00A75811"/>
    <w:rsid w:val="00A75B03"/>
    <w:rsid w:val="00A75C68"/>
    <w:rsid w:val="00A75FFE"/>
    <w:rsid w:val="00A76001"/>
    <w:rsid w:val="00A777B2"/>
    <w:rsid w:val="00A80CD1"/>
    <w:rsid w:val="00A8258B"/>
    <w:rsid w:val="00A825D4"/>
    <w:rsid w:val="00A828F6"/>
    <w:rsid w:val="00A82B73"/>
    <w:rsid w:val="00A86E8B"/>
    <w:rsid w:val="00A87164"/>
    <w:rsid w:val="00A92058"/>
    <w:rsid w:val="00A93072"/>
    <w:rsid w:val="00A938BD"/>
    <w:rsid w:val="00A93953"/>
    <w:rsid w:val="00A95149"/>
    <w:rsid w:val="00A959D8"/>
    <w:rsid w:val="00A96D3C"/>
    <w:rsid w:val="00AA113D"/>
    <w:rsid w:val="00AA29B6"/>
    <w:rsid w:val="00AA2AD3"/>
    <w:rsid w:val="00AA31A0"/>
    <w:rsid w:val="00AA576E"/>
    <w:rsid w:val="00AA6BD5"/>
    <w:rsid w:val="00AA6BD8"/>
    <w:rsid w:val="00AA6C7D"/>
    <w:rsid w:val="00AA7FD6"/>
    <w:rsid w:val="00AB042A"/>
    <w:rsid w:val="00AB11AD"/>
    <w:rsid w:val="00AB19EF"/>
    <w:rsid w:val="00AB2495"/>
    <w:rsid w:val="00AB2D34"/>
    <w:rsid w:val="00AB2EC3"/>
    <w:rsid w:val="00AB3430"/>
    <w:rsid w:val="00AB37B9"/>
    <w:rsid w:val="00AB4AD1"/>
    <w:rsid w:val="00AB5E07"/>
    <w:rsid w:val="00AB7CFA"/>
    <w:rsid w:val="00AC031A"/>
    <w:rsid w:val="00AC37DC"/>
    <w:rsid w:val="00AC478E"/>
    <w:rsid w:val="00AC5355"/>
    <w:rsid w:val="00AC5B42"/>
    <w:rsid w:val="00AC5B48"/>
    <w:rsid w:val="00AC60BD"/>
    <w:rsid w:val="00AC6632"/>
    <w:rsid w:val="00AD0E54"/>
    <w:rsid w:val="00AD1450"/>
    <w:rsid w:val="00AD15E8"/>
    <w:rsid w:val="00AD255A"/>
    <w:rsid w:val="00AD356D"/>
    <w:rsid w:val="00AD427B"/>
    <w:rsid w:val="00AD5305"/>
    <w:rsid w:val="00AD6502"/>
    <w:rsid w:val="00AD69D4"/>
    <w:rsid w:val="00AD7B98"/>
    <w:rsid w:val="00AE0695"/>
    <w:rsid w:val="00AE0D1E"/>
    <w:rsid w:val="00AE1ABA"/>
    <w:rsid w:val="00AE1B7A"/>
    <w:rsid w:val="00AE1CB4"/>
    <w:rsid w:val="00AE1D96"/>
    <w:rsid w:val="00AE33B0"/>
    <w:rsid w:val="00AE3E7E"/>
    <w:rsid w:val="00AE44D8"/>
    <w:rsid w:val="00AE740F"/>
    <w:rsid w:val="00AE7E53"/>
    <w:rsid w:val="00AF1315"/>
    <w:rsid w:val="00AF19BF"/>
    <w:rsid w:val="00AF29BE"/>
    <w:rsid w:val="00AF2DC3"/>
    <w:rsid w:val="00AF404E"/>
    <w:rsid w:val="00AF50FE"/>
    <w:rsid w:val="00AF579F"/>
    <w:rsid w:val="00AF7030"/>
    <w:rsid w:val="00AF7C63"/>
    <w:rsid w:val="00B01DEC"/>
    <w:rsid w:val="00B033E5"/>
    <w:rsid w:val="00B03A63"/>
    <w:rsid w:val="00B0423B"/>
    <w:rsid w:val="00B0670D"/>
    <w:rsid w:val="00B109B3"/>
    <w:rsid w:val="00B128DC"/>
    <w:rsid w:val="00B129A4"/>
    <w:rsid w:val="00B12F11"/>
    <w:rsid w:val="00B17554"/>
    <w:rsid w:val="00B201A4"/>
    <w:rsid w:val="00B201D1"/>
    <w:rsid w:val="00B202BC"/>
    <w:rsid w:val="00B20C47"/>
    <w:rsid w:val="00B21004"/>
    <w:rsid w:val="00B213A6"/>
    <w:rsid w:val="00B21DE7"/>
    <w:rsid w:val="00B235B0"/>
    <w:rsid w:val="00B24DF6"/>
    <w:rsid w:val="00B2558E"/>
    <w:rsid w:val="00B26661"/>
    <w:rsid w:val="00B2718A"/>
    <w:rsid w:val="00B276C0"/>
    <w:rsid w:val="00B27A61"/>
    <w:rsid w:val="00B304A8"/>
    <w:rsid w:val="00B30E4D"/>
    <w:rsid w:val="00B322E2"/>
    <w:rsid w:val="00B33250"/>
    <w:rsid w:val="00B34FE2"/>
    <w:rsid w:val="00B35166"/>
    <w:rsid w:val="00B357D8"/>
    <w:rsid w:val="00B35BAA"/>
    <w:rsid w:val="00B360F4"/>
    <w:rsid w:val="00B36A00"/>
    <w:rsid w:val="00B36E8E"/>
    <w:rsid w:val="00B3792B"/>
    <w:rsid w:val="00B37BFC"/>
    <w:rsid w:val="00B37DA5"/>
    <w:rsid w:val="00B40358"/>
    <w:rsid w:val="00B40953"/>
    <w:rsid w:val="00B41614"/>
    <w:rsid w:val="00B41948"/>
    <w:rsid w:val="00B42851"/>
    <w:rsid w:val="00B42F80"/>
    <w:rsid w:val="00B4342D"/>
    <w:rsid w:val="00B435CB"/>
    <w:rsid w:val="00B43930"/>
    <w:rsid w:val="00B443D4"/>
    <w:rsid w:val="00B45A57"/>
    <w:rsid w:val="00B465EC"/>
    <w:rsid w:val="00B505C8"/>
    <w:rsid w:val="00B50DB8"/>
    <w:rsid w:val="00B5201D"/>
    <w:rsid w:val="00B53329"/>
    <w:rsid w:val="00B53654"/>
    <w:rsid w:val="00B53905"/>
    <w:rsid w:val="00B53C5D"/>
    <w:rsid w:val="00B546DB"/>
    <w:rsid w:val="00B54986"/>
    <w:rsid w:val="00B54B5B"/>
    <w:rsid w:val="00B5562E"/>
    <w:rsid w:val="00B55862"/>
    <w:rsid w:val="00B55D65"/>
    <w:rsid w:val="00B56305"/>
    <w:rsid w:val="00B56E06"/>
    <w:rsid w:val="00B56FA6"/>
    <w:rsid w:val="00B57000"/>
    <w:rsid w:val="00B60939"/>
    <w:rsid w:val="00B60AFD"/>
    <w:rsid w:val="00B62715"/>
    <w:rsid w:val="00B65611"/>
    <w:rsid w:val="00B67258"/>
    <w:rsid w:val="00B70348"/>
    <w:rsid w:val="00B70B9A"/>
    <w:rsid w:val="00B70E8E"/>
    <w:rsid w:val="00B711D1"/>
    <w:rsid w:val="00B72BD1"/>
    <w:rsid w:val="00B73C05"/>
    <w:rsid w:val="00B74847"/>
    <w:rsid w:val="00B76C92"/>
    <w:rsid w:val="00B80736"/>
    <w:rsid w:val="00B80EFD"/>
    <w:rsid w:val="00B818A4"/>
    <w:rsid w:val="00B83739"/>
    <w:rsid w:val="00B84117"/>
    <w:rsid w:val="00B858F0"/>
    <w:rsid w:val="00B85AA2"/>
    <w:rsid w:val="00B8649C"/>
    <w:rsid w:val="00B8695D"/>
    <w:rsid w:val="00B86D59"/>
    <w:rsid w:val="00B87A0D"/>
    <w:rsid w:val="00B87F0A"/>
    <w:rsid w:val="00B91D5F"/>
    <w:rsid w:val="00B92D0B"/>
    <w:rsid w:val="00B94456"/>
    <w:rsid w:val="00B94945"/>
    <w:rsid w:val="00B94C36"/>
    <w:rsid w:val="00B94DD6"/>
    <w:rsid w:val="00B954AC"/>
    <w:rsid w:val="00B96F4C"/>
    <w:rsid w:val="00BA2131"/>
    <w:rsid w:val="00BA322D"/>
    <w:rsid w:val="00BA3C28"/>
    <w:rsid w:val="00BA63FA"/>
    <w:rsid w:val="00BB00B3"/>
    <w:rsid w:val="00BB0132"/>
    <w:rsid w:val="00BB0BDD"/>
    <w:rsid w:val="00BB176C"/>
    <w:rsid w:val="00BB1DBC"/>
    <w:rsid w:val="00BB1F30"/>
    <w:rsid w:val="00BB25B5"/>
    <w:rsid w:val="00BB2685"/>
    <w:rsid w:val="00BB2A73"/>
    <w:rsid w:val="00BB3A45"/>
    <w:rsid w:val="00BB41C3"/>
    <w:rsid w:val="00BB4ACC"/>
    <w:rsid w:val="00BB662A"/>
    <w:rsid w:val="00BB703E"/>
    <w:rsid w:val="00BB732D"/>
    <w:rsid w:val="00BB7405"/>
    <w:rsid w:val="00BC0299"/>
    <w:rsid w:val="00BC3631"/>
    <w:rsid w:val="00BC4613"/>
    <w:rsid w:val="00BC591F"/>
    <w:rsid w:val="00BC7D6D"/>
    <w:rsid w:val="00BD0A90"/>
    <w:rsid w:val="00BD2108"/>
    <w:rsid w:val="00BD360D"/>
    <w:rsid w:val="00BD47FB"/>
    <w:rsid w:val="00BD55CB"/>
    <w:rsid w:val="00BD5E40"/>
    <w:rsid w:val="00BD68A3"/>
    <w:rsid w:val="00BD6938"/>
    <w:rsid w:val="00BD6CF3"/>
    <w:rsid w:val="00BD77D6"/>
    <w:rsid w:val="00BD7D95"/>
    <w:rsid w:val="00BD7F72"/>
    <w:rsid w:val="00BE0286"/>
    <w:rsid w:val="00BE0ECA"/>
    <w:rsid w:val="00BE2180"/>
    <w:rsid w:val="00BE21F2"/>
    <w:rsid w:val="00BE4275"/>
    <w:rsid w:val="00BE782C"/>
    <w:rsid w:val="00BF05A5"/>
    <w:rsid w:val="00BF06AE"/>
    <w:rsid w:val="00BF0F6A"/>
    <w:rsid w:val="00BF0F95"/>
    <w:rsid w:val="00BF1B30"/>
    <w:rsid w:val="00BF2433"/>
    <w:rsid w:val="00BF2E6E"/>
    <w:rsid w:val="00BF61C9"/>
    <w:rsid w:val="00BF6C94"/>
    <w:rsid w:val="00BF7A5A"/>
    <w:rsid w:val="00C003F3"/>
    <w:rsid w:val="00C00424"/>
    <w:rsid w:val="00C00BB0"/>
    <w:rsid w:val="00C057D9"/>
    <w:rsid w:val="00C06148"/>
    <w:rsid w:val="00C06E13"/>
    <w:rsid w:val="00C074E5"/>
    <w:rsid w:val="00C1179F"/>
    <w:rsid w:val="00C11EC3"/>
    <w:rsid w:val="00C1233D"/>
    <w:rsid w:val="00C127B9"/>
    <w:rsid w:val="00C128FA"/>
    <w:rsid w:val="00C12C14"/>
    <w:rsid w:val="00C12F7C"/>
    <w:rsid w:val="00C13008"/>
    <w:rsid w:val="00C14AEC"/>
    <w:rsid w:val="00C1547C"/>
    <w:rsid w:val="00C15EA8"/>
    <w:rsid w:val="00C15F04"/>
    <w:rsid w:val="00C1699C"/>
    <w:rsid w:val="00C179B3"/>
    <w:rsid w:val="00C17E3F"/>
    <w:rsid w:val="00C200AA"/>
    <w:rsid w:val="00C2215A"/>
    <w:rsid w:val="00C22674"/>
    <w:rsid w:val="00C237ED"/>
    <w:rsid w:val="00C24632"/>
    <w:rsid w:val="00C25418"/>
    <w:rsid w:val="00C25BA4"/>
    <w:rsid w:val="00C25D9C"/>
    <w:rsid w:val="00C264B5"/>
    <w:rsid w:val="00C2778B"/>
    <w:rsid w:val="00C3013D"/>
    <w:rsid w:val="00C302AC"/>
    <w:rsid w:val="00C31649"/>
    <w:rsid w:val="00C31B84"/>
    <w:rsid w:val="00C31DAF"/>
    <w:rsid w:val="00C333F5"/>
    <w:rsid w:val="00C33C34"/>
    <w:rsid w:val="00C3434C"/>
    <w:rsid w:val="00C34CE9"/>
    <w:rsid w:val="00C36641"/>
    <w:rsid w:val="00C378DD"/>
    <w:rsid w:val="00C37C70"/>
    <w:rsid w:val="00C40385"/>
    <w:rsid w:val="00C41768"/>
    <w:rsid w:val="00C41B75"/>
    <w:rsid w:val="00C43EDC"/>
    <w:rsid w:val="00C43F83"/>
    <w:rsid w:val="00C45BCD"/>
    <w:rsid w:val="00C45D2F"/>
    <w:rsid w:val="00C475AA"/>
    <w:rsid w:val="00C51CBA"/>
    <w:rsid w:val="00C52490"/>
    <w:rsid w:val="00C527C7"/>
    <w:rsid w:val="00C5337A"/>
    <w:rsid w:val="00C53C98"/>
    <w:rsid w:val="00C56FCF"/>
    <w:rsid w:val="00C57B6C"/>
    <w:rsid w:val="00C60C66"/>
    <w:rsid w:val="00C61A59"/>
    <w:rsid w:val="00C628A6"/>
    <w:rsid w:val="00C6314B"/>
    <w:rsid w:val="00C64344"/>
    <w:rsid w:val="00C65108"/>
    <w:rsid w:val="00C65576"/>
    <w:rsid w:val="00C65CFC"/>
    <w:rsid w:val="00C65DAE"/>
    <w:rsid w:val="00C66165"/>
    <w:rsid w:val="00C66EFA"/>
    <w:rsid w:val="00C670FF"/>
    <w:rsid w:val="00C6746C"/>
    <w:rsid w:val="00C7060A"/>
    <w:rsid w:val="00C7151A"/>
    <w:rsid w:val="00C717E3"/>
    <w:rsid w:val="00C71F60"/>
    <w:rsid w:val="00C72241"/>
    <w:rsid w:val="00C733B1"/>
    <w:rsid w:val="00C7356D"/>
    <w:rsid w:val="00C750C8"/>
    <w:rsid w:val="00C7560F"/>
    <w:rsid w:val="00C778F2"/>
    <w:rsid w:val="00C80A0E"/>
    <w:rsid w:val="00C815BB"/>
    <w:rsid w:val="00C8195D"/>
    <w:rsid w:val="00C81D3D"/>
    <w:rsid w:val="00C8213F"/>
    <w:rsid w:val="00C8303F"/>
    <w:rsid w:val="00C83F9B"/>
    <w:rsid w:val="00C85154"/>
    <w:rsid w:val="00C85513"/>
    <w:rsid w:val="00C85A70"/>
    <w:rsid w:val="00C85D52"/>
    <w:rsid w:val="00C86BE1"/>
    <w:rsid w:val="00C86CA8"/>
    <w:rsid w:val="00C8797A"/>
    <w:rsid w:val="00C900B8"/>
    <w:rsid w:val="00C90197"/>
    <w:rsid w:val="00C90C71"/>
    <w:rsid w:val="00C91FD1"/>
    <w:rsid w:val="00C92091"/>
    <w:rsid w:val="00C931CF"/>
    <w:rsid w:val="00C938CF"/>
    <w:rsid w:val="00C94053"/>
    <w:rsid w:val="00C9446F"/>
    <w:rsid w:val="00C9624D"/>
    <w:rsid w:val="00C969DA"/>
    <w:rsid w:val="00CA0404"/>
    <w:rsid w:val="00CA17BB"/>
    <w:rsid w:val="00CA2C77"/>
    <w:rsid w:val="00CA34F5"/>
    <w:rsid w:val="00CA444F"/>
    <w:rsid w:val="00CA47D0"/>
    <w:rsid w:val="00CA4C53"/>
    <w:rsid w:val="00CA5245"/>
    <w:rsid w:val="00CA6123"/>
    <w:rsid w:val="00CA71F4"/>
    <w:rsid w:val="00CA7B09"/>
    <w:rsid w:val="00CB031F"/>
    <w:rsid w:val="00CB12A5"/>
    <w:rsid w:val="00CB1CAC"/>
    <w:rsid w:val="00CB25CF"/>
    <w:rsid w:val="00CB2F2A"/>
    <w:rsid w:val="00CB4E1B"/>
    <w:rsid w:val="00CB5187"/>
    <w:rsid w:val="00CB5B1A"/>
    <w:rsid w:val="00CB69D6"/>
    <w:rsid w:val="00CB6B22"/>
    <w:rsid w:val="00CB7F5F"/>
    <w:rsid w:val="00CC04DC"/>
    <w:rsid w:val="00CC1B39"/>
    <w:rsid w:val="00CC1BFA"/>
    <w:rsid w:val="00CC2410"/>
    <w:rsid w:val="00CC2E9F"/>
    <w:rsid w:val="00CC35EA"/>
    <w:rsid w:val="00CC3848"/>
    <w:rsid w:val="00CC39AF"/>
    <w:rsid w:val="00CC422E"/>
    <w:rsid w:val="00CC56E0"/>
    <w:rsid w:val="00CC6D5E"/>
    <w:rsid w:val="00CD0200"/>
    <w:rsid w:val="00CD1C55"/>
    <w:rsid w:val="00CD2DCE"/>
    <w:rsid w:val="00CD34D2"/>
    <w:rsid w:val="00CD3F77"/>
    <w:rsid w:val="00CD4DBC"/>
    <w:rsid w:val="00CD6ADC"/>
    <w:rsid w:val="00CD7193"/>
    <w:rsid w:val="00CE0662"/>
    <w:rsid w:val="00CE20B7"/>
    <w:rsid w:val="00CE38C8"/>
    <w:rsid w:val="00CE524F"/>
    <w:rsid w:val="00CE58CC"/>
    <w:rsid w:val="00CE6274"/>
    <w:rsid w:val="00CE77B6"/>
    <w:rsid w:val="00CF01B8"/>
    <w:rsid w:val="00CF1671"/>
    <w:rsid w:val="00CF2B8D"/>
    <w:rsid w:val="00CF32FA"/>
    <w:rsid w:val="00CF34EF"/>
    <w:rsid w:val="00CF3A1B"/>
    <w:rsid w:val="00CF456B"/>
    <w:rsid w:val="00CF5A22"/>
    <w:rsid w:val="00CF6325"/>
    <w:rsid w:val="00D01279"/>
    <w:rsid w:val="00D0262E"/>
    <w:rsid w:val="00D03679"/>
    <w:rsid w:val="00D05E3D"/>
    <w:rsid w:val="00D06139"/>
    <w:rsid w:val="00D06150"/>
    <w:rsid w:val="00D068B1"/>
    <w:rsid w:val="00D07BC0"/>
    <w:rsid w:val="00D110BD"/>
    <w:rsid w:val="00D125D2"/>
    <w:rsid w:val="00D125D6"/>
    <w:rsid w:val="00D130C8"/>
    <w:rsid w:val="00D13675"/>
    <w:rsid w:val="00D14067"/>
    <w:rsid w:val="00D141E1"/>
    <w:rsid w:val="00D149AA"/>
    <w:rsid w:val="00D15314"/>
    <w:rsid w:val="00D15690"/>
    <w:rsid w:val="00D156CA"/>
    <w:rsid w:val="00D15B48"/>
    <w:rsid w:val="00D17D6C"/>
    <w:rsid w:val="00D2155B"/>
    <w:rsid w:val="00D23083"/>
    <w:rsid w:val="00D23701"/>
    <w:rsid w:val="00D23843"/>
    <w:rsid w:val="00D23D11"/>
    <w:rsid w:val="00D244B6"/>
    <w:rsid w:val="00D26903"/>
    <w:rsid w:val="00D2754D"/>
    <w:rsid w:val="00D277AC"/>
    <w:rsid w:val="00D27B27"/>
    <w:rsid w:val="00D30D5B"/>
    <w:rsid w:val="00D3116B"/>
    <w:rsid w:val="00D33BE9"/>
    <w:rsid w:val="00D33F93"/>
    <w:rsid w:val="00D357FF"/>
    <w:rsid w:val="00D35C91"/>
    <w:rsid w:val="00D363A5"/>
    <w:rsid w:val="00D37431"/>
    <w:rsid w:val="00D41875"/>
    <w:rsid w:val="00D424C7"/>
    <w:rsid w:val="00D43B2A"/>
    <w:rsid w:val="00D43CF1"/>
    <w:rsid w:val="00D43D83"/>
    <w:rsid w:val="00D440DC"/>
    <w:rsid w:val="00D4419A"/>
    <w:rsid w:val="00D44D92"/>
    <w:rsid w:val="00D47575"/>
    <w:rsid w:val="00D5243B"/>
    <w:rsid w:val="00D5275A"/>
    <w:rsid w:val="00D52E25"/>
    <w:rsid w:val="00D533EC"/>
    <w:rsid w:val="00D56A95"/>
    <w:rsid w:val="00D6076E"/>
    <w:rsid w:val="00D625CA"/>
    <w:rsid w:val="00D6384B"/>
    <w:rsid w:val="00D64A7C"/>
    <w:rsid w:val="00D65964"/>
    <w:rsid w:val="00D70F16"/>
    <w:rsid w:val="00D71270"/>
    <w:rsid w:val="00D71A15"/>
    <w:rsid w:val="00D71B21"/>
    <w:rsid w:val="00D7254C"/>
    <w:rsid w:val="00D72617"/>
    <w:rsid w:val="00D72F57"/>
    <w:rsid w:val="00D74892"/>
    <w:rsid w:val="00D758C9"/>
    <w:rsid w:val="00D763C9"/>
    <w:rsid w:val="00D76A44"/>
    <w:rsid w:val="00D76D25"/>
    <w:rsid w:val="00D815EF"/>
    <w:rsid w:val="00D81949"/>
    <w:rsid w:val="00D81F26"/>
    <w:rsid w:val="00D822E2"/>
    <w:rsid w:val="00D82539"/>
    <w:rsid w:val="00D82FDF"/>
    <w:rsid w:val="00D840C2"/>
    <w:rsid w:val="00D843F2"/>
    <w:rsid w:val="00D86231"/>
    <w:rsid w:val="00D867E9"/>
    <w:rsid w:val="00D912AB"/>
    <w:rsid w:val="00D91923"/>
    <w:rsid w:val="00D927DE"/>
    <w:rsid w:val="00D93753"/>
    <w:rsid w:val="00D94A2D"/>
    <w:rsid w:val="00D960F5"/>
    <w:rsid w:val="00D96B59"/>
    <w:rsid w:val="00D97FDD"/>
    <w:rsid w:val="00DA0104"/>
    <w:rsid w:val="00DA0B1C"/>
    <w:rsid w:val="00DA3167"/>
    <w:rsid w:val="00DA4DC3"/>
    <w:rsid w:val="00DA77A5"/>
    <w:rsid w:val="00DB0350"/>
    <w:rsid w:val="00DB0E36"/>
    <w:rsid w:val="00DB2AAF"/>
    <w:rsid w:val="00DB3DBF"/>
    <w:rsid w:val="00DB484F"/>
    <w:rsid w:val="00DB51CA"/>
    <w:rsid w:val="00DB5DE2"/>
    <w:rsid w:val="00DB77E8"/>
    <w:rsid w:val="00DB7B6F"/>
    <w:rsid w:val="00DC04F6"/>
    <w:rsid w:val="00DC0690"/>
    <w:rsid w:val="00DC1D65"/>
    <w:rsid w:val="00DC3C57"/>
    <w:rsid w:val="00DC4928"/>
    <w:rsid w:val="00DC5501"/>
    <w:rsid w:val="00DC5666"/>
    <w:rsid w:val="00DC5DE4"/>
    <w:rsid w:val="00DC5E53"/>
    <w:rsid w:val="00DC6D69"/>
    <w:rsid w:val="00DC7154"/>
    <w:rsid w:val="00DC75E5"/>
    <w:rsid w:val="00DC7E8A"/>
    <w:rsid w:val="00DD0E48"/>
    <w:rsid w:val="00DD0F78"/>
    <w:rsid w:val="00DD171E"/>
    <w:rsid w:val="00DD184E"/>
    <w:rsid w:val="00DD189D"/>
    <w:rsid w:val="00DD273C"/>
    <w:rsid w:val="00DD3F28"/>
    <w:rsid w:val="00DD4446"/>
    <w:rsid w:val="00DD4537"/>
    <w:rsid w:val="00DD4E15"/>
    <w:rsid w:val="00DE0465"/>
    <w:rsid w:val="00DE173F"/>
    <w:rsid w:val="00DE2084"/>
    <w:rsid w:val="00DE2304"/>
    <w:rsid w:val="00DE3138"/>
    <w:rsid w:val="00DE33F5"/>
    <w:rsid w:val="00DE37F8"/>
    <w:rsid w:val="00DE4273"/>
    <w:rsid w:val="00DE4FCB"/>
    <w:rsid w:val="00DE51AF"/>
    <w:rsid w:val="00DE5D07"/>
    <w:rsid w:val="00DE5EFA"/>
    <w:rsid w:val="00DE72A7"/>
    <w:rsid w:val="00DE782F"/>
    <w:rsid w:val="00DE7832"/>
    <w:rsid w:val="00DE7B09"/>
    <w:rsid w:val="00DF08BC"/>
    <w:rsid w:val="00DF1053"/>
    <w:rsid w:val="00DF18FC"/>
    <w:rsid w:val="00DF3178"/>
    <w:rsid w:val="00DF38F5"/>
    <w:rsid w:val="00DF5D2B"/>
    <w:rsid w:val="00DF6341"/>
    <w:rsid w:val="00DF77B4"/>
    <w:rsid w:val="00DF7E30"/>
    <w:rsid w:val="00E007F8"/>
    <w:rsid w:val="00E00E8E"/>
    <w:rsid w:val="00E05630"/>
    <w:rsid w:val="00E06DBB"/>
    <w:rsid w:val="00E07697"/>
    <w:rsid w:val="00E10149"/>
    <w:rsid w:val="00E11340"/>
    <w:rsid w:val="00E11B01"/>
    <w:rsid w:val="00E122A1"/>
    <w:rsid w:val="00E13457"/>
    <w:rsid w:val="00E157DF"/>
    <w:rsid w:val="00E16372"/>
    <w:rsid w:val="00E16AD8"/>
    <w:rsid w:val="00E17E6F"/>
    <w:rsid w:val="00E17FFA"/>
    <w:rsid w:val="00E20E4D"/>
    <w:rsid w:val="00E20ED6"/>
    <w:rsid w:val="00E21358"/>
    <w:rsid w:val="00E2249B"/>
    <w:rsid w:val="00E22A0D"/>
    <w:rsid w:val="00E23659"/>
    <w:rsid w:val="00E23978"/>
    <w:rsid w:val="00E244F6"/>
    <w:rsid w:val="00E258DB"/>
    <w:rsid w:val="00E25F25"/>
    <w:rsid w:val="00E2771E"/>
    <w:rsid w:val="00E27FBB"/>
    <w:rsid w:val="00E3075C"/>
    <w:rsid w:val="00E30EC9"/>
    <w:rsid w:val="00E311EF"/>
    <w:rsid w:val="00E31E83"/>
    <w:rsid w:val="00E32180"/>
    <w:rsid w:val="00E32B95"/>
    <w:rsid w:val="00E34948"/>
    <w:rsid w:val="00E35482"/>
    <w:rsid w:val="00E37144"/>
    <w:rsid w:val="00E374AE"/>
    <w:rsid w:val="00E37569"/>
    <w:rsid w:val="00E401B2"/>
    <w:rsid w:val="00E40492"/>
    <w:rsid w:val="00E41E30"/>
    <w:rsid w:val="00E42F73"/>
    <w:rsid w:val="00E438B5"/>
    <w:rsid w:val="00E43D70"/>
    <w:rsid w:val="00E466F3"/>
    <w:rsid w:val="00E46C92"/>
    <w:rsid w:val="00E47B2C"/>
    <w:rsid w:val="00E50187"/>
    <w:rsid w:val="00E51560"/>
    <w:rsid w:val="00E51821"/>
    <w:rsid w:val="00E519A2"/>
    <w:rsid w:val="00E52B04"/>
    <w:rsid w:val="00E53FC8"/>
    <w:rsid w:val="00E54347"/>
    <w:rsid w:val="00E55424"/>
    <w:rsid w:val="00E55915"/>
    <w:rsid w:val="00E55B94"/>
    <w:rsid w:val="00E55BB5"/>
    <w:rsid w:val="00E55F5C"/>
    <w:rsid w:val="00E56AE8"/>
    <w:rsid w:val="00E57440"/>
    <w:rsid w:val="00E6043F"/>
    <w:rsid w:val="00E60B12"/>
    <w:rsid w:val="00E611DF"/>
    <w:rsid w:val="00E61FA9"/>
    <w:rsid w:val="00E630DA"/>
    <w:rsid w:val="00E65E79"/>
    <w:rsid w:val="00E66BA2"/>
    <w:rsid w:val="00E67416"/>
    <w:rsid w:val="00E677AC"/>
    <w:rsid w:val="00E70CE4"/>
    <w:rsid w:val="00E70D79"/>
    <w:rsid w:val="00E70FF1"/>
    <w:rsid w:val="00E71194"/>
    <w:rsid w:val="00E718B6"/>
    <w:rsid w:val="00E723BA"/>
    <w:rsid w:val="00E72AA6"/>
    <w:rsid w:val="00E73244"/>
    <w:rsid w:val="00E73581"/>
    <w:rsid w:val="00E74E78"/>
    <w:rsid w:val="00E81457"/>
    <w:rsid w:val="00E833F7"/>
    <w:rsid w:val="00E83BDF"/>
    <w:rsid w:val="00E842D6"/>
    <w:rsid w:val="00E85D61"/>
    <w:rsid w:val="00E86738"/>
    <w:rsid w:val="00E86FB2"/>
    <w:rsid w:val="00E86FCC"/>
    <w:rsid w:val="00E87A1D"/>
    <w:rsid w:val="00E87D72"/>
    <w:rsid w:val="00E900BA"/>
    <w:rsid w:val="00E90390"/>
    <w:rsid w:val="00E9094A"/>
    <w:rsid w:val="00E91D35"/>
    <w:rsid w:val="00E926A5"/>
    <w:rsid w:val="00E93395"/>
    <w:rsid w:val="00E962CC"/>
    <w:rsid w:val="00E97FF4"/>
    <w:rsid w:val="00EA17C3"/>
    <w:rsid w:val="00EA2CAA"/>
    <w:rsid w:val="00EA372A"/>
    <w:rsid w:val="00EA3864"/>
    <w:rsid w:val="00EA43D4"/>
    <w:rsid w:val="00EA7F1C"/>
    <w:rsid w:val="00EB035A"/>
    <w:rsid w:val="00EB0F52"/>
    <w:rsid w:val="00EB15B6"/>
    <w:rsid w:val="00EB17D1"/>
    <w:rsid w:val="00EB1BB9"/>
    <w:rsid w:val="00EB1E41"/>
    <w:rsid w:val="00EB2F75"/>
    <w:rsid w:val="00EB3D06"/>
    <w:rsid w:val="00EB4916"/>
    <w:rsid w:val="00EB5F35"/>
    <w:rsid w:val="00EC00C9"/>
    <w:rsid w:val="00EC01CD"/>
    <w:rsid w:val="00EC0344"/>
    <w:rsid w:val="00EC0DD9"/>
    <w:rsid w:val="00EC1C0B"/>
    <w:rsid w:val="00EC2649"/>
    <w:rsid w:val="00EC2C79"/>
    <w:rsid w:val="00EC31ED"/>
    <w:rsid w:val="00EC3762"/>
    <w:rsid w:val="00EC4BC6"/>
    <w:rsid w:val="00EC5836"/>
    <w:rsid w:val="00EC5C90"/>
    <w:rsid w:val="00EC688C"/>
    <w:rsid w:val="00EC73FD"/>
    <w:rsid w:val="00ED12E3"/>
    <w:rsid w:val="00ED459C"/>
    <w:rsid w:val="00ED4B04"/>
    <w:rsid w:val="00ED56EF"/>
    <w:rsid w:val="00ED57EA"/>
    <w:rsid w:val="00ED5BD4"/>
    <w:rsid w:val="00ED7294"/>
    <w:rsid w:val="00EE07D3"/>
    <w:rsid w:val="00EE0848"/>
    <w:rsid w:val="00EE1996"/>
    <w:rsid w:val="00EE1C01"/>
    <w:rsid w:val="00EE22AF"/>
    <w:rsid w:val="00EE36DE"/>
    <w:rsid w:val="00EE480D"/>
    <w:rsid w:val="00EF0171"/>
    <w:rsid w:val="00EF1B25"/>
    <w:rsid w:val="00EF1DA0"/>
    <w:rsid w:val="00EF308A"/>
    <w:rsid w:val="00EF3389"/>
    <w:rsid w:val="00EF4747"/>
    <w:rsid w:val="00EF48BF"/>
    <w:rsid w:val="00EF4BF8"/>
    <w:rsid w:val="00EF69F3"/>
    <w:rsid w:val="00EF6B11"/>
    <w:rsid w:val="00EF7168"/>
    <w:rsid w:val="00EF7ECE"/>
    <w:rsid w:val="00F00AD4"/>
    <w:rsid w:val="00F00B13"/>
    <w:rsid w:val="00F0189B"/>
    <w:rsid w:val="00F02253"/>
    <w:rsid w:val="00F0248B"/>
    <w:rsid w:val="00F03C2E"/>
    <w:rsid w:val="00F04204"/>
    <w:rsid w:val="00F04A66"/>
    <w:rsid w:val="00F04B4B"/>
    <w:rsid w:val="00F0516C"/>
    <w:rsid w:val="00F06711"/>
    <w:rsid w:val="00F067A2"/>
    <w:rsid w:val="00F07177"/>
    <w:rsid w:val="00F07B9E"/>
    <w:rsid w:val="00F1103C"/>
    <w:rsid w:val="00F1116F"/>
    <w:rsid w:val="00F1263A"/>
    <w:rsid w:val="00F139C5"/>
    <w:rsid w:val="00F15B77"/>
    <w:rsid w:val="00F16884"/>
    <w:rsid w:val="00F169A3"/>
    <w:rsid w:val="00F21236"/>
    <w:rsid w:val="00F22124"/>
    <w:rsid w:val="00F23B5A"/>
    <w:rsid w:val="00F246C5"/>
    <w:rsid w:val="00F24837"/>
    <w:rsid w:val="00F24B31"/>
    <w:rsid w:val="00F24B92"/>
    <w:rsid w:val="00F2575F"/>
    <w:rsid w:val="00F27565"/>
    <w:rsid w:val="00F27E06"/>
    <w:rsid w:val="00F310D4"/>
    <w:rsid w:val="00F31D5A"/>
    <w:rsid w:val="00F33975"/>
    <w:rsid w:val="00F33DE9"/>
    <w:rsid w:val="00F34030"/>
    <w:rsid w:val="00F35E6D"/>
    <w:rsid w:val="00F35E82"/>
    <w:rsid w:val="00F35EF4"/>
    <w:rsid w:val="00F3619A"/>
    <w:rsid w:val="00F3712C"/>
    <w:rsid w:val="00F40AAA"/>
    <w:rsid w:val="00F40BA7"/>
    <w:rsid w:val="00F40BF4"/>
    <w:rsid w:val="00F40F9D"/>
    <w:rsid w:val="00F413EE"/>
    <w:rsid w:val="00F41ACD"/>
    <w:rsid w:val="00F42922"/>
    <w:rsid w:val="00F42FE5"/>
    <w:rsid w:val="00F43111"/>
    <w:rsid w:val="00F43F43"/>
    <w:rsid w:val="00F46CB6"/>
    <w:rsid w:val="00F4756D"/>
    <w:rsid w:val="00F47DE8"/>
    <w:rsid w:val="00F542C1"/>
    <w:rsid w:val="00F54727"/>
    <w:rsid w:val="00F550E3"/>
    <w:rsid w:val="00F55E73"/>
    <w:rsid w:val="00F55EDA"/>
    <w:rsid w:val="00F566CD"/>
    <w:rsid w:val="00F56C80"/>
    <w:rsid w:val="00F5771C"/>
    <w:rsid w:val="00F60092"/>
    <w:rsid w:val="00F60496"/>
    <w:rsid w:val="00F61C18"/>
    <w:rsid w:val="00F649F1"/>
    <w:rsid w:val="00F65F4B"/>
    <w:rsid w:val="00F668B3"/>
    <w:rsid w:val="00F67698"/>
    <w:rsid w:val="00F67A69"/>
    <w:rsid w:val="00F70BFF"/>
    <w:rsid w:val="00F70C9D"/>
    <w:rsid w:val="00F73239"/>
    <w:rsid w:val="00F73E08"/>
    <w:rsid w:val="00F74CD9"/>
    <w:rsid w:val="00F755D0"/>
    <w:rsid w:val="00F756B4"/>
    <w:rsid w:val="00F771EF"/>
    <w:rsid w:val="00F80A7B"/>
    <w:rsid w:val="00F80E5D"/>
    <w:rsid w:val="00F81D5D"/>
    <w:rsid w:val="00F81E78"/>
    <w:rsid w:val="00F82DD3"/>
    <w:rsid w:val="00F83916"/>
    <w:rsid w:val="00F851CE"/>
    <w:rsid w:val="00F877F4"/>
    <w:rsid w:val="00F90257"/>
    <w:rsid w:val="00F91219"/>
    <w:rsid w:val="00F92444"/>
    <w:rsid w:val="00F9393E"/>
    <w:rsid w:val="00F945D0"/>
    <w:rsid w:val="00F945F4"/>
    <w:rsid w:val="00F9463A"/>
    <w:rsid w:val="00F96FD0"/>
    <w:rsid w:val="00F97A78"/>
    <w:rsid w:val="00FA0B20"/>
    <w:rsid w:val="00FA0F5E"/>
    <w:rsid w:val="00FA24E7"/>
    <w:rsid w:val="00FA336F"/>
    <w:rsid w:val="00FA499D"/>
    <w:rsid w:val="00FA5AF2"/>
    <w:rsid w:val="00FA5EE6"/>
    <w:rsid w:val="00FA73DD"/>
    <w:rsid w:val="00FA7956"/>
    <w:rsid w:val="00FB0824"/>
    <w:rsid w:val="00FB145F"/>
    <w:rsid w:val="00FB2E3A"/>
    <w:rsid w:val="00FB2FCB"/>
    <w:rsid w:val="00FB316E"/>
    <w:rsid w:val="00FB4ACF"/>
    <w:rsid w:val="00FB4C9C"/>
    <w:rsid w:val="00FB7C55"/>
    <w:rsid w:val="00FC05D7"/>
    <w:rsid w:val="00FC0908"/>
    <w:rsid w:val="00FC1074"/>
    <w:rsid w:val="00FC1884"/>
    <w:rsid w:val="00FC1BFF"/>
    <w:rsid w:val="00FC1F6E"/>
    <w:rsid w:val="00FC371D"/>
    <w:rsid w:val="00FC4A23"/>
    <w:rsid w:val="00FC4DBE"/>
    <w:rsid w:val="00FC5F0B"/>
    <w:rsid w:val="00FD0A4C"/>
    <w:rsid w:val="00FD140C"/>
    <w:rsid w:val="00FD2100"/>
    <w:rsid w:val="00FD284F"/>
    <w:rsid w:val="00FD436C"/>
    <w:rsid w:val="00FD446D"/>
    <w:rsid w:val="00FD4F2C"/>
    <w:rsid w:val="00FD60C8"/>
    <w:rsid w:val="00FD6394"/>
    <w:rsid w:val="00FD6F7A"/>
    <w:rsid w:val="00FE0E6C"/>
    <w:rsid w:val="00FE1153"/>
    <w:rsid w:val="00FE1CDC"/>
    <w:rsid w:val="00FE1DE1"/>
    <w:rsid w:val="00FE3C8A"/>
    <w:rsid w:val="00FE5E32"/>
    <w:rsid w:val="00FE70C3"/>
    <w:rsid w:val="00FE71A5"/>
    <w:rsid w:val="00FF1A8B"/>
    <w:rsid w:val="00FF2AD9"/>
    <w:rsid w:val="00FF359F"/>
    <w:rsid w:val="00FF3DCF"/>
    <w:rsid w:val="00FF492C"/>
    <w:rsid w:val="00FF4A21"/>
    <w:rsid w:val="00FF5367"/>
    <w:rsid w:val="00FF5AA3"/>
    <w:rsid w:val="00FF5AD8"/>
    <w:rsid w:val="00FF616B"/>
    <w:rsid w:val="00FF6E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2193"/>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rsid w:val="00E16AD8"/>
    <w:rPr>
      <w:rFonts w:ascii="Arial Narrow" w:hAnsi="Arial Narrow" w:cs="Arial"/>
      <w:b/>
      <w:bCs/>
      <w:szCs w:val="18"/>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RTI AMCP Table,Lash Style Table,Header Table,Source table_,NICE instructions,HealthConsult,HTAtableplain"/>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D625CA"/>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paragraph" w:styleId="FootnoteText">
    <w:name w:val="footnote text"/>
    <w:basedOn w:val="Normal"/>
    <w:link w:val="FootnoteTextChar"/>
    <w:unhideWhenUsed/>
    <w:rsid w:val="00D927DE"/>
    <w:rPr>
      <w:sz w:val="20"/>
      <w:szCs w:val="20"/>
    </w:rPr>
  </w:style>
  <w:style w:type="character" w:customStyle="1" w:styleId="FootnoteTextChar">
    <w:name w:val="Footnote Text Char"/>
    <w:basedOn w:val="DefaultParagraphFont"/>
    <w:link w:val="FootnoteText"/>
    <w:rsid w:val="00D927DE"/>
    <w:rPr>
      <w:rFonts w:ascii="Calibri" w:hAnsi="Calibri" w:cs="Arial"/>
    </w:rPr>
  </w:style>
  <w:style w:type="character" w:styleId="FootnoteReference">
    <w:name w:val="footnote reference"/>
    <w:basedOn w:val="DefaultParagraphFont"/>
    <w:unhideWhenUsed/>
    <w:rsid w:val="00D927DE"/>
    <w:rPr>
      <w:vertAlign w:val="superscript"/>
    </w:rPr>
  </w:style>
  <w:style w:type="paragraph" w:customStyle="1" w:styleId="V50Instructions">
    <w:name w:val="V5.0 Instructions"/>
    <w:basedOn w:val="Normal"/>
    <w:link w:val="V50InstructionsChar"/>
    <w:qFormat/>
    <w:rsid w:val="00922838"/>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922838"/>
    <w:rPr>
      <w:rFonts w:asciiTheme="minorHAnsi" w:eastAsiaTheme="minorHAnsi" w:hAnsiTheme="minorHAnsi" w:cstheme="minorBidi"/>
      <w:color w:val="4BACC6" w:themeColor="accent5"/>
      <w:sz w:val="24"/>
      <w:szCs w:val="22"/>
      <w:lang w:eastAsia="en-US"/>
    </w:rPr>
  </w:style>
  <w:style w:type="paragraph" w:customStyle="1" w:styleId="PBACESText">
    <w:name w:val="PBAC ES Text"/>
    <w:basedOn w:val="Normal"/>
    <w:qFormat/>
    <w:rsid w:val="00922838"/>
    <w:pPr>
      <w:spacing w:before="60" w:after="160"/>
    </w:pPr>
    <w:rPr>
      <w:sz w:val="22"/>
      <w:lang w:eastAsia="en-GB"/>
    </w:rPr>
  </w:style>
  <w:style w:type="table" w:customStyle="1" w:styleId="TableGridbeth3">
    <w:name w:val="Table Gridbeth3"/>
    <w:basedOn w:val="TableNormal"/>
    <w:next w:val="TableGrid"/>
    <w:uiPriority w:val="39"/>
    <w:rsid w:val="001362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
    <w:name w:val="Table Gridbeth5"/>
    <w:basedOn w:val="TableNormal"/>
    <w:next w:val="TableGrid"/>
    <w:uiPriority w:val="39"/>
    <w:rsid w:val="009D3D6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39"/>
    <w:rsid w:val="00957C5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ullet1">
    <w:name w:val="StyleBullet1"/>
    <w:basedOn w:val="Normal"/>
    <w:link w:val="StyleBullet1Char"/>
    <w:rsid w:val="00EB0F52"/>
    <w:pPr>
      <w:numPr>
        <w:numId w:val="9"/>
      </w:numPr>
      <w:tabs>
        <w:tab w:val="left" w:pos="198"/>
        <w:tab w:val="left" w:pos="1134"/>
      </w:tabs>
      <w:spacing w:after="120" w:line="360" w:lineRule="atLeast"/>
      <w:contextualSpacing/>
    </w:pPr>
    <w:rPr>
      <w:rFonts w:ascii="Trebuchet MS" w:hAnsi="Trebuchet MS"/>
      <w:bCs/>
      <w:color w:val="333333"/>
      <w:sz w:val="21"/>
      <w:szCs w:val="21"/>
      <w:lang w:val="en-US" w:eastAsia="nl-NL"/>
    </w:rPr>
  </w:style>
  <w:style w:type="character" w:customStyle="1" w:styleId="StyleBullet1Char">
    <w:name w:val="StyleBullet1 Char"/>
    <w:basedOn w:val="DefaultParagraphFont"/>
    <w:link w:val="StyleBullet1"/>
    <w:rsid w:val="00EB0F52"/>
    <w:rPr>
      <w:rFonts w:ascii="Trebuchet MS" w:hAnsi="Trebuchet MS" w:cs="Arial"/>
      <w:bCs/>
      <w:color w:val="333333"/>
      <w:sz w:val="21"/>
      <w:szCs w:val="21"/>
      <w:lang w:val="en-US" w:eastAsia="nl-NL"/>
    </w:rPr>
  </w:style>
  <w:style w:type="character" w:customStyle="1" w:styleId="cf01">
    <w:name w:val="cf01"/>
    <w:basedOn w:val="DefaultParagraphFont"/>
    <w:rsid w:val="00EB0F52"/>
    <w:rPr>
      <w:rFonts w:ascii="Segoe UI" w:hAnsi="Segoe UI" w:cs="Segoe UI" w:hint="default"/>
      <w:sz w:val="18"/>
      <w:szCs w:val="18"/>
    </w:rPr>
  </w:style>
  <w:style w:type="numbering" w:customStyle="1" w:styleId="PharmeritBulletList">
    <w:name w:val="Pharmerit: Bullet List"/>
    <w:uiPriority w:val="99"/>
    <w:rsid w:val="00EB0F52"/>
    <w:pPr>
      <w:numPr>
        <w:numId w:val="10"/>
      </w:numPr>
    </w:pPr>
  </w:style>
  <w:style w:type="character" w:customStyle="1" w:styleId="Heading4Char">
    <w:name w:val="Heading 4 Char"/>
    <w:basedOn w:val="DefaultParagraphFont"/>
    <w:link w:val="Heading4"/>
    <w:rsid w:val="00541772"/>
    <w:rPr>
      <w:rFonts w:ascii="Calibri" w:hAnsi="Calibri" w:cs="Arial"/>
      <w:b/>
      <w:bCs/>
      <w:i/>
      <w:sz w:val="26"/>
      <w:szCs w:val="28"/>
    </w:rPr>
  </w:style>
  <w:style w:type="character" w:customStyle="1" w:styleId="Heading1Char">
    <w:name w:val="Heading 1 Char"/>
    <w:basedOn w:val="DefaultParagraphFont"/>
    <w:link w:val="Heading1"/>
    <w:uiPriority w:val="1"/>
    <w:rsid w:val="00757A9C"/>
    <w:rPr>
      <w:rFonts w:ascii="Calibri" w:hAnsi="Calibri" w:cs="Arial"/>
      <w:b/>
      <w:caps/>
      <w:sz w:val="32"/>
      <w:szCs w:val="24"/>
    </w:rPr>
  </w:style>
  <w:style w:type="character" w:customStyle="1" w:styleId="Heading3Char">
    <w:name w:val="Heading 3 Char"/>
    <w:basedOn w:val="DefaultParagraphFont"/>
    <w:link w:val="Heading3"/>
    <w:rsid w:val="00757A9C"/>
    <w:rPr>
      <w:rFonts w:ascii="Calibri" w:hAnsi="Calibri" w:cs="Arial"/>
      <w:sz w:val="24"/>
      <w:szCs w:val="24"/>
      <w:u w:val="single"/>
    </w:rPr>
  </w:style>
  <w:style w:type="character" w:customStyle="1" w:styleId="Heading5Char">
    <w:name w:val="Heading 5 Char"/>
    <w:basedOn w:val="DefaultParagraphFont"/>
    <w:link w:val="Heading5"/>
    <w:rsid w:val="00757A9C"/>
    <w:rPr>
      <w:rFonts w:ascii="Calibri" w:hAnsi="Calibri" w:cs="Arial"/>
      <w:b/>
      <w:bCs/>
      <w:iCs/>
      <w:sz w:val="26"/>
      <w:szCs w:val="26"/>
    </w:rPr>
  </w:style>
  <w:style w:type="character" w:customStyle="1" w:styleId="Heading6Char">
    <w:name w:val="Heading 6 Char"/>
    <w:basedOn w:val="DefaultParagraphFont"/>
    <w:link w:val="Heading6"/>
    <w:rsid w:val="00757A9C"/>
    <w:rPr>
      <w:rFonts w:ascii="Calibri" w:hAnsi="Calibri" w:cs="Arial"/>
      <w:b/>
      <w:bCs/>
      <w:i/>
      <w:sz w:val="24"/>
      <w:szCs w:val="24"/>
    </w:rPr>
  </w:style>
  <w:style w:type="paragraph" w:customStyle="1" w:styleId="msonormal0">
    <w:name w:val="msonormal"/>
    <w:basedOn w:val="Normal"/>
    <w:uiPriority w:val="99"/>
    <w:rsid w:val="00757A9C"/>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757A9C"/>
    <w:rPr>
      <w:rFonts w:ascii="Calibri" w:hAnsi="Calibri" w:cs="Arial"/>
      <w:sz w:val="24"/>
      <w:szCs w:val="24"/>
    </w:rPr>
  </w:style>
  <w:style w:type="table" w:customStyle="1" w:styleId="TableGridbeth1">
    <w:name w:val="Table Gridbeth1"/>
    <w:basedOn w:val="TableNormal"/>
    <w:next w:val="TableGrid"/>
    <w:uiPriority w:val="39"/>
    <w:rsid w:val="0082104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2">
    <w:name w:val="Table Gridbeth2"/>
    <w:basedOn w:val="TableNormal"/>
    <w:next w:val="TableGrid"/>
    <w:uiPriority w:val="39"/>
    <w:rsid w:val="000A6E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tablefigurefooter">
    <w:name w:val="gmail-tablefigurefooter"/>
    <w:basedOn w:val="Normal"/>
    <w:rsid w:val="00EB035A"/>
    <w:pPr>
      <w:spacing w:before="100" w:beforeAutospacing="1" w:after="100" w:afterAutospacing="1"/>
      <w:jc w:val="left"/>
    </w:pPr>
    <w:rPr>
      <w:rFonts w:ascii="Times New Roman" w:eastAsiaTheme="minorEastAsia" w:hAnsi="Times New Roman" w:cs="Times New Roman"/>
      <w:lang w:eastAsia="zh-CN"/>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D35C91"/>
    <w:pPr>
      <w:spacing w:after="160" w:line="240" w:lineRule="exact"/>
      <w:jc w:val="left"/>
    </w:pPr>
    <w:rPr>
      <w:rFonts w:ascii="Verdana" w:eastAsia="MS Mincho" w:hAnsi="Verdana" w:cs="Verdana"/>
      <w:sz w:val="20"/>
      <w:szCs w:val="20"/>
      <w:lang w:val="en-US" w:eastAsia="en-US"/>
    </w:rPr>
  </w:style>
  <w:style w:type="character" w:customStyle="1" w:styleId="text-widget">
    <w:name w:val="text-widget"/>
    <w:basedOn w:val="DefaultParagraphFont"/>
    <w:rsid w:val="00D35C91"/>
  </w:style>
  <w:style w:type="table" w:customStyle="1" w:styleId="TableGrid1">
    <w:name w:val="Table Grid1"/>
    <w:basedOn w:val="TableNormal"/>
    <w:next w:val="TableGrid"/>
    <w:uiPriority w:val="39"/>
    <w:rsid w:val="00D35C91"/>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5C91"/>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5C91"/>
    <w:rPr>
      <w:color w:val="605E5C"/>
      <w:shd w:val="clear" w:color="auto" w:fill="E1DFDD"/>
    </w:rPr>
  </w:style>
  <w:style w:type="paragraph" w:customStyle="1" w:styleId="PBACTabletext">
    <w:name w:val="PBAC Table text"/>
    <w:qFormat/>
    <w:rsid w:val="00C92091"/>
    <w:pPr>
      <w:keepNext/>
      <w:keepLines/>
      <w:suppressLineNumbers/>
      <w:spacing w:after="20"/>
      <w:textboxTightWrap w:val="allLines"/>
    </w:pPr>
    <w:rPr>
      <w:rFonts w:ascii="Arial Narrow" w:hAnsi="Arial Narrow" w:cs="Arial"/>
      <w:szCs w:val="24"/>
      <w:lang w:eastAsia="en-GB"/>
    </w:rPr>
  </w:style>
  <w:style w:type="paragraph" w:customStyle="1" w:styleId="3-SubsectionHeading">
    <w:name w:val="3-Subsection Heading"/>
    <w:basedOn w:val="Heading2"/>
    <w:next w:val="Normal"/>
    <w:link w:val="3-SubsectionHeadingChar"/>
    <w:qFormat/>
    <w:rsid w:val="0064412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644126"/>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0021992">
      <w:bodyDiv w:val="1"/>
      <w:marLeft w:val="0"/>
      <w:marRight w:val="0"/>
      <w:marTop w:val="0"/>
      <w:marBottom w:val="0"/>
      <w:divBdr>
        <w:top w:val="none" w:sz="0" w:space="0" w:color="auto"/>
        <w:left w:val="none" w:sz="0" w:space="0" w:color="auto"/>
        <w:bottom w:val="none" w:sz="0" w:space="0" w:color="auto"/>
        <w:right w:val="none" w:sz="0" w:space="0" w:color="auto"/>
      </w:divBdr>
    </w:div>
    <w:div w:id="181431810">
      <w:bodyDiv w:val="1"/>
      <w:marLeft w:val="0"/>
      <w:marRight w:val="0"/>
      <w:marTop w:val="0"/>
      <w:marBottom w:val="0"/>
      <w:divBdr>
        <w:top w:val="none" w:sz="0" w:space="0" w:color="auto"/>
        <w:left w:val="none" w:sz="0" w:space="0" w:color="auto"/>
        <w:bottom w:val="none" w:sz="0" w:space="0" w:color="auto"/>
        <w:right w:val="none" w:sz="0" w:space="0" w:color="auto"/>
      </w:divBdr>
    </w:div>
    <w:div w:id="28739651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1298127">
      <w:bodyDiv w:val="1"/>
      <w:marLeft w:val="0"/>
      <w:marRight w:val="0"/>
      <w:marTop w:val="0"/>
      <w:marBottom w:val="0"/>
      <w:divBdr>
        <w:top w:val="none" w:sz="0" w:space="0" w:color="auto"/>
        <w:left w:val="none" w:sz="0" w:space="0" w:color="auto"/>
        <w:bottom w:val="none" w:sz="0" w:space="0" w:color="auto"/>
        <w:right w:val="none" w:sz="0" w:space="0" w:color="auto"/>
      </w:divBdr>
    </w:div>
    <w:div w:id="82012115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2106956">
      <w:bodyDiv w:val="1"/>
      <w:marLeft w:val="0"/>
      <w:marRight w:val="0"/>
      <w:marTop w:val="0"/>
      <w:marBottom w:val="0"/>
      <w:divBdr>
        <w:top w:val="none" w:sz="0" w:space="0" w:color="auto"/>
        <w:left w:val="none" w:sz="0" w:space="0" w:color="auto"/>
        <w:bottom w:val="none" w:sz="0" w:space="0" w:color="auto"/>
        <w:right w:val="none" w:sz="0" w:space="0" w:color="auto"/>
      </w:divBdr>
    </w:div>
    <w:div w:id="184859322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62178683">
      <w:bodyDiv w:val="1"/>
      <w:marLeft w:val="0"/>
      <w:marRight w:val="0"/>
      <w:marTop w:val="0"/>
      <w:marBottom w:val="0"/>
      <w:divBdr>
        <w:top w:val="none" w:sz="0" w:space="0" w:color="auto"/>
        <w:left w:val="none" w:sz="0" w:space="0" w:color="auto"/>
        <w:bottom w:val="none" w:sz="0" w:space="0" w:color="auto"/>
        <w:right w:val="none" w:sz="0" w:space="0" w:color="auto"/>
      </w:divBdr>
    </w:div>
    <w:div w:id="21239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rvicesaustralia.gov.au/hpo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vicesaustralia.gov.au/hpos"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da.gov/regulatory-information/search-fda-guidance-documents/ulcerative-colitis-clinical-trial-endpoints-guidance-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715C-5BC0-49D9-8349-FA17DAC5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23837</Words>
  <Characters>134177</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2023-10-20T05:16:00Z</dcterms:created>
  <dcterms:modified xsi:type="dcterms:W3CDTF">2023-10-23T04:49:00Z</dcterms:modified>
</cp:coreProperties>
</file>