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BE4ABB6" w:rsidR="00B60939" w:rsidRPr="007740E4" w:rsidRDefault="008B0B3C" w:rsidP="005C00E6">
      <w:pPr>
        <w:pStyle w:val="1-MainHeading"/>
        <w:ind w:left="851" w:hanging="851"/>
      </w:pPr>
      <w:bookmarkStart w:id="0" w:name="_Toc135210576"/>
      <w:r>
        <w:t>7.06</w:t>
      </w:r>
      <w:r w:rsidR="0021787C" w:rsidRPr="007740E4">
        <w:tab/>
        <w:t>ONASEMNOGENE ABEPARVOVEC</w:t>
      </w:r>
      <w:r w:rsidR="00163F66" w:rsidRPr="007740E4">
        <w:t>,</w:t>
      </w:r>
      <w:r w:rsidR="00163F66" w:rsidRPr="007740E4">
        <w:br/>
      </w:r>
      <w:r w:rsidR="0021787C" w:rsidRPr="007740E4">
        <w:t>Solution for injection</w:t>
      </w:r>
      <w:r w:rsidR="00163F66" w:rsidRPr="007740E4">
        <w:t>,</w:t>
      </w:r>
      <w:r w:rsidR="00163F66" w:rsidRPr="007740E4">
        <w:br/>
      </w:r>
      <w:r w:rsidR="005C00E6">
        <w:t>C</w:t>
      </w:r>
      <w:r w:rsidR="0021787C" w:rsidRPr="007740E4">
        <w:t>ustomised based on patient weight</w:t>
      </w:r>
      <w:r w:rsidR="00163F66" w:rsidRPr="007740E4">
        <w:t>,</w:t>
      </w:r>
      <w:r w:rsidR="00163F66" w:rsidRPr="007740E4">
        <w:br/>
      </w:r>
      <w:r w:rsidR="0021787C" w:rsidRPr="007740E4">
        <w:t>Zolgensma®</w:t>
      </w:r>
      <w:r w:rsidR="004A6040" w:rsidRPr="007740E4">
        <w:t>,</w:t>
      </w:r>
      <w:r w:rsidR="004A6040" w:rsidRPr="007740E4">
        <w:br/>
      </w:r>
      <w:r w:rsidR="0021787C" w:rsidRPr="007740E4">
        <w:t>Novartis Pharmaceuticals Australia Pty Ltd.</w:t>
      </w:r>
      <w:bookmarkEnd w:id="0"/>
    </w:p>
    <w:p w14:paraId="496C47E2" w14:textId="77777777" w:rsidR="0014093D" w:rsidRPr="007740E4" w:rsidRDefault="0014093D" w:rsidP="0014093D">
      <w:pPr>
        <w:pStyle w:val="2-SectionHeading"/>
        <w:numPr>
          <w:ilvl w:val="0"/>
          <w:numId w:val="1"/>
        </w:numPr>
      </w:pPr>
      <w:bookmarkStart w:id="1" w:name="_Toc135210578"/>
      <w:r w:rsidRPr="007740E4">
        <w:t>Purpose of submission</w:t>
      </w:r>
      <w:bookmarkEnd w:id="1"/>
    </w:p>
    <w:p w14:paraId="5A0E74C7" w14:textId="2578A98B" w:rsidR="0014093D" w:rsidRPr="007740E4" w:rsidRDefault="0014093D" w:rsidP="0014093D">
      <w:pPr>
        <w:pStyle w:val="3-BodyText"/>
      </w:pPr>
      <w:r w:rsidRPr="007740E4">
        <w:t>The Standard Re-entry resubmission requested an extension to the Section 100 (Highly Specialised Drugs Program), Authority Required (Written) listing for onasemnogene abeparvovec (ONA) for the pre-symptomatic treatment of babies with spinal muscular atrophy (SMA) and 3 copies of the Survival Motor Neuron</w:t>
      </w:r>
      <w:r w:rsidR="00FE1D37" w:rsidRPr="007740E4">
        <w:t xml:space="preserve"> 2</w:t>
      </w:r>
      <w:r w:rsidRPr="007740E4">
        <w:t xml:space="preserve"> (</w:t>
      </w:r>
      <w:r w:rsidR="00B64F80" w:rsidRPr="007740E4">
        <w:rPr>
          <w:i/>
        </w:rPr>
        <w:t>SMN2</w:t>
      </w:r>
      <w:r w:rsidRPr="007740E4">
        <w:t xml:space="preserve">) gene. </w:t>
      </w:r>
    </w:p>
    <w:p w14:paraId="77A2E1AA" w14:textId="2203E98F" w:rsidR="0014093D" w:rsidRPr="007740E4" w:rsidRDefault="0014093D" w:rsidP="0014093D">
      <w:pPr>
        <w:pStyle w:val="3-BodyText"/>
      </w:pPr>
      <w:r w:rsidRPr="007740E4">
        <w:t xml:space="preserve">Listing was requested on the basis of a cost-minimisation approach versus ONA administered in a different population (pre-symptomatic treatment of patients with SMA and 1-2 copies of the </w:t>
      </w:r>
      <w:r w:rsidR="00B64F80" w:rsidRPr="007740E4">
        <w:rPr>
          <w:i/>
        </w:rPr>
        <w:t>SMN2</w:t>
      </w:r>
      <w:r w:rsidRPr="007740E4">
        <w:t xml:space="preserve"> gene). </w:t>
      </w:r>
      <w:r w:rsidRPr="007740E4">
        <w:fldChar w:fldCharType="begin" w:fldLock="1"/>
      </w:r>
      <w:r w:rsidRPr="007740E4">
        <w:instrText xml:space="preserve"> REF _Ref134208757 \h </w:instrText>
      </w:r>
      <w:r w:rsidRPr="007740E4">
        <w:fldChar w:fldCharType="separate"/>
      </w:r>
      <w:r w:rsidR="007866DB" w:rsidRPr="007740E4">
        <w:t xml:space="preserve">Table </w:t>
      </w:r>
      <w:r w:rsidR="007866DB">
        <w:rPr>
          <w:noProof/>
        </w:rPr>
        <w:t>1</w:t>
      </w:r>
      <w:r w:rsidRPr="007740E4">
        <w:fldChar w:fldCharType="end"/>
      </w:r>
      <w:r w:rsidRPr="007740E4">
        <w:t xml:space="preserve"> provides a summary of the key components of the resubmission. </w:t>
      </w:r>
    </w:p>
    <w:p w14:paraId="3EB81BC3" w14:textId="683B9733" w:rsidR="0014093D" w:rsidRPr="007740E4" w:rsidRDefault="0014093D" w:rsidP="0014093D">
      <w:pPr>
        <w:pStyle w:val="TableFigureHeading"/>
        <w:rPr>
          <w:rStyle w:val="CommentReference"/>
          <w:b/>
          <w:szCs w:val="24"/>
        </w:rPr>
      </w:pPr>
      <w:bookmarkStart w:id="2" w:name="_Ref134208757"/>
      <w:r w:rsidRPr="007740E4">
        <w:t xml:space="preserve">Table </w:t>
      </w:r>
      <w:fldSimple w:instr=" SEQ Table \* ARABIC " w:fldLock="1">
        <w:r w:rsidR="0084520A">
          <w:rPr>
            <w:noProof/>
          </w:rPr>
          <w:t>1</w:t>
        </w:r>
      </w:fldSimple>
      <w:bookmarkEnd w:id="2"/>
      <w:r w:rsidRPr="007740E4">
        <w:t>:</w:t>
      </w:r>
      <w:r w:rsidRPr="007740E4">
        <w:rPr>
          <w:rStyle w:val="CommentReference"/>
          <w:b/>
          <w:szCs w:val="24"/>
        </w:rPr>
        <w:t xml:space="preserve"> Key components of the clinical issue addressed by the resubmission (as stated in the resubmission)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as stated in the resubmission)"/>
      </w:tblPr>
      <w:tblGrid>
        <w:gridCol w:w="1435"/>
        <w:gridCol w:w="7721"/>
      </w:tblGrid>
      <w:tr w:rsidR="0014093D" w:rsidRPr="00820898" w14:paraId="2242C4CE" w14:textId="77777777" w:rsidTr="00B00909">
        <w:trPr>
          <w:cantSplit/>
        </w:trPr>
        <w:tc>
          <w:tcPr>
            <w:tcW w:w="1435" w:type="dxa"/>
            <w:vAlign w:val="center"/>
          </w:tcPr>
          <w:p w14:paraId="380DDBFC" w14:textId="77777777" w:rsidR="0014093D" w:rsidRPr="00820898" w:rsidRDefault="0014093D" w:rsidP="00EF68D9">
            <w:pPr>
              <w:pStyle w:val="In-tableHeading"/>
              <w:rPr>
                <w:lang w:val="en-AU"/>
              </w:rPr>
            </w:pPr>
            <w:r w:rsidRPr="00820898">
              <w:rPr>
                <w:lang w:val="en-AU"/>
              </w:rPr>
              <w:t>Component</w:t>
            </w:r>
          </w:p>
        </w:tc>
        <w:tc>
          <w:tcPr>
            <w:tcW w:w="7721" w:type="dxa"/>
            <w:vAlign w:val="center"/>
          </w:tcPr>
          <w:p w14:paraId="06BD2BB7" w14:textId="77777777" w:rsidR="0014093D" w:rsidRPr="00820898" w:rsidRDefault="0014093D" w:rsidP="00EF68D9">
            <w:pPr>
              <w:pStyle w:val="In-tableHeading"/>
              <w:rPr>
                <w:lang w:val="en-AU"/>
              </w:rPr>
            </w:pPr>
            <w:r w:rsidRPr="00820898">
              <w:rPr>
                <w:lang w:val="en-AU"/>
              </w:rPr>
              <w:t>Description</w:t>
            </w:r>
          </w:p>
        </w:tc>
      </w:tr>
      <w:tr w:rsidR="0014093D" w:rsidRPr="00820898" w14:paraId="07D9CE48" w14:textId="77777777" w:rsidTr="00B00909">
        <w:trPr>
          <w:cantSplit/>
        </w:trPr>
        <w:tc>
          <w:tcPr>
            <w:tcW w:w="1435" w:type="dxa"/>
            <w:vAlign w:val="center"/>
          </w:tcPr>
          <w:p w14:paraId="7684C496" w14:textId="77777777" w:rsidR="0014093D" w:rsidRPr="00820898" w:rsidRDefault="0014093D" w:rsidP="00EF68D9">
            <w:pPr>
              <w:pStyle w:val="TableText0"/>
            </w:pPr>
            <w:r w:rsidRPr="00820898">
              <w:t>Population</w:t>
            </w:r>
          </w:p>
        </w:tc>
        <w:tc>
          <w:tcPr>
            <w:tcW w:w="7721" w:type="dxa"/>
            <w:vAlign w:val="center"/>
          </w:tcPr>
          <w:p w14:paraId="5E769FB5" w14:textId="678ED292" w:rsidR="0014093D" w:rsidRPr="004E0C19" w:rsidRDefault="0014093D" w:rsidP="00EF68D9">
            <w:pPr>
              <w:pStyle w:val="TableText0"/>
              <w:rPr>
                <w:i/>
                <w:iCs/>
              </w:rPr>
            </w:pPr>
            <w:r w:rsidRPr="00820898">
              <w:t>Paediatric patients less than 9 months of age with spinal muscular atrophy (SMA) with bi-allelic mutations in the survival motor neuron 1 (</w:t>
            </w:r>
            <w:r w:rsidR="00B64F80" w:rsidRPr="002A7E48">
              <w:rPr>
                <w:i/>
                <w:iCs/>
              </w:rPr>
              <w:t>SMN1</w:t>
            </w:r>
            <w:r w:rsidRPr="00820898">
              <w:t xml:space="preserve">) gene and 3 copies of the </w:t>
            </w:r>
            <w:r w:rsidR="00484DEE" w:rsidRPr="00484DEE">
              <w:rPr>
                <w:i/>
              </w:rPr>
              <w:t>SMN2</w:t>
            </w:r>
            <w:r w:rsidRPr="00820898">
              <w:t xml:space="preserve"> gene. </w:t>
            </w:r>
          </w:p>
        </w:tc>
      </w:tr>
      <w:tr w:rsidR="0014093D" w:rsidRPr="00820898" w14:paraId="34669A6C" w14:textId="77777777" w:rsidTr="00B00909">
        <w:tc>
          <w:tcPr>
            <w:tcW w:w="1435" w:type="dxa"/>
            <w:vAlign w:val="center"/>
          </w:tcPr>
          <w:p w14:paraId="49CB465F" w14:textId="77777777" w:rsidR="0014093D" w:rsidRPr="00820898" w:rsidRDefault="0014093D" w:rsidP="00EF68D9">
            <w:pPr>
              <w:pStyle w:val="TableText0"/>
            </w:pPr>
            <w:r w:rsidRPr="00820898">
              <w:t>Intervention</w:t>
            </w:r>
          </w:p>
        </w:tc>
        <w:tc>
          <w:tcPr>
            <w:tcW w:w="7721" w:type="dxa"/>
            <w:vAlign w:val="center"/>
          </w:tcPr>
          <w:p w14:paraId="1657766B" w14:textId="453833B5" w:rsidR="0014093D" w:rsidRPr="00820898" w:rsidRDefault="0014093D" w:rsidP="00EF68D9">
            <w:pPr>
              <w:pStyle w:val="TableText0"/>
            </w:pPr>
            <w:r w:rsidRPr="00820898">
              <w:t>Onasemnogene abeparvovec (ONA), administered as a single intravenous infusion through a venous catheter delivered over 60 minutes. The recommended dose is 1.1 x 10</w:t>
            </w:r>
            <w:r w:rsidRPr="00820898">
              <w:rPr>
                <w:rFonts w:eastAsia="MS Gothic" w:cs="Times New Roman"/>
                <w:vertAlign w:val="superscript"/>
              </w:rPr>
              <w:t>14</w:t>
            </w:r>
            <w:r w:rsidRPr="00820898">
              <w:t xml:space="preserve"> vector genomes per kilogram (vg/kg) of body weight, to be individually made up by the sponsor for each patient. </w:t>
            </w:r>
          </w:p>
        </w:tc>
      </w:tr>
      <w:tr w:rsidR="0014093D" w:rsidRPr="00820898" w14:paraId="6B6B178A" w14:textId="77777777" w:rsidTr="00B00909">
        <w:trPr>
          <w:cantSplit/>
        </w:trPr>
        <w:tc>
          <w:tcPr>
            <w:tcW w:w="1435" w:type="dxa"/>
            <w:vAlign w:val="center"/>
          </w:tcPr>
          <w:p w14:paraId="5F3EF9DF" w14:textId="77777777" w:rsidR="0014093D" w:rsidRPr="00820898" w:rsidRDefault="0014093D" w:rsidP="00EF68D9">
            <w:pPr>
              <w:pStyle w:val="TableText0"/>
            </w:pPr>
            <w:r w:rsidRPr="00820898">
              <w:t>Comparator</w:t>
            </w:r>
          </w:p>
        </w:tc>
        <w:tc>
          <w:tcPr>
            <w:tcW w:w="7721" w:type="dxa"/>
            <w:vAlign w:val="center"/>
          </w:tcPr>
          <w:p w14:paraId="0E04DBA6" w14:textId="4A9FC1D0" w:rsidR="0014093D" w:rsidRPr="00820898" w:rsidRDefault="0014093D" w:rsidP="00EF68D9">
            <w:pPr>
              <w:pStyle w:val="TableText0"/>
            </w:pPr>
            <w:r w:rsidRPr="00820898">
              <w:t>Paediatric patients less than 9 months of age with spinal muscular atrophy (SMA) with bi-allelic mutations in the survival motor neuron 1 (</w:t>
            </w:r>
            <w:r w:rsidR="00B64F80" w:rsidRPr="002A7E48">
              <w:rPr>
                <w:i/>
                <w:iCs/>
              </w:rPr>
              <w:t>SMN1</w:t>
            </w:r>
            <w:r w:rsidRPr="00820898">
              <w:t xml:space="preserve">) gene and 2 copies of the </w:t>
            </w:r>
            <w:r w:rsidR="00EA2BFF" w:rsidRPr="00EA2BFF">
              <w:rPr>
                <w:i/>
              </w:rPr>
              <w:t>SMN2</w:t>
            </w:r>
            <w:r w:rsidRPr="00820898">
              <w:t xml:space="preserve"> gene treated with onasemnogene abeparvovec (administered as above)</w:t>
            </w:r>
            <w:r w:rsidR="00B12705">
              <w:t>.</w:t>
            </w:r>
            <w:r w:rsidRPr="00820898">
              <w:t xml:space="preserve"> </w:t>
            </w:r>
          </w:p>
        </w:tc>
      </w:tr>
      <w:tr w:rsidR="0014093D" w:rsidRPr="00820898" w14:paraId="3E922B18" w14:textId="77777777" w:rsidTr="00B00909">
        <w:trPr>
          <w:cantSplit/>
        </w:trPr>
        <w:tc>
          <w:tcPr>
            <w:tcW w:w="1435" w:type="dxa"/>
            <w:vAlign w:val="center"/>
          </w:tcPr>
          <w:p w14:paraId="0672F7BB" w14:textId="77777777" w:rsidR="0014093D" w:rsidRPr="00820898" w:rsidRDefault="0014093D" w:rsidP="00EF68D9">
            <w:pPr>
              <w:pStyle w:val="TableText0"/>
            </w:pPr>
            <w:r w:rsidRPr="00820898">
              <w:t>Outcomes</w:t>
            </w:r>
          </w:p>
        </w:tc>
        <w:tc>
          <w:tcPr>
            <w:tcW w:w="7721" w:type="dxa"/>
            <w:vAlign w:val="center"/>
          </w:tcPr>
          <w:p w14:paraId="0396784F" w14:textId="423AC7DE" w:rsidR="0014093D" w:rsidRPr="00820898" w:rsidRDefault="0014093D" w:rsidP="00EF68D9">
            <w:pPr>
              <w:pStyle w:val="TableText0"/>
            </w:pPr>
            <w:r w:rsidRPr="00820898">
              <w:t>Milestone developments (e.g. standing and walking)</w:t>
            </w:r>
            <w:r w:rsidR="00B12705">
              <w:t>.</w:t>
            </w:r>
          </w:p>
        </w:tc>
      </w:tr>
      <w:tr w:rsidR="0014093D" w:rsidRPr="00820898" w14:paraId="2A466D6C" w14:textId="77777777" w:rsidTr="00B00909">
        <w:trPr>
          <w:cantSplit/>
        </w:trPr>
        <w:tc>
          <w:tcPr>
            <w:tcW w:w="1435" w:type="dxa"/>
            <w:vAlign w:val="center"/>
          </w:tcPr>
          <w:p w14:paraId="088BFAA2" w14:textId="77777777" w:rsidR="0014093D" w:rsidRPr="00820898" w:rsidRDefault="0014093D" w:rsidP="00EF68D9">
            <w:pPr>
              <w:pStyle w:val="TableText0"/>
            </w:pPr>
            <w:r w:rsidRPr="00820898">
              <w:t>Clinical claim</w:t>
            </w:r>
          </w:p>
        </w:tc>
        <w:tc>
          <w:tcPr>
            <w:tcW w:w="7721" w:type="dxa"/>
            <w:vAlign w:val="center"/>
          </w:tcPr>
          <w:p w14:paraId="094B569D" w14:textId="1182483A" w:rsidR="0014093D" w:rsidRPr="00820898" w:rsidRDefault="0014093D" w:rsidP="00EC5234">
            <w:pPr>
              <w:pStyle w:val="TableText0"/>
            </w:pPr>
            <w:r w:rsidRPr="00820898">
              <w:t>Pre-symptomatic treatment of patients with spinal muscular atrophy (SMA) with bi-allelic mutations in the survival motor neuron 1 (</w:t>
            </w:r>
            <w:r w:rsidR="00B64F80" w:rsidRPr="002A7E48">
              <w:rPr>
                <w:i/>
                <w:iCs/>
              </w:rPr>
              <w:t>SMN1</w:t>
            </w:r>
            <w:r w:rsidRPr="00820898">
              <w:t xml:space="preserve">) gene and 3 copies of the </w:t>
            </w:r>
            <w:r w:rsidR="00EA2BFF" w:rsidRPr="00EA2BFF">
              <w:rPr>
                <w:i/>
              </w:rPr>
              <w:t>SMN2</w:t>
            </w:r>
            <w:r w:rsidRPr="00820898">
              <w:t xml:space="preserve"> gene with onasemnogene abeparvovec is non-inferior to the pre-symptomatic treatment of babies with 2 copies of the </w:t>
            </w:r>
            <w:r w:rsidR="00EA2BFF" w:rsidRPr="00EA2BFF">
              <w:rPr>
                <w:i/>
              </w:rPr>
              <w:t>SMN2</w:t>
            </w:r>
            <w:r w:rsidRPr="00820898">
              <w:t xml:space="preserve"> gene with respect to developmental milestones and safety. </w:t>
            </w:r>
          </w:p>
        </w:tc>
      </w:tr>
    </w:tbl>
    <w:p w14:paraId="6AE09E66" w14:textId="77777777" w:rsidR="0014093D" w:rsidRPr="007740E4" w:rsidRDefault="0014093D" w:rsidP="0014093D">
      <w:pPr>
        <w:pStyle w:val="FooterTableFigure"/>
      </w:pPr>
      <w:r w:rsidRPr="007740E4">
        <w:t>Source: Table 1.1, p27 of the resubmission.</w:t>
      </w:r>
    </w:p>
    <w:p w14:paraId="69FB7661" w14:textId="6C7A409E" w:rsidR="0014093D" w:rsidRPr="007740E4" w:rsidRDefault="0014093D" w:rsidP="0014093D">
      <w:pPr>
        <w:pStyle w:val="FooterTableFigure"/>
      </w:pPr>
      <w:r w:rsidRPr="007740E4">
        <w:t xml:space="preserve">ONA= Onasemnogene abeparvovec; SMA=spinal muscular atrophy; SMN=survival motor neuron </w:t>
      </w:r>
    </w:p>
    <w:p w14:paraId="6EF95BE7" w14:textId="0DA61121" w:rsidR="0014093D" w:rsidRPr="0047331C" w:rsidRDefault="00A04F84" w:rsidP="0014093D">
      <w:pPr>
        <w:pStyle w:val="3-BodyText"/>
      </w:pPr>
      <w:r>
        <w:t>T</w:t>
      </w:r>
      <w:r w:rsidR="00B67D98" w:rsidRPr="0047331C">
        <w:t xml:space="preserve">he </w:t>
      </w:r>
      <w:r w:rsidR="008A4F0C">
        <w:t xml:space="preserve">resubmission’s </w:t>
      </w:r>
      <w:r w:rsidR="00B67D98" w:rsidRPr="0047331C">
        <w:t>clinical claim was that</w:t>
      </w:r>
      <w:r w:rsidR="008A4F0C">
        <w:t xml:space="preserve"> p</w:t>
      </w:r>
      <w:r w:rsidR="00B67D98" w:rsidRPr="0047331C">
        <w:t>re-symptomatic treatment of patients with spinal muscular atrophy (SMA) with bi-allelic mutations in the survival motor neuron 1 (</w:t>
      </w:r>
      <w:r w:rsidR="00B67D98" w:rsidRPr="002A7E48">
        <w:rPr>
          <w:i/>
          <w:iCs/>
        </w:rPr>
        <w:t>SMN1</w:t>
      </w:r>
      <w:r w:rsidR="00B67D98" w:rsidRPr="0047331C">
        <w:t xml:space="preserve">) gene and 3 copies of the </w:t>
      </w:r>
      <w:r w:rsidR="00484DEE" w:rsidRPr="00484DEE">
        <w:rPr>
          <w:i/>
        </w:rPr>
        <w:t>SMN2</w:t>
      </w:r>
      <w:r w:rsidR="00B67D98" w:rsidRPr="0047331C">
        <w:t xml:space="preserve"> gene with onasemnogene abeparvovec is non-inferior to the pre-symptomatic treatment of babies with 2 copies of the </w:t>
      </w:r>
      <w:r w:rsidR="00484DEE" w:rsidRPr="00484DEE">
        <w:rPr>
          <w:i/>
        </w:rPr>
        <w:t>SMN2</w:t>
      </w:r>
      <w:r w:rsidR="00B67D98" w:rsidRPr="0047331C">
        <w:t xml:space="preserve"> gene with respect to developmental milestones and safety</w:t>
      </w:r>
      <w:r w:rsidR="00B12705" w:rsidRPr="0047331C">
        <w:t>.</w:t>
      </w:r>
      <w:r w:rsidR="00B67D98" w:rsidRPr="0047331C">
        <w:t xml:space="preserve"> </w:t>
      </w:r>
    </w:p>
    <w:p w14:paraId="699B0EA4" w14:textId="36FABD79" w:rsidR="00124D45" w:rsidRPr="00820898" w:rsidRDefault="00124D45" w:rsidP="00124D45">
      <w:pPr>
        <w:pStyle w:val="3-BodyText"/>
      </w:pPr>
      <w:r w:rsidRPr="00820898">
        <w:t>The resubmission was based on the following key assumptions, some of which were not well supported</w:t>
      </w:r>
      <w:r w:rsidR="00352F30">
        <w:t>, as noted below</w:t>
      </w:r>
      <w:r w:rsidRPr="00820898">
        <w:rPr>
          <w:b/>
        </w:rPr>
        <w:t xml:space="preserve">: </w:t>
      </w:r>
    </w:p>
    <w:p w14:paraId="4C4180E6" w14:textId="77777777" w:rsidR="00352F30" w:rsidRDefault="00124D45" w:rsidP="00CC1FDE">
      <w:pPr>
        <w:pStyle w:val="Bulletpoints"/>
        <w:widowControl w:val="0"/>
        <w:numPr>
          <w:ilvl w:val="0"/>
          <w:numId w:val="7"/>
        </w:numPr>
        <w:ind w:left="1134" w:hanging="425"/>
        <w:contextualSpacing w:val="0"/>
        <w:rPr>
          <w:rFonts w:ascii="Calibri" w:hAnsi="Calibri"/>
          <w:lang w:eastAsia="en-US"/>
        </w:rPr>
      </w:pPr>
      <w:r w:rsidRPr="007740E4">
        <w:rPr>
          <w:rFonts w:ascii="Calibri" w:hAnsi="Calibri"/>
          <w:lang w:eastAsia="en-US"/>
        </w:rPr>
        <w:lastRenderedPageBreak/>
        <w:t xml:space="preserve">The pre-symptomatic treatment of </w:t>
      </w:r>
      <w:r w:rsidR="00486AF8">
        <w:rPr>
          <w:rFonts w:ascii="Calibri" w:hAnsi="Calibri"/>
          <w:lang w:eastAsia="en-US"/>
        </w:rPr>
        <w:t xml:space="preserve">patients aged &lt;9 months with </w:t>
      </w:r>
      <w:r w:rsidRPr="007740E4">
        <w:rPr>
          <w:rFonts w:ascii="Calibri" w:hAnsi="Calibri"/>
          <w:lang w:eastAsia="en-US"/>
        </w:rPr>
        <w:t xml:space="preserve">3 </w:t>
      </w:r>
      <w:r w:rsidR="00486AF8">
        <w:rPr>
          <w:rFonts w:ascii="Calibri" w:hAnsi="Calibri"/>
          <w:lang w:eastAsia="en-US"/>
        </w:rPr>
        <w:t xml:space="preserve">copies of </w:t>
      </w:r>
      <w:r w:rsidRPr="007740E4">
        <w:rPr>
          <w:rFonts w:ascii="Calibri" w:hAnsi="Calibri"/>
          <w:i/>
          <w:lang w:eastAsia="en-US"/>
        </w:rPr>
        <w:t>SMN2</w:t>
      </w:r>
      <w:r w:rsidRPr="007740E4">
        <w:rPr>
          <w:rFonts w:ascii="Calibri" w:hAnsi="Calibri"/>
          <w:lang w:eastAsia="en-US"/>
        </w:rPr>
        <w:t xml:space="preserve"> would lead to better outcomes than treating </w:t>
      </w:r>
      <w:r w:rsidR="00100F64">
        <w:rPr>
          <w:rFonts w:ascii="Calibri" w:hAnsi="Calibri"/>
          <w:lang w:eastAsia="en-US"/>
        </w:rPr>
        <w:t xml:space="preserve">patients aged &lt;9 months with </w:t>
      </w:r>
      <w:r w:rsidRPr="007740E4">
        <w:rPr>
          <w:rFonts w:ascii="Calibri" w:hAnsi="Calibri"/>
          <w:lang w:eastAsia="en-US"/>
        </w:rPr>
        <w:t xml:space="preserve">1-2 </w:t>
      </w:r>
      <w:r w:rsidR="00100F64">
        <w:rPr>
          <w:rFonts w:ascii="Calibri" w:hAnsi="Calibri"/>
          <w:lang w:eastAsia="en-US"/>
        </w:rPr>
        <w:t xml:space="preserve">copies of </w:t>
      </w:r>
      <w:r w:rsidRPr="007740E4">
        <w:rPr>
          <w:rFonts w:ascii="Calibri" w:hAnsi="Calibri"/>
          <w:i/>
          <w:lang w:eastAsia="en-US"/>
        </w:rPr>
        <w:t>SMN2</w:t>
      </w:r>
      <w:r w:rsidRPr="007740E4">
        <w:rPr>
          <w:rFonts w:ascii="Calibri" w:hAnsi="Calibri"/>
          <w:lang w:eastAsia="en-US"/>
        </w:rPr>
        <w:t xml:space="preserve"> and the value is comparable, if not better</w:t>
      </w:r>
      <w:r w:rsidRPr="00820898">
        <w:rPr>
          <w:rFonts w:ascii="Calibri" w:hAnsi="Calibri"/>
          <w:lang w:eastAsia="en-US"/>
        </w:rPr>
        <w:t xml:space="preserve">. </w:t>
      </w:r>
    </w:p>
    <w:p w14:paraId="7C8D8E34" w14:textId="33196442" w:rsidR="00124D45" w:rsidRPr="007740E4" w:rsidRDefault="00352F30" w:rsidP="00352F30">
      <w:pPr>
        <w:pStyle w:val="Bulletpoints"/>
        <w:widowControl w:val="0"/>
        <w:numPr>
          <w:ilvl w:val="0"/>
          <w:numId w:val="0"/>
        </w:numPr>
        <w:ind w:left="1134"/>
        <w:contextualSpacing w:val="0"/>
        <w:rPr>
          <w:rFonts w:ascii="Calibri" w:hAnsi="Calibri"/>
          <w:lang w:eastAsia="en-US"/>
        </w:rPr>
      </w:pPr>
      <w:r>
        <w:t>T</w:t>
      </w:r>
      <w:r w:rsidR="00124D45" w:rsidRPr="00820898">
        <w:t xml:space="preserve">his may not be supported and was inconsistent with the view held previously by PBAC that overall, </w:t>
      </w:r>
      <w:r w:rsidR="00740252" w:rsidRPr="00820898">
        <w:t>“</w:t>
      </w:r>
      <w:r w:rsidR="00124D45" w:rsidRPr="00820898">
        <w:t>the incremental benefit of pre</w:t>
      </w:r>
      <w:r w:rsidR="00740252" w:rsidRPr="00820898">
        <w:t>-</w:t>
      </w:r>
      <w:r w:rsidR="00124D45" w:rsidRPr="00820898">
        <w:t xml:space="preserve">symptomatic treatment with ONA compared to symptomatic treatment with disease modifying therapies for patients with 3 </w:t>
      </w:r>
      <w:r w:rsidR="00EA2BFF" w:rsidRPr="00EA2BFF">
        <w:rPr>
          <w:i/>
        </w:rPr>
        <w:t>SMN2</w:t>
      </w:r>
      <w:r w:rsidR="00124D45" w:rsidRPr="00820898">
        <w:t xml:space="preserve"> copies would be less than that for patients with 1-2 </w:t>
      </w:r>
      <w:r w:rsidR="00EA2BFF" w:rsidRPr="00EA2BFF">
        <w:rPr>
          <w:i/>
        </w:rPr>
        <w:t>SMN2</w:t>
      </w:r>
      <w:r w:rsidR="00124D45" w:rsidRPr="00820898">
        <w:t xml:space="preserve"> copies” (paragraph 7.6, onasemnogene abeparvovec</w:t>
      </w:r>
      <w:r w:rsidR="00682CC8" w:rsidRPr="00820898">
        <w:t xml:space="preserve"> </w:t>
      </w:r>
      <w:r w:rsidR="00206974">
        <w:t>Public Summary Document (</w:t>
      </w:r>
      <w:r w:rsidR="00682CC8" w:rsidRPr="00820898">
        <w:t>PSD</w:t>
      </w:r>
      <w:r w:rsidR="00206974">
        <w:t>)</w:t>
      </w:r>
      <w:r w:rsidR="00124D45" w:rsidRPr="00820898">
        <w:t>, November 2022 PBAC meeting)</w:t>
      </w:r>
      <w:r>
        <w:t>.</w:t>
      </w:r>
    </w:p>
    <w:p w14:paraId="1B687B37" w14:textId="3E030422" w:rsidR="00352F30" w:rsidRPr="00352F30" w:rsidRDefault="00352F30" w:rsidP="00CC1FDE">
      <w:pPr>
        <w:pStyle w:val="Bulletpoints"/>
        <w:widowControl w:val="0"/>
        <w:numPr>
          <w:ilvl w:val="0"/>
          <w:numId w:val="7"/>
        </w:numPr>
        <w:ind w:left="1134" w:hanging="425"/>
        <w:contextualSpacing w:val="0"/>
        <w:rPr>
          <w:rFonts w:ascii="Calibri" w:hAnsi="Calibri"/>
          <w:lang w:eastAsia="en-US"/>
        </w:rPr>
      </w:pPr>
      <w:r>
        <w:rPr>
          <w:rFonts w:ascii="Calibri" w:hAnsi="Calibri"/>
          <w:lang w:eastAsia="en-US"/>
        </w:rPr>
        <w:t>When</w:t>
      </w:r>
      <w:r w:rsidR="00124D45" w:rsidRPr="007740E4">
        <w:rPr>
          <w:rFonts w:ascii="Calibri" w:hAnsi="Calibri"/>
          <w:lang w:eastAsia="en-US"/>
        </w:rPr>
        <w:t xml:space="preserve"> NBS </w:t>
      </w:r>
      <w:r>
        <w:rPr>
          <w:rFonts w:ascii="Calibri" w:hAnsi="Calibri"/>
          <w:lang w:eastAsia="en-US"/>
        </w:rPr>
        <w:t xml:space="preserve">is </w:t>
      </w:r>
      <w:r w:rsidR="00B12705">
        <w:rPr>
          <w:rFonts w:ascii="Calibri" w:hAnsi="Calibri"/>
          <w:lang w:eastAsia="en-US"/>
        </w:rPr>
        <w:t>in place</w:t>
      </w:r>
      <w:r w:rsidR="00124D45" w:rsidRPr="007740E4">
        <w:rPr>
          <w:rFonts w:ascii="Calibri" w:hAnsi="Calibri"/>
          <w:lang w:eastAsia="en-US"/>
        </w:rPr>
        <w:t xml:space="preserve"> in Australia many babies will be diagnosed prior to symptom development.</w:t>
      </w:r>
      <w:r w:rsidR="00124D45" w:rsidRPr="007740E4">
        <w:t xml:space="preserve"> </w:t>
      </w:r>
    </w:p>
    <w:p w14:paraId="36197C96" w14:textId="77777777" w:rsidR="00352F30" w:rsidRPr="00352F30" w:rsidRDefault="00124D45" w:rsidP="00CC1FDE">
      <w:pPr>
        <w:pStyle w:val="Bulletpoints"/>
        <w:widowControl w:val="0"/>
        <w:numPr>
          <w:ilvl w:val="0"/>
          <w:numId w:val="7"/>
        </w:numPr>
        <w:ind w:left="1134" w:hanging="425"/>
        <w:contextualSpacing w:val="0"/>
        <w:rPr>
          <w:rFonts w:ascii="Calibri" w:hAnsi="Calibri"/>
          <w:lang w:eastAsia="en-US"/>
        </w:rPr>
      </w:pPr>
      <w:r w:rsidRPr="007740E4">
        <w:rPr>
          <w:rFonts w:ascii="Calibri" w:hAnsi="Calibri"/>
          <w:lang w:eastAsia="en-US"/>
        </w:rPr>
        <w:t xml:space="preserve">The provided epidemiology is robust and NBS has not identified any extra patients that would not have previously been treated </w:t>
      </w:r>
      <w:r w:rsidRPr="007740E4">
        <w:t xml:space="preserve">with available disease modifying treatments (DMTs). </w:t>
      </w:r>
    </w:p>
    <w:p w14:paraId="46674B4A" w14:textId="201A1367" w:rsidR="00124D45" w:rsidRPr="00820898" w:rsidRDefault="00124D45" w:rsidP="00352F30">
      <w:pPr>
        <w:pStyle w:val="Bulletpoints"/>
        <w:widowControl w:val="0"/>
        <w:numPr>
          <w:ilvl w:val="0"/>
          <w:numId w:val="0"/>
        </w:numPr>
        <w:ind w:left="1134"/>
        <w:contextualSpacing w:val="0"/>
        <w:rPr>
          <w:rFonts w:ascii="Calibri" w:hAnsi="Calibri"/>
          <w:lang w:eastAsia="en-US"/>
        </w:rPr>
      </w:pPr>
      <w:r w:rsidRPr="00820898">
        <w:t>It was unclear on what basis this assumption was made</w:t>
      </w:r>
      <w:r w:rsidR="00352F30">
        <w:t>.</w:t>
      </w:r>
    </w:p>
    <w:p w14:paraId="03C041A2" w14:textId="71710B4D" w:rsidR="00124D45" w:rsidRPr="007740E4" w:rsidRDefault="00124D45" w:rsidP="00CC1FDE">
      <w:pPr>
        <w:pStyle w:val="Bulletpoints"/>
        <w:widowControl w:val="0"/>
        <w:numPr>
          <w:ilvl w:val="0"/>
          <w:numId w:val="7"/>
        </w:numPr>
        <w:ind w:left="1134" w:hanging="425"/>
        <w:contextualSpacing w:val="0"/>
        <w:rPr>
          <w:rFonts w:ascii="Calibri" w:hAnsi="Calibri"/>
          <w:lang w:eastAsia="en-US"/>
        </w:rPr>
      </w:pPr>
      <w:r w:rsidRPr="00820898">
        <w:rPr>
          <w:rFonts w:ascii="Calibri" w:hAnsi="Calibri"/>
          <w:lang w:eastAsia="en-US"/>
        </w:rPr>
        <w:t>SMA is a disease of irreversible motor neuron loss. Waiting for symptoms to</w:t>
      </w:r>
      <w:r w:rsidRPr="007740E4">
        <w:rPr>
          <w:rFonts w:ascii="Calibri" w:hAnsi="Calibri"/>
          <w:lang w:eastAsia="en-US"/>
        </w:rPr>
        <w:t xml:space="preserve"> appear means allowing</w:t>
      </w:r>
      <w:r w:rsidRPr="007740E4">
        <w:t xml:space="preserve"> motor neuron loss to occur and letting irreparable damage happen. International guidelines recommend the immediate treatment of all babies identified as having SMA</w:t>
      </w:r>
      <w:r w:rsidR="00352F30">
        <w:t>.</w:t>
      </w:r>
    </w:p>
    <w:p w14:paraId="01A29EF9" w14:textId="5306F8EB" w:rsidR="00124D45" w:rsidRPr="007740E4" w:rsidRDefault="00124D45" w:rsidP="00CC1FDE">
      <w:pPr>
        <w:pStyle w:val="Bulletpoints"/>
        <w:widowControl w:val="0"/>
        <w:numPr>
          <w:ilvl w:val="0"/>
          <w:numId w:val="7"/>
        </w:numPr>
        <w:ind w:left="1134" w:hanging="425"/>
        <w:contextualSpacing w:val="0"/>
        <w:rPr>
          <w:rFonts w:ascii="Calibri" w:hAnsi="Calibri"/>
          <w:lang w:eastAsia="en-US"/>
        </w:rPr>
      </w:pPr>
      <w:r w:rsidRPr="007740E4">
        <w:rPr>
          <w:rFonts w:ascii="Calibri" w:hAnsi="Calibri"/>
          <w:lang w:eastAsia="en-US"/>
        </w:rPr>
        <w:t xml:space="preserve">There is a current inequity in Australia </w:t>
      </w:r>
      <w:r w:rsidR="00352F30">
        <w:rPr>
          <w:rFonts w:ascii="Calibri" w:hAnsi="Calibri"/>
          <w:lang w:eastAsia="en-US"/>
        </w:rPr>
        <w:t>where b</w:t>
      </w:r>
      <w:r w:rsidRPr="007740E4">
        <w:rPr>
          <w:rFonts w:ascii="Calibri" w:hAnsi="Calibri"/>
          <w:lang w:eastAsia="en-US"/>
        </w:rPr>
        <w:t xml:space="preserve">abies identified through NBS with </w:t>
      </w:r>
      <w:r w:rsidRPr="007740E4">
        <w:t xml:space="preserve">1-2 </w:t>
      </w:r>
      <w:r w:rsidRPr="007740E4">
        <w:rPr>
          <w:i/>
        </w:rPr>
        <w:t>SMN2</w:t>
      </w:r>
      <w:r w:rsidRPr="007740E4">
        <w:t xml:space="preserve"> copies can access immediate treatment and thereby expect the outcomes presented in the clinical trials, while babies with 3 </w:t>
      </w:r>
      <w:r w:rsidRPr="007740E4">
        <w:rPr>
          <w:i/>
        </w:rPr>
        <w:t>SMN2</w:t>
      </w:r>
      <w:r w:rsidRPr="007740E4">
        <w:t xml:space="preserve"> copies experience motor neuron loss and outcomes which represent a life of disability</w:t>
      </w:r>
      <w:r w:rsidR="00352F30">
        <w:t>.</w:t>
      </w:r>
      <w:r w:rsidRPr="007740E4">
        <w:t xml:space="preserve"> </w:t>
      </w:r>
    </w:p>
    <w:p w14:paraId="00E1D1FD" w14:textId="77777777" w:rsidR="00352F30" w:rsidRPr="00352F30" w:rsidRDefault="00124D45" w:rsidP="00CC1FDE">
      <w:pPr>
        <w:pStyle w:val="Bulletpoints"/>
        <w:widowControl w:val="0"/>
        <w:numPr>
          <w:ilvl w:val="0"/>
          <w:numId w:val="7"/>
        </w:numPr>
        <w:ind w:left="1134" w:hanging="425"/>
        <w:contextualSpacing w:val="0"/>
        <w:rPr>
          <w:rFonts w:ascii="Calibri" w:hAnsi="Calibri"/>
          <w:iCs/>
          <w:lang w:eastAsia="en-US"/>
        </w:rPr>
      </w:pPr>
      <w:r w:rsidRPr="007740E4">
        <w:rPr>
          <w:rFonts w:ascii="Calibri" w:hAnsi="Calibri"/>
          <w:lang w:eastAsia="en-US"/>
        </w:rPr>
        <w:t xml:space="preserve">The SPR1NT study provides outcomes data </w:t>
      </w:r>
      <w:r w:rsidRPr="007740E4">
        <w:t>where children are walking and thriving when natural history data has these children living with disability, respiratory and feeding issues and a life-limiting condition</w:t>
      </w:r>
      <w:r w:rsidRPr="007740E4">
        <w:rPr>
          <w:i/>
        </w:rPr>
        <w:t xml:space="preserve">. </w:t>
      </w:r>
    </w:p>
    <w:p w14:paraId="56B975FF" w14:textId="7D30A223" w:rsidR="00124D45" w:rsidRPr="00820898" w:rsidRDefault="00352F30" w:rsidP="00352F30">
      <w:pPr>
        <w:pStyle w:val="Bulletpoints"/>
        <w:widowControl w:val="0"/>
        <w:numPr>
          <w:ilvl w:val="0"/>
          <w:numId w:val="0"/>
        </w:numPr>
        <w:ind w:left="1134"/>
        <w:contextualSpacing w:val="0"/>
        <w:rPr>
          <w:rFonts w:ascii="Calibri" w:hAnsi="Calibri"/>
          <w:iCs/>
          <w:lang w:eastAsia="en-US"/>
        </w:rPr>
      </w:pPr>
      <w:r>
        <w:rPr>
          <w:iCs/>
        </w:rPr>
        <w:t>However, c</w:t>
      </w:r>
      <w:r w:rsidR="00124D45" w:rsidRPr="00820898">
        <w:rPr>
          <w:iCs/>
        </w:rPr>
        <w:t>omparisons made against natural history data by the resubmission do not reflect current clinical practice</w:t>
      </w:r>
      <w:r>
        <w:rPr>
          <w:iCs/>
        </w:rPr>
        <w:t>.</w:t>
      </w:r>
    </w:p>
    <w:p w14:paraId="484ED0CE" w14:textId="77777777" w:rsidR="00352F30" w:rsidRDefault="00124D45" w:rsidP="00CC1FDE">
      <w:pPr>
        <w:pStyle w:val="Bulletpoints"/>
        <w:widowControl w:val="0"/>
        <w:numPr>
          <w:ilvl w:val="0"/>
          <w:numId w:val="7"/>
        </w:numPr>
        <w:ind w:left="1134" w:hanging="425"/>
        <w:contextualSpacing w:val="0"/>
      </w:pPr>
      <w:r w:rsidRPr="007740E4">
        <w:rPr>
          <w:rFonts w:ascii="Calibri" w:hAnsi="Calibri"/>
          <w:lang w:eastAsia="en-US"/>
        </w:rPr>
        <w:t>ONA provides a once</w:t>
      </w:r>
      <w:r w:rsidRPr="007740E4">
        <w:t xml:space="preserve">-off treatment with an up-front cost that is overshadowed by the cost of treating these children for a lifetime on other available DMTs. </w:t>
      </w:r>
    </w:p>
    <w:p w14:paraId="23F092AE" w14:textId="0EB9BF22" w:rsidR="00124D45" w:rsidRPr="007740E4" w:rsidRDefault="00352F30" w:rsidP="00484DEE">
      <w:pPr>
        <w:pStyle w:val="Bulletpoints"/>
        <w:widowControl w:val="0"/>
        <w:numPr>
          <w:ilvl w:val="0"/>
          <w:numId w:val="0"/>
        </w:numPr>
        <w:ind w:left="1134"/>
        <w:contextualSpacing w:val="0"/>
      </w:pPr>
      <w:r>
        <w:t xml:space="preserve">However, </w:t>
      </w:r>
      <w:r>
        <w:rPr>
          <w:iCs/>
        </w:rPr>
        <w:t>t</w:t>
      </w:r>
      <w:r w:rsidR="00124D45" w:rsidRPr="00820898">
        <w:rPr>
          <w:iCs/>
        </w:rPr>
        <w:t xml:space="preserve">here </w:t>
      </w:r>
      <w:r w:rsidR="00C05DA7" w:rsidRPr="00820898">
        <w:rPr>
          <w:iCs/>
        </w:rPr>
        <w:t xml:space="preserve">is </w:t>
      </w:r>
      <w:r w:rsidR="00124D45" w:rsidRPr="00820898">
        <w:rPr>
          <w:iCs/>
        </w:rPr>
        <w:t>a lack of long</w:t>
      </w:r>
      <w:r w:rsidR="00C05DA7" w:rsidRPr="00820898">
        <w:rPr>
          <w:iCs/>
        </w:rPr>
        <w:noBreakHyphen/>
      </w:r>
      <w:r w:rsidR="00124D45" w:rsidRPr="00820898">
        <w:rPr>
          <w:iCs/>
        </w:rPr>
        <w:t xml:space="preserve">term follow up data </w:t>
      </w:r>
      <w:r w:rsidR="00C05DA7" w:rsidRPr="00820898">
        <w:rPr>
          <w:iCs/>
        </w:rPr>
        <w:t xml:space="preserve">for patients treated with ONA, </w:t>
      </w:r>
      <w:r w:rsidR="00124D45" w:rsidRPr="00820898">
        <w:rPr>
          <w:iCs/>
        </w:rPr>
        <w:t xml:space="preserve">including the </w:t>
      </w:r>
      <w:r w:rsidR="00C05DA7" w:rsidRPr="00820898">
        <w:rPr>
          <w:iCs/>
        </w:rPr>
        <w:t xml:space="preserve">incidence of </w:t>
      </w:r>
      <w:r w:rsidR="00124D45" w:rsidRPr="00820898">
        <w:rPr>
          <w:iCs/>
        </w:rPr>
        <w:t>subsequent therapy after ONA treatment.</w:t>
      </w:r>
      <w:r w:rsidR="000F0A66" w:rsidRPr="0047331C">
        <w:rPr>
          <w:iCs/>
        </w:rPr>
        <w:t xml:space="preserve"> In addition, patients with 3 </w:t>
      </w:r>
      <w:r w:rsidR="00484DEE" w:rsidRPr="00484DEE">
        <w:rPr>
          <w:i/>
          <w:iCs/>
        </w:rPr>
        <w:t>SMN2</w:t>
      </w:r>
      <w:r w:rsidR="000F0A66" w:rsidRPr="0047331C">
        <w:rPr>
          <w:iCs/>
        </w:rPr>
        <w:t xml:space="preserve"> copies may develop symptoms later in life, which would mean, on average, fewer doses of RIS /NUSI throughout their lifetime than those with 1-2 </w:t>
      </w:r>
      <w:r w:rsidR="00484DEE" w:rsidRPr="00484DEE">
        <w:rPr>
          <w:i/>
          <w:iCs/>
        </w:rPr>
        <w:t>SMN2</w:t>
      </w:r>
      <w:r w:rsidR="000F0A66" w:rsidRPr="0047331C">
        <w:rPr>
          <w:iCs/>
        </w:rPr>
        <w:t xml:space="preserve"> copies.</w:t>
      </w:r>
      <w:r w:rsidR="00124D45" w:rsidRPr="00820898">
        <w:rPr>
          <w:iCs/>
        </w:rPr>
        <w:t xml:space="preserve"> </w:t>
      </w:r>
    </w:p>
    <w:p w14:paraId="6F478E06" w14:textId="77777777" w:rsidR="0014093D" w:rsidRPr="007740E4" w:rsidRDefault="0014093D" w:rsidP="0014093D">
      <w:pPr>
        <w:pStyle w:val="2-SectionHeading"/>
        <w:numPr>
          <w:ilvl w:val="0"/>
          <w:numId w:val="1"/>
        </w:numPr>
      </w:pPr>
      <w:bookmarkStart w:id="3" w:name="_Toc135210579"/>
      <w:r w:rsidRPr="007740E4">
        <w:t>Background</w:t>
      </w:r>
      <w:bookmarkEnd w:id="3"/>
    </w:p>
    <w:p w14:paraId="2720659B" w14:textId="77777777" w:rsidR="0014093D" w:rsidRPr="007740E4" w:rsidRDefault="0014093D" w:rsidP="0014093D">
      <w:pPr>
        <w:pStyle w:val="4-SubsectionHeading"/>
      </w:pPr>
      <w:bookmarkStart w:id="4" w:name="_Toc22897638"/>
      <w:bookmarkStart w:id="5" w:name="_Toc135210580"/>
      <w:r w:rsidRPr="007740E4">
        <w:t>Registration status</w:t>
      </w:r>
      <w:bookmarkEnd w:id="4"/>
      <w:bookmarkEnd w:id="5"/>
    </w:p>
    <w:p w14:paraId="20E6B4AA" w14:textId="77777777" w:rsidR="0014093D" w:rsidRPr="007740E4" w:rsidRDefault="0014093D" w:rsidP="0014093D">
      <w:pPr>
        <w:pStyle w:val="3-BodyText"/>
      </w:pPr>
      <w:r w:rsidRPr="007740E4">
        <w:t xml:space="preserve">ONA was registered by the TGA on 4 March 2021 for the following indication: </w:t>
      </w:r>
    </w:p>
    <w:p w14:paraId="4DADB0ED" w14:textId="61CD34AA" w:rsidR="0014093D" w:rsidRPr="007740E4" w:rsidRDefault="0014093D" w:rsidP="0014093D">
      <w:pPr>
        <w:pStyle w:val="3-BodyText"/>
        <w:numPr>
          <w:ilvl w:val="0"/>
          <w:numId w:val="0"/>
        </w:numPr>
        <w:ind w:left="720"/>
      </w:pPr>
      <w:r w:rsidRPr="007740E4">
        <w:t>“Zolgensma® (onasemnogene abeparvovec) is indicated for the treatment of paediatric patients less than 9 months of age with symptomatic or presymptomatic spinal muscular atrophy with bi-allelic mutations in the survival motor neuron 1 (</w:t>
      </w:r>
      <w:r w:rsidR="00B64F80" w:rsidRPr="007740E4">
        <w:rPr>
          <w:i/>
        </w:rPr>
        <w:t>SMN1</w:t>
      </w:r>
      <w:r w:rsidRPr="007740E4">
        <w:t xml:space="preserve">) gene and 1 to 3 copies of the </w:t>
      </w:r>
      <w:r w:rsidR="00B64F80" w:rsidRPr="007740E4">
        <w:rPr>
          <w:i/>
        </w:rPr>
        <w:t>SMN2</w:t>
      </w:r>
      <w:r w:rsidRPr="007740E4">
        <w:t xml:space="preserve"> gene.” </w:t>
      </w:r>
    </w:p>
    <w:p w14:paraId="1B6965C4" w14:textId="77777777" w:rsidR="0014093D" w:rsidRPr="007740E4" w:rsidRDefault="0014093D" w:rsidP="0014093D">
      <w:pPr>
        <w:pStyle w:val="4-SubsectionHeading"/>
      </w:pPr>
      <w:bookmarkStart w:id="6" w:name="_Toc22897639"/>
      <w:bookmarkStart w:id="7" w:name="_Toc135210581"/>
      <w:r w:rsidRPr="007740E4">
        <w:t>Previous PBAC consideration</w:t>
      </w:r>
      <w:bookmarkEnd w:id="6"/>
      <w:bookmarkEnd w:id="7"/>
    </w:p>
    <w:p w14:paraId="5D43673D" w14:textId="48D27C62" w:rsidR="009544C7" w:rsidRPr="009544C7" w:rsidRDefault="009544C7" w:rsidP="0014093D">
      <w:pPr>
        <w:pStyle w:val="3-BodyText"/>
      </w:pPr>
      <w:r w:rsidRPr="00820898">
        <w:rPr>
          <w:iCs/>
        </w:rPr>
        <w:t xml:space="preserve">ONA </w:t>
      </w:r>
      <w:r>
        <w:rPr>
          <w:iCs/>
        </w:rPr>
        <w:t>was recommended</w:t>
      </w:r>
      <w:r w:rsidRPr="00820898">
        <w:rPr>
          <w:iCs/>
        </w:rPr>
        <w:t xml:space="preserve"> for the treatment of SMA in patients aged less than 9 months, with Type </w:t>
      </w:r>
      <w:r w:rsidR="008A4F0C">
        <w:rPr>
          <w:iCs/>
        </w:rPr>
        <w:t>I</w:t>
      </w:r>
      <w:r w:rsidR="008A4F0C" w:rsidRPr="00820898">
        <w:rPr>
          <w:iCs/>
        </w:rPr>
        <w:t xml:space="preserve"> </w:t>
      </w:r>
      <w:r w:rsidRPr="00820898">
        <w:rPr>
          <w:iCs/>
        </w:rPr>
        <w:t xml:space="preserve">SMA or pre-symptomatic patients with 1-2 copies of the </w:t>
      </w:r>
      <w:r w:rsidR="00EA2BFF" w:rsidRPr="00EA2BFF">
        <w:rPr>
          <w:i/>
          <w:iCs/>
        </w:rPr>
        <w:t>SMN2</w:t>
      </w:r>
      <w:r w:rsidRPr="00820898">
        <w:rPr>
          <w:iCs/>
        </w:rPr>
        <w:t xml:space="preserve"> gene</w:t>
      </w:r>
      <w:r>
        <w:rPr>
          <w:iCs/>
        </w:rPr>
        <w:t xml:space="preserve"> at the September 2021 PBAC meeting</w:t>
      </w:r>
      <w:r w:rsidRPr="00820898">
        <w:rPr>
          <w:iCs/>
        </w:rPr>
        <w:t>.</w:t>
      </w:r>
      <w:r>
        <w:rPr>
          <w:iCs/>
        </w:rPr>
        <w:t xml:space="preserve"> </w:t>
      </w:r>
      <w:r w:rsidRPr="00820898">
        <w:rPr>
          <w:iCs/>
        </w:rPr>
        <w:t xml:space="preserve">This </w:t>
      </w:r>
      <w:r>
        <w:rPr>
          <w:iCs/>
        </w:rPr>
        <w:t>recommendation was</w:t>
      </w:r>
      <w:r w:rsidRPr="00820898">
        <w:rPr>
          <w:iCs/>
        </w:rPr>
        <w:t xml:space="preserve"> on a cost-minimisation basis to the least costly disease-modifying therapy for this condition, which was RIS, and in the context of an outcomes-based RSA (paragraph 9.1, </w:t>
      </w:r>
      <w:r>
        <w:rPr>
          <w:iCs/>
        </w:rPr>
        <w:t>ONA</w:t>
      </w:r>
      <w:r w:rsidRPr="00820898">
        <w:rPr>
          <w:iCs/>
        </w:rPr>
        <w:t xml:space="preserve"> PSD, September 2021 PBAC meeting). </w:t>
      </w:r>
    </w:p>
    <w:p w14:paraId="3571D8BC" w14:textId="17A0B74D" w:rsidR="0014093D" w:rsidRPr="007740E4" w:rsidRDefault="0014093D" w:rsidP="0014093D">
      <w:pPr>
        <w:pStyle w:val="3-BodyText"/>
      </w:pPr>
      <w:r w:rsidRPr="00820898">
        <w:rPr>
          <w:iCs/>
        </w:rPr>
        <w:t>ONA was not recommended for listing at the November 2022 meeting</w:t>
      </w:r>
      <w:r w:rsidR="009544C7" w:rsidRPr="009544C7">
        <w:t xml:space="preserve"> </w:t>
      </w:r>
      <w:r w:rsidR="009544C7" w:rsidRPr="007740E4">
        <w:t>for the pre</w:t>
      </w:r>
      <w:r w:rsidR="0017220C">
        <w:noBreakHyphen/>
      </w:r>
      <w:r w:rsidR="009544C7" w:rsidRPr="007740E4">
        <w:t xml:space="preserve">symptomatic treatment of patients with SMA and 3 copies of the </w:t>
      </w:r>
      <w:r w:rsidR="009544C7" w:rsidRPr="007740E4">
        <w:rPr>
          <w:i/>
        </w:rPr>
        <w:t>SMN2</w:t>
      </w:r>
      <w:r w:rsidR="009544C7" w:rsidRPr="007740E4">
        <w:t xml:space="preserve"> gene</w:t>
      </w:r>
      <w:r w:rsidRPr="00820898">
        <w:rPr>
          <w:iCs/>
        </w:rPr>
        <w:t>. The target population for the resubmission remains unchanged.</w:t>
      </w:r>
      <w:r w:rsidRPr="007740E4">
        <w:t xml:space="preserve"> </w:t>
      </w:r>
    </w:p>
    <w:p w14:paraId="6B94778A" w14:textId="3DB849A0" w:rsidR="0014093D" w:rsidRPr="007740E4" w:rsidRDefault="0014093D" w:rsidP="0014093D">
      <w:pPr>
        <w:pStyle w:val="3-BodyText"/>
      </w:pPr>
      <w:r w:rsidRPr="00820898">
        <w:fldChar w:fldCharType="begin" w:fldLock="1"/>
      </w:r>
      <w:r w:rsidRPr="00820898">
        <w:instrText xml:space="preserve"> REF _Ref134208862 \h  \* MERGEFORMAT </w:instrText>
      </w:r>
      <w:r w:rsidRPr="00820898">
        <w:fldChar w:fldCharType="separate"/>
      </w:r>
      <w:r w:rsidR="007866DB" w:rsidRPr="00820898">
        <w:t xml:space="preserve">Table </w:t>
      </w:r>
      <w:r w:rsidR="007866DB" w:rsidRPr="00820898">
        <w:rPr>
          <w:noProof/>
        </w:rPr>
        <w:t>2</w:t>
      </w:r>
      <w:r w:rsidRPr="00820898">
        <w:fldChar w:fldCharType="end"/>
      </w:r>
      <w:r w:rsidRPr="00820898">
        <w:t xml:space="preserve"> </w:t>
      </w:r>
      <w:r w:rsidR="00FC0A6A">
        <w:t>shows key matters of concern from the November 2022 submission and how the resubmission addresses these</w:t>
      </w:r>
      <w:r w:rsidRPr="00820898">
        <w:t>.</w:t>
      </w:r>
    </w:p>
    <w:p w14:paraId="39BAE1C5" w14:textId="0C430C94" w:rsidR="0014093D" w:rsidRPr="007740E4" w:rsidRDefault="0014093D" w:rsidP="00B00909">
      <w:pPr>
        <w:pStyle w:val="TableFigureHeading"/>
        <w:keepLines/>
        <w:rPr>
          <w:rStyle w:val="CommentReference"/>
          <w:b/>
          <w:szCs w:val="24"/>
        </w:rPr>
      </w:pPr>
      <w:bookmarkStart w:id="8" w:name="_Ref134208862"/>
      <w:r w:rsidRPr="007740E4">
        <w:t xml:space="preserve">Table </w:t>
      </w:r>
      <w:fldSimple w:instr=" SEQ Table \* ARABIC " w:fldLock="1">
        <w:r w:rsidR="0084520A">
          <w:rPr>
            <w:noProof/>
          </w:rPr>
          <w:t>2</w:t>
        </w:r>
      </w:fldSimple>
      <w:bookmarkEnd w:id="8"/>
      <w:r w:rsidRPr="007740E4">
        <w:t>:</w:t>
      </w:r>
      <w:r w:rsidRPr="007740E4">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4673"/>
        <w:gridCol w:w="4344"/>
      </w:tblGrid>
      <w:tr w:rsidR="00E877A9" w:rsidRPr="00820898" w14:paraId="66722994" w14:textId="77777777" w:rsidTr="00B00909">
        <w:trPr>
          <w:cantSplit/>
          <w:tblHeader/>
        </w:trPr>
        <w:tc>
          <w:tcPr>
            <w:tcW w:w="2591" w:type="pct"/>
            <w:tcMar>
              <w:left w:w="40" w:type="dxa"/>
              <w:right w:w="40" w:type="dxa"/>
            </w:tcMar>
          </w:tcPr>
          <w:p w14:paraId="51740720" w14:textId="77777777" w:rsidR="0014093D" w:rsidRPr="00820898" w:rsidRDefault="0014093D" w:rsidP="00B00909">
            <w:pPr>
              <w:pStyle w:val="In-tableHeading"/>
              <w:keepLines/>
              <w:rPr>
                <w:lang w:val="en-AU"/>
              </w:rPr>
            </w:pPr>
            <w:r w:rsidRPr="00820898">
              <w:rPr>
                <w:lang w:val="en-AU"/>
              </w:rPr>
              <w:t>Matter of concern</w:t>
            </w:r>
          </w:p>
        </w:tc>
        <w:tc>
          <w:tcPr>
            <w:tcW w:w="2409" w:type="pct"/>
            <w:tcMar>
              <w:left w:w="40" w:type="dxa"/>
              <w:right w:w="40" w:type="dxa"/>
            </w:tcMar>
          </w:tcPr>
          <w:p w14:paraId="6B42382E" w14:textId="77777777" w:rsidR="0014093D" w:rsidRPr="00820898" w:rsidRDefault="0014093D" w:rsidP="00B00909">
            <w:pPr>
              <w:pStyle w:val="In-tableHeading"/>
              <w:keepLines/>
              <w:rPr>
                <w:lang w:val="en-AU"/>
              </w:rPr>
            </w:pPr>
            <w:r w:rsidRPr="00820898">
              <w:rPr>
                <w:lang w:val="en-AU"/>
              </w:rPr>
              <w:t>How the resubmission addresses it</w:t>
            </w:r>
          </w:p>
        </w:tc>
      </w:tr>
      <w:tr w:rsidR="00EE22B1" w:rsidRPr="00820898" w14:paraId="3A2A4194" w14:textId="77777777" w:rsidTr="00B00909">
        <w:trPr>
          <w:cantSplit/>
        </w:trPr>
        <w:tc>
          <w:tcPr>
            <w:tcW w:w="5000" w:type="pct"/>
            <w:gridSpan w:val="2"/>
            <w:tcMar>
              <w:left w:w="40" w:type="dxa"/>
              <w:right w:w="40" w:type="dxa"/>
            </w:tcMar>
          </w:tcPr>
          <w:p w14:paraId="62B0F816" w14:textId="2FBF55F8" w:rsidR="00EE22B1" w:rsidRPr="00820898" w:rsidRDefault="00EE22B1" w:rsidP="00B00909">
            <w:pPr>
              <w:pStyle w:val="TableText0"/>
              <w:keepLines/>
              <w:rPr>
                <w:rFonts w:eastAsia="Times New Roman" w:cs="Arial"/>
                <w:bCs w:val="0"/>
                <w:snapToGrid w:val="0"/>
                <w:szCs w:val="20"/>
              </w:rPr>
            </w:pPr>
            <w:r w:rsidRPr="00820898">
              <w:rPr>
                <w:b/>
              </w:rPr>
              <w:t>Clinical</w:t>
            </w:r>
          </w:p>
        </w:tc>
      </w:tr>
      <w:tr w:rsidR="00E877A9" w:rsidRPr="00820898" w14:paraId="47CE200B" w14:textId="77777777" w:rsidTr="00B00909">
        <w:trPr>
          <w:cantSplit/>
        </w:trPr>
        <w:tc>
          <w:tcPr>
            <w:tcW w:w="2591" w:type="pct"/>
            <w:tcMar>
              <w:left w:w="40" w:type="dxa"/>
              <w:right w:w="40" w:type="dxa"/>
            </w:tcMar>
          </w:tcPr>
          <w:p w14:paraId="5E3AD1BF" w14:textId="4A99EE07" w:rsidR="0014093D" w:rsidRPr="00820898" w:rsidRDefault="0014093D" w:rsidP="00B00909">
            <w:pPr>
              <w:pStyle w:val="TableText0"/>
              <w:keepLines/>
              <w:rPr>
                <w:rFonts w:eastAsia="Times New Roman" w:cs="Arial"/>
                <w:bCs w:val="0"/>
                <w:snapToGrid w:val="0"/>
                <w:szCs w:val="20"/>
              </w:rPr>
            </w:pPr>
            <w:r w:rsidRPr="00820898">
              <w:rPr>
                <w:rFonts w:eastAsia="Times New Roman" w:cs="Arial"/>
                <w:bCs w:val="0"/>
                <w:snapToGrid w:val="0"/>
                <w:szCs w:val="20"/>
              </w:rPr>
              <w:t xml:space="preserve">The PBAC considered that pre-symptomatic treatment with ONA may provide clinical benefit for some patients compared to treatment with existing disease modifying therapies following the onset of symptoms. However, the PBAC noted the magnitude of benefit was unclear from the limited clinical data available (paragraph 7.1, </w:t>
            </w:r>
            <w:r w:rsidR="00FC0A6A">
              <w:rPr>
                <w:rFonts w:eastAsia="Times New Roman" w:cs="Arial"/>
                <w:bCs w:val="0"/>
                <w:snapToGrid w:val="0"/>
                <w:szCs w:val="20"/>
              </w:rPr>
              <w:t>ONA</w:t>
            </w:r>
            <w:r w:rsidRPr="00820898">
              <w:rPr>
                <w:rFonts w:eastAsia="Times New Roman" w:cs="Arial"/>
                <w:bCs w:val="0"/>
                <w:snapToGrid w:val="0"/>
                <w:szCs w:val="20"/>
              </w:rPr>
              <w:t xml:space="preserve"> </w:t>
            </w:r>
            <w:r w:rsidR="00D862B0" w:rsidRPr="00820898">
              <w:rPr>
                <w:rFonts w:eastAsia="Times New Roman" w:cs="Arial"/>
                <w:bCs w:val="0"/>
                <w:snapToGrid w:val="0"/>
                <w:szCs w:val="20"/>
              </w:rPr>
              <w:t>PSD</w:t>
            </w:r>
            <w:r w:rsidRPr="00820898">
              <w:rPr>
                <w:rFonts w:eastAsia="Times New Roman" w:cs="Arial"/>
                <w:bCs w:val="0"/>
                <w:snapToGrid w:val="0"/>
                <w:szCs w:val="20"/>
              </w:rPr>
              <w:t>, November 2022 PBAC meeting)</w:t>
            </w:r>
          </w:p>
          <w:p w14:paraId="118D72D1" w14:textId="2A72E80F" w:rsidR="0014093D" w:rsidRPr="00820898" w:rsidRDefault="0014093D" w:rsidP="00B00909">
            <w:pPr>
              <w:pStyle w:val="TableText0"/>
              <w:keepLines/>
              <w:rPr>
                <w:rFonts w:eastAsia="Times New Roman" w:cs="Arial"/>
                <w:bCs w:val="0"/>
                <w:snapToGrid w:val="0"/>
                <w:szCs w:val="20"/>
                <w:highlight w:val="cyan"/>
              </w:rPr>
            </w:pPr>
            <w:r w:rsidRPr="00820898">
              <w:rPr>
                <w:rFonts w:eastAsia="Times New Roman" w:cs="Arial"/>
                <w:bCs w:val="0"/>
                <w:snapToGrid w:val="0"/>
                <w:szCs w:val="20"/>
              </w:rPr>
              <w:t xml:space="preserve">The PBAC acknowledged that substantial new clinical data, were unlikely to be forthcoming given the rarity of the condition (paragraph 7.5, </w:t>
            </w:r>
            <w:r w:rsidR="00FC0A6A">
              <w:rPr>
                <w:rFonts w:eastAsia="Times New Roman" w:cs="Arial"/>
                <w:bCs w:val="0"/>
                <w:snapToGrid w:val="0"/>
                <w:szCs w:val="20"/>
              </w:rPr>
              <w:t xml:space="preserve">ONA </w:t>
            </w:r>
            <w:r w:rsidR="00D862B0" w:rsidRPr="00820898">
              <w:rPr>
                <w:rFonts w:eastAsia="Times New Roman" w:cs="Arial"/>
                <w:bCs w:val="0"/>
                <w:snapToGrid w:val="0"/>
                <w:szCs w:val="20"/>
              </w:rPr>
              <w:t>PSD</w:t>
            </w:r>
            <w:r w:rsidRPr="00820898">
              <w:rPr>
                <w:rFonts w:eastAsia="Times New Roman" w:cs="Arial"/>
                <w:bCs w:val="0"/>
                <w:snapToGrid w:val="0"/>
                <w:szCs w:val="20"/>
              </w:rPr>
              <w:t>, November 2022 PBAC meeting)</w:t>
            </w:r>
            <w:r w:rsidR="00FC0A6A">
              <w:rPr>
                <w:rFonts w:eastAsia="Times New Roman" w:cs="Arial"/>
                <w:bCs w:val="0"/>
                <w:snapToGrid w:val="0"/>
                <w:szCs w:val="20"/>
              </w:rPr>
              <w:t>.</w:t>
            </w:r>
          </w:p>
        </w:tc>
        <w:tc>
          <w:tcPr>
            <w:tcW w:w="2409" w:type="pct"/>
            <w:tcMar>
              <w:left w:w="40" w:type="dxa"/>
              <w:right w:w="40" w:type="dxa"/>
            </w:tcMar>
          </w:tcPr>
          <w:p w14:paraId="7A7A7B03" w14:textId="153D58E6" w:rsidR="0014093D" w:rsidRPr="00820898" w:rsidRDefault="0014093D" w:rsidP="00B00909">
            <w:pPr>
              <w:pStyle w:val="TableText0"/>
              <w:keepLines/>
              <w:rPr>
                <w:rFonts w:eastAsia="Times New Roman" w:cs="Arial"/>
                <w:bCs w:val="0"/>
                <w:snapToGrid w:val="0"/>
                <w:szCs w:val="20"/>
              </w:rPr>
            </w:pPr>
            <w:r w:rsidRPr="00820898">
              <w:rPr>
                <w:rFonts w:eastAsia="Times New Roman" w:cs="Arial"/>
                <w:bCs w:val="0"/>
                <w:snapToGrid w:val="0"/>
                <w:szCs w:val="20"/>
              </w:rPr>
              <w:t xml:space="preserve">The incremental benefit of pre-symptomatic treatment compared to symptomatic treatment with DMTs for SMA patients with 3 copies of </w:t>
            </w:r>
            <w:r w:rsidR="00EA2BFF" w:rsidRPr="00EA2BFF">
              <w:rPr>
                <w:rFonts w:eastAsia="Times New Roman" w:cs="Arial"/>
                <w:bCs w:val="0"/>
                <w:i/>
                <w:snapToGrid w:val="0"/>
                <w:szCs w:val="20"/>
              </w:rPr>
              <w:t>SMN2</w:t>
            </w:r>
            <w:r w:rsidRPr="00820898">
              <w:rPr>
                <w:rFonts w:eastAsia="Times New Roman" w:cs="Arial"/>
                <w:bCs w:val="0"/>
                <w:snapToGrid w:val="0"/>
                <w:szCs w:val="20"/>
              </w:rPr>
              <w:t xml:space="preserve"> remained unaddressed. </w:t>
            </w:r>
          </w:p>
        </w:tc>
      </w:tr>
      <w:tr w:rsidR="00E877A9" w:rsidRPr="00820898" w14:paraId="06B64FEA" w14:textId="77777777" w:rsidTr="00B00909">
        <w:trPr>
          <w:cantSplit/>
        </w:trPr>
        <w:tc>
          <w:tcPr>
            <w:tcW w:w="5000" w:type="pct"/>
            <w:gridSpan w:val="2"/>
            <w:tcMar>
              <w:left w:w="40" w:type="dxa"/>
              <w:right w:w="40" w:type="dxa"/>
            </w:tcMar>
          </w:tcPr>
          <w:p w14:paraId="49B02CDF" w14:textId="77777777" w:rsidR="0014093D" w:rsidRPr="00820898" w:rsidRDefault="0014093D" w:rsidP="00B00909">
            <w:pPr>
              <w:pStyle w:val="TableText0"/>
              <w:keepLines/>
              <w:rPr>
                <w:rFonts w:eastAsia="Times New Roman" w:cs="Arial"/>
                <w:b/>
                <w:bCs w:val="0"/>
                <w:snapToGrid w:val="0"/>
                <w:szCs w:val="20"/>
                <w:highlight w:val="cyan"/>
              </w:rPr>
            </w:pPr>
            <w:r w:rsidRPr="00820898">
              <w:rPr>
                <w:rFonts w:eastAsia="Times New Roman" w:cs="Arial"/>
                <w:b/>
                <w:bCs w:val="0"/>
                <w:snapToGrid w:val="0"/>
                <w:szCs w:val="20"/>
              </w:rPr>
              <w:t xml:space="preserve">Economic </w:t>
            </w:r>
          </w:p>
        </w:tc>
      </w:tr>
      <w:tr w:rsidR="00E877A9" w:rsidRPr="00820898" w14:paraId="1BC00FD8" w14:textId="77777777" w:rsidTr="00B00909">
        <w:trPr>
          <w:cantSplit/>
        </w:trPr>
        <w:tc>
          <w:tcPr>
            <w:tcW w:w="2591" w:type="pct"/>
            <w:tcMar>
              <w:left w:w="40" w:type="dxa"/>
              <w:right w:w="40" w:type="dxa"/>
            </w:tcMar>
          </w:tcPr>
          <w:p w14:paraId="1B2482E0" w14:textId="6D883409" w:rsidR="0014093D" w:rsidRPr="00820898" w:rsidRDefault="0014093D" w:rsidP="00B00909">
            <w:pPr>
              <w:pStyle w:val="TableText0"/>
              <w:keepLines/>
            </w:pPr>
            <w:r w:rsidRPr="00820898">
              <w:t>Overall, the PBAC considered that the economic model presented in the submission was not suit</w:t>
            </w:r>
            <w:r w:rsidR="004576B4" w:rsidRPr="00820898">
              <w:t>able to support decision-making</w:t>
            </w:r>
            <w:r w:rsidRPr="00820898">
              <w:t xml:space="preserve"> (paragraph 7.9, </w:t>
            </w:r>
            <w:r w:rsidR="00FC0A6A">
              <w:t>ONA</w:t>
            </w:r>
            <w:r w:rsidRPr="00820898">
              <w:t xml:space="preserve"> </w:t>
            </w:r>
            <w:r w:rsidR="00D862B0" w:rsidRPr="00820898">
              <w:t>PSD</w:t>
            </w:r>
            <w:r w:rsidRPr="00820898">
              <w:t xml:space="preserve">, November 2022 PBAC meeting). </w:t>
            </w:r>
          </w:p>
          <w:p w14:paraId="62BD8E0F" w14:textId="37C439EC" w:rsidR="0014093D" w:rsidRPr="00820898" w:rsidRDefault="0014093D" w:rsidP="00B00909">
            <w:pPr>
              <w:pStyle w:val="TableText0"/>
              <w:keepLines/>
            </w:pPr>
            <w:r w:rsidRPr="00820898">
              <w:t xml:space="preserve">The PBAC considered that a comparison between the cost and clinical benefits for treating patients with 1-2 copies of </w:t>
            </w:r>
            <w:r w:rsidR="00EA2BFF" w:rsidRPr="00EA2BFF">
              <w:rPr>
                <w:i/>
              </w:rPr>
              <w:t>SMN2</w:t>
            </w:r>
            <w:r w:rsidRPr="00820898">
              <w:t xml:space="preserve"> with ONA (as currently subsidised) and patients with 3 copies (proposed) would be more informative for establishing the cost effectiveness in the expanded population. The PBAC noted that the smaller clinica</w:t>
            </w:r>
            <w:r w:rsidR="00E26816" w:rsidRPr="00820898">
              <w:t xml:space="preserve">l benefit for patients with 3 </w:t>
            </w:r>
            <w:r w:rsidR="00EA2BFF" w:rsidRPr="00EA2BFF">
              <w:rPr>
                <w:i/>
              </w:rPr>
              <w:t>SMN2</w:t>
            </w:r>
            <w:r w:rsidRPr="00820898">
              <w:t xml:space="preserve"> copies (as per para 7.6) would require the price of ONA to be lower than for the current listing for it to be similarly cost-effective (paragraph 7.10, </w:t>
            </w:r>
            <w:r w:rsidR="00FC0A6A">
              <w:t xml:space="preserve">ONA </w:t>
            </w:r>
            <w:r w:rsidR="00D862B0" w:rsidRPr="00820898">
              <w:t>PSD</w:t>
            </w:r>
            <w:r w:rsidRPr="00820898">
              <w:t>, November 2022 PBAC meeting).</w:t>
            </w:r>
          </w:p>
        </w:tc>
        <w:tc>
          <w:tcPr>
            <w:tcW w:w="2409" w:type="pct"/>
            <w:tcMar>
              <w:left w:w="40" w:type="dxa"/>
              <w:right w:w="40" w:type="dxa"/>
            </w:tcMar>
          </w:tcPr>
          <w:p w14:paraId="1CFFC89E" w14:textId="1947B03B" w:rsidR="0014093D" w:rsidRPr="00820898" w:rsidRDefault="0014093D" w:rsidP="00B00909">
            <w:pPr>
              <w:pStyle w:val="TableText0"/>
              <w:keepLines/>
              <w:rPr>
                <w:rFonts w:eastAsia="Times New Roman" w:cs="Arial"/>
                <w:bCs w:val="0"/>
                <w:snapToGrid w:val="0"/>
                <w:szCs w:val="20"/>
              </w:rPr>
            </w:pPr>
            <w:r w:rsidRPr="00820898">
              <w:rPr>
                <w:rFonts w:eastAsia="Times New Roman" w:cs="Arial"/>
                <w:bCs w:val="0"/>
                <w:snapToGrid w:val="0"/>
                <w:szCs w:val="20"/>
              </w:rPr>
              <w:t xml:space="preserve">The resubmission </w:t>
            </w:r>
            <w:r w:rsidR="0080490D" w:rsidRPr="00820898">
              <w:rPr>
                <w:rFonts w:eastAsia="Times New Roman" w:cs="Arial"/>
                <w:bCs w:val="0"/>
                <w:snapToGrid w:val="0"/>
                <w:szCs w:val="20"/>
              </w:rPr>
              <w:t xml:space="preserve">presented </w:t>
            </w:r>
            <w:r w:rsidRPr="00820898">
              <w:rPr>
                <w:rFonts w:eastAsia="Times New Roman" w:cs="Arial"/>
                <w:bCs w:val="0"/>
                <w:snapToGrid w:val="0"/>
                <w:szCs w:val="20"/>
              </w:rPr>
              <w:t xml:space="preserve">a comparison between 2 and 3 </w:t>
            </w:r>
            <w:r w:rsidR="00EA2BFF" w:rsidRPr="00EA2BFF">
              <w:rPr>
                <w:rFonts w:eastAsia="Times New Roman" w:cs="Arial"/>
                <w:bCs w:val="0"/>
                <w:i/>
                <w:snapToGrid w:val="0"/>
                <w:szCs w:val="20"/>
              </w:rPr>
              <w:t>SMN2</w:t>
            </w:r>
            <w:r w:rsidRPr="00820898">
              <w:rPr>
                <w:rFonts w:eastAsia="Times New Roman" w:cs="Arial"/>
                <w:bCs w:val="0"/>
                <w:snapToGrid w:val="0"/>
                <w:szCs w:val="20"/>
              </w:rPr>
              <w:t xml:space="preserve"> copy patients in the SPR1NT study for </w:t>
            </w:r>
            <w:r w:rsidR="0080490D" w:rsidRPr="00820898">
              <w:rPr>
                <w:rFonts w:eastAsia="Times New Roman" w:cs="Arial"/>
                <w:bCs w:val="0"/>
                <w:snapToGrid w:val="0"/>
                <w:szCs w:val="20"/>
              </w:rPr>
              <w:t xml:space="preserve">the </w:t>
            </w:r>
            <w:r w:rsidRPr="00820898">
              <w:rPr>
                <w:rFonts w:eastAsia="Times New Roman" w:cs="Arial"/>
                <w:bCs w:val="0"/>
                <w:snapToGrid w:val="0"/>
                <w:szCs w:val="20"/>
              </w:rPr>
              <w:t xml:space="preserve">clinical evaluation and a cost-minimisation analysis comparing 2 and 3 </w:t>
            </w:r>
            <w:r w:rsidR="00EA2BFF" w:rsidRPr="00EA2BFF">
              <w:rPr>
                <w:rFonts w:eastAsia="Times New Roman" w:cs="Arial"/>
                <w:bCs w:val="0"/>
                <w:i/>
                <w:snapToGrid w:val="0"/>
                <w:szCs w:val="20"/>
              </w:rPr>
              <w:t>SMN2</w:t>
            </w:r>
            <w:r w:rsidRPr="00820898">
              <w:rPr>
                <w:rFonts w:eastAsia="Times New Roman" w:cs="Arial"/>
                <w:bCs w:val="0"/>
                <w:snapToGrid w:val="0"/>
                <w:szCs w:val="20"/>
              </w:rPr>
              <w:t xml:space="preserve"> copy patients treated with ONA was presented for </w:t>
            </w:r>
            <w:r w:rsidR="0080490D" w:rsidRPr="00820898">
              <w:rPr>
                <w:rFonts w:eastAsia="Times New Roman" w:cs="Arial"/>
                <w:bCs w:val="0"/>
                <w:snapToGrid w:val="0"/>
                <w:szCs w:val="20"/>
              </w:rPr>
              <w:t xml:space="preserve">the </w:t>
            </w:r>
            <w:r w:rsidRPr="00820898">
              <w:rPr>
                <w:rFonts w:eastAsia="Times New Roman" w:cs="Arial"/>
                <w:bCs w:val="0"/>
                <w:snapToGrid w:val="0"/>
                <w:szCs w:val="20"/>
              </w:rPr>
              <w:t>economic evaluation. The resubmission</w:t>
            </w:r>
            <w:r w:rsidR="00FC0A6A">
              <w:rPr>
                <w:rFonts w:eastAsia="Times New Roman" w:cs="Arial"/>
                <w:bCs w:val="0"/>
                <w:snapToGrid w:val="0"/>
                <w:szCs w:val="20"/>
              </w:rPr>
              <w:t xml:space="preserve"> </w:t>
            </w:r>
            <w:r w:rsidRPr="00820898">
              <w:rPr>
                <w:rFonts w:eastAsia="Times New Roman" w:cs="Arial"/>
                <w:bCs w:val="0"/>
                <w:snapToGrid w:val="0"/>
                <w:szCs w:val="20"/>
              </w:rPr>
              <w:t xml:space="preserve">claimed that this </w:t>
            </w:r>
            <w:r w:rsidR="00FC0A6A">
              <w:rPr>
                <w:rFonts w:eastAsia="Times New Roman" w:cs="Arial"/>
                <w:bCs w:val="0"/>
                <w:snapToGrid w:val="0"/>
                <w:szCs w:val="20"/>
              </w:rPr>
              <w:t xml:space="preserve">was </w:t>
            </w:r>
            <w:r w:rsidRPr="00820898">
              <w:rPr>
                <w:rFonts w:eastAsia="Times New Roman" w:cs="Arial"/>
                <w:bCs w:val="0"/>
                <w:snapToGrid w:val="0"/>
                <w:szCs w:val="20"/>
              </w:rPr>
              <w:t xml:space="preserve">in response to the PBAC comments. </w:t>
            </w:r>
            <w:r w:rsidR="008A4F0C">
              <w:rPr>
                <w:rFonts w:eastAsia="Times New Roman" w:cs="Arial"/>
                <w:bCs w:val="0"/>
                <w:snapToGrid w:val="0"/>
                <w:szCs w:val="20"/>
              </w:rPr>
              <w:t>T</w:t>
            </w:r>
            <w:r w:rsidRPr="00820898">
              <w:rPr>
                <w:rFonts w:eastAsia="Times New Roman" w:cs="Arial"/>
                <w:bCs w:val="0"/>
                <w:snapToGrid w:val="0"/>
                <w:szCs w:val="20"/>
              </w:rPr>
              <w:t xml:space="preserve">his was inconsistent with the view held previously by PBAC that “the incremental benefit of pre symptomatic treatment with ONA compared to symptomatic treatment with disease modifying therapies for patients with 3 </w:t>
            </w:r>
            <w:r w:rsidR="00EA2BFF" w:rsidRPr="00EA2BFF">
              <w:rPr>
                <w:rFonts w:eastAsia="Times New Roman" w:cs="Arial"/>
                <w:bCs w:val="0"/>
                <w:i/>
                <w:snapToGrid w:val="0"/>
                <w:szCs w:val="20"/>
              </w:rPr>
              <w:t>SMN2</w:t>
            </w:r>
            <w:r w:rsidRPr="00820898">
              <w:rPr>
                <w:rFonts w:eastAsia="Times New Roman" w:cs="Arial"/>
                <w:bCs w:val="0"/>
                <w:snapToGrid w:val="0"/>
                <w:szCs w:val="20"/>
              </w:rPr>
              <w:t xml:space="preserve"> copies would be less than that for patients with 1-2 </w:t>
            </w:r>
            <w:r w:rsidR="00EA2BFF" w:rsidRPr="00EA2BFF">
              <w:rPr>
                <w:rFonts w:eastAsia="Times New Roman" w:cs="Arial"/>
                <w:bCs w:val="0"/>
                <w:i/>
                <w:snapToGrid w:val="0"/>
                <w:szCs w:val="20"/>
              </w:rPr>
              <w:t>SMN2</w:t>
            </w:r>
            <w:r w:rsidRPr="00820898">
              <w:rPr>
                <w:rFonts w:eastAsia="Times New Roman" w:cs="Arial"/>
                <w:bCs w:val="0"/>
                <w:snapToGrid w:val="0"/>
                <w:szCs w:val="20"/>
              </w:rPr>
              <w:t xml:space="preserve"> copies” (paragraph 7.6, </w:t>
            </w:r>
            <w:r w:rsidR="00FC0A6A">
              <w:rPr>
                <w:rFonts w:eastAsia="Times New Roman" w:cs="Arial"/>
                <w:bCs w:val="0"/>
                <w:snapToGrid w:val="0"/>
                <w:szCs w:val="20"/>
              </w:rPr>
              <w:t>ONA</w:t>
            </w:r>
            <w:r w:rsidRPr="00820898">
              <w:rPr>
                <w:rFonts w:eastAsia="Times New Roman" w:cs="Arial"/>
                <w:bCs w:val="0"/>
                <w:snapToGrid w:val="0"/>
                <w:szCs w:val="20"/>
              </w:rPr>
              <w:t xml:space="preserve"> </w:t>
            </w:r>
            <w:r w:rsidR="00D862B0" w:rsidRPr="00820898">
              <w:rPr>
                <w:rFonts w:eastAsia="Times New Roman" w:cs="Arial"/>
                <w:bCs w:val="0"/>
                <w:snapToGrid w:val="0"/>
                <w:szCs w:val="20"/>
              </w:rPr>
              <w:t>PSD</w:t>
            </w:r>
            <w:r w:rsidRPr="00820898">
              <w:rPr>
                <w:rFonts w:eastAsia="Times New Roman" w:cs="Arial"/>
                <w:bCs w:val="0"/>
                <w:snapToGrid w:val="0"/>
                <w:szCs w:val="20"/>
              </w:rPr>
              <w:t xml:space="preserve">, November 2022 PBAC meeting). </w:t>
            </w:r>
          </w:p>
        </w:tc>
      </w:tr>
      <w:tr w:rsidR="00E877A9" w:rsidRPr="00820898" w14:paraId="6B358AD5" w14:textId="77777777" w:rsidTr="00B00909">
        <w:trPr>
          <w:cantSplit/>
        </w:trPr>
        <w:tc>
          <w:tcPr>
            <w:tcW w:w="2591" w:type="pct"/>
            <w:tcMar>
              <w:left w:w="40" w:type="dxa"/>
              <w:right w:w="40" w:type="dxa"/>
            </w:tcMar>
          </w:tcPr>
          <w:p w14:paraId="322C9F05" w14:textId="273A788F" w:rsidR="0014093D" w:rsidRPr="00820898" w:rsidRDefault="0014093D" w:rsidP="00B00909">
            <w:pPr>
              <w:pStyle w:val="TableText0"/>
              <w:keepLines/>
            </w:pPr>
            <w:r w:rsidRPr="00820898">
              <w:t xml:space="preserve">The PBAC considered that there </w:t>
            </w:r>
            <w:r w:rsidR="00FC0A6A">
              <w:t>were</w:t>
            </w:r>
            <w:r w:rsidR="00FC0A6A" w:rsidRPr="00820898">
              <w:t xml:space="preserve"> </w:t>
            </w:r>
            <w:r w:rsidRPr="00820898">
              <w:t xml:space="preserve">insufficient clinical data to support use of a 30-year time horizon and noted that an 11 year horizon was used for the economic evaluation for ONA for patients with 1-2 </w:t>
            </w:r>
            <w:r w:rsidR="00EA2BFF" w:rsidRPr="00EA2BFF">
              <w:rPr>
                <w:i/>
              </w:rPr>
              <w:t>SMN2</w:t>
            </w:r>
            <w:r w:rsidRPr="00820898">
              <w:t xml:space="preserve"> copies (paragraph 7.8, </w:t>
            </w:r>
            <w:r w:rsidR="00FC0A6A">
              <w:t>ONA</w:t>
            </w:r>
            <w:r w:rsidRPr="00820898">
              <w:t xml:space="preserve"> </w:t>
            </w:r>
            <w:r w:rsidR="00D862B0" w:rsidRPr="00820898">
              <w:t>PSD</w:t>
            </w:r>
            <w:r w:rsidRPr="00820898">
              <w:t>, November 2022 PBAC meeting).</w:t>
            </w:r>
          </w:p>
        </w:tc>
        <w:tc>
          <w:tcPr>
            <w:tcW w:w="2409" w:type="pct"/>
            <w:tcMar>
              <w:left w:w="40" w:type="dxa"/>
              <w:right w:w="40" w:type="dxa"/>
            </w:tcMar>
          </w:tcPr>
          <w:p w14:paraId="74DD5C94" w14:textId="6AB71685" w:rsidR="0014093D" w:rsidRPr="00820898" w:rsidRDefault="0014093D" w:rsidP="00B00909">
            <w:pPr>
              <w:pStyle w:val="TableText0"/>
              <w:keepLines/>
              <w:rPr>
                <w:rFonts w:eastAsia="Times New Roman" w:cs="Arial"/>
                <w:bCs w:val="0"/>
                <w:snapToGrid w:val="0"/>
                <w:szCs w:val="20"/>
              </w:rPr>
            </w:pPr>
            <w:r w:rsidRPr="00820898">
              <w:rPr>
                <w:rFonts w:eastAsia="Times New Roman" w:cs="Arial"/>
                <w:bCs w:val="0"/>
                <w:snapToGrid w:val="0"/>
                <w:szCs w:val="20"/>
              </w:rPr>
              <w:t>The resubmission provided a cost-minimisation approach against risdiplam based on an 11-year time horizon.</w:t>
            </w:r>
          </w:p>
        </w:tc>
      </w:tr>
      <w:tr w:rsidR="00E877A9" w:rsidRPr="00820898" w14:paraId="4A11DAA0" w14:textId="77777777" w:rsidTr="00B00909">
        <w:trPr>
          <w:cantSplit/>
        </w:trPr>
        <w:tc>
          <w:tcPr>
            <w:tcW w:w="5000" w:type="pct"/>
            <w:gridSpan w:val="2"/>
            <w:tcMar>
              <w:left w:w="40" w:type="dxa"/>
              <w:right w:w="40" w:type="dxa"/>
            </w:tcMar>
          </w:tcPr>
          <w:p w14:paraId="001BEAF8" w14:textId="77777777" w:rsidR="0014093D" w:rsidRPr="00820898" w:rsidRDefault="0014093D" w:rsidP="00B00909">
            <w:pPr>
              <w:pStyle w:val="TableText0"/>
              <w:keepLines/>
              <w:rPr>
                <w:rFonts w:eastAsia="Times New Roman" w:cs="Arial"/>
                <w:bCs w:val="0"/>
                <w:snapToGrid w:val="0"/>
                <w:szCs w:val="20"/>
                <w:highlight w:val="cyan"/>
              </w:rPr>
            </w:pPr>
            <w:r w:rsidRPr="00820898">
              <w:rPr>
                <w:b/>
              </w:rPr>
              <w:t>Financial</w:t>
            </w:r>
          </w:p>
        </w:tc>
      </w:tr>
      <w:tr w:rsidR="00E877A9" w:rsidRPr="00820898" w14:paraId="0501E33E" w14:textId="77777777" w:rsidTr="00B00909">
        <w:trPr>
          <w:cantSplit/>
        </w:trPr>
        <w:tc>
          <w:tcPr>
            <w:tcW w:w="2591" w:type="pct"/>
            <w:tcMar>
              <w:left w:w="40" w:type="dxa"/>
              <w:right w:w="40" w:type="dxa"/>
            </w:tcMar>
          </w:tcPr>
          <w:p w14:paraId="29FCFE40" w14:textId="0CE7E1BC" w:rsidR="0014093D" w:rsidRPr="00820898" w:rsidRDefault="00653D0F" w:rsidP="00B00909">
            <w:pPr>
              <w:keepNext/>
              <w:keepLines/>
              <w:jc w:val="left"/>
              <w:rPr>
                <w:highlight w:val="cyan"/>
              </w:rPr>
            </w:pPr>
            <w:r w:rsidRPr="00820898">
              <w:rPr>
                <w:rFonts w:ascii="Arial Narrow" w:eastAsiaTheme="majorEastAsia" w:hAnsi="Arial Narrow" w:cstheme="majorBidi"/>
                <w:bCs/>
                <w:sz w:val="20"/>
              </w:rPr>
              <w:t xml:space="preserve">The PBAC considered it was uncertain whether these cost savings would be realised as the financial estimates assumed that patients treated with ONA would have otherwise been treated with nusinersen or risdiplam, that patients treated with ONA would not require subsequent treatment and that there would be no discontinuation of treatment with </w:t>
            </w:r>
            <w:r w:rsidR="006E70BF" w:rsidRPr="00820898">
              <w:rPr>
                <w:rFonts w:ascii="Arial Narrow" w:eastAsiaTheme="majorEastAsia" w:hAnsi="Arial Narrow" w:cstheme="majorBidi"/>
                <w:bCs/>
                <w:sz w:val="20"/>
              </w:rPr>
              <w:t>either nusinersen or risdipla</w:t>
            </w:r>
            <w:r w:rsidR="000B3454" w:rsidRPr="00820898">
              <w:rPr>
                <w:rFonts w:ascii="Arial Narrow" w:eastAsiaTheme="majorEastAsia" w:hAnsi="Arial Narrow" w:cstheme="majorBidi"/>
                <w:bCs/>
                <w:sz w:val="20"/>
              </w:rPr>
              <w:t>m</w:t>
            </w:r>
            <w:r w:rsidR="00C52D8B" w:rsidRPr="00820898">
              <w:rPr>
                <w:rFonts w:ascii="Arial Narrow" w:eastAsiaTheme="majorEastAsia" w:hAnsi="Arial Narrow" w:cstheme="majorBidi"/>
                <w:bCs/>
                <w:sz w:val="20"/>
              </w:rPr>
              <w:t xml:space="preserve"> (paragraph 7.11, </w:t>
            </w:r>
            <w:r w:rsidR="00FC0A6A">
              <w:rPr>
                <w:rFonts w:ascii="Arial Narrow" w:eastAsiaTheme="majorEastAsia" w:hAnsi="Arial Narrow" w:cstheme="majorBidi"/>
                <w:bCs/>
                <w:sz w:val="20"/>
              </w:rPr>
              <w:t>ONA</w:t>
            </w:r>
            <w:r w:rsidR="00C52D8B" w:rsidRPr="00820898">
              <w:rPr>
                <w:rFonts w:ascii="Arial Narrow" w:eastAsiaTheme="majorEastAsia" w:hAnsi="Arial Narrow" w:cstheme="majorBidi"/>
                <w:bCs/>
                <w:sz w:val="20"/>
              </w:rPr>
              <w:t xml:space="preserve"> PSD, November 2022 PBAC meeting).</w:t>
            </w:r>
          </w:p>
        </w:tc>
        <w:tc>
          <w:tcPr>
            <w:tcW w:w="2409" w:type="pct"/>
            <w:tcMar>
              <w:left w:w="40" w:type="dxa"/>
              <w:right w:w="40" w:type="dxa"/>
            </w:tcMar>
          </w:tcPr>
          <w:p w14:paraId="69B2A21B" w14:textId="3C397D38" w:rsidR="0014093D" w:rsidRPr="00820898" w:rsidRDefault="000B3454" w:rsidP="00B00909">
            <w:pPr>
              <w:pStyle w:val="TableText0"/>
              <w:keepLines/>
              <w:rPr>
                <w:rFonts w:eastAsia="Times New Roman" w:cs="Arial"/>
                <w:bCs w:val="0"/>
                <w:snapToGrid w:val="0"/>
                <w:szCs w:val="20"/>
              </w:rPr>
            </w:pPr>
            <w:r w:rsidRPr="00820898">
              <w:rPr>
                <w:rFonts w:eastAsia="Times New Roman" w:cs="Arial"/>
                <w:bCs w:val="0"/>
                <w:snapToGrid w:val="0"/>
                <w:szCs w:val="20"/>
              </w:rPr>
              <w:t xml:space="preserve">Partially addressed with a discontinuation rate </w:t>
            </w:r>
            <w:r w:rsidR="00491366" w:rsidRPr="00820898">
              <w:rPr>
                <w:rFonts w:eastAsia="Times New Roman" w:cs="Arial"/>
                <w:bCs w:val="0"/>
                <w:snapToGrid w:val="0"/>
                <w:szCs w:val="20"/>
              </w:rPr>
              <w:t xml:space="preserve">(5%) </w:t>
            </w:r>
            <w:r w:rsidR="0052782D" w:rsidRPr="00820898">
              <w:rPr>
                <w:rFonts w:eastAsia="Times New Roman" w:cs="Arial"/>
                <w:bCs w:val="0"/>
                <w:snapToGrid w:val="0"/>
                <w:szCs w:val="20"/>
              </w:rPr>
              <w:t xml:space="preserve">applied to </w:t>
            </w:r>
            <w:r w:rsidR="004F47FF" w:rsidRPr="00820898">
              <w:rPr>
                <w:rFonts w:eastAsia="Times New Roman" w:cs="Arial"/>
                <w:bCs w:val="0"/>
                <w:snapToGrid w:val="0"/>
                <w:szCs w:val="20"/>
              </w:rPr>
              <w:t xml:space="preserve">nusinersen and risdiplam </w:t>
            </w:r>
            <w:r w:rsidRPr="00820898">
              <w:rPr>
                <w:rFonts w:eastAsia="Times New Roman" w:cs="Arial"/>
                <w:bCs w:val="0"/>
                <w:snapToGrid w:val="0"/>
                <w:szCs w:val="20"/>
              </w:rPr>
              <w:t>by the resubmission</w:t>
            </w:r>
            <w:r w:rsidR="00491366" w:rsidRPr="00820898">
              <w:rPr>
                <w:rFonts w:eastAsia="Times New Roman" w:cs="Arial"/>
                <w:bCs w:val="0"/>
                <w:snapToGrid w:val="0"/>
                <w:szCs w:val="20"/>
              </w:rPr>
              <w:t>, though this did not consider treatment switching</w:t>
            </w:r>
            <w:r w:rsidRPr="00820898">
              <w:rPr>
                <w:rFonts w:eastAsia="Times New Roman" w:cs="Arial"/>
                <w:bCs w:val="0"/>
                <w:snapToGrid w:val="0"/>
                <w:szCs w:val="20"/>
              </w:rPr>
              <w:t xml:space="preserve">. However, the resubmission </w:t>
            </w:r>
            <w:r w:rsidR="004C1A53" w:rsidRPr="00820898">
              <w:rPr>
                <w:rFonts w:eastAsia="Times New Roman" w:cs="Arial"/>
                <w:bCs w:val="0"/>
                <w:snapToGrid w:val="0"/>
                <w:szCs w:val="20"/>
              </w:rPr>
              <w:t xml:space="preserve">continued to </w:t>
            </w:r>
            <w:r w:rsidRPr="00820898">
              <w:rPr>
                <w:rFonts w:eastAsia="Times New Roman" w:cs="Arial"/>
                <w:bCs w:val="0"/>
                <w:snapToGrid w:val="0"/>
                <w:szCs w:val="20"/>
              </w:rPr>
              <w:t xml:space="preserve">assume patients treated with ONA would have otherwise been treated (with nusinersen, risdiplam or ONA) and that patients treated with ONA would not require subsequent treatment. </w:t>
            </w:r>
          </w:p>
        </w:tc>
      </w:tr>
      <w:tr w:rsidR="00C52D8B" w:rsidRPr="00820898" w14:paraId="52B58BCF" w14:textId="77777777" w:rsidTr="00B00909">
        <w:trPr>
          <w:cantSplit/>
        </w:trPr>
        <w:tc>
          <w:tcPr>
            <w:tcW w:w="2591" w:type="pct"/>
            <w:tcMar>
              <w:left w:w="40" w:type="dxa"/>
              <w:right w:w="40" w:type="dxa"/>
            </w:tcMar>
          </w:tcPr>
          <w:p w14:paraId="5F0517F3" w14:textId="3A2AE20B" w:rsidR="00C52D8B" w:rsidRPr="00820898" w:rsidRDefault="00C52D8B" w:rsidP="00B00909">
            <w:pPr>
              <w:pStyle w:val="PBACTableText"/>
              <w:keepNext/>
              <w:keepLines/>
              <w:rPr>
                <w:rFonts w:eastAsiaTheme="majorEastAsia" w:cstheme="majorBidi"/>
                <w:bCs/>
              </w:rPr>
            </w:pPr>
            <w:r w:rsidRPr="00820898">
              <w:rPr>
                <w:rFonts w:eastAsiaTheme="majorEastAsia"/>
              </w:rPr>
              <w:t xml:space="preserve">The PBAC considered that the number of patients with 3 </w:t>
            </w:r>
            <w:r w:rsidR="00EA2BFF" w:rsidRPr="00EA2BFF">
              <w:rPr>
                <w:rFonts w:eastAsiaTheme="majorEastAsia"/>
                <w:i/>
              </w:rPr>
              <w:t>SMN2</w:t>
            </w:r>
            <w:r w:rsidRPr="00820898">
              <w:rPr>
                <w:rFonts w:eastAsiaTheme="majorEastAsia"/>
              </w:rPr>
              <w:t xml:space="preserve"> copies who would be treated pre-symptomatically with ONA was uncertain, noting this could increase with the expansion of newborn bloodspot screening but may also be reduced in the long term due to the introduction of reproductive genetic carrier screening</w:t>
            </w:r>
            <w:r w:rsidRPr="00820898">
              <w:t xml:space="preserve"> </w:t>
            </w:r>
            <w:r w:rsidRPr="00820898">
              <w:rPr>
                <w:rFonts w:eastAsiaTheme="majorEastAsia" w:cstheme="majorBidi"/>
                <w:bCs/>
              </w:rPr>
              <w:t>(paragraph 7.11,</w:t>
            </w:r>
            <w:r w:rsidRPr="00820898">
              <w:t xml:space="preserve"> </w:t>
            </w:r>
            <w:r w:rsidR="00FC0A6A">
              <w:rPr>
                <w:rFonts w:eastAsiaTheme="majorEastAsia" w:cstheme="majorBidi"/>
                <w:bCs/>
              </w:rPr>
              <w:t>ONA</w:t>
            </w:r>
            <w:r w:rsidRPr="00820898">
              <w:rPr>
                <w:rFonts w:eastAsiaTheme="majorEastAsia" w:cstheme="majorBidi"/>
                <w:bCs/>
              </w:rPr>
              <w:t xml:space="preserve"> PSD, November 2022 PBAC meeting).</w:t>
            </w:r>
          </w:p>
        </w:tc>
        <w:tc>
          <w:tcPr>
            <w:tcW w:w="2409" w:type="pct"/>
            <w:tcMar>
              <w:left w:w="40" w:type="dxa"/>
              <w:right w:w="40" w:type="dxa"/>
            </w:tcMar>
          </w:tcPr>
          <w:p w14:paraId="6174A39C" w14:textId="1A2EA501" w:rsidR="00C52D8B" w:rsidRPr="00820898" w:rsidDel="001E0990" w:rsidRDefault="00C52D8B" w:rsidP="00B00909">
            <w:pPr>
              <w:pStyle w:val="PBACTableText"/>
              <w:keepNext/>
              <w:keepLines/>
              <w:rPr>
                <w:rFonts w:cs="Arial"/>
                <w:bCs/>
                <w:snapToGrid w:val="0"/>
              </w:rPr>
            </w:pPr>
            <w:r w:rsidRPr="00820898">
              <w:rPr>
                <w:rFonts w:cs="Arial"/>
                <w:snapToGrid w:val="0"/>
              </w:rPr>
              <w:t xml:space="preserve">The number of patients with 3 copies of </w:t>
            </w:r>
            <w:r w:rsidR="00EA2BFF" w:rsidRPr="00EA2BFF">
              <w:rPr>
                <w:rFonts w:cs="Arial"/>
                <w:i/>
                <w:snapToGrid w:val="0"/>
              </w:rPr>
              <w:t>SMN2</w:t>
            </w:r>
            <w:r w:rsidRPr="00820898">
              <w:rPr>
                <w:rFonts w:cs="Arial"/>
                <w:snapToGrid w:val="0"/>
              </w:rPr>
              <w:t xml:space="preserve"> remained </w:t>
            </w:r>
            <w:r w:rsidR="00FC0A6A" w:rsidRPr="0047331C">
              <w:rPr>
                <w:rFonts w:cs="Arial"/>
                <w:snapToGrid w:val="0"/>
              </w:rPr>
              <w:t>somewhat</w:t>
            </w:r>
            <w:r w:rsidR="00FC0A6A">
              <w:rPr>
                <w:rFonts w:cs="Arial"/>
                <w:snapToGrid w:val="0"/>
              </w:rPr>
              <w:t xml:space="preserve"> </w:t>
            </w:r>
            <w:r w:rsidRPr="00820898">
              <w:rPr>
                <w:rFonts w:cs="Arial"/>
                <w:snapToGrid w:val="0"/>
              </w:rPr>
              <w:t>uncertain</w:t>
            </w:r>
            <w:r w:rsidRPr="00820898">
              <w:rPr>
                <w:rFonts w:cs="Arial"/>
                <w:bCs/>
                <w:snapToGrid w:val="0"/>
              </w:rPr>
              <w:t>.</w:t>
            </w:r>
          </w:p>
        </w:tc>
      </w:tr>
    </w:tbl>
    <w:p w14:paraId="3477778C" w14:textId="5F2DA7D8" w:rsidR="0014093D" w:rsidRDefault="0014093D" w:rsidP="00F8178C">
      <w:pPr>
        <w:pStyle w:val="FooterTableFigure"/>
      </w:pPr>
      <w:r w:rsidRPr="007740E4">
        <w:t xml:space="preserve">Source: Compiled during the evaluation </w:t>
      </w:r>
      <w:r w:rsidR="0038381D">
        <w:t xml:space="preserve">based on onasemnogene abeparvovec PSD, November 2022 PBAC meeting </w:t>
      </w:r>
      <w:r w:rsidRPr="007740E4">
        <w:t>and Table 1.12</w:t>
      </w:r>
      <w:r w:rsidRPr="003B0D89">
        <w:t>, p</w:t>
      </w:r>
      <w:r w:rsidR="003B0D89" w:rsidRPr="003B0D89">
        <w:t>51</w:t>
      </w:r>
      <w:r w:rsidRPr="007740E4">
        <w:t xml:space="preserve"> of the resubmission. </w:t>
      </w:r>
    </w:p>
    <w:p w14:paraId="3BB74A9E" w14:textId="0D7E5CFB" w:rsidR="0052782D" w:rsidRDefault="00FC0DD4" w:rsidP="00F8178C">
      <w:pPr>
        <w:pStyle w:val="FooterTableFigure"/>
      </w:pPr>
      <w:r>
        <w:t xml:space="preserve">DMT = disease modifying treatment; </w:t>
      </w:r>
      <w:r w:rsidR="0052782D">
        <w:t xml:space="preserve">ONA = onasemnogene abeparvovec; PSD = public summary document; </w:t>
      </w:r>
      <w:r>
        <w:t xml:space="preserve">SMA = spinal muscular atrophy; </w:t>
      </w:r>
      <w:r w:rsidRPr="00FC0DD4">
        <w:rPr>
          <w:i/>
          <w:iCs/>
        </w:rPr>
        <w:t>SMN2</w:t>
      </w:r>
      <w:r>
        <w:t xml:space="preserve"> = survival motor neuron 2 </w:t>
      </w:r>
    </w:p>
    <w:p w14:paraId="43C1C1D4" w14:textId="55BA62A0" w:rsidR="0047331C" w:rsidRPr="00861BE4" w:rsidRDefault="0047331C" w:rsidP="00861BE4">
      <w:pPr>
        <w:ind w:firstLine="709"/>
        <w:rPr>
          <w:rFonts w:asciiTheme="minorHAnsi" w:hAnsiTheme="minorHAnsi"/>
          <w:i/>
        </w:rPr>
      </w:pPr>
      <w:bookmarkStart w:id="9" w:name="_Hlk76375324"/>
      <w:r w:rsidRPr="00C33D30">
        <w:rPr>
          <w:rFonts w:asciiTheme="minorHAnsi" w:hAnsiTheme="minorHAnsi"/>
          <w:i/>
        </w:rPr>
        <w:t>For more detail on PBAC’s view, see section 7 PBAC outcome.</w:t>
      </w:r>
      <w:bookmarkEnd w:id="9"/>
    </w:p>
    <w:p w14:paraId="66320E46" w14:textId="77777777" w:rsidR="0014093D" w:rsidRPr="007740E4" w:rsidRDefault="0014093D" w:rsidP="0014093D">
      <w:pPr>
        <w:pStyle w:val="2-SectionHeading"/>
        <w:numPr>
          <w:ilvl w:val="0"/>
          <w:numId w:val="1"/>
        </w:numPr>
      </w:pPr>
      <w:bookmarkStart w:id="10" w:name="_Toc135210582"/>
      <w:r w:rsidRPr="007740E4">
        <w:t>Requested listing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14093D" w:rsidRPr="007740E4" w14:paraId="4F12CDB2" w14:textId="77777777" w:rsidTr="00EF68D9">
        <w:trPr>
          <w:cantSplit/>
          <w:trHeight w:val="20"/>
        </w:trPr>
        <w:tc>
          <w:tcPr>
            <w:tcW w:w="2972" w:type="dxa"/>
            <w:vAlign w:val="center"/>
          </w:tcPr>
          <w:p w14:paraId="295A7A28" w14:textId="77777777" w:rsidR="0014093D" w:rsidRPr="007740E4" w:rsidRDefault="0014093D" w:rsidP="00EF68D9">
            <w:pPr>
              <w:keepNext/>
              <w:keepLines/>
              <w:rPr>
                <w:rFonts w:ascii="Arial Narrow" w:hAnsi="Arial Narrow"/>
                <w:b/>
                <w:bCs/>
                <w:sz w:val="20"/>
                <w:szCs w:val="20"/>
              </w:rPr>
            </w:pPr>
            <w:bookmarkStart w:id="11" w:name="_Hlk104809055"/>
            <w:r w:rsidRPr="007740E4">
              <w:rPr>
                <w:rFonts w:ascii="Arial Narrow" w:hAnsi="Arial Narrow"/>
                <w:b/>
                <w:bCs/>
                <w:sz w:val="20"/>
                <w:szCs w:val="20"/>
              </w:rPr>
              <w:t>MEDICINAL PRODUCT</w:t>
            </w:r>
          </w:p>
          <w:p w14:paraId="0F0D2B7F" w14:textId="77777777" w:rsidR="0014093D" w:rsidRPr="007740E4" w:rsidRDefault="0014093D" w:rsidP="00EF68D9">
            <w:pPr>
              <w:keepNext/>
              <w:keepLines/>
              <w:rPr>
                <w:rFonts w:ascii="Arial Narrow" w:hAnsi="Arial Narrow"/>
                <w:b/>
                <w:sz w:val="20"/>
                <w:szCs w:val="20"/>
              </w:rPr>
            </w:pPr>
            <w:r w:rsidRPr="007740E4">
              <w:rPr>
                <w:rFonts w:ascii="Arial Narrow" w:hAnsi="Arial Narrow"/>
                <w:b/>
                <w:bCs/>
                <w:sz w:val="20"/>
                <w:szCs w:val="20"/>
              </w:rPr>
              <w:t>medicinal product pack</w:t>
            </w:r>
          </w:p>
        </w:tc>
        <w:tc>
          <w:tcPr>
            <w:tcW w:w="1779" w:type="dxa"/>
            <w:vAlign w:val="center"/>
          </w:tcPr>
          <w:p w14:paraId="074A6E3F" w14:textId="77777777" w:rsidR="0014093D" w:rsidRPr="007740E4" w:rsidRDefault="0014093D" w:rsidP="00EF68D9">
            <w:pPr>
              <w:pStyle w:val="TableText0"/>
              <w:rPr>
                <w:b/>
                <w:bCs w:val="0"/>
                <w:szCs w:val="20"/>
              </w:rPr>
            </w:pPr>
            <w:r w:rsidRPr="007740E4">
              <w:rPr>
                <w:b/>
                <w:bCs w:val="0"/>
                <w:snapToGrid w:val="0"/>
              </w:rPr>
              <w:t xml:space="preserve">Dispensed Price for Max. Qty </w:t>
            </w:r>
          </w:p>
        </w:tc>
        <w:tc>
          <w:tcPr>
            <w:tcW w:w="812" w:type="dxa"/>
            <w:vAlign w:val="center"/>
          </w:tcPr>
          <w:p w14:paraId="4D7428D3"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Max. qty packs</w:t>
            </w:r>
          </w:p>
        </w:tc>
        <w:tc>
          <w:tcPr>
            <w:tcW w:w="811" w:type="dxa"/>
            <w:vAlign w:val="center"/>
          </w:tcPr>
          <w:p w14:paraId="7C4EFA7E"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Max. qty units</w:t>
            </w:r>
          </w:p>
        </w:tc>
        <w:tc>
          <w:tcPr>
            <w:tcW w:w="812" w:type="dxa"/>
            <w:vAlign w:val="center"/>
          </w:tcPr>
          <w:p w14:paraId="7CECBDCA" w14:textId="245FEEA9"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w:t>
            </w:r>
            <w:r w:rsidR="00B00909">
              <w:rPr>
                <w:rFonts w:ascii="Arial Narrow" w:hAnsi="Arial Narrow"/>
                <w:b/>
                <w:sz w:val="20"/>
                <w:szCs w:val="20"/>
              </w:rPr>
              <w:t xml:space="preserve"> </w:t>
            </w:r>
            <w:r w:rsidRPr="007740E4">
              <w:rPr>
                <w:rFonts w:ascii="Arial Narrow" w:hAnsi="Arial Narrow"/>
                <w:b/>
                <w:sz w:val="20"/>
                <w:szCs w:val="20"/>
              </w:rPr>
              <w:t>of</w:t>
            </w:r>
          </w:p>
          <w:p w14:paraId="2139DEB4"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Rpts</w:t>
            </w:r>
          </w:p>
        </w:tc>
        <w:tc>
          <w:tcPr>
            <w:tcW w:w="1831" w:type="dxa"/>
            <w:vAlign w:val="center"/>
          </w:tcPr>
          <w:p w14:paraId="44215DA8" w14:textId="77777777" w:rsidR="0014093D" w:rsidRPr="007740E4" w:rsidRDefault="0014093D" w:rsidP="00EF68D9">
            <w:pPr>
              <w:keepNext/>
              <w:keepLines/>
              <w:rPr>
                <w:rFonts w:ascii="Arial Narrow" w:hAnsi="Arial Narrow"/>
                <w:b/>
                <w:sz w:val="20"/>
                <w:szCs w:val="20"/>
              </w:rPr>
            </w:pPr>
            <w:r w:rsidRPr="007740E4">
              <w:rPr>
                <w:rFonts w:ascii="Arial Narrow" w:hAnsi="Arial Narrow"/>
                <w:b/>
                <w:sz w:val="20"/>
                <w:szCs w:val="20"/>
              </w:rPr>
              <w:t>Available brands</w:t>
            </w:r>
          </w:p>
        </w:tc>
      </w:tr>
      <w:tr w:rsidR="0014093D" w:rsidRPr="007740E4" w14:paraId="43786722" w14:textId="77777777" w:rsidTr="00EF68D9">
        <w:trPr>
          <w:cantSplit/>
          <w:trHeight w:val="20"/>
        </w:trPr>
        <w:tc>
          <w:tcPr>
            <w:tcW w:w="9017" w:type="dxa"/>
            <w:gridSpan w:val="6"/>
            <w:vAlign w:val="center"/>
          </w:tcPr>
          <w:p w14:paraId="1F6A1370" w14:textId="77777777" w:rsidR="0014093D" w:rsidRPr="007740E4" w:rsidRDefault="0014093D" w:rsidP="00EF68D9">
            <w:pPr>
              <w:pStyle w:val="TableText0"/>
              <w:rPr>
                <w:rFonts w:cs="Arial"/>
                <w:szCs w:val="20"/>
              </w:rPr>
            </w:pPr>
            <w:r w:rsidRPr="007740E4">
              <w:t>Onasemnogene abeparvovec</w:t>
            </w:r>
          </w:p>
        </w:tc>
      </w:tr>
      <w:tr w:rsidR="0014093D" w:rsidRPr="007740E4" w14:paraId="70795379" w14:textId="77777777" w:rsidTr="00EF68D9">
        <w:trPr>
          <w:cantSplit/>
          <w:trHeight w:val="20"/>
        </w:trPr>
        <w:tc>
          <w:tcPr>
            <w:tcW w:w="2972" w:type="dxa"/>
            <w:vAlign w:val="center"/>
          </w:tcPr>
          <w:p w14:paraId="7D196D12"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 xml:space="preserve">onasemnogene abeparvovec </w:t>
            </w:r>
          </w:p>
          <w:p w14:paraId="537A570E"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1.1 x 10</w:t>
            </w:r>
            <w:r w:rsidRPr="007740E4">
              <w:rPr>
                <w:rFonts w:ascii="Arial Narrow" w:hAnsi="Arial Narrow"/>
                <w:sz w:val="20"/>
                <w:szCs w:val="20"/>
                <w:vertAlign w:val="superscript"/>
              </w:rPr>
              <w:t>14</w:t>
            </w:r>
            <w:r w:rsidRPr="007740E4">
              <w:rPr>
                <w:rFonts w:ascii="Arial Narrow" w:hAnsi="Arial Narrow"/>
                <w:sz w:val="20"/>
                <w:szCs w:val="20"/>
              </w:rPr>
              <w:t xml:space="preserve"> vg/kg, </w:t>
            </w:r>
          </w:p>
          <w:p w14:paraId="176A9652" w14:textId="77777777" w:rsidR="0014093D" w:rsidRPr="007740E4" w:rsidRDefault="0014093D" w:rsidP="00EF68D9">
            <w:pPr>
              <w:keepNext/>
              <w:keepLines/>
              <w:rPr>
                <w:rFonts w:ascii="Arial Narrow" w:hAnsi="Arial Narrow"/>
                <w:color w:val="0066FF"/>
                <w:sz w:val="20"/>
                <w:szCs w:val="20"/>
              </w:rPr>
            </w:pPr>
            <w:r w:rsidRPr="007740E4">
              <w:rPr>
                <w:rFonts w:ascii="Arial Narrow" w:hAnsi="Arial Narrow"/>
                <w:sz w:val="20"/>
                <w:szCs w:val="20"/>
              </w:rPr>
              <w:t xml:space="preserve">liquid in vial, each finished pack customised based on patient weight  </w:t>
            </w:r>
          </w:p>
        </w:tc>
        <w:tc>
          <w:tcPr>
            <w:tcW w:w="1779" w:type="dxa"/>
          </w:tcPr>
          <w:p w14:paraId="6F158048" w14:textId="77777777" w:rsidR="0014093D" w:rsidRPr="007740E4" w:rsidRDefault="0014093D" w:rsidP="00EF68D9">
            <w:pPr>
              <w:pStyle w:val="TableText0"/>
              <w:jc w:val="center"/>
            </w:pPr>
            <w:r w:rsidRPr="007740E4">
              <w:t>$2,527,773.87 published price</w:t>
            </w:r>
          </w:p>
          <w:p w14:paraId="26E748B6" w14:textId="4141D70F" w:rsidR="0014093D" w:rsidRPr="0047331C" w:rsidRDefault="0014093D" w:rsidP="00EF68D9">
            <w:pPr>
              <w:pStyle w:val="TableText0"/>
              <w:jc w:val="center"/>
              <w:rPr>
                <w:iCs/>
                <w:szCs w:val="20"/>
              </w:rPr>
            </w:pPr>
            <w:r w:rsidRPr="004E27E7">
              <w:rPr>
                <w:iCs/>
              </w:rPr>
              <w:t>$</w:t>
            </w:r>
            <w:r w:rsidR="004E27E7" w:rsidRPr="005C00E6">
              <w:rPr>
                <w:rFonts w:hint="eastAsia"/>
                <w:iCs/>
                <w:color w:val="000000"/>
                <w:w w:val="32"/>
                <w:shd w:val="solid" w:color="000000" w:fill="000000"/>
                <w:fitText w:val="144" w:id="-1167951872"/>
                <w14:textFill>
                  <w14:solidFill>
                    <w14:srgbClr w14:val="000000">
                      <w14:alpha w14:val="100000"/>
                    </w14:srgbClr>
                  </w14:solidFill>
                </w14:textFill>
              </w:rPr>
              <w:t xml:space="preserve">　</w:t>
            </w:r>
            <w:r w:rsidR="004E27E7" w:rsidRPr="005C00E6">
              <w:rPr>
                <w:iCs/>
                <w:color w:val="000000"/>
                <w:w w:val="32"/>
                <w:shd w:val="solid" w:color="000000" w:fill="000000"/>
                <w:fitText w:val="144" w:id="-1167951872"/>
                <w14:textFill>
                  <w14:solidFill>
                    <w14:srgbClr w14:val="000000">
                      <w14:alpha w14:val="100000"/>
                    </w14:srgbClr>
                  </w14:solidFill>
                </w14:textFill>
              </w:rPr>
              <w:t>|</w:t>
            </w:r>
            <w:r w:rsidR="004E27E7" w:rsidRPr="005C00E6">
              <w:rPr>
                <w:rFonts w:hint="eastAsia"/>
                <w:iCs/>
                <w:color w:val="000000"/>
                <w:spacing w:val="5"/>
                <w:w w:val="32"/>
                <w:shd w:val="solid" w:color="000000" w:fill="000000"/>
                <w:fitText w:val="144" w:id="-1167951872"/>
                <w14:textFill>
                  <w14:solidFill>
                    <w14:srgbClr w14:val="000000">
                      <w14:alpha w14:val="100000"/>
                    </w14:srgbClr>
                  </w14:solidFill>
                </w14:textFill>
              </w:rPr>
              <w:t xml:space="preserve">　</w:t>
            </w:r>
            <w:r w:rsidRPr="0047331C">
              <w:rPr>
                <w:iCs/>
              </w:rPr>
              <w:t xml:space="preserve"> effective price</w:t>
            </w:r>
          </w:p>
        </w:tc>
        <w:tc>
          <w:tcPr>
            <w:tcW w:w="812" w:type="dxa"/>
            <w:vAlign w:val="center"/>
          </w:tcPr>
          <w:p w14:paraId="11DD4004"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rPr>
              <w:t>1</w:t>
            </w:r>
          </w:p>
        </w:tc>
        <w:tc>
          <w:tcPr>
            <w:tcW w:w="811" w:type="dxa"/>
            <w:vAlign w:val="center"/>
          </w:tcPr>
          <w:p w14:paraId="6FEDA162"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rPr>
              <w:t>1</w:t>
            </w:r>
          </w:p>
        </w:tc>
        <w:tc>
          <w:tcPr>
            <w:tcW w:w="812" w:type="dxa"/>
            <w:vAlign w:val="center"/>
          </w:tcPr>
          <w:p w14:paraId="0A5514D5"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rPr>
              <w:t>0</w:t>
            </w:r>
          </w:p>
        </w:tc>
        <w:tc>
          <w:tcPr>
            <w:tcW w:w="1831" w:type="dxa"/>
            <w:vAlign w:val="center"/>
          </w:tcPr>
          <w:p w14:paraId="7D0CD5F7" w14:textId="77777777" w:rsidR="0014093D" w:rsidRPr="007740E4" w:rsidRDefault="0014093D" w:rsidP="00EF68D9">
            <w:pPr>
              <w:keepNext/>
              <w:keepLines/>
              <w:rPr>
                <w:rFonts w:ascii="Arial Narrow" w:hAnsi="Arial Narrow"/>
                <w:color w:val="0066FF"/>
                <w:sz w:val="20"/>
                <w:szCs w:val="20"/>
              </w:rPr>
            </w:pPr>
            <w:r w:rsidRPr="007740E4">
              <w:rPr>
                <w:rFonts w:ascii="Arial Narrow" w:hAnsi="Arial Narrow"/>
                <w:sz w:val="20"/>
                <w:szCs w:val="20"/>
              </w:rPr>
              <w:t>Zolgensma</w:t>
            </w:r>
          </w:p>
        </w:tc>
      </w:tr>
    </w:tbl>
    <w:p w14:paraId="798434C7" w14:textId="77777777" w:rsidR="0014093D" w:rsidRPr="007740E4" w:rsidRDefault="0014093D" w:rsidP="0014093D">
      <w:bookmarkStart w:id="12" w:name="_Hlk104809082"/>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14093D" w:rsidRPr="007740E4" w14:paraId="207EA0C1" w14:textId="77777777" w:rsidTr="00EF68D9">
        <w:trPr>
          <w:trHeight w:val="20"/>
        </w:trPr>
        <w:tc>
          <w:tcPr>
            <w:tcW w:w="5000" w:type="pct"/>
          </w:tcPr>
          <w:p w14:paraId="5FE99ED1" w14:textId="7E9139B6" w:rsidR="0014093D" w:rsidRPr="007740E4" w:rsidRDefault="0014093D" w:rsidP="00052D7E">
            <w:pPr>
              <w:pStyle w:val="TableText0"/>
              <w:keepNext w:val="0"/>
              <w:keepLines/>
            </w:pPr>
            <w:bookmarkStart w:id="13" w:name="_Hlk104809470"/>
            <w:bookmarkEnd w:id="12"/>
            <w:r w:rsidRPr="007740E4">
              <w:t>Category / Program: Section 100 Highly Specialised Drugs Program (Public hospital code only)</w:t>
            </w:r>
          </w:p>
        </w:tc>
      </w:tr>
      <w:tr w:rsidR="0014093D" w:rsidRPr="007740E4" w14:paraId="07116DE7" w14:textId="77777777" w:rsidTr="00EF68D9">
        <w:trPr>
          <w:trHeight w:val="20"/>
        </w:trPr>
        <w:tc>
          <w:tcPr>
            <w:tcW w:w="5000" w:type="pct"/>
          </w:tcPr>
          <w:p w14:paraId="34E9C403" w14:textId="77777777" w:rsidR="0014093D" w:rsidRPr="007740E4" w:rsidRDefault="0014093D" w:rsidP="00052D7E">
            <w:pPr>
              <w:pStyle w:val="TableText0"/>
              <w:keepNext w:val="0"/>
              <w:keepLines/>
            </w:pPr>
            <w:r w:rsidRPr="007740E4">
              <w:t xml:space="preserve">Prescriber type: </w:t>
            </w:r>
            <w:r w:rsidRPr="007740E4">
              <w:fldChar w:fldCharType="begin" w:fldLock="1">
                <w:ffData>
                  <w:name w:val=""/>
                  <w:enabled/>
                  <w:calcOnExit w:val="0"/>
                  <w:checkBox>
                    <w:sizeAuto/>
                    <w:default w:val="1"/>
                  </w:checkBox>
                </w:ffData>
              </w:fldChar>
            </w:r>
            <w:r w:rsidRPr="007740E4">
              <w:instrText xml:space="preserve"> FORMCHECKBOX </w:instrText>
            </w:r>
            <w:r w:rsidR="005C18A1">
              <w:fldChar w:fldCharType="separate"/>
            </w:r>
            <w:r w:rsidRPr="007740E4">
              <w:fldChar w:fldCharType="end"/>
            </w:r>
            <w:r w:rsidRPr="007740E4">
              <w:t xml:space="preserve">Medical Practitioners </w:t>
            </w:r>
          </w:p>
        </w:tc>
      </w:tr>
      <w:tr w:rsidR="0014093D" w:rsidRPr="007740E4" w14:paraId="3C776D83" w14:textId="77777777" w:rsidTr="00EF68D9">
        <w:trPr>
          <w:trHeight w:val="20"/>
        </w:trPr>
        <w:tc>
          <w:tcPr>
            <w:tcW w:w="5000" w:type="pct"/>
          </w:tcPr>
          <w:p w14:paraId="42B1DCFB" w14:textId="77777777" w:rsidR="0014093D" w:rsidRPr="007740E4" w:rsidRDefault="0014093D" w:rsidP="00052D7E">
            <w:pPr>
              <w:pStyle w:val="TableText0"/>
              <w:keepNext w:val="0"/>
              <w:keepLines/>
              <w:rPr>
                <w:rFonts w:eastAsia="Times New Roman"/>
              </w:rPr>
            </w:pPr>
            <w:r w:rsidRPr="007740E4">
              <w:t xml:space="preserve">Restriction type: </w:t>
            </w:r>
            <w:r w:rsidRPr="007740E4">
              <w:rPr>
                <w:rFonts w:eastAsia="Times New Roman"/>
              </w:rPr>
              <w:fldChar w:fldCharType="begin" w:fldLock="1">
                <w:ffData>
                  <w:name w:val=""/>
                  <w:enabled/>
                  <w:calcOnExit w:val="0"/>
                  <w:checkBox>
                    <w:sizeAuto/>
                    <w:default w:val="1"/>
                  </w:checkBox>
                </w:ffData>
              </w:fldChar>
            </w:r>
            <w:r w:rsidRPr="007740E4">
              <w:rPr>
                <w:rFonts w:eastAsia="Times New Roman"/>
              </w:rPr>
              <w:instrText xml:space="preserve"> FORMCHECKBOX </w:instrText>
            </w:r>
            <w:r w:rsidR="005C18A1">
              <w:rPr>
                <w:rFonts w:eastAsia="Times New Roman"/>
              </w:rPr>
            </w:r>
            <w:r w:rsidR="005C18A1">
              <w:rPr>
                <w:rFonts w:eastAsia="Times New Roman"/>
              </w:rPr>
              <w:fldChar w:fldCharType="separate"/>
            </w:r>
            <w:r w:rsidRPr="007740E4">
              <w:rPr>
                <w:rFonts w:eastAsia="Times New Roman"/>
              </w:rPr>
              <w:fldChar w:fldCharType="end"/>
            </w:r>
            <w:r w:rsidRPr="007740E4">
              <w:rPr>
                <w:rFonts w:eastAsia="Times New Roman"/>
              </w:rPr>
              <w:t xml:space="preserve">Authority Required (in writing only via post/HPOS upload)  </w:t>
            </w:r>
          </w:p>
        </w:tc>
      </w:tr>
      <w:tr w:rsidR="0014093D" w:rsidRPr="007740E4" w14:paraId="41A8A347" w14:textId="77777777" w:rsidTr="00EF68D9">
        <w:trPr>
          <w:trHeight w:val="20"/>
        </w:trPr>
        <w:tc>
          <w:tcPr>
            <w:tcW w:w="5000" w:type="pct"/>
            <w:vAlign w:val="center"/>
            <w:hideMark/>
          </w:tcPr>
          <w:p w14:paraId="4CB11CBF" w14:textId="77777777" w:rsidR="0014093D" w:rsidRPr="007740E4" w:rsidRDefault="0014093D" w:rsidP="00052D7E">
            <w:pPr>
              <w:pStyle w:val="TableText0"/>
              <w:keepNext w:val="0"/>
              <w:keepLines/>
            </w:pPr>
            <w:r w:rsidRPr="007740E4">
              <w:t>Indication: Spinal muscular atrophy (SMA)</w:t>
            </w:r>
          </w:p>
        </w:tc>
      </w:tr>
      <w:tr w:rsidR="0014093D" w:rsidRPr="007740E4" w14:paraId="1A595842" w14:textId="77777777" w:rsidTr="00EF68D9">
        <w:trPr>
          <w:trHeight w:val="20"/>
        </w:trPr>
        <w:tc>
          <w:tcPr>
            <w:tcW w:w="5000" w:type="pct"/>
            <w:vAlign w:val="center"/>
            <w:hideMark/>
          </w:tcPr>
          <w:p w14:paraId="7D8CB71A" w14:textId="77777777" w:rsidR="0014093D" w:rsidRPr="007740E4" w:rsidRDefault="0014093D" w:rsidP="00052D7E">
            <w:pPr>
              <w:pStyle w:val="TableText0"/>
              <w:keepNext w:val="0"/>
              <w:keepLines/>
            </w:pPr>
            <w:r w:rsidRPr="007740E4">
              <w:t xml:space="preserve">Treatment Phase: </w:t>
            </w:r>
            <w:r w:rsidRPr="007740E4">
              <w:rPr>
                <w:bCs w:val="0"/>
              </w:rPr>
              <w:t>Use in a patient untreated with disease modifying therapies for this condition</w:t>
            </w:r>
          </w:p>
        </w:tc>
      </w:tr>
      <w:tr w:rsidR="0014093D" w:rsidRPr="007740E4" w14:paraId="1D6A8954" w14:textId="77777777" w:rsidTr="00EF68D9">
        <w:trPr>
          <w:trHeight w:val="20"/>
        </w:trPr>
        <w:tc>
          <w:tcPr>
            <w:tcW w:w="5000" w:type="pct"/>
            <w:vAlign w:val="center"/>
            <w:hideMark/>
          </w:tcPr>
          <w:p w14:paraId="709BA089" w14:textId="77777777" w:rsidR="0014093D" w:rsidRPr="007740E4" w:rsidRDefault="0014093D" w:rsidP="00052D7E">
            <w:pPr>
              <w:pStyle w:val="TableText0"/>
              <w:keepNext w:val="0"/>
              <w:keepLines/>
            </w:pPr>
            <w:r w:rsidRPr="007740E4">
              <w:t>Clinical criteria:</w:t>
            </w:r>
          </w:p>
        </w:tc>
      </w:tr>
      <w:tr w:rsidR="0014093D" w:rsidRPr="007740E4" w14:paraId="2DE2D6D7" w14:textId="77777777" w:rsidTr="00EF68D9">
        <w:trPr>
          <w:trHeight w:val="20"/>
        </w:trPr>
        <w:tc>
          <w:tcPr>
            <w:tcW w:w="5000" w:type="pct"/>
            <w:shd w:val="clear" w:color="auto" w:fill="auto"/>
            <w:hideMark/>
          </w:tcPr>
          <w:p w14:paraId="1B23222D" w14:textId="3DB5BC53" w:rsidR="0014093D" w:rsidRPr="007740E4" w:rsidRDefault="0014093D" w:rsidP="00052D7E">
            <w:pPr>
              <w:pStyle w:val="TableText0"/>
              <w:keepNext w:val="0"/>
              <w:keepLines/>
            </w:pPr>
            <w:r w:rsidRPr="007740E4">
              <w:t>The condition must have genetic confirmation of 5q homozygous deletion of the survival motor neuron 1 (</w:t>
            </w:r>
            <w:r w:rsidR="00B64F80" w:rsidRPr="007740E4">
              <w:rPr>
                <w:i/>
              </w:rPr>
              <w:t>SMN1</w:t>
            </w:r>
            <w:r w:rsidRPr="007740E4">
              <w:t>) gene; or</w:t>
            </w:r>
          </w:p>
        </w:tc>
      </w:tr>
      <w:tr w:rsidR="0014093D" w:rsidRPr="007740E4" w14:paraId="513D2A78" w14:textId="77777777" w:rsidTr="00EF68D9">
        <w:trPr>
          <w:trHeight w:val="20"/>
        </w:trPr>
        <w:tc>
          <w:tcPr>
            <w:tcW w:w="5000" w:type="pct"/>
            <w:shd w:val="clear" w:color="auto" w:fill="auto"/>
          </w:tcPr>
          <w:p w14:paraId="7258BC4F" w14:textId="151FA8CE" w:rsidR="0014093D" w:rsidRPr="007740E4" w:rsidRDefault="0014093D" w:rsidP="00052D7E">
            <w:pPr>
              <w:pStyle w:val="TableText0"/>
              <w:keepNext w:val="0"/>
              <w:keepLines/>
              <w:rPr>
                <w:color w:val="0066FF"/>
              </w:rPr>
            </w:pPr>
            <w:r w:rsidRPr="007740E4">
              <w:t xml:space="preserve">The condition must have genetic confirmation of deletion of one copy of the </w:t>
            </w:r>
            <w:r w:rsidR="00B64F80" w:rsidRPr="007740E4">
              <w:rPr>
                <w:i/>
              </w:rPr>
              <w:t>SMN1</w:t>
            </w:r>
            <w:r w:rsidRPr="007740E4">
              <w:t xml:space="preserve"> gene in addition to a pathogenic/likely pathogenic variant in the remaining single copy of the </w:t>
            </w:r>
            <w:r w:rsidR="00B64F80" w:rsidRPr="007740E4">
              <w:rPr>
                <w:i/>
              </w:rPr>
              <w:t>SMN1</w:t>
            </w:r>
            <w:r w:rsidRPr="007740E4">
              <w:t xml:space="preserve"> gene.</w:t>
            </w:r>
          </w:p>
        </w:tc>
      </w:tr>
      <w:tr w:rsidR="0014093D" w:rsidRPr="007740E4" w14:paraId="50BA4634" w14:textId="77777777" w:rsidTr="00EF68D9">
        <w:trPr>
          <w:trHeight w:val="20"/>
        </w:trPr>
        <w:tc>
          <w:tcPr>
            <w:tcW w:w="5000" w:type="pct"/>
            <w:vAlign w:val="center"/>
            <w:hideMark/>
          </w:tcPr>
          <w:p w14:paraId="32931C87" w14:textId="77777777" w:rsidR="0014093D" w:rsidRPr="007740E4" w:rsidRDefault="0014093D" w:rsidP="00052D7E">
            <w:pPr>
              <w:pStyle w:val="TableText0"/>
              <w:keepNext w:val="0"/>
              <w:keepLines/>
            </w:pPr>
            <w:r w:rsidRPr="007740E4">
              <w:t>AND</w:t>
            </w:r>
          </w:p>
        </w:tc>
      </w:tr>
      <w:tr w:rsidR="0014093D" w:rsidRPr="007740E4" w14:paraId="221DB68F" w14:textId="77777777" w:rsidTr="00EF68D9">
        <w:trPr>
          <w:trHeight w:val="20"/>
        </w:trPr>
        <w:tc>
          <w:tcPr>
            <w:tcW w:w="5000" w:type="pct"/>
            <w:vAlign w:val="center"/>
            <w:hideMark/>
          </w:tcPr>
          <w:p w14:paraId="15240698" w14:textId="77777777" w:rsidR="0014093D" w:rsidRPr="007740E4" w:rsidRDefault="0014093D" w:rsidP="00052D7E">
            <w:pPr>
              <w:pStyle w:val="TableText0"/>
              <w:keepNext w:val="0"/>
              <w:keepLines/>
            </w:pPr>
            <w:r w:rsidRPr="007740E4">
              <w:t>Clinical criteria:</w:t>
            </w:r>
          </w:p>
        </w:tc>
      </w:tr>
      <w:tr w:rsidR="0014093D" w:rsidRPr="009544C7" w14:paraId="0C59F068" w14:textId="77777777" w:rsidTr="00EF68D9">
        <w:trPr>
          <w:trHeight w:val="20"/>
        </w:trPr>
        <w:tc>
          <w:tcPr>
            <w:tcW w:w="5000" w:type="pct"/>
            <w:vAlign w:val="center"/>
          </w:tcPr>
          <w:p w14:paraId="68F14E69" w14:textId="77777777" w:rsidR="0014093D" w:rsidRPr="009544C7" w:rsidRDefault="0014093D" w:rsidP="00052D7E">
            <w:pPr>
              <w:pStyle w:val="TableText0"/>
              <w:keepNext w:val="0"/>
              <w:keepLines/>
              <w:rPr>
                <w:bCs w:val="0"/>
              </w:rPr>
            </w:pPr>
            <w:r w:rsidRPr="009544C7">
              <w:rPr>
                <w:bCs w:val="0"/>
              </w:rPr>
              <w:t>Patient must have experienced at least two of the defined signs/symptoms of Type 1 SMA specified below; or</w:t>
            </w:r>
          </w:p>
        </w:tc>
      </w:tr>
      <w:tr w:rsidR="0014093D" w:rsidRPr="007740E4" w14:paraId="52E64948" w14:textId="77777777" w:rsidTr="00EF68D9">
        <w:trPr>
          <w:trHeight w:val="20"/>
        </w:trPr>
        <w:tc>
          <w:tcPr>
            <w:tcW w:w="5000" w:type="pct"/>
            <w:vAlign w:val="center"/>
            <w:hideMark/>
          </w:tcPr>
          <w:p w14:paraId="71688C96" w14:textId="5EEA5E98" w:rsidR="0014093D" w:rsidRPr="007740E4" w:rsidRDefault="0014093D" w:rsidP="00052D7E">
            <w:pPr>
              <w:pStyle w:val="TableText0"/>
              <w:keepNext w:val="0"/>
              <w:keepLines/>
            </w:pPr>
            <w:r w:rsidRPr="007740E4">
              <w:t xml:space="preserve">The condition must be presymptomatic SMA, with genetic confirmation that there are 1 to </w:t>
            </w:r>
            <w:r w:rsidRPr="007740E4">
              <w:rPr>
                <w:b/>
                <w:strike/>
              </w:rPr>
              <w:t>2</w:t>
            </w:r>
            <w:r w:rsidRPr="007740E4">
              <w:rPr>
                <w:b/>
              </w:rPr>
              <w:t>3</w:t>
            </w:r>
            <w:r w:rsidRPr="007740E4">
              <w:t xml:space="preserve"> copies of the survival motor neuron 2 (</w:t>
            </w:r>
            <w:r w:rsidR="00B64F80" w:rsidRPr="007740E4">
              <w:rPr>
                <w:i/>
              </w:rPr>
              <w:t>SMN2</w:t>
            </w:r>
            <w:r w:rsidRPr="007740E4">
              <w:t>) gene</w:t>
            </w:r>
          </w:p>
        </w:tc>
      </w:tr>
      <w:tr w:rsidR="0014093D" w:rsidRPr="007740E4" w14:paraId="0841FE35" w14:textId="77777777" w:rsidTr="00EF68D9">
        <w:trPr>
          <w:trHeight w:val="20"/>
        </w:trPr>
        <w:tc>
          <w:tcPr>
            <w:tcW w:w="5000" w:type="pct"/>
            <w:vAlign w:val="center"/>
          </w:tcPr>
          <w:p w14:paraId="6796337C" w14:textId="77777777" w:rsidR="0014093D" w:rsidRPr="007740E4" w:rsidRDefault="0014093D" w:rsidP="00052D7E">
            <w:pPr>
              <w:pStyle w:val="TableText0"/>
              <w:keepNext w:val="0"/>
              <w:keepLines/>
            </w:pPr>
            <w:r w:rsidRPr="007740E4">
              <w:t>AND</w:t>
            </w:r>
          </w:p>
        </w:tc>
      </w:tr>
      <w:tr w:rsidR="0014093D" w:rsidRPr="007740E4" w14:paraId="380C1CF8" w14:textId="77777777" w:rsidTr="00EF68D9">
        <w:trPr>
          <w:trHeight w:val="20"/>
        </w:trPr>
        <w:tc>
          <w:tcPr>
            <w:tcW w:w="5000" w:type="pct"/>
            <w:vAlign w:val="center"/>
          </w:tcPr>
          <w:p w14:paraId="66C1E8C8" w14:textId="77777777" w:rsidR="0014093D" w:rsidRPr="007740E4" w:rsidRDefault="0014093D" w:rsidP="00052D7E">
            <w:pPr>
              <w:pStyle w:val="TableText0"/>
              <w:keepNext w:val="0"/>
              <w:keepLines/>
            </w:pPr>
            <w:r w:rsidRPr="007740E4">
              <w:t xml:space="preserve">Clinical criteria: </w:t>
            </w:r>
          </w:p>
        </w:tc>
      </w:tr>
      <w:tr w:rsidR="0014093D" w:rsidRPr="007740E4" w14:paraId="3DB9C3FB" w14:textId="77777777" w:rsidTr="00EF68D9">
        <w:trPr>
          <w:trHeight w:val="20"/>
        </w:trPr>
        <w:tc>
          <w:tcPr>
            <w:tcW w:w="5000" w:type="pct"/>
            <w:vAlign w:val="center"/>
          </w:tcPr>
          <w:p w14:paraId="43C0278A" w14:textId="77777777" w:rsidR="0014093D" w:rsidRPr="007740E4" w:rsidRDefault="0014093D" w:rsidP="00052D7E">
            <w:pPr>
              <w:pStyle w:val="TableText0"/>
              <w:keepNext w:val="0"/>
              <w:keepLines/>
            </w:pPr>
            <w:r w:rsidRPr="007740E4">
              <w:t>The treatment must not be a PBS-subsidised benefit where the condition has progressed to a point where invasive permanent assisted ventilation (i.e. ventilation via tracheostomy tube for at least 16 hours per day) is required in the absence of potentially reversible causes</w:t>
            </w:r>
          </w:p>
        </w:tc>
      </w:tr>
      <w:tr w:rsidR="0014093D" w:rsidRPr="007740E4" w14:paraId="12FACC90" w14:textId="77777777" w:rsidTr="00EF68D9">
        <w:trPr>
          <w:trHeight w:val="20"/>
        </w:trPr>
        <w:tc>
          <w:tcPr>
            <w:tcW w:w="5000" w:type="pct"/>
            <w:vAlign w:val="center"/>
          </w:tcPr>
          <w:p w14:paraId="1AA04EC6" w14:textId="77777777" w:rsidR="0014093D" w:rsidRPr="007740E4" w:rsidRDefault="0014093D" w:rsidP="00052D7E">
            <w:pPr>
              <w:pStyle w:val="TableText0"/>
              <w:keepNext w:val="0"/>
              <w:keepLines/>
            </w:pPr>
            <w:r w:rsidRPr="007740E4">
              <w:t>AND</w:t>
            </w:r>
          </w:p>
        </w:tc>
      </w:tr>
      <w:tr w:rsidR="0014093D" w:rsidRPr="007740E4" w14:paraId="503093BF" w14:textId="77777777" w:rsidTr="00EF68D9">
        <w:trPr>
          <w:trHeight w:val="20"/>
        </w:trPr>
        <w:tc>
          <w:tcPr>
            <w:tcW w:w="5000" w:type="pct"/>
            <w:vAlign w:val="center"/>
          </w:tcPr>
          <w:p w14:paraId="3A86607E" w14:textId="77777777" w:rsidR="0014093D" w:rsidRPr="007740E4" w:rsidRDefault="0014093D" w:rsidP="00052D7E">
            <w:pPr>
              <w:pStyle w:val="TableText0"/>
              <w:keepNext w:val="0"/>
              <w:keepLines/>
            </w:pPr>
            <w:r w:rsidRPr="007740E4">
              <w:t xml:space="preserve">Clinical criteria: </w:t>
            </w:r>
          </w:p>
        </w:tc>
      </w:tr>
      <w:tr w:rsidR="0014093D" w:rsidRPr="007740E4" w14:paraId="1F2335A0" w14:textId="77777777" w:rsidTr="00EF68D9">
        <w:trPr>
          <w:trHeight w:val="20"/>
        </w:trPr>
        <w:tc>
          <w:tcPr>
            <w:tcW w:w="5000" w:type="pct"/>
            <w:vAlign w:val="center"/>
          </w:tcPr>
          <w:p w14:paraId="72A0D549" w14:textId="77777777" w:rsidR="0014093D" w:rsidRPr="007740E4" w:rsidRDefault="0014093D" w:rsidP="00052D7E">
            <w:pPr>
              <w:pStyle w:val="TableText0"/>
              <w:keepNext w:val="0"/>
              <w:keepLines/>
            </w:pPr>
            <w:r w:rsidRPr="007740E4">
              <w:t>The treatment must be given concomitantly with best supportive care for this condition</w:t>
            </w:r>
          </w:p>
        </w:tc>
      </w:tr>
      <w:tr w:rsidR="0014093D" w:rsidRPr="007740E4" w14:paraId="68C72F20" w14:textId="77777777" w:rsidTr="00EF68D9">
        <w:trPr>
          <w:trHeight w:val="20"/>
        </w:trPr>
        <w:tc>
          <w:tcPr>
            <w:tcW w:w="5000" w:type="pct"/>
            <w:vAlign w:val="center"/>
          </w:tcPr>
          <w:p w14:paraId="24CD0861" w14:textId="77777777" w:rsidR="0014093D" w:rsidRPr="007740E4" w:rsidRDefault="0014093D" w:rsidP="00052D7E">
            <w:pPr>
              <w:pStyle w:val="TableText0"/>
              <w:keepNext w:val="0"/>
              <w:keepLines/>
            </w:pPr>
            <w:r w:rsidRPr="007740E4">
              <w:t>AND</w:t>
            </w:r>
          </w:p>
        </w:tc>
      </w:tr>
      <w:tr w:rsidR="0014093D" w:rsidRPr="007740E4" w14:paraId="780FFA5B" w14:textId="77777777" w:rsidTr="00EF68D9">
        <w:trPr>
          <w:trHeight w:val="20"/>
        </w:trPr>
        <w:tc>
          <w:tcPr>
            <w:tcW w:w="5000" w:type="pct"/>
            <w:vAlign w:val="center"/>
          </w:tcPr>
          <w:p w14:paraId="3C67E02D" w14:textId="77777777" w:rsidR="0014093D" w:rsidRPr="007740E4" w:rsidRDefault="0014093D" w:rsidP="00052D7E">
            <w:pPr>
              <w:pStyle w:val="TableText0"/>
              <w:keepNext w:val="0"/>
              <w:keepLines/>
            </w:pPr>
            <w:r w:rsidRPr="007740E4">
              <w:t>Treatment criteria:</w:t>
            </w:r>
          </w:p>
        </w:tc>
      </w:tr>
      <w:tr w:rsidR="0014093D" w:rsidRPr="007740E4" w14:paraId="7E63D976" w14:textId="77777777" w:rsidTr="00EF68D9">
        <w:trPr>
          <w:trHeight w:val="20"/>
        </w:trPr>
        <w:tc>
          <w:tcPr>
            <w:tcW w:w="5000" w:type="pct"/>
            <w:vAlign w:val="center"/>
          </w:tcPr>
          <w:p w14:paraId="1804775D" w14:textId="77777777" w:rsidR="0014093D" w:rsidRPr="007740E4" w:rsidRDefault="0014093D" w:rsidP="00052D7E">
            <w:pPr>
              <w:pStyle w:val="TableText0"/>
              <w:keepNext w:val="0"/>
              <w:keepLines/>
            </w:pPr>
            <w:r w:rsidRPr="007740E4">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of a recognised hospital in the management of SMA.</w:t>
            </w:r>
          </w:p>
        </w:tc>
      </w:tr>
      <w:tr w:rsidR="0014093D" w:rsidRPr="007740E4" w14:paraId="5EB80DA0" w14:textId="77777777" w:rsidTr="00EF68D9">
        <w:trPr>
          <w:trHeight w:val="20"/>
        </w:trPr>
        <w:tc>
          <w:tcPr>
            <w:tcW w:w="5000" w:type="pct"/>
            <w:vAlign w:val="center"/>
          </w:tcPr>
          <w:p w14:paraId="579A8A4A" w14:textId="77777777" w:rsidR="0014093D" w:rsidRPr="007740E4" w:rsidRDefault="0014093D" w:rsidP="00052D7E">
            <w:pPr>
              <w:pStyle w:val="TableText0"/>
              <w:keepNext w:val="0"/>
              <w:keepLines/>
            </w:pPr>
            <w:r w:rsidRPr="007740E4">
              <w:t>AND</w:t>
            </w:r>
          </w:p>
        </w:tc>
      </w:tr>
      <w:tr w:rsidR="0014093D" w:rsidRPr="007740E4" w14:paraId="6480B490" w14:textId="77777777" w:rsidTr="00EF68D9">
        <w:trPr>
          <w:trHeight w:val="20"/>
        </w:trPr>
        <w:tc>
          <w:tcPr>
            <w:tcW w:w="5000" w:type="pct"/>
            <w:vAlign w:val="center"/>
          </w:tcPr>
          <w:p w14:paraId="55EF9DAC" w14:textId="77777777" w:rsidR="0014093D" w:rsidRPr="007740E4" w:rsidRDefault="0014093D" w:rsidP="00052D7E">
            <w:pPr>
              <w:pStyle w:val="TableText0"/>
              <w:keepNext w:val="0"/>
              <w:keepLines/>
            </w:pPr>
            <w:r w:rsidRPr="007740E4">
              <w:t>Treatment criteria:</w:t>
            </w:r>
          </w:p>
        </w:tc>
      </w:tr>
      <w:tr w:rsidR="0014093D" w:rsidRPr="007740E4" w14:paraId="4D0AD1A4" w14:textId="77777777" w:rsidTr="00EF68D9">
        <w:trPr>
          <w:trHeight w:val="20"/>
        </w:trPr>
        <w:tc>
          <w:tcPr>
            <w:tcW w:w="5000" w:type="pct"/>
            <w:vAlign w:val="center"/>
          </w:tcPr>
          <w:p w14:paraId="389BD36D" w14:textId="77777777" w:rsidR="0014093D" w:rsidRPr="007740E4" w:rsidRDefault="0014093D" w:rsidP="00052D7E">
            <w:pPr>
              <w:pStyle w:val="TableText0"/>
              <w:keepNext w:val="0"/>
              <w:keepLines/>
            </w:pPr>
            <w:r w:rsidRPr="007740E4">
              <w:t>Must be treated in a treatment centre that is each of: (i) recognised in the management of SMA, (ii) accredited in the use of this gene technology by the relevant authority, (iii) will(has) source(d) this product from an accredited supplier, as specified in the administrative notes to this listing</w:t>
            </w:r>
          </w:p>
        </w:tc>
      </w:tr>
      <w:tr w:rsidR="0014093D" w:rsidRPr="007740E4" w14:paraId="6F9D21CE" w14:textId="77777777" w:rsidTr="00EF68D9">
        <w:trPr>
          <w:trHeight w:val="20"/>
        </w:trPr>
        <w:tc>
          <w:tcPr>
            <w:tcW w:w="5000" w:type="pct"/>
            <w:vAlign w:val="center"/>
          </w:tcPr>
          <w:p w14:paraId="331960A3" w14:textId="77777777" w:rsidR="0014093D" w:rsidRPr="007740E4" w:rsidRDefault="0014093D" w:rsidP="00052D7E">
            <w:pPr>
              <w:pStyle w:val="TableText0"/>
              <w:keepNext w:val="0"/>
              <w:keepLines/>
            </w:pPr>
            <w:r w:rsidRPr="007740E4">
              <w:t>AND</w:t>
            </w:r>
          </w:p>
        </w:tc>
      </w:tr>
      <w:tr w:rsidR="0014093D" w:rsidRPr="007740E4" w14:paraId="403E9885" w14:textId="77777777" w:rsidTr="00EF68D9">
        <w:trPr>
          <w:trHeight w:val="20"/>
        </w:trPr>
        <w:tc>
          <w:tcPr>
            <w:tcW w:w="5000" w:type="pct"/>
            <w:vAlign w:val="center"/>
          </w:tcPr>
          <w:p w14:paraId="7A26DECF" w14:textId="77777777" w:rsidR="0014093D" w:rsidRPr="007740E4" w:rsidRDefault="0014093D" w:rsidP="00052D7E">
            <w:pPr>
              <w:pStyle w:val="TableText0"/>
              <w:keepNext w:val="0"/>
              <w:keepLines/>
            </w:pPr>
            <w:r w:rsidRPr="007740E4">
              <w:t>Treatment criteria:</w:t>
            </w:r>
          </w:p>
        </w:tc>
      </w:tr>
      <w:tr w:rsidR="0014093D" w:rsidRPr="007740E4" w14:paraId="631FCF2B" w14:textId="77777777" w:rsidTr="00EF68D9">
        <w:trPr>
          <w:trHeight w:val="20"/>
        </w:trPr>
        <w:tc>
          <w:tcPr>
            <w:tcW w:w="5000" w:type="pct"/>
            <w:vAlign w:val="center"/>
          </w:tcPr>
          <w:p w14:paraId="3C6E00C1" w14:textId="77777777" w:rsidR="0014093D" w:rsidRPr="007740E4" w:rsidRDefault="0014093D" w:rsidP="00052D7E">
            <w:pPr>
              <w:pStyle w:val="TableText0"/>
              <w:keepNext w:val="0"/>
              <w:keepLines/>
            </w:pPr>
            <w:r w:rsidRPr="007740E4">
              <w:t>Patient must be undergoing treatment with this pharmaceutical benefit once only in a lifetime</w:t>
            </w:r>
          </w:p>
        </w:tc>
      </w:tr>
      <w:tr w:rsidR="0014093D" w:rsidRPr="007740E4" w14:paraId="0FCCFE02" w14:textId="77777777" w:rsidTr="00EF68D9">
        <w:trPr>
          <w:trHeight w:val="20"/>
        </w:trPr>
        <w:tc>
          <w:tcPr>
            <w:tcW w:w="5000" w:type="pct"/>
            <w:vAlign w:val="center"/>
          </w:tcPr>
          <w:p w14:paraId="565B8368" w14:textId="77777777" w:rsidR="0014093D" w:rsidRPr="007740E4" w:rsidRDefault="0014093D" w:rsidP="00052D7E">
            <w:pPr>
              <w:pStyle w:val="TableText0"/>
              <w:keepNext w:val="0"/>
              <w:keepLines/>
            </w:pPr>
            <w:r w:rsidRPr="007740E4">
              <w:t>AND</w:t>
            </w:r>
          </w:p>
        </w:tc>
      </w:tr>
      <w:tr w:rsidR="0014093D" w:rsidRPr="007740E4" w14:paraId="1DB1914A" w14:textId="77777777" w:rsidTr="00EF68D9">
        <w:trPr>
          <w:trHeight w:val="20"/>
        </w:trPr>
        <w:tc>
          <w:tcPr>
            <w:tcW w:w="5000" w:type="pct"/>
            <w:vAlign w:val="center"/>
          </w:tcPr>
          <w:p w14:paraId="4639424E" w14:textId="77777777" w:rsidR="0014093D" w:rsidRPr="007740E4" w:rsidRDefault="0014093D" w:rsidP="00052D7E">
            <w:pPr>
              <w:pStyle w:val="TableText0"/>
              <w:keepNext w:val="0"/>
              <w:keepLines/>
            </w:pPr>
            <w:r w:rsidRPr="007740E4">
              <w:t>Treatment criteria:</w:t>
            </w:r>
          </w:p>
        </w:tc>
      </w:tr>
      <w:tr w:rsidR="0014093D" w:rsidRPr="007740E4" w14:paraId="157FF013" w14:textId="77777777" w:rsidTr="00EF68D9">
        <w:trPr>
          <w:trHeight w:val="20"/>
        </w:trPr>
        <w:tc>
          <w:tcPr>
            <w:tcW w:w="5000" w:type="pct"/>
            <w:vAlign w:val="center"/>
          </w:tcPr>
          <w:p w14:paraId="401F8D63" w14:textId="77777777" w:rsidR="0014093D" w:rsidRPr="007740E4" w:rsidRDefault="0014093D" w:rsidP="00052D7E">
            <w:pPr>
              <w:pStyle w:val="TableText0"/>
              <w:keepNext w:val="0"/>
              <w:keepLines/>
            </w:pPr>
            <w:r w:rsidRPr="007740E4">
              <w:t>Patient must not be undergoing treatment with this pharmaceutical benefit through this listing where prior treatment has occurred with any of: (i) nusinersen, (ii) risdiplam</w:t>
            </w:r>
          </w:p>
        </w:tc>
      </w:tr>
      <w:tr w:rsidR="0014093D" w:rsidRPr="007740E4" w14:paraId="26828C03" w14:textId="77777777" w:rsidTr="00EF68D9">
        <w:trPr>
          <w:trHeight w:val="20"/>
        </w:trPr>
        <w:tc>
          <w:tcPr>
            <w:tcW w:w="5000" w:type="pct"/>
            <w:vAlign w:val="center"/>
          </w:tcPr>
          <w:p w14:paraId="6829CBF6" w14:textId="77777777" w:rsidR="0014093D" w:rsidRPr="007740E4" w:rsidRDefault="0014093D" w:rsidP="00052D7E">
            <w:pPr>
              <w:pStyle w:val="TableText0"/>
              <w:keepNext w:val="0"/>
              <w:keepLines/>
            </w:pPr>
            <w:r w:rsidRPr="007740E4">
              <w:t>Population criteria:</w:t>
            </w:r>
          </w:p>
        </w:tc>
      </w:tr>
      <w:tr w:rsidR="0014093D" w:rsidRPr="007740E4" w14:paraId="781DDBAB" w14:textId="77777777" w:rsidTr="00EF68D9">
        <w:trPr>
          <w:trHeight w:val="20"/>
        </w:trPr>
        <w:tc>
          <w:tcPr>
            <w:tcW w:w="5000" w:type="pct"/>
            <w:vAlign w:val="center"/>
          </w:tcPr>
          <w:p w14:paraId="79421B4A" w14:textId="77777777" w:rsidR="0014093D" w:rsidRPr="007740E4" w:rsidRDefault="0014093D" w:rsidP="00052D7E">
            <w:pPr>
              <w:pStyle w:val="TableText0"/>
              <w:keepNext w:val="0"/>
              <w:keepLines/>
            </w:pPr>
            <w:r w:rsidRPr="007740E4">
              <w:t>Patient must be no older than 9 months of age</w:t>
            </w:r>
          </w:p>
        </w:tc>
      </w:tr>
      <w:tr w:rsidR="0014093D" w:rsidRPr="007740E4" w14:paraId="705AF36B" w14:textId="77777777" w:rsidTr="00EF68D9">
        <w:trPr>
          <w:trHeight w:val="20"/>
        </w:trPr>
        <w:tc>
          <w:tcPr>
            <w:tcW w:w="5000" w:type="pct"/>
            <w:vAlign w:val="center"/>
          </w:tcPr>
          <w:p w14:paraId="2C811DA4" w14:textId="77777777" w:rsidR="0014093D" w:rsidRPr="007740E4" w:rsidRDefault="0014093D" w:rsidP="00052D7E">
            <w:pPr>
              <w:pStyle w:val="TableText0"/>
              <w:keepNext w:val="0"/>
              <w:keepLines/>
            </w:pPr>
            <w:r w:rsidRPr="007740E4">
              <w:t>AND</w:t>
            </w:r>
          </w:p>
        </w:tc>
      </w:tr>
      <w:tr w:rsidR="0014093D" w:rsidRPr="007740E4" w14:paraId="6B017A68" w14:textId="77777777" w:rsidTr="00EF68D9">
        <w:trPr>
          <w:trHeight w:val="20"/>
        </w:trPr>
        <w:tc>
          <w:tcPr>
            <w:tcW w:w="5000" w:type="pct"/>
            <w:vAlign w:val="center"/>
          </w:tcPr>
          <w:p w14:paraId="6C393DB7" w14:textId="77777777" w:rsidR="0014093D" w:rsidRPr="007740E4" w:rsidRDefault="0014093D" w:rsidP="00052D7E">
            <w:pPr>
              <w:pStyle w:val="TableText0"/>
              <w:keepNext w:val="0"/>
              <w:keepLines/>
            </w:pPr>
            <w:r w:rsidRPr="007740E4">
              <w:t>Population criteria:</w:t>
            </w:r>
          </w:p>
        </w:tc>
      </w:tr>
      <w:tr w:rsidR="0014093D" w:rsidRPr="007740E4" w14:paraId="520A9605" w14:textId="77777777" w:rsidTr="00EF68D9">
        <w:trPr>
          <w:trHeight w:val="20"/>
        </w:trPr>
        <w:tc>
          <w:tcPr>
            <w:tcW w:w="5000" w:type="pct"/>
            <w:shd w:val="clear" w:color="auto" w:fill="auto"/>
          </w:tcPr>
          <w:p w14:paraId="32C1DB66" w14:textId="77777777" w:rsidR="0014093D" w:rsidRPr="007740E4" w:rsidRDefault="0014093D" w:rsidP="00052D7E">
            <w:pPr>
              <w:pStyle w:val="TableText0"/>
              <w:keepNext w:val="0"/>
              <w:keepLines/>
            </w:pPr>
            <w:r w:rsidRPr="007740E4">
              <w:rPr>
                <w:rFonts w:cs="Arial Narrow"/>
                <w:iCs/>
                <w:szCs w:val="18"/>
              </w:rPr>
              <w:t>Patient must have symptomatic Type 1 SMA; or</w:t>
            </w:r>
          </w:p>
        </w:tc>
      </w:tr>
      <w:tr w:rsidR="0014093D" w:rsidRPr="007740E4" w14:paraId="1A196B5A" w14:textId="77777777" w:rsidTr="00EF68D9">
        <w:trPr>
          <w:trHeight w:val="20"/>
        </w:trPr>
        <w:tc>
          <w:tcPr>
            <w:tcW w:w="5000" w:type="pct"/>
            <w:shd w:val="clear" w:color="auto" w:fill="auto"/>
          </w:tcPr>
          <w:p w14:paraId="7B2A1FF8" w14:textId="77777777" w:rsidR="0014093D" w:rsidRPr="007740E4" w:rsidRDefault="0014093D" w:rsidP="00052D7E">
            <w:pPr>
              <w:pStyle w:val="TableText0"/>
              <w:keepNext w:val="0"/>
              <w:keepLines/>
              <w:rPr>
                <w:b/>
              </w:rPr>
            </w:pPr>
            <w:r w:rsidRPr="007740E4">
              <w:rPr>
                <w:rFonts w:cs="Arial Narrow"/>
                <w:iCs/>
                <w:szCs w:val="18"/>
              </w:rPr>
              <w:t xml:space="preserve">Patient must have presymptomatic SMA </w:t>
            </w:r>
          </w:p>
        </w:tc>
      </w:tr>
    </w:tbl>
    <w:bookmarkEnd w:id="13"/>
    <w:p w14:paraId="5C3811B8" w14:textId="46A1889C" w:rsidR="0014093D" w:rsidRPr="007740E4" w:rsidRDefault="0014093D" w:rsidP="0014093D">
      <w:pPr>
        <w:pStyle w:val="FooterTableFigure"/>
      </w:pPr>
      <w:r w:rsidRPr="007740E4">
        <w:t xml:space="preserve">Source: Table1.17, </w:t>
      </w:r>
      <w:r w:rsidR="00052D7E">
        <w:t>pp57-59</w:t>
      </w:r>
      <w:r w:rsidRPr="007740E4">
        <w:t xml:space="preserve"> of the resubmission. </w:t>
      </w:r>
    </w:p>
    <w:p w14:paraId="6E0C9842" w14:textId="77777777" w:rsidR="0014093D" w:rsidRPr="007740E4" w:rsidRDefault="0014093D" w:rsidP="0014093D">
      <w:pPr>
        <w:pStyle w:val="FooterTableFigure"/>
      </w:pPr>
      <w:r w:rsidRPr="007740E4">
        <w:t>Bold text reflects change from the current listing.</w:t>
      </w:r>
    </w:p>
    <w:p w14:paraId="491AA876" w14:textId="258BB15E" w:rsidR="009544C7" w:rsidRPr="00D27579" w:rsidRDefault="008A4F0C" w:rsidP="009544C7">
      <w:pPr>
        <w:pStyle w:val="3-BodyText"/>
      </w:pPr>
      <w:bookmarkStart w:id="14" w:name="_Ref134977248"/>
      <w:r w:rsidRPr="00D27579">
        <w:t xml:space="preserve">The resubmission proposed a SPA with an effective price equivalent to the current effective price for ONA for pre-symptomatic treatment of SMA patients with 1-2 </w:t>
      </w:r>
      <w:r w:rsidRPr="008A4F0C">
        <w:rPr>
          <w:i/>
        </w:rPr>
        <w:t>SMN2</w:t>
      </w:r>
      <w:r w:rsidRPr="00D27579">
        <w:t xml:space="preserve"> copies.</w:t>
      </w:r>
      <w:r>
        <w:t xml:space="preserve"> </w:t>
      </w:r>
      <w:r w:rsidR="009544C7" w:rsidRPr="00820898">
        <w:rPr>
          <w:iCs/>
        </w:rPr>
        <w:t xml:space="preserve">The proposed effective price </w:t>
      </w:r>
      <w:r w:rsidR="009544C7">
        <w:rPr>
          <w:iCs/>
        </w:rPr>
        <w:t>($</w:t>
      </w:r>
      <w:r w:rsidR="004E27E7" w:rsidRPr="00260D1A">
        <w:rPr>
          <w:iCs/>
          <w:color w:val="000000"/>
          <w:w w:val="15"/>
          <w:shd w:val="solid" w:color="000000" w:fill="000000"/>
          <w:fitText w:val="-20" w:id="-1167951871"/>
          <w14:textFill>
            <w14:solidFill>
              <w14:srgbClr w14:val="000000">
                <w14:alpha w14:val="100000"/>
              </w14:srgbClr>
            </w14:solidFill>
          </w14:textFill>
        </w:rPr>
        <w:t xml:space="preserve">|  </w:t>
      </w:r>
      <w:r w:rsidR="004E27E7" w:rsidRPr="00260D1A">
        <w:rPr>
          <w:iCs/>
          <w:color w:val="000000"/>
          <w:spacing w:val="-69"/>
          <w:w w:val="15"/>
          <w:shd w:val="solid" w:color="000000" w:fill="000000"/>
          <w:fitText w:val="-20" w:id="-1167951871"/>
          <w14:textFill>
            <w14:solidFill>
              <w14:srgbClr w14:val="000000">
                <w14:alpha w14:val="100000"/>
              </w14:srgbClr>
            </w14:solidFill>
          </w14:textFill>
        </w:rPr>
        <w:t>|</w:t>
      </w:r>
      <w:r w:rsidR="009544C7">
        <w:rPr>
          <w:iCs/>
        </w:rPr>
        <w:t xml:space="preserve">) </w:t>
      </w:r>
      <w:r w:rsidR="009544C7" w:rsidRPr="00820898">
        <w:rPr>
          <w:iCs/>
        </w:rPr>
        <w:t>was lower than the requested price in the previous (November 2022) submission where an effective price of $</w:t>
      </w:r>
      <w:r w:rsidR="004E27E7" w:rsidRPr="00260D1A">
        <w:rPr>
          <w:iCs/>
          <w:color w:val="000000"/>
          <w:w w:val="15"/>
          <w:shd w:val="solid" w:color="000000" w:fill="000000"/>
          <w:fitText w:val="-20" w:id="-1167951616"/>
          <w14:textFill>
            <w14:solidFill>
              <w14:srgbClr w14:val="000000">
                <w14:alpha w14:val="100000"/>
              </w14:srgbClr>
            </w14:solidFill>
          </w14:textFill>
        </w:rPr>
        <w:t xml:space="preserve">|  </w:t>
      </w:r>
      <w:r w:rsidR="004E27E7" w:rsidRPr="00260D1A">
        <w:rPr>
          <w:iCs/>
          <w:color w:val="000000"/>
          <w:spacing w:val="-69"/>
          <w:w w:val="15"/>
          <w:shd w:val="solid" w:color="000000" w:fill="000000"/>
          <w:fitText w:val="-20" w:id="-1167951616"/>
          <w14:textFill>
            <w14:solidFill>
              <w14:srgbClr w14:val="000000">
                <w14:alpha w14:val="100000"/>
              </w14:srgbClr>
            </w14:solidFill>
          </w14:textFill>
        </w:rPr>
        <w:t>|</w:t>
      </w:r>
      <w:r w:rsidR="009544C7" w:rsidRPr="00820898">
        <w:rPr>
          <w:iCs/>
        </w:rPr>
        <w:t xml:space="preserve"> (with no special pricing arrangement (SPA)) was proposed. This </w:t>
      </w:r>
      <w:r w:rsidR="009544C7" w:rsidRPr="00260338">
        <w:rPr>
          <w:iCs/>
        </w:rPr>
        <w:t xml:space="preserve">represented </w:t>
      </w:r>
      <w:r w:rsidR="0002026E" w:rsidRPr="00260338">
        <w:rPr>
          <w:iCs/>
        </w:rPr>
        <w:t xml:space="preserve">a </w:t>
      </w:r>
      <w:r w:rsidR="004E27E7" w:rsidRPr="00260D1A">
        <w:rPr>
          <w:iCs/>
          <w:color w:val="000000"/>
          <w:w w:val="15"/>
          <w:shd w:val="solid" w:color="000000" w:fill="000000"/>
          <w:fitText w:val="-20" w:id="-1167951615"/>
          <w14:textFill>
            <w14:solidFill>
              <w14:srgbClr w14:val="000000">
                <w14:alpha w14:val="100000"/>
              </w14:srgbClr>
            </w14:solidFill>
          </w14:textFill>
        </w:rPr>
        <w:t xml:space="preserve">|  </w:t>
      </w:r>
      <w:r w:rsidR="004E27E7" w:rsidRPr="00260D1A">
        <w:rPr>
          <w:iCs/>
          <w:color w:val="000000"/>
          <w:spacing w:val="-69"/>
          <w:w w:val="15"/>
          <w:shd w:val="solid" w:color="000000" w:fill="000000"/>
          <w:fitText w:val="-20" w:id="-1167951615"/>
          <w14:textFill>
            <w14:solidFill>
              <w14:srgbClr w14:val="000000">
                <w14:alpha w14:val="100000"/>
              </w14:srgbClr>
            </w14:solidFill>
          </w14:textFill>
        </w:rPr>
        <w:t>|</w:t>
      </w:r>
      <w:r w:rsidR="0002026E" w:rsidRPr="00260338">
        <w:rPr>
          <w:iCs/>
        </w:rPr>
        <w:t>% reduction from</w:t>
      </w:r>
      <w:r w:rsidR="0002026E" w:rsidRPr="00820898">
        <w:rPr>
          <w:iCs/>
        </w:rPr>
        <w:t xml:space="preserve"> </w:t>
      </w:r>
      <w:r w:rsidR="009544C7" w:rsidRPr="00820898">
        <w:rPr>
          <w:iCs/>
        </w:rPr>
        <w:t>the requested price in the previous submission</w:t>
      </w:r>
      <w:r w:rsidR="009544C7" w:rsidRPr="00D27579">
        <w:rPr>
          <w:i/>
        </w:rPr>
        <w:t xml:space="preserve">. </w:t>
      </w:r>
    </w:p>
    <w:p w14:paraId="0BB21643" w14:textId="6C086BFF" w:rsidR="00D66505" w:rsidRPr="00820898" w:rsidRDefault="0014093D" w:rsidP="009544C7">
      <w:pPr>
        <w:pStyle w:val="3-BodyText"/>
        <w:rPr>
          <w:iCs/>
        </w:rPr>
      </w:pPr>
      <w:r w:rsidRPr="007740E4">
        <w:rPr>
          <w:iCs/>
        </w:rPr>
        <w:t xml:space="preserve">No continuation criteria or grandfathering criteria were requested. </w:t>
      </w:r>
      <w:r w:rsidR="00D66505" w:rsidRPr="00D66505">
        <w:rPr>
          <w:iCs/>
        </w:rPr>
        <w:t>The requested restriction was based on ONA’s current PBS restriction, with the exception of the following modification</w:t>
      </w:r>
      <w:bookmarkEnd w:id="14"/>
      <w:r w:rsidR="009544C7">
        <w:rPr>
          <w:iCs/>
        </w:rPr>
        <w:t>:</w:t>
      </w:r>
    </w:p>
    <w:p w14:paraId="10EC717D" w14:textId="168D8EE9" w:rsidR="002E1F75" w:rsidRPr="00FA70DC" w:rsidRDefault="00D66505" w:rsidP="002E1F75">
      <w:pPr>
        <w:pStyle w:val="3-BodyText"/>
        <w:numPr>
          <w:ilvl w:val="0"/>
          <w:numId w:val="5"/>
        </w:numPr>
        <w:ind w:left="993" w:hanging="284"/>
        <w:rPr>
          <w:rFonts w:ascii="Arial Narrow" w:hAnsi="Arial Narrow"/>
          <w:sz w:val="20"/>
          <w:szCs w:val="20"/>
        </w:rPr>
      </w:pPr>
      <w:r w:rsidRPr="00FA70DC">
        <w:rPr>
          <w:rFonts w:ascii="Arial Narrow" w:hAnsi="Arial Narrow"/>
          <w:sz w:val="20"/>
          <w:szCs w:val="20"/>
        </w:rPr>
        <w:t>“</w:t>
      </w:r>
      <w:bookmarkStart w:id="15" w:name="_Hlk140660203"/>
      <w:r w:rsidRPr="00FA70DC">
        <w:rPr>
          <w:rFonts w:ascii="Arial Narrow" w:hAnsi="Arial Narrow"/>
          <w:sz w:val="20"/>
          <w:szCs w:val="20"/>
        </w:rPr>
        <w:t>The condition must be presymptomatic SMA, with genetic confirmation that there are 1 to 3 copies of the survival motor neuron 2 (</w:t>
      </w:r>
      <w:r w:rsidR="00EA2BFF" w:rsidRPr="00FA70DC">
        <w:rPr>
          <w:rFonts w:ascii="Arial Narrow" w:hAnsi="Arial Narrow"/>
          <w:i/>
          <w:sz w:val="20"/>
          <w:szCs w:val="20"/>
        </w:rPr>
        <w:t>SMN2</w:t>
      </w:r>
      <w:r w:rsidRPr="00FA70DC">
        <w:rPr>
          <w:rFonts w:ascii="Arial Narrow" w:hAnsi="Arial Narrow"/>
          <w:sz w:val="20"/>
          <w:szCs w:val="20"/>
        </w:rPr>
        <w:t>) gene</w:t>
      </w:r>
      <w:bookmarkEnd w:id="15"/>
      <w:r w:rsidRPr="00FA70DC">
        <w:rPr>
          <w:rFonts w:ascii="Arial Narrow" w:hAnsi="Arial Narrow"/>
          <w:sz w:val="20"/>
          <w:szCs w:val="20"/>
        </w:rPr>
        <w:t xml:space="preserve">”. </w:t>
      </w:r>
    </w:p>
    <w:p w14:paraId="52C89820" w14:textId="2F7220A9" w:rsidR="00484DEE" w:rsidRDefault="00FA70DC" w:rsidP="00484DEE">
      <w:pPr>
        <w:pStyle w:val="3-BodyText"/>
        <w:numPr>
          <w:ilvl w:val="0"/>
          <w:numId w:val="0"/>
        </w:numPr>
        <w:ind w:left="709"/>
      </w:pPr>
      <w:r>
        <w:t xml:space="preserve">The Secretariat advised that the addition of a </w:t>
      </w:r>
      <w:r w:rsidR="00484DEE">
        <w:t>criterion specific</w:t>
      </w:r>
      <w:r>
        <w:t xml:space="preserve"> to</w:t>
      </w:r>
      <w:r w:rsidR="00484DEE">
        <w:t xml:space="preserve"> patients with</w:t>
      </w:r>
      <w:r>
        <w:t xml:space="preserve"> 3 </w:t>
      </w:r>
      <w:r w:rsidRPr="00484DEE">
        <w:rPr>
          <w:i/>
          <w:iCs/>
        </w:rPr>
        <w:t>SMN</w:t>
      </w:r>
      <w:r>
        <w:t xml:space="preserve">2 gene copies would have the advantage of facilitating ease in future </w:t>
      </w:r>
      <w:r w:rsidR="00484DEE">
        <w:t>utilisation</w:t>
      </w:r>
      <w:r>
        <w:t xml:space="preserve"> analysis. </w:t>
      </w:r>
    </w:p>
    <w:p w14:paraId="1EDEA5DB" w14:textId="000EAD84" w:rsidR="002E1F75" w:rsidRPr="0047331C" w:rsidRDefault="00A1182D" w:rsidP="00484DEE">
      <w:pPr>
        <w:pStyle w:val="3-BodyText"/>
      </w:pPr>
      <w:r w:rsidRPr="007740E4">
        <w:t xml:space="preserve">Under the proposed restriction, patients </w:t>
      </w:r>
      <w:r w:rsidR="005665F8">
        <w:t xml:space="preserve">aged less than 9 months </w:t>
      </w:r>
      <w:r w:rsidRPr="007740E4">
        <w:t xml:space="preserve">diagnosed with 3 copies of </w:t>
      </w:r>
      <w:r w:rsidRPr="000C7A0E">
        <w:rPr>
          <w:i/>
          <w:iCs/>
        </w:rPr>
        <w:t>SMN2</w:t>
      </w:r>
      <w:r w:rsidRPr="007740E4">
        <w:t xml:space="preserve"> prior to symptom development would be eligible for treatment with ONA. </w:t>
      </w:r>
      <w:r w:rsidR="00385A7D" w:rsidRPr="0047331C">
        <w:t xml:space="preserve">Patients who develop symptoms </w:t>
      </w:r>
      <w:r w:rsidR="00E67E70" w:rsidRPr="0047331C">
        <w:t xml:space="preserve">between the ages of </w:t>
      </w:r>
      <w:r w:rsidR="003326A8" w:rsidRPr="0047331C">
        <w:t>&gt;</w:t>
      </w:r>
      <w:r w:rsidR="00E67E70" w:rsidRPr="0047331C">
        <w:t>6</w:t>
      </w:r>
      <w:r w:rsidR="005A7EB3" w:rsidRPr="0047331C">
        <w:t xml:space="preserve"> </w:t>
      </w:r>
      <w:r w:rsidR="003326A8" w:rsidRPr="0047331C">
        <w:t>and</w:t>
      </w:r>
      <w:r w:rsidR="005A7EB3" w:rsidRPr="0047331C">
        <w:t xml:space="preserve"> &lt;</w:t>
      </w:r>
      <w:r w:rsidR="00385A7D" w:rsidRPr="0047331C">
        <w:t xml:space="preserve">9 months </w:t>
      </w:r>
      <w:r w:rsidR="00EC5234" w:rsidRPr="0047331C">
        <w:t>(Type II SMA)</w:t>
      </w:r>
      <w:r w:rsidR="005A7EB3" w:rsidRPr="0047331C">
        <w:t xml:space="preserve"> </w:t>
      </w:r>
      <w:r w:rsidR="002D484C">
        <w:t>(</w:t>
      </w:r>
      <w:r w:rsidR="005A7EB3" w:rsidRPr="0047331C">
        <w:t xml:space="preserve">assuming they did not </w:t>
      </w:r>
      <w:r w:rsidR="00F3010C" w:rsidRPr="0047331C">
        <w:t>receive pre-symptomatic treatment</w:t>
      </w:r>
      <w:r w:rsidR="002D484C">
        <w:t>)</w:t>
      </w:r>
      <w:r w:rsidR="00F3010C" w:rsidRPr="0047331C">
        <w:t xml:space="preserve"> </w:t>
      </w:r>
      <w:r w:rsidR="00385A7D" w:rsidRPr="0047331C">
        <w:t xml:space="preserve">would </w:t>
      </w:r>
      <w:r w:rsidR="00F3010C" w:rsidRPr="0047331C">
        <w:t xml:space="preserve">remain </w:t>
      </w:r>
      <w:r w:rsidR="003326A8" w:rsidRPr="0047331C">
        <w:t xml:space="preserve">ineligible for PBS-subsidised </w:t>
      </w:r>
      <w:r w:rsidR="00F3010C" w:rsidRPr="0047331C">
        <w:t xml:space="preserve">ONA treatment based on </w:t>
      </w:r>
      <w:r w:rsidR="00EC5234" w:rsidRPr="0047331C">
        <w:t xml:space="preserve">the </w:t>
      </w:r>
      <w:r w:rsidR="005A7EB3" w:rsidRPr="0047331C">
        <w:t xml:space="preserve">proposed </w:t>
      </w:r>
      <w:r w:rsidR="00385A7D" w:rsidRPr="0047331C">
        <w:t>listing</w:t>
      </w:r>
      <w:r w:rsidR="00F3010C" w:rsidRPr="0047331C">
        <w:t xml:space="preserve"> but</w:t>
      </w:r>
      <w:r w:rsidR="00827C5E">
        <w:t>,</w:t>
      </w:r>
      <w:r w:rsidR="00F3010C" w:rsidRPr="0047331C">
        <w:t xml:space="preserve"> </w:t>
      </w:r>
      <w:r w:rsidR="006C3FC4" w:rsidRPr="0047331C">
        <w:t>w</w:t>
      </w:r>
      <w:r w:rsidR="00F3010C" w:rsidRPr="0047331C">
        <w:t xml:space="preserve">ould </w:t>
      </w:r>
      <w:r w:rsidR="006C3FC4" w:rsidRPr="0047331C">
        <w:t xml:space="preserve">be able </w:t>
      </w:r>
      <w:r w:rsidR="00F3010C" w:rsidRPr="0047331C">
        <w:t>access other DMTs</w:t>
      </w:r>
      <w:r w:rsidR="006C3FC4" w:rsidRPr="0047331C">
        <w:t xml:space="preserve"> (i.e. NUSI and RIS)</w:t>
      </w:r>
      <w:r w:rsidR="00EC5234" w:rsidRPr="0047331C">
        <w:t>.</w:t>
      </w:r>
      <w:r w:rsidR="00034F3B">
        <w:t xml:space="preserve"> The PBAC considered patients aged &lt;9 months, with symptomatic SMA and 3 copies </w:t>
      </w:r>
      <w:r w:rsidR="00B12F6C" w:rsidRPr="00B12F6C">
        <w:rPr>
          <w:i/>
        </w:rPr>
        <w:t>SMN2</w:t>
      </w:r>
      <w:r w:rsidR="00034F3B">
        <w:t xml:space="preserve"> should also be eligible for treatment with ONA, though there are likely to be few (if any) patients who would meet these criteria once NBS is implemented.</w:t>
      </w:r>
    </w:p>
    <w:p w14:paraId="3BD05B00" w14:textId="63E60395" w:rsidR="00A1182D" w:rsidRPr="005C00E6" w:rsidRDefault="00385A7D" w:rsidP="005C00E6">
      <w:pPr>
        <w:ind w:firstLine="709"/>
        <w:rPr>
          <w:rFonts w:asciiTheme="minorHAnsi" w:hAnsiTheme="minorHAnsi"/>
          <w:i/>
        </w:rPr>
      </w:pPr>
      <w:r>
        <w:rPr>
          <w:i/>
        </w:rPr>
        <w:t xml:space="preserve"> </w:t>
      </w:r>
      <w:r w:rsidR="0047331C" w:rsidRPr="00C33D30">
        <w:rPr>
          <w:rFonts w:asciiTheme="minorHAnsi" w:hAnsiTheme="minorHAnsi"/>
          <w:i/>
        </w:rPr>
        <w:t>For more detail on PBAC’s view, see section 7 PBAC outcome.</w:t>
      </w:r>
    </w:p>
    <w:p w14:paraId="5158A889" w14:textId="77777777" w:rsidR="0014093D" w:rsidRPr="007740E4" w:rsidDel="00195452" w:rsidRDefault="0014093D" w:rsidP="0014093D">
      <w:pPr>
        <w:pStyle w:val="2-SectionHeading"/>
        <w:numPr>
          <w:ilvl w:val="0"/>
          <w:numId w:val="1"/>
        </w:numPr>
      </w:pPr>
      <w:bookmarkStart w:id="16" w:name="_Toc135210583"/>
      <w:r w:rsidRPr="007740E4" w:rsidDel="00195452">
        <w:t>Population and disease</w:t>
      </w:r>
      <w:bookmarkEnd w:id="16"/>
    </w:p>
    <w:p w14:paraId="514679B8" w14:textId="1468EDBC" w:rsidR="0014093D" w:rsidRPr="007740E4" w:rsidRDefault="0014093D" w:rsidP="0014093D">
      <w:pPr>
        <w:pStyle w:val="3-BodyText"/>
      </w:pPr>
      <w:r w:rsidRPr="007740E4">
        <w:t xml:space="preserve">SMA is a rare autosomal recessive progressive neuromuscular disease caused by mutations or deletions in the </w:t>
      </w:r>
      <w:r w:rsidR="00B64F80" w:rsidRPr="007740E4">
        <w:rPr>
          <w:i/>
        </w:rPr>
        <w:t>SMN1</w:t>
      </w:r>
      <w:r w:rsidRPr="007740E4">
        <w:t xml:space="preserve"> gene on chromosome 5q. Alterations to this gene result in deficiency of SMN protein, which in turn, results in loss of motor function and respiratory failure. SMA is classified into types (0, I, II, III and IV) and subtypes (a, b, c) based on age of onset and maximal motor function achieved. There is also a clinical spectrum of disease associated with the number of copies of </w:t>
      </w:r>
      <w:r w:rsidR="00B64F80" w:rsidRPr="007740E4">
        <w:rPr>
          <w:i/>
        </w:rPr>
        <w:t>SMN2</w:t>
      </w:r>
      <w:r w:rsidRPr="007740E4">
        <w:t xml:space="preserve"> gene with earlier age of onset associated with lower numbers of </w:t>
      </w:r>
      <w:r w:rsidR="00B64F80" w:rsidRPr="007740E4">
        <w:rPr>
          <w:i/>
        </w:rPr>
        <w:t>SMN2</w:t>
      </w:r>
      <w:r w:rsidRPr="007740E4">
        <w:t xml:space="preserve"> gene copies and increased severity of symptoms. Patients with SMA typically develop weak muscles and may have trouble walking and breathing (See </w:t>
      </w:r>
      <w:r w:rsidRPr="007740E4">
        <w:rPr>
          <w:highlight w:val="yellow"/>
        </w:rPr>
        <w:fldChar w:fldCharType="begin" w:fldLock="1"/>
      </w:r>
      <w:r w:rsidRPr="007740E4">
        <w:instrText xml:space="preserve"> REF _Ref134209537 \h </w:instrText>
      </w:r>
      <w:r w:rsidRPr="007740E4">
        <w:rPr>
          <w:highlight w:val="yellow"/>
        </w:rPr>
      </w:r>
      <w:r w:rsidRPr="007740E4">
        <w:rPr>
          <w:highlight w:val="yellow"/>
        </w:rPr>
        <w:fldChar w:fldCharType="separate"/>
      </w:r>
      <w:r w:rsidR="007866DB" w:rsidRPr="007740E4">
        <w:t xml:space="preserve">Table </w:t>
      </w:r>
      <w:r w:rsidR="007866DB">
        <w:rPr>
          <w:noProof/>
        </w:rPr>
        <w:t>3</w:t>
      </w:r>
      <w:r w:rsidRPr="007740E4">
        <w:rPr>
          <w:highlight w:val="yellow"/>
        </w:rPr>
        <w:fldChar w:fldCharType="end"/>
      </w:r>
      <w:r w:rsidRPr="007740E4">
        <w:t>).</w:t>
      </w:r>
    </w:p>
    <w:p w14:paraId="17B85B8B" w14:textId="3F69ED92" w:rsidR="0014093D" w:rsidRPr="007740E4" w:rsidRDefault="0014093D" w:rsidP="0014093D">
      <w:pPr>
        <w:pStyle w:val="Caption"/>
      </w:pPr>
      <w:bookmarkStart w:id="17" w:name="_Ref134209537"/>
      <w:r w:rsidRPr="007740E4">
        <w:t xml:space="preserve">Table </w:t>
      </w:r>
      <w:fldSimple w:instr=" SEQ Table \* ARABIC " w:fldLock="1">
        <w:r w:rsidR="0084520A">
          <w:rPr>
            <w:noProof/>
          </w:rPr>
          <w:t>3</w:t>
        </w:r>
      </w:fldSimple>
      <w:bookmarkEnd w:id="17"/>
      <w:r w:rsidRPr="007740E4">
        <w:t>: Classification of SMA based on age of symptom onset, motor function and life expectancy</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Classification of SMA based on age of symptom onset, motor function and life expectancy"/>
      </w:tblPr>
      <w:tblGrid>
        <w:gridCol w:w="441"/>
        <w:gridCol w:w="2673"/>
        <w:gridCol w:w="2200"/>
        <w:gridCol w:w="1706"/>
        <w:gridCol w:w="1939"/>
      </w:tblGrid>
      <w:tr w:rsidR="0014093D" w:rsidRPr="007740E4" w14:paraId="13784CAC" w14:textId="77777777" w:rsidTr="00C97274">
        <w:tc>
          <w:tcPr>
            <w:tcW w:w="441" w:type="dxa"/>
            <w:shd w:val="clear" w:color="auto" w:fill="auto"/>
            <w:vAlign w:val="center"/>
          </w:tcPr>
          <w:p w14:paraId="169C92DB" w14:textId="77777777" w:rsidR="0014093D" w:rsidRPr="007740E4" w:rsidRDefault="0014093D" w:rsidP="00EF68D9">
            <w:pPr>
              <w:keepNext/>
              <w:keepLines/>
              <w:rPr>
                <w:rFonts w:ascii="Arial Narrow" w:hAnsi="Arial Narrow"/>
                <w:b/>
                <w:sz w:val="20"/>
                <w:szCs w:val="20"/>
              </w:rPr>
            </w:pPr>
            <w:r w:rsidRPr="007740E4">
              <w:rPr>
                <w:rFonts w:ascii="Arial Narrow" w:hAnsi="Arial Narrow"/>
                <w:b/>
                <w:sz w:val="20"/>
                <w:szCs w:val="20"/>
              </w:rPr>
              <w:t>Type</w:t>
            </w:r>
          </w:p>
        </w:tc>
        <w:tc>
          <w:tcPr>
            <w:tcW w:w="2673" w:type="dxa"/>
            <w:shd w:val="clear" w:color="auto" w:fill="auto"/>
            <w:vAlign w:val="center"/>
          </w:tcPr>
          <w:p w14:paraId="0FBA873F"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Age at symptom onset</w:t>
            </w:r>
          </w:p>
        </w:tc>
        <w:tc>
          <w:tcPr>
            <w:tcW w:w="2200" w:type="dxa"/>
            <w:shd w:val="clear" w:color="auto" w:fill="auto"/>
            <w:vAlign w:val="center"/>
          </w:tcPr>
          <w:p w14:paraId="01E32B65" w14:textId="2736BA71"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Maximum motor function</w:t>
            </w:r>
            <w:r w:rsidR="00C97274">
              <w:rPr>
                <w:rFonts w:ascii="Arial Narrow" w:hAnsi="Arial Narrow"/>
                <w:b/>
                <w:sz w:val="20"/>
                <w:szCs w:val="20"/>
              </w:rPr>
              <w:t xml:space="preserve"> without treatment</w:t>
            </w:r>
          </w:p>
        </w:tc>
        <w:tc>
          <w:tcPr>
            <w:tcW w:w="1706" w:type="dxa"/>
            <w:shd w:val="clear" w:color="auto" w:fill="auto"/>
            <w:vAlign w:val="center"/>
          </w:tcPr>
          <w:p w14:paraId="03047B51" w14:textId="7B5D9604"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Life expectancy</w:t>
            </w:r>
            <w:r w:rsidR="00C97274">
              <w:rPr>
                <w:rFonts w:ascii="Arial Narrow" w:hAnsi="Arial Narrow"/>
                <w:b/>
                <w:sz w:val="20"/>
                <w:szCs w:val="20"/>
              </w:rPr>
              <w:t xml:space="preserve"> without treatment</w:t>
            </w:r>
          </w:p>
        </w:tc>
        <w:tc>
          <w:tcPr>
            <w:tcW w:w="1939" w:type="dxa"/>
            <w:shd w:val="clear" w:color="auto" w:fill="auto"/>
            <w:vAlign w:val="center"/>
          </w:tcPr>
          <w:p w14:paraId="5DFB79B0" w14:textId="44DAF71D"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 xml:space="preserve">Likely </w:t>
            </w:r>
            <w:r w:rsidR="00B64F80" w:rsidRPr="007740E4">
              <w:rPr>
                <w:rFonts w:ascii="Arial Narrow" w:hAnsi="Arial Narrow"/>
                <w:b/>
                <w:i/>
                <w:sz w:val="20"/>
                <w:szCs w:val="20"/>
              </w:rPr>
              <w:t>SMN2</w:t>
            </w:r>
            <w:r w:rsidRPr="007740E4">
              <w:rPr>
                <w:rFonts w:ascii="Arial Narrow" w:hAnsi="Arial Narrow"/>
                <w:b/>
                <w:sz w:val="20"/>
                <w:szCs w:val="20"/>
              </w:rPr>
              <w:t xml:space="preserve"> copy number</w:t>
            </w:r>
          </w:p>
        </w:tc>
      </w:tr>
      <w:tr w:rsidR="0014093D" w:rsidRPr="007740E4" w14:paraId="384DB8A5" w14:textId="77777777" w:rsidTr="00C97274">
        <w:trPr>
          <w:trHeight w:val="60"/>
        </w:trPr>
        <w:tc>
          <w:tcPr>
            <w:tcW w:w="441" w:type="dxa"/>
            <w:shd w:val="clear" w:color="auto" w:fill="auto"/>
            <w:vAlign w:val="center"/>
          </w:tcPr>
          <w:p w14:paraId="0922185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2673" w:type="dxa"/>
            <w:shd w:val="clear" w:color="auto" w:fill="auto"/>
            <w:vAlign w:val="center"/>
          </w:tcPr>
          <w:p w14:paraId="7C0D4BE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Foetal</w:t>
            </w:r>
          </w:p>
        </w:tc>
        <w:tc>
          <w:tcPr>
            <w:tcW w:w="2200" w:type="dxa"/>
            <w:shd w:val="clear" w:color="auto" w:fill="auto"/>
            <w:vAlign w:val="center"/>
          </w:tcPr>
          <w:p w14:paraId="2525A587"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Nil</w:t>
            </w:r>
          </w:p>
        </w:tc>
        <w:tc>
          <w:tcPr>
            <w:tcW w:w="1706" w:type="dxa"/>
            <w:shd w:val="clear" w:color="auto" w:fill="auto"/>
          </w:tcPr>
          <w:p w14:paraId="304BDFF8"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Days-weeks</w:t>
            </w:r>
          </w:p>
        </w:tc>
        <w:tc>
          <w:tcPr>
            <w:tcW w:w="1939" w:type="dxa"/>
            <w:shd w:val="clear" w:color="auto" w:fill="auto"/>
            <w:vAlign w:val="center"/>
          </w:tcPr>
          <w:p w14:paraId="69DC023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w:t>
            </w:r>
          </w:p>
        </w:tc>
      </w:tr>
      <w:tr w:rsidR="0014093D" w:rsidRPr="007740E4" w14:paraId="34C4F1DB" w14:textId="77777777" w:rsidTr="00C97274">
        <w:tc>
          <w:tcPr>
            <w:tcW w:w="441" w:type="dxa"/>
            <w:shd w:val="clear" w:color="auto" w:fill="auto"/>
            <w:vAlign w:val="center"/>
          </w:tcPr>
          <w:p w14:paraId="18B1626B" w14:textId="1ED90F27" w:rsidR="0014093D" w:rsidRPr="007740E4" w:rsidRDefault="00C97274" w:rsidP="00EF68D9">
            <w:pPr>
              <w:keepNext/>
              <w:keepLines/>
              <w:jc w:val="center"/>
              <w:rPr>
                <w:rFonts w:ascii="Arial Narrow" w:hAnsi="Arial Narrow"/>
                <w:sz w:val="20"/>
                <w:szCs w:val="20"/>
              </w:rPr>
            </w:pPr>
            <w:r>
              <w:rPr>
                <w:rFonts w:ascii="Arial Narrow" w:hAnsi="Arial Narrow"/>
                <w:sz w:val="20"/>
                <w:szCs w:val="20"/>
              </w:rPr>
              <w:t>I</w:t>
            </w:r>
          </w:p>
        </w:tc>
        <w:tc>
          <w:tcPr>
            <w:tcW w:w="2673" w:type="dxa"/>
            <w:shd w:val="clear" w:color="auto" w:fill="auto"/>
            <w:vAlign w:val="center"/>
          </w:tcPr>
          <w:p w14:paraId="6819597E"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&lt;6 months</w:t>
            </w:r>
          </w:p>
        </w:tc>
        <w:tc>
          <w:tcPr>
            <w:tcW w:w="2200" w:type="dxa"/>
            <w:shd w:val="clear" w:color="auto" w:fill="auto"/>
            <w:vAlign w:val="center"/>
          </w:tcPr>
          <w:p w14:paraId="2F8B2093"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Never sits</w:t>
            </w:r>
          </w:p>
        </w:tc>
        <w:tc>
          <w:tcPr>
            <w:tcW w:w="1706" w:type="dxa"/>
            <w:shd w:val="clear" w:color="auto" w:fill="auto"/>
          </w:tcPr>
          <w:p w14:paraId="076D6D2A"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&lt; 2 years</w:t>
            </w:r>
          </w:p>
        </w:tc>
        <w:tc>
          <w:tcPr>
            <w:tcW w:w="1939" w:type="dxa"/>
            <w:shd w:val="clear" w:color="auto" w:fill="auto"/>
            <w:vAlign w:val="center"/>
          </w:tcPr>
          <w:p w14:paraId="0C019BD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 xml:space="preserve">1, </w:t>
            </w:r>
            <w:r w:rsidRPr="007740E4">
              <w:rPr>
                <w:rFonts w:ascii="Arial Narrow" w:hAnsi="Arial Narrow"/>
                <w:b/>
                <w:sz w:val="20"/>
                <w:szCs w:val="20"/>
              </w:rPr>
              <w:t>2</w:t>
            </w:r>
            <w:r w:rsidRPr="007740E4">
              <w:rPr>
                <w:rFonts w:ascii="Arial Narrow" w:hAnsi="Arial Narrow"/>
                <w:sz w:val="20"/>
                <w:szCs w:val="20"/>
              </w:rPr>
              <w:t>, 3</w:t>
            </w:r>
          </w:p>
        </w:tc>
      </w:tr>
      <w:tr w:rsidR="0014093D" w:rsidRPr="007740E4" w14:paraId="2CB3C709" w14:textId="77777777" w:rsidTr="00C97274">
        <w:tc>
          <w:tcPr>
            <w:tcW w:w="441" w:type="dxa"/>
            <w:shd w:val="clear" w:color="auto" w:fill="auto"/>
            <w:vAlign w:val="center"/>
          </w:tcPr>
          <w:p w14:paraId="027F3B79" w14:textId="08272011" w:rsidR="0014093D" w:rsidRPr="007740E4" w:rsidRDefault="00C97274" w:rsidP="00EF68D9">
            <w:pPr>
              <w:keepNext/>
              <w:keepLines/>
              <w:jc w:val="center"/>
              <w:rPr>
                <w:rFonts w:ascii="Arial Narrow" w:hAnsi="Arial Narrow"/>
                <w:sz w:val="20"/>
                <w:szCs w:val="20"/>
              </w:rPr>
            </w:pPr>
            <w:r>
              <w:rPr>
                <w:rFonts w:ascii="Arial Narrow" w:hAnsi="Arial Narrow"/>
                <w:sz w:val="20"/>
                <w:szCs w:val="20"/>
              </w:rPr>
              <w:t>II</w:t>
            </w:r>
          </w:p>
        </w:tc>
        <w:tc>
          <w:tcPr>
            <w:tcW w:w="2673" w:type="dxa"/>
            <w:shd w:val="clear" w:color="auto" w:fill="auto"/>
            <w:vAlign w:val="center"/>
          </w:tcPr>
          <w:p w14:paraId="66194D6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6-18 months</w:t>
            </w:r>
          </w:p>
        </w:tc>
        <w:tc>
          <w:tcPr>
            <w:tcW w:w="2200" w:type="dxa"/>
            <w:shd w:val="clear" w:color="auto" w:fill="auto"/>
            <w:vAlign w:val="center"/>
          </w:tcPr>
          <w:p w14:paraId="73BC187A"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Never walks</w:t>
            </w:r>
          </w:p>
        </w:tc>
        <w:tc>
          <w:tcPr>
            <w:tcW w:w="1706" w:type="dxa"/>
            <w:shd w:val="clear" w:color="auto" w:fill="auto"/>
          </w:tcPr>
          <w:p w14:paraId="1203F4E9"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20-40 years</w:t>
            </w:r>
          </w:p>
        </w:tc>
        <w:tc>
          <w:tcPr>
            <w:tcW w:w="1939" w:type="dxa"/>
            <w:shd w:val="clear" w:color="auto" w:fill="auto"/>
            <w:vAlign w:val="center"/>
          </w:tcPr>
          <w:p w14:paraId="3CD75A6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 xml:space="preserve">2, </w:t>
            </w:r>
            <w:r w:rsidRPr="007740E4">
              <w:rPr>
                <w:rFonts w:ascii="Arial Narrow" w:hAnsi="Arial Narrow"/>
                <w:b/>
                <w:sz w:val="20"/>
                <w:szCs w:val="20"/>
              </w:rPr>
              <w:t>3,</w:t>
            </w:r>
            <w:r w:rsidRPr="007740E4">
              <w:rPr>
                <w:rFonts w:ascii="Arial Narrow" w:hAnsi="Arial Narrow"/>
                <w:sz w:val="20"/>
                <w:szCs w:val="20"/>
              </w:rPr>
              <w:t xml:space="preserve"> 4</w:t>
            </w:r>
          </w:p>
        </w:tc>
      </w:tr>
      <w:tr w:rsidR="0014093D" w:rsidRPr="007740E4" w14:paraId="4B570609" w14:textId="77777777" w:rsidTr="00C97274">
        <w:tc>
          <w:tcPr>
            <w:tcW w:w="441" w:type="dxa"/>
            <w:shd w:val="clear" w:color="auto" w:fill="auto"/>
            <w:vAlign w:val="center"/>
          </w:tcPr>
          <w:p w14:paraId="07E75ECB" w14:textId="6005D7EF" w:rsidR="0014093D" w:rsidRPr="007740E4" w:rsidRDefault="00C97274" w:rsidP="00EF68D9">
            <w:pPr>
              <w:keepNext/>
              <w:keepLines/>
              <w:jc w:val="center"/>
              <w:rPr>
                <w:rFonts w:ascii="Arial Narrow" w:hAnsi="Arial Narrow"/>
                <w:sz w:val="20"/>
                <w:szCs w:val="20"/>
              </w:rPr>
            </w:pPr>
            <w:r>
              <w:rPr>
                <w:rFonts w:ascii="Arial Narrow" w:hAnsi="Arial Narrow"/>
                <w:sz w:val="20"/>
                <w:szCs w:val="20"/>
              </w:rPr>
              <w:t>III</w:t>
            </w:r>
          </w:p>
        </w:tc>
        <w:tc>
          <w:tcPr>
            <w:tcW w:w="2673" w:type="dxa"/>
            <w:shd w:val="clear" w:color="auto" w:fill="auto"/>
            <w:vAlign w:val="center"/>
          </w:tcPr>
          <w:p w14:paraId="522C3FE7"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1.5-10 years</w:t>
            </w:r>
          </w:p>
        </w:tc>
        <w:tc>
          <w:tcPr>
            <w:tcW w:w="2200" w:type="dxa"/>
            <w:shd w:val="clear" w:color="auto" w:fill="auto"/>
            <w:vAlign w:val="center"/>
          </w:tcPr>
          <w:p w14:paraId="069C5691"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Walks, regression</w:t>
            </w:r>
          </w:p>
        </w:tc>
        <w:tc>
          <w:tcPr>
            <w:tcW w:w="1706" w:type="dxa"/>
            <w:shd w:val="clear" w:color="auto" w:fill="auto"/>
          </w:tcPr>
          <w:p w14:paraId="36B19D64"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Normal</w:t>
            </w:r>
          </w:p>
        </w:tc>
        <w:tc>
          <w:tcPr>
            <w:tcW w:w="1939" w:type="dxa"/>
            <w:shd w:val="clear" w:color="auto" w:fill="auto"/>
            <w:vAlign w:val="center"/>
          </w:tcPr>
          <w:p w14:paraId="56EFDF51"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b/>
                <w:sz w:val="20"/>
                <w:szCs w:val="20"/>
              </w:rPr>
              <w:t>3, 4,</w:t>
            </w:r>
            <w:r w:rsidRPr="007740E4">
              <w:rPr>
                <w:rFonts w:ascii="Arial Narrow" w:hAnsi="Arial Narrow"/>
                <w:sz w:val="20"/>
                <w:szCs w:val="20"/>
              </w:rPr>
              <w:t xml:space="preserve"> 5</w:t>
            </w:r>
          </w:p>
        </w:tc>
      </w:tr>
      <w:tr w:rsidR="0014093D" w:rsidRPr="007740E4" w14:paraId="101B1AC8" w14:textId="77777777" w:rsidTr="00C97274">
        <w:tc>
          <w:tcPr>
            <w:tcW w:w="441" w:type="dxa"/>
            <w:shd w:val="clear" w:color="auto" w:fill="auto"/>
            <w:vAlign w:val="center"/>
          </w:tcPr>
          <w:p w14:paraId="648F586A" w14:textId="5B39C8A9" w:rsidR="0014093D" w:rsidRPr="007740E4" w:rsidRDefault="00C97274" w:rsidP="00EF68D9">
            <w:pPr>
              <w:keepNext/>
              <w:keepLines/>
              <w:jc w:val="center"/>
              <w:rPr>
                <w:rFonts w:ascii="Arial Narrow" w:hAnsi="Arial Narrow"/>
                <w:sz w:val="20"/>
                <w:szCs w:val="20"/>
              </w:rPr>
            </w:pPr>
            <w:r>
              <w:rPr>
                <w:rFonts w:ascii="Arial Narrow" w:hAnsi="Arial Narrow"/>
                <w:sz w:val="20"/>
                <w:szCs w:val="20"/>
              </w:rPr>
              <w:t>IV</w:t>
            </w:r>
          </w:p>
        </w:tc>
        <w:tc>
          <w:tcPr>
            <w:tcW w:w="2673" w:type="dxa"/>
            <w:shd w:val="clear" w:color="auto" w:fill="auto"/>
            <w:vAlign w:val="center"/>
          </w:tcPr>
          <w:p w14:paraId="6A3FCFD8"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&gt;35 years</w:t>
            </w:r>
          </w:p>
        </w:tc>
        <w:tc>
          <w:tcPr>
            <w:tcW w:w="2200" w:type="dxa"/>
            <w:shd w:val="clear" w:color="auto" w:fill="auto"/>
            <w:vAlign w:val="center"/>
          </w:tcPr>
          <w:p w14:paraId="2D157C8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Slow decline</w:t>
            </w:r>
          </w:p>
        </w:tc>
        <w:tc>
          <w:tcPr>
            <w:tcW w:w="1706" w:type="dxa"/>
            <w:shd w:val="clear" w:color="auto" w:fill="auto"/>
          </w:tcPr>
          <w:p w14:paraId="2C57A9A1"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Normal</w:t>
            </w:r>
          </w:p>
        </w:tc>
        <w:tc>
          <w:tcPr>
            <w:tcW w:w="1939" w:type="dxa"/>
            <w:shd w:val="clear" w:color="auto" w:fill="auto"/>
            <w:vAlign w:val="center"/>
          </w:tcPr>
          <w:p w14:paraId="3A1343C1"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4, 5</w:t>
            </w:r>
          </w:p>
        </w:tc>
      </w:tr>
    </w:tbl>
    <w:p w14:paraId="7ADF320F" w14:textId="2E8D3C2A" w:rsidR="0014093D" w:rsidRPr="007740E4" w:rsidRDefault="0014093D" w:rsidP="0014093D">
      <w:pPr>
        <w:keepNext/>
        <w:keepLines/>
        <w:rPr>
          <w:rFonts w:ascii="Arial Narrow" w:hAnsi="Arial Narrow"/>
          <w:sz w:val="18"/>
          <w:szCs w:val="18"/>
        </w:rPr>
      </w:pPr>
      <w:r w:rsidRPr="007740E4">
        <w:rPr>
          <w:rFonts w:ascii="Arial Narrow" w:hAnsi="Arial Narrow"/>
          <w:sz w:val="18"/>
          <w:szCs w:val="18"/>
        </w:rPr>
        <w:t xml:space="preserve">Source: Table 2, paragraph 4.2, onasemnogene abeparvovec, </w:t>
      </w:r>
      <w:r w:rsidR="00D862B0">
        <w:rPr>
          <w:rFonts w:ascii="Arial Narrow" w:hAnsi="Arial Narrow"/>
          <w:sz w:val="18"/>
          <w:szCs w:val="18"/>
        </w:rPr>
        <w:t>PSD</w:t>
      </w:r>
      <w:r w:rsidR="00F7116D">
        <w:rPr>
          <w:rFonts w:ascii="Arial Narrow" w:hAnsi="Arial Narrow"/>
          <w:sz w:val="18"/>
          <w:szCs w:val="18"/>
        </w:rPr>
        <w:t>, November 2022</w:t>
      </w:r>
      <w:r w:rsidRPr="007740E4">
        <w:rPr>
          <w:rFonts w:ascii="Arial Narrow" w:hAnsi="Arial Narrow"/>
          <w:sz w:val="18"/>
          <w:szCs w:val="18"/>
        </w:rPr>
        <w:t xml:space="preserve"> PBAC meeting</w:t>
      </w:r>
      <w:r w:rsidRPr="007740E4">
        <w:rPr>
          <w:rFonts w:ascii="Arial Narrow" w:hAnsi="Arial Narrow"/>
          <w:i/>
          <w:sz w:val="18"/>
          <w:szCs w:val="18"/>
        </w:rPr>
        <w:t>.</w:t>
      </w:r>
    </w:p>
    <w:p w14:paraId="5F906D9F" w14:textId="7E6F34A8" w:rsidR="0014093D" w:rsidRPr="007740E4" w:rsidRDefault="0014093D" w:rsidP="0014093D">
      <w:pPr>
        <w:keepNext/>
        <w:keepLines/>
        <w:rPr>
          <w:rFonts w:ascii="Arial Narrow" w:hAnsi="Arial Narrow"/>
          <w:sz w:val="18"/>
          <w:szCs w:val="18"/>
        </w:rPr>
      </w:pPr>
      <w:r w:rsidRPr="007740E4">
        <w:rPr>
          <w:rFonts w:ascii="Arial Narrow" w:hAnsi="Arial Narrow"/>
          <w:b/>
          <w:sz w:val="18"/>
          <w:szCs w:val="18"/>
        </w:rPr>
        <w:t>Bold</w:t>
      </w:r>
      <w:r w:rsidRPr="007740E4">
        <w:rPr>
          <w:rFonts w:ascii="Arial Narrow" w:hAnsi="Arial Narrow"/>
          <w:sz w:val="18"/>
          <w:szCs w:val="18"/>
        </w:rPr>
        <w:t xml:space="preserve"> = predominant </w:t>
      </w:r>
      <w:r w:rsidR="00B64F80" w:rsidRPr="007740E4">
        <w:rPr>
          <w:rFonts w:ascii="Arial Narrow" w:hAnsi="Arial Narrow"/>
          <w:i/>
          <w:sz w:val="18"/>
          <w:szCs w:val="18"/>
        </w:rPr>
        <w:t>SMN2</w:t>
      </w:r>
      <w:r w:rsidRPr="007740E4">
        <w:rPr>
          <w:rFonts w:ascii="Arial Narrow" w:hAnsi="Arial Narrow"/>
          <w:sz w:val="18"/>
          <w:szCs w:val="18"/>
        </w:rPr>
        <w:t xml:space="preserve"> copy number that defines the SMA type, the other copy numbers represent a small percentage of the designated SMA type.</w:t>
      </w:r>
    </w:p>
    <w:p w14:paraId="42CA567C" w14:textId="4CBDA379" w:rsidR="0014093D" w:rsidRPr="007740E4" w:rsidRDefault="0014093D" w:rsidP="005C00E6">
      <w:pPr>
        <w:keepNext/>
        <w:keepLines/>
        <w:spacing w:after="120"/>
        <w:rPr>
          <w:rFonts w:ascii="Arial Narrow" w:hAnsi="Arial Narrow"/>
          <w:sz w:val="18"/>
          <w:szCs w:val="18"/>
        </w:rPr>
      </w:pPr>
      <w:r w:rsidRPr="007740E4">
        <w:rPr>
          <w:rFonts w:ascii="Arial Narrow" w:hAnsi="Arial Narrow"/>
          <w:sz w:val="18"/>
          <w:szCs w:val="18"/>
        </w:rPr>
        <w:t xml:space="preserve">SMA= spinal muscular atrophy; </w:t>
      </w:r>
      <w:r w:rsidR="00B64F80" w:rsidRPr="007740E4">
        <w:rPr>
          <w:rFonts w:ascii="Arial Narrow" w:hAnsi="Arial Narrow"/>
          <w:i/>
          <w:sz w:val="18"/>
          <w:szCs w:val="18"/>
        </w:rPr>
        <w:t>SMN2</w:t>
      </w:r>
      <w:r w:rsidRPr="007740E4">
        <w:rPr>
          <w:rFonts w:ascii="Arial Narrow" w:hAnsi="Arial Narrow"/>
          <w:sz w:val="18"/>
          <w:szCs w:val="18"/>
        </w:rPr>
        <w:t xml:space="preserve"> = survival motor neuron 2 gene.</w:t>
      </w:r>
    </w:p>
    <w:p w14:paraId="48DC9F3C" w14:textId="13940CA1" w:rsidR="00201276" w:rsidRPr="00201276" w:rsidRDefault="00201276" w:rsidP="0014093D">
      <w:pPr>
        <w:pStyle w:val="3-BodyText"/>
        <w:rPr>
          <w:i/>
        </w:rPr>
      </w:pPr>
      <w:r w:rsidRPr="00271560">
        <w:t xml:space="preserve">Previously, the PBAC recalled the advice from MSAC that while </w:t>
      </w:r>
      <w:r w:rsidRPr="00271560">
        <w:rPr>
          <w:i/>
          <w:iCs/>
        </w:rPr>
        <w:t>SMN2</w:t>
      </w:r>
      <w:r w:rsidRPr="00271560">
        <w:t xml:space="preserve"> copy number variation offers some prognostic value, it was more reliable for infants with </w:t>
      </w:r>
      <w:r w:rsidR="001F61A4">
        <w:rPr>
          <w:rFonts w:cstheme="minorHAnsi"/>
        </w:rPr>
        <w:t>≤</w:t>
      </w:r>
      <w:r w:rsidRPr="00271560">
        <w:rPr>
          <w:rFonts w:cstheme="minorHAnsi"/>
        </w:rPr>
        <w:t xml:space="preserve">2 </w:t>
      </w:r>
      <w:r w:rsidRPr="00271560">
        <w:t xml:space="preserve">copies of </w:t>
      </w:r>
      <w:r w:rsidRPr="00271560">
        <w:rPr>
          <w:i/>
          <w:iCs/>
        </w:rPr>
        <w:t>SMN2</w:t>
      </w:r>
      <w:r w:rsidRPr="00271560">
        <w:t xml:space="preserve"> compared to </w:t>
      </w:r>
      <w:r w:rsidRPr="00271560">
        <w:rPr>
          <w:rFonts w:cstheme="minorHAnsi"/>
        </w:rPr>
        <w:t xml:space="preserve">≥3 </w:t>
      </w:r>
      <w:r w:rsidRPr="00271560">
        <w:t xml:space="preserve">copies of </w:t>
      </w:r>
      <w:r w:rsidRPr="00271560">
        <w:rPr>
          <w:i/>
          <w:iCs/>
        </w:rPr>
        <w:t>SMN2</w:t>
      </w:r>
      <w:r w:rsidRPr="00271560">
        <w:t xml:space="preserve">. The PBAC noted that on average patients with 3 copies of </w:t>
      </w:r>
      <w:r w:rsidRPr="00271560">
        <w:rPr>
          <w:i/>
          <w:iCs/>
        </w:rPr>
        <w:t>SMN2</w:t>
      </w:r>
      <w:r w:rsidRPr="00271560">
        <w:t xml:space="preserve"> would have less severe disease than patients with 1-2 copies. Further, the PBAC </w:t>
      </w:r>
      <w:r w:rsidR="00C97274">
        <w:t xml:space="preserve">previously </w:t>
      </w:r>
      <w:r w:rsidRPr="00271560">
        <w:t xml:space="preserve">noted that based on natural history data, the majority of Type IIIa and IIIb SMA patients, who are likely to have 3 or more copies of </w:t>
      </w:r>
      <w:r w:rsidRPr="00271560">
        <w:rPr>
          <w:i/>
          <w:iCs/>
        </w:rPr>
        <w:t>SMN2</w:t>
      </w:r>
      <w:r w:rsidRPr="00271560">
        <w:t xml:space="preserve">, retained the ability to walk after 10 years. Therefore, a proportion of patients treated pre-symptomatically with ONA would have achieved the ability to walk without treatment (paragraph 7.6, </w:t>
      </w:r>
      <w:r w:rsidR="001F61A4">
        <w:t>ONA</w:t>
      </w:r>
      <w:r w:rsidRPr="00271560">
        <w:t xml:space="preserve"> PSD, November 2022 PBAC meeting). </w:t>
      </w:r>
    </w:p>
    <w:p w14:paraId="4F695798" w14:textId="5341FEE2" w:rsidR="0014093D" w:rsidRPr="007740E4" w:rsidRDefault="0014093D" w:rsidP="0014093D">
      <w:pPr>
        <w:pStyle w:val="3-BodyText"/>
      </w:pPr>
      <w:r w:rsidRPr="007740E4">
        <w:t xml:space="preserve">Newborn bloodspot screening (NBS) for SMA will identify and diagnose patients with SMA for treatment prior to symptom development. The resubmission claimed that by the July 2023 PBAC meeting, it is estimated that all announced programs will be in progress (assuming the South Australia program begins at the beginning of July 2023). </w:t>
      </w:r>
      <w:r w:rsidR="00DA7A30" w:rsidRPr="00271560">
        <w:t xml:space="preserve">It is therefore likely that, once NBS for the detection of SMA is implemented across Australia, all patients with SMA will be detected soon after birth and eligibility for the proposed </w:t>
      </w:r>
      <w:r w:rsidR="00DA7A30">
        <w:t>ONA</w:t>
      </w:r>
      <w:r w:rsidR="00DA7A30" w:rsidRPr="00271560">
        <w:t xml:space="preserve"> listing will be able to be determined.</w:t>
      </w:r>
    </w:p>
    <w:p w14:paraId="4F1C3361" w14:textId="0E62CBA8" w:rsidR="0047331C" w:rsidRPr="0047331C" w:rsidRDefault="0014093D" w:rsidP="0047331C">
      <w:pPr>
        <w:pStyle w:val="3-BodyText"/>
      </w:pPr>
      <w:r w:rsidRPr="007740E4">
        <w:t xml:space="preserve">ONA is a once per life-time gene replacement therapy consisting of a non-replicating recombinant adeno-associated viral (AAV9) vector containing the human </w:t>
      </w:r>
      <w:r w:rsidRPr="002A7E48">
        <w:rPr>
          <w:i/>
          <w:iCs/>
        </w:rPr>
        <w:t xml:space="preserve">SMN </w:t>
      </w:r>
      <w:r w:rsidRPr="007740E4">
        <w:t>gene under control of the chicken beta-actin promoter. It is designed to deliver a copy of the gene encoding the human SMN protein.</w:t>
      </w:r>
      <w:r w:rsidR="00E44698" w:rsidRPr="0047331C">
        <w:t xml:space="preserve"> The resubmission claimed that there is no need for any additional therapy once gene therapy has been provided as no child who has received onasemnogene abeparvovec has lost a developmental milestone while on therapy. This claim may not be adequately supported. </w:t>
      </w:r>
      <w:bookmarkStart w:id="18" w:name="_Hlk137723992"/>
      <w:r w:rsidR="00E44698" w:rsidRPr="0047331C">
        <w:t>In the pivotal SPR1NT study, four (4/25) patients (all with 2</w:t>
      </w:r>
      <w:r w:rsidR="00D909BC">
        <w:t xml:space="preserve"> </w:t>
      </w:r>
      <w:r w:rsidR="00484DEE" w:rsidRPr="00484DEE">
        <w:rPr>
          <w:i/>
        </w:rPr>
        <w:t>SMN2</w:t>
      </w:r>
      <w:r w:rsidR="00E44698" w:rsidRPr="0047331C">
        <w:t xml:space="preserve"> copies) received subsequent treatment (with NUSI or RIS) following treatment with ONA prior to or during the longer-term follow-up study. NUSI (for Type I SMA or pre-symptomatic SMA) and RIS (for Type I SMA) are currently PBS listed for treatment occurring after ONA therapy</w:t>
      </w:r>
      <w:r w:rsidR="00C97274">
        <w:t>.</w:t>
      </w:r>
      <w:bookmarkEnd w:id="18"/>
      <w:r w:rsidR="0047331C" w:rsidRPr="0047331C">
        <w:t xml:space="preserve"> </w:t>
      </w:r>
    </w:p>
    <w:p w14:paraId="050FDD62" w14:textId="4AF2CBA8" w:rsidR="00E44698" w:rsidRPr="00861BE4" w:rsidRDefault="0047331C" w:rsidP="00861BE4">
      <w:pPr>
        <w:ind w:firstLine="709"/>
        <w:rPr>
          <w:rFonts w:asciiTheme="minorHAnsi" w:hAnsiTheme="minorHAnsi"/>
          <w:i/>
        </w:rPr>
      </w:pPr>
      <w:r w:rsidRPr="00C33D30">
        <w:rPr>
          <w:rFonts w:asciiTheme="minorHAnsi" w:hAnsiTheme="minorHAnsi"/>
          <w:i/>
        </w:rPr>
        <w:t>For more detail on PBAC’s view, see section 7 PBAC outcome.</w:t>
      </w:r>
    </w:p>
    <w:p w14:paraId="5E222E07" w14:textId="77777777" w:rsidR="0014093D" w:rsidRPr="007740E4" w:rsidRDefault="0014093D" w:rsidP="0014093D">
      <w:pPr>
        <w:pStyle w:val="2-SectionHeading"/>
        <w:numPr>
          <w:ilvl w:val="0"/>
          <w:numId w:val="1"/>
        </w:numPr>
      </w:pPr>
      <w:bookmarkStart w:id="19" w:name="_Toc135210584"/>
      <w:r w:rsidRPr="007740E4">
        <w:t>Comparator</w:t>
      </w:r>
      <w:bookmarkEnd w:id="19"/>
    </w:p>
    <w:p w14:paraId="604CB1BC" w14:textId="495FE3C7" w:rsidR="0014093D" w:rsidRPr="00200E3A" w:rsidRDefault="0014093D" w:rsidP="0014093D">
      <w:pPr>
        <w:pStyle w:val="3-BodyText"/>
        <w:rPr>
          <w:snapToGrid/>
        </w:rPr>
      </w:pPr>
      <w:bookmarkStart w:id="20" w:name="_Ref135038161"/>
      <w:r w:rsidRPr="007740E4">
        <w:rPr>
          <w:snapToGrid/>
        </w:rPr>
        <w:t xml:space="preserve">The resubmission nominated itself (ONA) as the main comparator, but in a population with a different </w:t>
      </w:r>
      <w:r w:rsidR="00B64F80" w:rsidRPr="007740E4">
        <w:rPr>
          <w:i/>
          <w:snapToGrid/>
        </w:rPr>
        <w:t>SMN2</w:t>
      </w:r>
      <w:r w:rsidRPr="007740E4">
        <w:rPr>
          <w:snapToGrid/>
        </w:rPr>
        <w:t xml:space="preserve"> copy genotype (1-2 copies </w:t>
      </w:r>
      <w:r w:rsidRPr="00200E3A">
        <w:rPr>
          <w:iCs/>
          <w:snapToGrid/>
        </w:rPr>
        <w:t>or</w:t>
      </w:r>
      <w:r w:rsidRPr="007740E4">
        <w:rPr>
          <w:snapToGrid/>
        </w:rPr>
        <w:t xml:space="preserve"> 2 copies of </w:t>
      </w:r>
      <w:r w:rsidR="00B64F80" w:rsidRPr="007740E4">
        <w:rPr>
          <w:i/>
          <w:snapToGrid/>
        </w:rPr>
        <w:t>SMN2</w:t>
      </w:r>
      <w:r w:rsidRPr="007740E4">
        <w:rPr>
          <w:i/>
          <w:snapToGrid/>
        </w:rPr>
        <w:t xml:space="preserve"> </w:t>
      </w:r>
      <w:r w:rsidR="00200E3A">
        <w:rPr>
          <w:snapToGrid/>
        </w:rPr>
        <w:t>vs</w:t>
      </w:r>
      <w:r w:rsidRPr="007740E4">
        <w:rPr>
          <w:snapToGrid/>
        </w:rPr>
        <w:t xml:space="preserve"> 3 copies of </w:t>
      </w:r>
      <w:r w:rsidR="00B64F80" w:rsidRPr="007740E4">
        <w:rPr>
          <w:i/>
          <w:snapToGrid/>
        </w:rPr>
        <w:t>SMN2</w:t>
      </w:r>
      <w:r w:rsidRPr="007740E4">
        <w:rPr>
          <w:snapToGrid/>
        </w:rPr>
        <w:t xml:space="preserve">). </w:t>
      </w:r>
      <w:r w:rsidRPr="00820898">
        <w:rPr>
          <w:iCs/>
          <w:snapToGrid/>
        </w:rPr>
        <w:t xml:space="preserve">Only data from patients with 2 </w:t>
      </w:r>
      <w:r w:rsidR="00EA2BFF" w:rsidRPr="00EA2BFF">
        <w:rPr>
          <w:i/>
          <w:iCs/>
          <w:snapToGrid/>
        </w:rPr>
        <w:t>SMN2</w:t>
      </w:r>
      <w:r w:rsidRPr="00820898">
        <w:rPr>
          <w:iCs/>
          <w:snapToGrid/>
        </w:rPr>
        <w:t xml:space="preserve"> copies were presented in the resubmission’s clinical evaluation</w:t>
      </w:r>
      <w:r w:rsidRPr="007740E4">
        <w:rPr>
          <w:snapToGrid/>
        </w:rPr>
        <w:t xml:space="preserve">. This differed from the previous submission which nominated ‘usual care or watchful waiting and treat as symptoms appear’. </w:t>
      </w:r>
      <w:r w:rsidRPr="007740E4">
        <w:t xml:space="preserve">The resubmission claimed that this change was based on the PBAC </w:t>
      </w:r>
      <w:r w:rsidR="00206974">
        <w:t>PSD</w:t>
      </w:r>
      <w:r w:rsidR="00206974" w:rsidRPr="007740E4">
        <w:t xml:space="preserve"> </w:t>
      </w:r>
      <w:r w:rsidRPr="007740E4">
        <w:t xml:space="preserve">(paragraph 7.10, </w:t>
      </w:r>
      <w:r w:rsidR="00200E3A">
        <w:t>ONA</w:t>
      </w:r>
      <w:r w:rsidRPr="007740E4">
        <w:t xml:space="preserve"> </w:t>
      </w:r>
      <w:r w:rsidR="00D862B0">
        <w:t>PSD</w:t>
      </w:r>
      <w:r w:rsidRPr="007740E4">
        <w:t xml:space="preserve">, November 2022 PBAC meeting) which “suggested that a comparison of cost and clinical benefit of the presymptomatic treatment of 1-2 copies of </w:t>
      </w:r>
      <w:r w:rsidR="00B64F80" w:rsidRPr="007740E4">
        <w:rPr>
          <w:i/>
        </w:rPr>
        <w:t>SMN2</w:t>
      </w:r>
      <w:r w:rsidRPr="007740E4">
        <w:t xml:space="preserve"> and those with 3 copies of </w:t>
      </w:r>
      <w:r w:rsidR="00B64F80" w:rsidRPr="007740E4">
        <w:rPr>
          <w:i/>
        </w:rPr>
        <w:t>SMN2</w:t>
      </w:r>
      <w:r w:rsidRPr="007740E4">
        <w:t xml:space="preserve"> would be useful”. </w:t>
      </w:r>
      <w:r w:rsidRPr="0047331C">
        <w:t>Th</w:t>
      </w:r>
      <w:r w:rsidR="00200E3A" w:rsidRPr="0047331C">
        <w:t xml:space="preserve">e </w:t>
      </w:r>
      <w:r w:rsidR="00DA7A30">
        <w:t xml:space="preserve">PBAC agreed with the </w:t>
      </w:r>
      <w:r w:rsidR="00200E3A" w:rsidRPr="0047331C">
        <w:t xml:space="preserve">evaluation and the ESC that ONA in patients with 1-2 copies of </w:t>
      </w:r>
      <w:r w:rsidR="00484DEE" w:rsidRPr="00484DEE">
        <w:rPr>
          <w:i/>
        </w:rPr>
        <w:t>SMN2</w:t>
      </w:r>
      <w:r w:rsidR="00200E3A" w:rsidRPr="0047331C">
        <w:t xml:space="preserve"> was not the </w:t>
      </w:r>
      <w:r w:rsidRPr="0047331C">
        <w:t>appropriate</w:t>
      </w:r>
      <w:r w:rsidR="00200E3A" w:rsidRPr="0047331C">
        <w:t xml:space="preserve"> comparator. </w:t>
      </w:r>
      <w:r w:rsidR="00200E3A">
        <w:t>T</w:t>
      </w:r>
      <w:r w:rsidRPr="00820898">
        <w:t xml:space="preserve">he PBAC comments </w:t>
      </w:r>
      <w:r w:rsidR="00200E3A">
        <w:t>were</w:t>
      </w:r>
      <w:r w:rsidRPr="00820898">
        <w:t xml:space="preserve"> in the context that such a comparison would be more informative for establishing the cost effectiveness in the expanded population (to include the proposed pre-symptomatic 3 </w:t>
      </w:r>
      <w:r w:rsidR="00EA2BFF" w:rsidRPr="00EA2BFF">
        <w:rPr>
          <w:i/>
        </w:rPr>
        <w:t>SMN2</w:t>
      </w:r>
      <w:r w:rsidRPr="00820898">
        <w:t xml:space="preserve"> patients in addition to the currently subsidised pre-symptomatic 1-2 </w:t>
      </w:r>
      <w:r w:rsidR="00EA2BFF" w:rsidRPr="00EA2BFF">
        <w:rPr>
          <w:i/>
        </w:rPr>
        <w:t>SMN2</w:t>
      </w:r>
      <w:r w:rsidRPr="00820898">
        <w:t xml:space="preserve"> population) given the limitations of the available evidence. That is, the PBAC was interested in the incremental benefit of pre-symptomatic treatment of 3 </w:t>
      </w:r>
      <w:r w:rsidR="00EA2BFF" w:rsidRPr="00EA2BFF">
        <w:rPr>
          <w:i/>
        </w:rPr>
        <w:t>SMN2</w:t>
      </w:r>
      <w:r w:rsidRPr="00820898">
        <w:t xml:space="preserve"> copies compared to the incremental benefit of pre-symptomatic treatment of 1-2 </w:t>
      </w:r>
      <w:r w:rsidR="00EA2BFF" w:rsidRPr="00EA2BFF">
        <w:rPr>
          <w:i/>
        </w:rPr>
        <w:t>SMN2</w:t>
      </w:r>
      <w:r w:rsidRPr="00820898">
        <w:t xml:space="preserve"> copies (given the incremental clinical benefit was expected to be lower in the 3</w:t>
      </w:r>
      <w:r w:rsidR="002D6DF3">
        <w:t xml:space="preserve"> </w:t>
      </w:r>
      <w:r w:rsidR="00EA2BFF" w:rsidRPr="00EA2BFF">
        <w:rPr>
          <w:i/>
        </w:rPr>
        <w:t>SMN2</w:t>
      </w:r>
      <w:r w:rsidRPr="00820898">
        <w:t xml:space="preserve"> </w:t>
      </w:r>
      <w:r w:rsidR="002D6DF3">
        <w:t xml:space="preserve">copies </w:t>
      </w:r>
      <w:r w:rsidRPr="00820898">
        <w:t xml:space="preserve">population due to better baseline outcomes), rather than the incremental benefit between pre-symptomatic treatment in patients with 3 copies of </w:t>
      </w:r>
      <w:r w:rsidR="00EA2BFF" w:rsidRPr="00EA2BFF">
        <w:rPr>
          <w:i/>
        </w:rPr>
        <w:t>SMN2</w:t>
      </w:r>
      <w:r w:rsidRPr="00820898">
        <w:t xml:space="preserve"> and in patients with 1-2 copies of </w:t>
      </w:r>
      <w:r w:rsidR="00EA2BFF" w:rsidRPr="00EA2BFF">
        <w:rPr>
          <w:i/>
        </w:rPr>
        <w:t>SMN2</w:t>
      </w:r>
      <w:r w:rsidRPr="00820898">
        <w:t>.</w:t>
      </w:r>
      <w:bookmarkEnd w:id="20"/>
    </w:p>
    <w:p w14:paraId="3D41EDAD" w14:textId="4F5A29D9" w:rsidR="00200E3A" w:rsidRPr="0047331C" w:rsidRDefault="00200E3A" w:rsidP="0014093D">
      <w:pPr>
        <w:pStyle w:val="3-BodyText"/>
        <w:rPr>
          <w:snapToGrid/>
        </w:rPr>
      </w:pPr>
      <w:r w:rsidRPr="0047331C">
        <w:t xml:space="preserve">The </w:t>
      </w:r>
      <w:r w:rsidR="00F44004">
        <w:t>Pre-Sub-Committee Response (</w:t>
      </w:r>
      <w:r w:rsidRPr="0047331C">
        <w:t>PSCR</w:t>
      </w:r>
      <w:r w:rsidR="00F44004">
        <w:t>)</w:t>
      </w:r>
      <w:r w:rsidRPr="0047331C">
        <w:t xml:space="preserve"> stated </w:t>
      </w:r>
      <w:r w:rsidR="002D6DF3" w:rsidRPr="0047331C">
        <w:t xml:space="preserve">the </w:t>
      </w:r>
      <w:r w:rsidR="007E05ED">
        <w:t>“</w:t>
      </w:r>
      <w:r w:rsidR="002D6DF3" w:rsidRPr="0047331C">
        <w:t xml:space="preserve">request for a comparison of incremental cost-effectiveness between 1-2 </w:t>
      </w:r>
      <w:r w:rsidR="002D6DF3" w:rsidRPr="003D709E">
        <w:rPr>
          <w:i/>
          <w:iCs/>
        </w:rPr>
        <w:t>SMN2</w:t>
      </w:r>
      <w:r w:rsidR="002D6DF3" w:rsidRPr="0047331C">
        <w:t xml:space="preserve"> copy babies and 3 </w:t>
      </w:r>
      <w:r w:rsidR="00484DEE" w:rsidRPr="00484DEE">
        <w:rPr>
          <w:i/>
        </w:rPr>
        <w:t>SMN2</w:t>
      </w:r>
      <w:r w:rsidR="002D6DF3" w:rsidRPr="0047331C">
        <w:t xml:space="preserve"> copy babies could not be accommodated because no model for 1 to 2 </w:t>
      </w:r>
      <w:r w:rsidR="00484DEE" w:rsidRPr="00484DEE">
        <w:rPr>
          <w:i/>
        </w:rPr>
        <w:t>SMN2</w:t>
      </w:r>
      <w:r w:rsidR="002D6DF3" w:rsidRPr="0047331C">
        <w:t xml:space="preserve"> copy babies which was accepted by the PBAC exists to provide a comparison</w:t>
      </w:r>
      <w:r w:rsidR="007E05ED">
        <w:t>”</w:t>
      </w:r>
      <w:r w:rsidR="002D6DF3" w:rsidRPr="0047331C">
        <w:t xml:space="preserve">. The ESC noted that an economic model was presented in consideration of nusinersen for patients with 1-2 copies </w:t>
      </w:r>
      <w:r w:rsidR="00484DEE" w:rsidRPr="00484DEE">
        <w:rPr>
          <w:i/>
        </w:rPr>
        <w:t>SMN2</w:t>
      </w:r>
      <w:r w:rsidR="002D6DF3" w:rsidRPr="0047331C">
        <w:t xml:space="preserve">, however the submission for ONA made no attempt at quantifying the costs or modelling the benefits of pre-symptomatic treatment of patients with 3 copies </w:t>
      </w:r>
      <w:r w:rsidR="00484DEE" w:rsidRPr="00484DEE">
        <w:rPr>
          <w:i/>
        </w:rPr>
        <w:t>SMN2</w:t>
      </w:r>
      <w:r w:rsidR="002D6DF3" w:rsidRPr="0047331C">
        <w:t>, but instead started from the assumption that the value was comparable.</w:t>
      </w:r>
    </w:p>
    <w:p w14:paraId="373E85B1" w14:textId="271D51B9" w:rsidR="002F7024" w:rsidRPr="0047331C" w:rsidRDefault="002F7024" w:rsidP="0014093D">
      <w:pPr>
        <w:pStyle w:val="3-BodyText"/>
        <w:rPr>
          <w:snapToGrid/>
        </w:rPr>
      </w:pPr>
      <w:r w:rsidRPr="0047331C">
        <w:t>The PSCR also stated that this comparator “provides the PBAC with a comparison and data which is contained within the same clinical conditions, with the same underlying principles for recruitment and measurement of outcomes and removes the issues with using either the natural history data or the available data for treatment with DMTs that proved not previously useful to decision making”.</w:t>
      </w:r>
    </w:p>
    <w:p w14:paraId="5CF192A8" w14:textId="2C264547" w:rsidR="0014093D" w:rsidRPr="002D6DF3" w:rsidRDefault="002D6DF3" w:rsidP="00440C24">
      <w:pPr>
        <w:pStyle w:val="3-BodyText"/>
        <w:rPr>
          <w:snapToGrid/>
        </w:rPr>
      </w:pPr>
      <w:bookmarkStart w:id="21" w:name="_Ref134988320"/>
      <w:r w:rsidRPr="0047331C">
        <w:t xml:space="preserve">The </w:t>
      </w:r>
      <w:r w:rsidR="00DA7A30">
        <w:t xml:space="preserve">PBAC agreed with the </w:t>
      </w:r>
      <w:r w:rsidRPr="0047331C">
        <w:t xml:space="preserve">evaluation and the ESC </w:t>
      </w:r>
      <w:r w:rsidR="00DA7A30">
        <w:t>that</w:t>
      </w:r>
      <w:r w:rsidR="00DA7A30" w:rsidRPr="0047331C">
        <w:t xml:space="preserve"> </w:t>
      </w:r>
      <w:r w:rsidRPr="0047331C">
        <w:t>us</w:t>
      </w:r>
      <w:r w:rsidR="0014093D" w:rsidRPr="0047331C">
        <w:t>ual</w:t>
      </w:r>
      <w:r w:rsidR="0014093D" w:rsidRPr="00820898">
        <w:t xml:space="preserve"> care or watchful waiting and treat as symptoms appear </w:t>
      </w:r>
      <w:r w:rsidR="002F7024">
        <w:t>remained</w:t>
      </w:r>
      <w:r w:rsidR="0014093D" w:rsidRPr="00820898">
        <w:t xml:space="preserve"> the appropriate comparator</w:t>
      </w:r>
      <w:bookmarkEnd w:id="21"/>
      <w:r w:rsidR="00AC787B">
        <w:t>.</w:t>
      </w:r>
    </w:p>
    <w:p w14:paraId="6B640344" w14:textId="2FBB77A9" w:rsidR="0047331C" w:rsidRPr="0047331C" w:rsidRDefault="0014093D" w:rsidP="00861BE4">
      <w:pPr>
        <w:pStyle w:val="3-BodyText"/>
      </w:pPr>
      <w:r w:rsidRPr="007740E4">
        <w:t xml:space="preserve">The resubmission </w:t>
      </w:r>
      <w:r w:rsidRPr="0047331C">
        <w:t>appropriately</w:t>
      </w:r>
      <w:r w:rsidRPr="007740E4">
        <w:t xml:space="preserve"> nominated NUSI and RIS as near market comparators. </w:t>
      </w:r>
      <w:r w:rsidRPr="0047331C">
        <w:t xml:space="preserve">This remained unchanged from the previous submission. </w:t>
      </w:r>
      <w:r w:rsidRPr="007740E4">
        <w:t xml:space="preserve">Neither NUSI </w:t>
      </w:r>
      <w:r w:rsidR="00666323">
        <w:t>n</w:t>
      </w:r>
      <w:r w:rsidRPr="007740E4">
        <w:t xml:space="preserve">or RIS are currently PBS listed for pre-symptomatic treatment of SMA patients with 3 </w:t>
      </w:r>
      <w:r w:rsidR="00484DEE" w:rsidRPr="00484DEE">
        <w:rPr>
          <w:i/>
        </w:rPr>
        <w:t>SMN2</w:t>
      </w:r>
      <w:r w:rsidRPr="007740E4">
        <w:t xml:space="preserve"> copies, </w:t>
      </w:r>
      <w:r w:rsidRPr="0047331C">
        <w:t xml:space="preserve">but a submission for NUSI will be considered by the PBAC at the July 2023 PBAC meeting. A submission to expand the PBS listing for RIS to include pre-symptomatic treatment for the same population (based on a cost minimisation analysis versus ONA) was on the agenda for the March 2023 meeting but this </w:t>
      </w:r>
      <w:r w:rsidR="0025391B" w:rsidRPr="0047331C">
        <w:t xml:space="preserve">indication </w:t>
      </w:r>
      <w:r w:rsidRPr="0047331C">
        <w:t>was withdrawn by the sponsor.</w:t>
      </w:r>
    </w:p>
    <w:p w14:paraId="3A942374" w14:textId="3870FA56" w:rsidR="0014093D" w:rsidRPr="00861BE4" w:rsidRDefault="0047331C" w:rsidP="00861BE4">
      <w:pPr>
        <w:ind w:firstLine="709"/>
        <w:rPr>
          <w:rFonts w:asciiTheme="minorHAnsi" w:hAnsiTheme="minorHAnsi"/>
          <w:i/>
        </w:rPr>
      </w:pPr>
      <w:r w:rsidRPr="00C33D30">
        <w:rPr>
          <w:rFonts w:asciiTheme="minorHAnsi" w:hAnsiTheme="minorHAnsi"/>
          <w:i/>
        </w:rPr>
        <w:t>For more detail on PBAC’s view, see section 7 PBAC outcome.</w:t>
      </w:r>
    </w:p>
    <w:p w14:paraId="6A2203D9" w14:textId="77777777" w:rsidR="0014093D" w:rsidRPr="007740E4" w:rsidRDefault="0014093D" w:rsidP="0014093D">
      <w:pPr>
        <w:pStyle w:val="2-SectionHeading"/>
        <w:numPr>
          <w:ilvl w:val="0"/>
          <w:numId w:val="1"/>
        </w:numPr>
      </w:pPr>
      <w:bookmarkStart w:id="22" w:name="_Toc135210585"/>
      <w:bookmarkStart w:id="23" w:name="_Toc22897640"/>
      <w:r w:rsidRPr="007740E4">
        <w:t>Consideration of the evidence</w:t>
      </w:r>
      <w:bookmarkEnd w:id="22"/>
    </w:p>
    <w:p w14:paraId="5F24DF8F" w14:textId="77777777" w:rsidR="0047331C" w:rsidRPr="006E1229" w:rsidRDefault="0047331C" w:rsidP="00A0439A">
      <w:pPr>
        <w:pStyle w:val="4-SubsectionHeading"/>
      </w:pPr>
      <w:bookmarkStart w:id="24" w:name="_Hlk76375935"/>
      <w:bookmarkStart w:id="25" w:name="_Hlk138779073"/>
      <w:bookmarkStart w:id="26" w:name="_Toc135210586"/>
      <w:r w:rsidRPr="006E1229">
        <w:t>Sponsor hearing</w:t>
      </w:r>
    </w:p>
    <w:p w14:paraId="5AECF6FC" w14:textId="313ABBEF" w:rsidR="0047331C" w:rsidRPr="00F91542" w:rsidRDefault="0047331C" w:rsidP="0047331C">
      <w:pPr>
        <w:widowControl w:val="0"/>
        <w:numPr>
          <w:ilvl w:val="1"/>
          <w:numId w:val="1"/>
        </w:numPr>
        <w:spacing w:after="120"/>
        <w:rPr>
          <w:rFonts w:cs="Calibri"/>
          <w:bCs/>
          <w:snapToGrid w:val="0"/>
        </w:rPr>
      </w:pPr>
      <w:r w:rsidRPr="00F91542">
        <w:rPr>
          <w:rFonts w:cs="Calibri"/>
          <w:bCs/>
          <w:snapToGrid w:val="0"/>
        </w:rPr>
        <w:t>There was no hearing for this item.</w:t>
      </w:r>
    </w:p>
    <w:p w14:paraId="610484CA" w14:textId="77777777" w:rsidR="0047331C" w:rsidRPr="006E1229" w:rsidRDefault="0047331C" w:rsidP="00A0439A">
      <w:pPr>
        <w:pStyle w:val="4-SubsectionHeading"/>
      </w:pPr>
      <w:r w:rsidRPr="006E1229">
        <w:t>Consumer comments</w:t>
      </w:r>
    </w:p>
    <w:p w14:paraId="05671985" w14:textId="510442D9" w:rsidR="0047331C" w:rsidRDefault="0047331C" w:rsidP="0047331C">
      <w:pPr>
        <w:widowControl w:val="0"/>
        <w:numPr>
          <w:ilvl w:val="1"/>
          <w:numId w:val="1"/>
        </w:numPr>
        <w:spacing w:after="120"/>
        <w:rPr>
          <w:rFonts w:asciiTheme="minorHAnsi" w:hAnsiTheme="minorHAnsi"/>
          <w:bCs/>
          <w:snapToGrid w:val="0"/>
        </w:rPr>
      </w:pPr>
      <w:bookmarkStart w:id="27" w:name="_Hlk76382618"/>
      <w:r w:rsidRPr="00836F75">
        <w:rPr>
          <w:rFonts w:asciiTheme="minorHAnsi" w:hAnsiTheme="minorHAnsi"/>
          <w:bCs/>
          <w:snapToGrid w:val="0"/>
        </w:rPr>
        <w:t>The PBAC noted and welcomed the input from individuals (</w:t>
      </w:r>
      <w:r w:rsidR="0003717E">
        <w:rPr>
          <w:rFonts w:asciiTheme="minorHAnsi" w:hAnsiTheme="minorHAnsi"/>
          <w:bCs/>
          <w:snapToGrid w:val="0"/>
        </w:rPr>
        <w:t>6</w:t>
      </w:r>
      <w:r w:rsidRPr="00836F75">
        <w:rPr>
          <w:rFonts w:asciiTheme="minorHAnsi" w:hAnsiTheme="minorHAnsi"/>
          <w:bCs/>
          <w:snapToGrid w:val="0"/>
        </w:rPr>
        <w:t>), health care professionals (</w:t>
      </w:r>
      <w:r w:rsidR="0003717E">
        <w:rPr>
          <w:rFonts w:asciiTheme="minorHAnsi" w:hAnsiTheme="minorHAnsi"/>
          <w:bCs/>
          <w:snapToGrid w:val="0"/>
        </w:rPr>
        <w:t>1</w:t>
      </w:r>
      <w:r w:rsidRPr="00836F75">
        <w:rPr>
          <w:rFonts w:asciiTheme="minorHAnsi" w:hAnsiTheme="minorHAnsi"/>
          <w:bCs/>
          <w:snapToGrid w:val="0"/>
        </w:rPr>
        <w:t xml:space="preserve">) and organisations (1) via the Consumer Comments facility on the PBS website. </w:t>
      </w:r>
      <w:r w:rsidR="008E50CA">
        <w:rPr>
          <w:rFonts w:asciiTheme="minorHAnsi" w:hAnsiTheme="minorHAnsi"/>
          <w:bCs/>
          <w:snapToGrid w:val="0"/>
        </w:rPr>
        <w:t>Input from consumers noted the efficacy of early treatment with ONA</w:t>
      </w:r>
      <w:r w:rsidR="00DE7D68">
        <w:rPr>
          <w:rFonts w:asciiTheme="minorHAnsi" w:hAnsiTheme="minorHAnsi"/>
          <w:bCs/>
          <w:snapToGrid w:val="0"/>
        </w:rPr>
        <w:t xml:space="preserve"> and the negative, permanent impact on outcomes for babies who do not have access to pre-symptomatic treatment. The comments also noted the impact on the parents of these children who currently cannot access treatment until symptoms occur. </w:t>
      </w:r>
    </w:p>
    <w:p w14:paraId="6FD87FD9" w14:textId="34711E20" w:rsidR="00DE7D68" w:rsidRPr="00836F75" w:rsidRDefault="00F95739" w:rsidP="0047331C">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that consumer comments on the previous submission emphasised </w:t>
      </w:r>
      <w:r w:rsidRPr="0010763B">
        <w:rPr>
          <w:rFonts w:asciiTheme="minorHAnsi" w:hAnsiTheme="minorHAnsi"/>
          <w:bCs/>
          <w:snapToGrid w:val="0"/>
        </w:rPr>
        <w:t>the importance of early intervention in the treatment of SMA in order to prevent irreversible motor neuron loss.</w:t>
      </w:r>
      <w:r>
        <w:rPr>
          <w:rFonts w:asciiTheme="minorHAnsi" w:hAnsiTheme="minorHAnsi"/>
          <w:bCs/>
          <w:snapToGrid w:val="0"/>
        </w:rPr>
        <w:t xml:space="preserve"> The comments noted that while the side effect profile of ONA was not yet completely understood, the treatment demonstrated a favourable safety profile in clinical trials. It was also noted that the prevention of SMA symptoms through early treatment may reduce future healthcare costs. Comments from parents of children genetically diagnosed with SMA who were treated with ONA shortly after birth, described benefits of treatment including remaining asymptomatic and meeting normal developmental milestones. Comments from parents of children with SMA who were treated with ONA following the development of symptoms indicated a perception that their child would have even better outcomes if treated prior to symptom onset.</w:t>
      </w:r>
    </w:p>
    <w:p w14:paraId="1CBD9F7D" w14:textId="6A511D9F" w:rsidR="000D3E00" w:rsidRDefault="0047331C" w:rsidP="00995ACD">
      <w:pPr>
        <w:widowControl w:val="0"/>
        <w:numPr>
          <w:ilvl w:val="1"/>
          <w:numId w:val="1"/>
        </w:numPr>
        <w:spacing w:after="120"/>
        <w:rPr>
          <w:rFonts w:ascii="CIDFont+F2" w:hAnsi="CIDFont+F2" w:cs="CIDFont+F2"/>
          <w:sz w:val="23"/>
          <w:szCs w:val="23"/>
        </w:rPr>
      </w:pPr>
      <w:r w:rsidRPr="000D3E00">
        <w:rPr>
          <w:rFonts w:ascii="CIDFont+F2" w:hAnsi="CIDFont+F2" w:cs="CIDFont+F2"/>
          <w:sz w:val="23"/>
          <w:szCs w:val="23"/>
        </w:rPr>
        <w:t>The PBAC noted the advice received from</w:t>
      </w:r>
      <w:r w:rsidR="0003717E" w:rsidRPr="000D3E00">
        <w:rPr>
          <w:rFonts w:ascii="CIDFont+F2" w:hAnsi="CIDFont+F2" w:cs="CIDFont+F2"/>
          <w:sz w:val="23"/>
          <w:szCs w:val="23"/>
        </w:rPr>
        <w:t xml:space="preserve"> the National Paediatric Medicines Forum (NPMF) in support of PBS listing of ONA for patients with SMA who have 3 copies of </w:t>
      </w:r>
      <w:r w:rsidR="00484DEE" w:rsidRPr="00484DEE">
        <w:rPr>
          <w:rFonts w:ascii="CIDFont+F2" w:hAnsi="CIDFont+F2" w:cs="CIDFont+F2"/>
          <w:i/>
          <w:sz w:val="23"/>
          <w:szCs w:val="23"/>
        </w:rPr>
        <w:t>SMN2</w:t>
      </w:r>
      <w:r w:rsidR="00F95739">
        <w:rPr>
          <w:rFonts w:ascii="CIDFont+F2" w:hAnsi="CIDFont+F2" w:cs="CIDFont+F2"/>
          <w:sz w:val="23"/>
          <w:szCs w:val="23"/>
        </w:rPr>
        <w:t xml:space="preserve"> in addition to its advice regarding the previous submission</w:t>
      </w:r>
      <w:r w:rsidR="0003717E" w:rsidRPr="000D3E00">
        <w:rPr>
          <w:rFonts w:ascii="CIDFont+F2" w:hAnsi="CIDFont+F2" w:cs="CIDFont+F2"/>
          <w:sz w:val="23"/>
          <w:szCs w:val="23"/>
        </w:rPr>
        <w:t xml:space="preserve">. The NPMF </w:t>
      </w:r>
      <w:r w:rsidR="000D3E00" w:rsidRPr="000D3E00">
        <w:rPr>
          <w:rFonts w:ascii="CIDFont+F2" w:hAnsi="CIDFont+F2" w:cs="CIDFont+F2"/>
          <w:sz w:val="23"/>
          <w:szCs w:val="23"/>
        </w:rPr>
        <w:t xml:space="preserve">considered that this expanded listing would improve equitable access and best outcomes for all stakeholders, while reducing anguish for families of recently diagnosed babies. The NPMF noted that currently approximately 30% of newborns with a SMA diagnosis and 3 </w:t>
      </w:r>
      <w:r w:rsidR="00484DEE" w:rsidRPr="00484DEE">
        <w:rPr>
          <w:rFonts w:ascii="CIDFont+F2" w:hAnsi="CIDFont+F2" w:cs="CIDFont+F2"/>
          <w:i/>
          <w:sz w:val="23"/>
          <w:szCs w:val="23"/>
        </w:rPr>
        <w:t>SMN2</w:t>
      </w:r>
      <w:r w:rsidR="000D3E00" w:rsidRPr="000D3E00">
        <w:rPr>
          <w:rFonts w:ascii="CIDFont+F2" w:hAnsi="CIDFont+F2" w:cs="CIDFont+F2"/>
          <w:sz w:val="23"/>
          <w:szCs w:val="23"/>
        </w:rPr>
        <w:t xml:space="preserve"> copies are not eligible for genetic therapy. By the time signs of irreversible motor neuron degeneration manifest and they become eligible for genetic therapy, it can be too late to save the death of many more motor neurons, leading to the potential for a lifetime of neurodisability. The range of presentations are intermediate in half (onset in first three years and ability to sit but not walk), severe for 15% (inability to sit), and ‘mild’ for one third (falls and</w:t>
      </w:r>
      <w:r w:rsidR="000D3E00">
        <w:rPr>
          <w:rFonts w:ascii="CIDFont+F2" w:hAnsi="CIDFont+F2" w:cs="CIDFont+F2"/>
          <w:sz w:val="23"/>
          <w:szCs w:val="23"/>
        </w:rPr>
        <w:t xml:space="preserve"> </w:t>
      </w:r>
      <w:r w:rsidR="000D3E00" w:rsidRPr="000D3E00">
        <w:rPr>
          <w:rFonts w:ascii="CIDFont+F2" w:hAnsi="CIDFont+F2" w:cs="CIDFont+F2"/>
          <w:sz w:val="23"/>
          <w:szCs w:val="23"/>
        </w:rPr>
        <w:t xml:space="preserve">mobility problems in childhood). </w:t>
      </w:r>
      <w:r w:rsidR="00A279E2">
        <w:rPr>
          <w:rFonts w:ascii="CIDFont+F2" w:hAnsi="CIDFont+F2" w:cs="CIDFont+F2"/>
          <w:sz w:val="23"/>
          <w:szCs w:val="23"/>
        </w:rPr>
        <w:t>The NPMF also referred to Australian data (</w:t>
      </w:r>
      <w:r w:rsidR="00E347B5">
        <w:rPr>
          <w:rFonts w:ascii="CIDFont+F2" w:hAnsi="CIDFont+F2" w:cs="CIDFont+F2"/>
          <w:sz w:val="23"/>
          <w:szCs w:val="23"/>
        </w:rPr>
        <w:t xml:space="preserve">Kariyawasam et al, </w:t>
      </w:r>
      <w:r w:rsidR="00A279E2">
        <w:rPr>
          <w:rFonts w:ascii="CIDFont+F2" w:hAnsi="CIDFont+F2" w:cs="CIDFont+F2"/>
          <w:sz w:val="23"/>
          <w:szCs w:val="23"/>
        </w:rPr>
        <w:t>2023) demonstrating significant functional differences</w:t>
      </w:r>
      <w:r w:rsidR="00E347B5">
        <w:rPr>
          <w:rFonts w:ascii="CIDFont+F2" w:hAnsi="CIDFont+F2" w:cs="CIDFont+F2"/>
          <w:sz w:val="23"/>
          <w:szCs w:val="23"/>
        </w:rPr>
        <w:t xml:space="preserve"> from pre-symptomatic treatment</w:t>
      </w:r>
      <w:r w:rsidR="00A279E2">
        <w:rPr>
          <w:rFonts w:ascii="CIDFont+F2" w:hAnsi="CIDFont+F2" w:cs="CIDFont+F2"/>
          <w:sz w:val="23"/>
          <w:szCs w:val="23"/>
        </w:rPr>
        <w:t xml:space="preserve">, with all children with 3 </w:t>
      </w:r>
      <w:r w:rsidR="00484DEE" w:rsidRPr="00484DEE">
        <w:rPr>
          <w:rFonts w:ascii="CIDFont+F2" w:hAnsi="CIDFont+F2" w:cs="CIDFont+F2"/>
          <w:i/>
          <w:sz w:val="23"/>
          <w:szCs w:val="23"/>
        </w:rPr>
        <w:t>SMN2</w:t>
      </w:r>
      <w:r w:rsidR="00A279E2">
        <w:rPr>
          <w:rFonts w:ascii="CIDFont+F2" w:hAnsi="CIDFont+F2" w:cs="CIDFont+F2"/>
          <w:sz w:val="23"/>
          <w:szCs w:val="23"/>
        </w:rPr>
        <w:t xml:space="preserve"> copies achi</w:t>
      </w:r>
      <w:r w:rsidR="00E347B5">
        <w:rPr>
          <w:rFonts w:ascii="CIDFont+F2" w:hAnsi="CIDFont+F2" w:cs="CIDFont+F2"/>
          <w:sz w:val="23"/>
          <w:szCs w:val="23"/>
        </w:rPr>
        <w:t>e</w:t>
      </w:r>
      <w:r w:rsidR="00A279E2">
        <w:rPr>
          <w:rFonts w:ascii="CIDFont+F2" w:hAnsi="CIDFont+F2" w:cs="CIDFont+F2"/>
          <w:sz w:val="23"/>
          <w:szCs w:val="23"/>
        </w:rPr>
        <w:t>ving walking st</w:t>
      </w:r>
      <w:r w:rsidR="00E347B5">
        <w:rPr>
          <w:rFonts w:ascii="CIDFont+F2" w:hAnsi="CIDFont+F2" w:cs="CIDFont+F2"/>
          <w:sz w:val="23"/>
          <w:szCs w:val="23"/>
        </w:rPr>
        <w:t>at</w:t>
      </w:r>
      <w:r w:rsidR="00A279E2">
        <w:rPr>
          <w:rFonts w:ascii="CIDFont+F2" w:hAnsi="CIDFont+F2" w:cs="CIDFont+F2"/>
          <w:sz w:val="23"/>
          <w:szCs w:val="23"/>
        </w:rPr>
        <w:t>us when treated pre</w:t>
      </w:r>
      <w:r w:rsidR="00E347B5">
        <w:rPr>
          <w:rFonts w:ascii="CIDFont+F2" w:hAnsi="CIDFont+F2" w:cs="CIDFont+F2"/>
          <w:sz w:val="23"/>
          <w:szCs w:val="23"/>
        </w:rPr>
        <w:t>-</w:t>
      </w:r>
      <w:r w:rsidR="00A279E2">
        <w:rPr>
          <w:rFonts w:ascii="CIDFont+F2" w:hAnsi="CIDFont+F2" w:cs="CIDFont+F2"/>
          <w:sz w:val="23"/>
          <w:szCs w:val="23"/>
        </w:rPr>
        <w:t>symptomatically, whereas walking was rarely achieved in those treated after sympt</w:t>
      </w:r>
      <w:r w:rsidR="00E347B5">
        <w:rPr>
          <w:rFonts w:ascii="CIDFont+F2" w:hAnsi="CIDFont+F2" w:cs="CIDFont+F2"/>
          <w:sz w:val="23"/>
          <w:szCs w:val="23"/>
        </w:rPr>
        <w:t>o</w:t>
      </w:r>
      <w:r w:rsidR="00A279E2">
        <w:rPr>
          <w:rFonts w:ascii="CIDFont+F2" w:hAnsi="CIDFont+F2" w:cs="CIDFont+F2"/>
          <w:sz w:val="23"/>
          <w:szCs w:val="23"/>
        </w:rPr>
        <w:t xml:space="preserve">m onset. </w:t>
      </w:r>
    </w:p>
    <w:p w14:paraId="5CC15AC5" w14:textId="30C40024" w:rsidR="00F95739" w:rsidRPr="00861BE4" w:rsidRDefault="00F95739" w:rsidP="00861BE4">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advice from Spinal Muscular Atrophy Australia on the previous submission strongly supported expanding the current PBS listing of ONA to include the pre-symptomatic treatment of patients genetically diagnosed with SMA who have 3 </w:t>
      </w:r>
      <w:r w:rsidRPr="00A94015">
        <w:rPr>
          <w:rFonts w:asciiTheme="minorHAnsi" w:hAnsiTheme="minorHAnsi"/>
          <w:bCs/>
          <w:i/>
          <w:iCs/>
          <w:snapToGrid w:val="0"/>
        </w:rPr>
        <w:t>SMN</w:t>
      </w:r>
      <w:r w:rsidRPr="00FD64E0">
        <w:rPr>
          <w:rFonts w:asciiTheme="minorHAnsi" w:hAnsiTheme="minorHAnsi"/>
          <w:bCs/>
          <w:snapToGrid w:val="0"/>
        </w:rPr>
        <w:t>2</w:t>
      </w:r>
      <w:r>
        <w:rPr>
          <w:rFonts w:asciiTheme="minorHAnsi" w:hAnsiTheme="minorHAnsi"/>
          <w:bCs/>
          <w:snapToGrid w:val="0"/>
        </w:rPr>
        <w:t xml:space="preserve"> copies. Spinal Muscular Atrophy Australia noted that while advances in diagnostics and treatments has changed the SMA landscape considerably over the last few years, access to treatment is not equitable for all children genetically diagnosed with SMA. Spinal Muscular Atrophy Australia noted that treating children with SMA who have 3 </w:t>
      </w:r>
      <w:r w:rsidRPr="00DF125E">
        <w:rPr>
          <w:rFonts w:asciiTheme="minorHAnsi" w:hAnsiTheme="minorHAnsi"/>
          <w:bCs/>
          <w:i/>
          <w:iCs/>
          <w:snapToGrid w:val="0"/>
        </w:rPr>
        <w:t>SMN</w:t>
      </w:r>
      <w:r w:rsidRPr="00FD64E0">
        <w:rPr>
          <w:rFonts w:asciiTheme="minorHAnsi" w:hAnsiTheme="minorHAnsi"/>
          <w:bCs/>
          <w:snapToGrid w:val="0"/>
        </w:rPr>
        <w:t>2</w:t>
      </w:r>
      <w:r>
        <w:rPr>
          <w:rFonts w:asciiTheme="minorHAnsi" w:hAnsiTheme="minorHAnsi"/>
          <w:bCs/>
          <w:i/>
          <w:iCs/>
          <w:snapToGrid w:val="0"/>
        </w:rPr>
        <w:t xml:space="preserve"> </w:t>
      </w:r>
      <w:r w:rsidRPr="000B5CD3">
        <w:rPr>
          <w:rFonts w:asciiTheme="minorHAnsi" w:hAnsiTheme="minorHAnsi"/>
          <w:bCs/>
          <w:snapToGrid w:val="0"/>
        </w:rPr>
        <w:t xml:space="preserve">copies </w:t>
      </w:r>
      <w:r>
        <w:rPr>
          <w:rFonts w:asciiTheme="minorHAnsi" w:hAnsiTheme="minorHAnsi"/>
          <w:bCs/>
          <w:snapToGrid w:val="0"/>
        </w:rPr>
        <w:t xml:space="preserve">after the development of symptoms could mean these children would not achieve the same outcomes as children who are currently eligible to receive subsidised treatment earlier, and highlighted the distress that watching and waiting for </w:t>
      </w:r>
      <w:r w:rsidRPr="00851F4F">
        <w:rPr>
          <w:rFonts w:asciiTheme="minorHAnsi" w:hAnsiTheme="minorHAnsi"/>
          <w:bCs/>
          <w:snapToGrid w:val="0"/>
        </w:rPr>
        <w:t xml:space="preserve">symptoms </w:t>
      </w:r>
      <w:r>
        <w:rPr>
          <w:rFonts w:asciiTheme="minorHAnsi" w:hAnsiTheme="minorHAnsi"/>
          <w:bCs/>
          <w:snapToGrid w:val="0"/>
        </w:rPr>
        <w:t xml:space="preserve">has on parents and families. </w:t>
      </w:r>
    </w:p>
    <w:bookmarkEnd w:id="24"/>
    <w:bookmarkEnd w:id="25"/>
    <w:bookmarkEnd w:id="27"/>
    <w:p w14:paraId="35FA7A3E" w14:textId="50C78584" w:rsidR="0014093D" w:rsidRPr="007740E4" w:rsidRDefault="0014093D" w:rsidP="0014093D">
      <w:pPr>
        <w:pStyle w:val="4-SubsectionHeading"/>
      </w:pPr>
      <w:r w:rsidRPr="007740E4">
        <w:t>Clinical studies</w:t>
      </w:r>
      <w:bookmarkEnd w:id="23"/>
      <w:bookmarkEnd w:id="26"/>
    </w:p>
    <w:p w14:paraId="65307144" w14:textId="3B406A56" w:rsidR="0014093D" w:rsidRPr="007740E4" w:rsidRDefault="0014093D" w:rsidP="0014093D">
      <w:pPr>
        <w:pStyle w:val="3-BodyText"/>
      </w:pPr>
      <w:r w:rsidRPr="007740E4">
        <w:t xml:space="preserve">The resubmission was based on five studies. Three were single arm intervention studies involving pre-symptomatic treatment of SMA patients with 2 and 3 </w:t>
      </w:r>
      <w:r w:rsidR="00B64F80" w:rsidRPr="007740E4">
        <w:rPr>
          <w:i/>
        </w:rPr>
        <w:t>SMN2</w:t>
      </w:r>
      <w:r w:rsidRPr="007740E4">
        <w:t xml:space="preserve"> copies (SPR1NT (ONA), NURTURE (NUSI) and RAINBOWFISH (RIS)), one study was a longer term follow-up study involving SPR1NT (LT-002) and one study was an Australian cohort study of SMA patients comparing an incident population diagnosed through newborn screening with a cohort of patients treated after clinical referral (referred to as the Sydney Children Hospital Network (SCHN) study (Kariyawasam et al, 2023)).</w:t>
      </w:r>
    </w:p>
    <w:p w14:paraId="0E762841" w14:textId="06043D17" w:rsidR="0014093D" w:rsidRPr="00820898" w:rsidRDefault="0014093D" w:rsidP="0014093D">
      <w:pPr>
        <w:pStyle w:val="3-BodyText"/>
        <w:rPr>
          <w:iCs/>
        </w:rPr>
      </w:pPr>
      <w:r w:rsidRPr="00820898">
        <w:rPr>
          <w:iCs/>
        </w:rPr>
        <w:t xml:space="preserve">Four of the five studies (SPR1NT, LT-002, NURTURE and RAINBOWFISH) identified by the resubmission were previously presented and considered by the PBAC during the last application for ONA at the November 2022 meeting and were limited in terms of long-term follow-up data and comparability (paragraph 6.46, </w:t>
      </w:r>
      <w:r w:rsidR="002D6DF3">
        <w:rPr>
          <w:iCs/>
        </w:rPr>
        <w:t>ONA</w:t>
      </w:r>
      <w:r w:rsidRPr="00820898">
        <w:rPr>
          <w:iCs/>
        </w:rPr>
        <w:t xml:space="preserve"> </w:t>
      </w:r>
      <w:r w:rsidR="00D862B0" w:rsidRPr="00820898">
        <w:rPr>
          <w:iCs/>
        </w:rPr>
        <w:t>PSD</w:t>
      </w:r>
      <w:r w:rsidRPr="00820898">
        <w:rPr>
          <w:iCs/>
        </w:rPr>
        <w:t>, November 2022 PBAC meeting). The resubmission identified one new study (the SCHN study) and presented new data for ONA from the longer-term follow up study of SPR1NT (LT-002, new data cut of 23 May 2022; previously 23 May 2021). No new efficacy data for NUSI or RIS were presented.</w:t>
      </w:r>
    </w:p>
    <w:p w14:paraId="65F30454" w14:textId="6BA847EF" w:rsidR="0014093D" w:rsidRPr="00820898" w:rsidRDefault="000A5144" w:rsidP="0014093D">
      <w:pPr>
        <w:pStyle w:val="3-BodyText"/>
        <w:rPr>
          <w:iCs/>
        </w:rPr>
      </w:pPr>
      <w:r>
        <w:rPr>
          <w:iCs/>
        </w:rPr>
        <w:t>It was not possible</w:t>
      </w:r>
      <w:r w:rsidR="0014093D" w:rsidRPr="00820898">
        <w:rPr>
          <w:iCs/>
        </w:rPr>
        <w:t xml:space="preserve"> to make statistical direct or indirect comparisons with the data from the clinical studies given the nature of the single arm, non-comparative studies. The lack of a control group also did not allow for any incremental benefit to be estimated.</w:t>
      </w:r>
    </w:p>
    <w:p w14:paraId="36F9E5A1" w14:textId="1EA08110" w:rsidR="0014093D" w:rsidRPr="007740E4" w:rsidRDefault="0014093D" w:rsidP="00DA1076">
      <w:pPr>
        <w:pStyle w:val="3-BodyText"/>
      </w:pPr>
      <w:r w:rsidRPr="007740E4">
        <w:t>Details of the studies presented in the resubmission are provided in</w:t>
      </w:r>
      <w:r w:rsidR="00DA1076">
        <w:rPr>
          <w:snapToGrid/>
        </w:rPr>
        <w:t xml:space="preserve"> </w:t>
      </w:r>
      <w:r w:rsidR="00DA1076">
        <w:rPr>
          <w:snapToGrid/>
        </w:rPr>
        <w:fldChar w:fldCharType="begin" w:fldLock="1"/>
      </w:r>
      <w:r w:rsidR="00DA1076">
        <w:rPr>
          <w:snapToGrid/>
        </w:rPr>
        <w:instrText xml:space="preserve"> REF _Ref137541032 \h </w:instrText>
      </w:r>
      <w:r w:rsidR="00DA1076">
        <w:rPr>
          <w:snapToGrid/>
        </w:rPr>
      </w:r>
      <w:r w:rsidR="00DA1076">
        <w:rPr>
          <w:snapToGrid/>
        </w:rPr>
        <w:fldChar w:fldCharType="separate"/>
      </w:r>
      <w:r w:rsidR="00DA1076" w:rsidRPr="007740E4">
        <w:t xml:space="preserve">Table </w:t>
      </w:r>
      <w:r w:rsidR="00DA1076">
        <w:rPr>
          <w:noProof/>
        </w:rPr>
        <w:t>4</w:t>
      </w:r>
      <w:r w:rsidR="00DA1076">
        <w:rPr>
          <w:snapToGrid/>
        </w:rPr>
        <w:fldChar w:fldCharType="end"/>
      </w:r>
      <w:r w:rsidRPr="007740E4">
        <w:rPr>
          <w:snapToGrid/>
        </w:rPr>
        <w:t>.</w:t>
      </w:r>
    </w:p>
    <w:p w14:paraId="2BEB2689" w14:textId="3ACA6165" w:rsidR="0014093D" w:rsidRPr="007740E4" w:rsidRDefault="0014093D" w:rsidP="005C00E6">
      <w:pPr>
        <w:pStyle w:val="TableFigureHeading"/>
        <w:keepLines/>
        <w:rPr>
          <w:rStyle w:val="CommentReference"/>
          <w:b/>
          <w:szCs w:val="24"/>
        </w:rPr>
      </w:pPr>
      <w:bookmarkStart w:id="28" w:name="_Ref104803956"/>
      <w:bookmarkStart w:id="29" w:name="_Ref137541032"/>
      <w:r w:rsidRPr="007740E4">
        <w:t xml:space="preserve">Table </w:t>
      </w:r>
      <w:fldSimple w:instr=" SEQ Table \* ARABIC " w:fldLock="1">
        <w:r w:rsidR="0084520A">
          <w:rPr>
            <w:noProof/>
          </w:rPr>
          <w:t>4</w:t>
        </w:r>
      </w:fldSimple>
      <w:bookmarkEnd w:id="28"/>
      <w:bookmarkEnd w:id="29"/>
      <w:r w:rsidRPr="007740E4">
        <w:t>:</w:t>
      </w:r>
      <w:r w:rsidRPr="007740E4">
        <w:rPr>
          <w:rStyle w:val="CommentReference"/>
          <w:b/>
          <w:szCs w:val="24"/>
        </w:rPr>
        <w:t xml:space="preserve"> Studies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Studies and associated reports presented in the resubmission"/>
      </w:tblPr>
      <w:tblGrid>
        <w:gridCol w:w="1436"/>
        <w:gridCol w:w="5363"/>
        <w:gridCol w:w="2218"/>
      </w:tblGrid>
      <w:tr w:rsidR="0014093D" w:rsidRPr="007740E4" w14:paraId="660E8287" w14:textId="77777777" w:rsidTr="005C00E6">
        <w:trPr>
          <w:tblHeader/>
        </w:trPr>
        <w:tc>
          <w:tcPr>
            <w:tcW w:w="796" w:type="pct"/>
            <w:tcBorders>
              <w:bottom w:val="single" w:sz="4" w:space="0" w:color="auto"/>
            </w:tcBorders>
            <w:vAlign w:val="center"/>
          </w:tcPr>
          <w:p w14:paraId="77320F76" w14:textId="77777777" w:rsidR="0014093D" w:rsidRPr="007740E4" w:rsidRDefault="0014093D" w:rsidP="005C00E6">
            <w:pPr>
              <w:pStyle w:val="In-tableHeading"/>
              <w:keepLines/>
              <w:rPr>
                <w:lang w:val="en-AU"/>
              </w:rPr>
            </w:pPr>
            <w:r w:rsidRPr="007740E4">
              <w:rPr>
                <w:lang w:val="en-AU"/>
              </w:rPr>
              <w:t>Trial ID</w:t>
            </w:r>
          </w:p>
        </w:tc>
        <w:tc>
          <w:tcPr>
            <w:tcW w:w="2974" w:type="pct"/>
            <w:tcBorders>
              <w:bottom w:val="single" w:sz="4" w:space="0" w:color="auto"/>
            </w:tcBorders>
            <w:vAlign w:val="center"/>
          </w:tcPr>
          <w:p w14:paraId="56881CD3" w14:textId="77777777" w:rsidR="0014093D" w:rsidRPr="007740E4" w:rsidRDefault="0014093D" w:rsidP="005C00E6">
            <w:pPr>
              <w:pStyle w:val="In-tableHeading"/>
              <w:keepLines/>
              <w:rPr>
                <w:lang w:val="en-AU"/>
              </w:rPr>
            </w:pPr>
            <w:r w:rsidRPr="007740E4">
              <w:rPr>
                <w:lang w:val="en-AU"/>
              </w:rPr>
              <w:t>Protocol title/ Publication title</w:t>
            </w:r>
          </w:p>
        </w:tc>
        <w:tc>
          <w:tcPr>
            <w:tcW w:w="1230" w:type="pct"/>
            <w:tcBorders>
              <w:bottom w:val="single" w:sz="4" w:space="0" w:color="auto"/>
            </w:tcBorders>
            <w:vAlign w:val="center"/>
          </w:tcPr>
          <w:p w14:paraId="3EC6A757" w14:textId="77777777" w:rsidR="0014093D" w:rsidRPr="007740E4" w:rsidRDefault="0014093D" w:rsidP="005C00E6">
            <w:pPr>
              <w:pStyle w:val="In-tableHeading"/>
              <w:keepLines/>
              <w:rPr>
                <w:lang w:val="en-AU"/>
              </w:rPr>
            </w:pPr>
            <w:r w:rsidRPr="007740E4">
              <w:rPr>
                <w:lang w:val="en-AU"/>
              </w:rPr>
              <w:t>Publication citation</w:t>
            </w:r>
          </w:p>
        </w:tc>
      </w:tr>
      <w:tr w:rsidR="0014093D" w:rsidRPr="007740E4" w14:paraId="39BEC9C4" w14:textId="77777777" w:rsidTr="00EF68D9">
        <w:tc>
          <w:tcPr>
            <w:tcW w:w="5000" w:type="pct"/>
            <w:gridSpan w:val="3"/>
            <w:tcBorders>
              <w:bottom w:val="single" w:sz="4" w:space="0" w:color="auto"/>
            </w:tcBorders>
            <w:vAlign w:val="center"/>
          </w:tcPr>
          <w:p w14:paraId="55B271A6" w14:textId="77777777" w:rsidR="0014093D" w:rsidRPr="007740E4" w:rsidRDefault="0014093D" w:rsidP="005C00E6">
            <w:pPr>
              <w:pStyle w:val="TableText0"/>
              <w:keepLines/>
              <w:rPr>
                <w:b/>
                <w:i/>
              </w:rPr>
            </w:pPr>
            <w:r w:rsidRPr="007740E4">
              <w:rPr>
                <w:b/>
              </w:rPr>
              <w:t>ONA</w:t>
            </w:r>
          </w:p>
        </w:tc>
      </w:tr>
      <w:tr w:rsidR="0014093D" w:rsidRPr="007740E4" w14:paraId="1751D045" w14:textId="77777777" w:rsidTr="005C00E6">
        <w:tc>
          <w:tcPr>
            <w:tcW w:w="796" w:type="pct"/>
            <w:vMerge w:val="restart"/>
            <w:vAlign w:val="center"/>
          </w:tcPr>
          <w:p w14:paraId="674F4396" w14:textId="77777777" w:rsidR="0014093D" w:rsidRPr="007740E4" w:rsidRDefault="0014093D" w:rsidP="005C00E6">
            <w:pPr>
              <w:pStyle w:val="TableText0"/>
              <w:keepLines/>
            </w:pPr>
            <w:r w:rsidRPr="007740E4">
              <w:t>SPR1NT</w:t>
            </w:r>
          </w:p>
          <w:p w14:paraId="66E0B419" w14:textId="77777777" w:rsidR="0014093D" w:rsidRPr="007740E4" w:rsidRDefault="0014093D" w:rsidP="005C00E6">
            <w:pPr>
              <w:pStyle w:val="TableText0"/>
              <w:keepLines/>
            </w:pPr>
            <w:r w:rsidRPr="007740E4">
              <w:t>NCT03505099</w:t>
            </w:r>
          </w:p>
          <w:p w14:paraId="5569FE6B" w14:textId="77777777" w:rsidR="0014093D" w:rsidRPr="007740E4" w:rsidRDefault="0014093D" w:rsidP="005C00E6">
            <w:pPr>
              <w:pStyle w:val="TableText0"/>
              <w:keepLines/>
            </w:pPr>
            <w:r w:rsidRPr="007740E4">
              <w:t>(completed)</w:t>
            </w:r>
          </w:p>
        </w:tc>
        <w:tc>
          <w:tcPr>
            <w:tcW w:w="2974" w:type="pct"/>
            <w:tcBorders>
              <w:bottom w:val="nil"/>
            </w:tcBorders>
            <w:shd w:val="clear" w:color="auto" w:fill="C6D9F1" w:themeFill="text2" w:themeFillTint="33"/>
            <w:vAlign w:val="center"/>
          </w:tcPr>
          <w:p w14:paraId="5E5238D1" w14:textId="6DB1CCCB" w:rsidR="0014093D" w:rsidRPr="007740E4" w:rsidRDefault="0014093D" w:rsidP="005C00E6">
            <w:pPr>
              <w:pStyle w:val="TableText0"/>
              <w:keepLines/>
              <w:rPr>
                <w:szCs w:val="18"/>
              </w:rPr>
            </w:pPr>
            <w:r w:rsidRPr="007740E4">
              <w:rPr>
                <w:szCs w:val="18"/>
              </w:rPr>
              <w:t xml:space="preserve">AVXS-101-CL-304. A global study of a single, one-time dose of AVXS-101 delivered to infants with genetically diagnosed and presymptomatic spinal muscular atrophy with multiple copies of </w:t>
            </w:r>
            <w:r w:rsidR="00B64F80" w:rsidRPr="007740E4">
              <w:rPr>
                <w:i/>
                <w:szCs w:val="18"/>
              </w:rPr>
              <w:t>SMN2</w:t>
            </w:r>
            <w:r w:rsidRPr="007740E4">
              <w:rPr>
                <w:szCs w:val="18"/>
              </w:rPr>
              <w:t xml:space="preserve">. </w:t>
            </w:r>
          </w:p>
        </w:tc>
        <w:tc>
          <w:tcPr>
            <w:tcW w:w="1230" w:type="pct"/>
            <w:tcBorders>
              <w:bottom w:val="nil"/>
            </w:tcBorders>
            <w:shd w:val="clear" w:color="auto" w:fill="C6D9F1" w:themeFill="text2" w:themeFillTint="33"/>
            <w:vAlign w:val="center"/>
          </w:tcPr>
          <w:p w14:paraId="135AA3FD" w14:textId="77777777" w:rsidR="0014093D" w:rsidRPr="007740E4" w:rsidRDefault="0014093D" w:rsidP="005C00E6">
            <w:pPr>
              <w:pStyle w:val="TableText0"/>
              <w:keepLines/>
              <w:rPr>
                <w:i/>
              </w:rPr>
            </w:pPr>
            <w:r w:rsidRPr="007740E4">
              <w:rPr>
                <w:szCs w:val="18"/>
              </w:rPr>
              <w:t>October 2021.</w:t>
            </w:r>
          </w:p>
        </w:tc>
      </w:tr>
      <w:tr w:rsidR="0014093D" w:rsidRPr="007740E4" w14:paraId="2FE8433B" w14:textId="77777777" w:rsidTr="005C00E6">
        <w:tc>
          <w:tcPr>
            <w:tcW w:w="796" w:type="pct"/>
            <w:vMerge/>
            <w:vAlign w:val="center"/>
          </w:tcPr>
          <w:p w14:paraId="38AF92C0" w14:textId="77777777" w:rsidR="0014093D" w:rsidRPr="007740E4" w:rsidRDefault="0014093D" w:rsidP="005C00E6">
            <w:pPr>
              <w:pStyle w:val="TableText0"/>
              <w:keepLines/>
            </w:pPr>
          </w:p>
        </w:tc>
        <w:tc>
          <w:tcPr>
            <w:tcW w:w="2974" w:type="pct"/>
            <w:tcBorders>
              <w:top w:val="nil"/>
              <w:bottom w:val="nil"/>
            </w:tcBorders>
            <w:shd w:val="clear" w:color="auto" w:fill="C6D9F1" w:themeFill="text2" w:themeFillTint="33"/>
            <w:vAlign w:val="center"/>
          </w:tcPr>
          <w:p w14:paraId="429DA59E" w14:textId="77777777" w:rsidR="0014093D" w:rsidRPr="007740E4" w:rsidRDefault="0014093D" w:rsidP="005C00E6">
            <w:pPr>
              <w:pStyle w:val="TableText0"/>
              <w:keepLines/>
              <w:rPr>
                <w:szCs w:val="18"/>
              </w:rPr>
            </w:pPr>
            <w:r w:rsidRPr="007740E4">
              <w:rPr>
                <w:szCs w:val="18"/>
              </w:rPr>
              <w:t xml:space="preserve">Strauss et al. Onasemnogene abeparvovec for presymptomatic infants with three copies of MSN2 at risk for spinal muscular atrophy: The Phase III SPR1NT trial. </w:t>
            </w:r>
          </w:p>
        </w:tc>
        <w:tc>
          <w:tcPr>
            <w:tcW w:w="1230" w:type="pct"/>
            <w:tcBorders>
              <w:top w:val="nil"/>
              <w:bottom w:val="nil"/>
            </w:tcBorders>
            <w:shd w:val="clear" w:color="auto" w:fill="C6D9F1" w:themeFill="text2" w:themeFillTint="33"/>
            <w:vAlign w:val="center"/>
          </w:tcPr>
          <w:p w14:paraId="34E77E62" w14:textId="77777777" w:rsidR="0014093D" w:rsidRPr="007740E4" w:rsidRDefault="0014093D" w:rsidP="005C00E6">
            <w:pPr>
              <w:pStyle w:val="TableText0"/>
              <w:keepLines/>
              <w:rPr>
                <w:i/>
              </w:rPr>
            </w:pPr>
            <w:r w:rsidRPr="007740E4">
              <w:rPr>
                <w:i/>
              </w:rPr>
              <w:t>Nature Medicine</w:t>
            </w:r>
            <w:r w:rsidRPr="007740E4">
              <w:rPr>
                <w:szCs w:val="18"/>
              </w:rPr>
              <w:t xml:space="preserve"> 2022; 28(7):1390-1397.</w:t>
            </w:r>
          </w:p>
        </w:tc>
      </w:tr>
      <w:tr w:rsidR="0014093D" w:rsidRPr="007740E4" w14:paraId="4502B6CD" w14:textId="77777777" w:rsidTr="005C00E6">
        <w:trPr>
          <w:trHeight w:val="553"/>
        </w:trPr>
        <w:tc>
          <w:tcPr>
            <w:tcW w:w="796" w:type="pct"/>
            <w:vMerge/>
            <w:vAlign w:val="center"/>
          </w:tcPr>
          <w:p w14:paraId="7C67E8CD" w14:textId="77777777" w:rsidR="0014093D" w:rsidRPr="007740E4" w:rsidRDefault="0014093D" w:rsidP="005C00E6">
            <w:pPr>
              <w:pStyle w:val="TableText0"/>
              <w:keepLines/>
            </w:pPr>
          </w:p>
        </w:tc>
        <w:tc>
          <w:tcPr>
            <w:tcW w:w="2974" w:type="pct"/>
            <w:tcBorders>
              <w:top w:val="nil"/>
              <w:bottom w:val="nil"/>
            </w:tcBorders>
            <w:vAlign w:val="center"/>
          </w:tcPr>
          <w:p w14:paraId="395AED6B" w14:textId="0051122B" w:rsidR="0014093D" w:rsidRPr="007740E4" w:rsidRDefault="0014093D" w:rsidP="005C00E6">
            <w:pPr>
              <w:pStyle w:val="TableText0"/>
              <w:keepLines/>
              <w:rPr>
                <w:szCs w:val="18"/>
              </w:rPr>
            </w:pPr>
            <w:r w:rsidRPr="007740E4">
              <w:rPr>
                <w:szCs w:val="18"/>
              </w:rPr>
              <w:t xml:space="preserve">Strauss, K., et al. Onasemnogene Abeparvovec for Presymptomatic Infants with Spinal Muscular Atrophy and Two Copies of </w:t>
            </w:r>
            <w:r w:rsidR="00B64F80" w:rsidRPr="007740E4">
              <w:rPr>
                <w:i/>
                <w:szCs w:val="18"/>
              </w:rPr>
              <w:t>SMN2</w:t>
            </w:r>
            <w:r w:rsidRPr="007740E4">
              <w:rPr>
                <w:szCs w:val="18"/>
              </w:rPr>
              <w:t xml:space="preserve">. </w:t>
            </w:r>
          </w:p>
        </w:tc>
        <w:tc>
          <w:tcPr>
            <w:tcW w:w="1230" w:type="pct"/>
            <w:tcBorders>
              <w:top w:val="nil"/>
              <w:bottom w:val="nil"/>
            </w:tcBorders>
            <w:vAlign w:val="center"/>
          </w:tcPr>
          <w:p w14:paraId="7052FFE7" w14:textId="77777777" w:rsidR="0014093D" w:rsidRPr="007740E4" w:rsidRDefault="0014093D" w:rsidP="005C00E6">
            <w:pPr>
              <w:pStyle w:val="TableText0"/>
              <w:keepLines/>
              <w:rPr>
                <w:szCs w:val="18"/>
              </w:rPr>
            </w:pPr>
            <w:r w:rsidRPr="007740E4">
              <w:rPr>
                <w:szCs w:val="18"/>
              </w:rPr>
              <w:t>Conference abstract</w:t>
            </w:r>
          </w:p>
          <w:p w14:paraId="3B303F8C" w14:textId="77777777" w:rsidR="0014093D" w:rsidRPr="007740E4" w:rsidRDefault="0014093D" w:rsidP="005C00E6">
            <w:pPr>
              <w:pStyle w:val="TableText0"/>
              <w:keepLines/>
              <w:rPr>
                <w:szCs w:val="18"/>
              </w:rPr>
            </w:pPr>
            <w:r w:rsidRPr="007740E4">
              <w:rPr>
                <w:i/>
              </w:rPr>
              <w:t xml:space="preserve">Neurology </w:t>
            </w:r>
            <w:r w:rsidRPr="007740E4">
              <w:rPr>
                <w:szCs w:val="18"/>
              </w:rPr>
              <w:t>2022; 98 (18 SUPPL)</w:t>
            </w:r>
          </w:p>
        </w:tc>
      </w:tr>
      <w:tr w:rsidR="0014093D" w:rsidRPr="007740E4" w14:paraId="57CB3468" w14:textId="77777777" w:rsidTr="005C00E6">
        <w:tc>
          <w:tcPr>
            <w:tcW w:w="796" w:type="pct"/>
            <w:vMerge/>
            <w:vAlign w:val="center"/>
          </w:tcPr>
          <w:p w14:paraId="142BA141" w14:textId="77777777" w:rsidR="0014093D" w:rsidRPr="007740E4" w:rsidRDefault="0014093D" w:rsidP="005C00E6">
            <w:pPr>
              <w:pStyle w:val="TableText0"/>
              <w:keepLines/>
            </w:pPr>
          </w:p>
        </w:tc>
        <w:tc>
          <w:tcPr>
            <w:tcW w:w="2974" w:type="pct"/>
            <w:tcBorders>
              <w:top w:val="nil"/>
              <w:bottom w:val="nil"/>
            </w:tcBorders>
            <w:vAlign w:val="center"/>
          </w:tcPr>
          <w:p w14:paraId="68D5F8BA" w14:textId="51293B9B" w:rsidR="0014093D" w:rsidRPr="007740E4" w:rsidRDefault="0014093D" w:rsidP="005C00E6">
            <w:pPr>
              <w:pStyle w:val="TableText0"/>
              <w:keepLines/>
              <w:rPr>
                <w:szCs w:val="18"/>
              </w:rPr>
            </w:pPr>
            <w:r w:rsidRPr="007740E4">
              <w:rPr>
                <w:szCs w:val="18"/>
              </w:rPr>
              <w:t xml:space="preserve">Strauss, K. A et al. Onasemnogene abeparvovec for presymptomatic infants with two copies of </w:t>
            </w:r>
            <w:r w:rsidR="00B64F80" w:rsidRPr="007740E4">
              <w:rPr>
                <w:i/>
                <w:szCs w:val="18"/>
              </w:rPr>
              <w:t>SMN2</w:t>
            </w:r>
            <w:r w:rsidRPr="007740E4">
              <w:rPr>
                <w:szCs w:val="18"/>
              </w:rPr>
              <w:t xml:space="preserve"> at risk for spinal muscular atrophy type 1: the Phase III SPR1NT trial.</w:t>
            </w:r>
          </w:p>
        </w:tc>
        <w:tc>
          <w:tcPr>
            <w:tcW w:w="1230" w:type="pct"/>
            <w:tcBorders>
              <w:top w:val="nil"/>
              <w:bottom w:val="nil"/>
            </w:tcBorders>
            <w:vAlign w:val="center"/>
          </w:tcPr>
          <w:p w14:paraId="73B3E7A9" w14:textId="77777777" w:rsidR="0014093D" w:rsidRPr="007740E4" w:rsidRDefault="0014093D" w:rsidP="005C00E6">
            <w:pPr>
              <w:pStyle w:val="TableText0"/>
              <w:keepLines/>
              <w:rPr>
                <w:szCs w:val="18"/>
              </w:rPr>
            </w:pPr>
            <w:r w:rsidRPr="007740E4">
              <w:rPr>
                <w:i/>
              </w:rPr>
              <w:t>Nature Medicine</w:t>
            </w:r>
            <w:r w:rsidRPr="007740E4">
              <w:rPr>
                <w:szCs w:val="18"/>
              </w:rPr>
              <w:t xml:space="preserve"> 2022; 28(7):1381-1389.</w:t>
            </w:r>
          </w:p>
        </w:tc>
      </w:tr>
      <w:tr w:rsidR="0014093D" w:rsidRPr="007740E4" w14:paraId="5BCB709D" w14:textId="77777777" w:rsidTr="005C00E6">
        <w:tc>
          <w:tcPr>
            <w:tcW w:w="796" w:type="pct"/>
            <w:vMerge/>
            <w:tcBorders>
              <w:bottom w:val="single" w:sz="4" w:space="0" w:color="auto"/>
            </w:tcBorders>
            <w:vAlign w:val="center"/>
          </w:tcPr>
          <w:p w14:paraId="29A656EB" w14:textId="77777777" w:rsidR="0014093D" w:rsidRPr="007740E4" w:rsidRDefault="0014093D" w:rsidP="005C00E6">
            <w:pPr>
              <w:pStyle w:val="TableText0"/>
              <w:keepLines/>
            </w:pPr>
          </w:p>
        </w:tc>
        <w:tc>
          <w:tcPr>
            <w:tcW w:w="2974" w:type="pct"/>
            <w:tcBorders>
              <w:top w:val="nil"/>
            </w:tcBorders>
            <w:vAlign w:val="center"/>
          </w:tcPr>
          <w:p w14:paraId="6D6146BE" w14:textId="77777777" w:rsidR="0014093D" w:rsidRPr="007740E4" w:rsidRDefault="0014093D" w:rsidP="005C00E6">
            <w:pPr>
              <w:pStyle w:val="TableText0"/>
              <w:keepLines/>
              <w:rPr>
                <w:szCs w:val="18"/>
              </w:rPr>
            </w:pPr>
            <w:r w:rsidRPr="007740E4">
              <w:rPr>
                <w:szCs w:val="18"/>
              </w:rPr>
              <w:t xml:space="preserve">Schultz, M et al. Genetic Replacement Therapy (GRT) Clinical Trial with AVXS-101 in Presymptomatic Spinal Muscular Atrophy (SMA): Design of the Phase III Trial and Baseline Demographic Data. </w:t>
            </w:r>
          </w:p>
        </w:tc>
        <w:tc>
          <w:tcPr>
            <w:tcW w:w="1230" w:type="pct"/>
            <w:tcBorders>
              <w:top w:val="nil"/>
            </w:tcBorders>
            <w:vAlign w:val="center"/>
          </w:tcPr>
          <w:p w14:paraId="47E3CAE7" w14:textId="77777777" w:rsidR="0014093D" w:rsidRPr="007740E4" w:rsidRDefault="0014093D" w:rsidP="005C00E6">
            <w:pPr>
              <w:pStyle w:val="TableText0"/>
              <w:keepLines/>
              <w:rPr>
                <w:szCs w:val="18"/>
              </w:rPr>
            </w:pPr>
            <w:r w:rsidRPr="007740E4">
              <w:rPr>
                <w:szCs w:val="18"/>
              </w:rPr>
              <w:t>Conference abstract</w:t>
            </w:r>
          </w:p>
          <w:p w14:paraId="08EBDEB5" w14:textId="77777777" w:rsidR="0014093D" w:rsidRPr="007740E4" w:rsidRDefault="0014093D" w:rsidP="005C00E6">
            <w:pPr>
              <w:pStyle w:val="TableText0"/>
              <w:keepLines/>
              <w:rPr>
                <w:szCs w:val="18"/>
              </w:rPr>
            </w:pPr>
            <w:r w:rsidRPr="007740E4">
              <w:rPr>
                <w:szCs w:val="18"/>
              </w:rPr>
              <w:t>Nervenheilkunde 2019;</w:t>
            </w:r>
            <w:r w:rsidRPr="007740E4">
              <w:t xml:space="preserve"> </w:t>
            </w:r>
            <w:r w:rsidRPr="007740E4">
              <w:rPr>
                <w:szCs w:val="18"/>
              </w:rPr>
              <w:t>38(5):300.</w:t>
            </w:r>
          </w:p>
        </w:tc>
      </w:tr>
      <w:tr w:rsidR="0014093D" w:rsidRPr="007740E4" w14:paraId="2A867D3F" w14:textId="77777777" w:rsidTr="005C00E6">
        <w:tc>
          <w:tcPr>
            <w:tcW w:w="796" w:type="pct"/>
            <w:vAlign w:val="center"/>
          </w:tcPr>
          <w:p w14:paraId="26AC0CFB" w14:textId="77777777" w:rsidR="0014093D" w:rsidRPr="007740E4" w:rsidRDefault="0014093D" w:rsidP="005C00E6">
            <w:pPr>
              <w:pStyle w:val="TableText0"/>
              <w:keepLines/>
            </w:pPr>
            <w:r w:rsidRPr="007740E4">
              <w:t>LT-002</w:t>
            </w:r>
          </w:p>
          <w:p w14:paraId="317AB9C6" w14:textId="77777777" w:rsidR="0014093D" w:rsidRPr="007740E4" w:rsidRDefault="0014093D" w:rsidP="005C00E6">
            <w:pPr>
              <w:pStyle w:val="TableText0"/>
              <w:keepLines/>
            </w:pPr>
            <w:r w:rsidRPr="007740E4">
              <w:t>NCT04042025</w:t>
            </w:r>
          </w:p>
          <w:p w14:paraId="4C35AA6F" w14:textId="77777777" w:rsidR="0014093D" w:rsidRPr="007740E4" w:rsidRDefault="0014093D" w:rsidP="005C00E6">
            <w:pPr>
              <w:pStyle w:val="TableText0"/>
              <w:keepLines/>
            </w:pPr>
            <w:r w:rsidRPr="007740E4">
              <w:t>(interim)</w:t>
            </w:r>
          </w:p>
        </w:tc>
        <w:tc>
          <w:tcPr>
            <w:tcW w:w="2974" w:type="pct"/>
            <w:tcBorders>
              <w:bottom w:val="nil"/>
            </w:tcBorders>
            <w:shd w:val="clear" w:color="auto" w:fill="auto"/>
            <w:vAlign w:val="center"/>
          </w:tcPr>
          <w:p w14:paraId="41D8456E" w14:textId="77777777" w:rsidR="0014093D" w:rsidRPr="007740E4" w:rsidRDefault="0014093D" w:rsidP="005C00E6">
            <w:pPr>
              <w:pStyle w:val="TableText0"/>
              <w:keepLines/>
              <w:rPr>
                <w:szCs w:val="18"/>
              </w:rPr>
            </w:pPr>
            <w:r w:rsidRPr="007740E4">
              <w:t>AVXS101/AV101. Summary of data from long-term follow-up studies</w:t>
            </w:r>
          </w:p>
        </w:tc>
        <w:tc>
          <w:tcPr>
            <w:tcW w:w="1230" w:type="pct"/>
            <w:tcBorders>
              <w:bottom w:val="nil"/>
            </w:tcBorders>
            <w:shd w:val="clear" w:color="auto" w:fill="auto"/>
            <w:vAlign w:val="center"/>
          </w:tcPr>
          <w:p w14:paraId="20EC7663" w14:textId="77777777" w:rsidR="0014093D" w:rsidRPr="007740E4" w:rsidRDefault="0014093D" w:rsidP="005C00E6">
            <w:pPr>
              <w:pStyle w:val="TableText0"/>
              <w:keepLines/>
              <w:rPr>
                <w:szCs w:val="18"/>
              </w:rPr>
            </w:pPr>
            <w:r w:rsidRPr="007740E4">
              <w:t>November 2022.</w:t>
            </w:r>
          </w:p>
        </w:tc>
      </w:tr>
      <w:tr w:rsidR="0014093D" w:rsidRPr="007740E4" w14:paraId="30138FC8" w14:textId="77777777" w:rsidTr="00EF68D9">
        <w:tc>
          <w:tcPr>
            <w:tcW w:w="5000" w:type="pct"/>
            <w:gridSpan w:val="3"/>
            <w:tcBorders>
              <w:bottom w:val="single" w:sz="4" w:space="0" w:color="auto"/>
            </w:tcBorders>
            <w:vAlign w:val="center"/>
          </w:tcPr>
          <w:p w14:paraId="047FA618" w14:textId="77777777" w:rsidR="0014093D" w:rsidRPr="007740E4" w:rsidRDefault="0014093D" w:rsidP="005C00E6">
            <w:pPr>
              <w:pStyle w:val="TableText0"/>
              <w:keepLines/>
              <w:rPr>
                <w:b/>
              </w:rPr>
            </w:pPr>
            <w:r w:rsidRPr="007740E4">
              <w:rPr>
                <w:b/>
              </w:rPr>
              <w:t>NUSI</w:t>
            </w:r>
          </w:p>
        </w:tc>
      </w:tr>
      <w:tr w:rsidR="0014093D" w:rsidRPr="007740E4" w14:paraId="71540210" w14:textId="77777777" w:rsidTr="005C00E6">
        <w:tc>
          <w:tcPr>
            <w:tcW w:w="796" w:type="pct"/>
            <w:vMerge w:val="restart"/>
            <w:shd w:val="clear" w:color="auto" w:fill="auto"/>
            <w:vAlign w:val="center"/>
          </w:tcPr>
          <w:p w14:paraId="797FB3CF" w14:textId="77777777" w:rsidR="0014093D" w:rsidRPr="007740E4" w:rsidRDefault="0014093D" w:rsidP="005C00E6">
            <w:pPr>
              <w:pStyle w:val="TableText0"/>
              <w:keepLines/>
            </w:pPr>
            <w:r w:rsidRPr="007740E4">
              <w:t>NURTURE</w:t>
            </w:r>
          </w:p>
          <w:p w14:paraId="33220955" w14:textId="77777777" w:rsidR="0014093D" w:rsidRPr="007740E4" w:rsidRDefault="0014093D" w:rsidP="005C00E6">
            <w:pPr>
              <w:pStyle w:val="TableText0"/>
              <w:keepLines/>
            </w:pPr>
            <w:r w:rsidRPr="007740E4">
              <w:t>NCT02386553</w:t>
            </w:r>
          </w:p>
          <w:p w14:paraId="3BCCC28B" w14:textId="77777777" w:rsidR="0014093D" w:rsidRPr="007740E4" w:rsidRDefault="0014093D" w:rsidP="005C00E6">
            <w:pPr>
              <w:pStyle w:val="TableText0"/>
              <w:keepLines/>
            </w:pPr>
            <w:r w:rsidRPr="007740E4">
              <w:t>(ongoing)</w:t>
            </w:r>
          </w:p>
        </w:tc>
        <w:tc>
          <w:tcPr>
            <w:tcW w:w="2974" w:type="pct"/>
            <w:tcBorders>
              <w:bottom w:val="nil"/>
            </w:tcBorders>
            <w:shd w:val="clear" w:color="auto" w:fill="C6D9F1" w:themeFill="text2" w:themeFillTint="33"/>
            <w:vAlign w:val="center"/>
          </w:tcPr>
          <w:p w14:paraId="39501EF8" w14:textId="77777777" w:rsidR="0014093D" w:rsidRPr="007740E4" w:rsidRDefault="0014093D" w:rsidP="005C00E6">
            <w:pPr>
              <w:pStyle w:val="TableText0"/>
              <w:keepLines/>
              <w:rPr>
                <w:szCs w:val="18"/>
              </w:rPr>
            </w:pPr>
            <w:r w:rsidRPr="007740E4">
              <w:rPr>
                <w:szCs w:val="18"/>
              </w:rPr>
              <w:t>De Vivo D, Bertini E, Swoboda K, et al. Nusinersen initiated in infants during the presymptomatic stage of spinal muscular atrophy: Interim efficacy and safety results from the Phase 2 NURTURE study.</w:t>
            </w:r>
          </w:p>
        </w:tc>
        <w:tc>
          <w:tcPr>
            <w:tcW w:w="1230" w:type="pct"/>
            <w:tcBorders>
              <w:bottom w:val="nil"/>
            </w:tcBorders>
            <w:shd w:val="clear" w:color="auto" w:fill="C6D9F1" w:themeFill="text2" w:themeFillTint="33"/>
            <w:vAlign w:val="center"/>
          </w:tcPr>
          <w:p w14:paraId="51C0ED14" w14:textId="77777777" w:rsidR="0014093D" w:rsidRPr="007740E4" w:rsidRDefault="0014093D" w:rsidP="005C00E6">
            <w:pPr>
              <w:pStyle w:val="TableText0"/>
              <w:keepLines/>
              <w:rPr>
                <w:i/>
              </w:rPr>
            </w:pPr>
            <w:r w:rsidRPr="007740E4">
              <w:rPr>
                <w:i/>
              </w:rPr>
              <w:t>Neuromuscular Disorders</w:t>
            </w:r>
            <w:r w:rsidRPr="007740E4">
              <w:rPr>
                <w:szCs w:val="18"/>
              </w:rPr>
              <w:t xml:space="preserve"> 2019; 29(11):842-856.</w:t>
            </w:r>
          </w:p>
        </w:tc>
      </w:tr>
      <w:tr w:rsidR="0014093D" w:rsidRPr="007740E4" w14:paraId="373F6F3A" w14:textId="77777777" w:rsidTr="005C00E6">
        <w:tc>
          <w:tcPr>
            <w:tcW w:w="796" w:type="pct"/>
            <w:vMerge/>
            <w:shd w:val="clear" w:color="auto" w:fill="auto"/>
            <w:vAlign w:val="center"/>
          </w:tcPr>
          <w:p w14:paraId="3EE00BEF" w14:textId="77777777" w:rsidR="0014093D" w:rsidRPr="007740E4" w:rsidRDefault="0014093D" w:rsidP="005C00E6">
            <w:pPr>
              <w:pStyle w:val="TableText0"/>
              <w:keepLines/>
            </w:pPr>
          </w:p>
        </w:tc>
        <w:tc>
          <w:tcPr>
            <w:tcW w:w="2974" w:type="pct"/>
            <w:tcBorders>
              <w:top w:val="nil"/>
              <w:bottom w:val="nil"/>
            </w:tcBorders>
            <w:shd w:val="clear" w:color="auto" w:fill="auto"/>
            <w:vAlign w:val="center"/>
          </w:tcPr>
          <w:p w14:paraId="3436ADDC" w14:textId="0744131B" w:rsidR="0014093D" w:rsidRPr="007740E4" w:rsidRDefault="0014093D" w:rsidP="005C00E6">
            <w:pPr>
              <w:pStyle w:val="TableText0"/>
              <w:keepLines/>
              <w:rPr>
                <w:szCs w:val="18"/>
              </w:rPr>
            </w:pPr>
            <w:r w:rsidRPr="007740E4">
              <w:rPr>
                <w:szCs w:val="18"/>
              </w:rPr>
              <w:t xml:space="preserve">Biogen. A Study of Multiple Doses of Nusinersen (ISIS 396443) Delivered to Infants With Genetically Diagnosed and Presymptomatic Spinal Muscular Atrophy. In: </w:t>
            </w:r>
            <w:hyperlink r:id="rId8" w:history="1">
              <w:r w:rsidRPr="007740E4">
                <w:rPr>
                  <w:rStyle w:val="Hyperlink"/>
                  <w:szCs w:val="18"/>
                </w:rPr>
                <w:t>https://ClinicalTrials.gov/show/NCT02386553</w:t>
              </w:r>
            </w:hyperlink>
            <w:r w:rsidRPr="007740E4">
              <w:rPr>
                <w:szCs w:val="18"/>
              </w:rPr>
              <w:t xml:space="preserve"> </w:t>
            </w:r>
          </w:p>
        </w:tc>
        <w:tc>
          <w:tcPr>
            <w:tcW w:w="1230" w:type="pct"/>
            <w:tcBorders>
              <w:top w:val="nil"/>
              <w:bottom w:val="nil"/>
            </w:tcBorders>
            <w:shd w:val="clear" w:color="auto" w:fill="auto"/>
            <w:vAlign w:val="center"/>
          </w:tcPr>
          <w:p w14:paraId="30B8A930" w14:textId="77777777" w:rsidR="0014093D" w:rsidRPr="007740E4" w:rsidRDefault="0014093D" w:rsidP="005C00E6">
            <w:pPr>
              <w:pStyle w:val="TableText0"/>
              <w:keepLines/>
              <w:rPr>
                <w:szCs w:val="18"/>
              </w:rPr>
            </w:pPr>
            <w:r w:rsidRPr="007740E4">
              <w:rPr>
                <w:szCs w:val="18"/>
              </w:rPr>
              <w:t>NCT record 2015.</w:t>
            </w:r>
          </w:p>
        </w:tc>
      </w:tr>
      <w:tr w:rsidR="0014093D" w:rsidRPr="007740E4" w14:paraId="7B35620B" w14:textId="77777777" w:rsidTr="005C00E6">
        <w:trPr>
          <w:trHeight w:val="801"/>
        </w:trPr>
        <w:tc>
          <w:tcPr>
            <w:tcW w:w="796" w:type="pct"/>
            <w:vMerge/>
            <w:shd w:val="clear" w:color="auto" w:fill="auto"/>
            <w:vAlign w:val="center"/>
          </w:tcPr>
          <w:p w14:paraId="179AE747" w14:textId="77777777" w:rsidR="0014093D" w:rsidRPr="007740E4" w:rsidRDefault="0014093D" w:rsidP="005C00E6">
            <w:pPr>
              <w:pStyle w:val="TableText0"/>
              <w:keepLines/>
            </w:pPr>
          </w:p>
        </w:tc>
        <w:tc>
          <w:tcPr>
            <w:tcW w:w="2974" w:type="pct"/>
            <w:tcBorders>
              <w:top w:val="nil"/>
            </w:tcBorders>
            <w:shd w:val="clear" w:color="auto" w:fill="auto"/>
            <w:vAlign w:val="center"/>
          </w:tcPr>
          <w:p w14:paraId="2CA75527" w14:textId="599D9E31" w:rsidR="0014093D" w:rsidRPr="007740E4" w:rsidRDefault="0014093D" w:rsidP="005C00E6">
            <w:pPr>
              <w:pStyle w:val="TableText0"/>
              <w:keepLines/>
              <w:rPr>
                <w:szCs w:val="18"/>
              </w:rPr>
            </w:pPr>
            <w:r w:rsidRPr="007740E4">
              <w:rPr>
                <w:szCs w:val="18"/>
              </w:rPr>
              <w:t xml:space="preserve">Kirschner, J., et al. Impact of Nusinersen on Caregiver Experience and HRQoL in Presymptomatic SMA: NURTURE Study Results. </w:t>
            </w:r>
            <w:hyperlink r:id="rId9" w:history="1">
              <w:r w:rsidRPr="007740E4">
                <w:rPr>
                  <w:rStyle w:val="Hyperlink"/>
                  <w:szCs w:val="18"/>
                </w:rPr>
                <w:t>https://doi.org/10.3233/JND-229001</w:t>
              </w:r>
            </w:hyperlink>
            <w:r w:rsidRPr="007740E4">
              <w:rPr>
                <w:szCs w:val="18"/>
              </w:rPr>
              <w:t xml:space="preserve"> </w:t>
            </w:r>
          </w:p>
        </w:tc>
        <w:tc>
          <w:tcPr>
            <w:tcW w:w="1230" w:type="pct"/>
            <w:tcBorders>
              <w:top w:val="nil"/>
            </w:tcBorders>
            <w:shd w:val="clear" w:color="auto" w:fill="auto"/>
            <w:vAlign w:val="center"/>
          </w:tcPr>
          <w:p w14:paraId="2A7A8226" w14:textId="77777777" w:rsidR="0014093D" w:rsidRPr="007740E4" w:rsidRDefault="0014093D" w:rsidP="005C00E6">
            <w:pPr>
              <w:pStyle w:val="TableText0"/>
              <w:keepLines/>
              <w:rPr>
                <w:szCs w:val="18"/>
              </w:rPr>
            </w:pPr>
            <w:r w:rsidRPr="007740E4">
              <w:rPr>
                <w:szCs w:val="18"/>
              </w:rPr>
              <w:t>Conference abstract</w:t>
            </w:r>
          </w:p>
          <w:p w14:paraId="38DFC27F" w14:textId="77777777" w:rsidR="0014093D" w:rsidRPr="007740E4" w:rsidRDefault="0014093D" w:rsidP="005C00E6">
            <w:pPr>
              <w:pStyle w:val="TableText0"/>
              <w:keepLines/>
              <w:rPr>
                <w:szCs w:val="18"/>
              </w:rPr>
            </w:pPr>
            <w:r w:rsidRPr="007740E4">
              <w:rPr>
                <w:i/>
              </w:rPr>
              <w:t>Journal of Neuromuscular Diseases</w:t>
            </w:r>
            <w:r w:rsidRPr="007740E4">
              <w:rPr>
                <w:szCs w:val="18"/>
              </w:rPr>
              <w:t xml:space="preserve"> 2022;9, S113-S114</w:t>
            </w:r>
          </w:p>
        </w:tc>
      </w:tr>
      <w:tr w:rsidR="0014093D" w:rsidRPr="007740E4" w14:paraId="5D6ED761" w14:textId="77777777" w:rsidTr="00EF68D9">
        <w:tc>
          <w:tcPr>
            <w:tcW w:w="5000" w:type="pct"/>
            <w:gridSpan w:val="3"/>
            <w:tcBorders>
              <w:bottom w:val="single" w:sz="4" w:space="0" w:color="auto"/>
            </w:tcBorders>
            <w:vAlign w:val="center"/>
          </w:tcPr>
          <w:p w14:paraId="49FF2D04" w14:textId="77777777" w:rsidR="0014093D" w:rsidRPr="007740E4" w:rsidRDefault="0014093D" w:rsidP="005C00E6">
            <w:pPr>
              <w:pStyle w:val="TableText0"/>
              <w:keepLines/>
              <w:rPr>
                <w:b/>
              </w:rPr>
            </w:pPr>
            <w:r w:rsidRPr="007740E4">
              <w:rPr>
                <w:b/>
              </w:rPr>
              <w:t>RIS</w:t>
            </w:r>
          </w:p>
        </w:tc>
      </w:tr>
      <w:tr w:rsidR="0014093D" w:rsidRPr="007740E4" w14:paraId="15676D71" w14:textId="77777777" w:rsidTr="005C00E6">
        <w:tc>
          <w:tcPr>
            <w:tcW w:w="796" w:type="pct"/>
            <w:vMerge w:val="restart"/>
            <w:shd w:val="clear" w:color="auto" w:fill="auto"/>
            <w:vAlign w:val="center"/>
          </w:tcPr>
          <w:p w14:paraId="004997C8" w14:textId="77777777" w:rsidR="0014093D" w:rsidRPr="007740E4" w:rsidRDefault="0014093D" w:rsidP="005C00E6">
            <w:pPr>
              <w:pStyle w:val="TableText0"/>
              <w:keepLines/>
            </w:pPr>
            <w:r w:rsidRPr="007740E4">
              <w:t>RAINBOWFISH</w:t>
            </w:r>
          </w:p>
          <w:p w14:paraId="22508A95" w14:textId="77777777" w:rsidR="0014093D" w:rsidRPr="007740E4" w:rsidRDefault="0014093D" w:rsidP="005C00E6">
            <w:pPr>
              <w:pStyle w:val="TableText0"/>
              <w:keepLines/>
            </w:pPr>
            <w:r w:rsidRPr="007740E4">
              <w:t>NCT03779334</w:t>
            </w:r>
          </w:p>
          <w:p w14:paraId="06E12F14" w14:textId="77777777" w:rsidR="0014093D" w:rsidRPr="007740E4" w:rsidRDefault="0014093D" w:rsidP="005C00E6">
            <w:pPr>
              <w:pStyle w:val="TableText0"/>
              <w:keepLines/>
            </w:pPr>
            <w:r w:rsidRPr="007740E4">
              <w:t>(ongoing)</w:t>
            </w:r>
          </w:p>
        </w:tc>
        <w:tc>
          <w:tcPr>
            <w:tcW w:w="2974" w:type="pct"/>
            <w:tcBorders>
              <w:bottom w:val="nil"/>
            </w:tcBorders>
            <w:shd w:val="clear" w:color="auto" w:fill="C6D9F1" w:themeFill="text2" w:themeFillTint="33"/>
            <w:vAlign w:val="center"/>
          </w:tcPr>
          <w:p w14:paraId="07D7D5EE" w14:textId="77777777" w:rsidR="0014093D" w:rsidRPr="007740E4" w:rsidRDefault="0014093D" w:rsidP="005C00E6">
            <w:pPr>
              <w:pStyle w:val="TableText0"/>
              <w:keepLines/>
              <w:rPr>
                <w:szCs w:val="18"/>
              </w:rPr>
            </w:pPr>
            <w:r w:rsidRPr="007740E4">
              <w:t xml:space="preserve">Finkel RS, et al. RAINBOWFISH: Preliminary efficacy and safety data in risdiplam-treated infants with presymptomatic SMA. </w:t>
            </w:r>
          </w:p>
        </w:tc>
        <w:tc>
          <w:tcPr>
            <w:tcW w:w="1230" w:type="pct"/>
            <w:tcBorders>
              <w:bottom w:val="nil"/>
            </w:tcBorders>
            <w:shd w:val="clear" w:color="auto" w:fill="C6D9F1" w:themeFill="text2" w:themeFillTint="33"/>
            <w:vAlign w:val="center"/>
          </w:tcPr>
          <w:p w14:paraId="7E36BFC2" w14:textId="77777777" w:rsidR="0014093D" w:rsidRPr="007740E4" w:rsidRDefault="0014093D" w:rsidP="005C00E6">
            <w:pPr>
              <w:pStyle w:val="TableText0"/>
              <w:keepLines/>
              <w:rPr>
                <w:i/>
              </w:rPr>
            </w:pPr>
            <w:r w:rsidRPr="007740E4">
              <w:t>MDA Clinical and Scientific Conference 2022, poster 76.</w:t>
            </w:r>
          </w:p>
        </w:tc>
      </w:tr>
      <w:tr w:rsidR="0014093D" w:rsidRPr="007740E4" w14:paraId="4114295E" w14:textId="77777777" w:rsidTr="005C00E6">
        <w:tc>
          <w:tcPr>
            <w:tcW w:w="796" w:type="pct"/>
            <w:vMerge/>
            <w:shd w:val="clear" w:color="auto" w:fill="auto"/>
            <w:vAlign w:val="center"/>
          </w:tcPr>
          <w:p w14:paraId="3BDE342F" w14:textId="77777777" w:rsidR="0014093D" w:rsidRPr="007740E4" w:rsidRDefault="0014093D" w:rsidP="005C00E6">
            <w:pPr>
              <w:pStyle w:val="TableText0"/>
              <w:keepLines/>
            </w:pPr>
          </w:p>
        </w:tc>
        <w:tc>
          <w:tcPr>
            <w:tcW w:w="2974" w:type="pct"/>
            <w:tcBorders>
              <w:top w:val="nil"/>
              <w:bottom w:val="nil"/>
            </w:tcBorders>
            <w:shd w:val="clear" w:color="auto" w:fill="auto"/>
            <w:vAlign w:val="center"/>
          </w:tcPr>
          <w:p w14:paraId="5684C863" w14:textId="77777777" w:rsidR="0014093D" w:rsidRPr="007740E4" w:rsidRDefault="0014093D" w:rsidP="005C00E6">
            <w:pPr>
              <w:pStyle w:val="TableText0"/>
              <w:keepLines/>
            </w:pPr>
            <w:r w:rsidRPr="007740E4">
              <w:t>A Study of Risdiplam in Infants With Genetically Diagnosed and Presymptomatic Spinal Muscular Atrophy.</w:t>
            </w:r>
          </w:p>
        </w:tc>
        <w:tc>
          <w:tcPr>
            <w:tcW w:w="1230" w:type="pct"/>
            <w:tcBorders>
              <w:top w:val="nil"/>
              <w:bottom w:val="nil"/>
            </w:tcBorders>
            <w:shd w:val="clear" w:color="auto" w:fill="auto"/>
            <w:vAlign w:val="center"/>
          </w:tcPr>
          <w:p w14:paraId="3F086B96" w14:textId="77777777" w:rsidR="0014093D" w:rsidRPr="007740E4" w:rsidRDefault="0014093D" w:rsidP="005C00E6">
            <w:pPr>
              <w:pStyle w:val="TableText0"/>
              <w:keepLines/>
            </w:pPr>
            <w:r w:rsidRPr="007740E4">
              <w:t>NCT record 2019</w:t>
            </w:r>
          </w:p>
        </w:tc>
      </w:tr>
      <w:tr w:rsidR="0014093D" w:rsidRPr="007740E4" w14:paraId="4E67244A" w14:textId="77777777" w:rsidTr="005C00E6">
        <w:tc>
          <w:tcPr>
            <w:tcW w:w="796" w:type="pct"/>
            <w:vMerge/>
            <w:shd w:val="clear" w:color="auto" w:fill="auto"/>
            <w:vAlign w:val="center"/>
          </w:tcPr>
          <w:p w14:paraId="3D83C6C0" w14:textId="77777777" w:rsidR="0014093D" w:rsidRPr="007740E4" w:rsidRDefault="0014093D" w:rsidP="005C00E6">
            <w:pPr>
              <w:pStyle w:val="TableText0"/>
              <w:keepLines/>
            </w:pPr>
          </w:p>
        </w:tc>
        <w:tc>
          <w:tcPr>
            <w:tcW w:w="2974" w:type="pct"/>
            <w:tcBorders>
              <w:top w:val="nil"/>
              <w:bottom w:val="nil"/>
            </w:tcBorders>
            <w:shd w:val="clear" w:color="auto" w:fill="auto"/>
            <w:vAlign w:val="center"/>
          </w:tcPr>
          <w:p w14:paraId="036C9828" w14:textId="0ECA9E29" w:rsidR="0014093D" w:rsidRPr="007740E4" w:rsidRDefault="0014093D" w:rsidP="005C00E6">
            <w:pPr>
              <w:pStyle w:val="TableText0"/>
              <w:keepLines/>
            </w:pPr>
            <w:r w:rsidRPr="007740E4">
              <w:t xml:space="preserve">Servais, L., et al. POOLED SAFETY DATA FROM THE RISDIPLAM CLINICAL TRIAL DEVELOPMENT PROGRAMME. </w:t>
            </w:r>
            <w:hyperlink r:id="rId10" w:history="1">
              <w:r w:rsidRPr="007740E4">
                <w:rPr>
                  <w:rStyle w:val="Hyperlink"/>
                </w:rPr>
                <w:t>https://doi.org/10.1136/jnnp-2022-ABN.456</w:t>
              </w:r>
            </w:hyperlink>
            <w:r w:rsidRPr="007740E4">
              <w:t xml:space="preserve"> </w:t>
            </w:r>
          </w:p>
        </w:tc>
        <w:tc>
          <w:tcPr>
            <w:tcW w:w="1230" w:type="pct"/>
            <w:tcBorders>
              <w:top w:val="nil"/>
              <w:bottom w:val="nil"/>
            </w:tcBorders>
            <w:shd w:val="clear" w:color="auto" w:fill="auto"/>
            <w:vAlign w:val="center"/>
          </w:tcPr>
          <w:p w14:paraId="7815F94A" w14:textId="77777777" w:rsidR="0014093D" w:rsidRPr="007740E4" w:rsidRDefault="0014093D" w:rsidP="005C00E6">
            <w:pPr>
              <w:pStyle w:val="TableText0"/>
              <w:keepLines/>
            </w:pPr>
            <w:r w:rsidRPr="007740E4">
              <w:t>Conference abstract</w:t>
            </w:r>
          </w:p>
          <w:p w14:paraId="7E098603" w14:textId="77777777" w:rsidR="0014093D" w:rsidRPr="007740E4" w:rsidRDefault="0014093D" w:rsidP="005C00E6">
            <w:pPr>
              <w:pStyle w:val="TableText0"/>
              <w:keepLines/>
            </w:pPr>
            <w:r w:rsidRPr="007740E4">
              <w:rPr>
                <w:i/>
              </w:rPr>
              <w:t>Journal of Neurology, Neurosurgery and Psychiatry</w:t>
            </w:r>
            <w:r w:rsidRPr="007740E4">
              <w:t xml:space="preserve"> 2022; 93(6),142</w:t>
            </w:r>
          </w:p>
        </w:tc>
      </w:tr>
      <w:tr w:rsidR="0014093D" w:rsidRPr="007740E4" w14:paraId="31DE2711" w14:textId="77777777" w:rsidTr="005C00E6">
        <w:tc>
          <w:tcPr>
            <w:tcW w:w="796" w:type="pct"/>
            <w:vMerge/>
            <w:tcBorders>
              <w:bottom w:val="nil"/>
            </w:tcBorders>
            <w:shd w:val="clear" w:color="auto" w:fill="auto"/>
            <w:vAlign w:val="center"/>
          </w:tcPr>
          <w:p w14:paraId="65E806D1" w14:textId="77777777" w:rsidR="0014093D" w:rsidRPr="007740E4" w:rsidRDefault="0014093D" w:rsidP="005C00E6">
            <w:pPr>
              <w:pStyle w:val="TableText0"/>
              <w:keepLines/>
            </w:pPr>
          </w:p>
        </w:tc>
        <w:tc>
          <w:tcPr>
            <w:tcW w:w="2974" w:type="pct"/>
            <w:tcBorders>
              <w:top w:val="nil"/>
              <w:bottom w:val="nil"/>
            </w:tcBorders>
            <w:shd w:val="clear" w:color="auto" w:fill="auto"/>
            <w:vAlign w:val="center"/>
          </w:tcPr>
          <w:p w14:paraId="115A7B43" w14:textId="0E225501" w:rsidR="0014093D" w:rsidRPr="007740E4" w:rsidRDefault="0014093D" w:rsidP="005C00E6">
            <w:pPr>
              <w:pStyle w:val="TableText0"/>
              <w:keepLines/>
            </w:pPr>
            <w:r w:rsidRPr="007740E4">
              <w:t xml:space="preserve">Servais, L., et al. RAINBOWFISH: Preliminary Efficacy and Safety Data in Risdiplam-Treated Infants with Presymptomatic Spinal Muscular Atrophy. </w:t>
            </w:r>
            <w:hyperlink r:id="rId11" w:history="1">
              <w:r w:rsidRPr="007740E4">
                <w:rPr>
                  <w:rStyle w:val="Hyperlink"/>
                </w:rPr>
                <w:t>https://doi.org/10.3233/JND-229001</w:t>
              </w:r>
            </w:hyperlink>
            <w:r w:rsidRPr="007740E4">
              <w:t xml:space="preserve"> </w:t>
            </w:r>
          </w:p>
        </w:tc>
        <w:tc>
          <w:tcPr>
            <w:tcW w:w="1230" w:type="pct"/>
            <w:tcBorders>
              <w:top w:val="nil"/>
              <w:bottom w:val="nil"/>
            </w:tcBorders>
            <w:shd w:val="clear" w:color="auto" w:fill="auto"/>
            <w:vAlign w:val="center"/>
          </w:tcPr>
          <w:p w14:paraId="57376C11" w14:textId="77777777" w:rsidR="0014093D" w:rsidRPr="007740E4" w:rsidRDefault="0014093D" w:rsidP="005C00E6">
            <w:pPr>
              <w:pStyle w:val="TableText0"/>
              <w:keepLines/>
            </w:pPr>
            <w:r w:rsidRPr="007740E4">
              <w:t>Conference abstract</w:t>
            </w:r>
          </w:p>
          <w:p w14:paraId="0439A0E5" w14:textId="77777777" w:rsidR="0014093D" w:rsidRPr="007740E4" w:rsidRDefault="0014093D" w:rsidP="005C00E6">
            <w:pPr>
              <w:pStyle w:val="TableText0"/>
              <w:keepLines/>
            </w:pPr>
            <w:r w:rsidRPr="007740E4">
              <w:rPr>
                <w:i/>
              </w:rPr>
              <w:t>Journal of Neuromuscular Diseases</w:t>
            </w:r>
            <w:r w:rsidRPr="007740E4">
              <w:t xml:space="preserve"> 2022; 9, S114-S115</w:t>
            </w:r>
          </w:p>
        </w:tc>
      </w:tr>
      <w:tr w:rsidR="0014093D" w:rsidRPr="007740E4" w14:paraId="79B3D2A2" w14:textId="77777777" w:rsidTr="00EF68D9">
        <w:tc>
          <w:tcPr>
            <w:tcW w:w="5000" w:type="pct"/>
            <w:gridSpan w:val="3"/>
            <w:tcBorders>
              <w:bottom w:val="single" w:sz="4" w:space="0" w:color="auto"/>
            </w:tcBorders>
            <w:vAlign w:val="center"/>
          </w:tcPr>
          <w:p w14:paraId="328D81A8" w14:textId="77777777" w:rsidR="0014093D" w:rsidRPr="007740E4" w:rsidRDefault="0014093D" w:rsidP="005C00E6">
            <w:pPr>
              <w:pStyle w:val="TableText0"/>
              <w:keepLines/>
              <w:rPr>
                <w:b/>
              </w:rPr>
            </w:pPr>
            <w:r w:rsidRPr="007740E4">
              <w:rPr>
                <w:b/>
              </w:rPr>
              <w:t>Cohort study</w:t>
            </w:r>
          </w:p>
        </w:tc>
      </w:tr>
      <w:tr w:rsidR="0014093D" w:rsidRPr="007740E4" w14:paraId="3BBEA8F7" w14:textId="77777777" w:rsidTr="005C00E6">
        <w:tc>
          <w:tcPr>
            <w:tcW w:w="796" w:type="pct"/>
            <w:tcBorders>
              <w:bottom w:val="single" w:sz="4" w:space="0" w:color="auto"/>
            </w:tcBorders>
            <w:vAlign w:val="center"/>
          </w:tcPr>
          <w:p w14:paraId="02A4916F" w14:textId="77777777" w:rsidR="0014093D" w:rsidRPr="007740E4" w:rsidRDefault="0014093D" w:rsidP="005C00E6">
            <w:pPr>
              <w:pStyle w:val="TableText0"/>
              <w:keepLines/>
            </w:pPr>
            <w:r w:rsidRPr="007740E4">
              <w:t>SCHN</w:t>
            </w:r>
          </w:p>
        </w:tc>
        <w:tc>
          <w:tcPr>
            <w:tcW w:w="2974" w:type="pct"/>
            <w:tcBorders>
              <w:bottom w:val="single" w:sz="4" w:space="0" w:color="auto"/>
            </w:tcBorders>
            <w:vAlign w:val="center"/>
          </w:tcPr>
          <w:p w14:paraId="7E6BF71C" w14:textId="5623AD20" w:rsidR="0014093D" w:rsidRPr="007740E4" w:rsidRDefault="0014093D" w:rsidP="005C00E6">
            <w:pPr>
              <w:pStyle w:val="TableText0"/>
              <w:keepLines/>
              <w:rPr>
                <w:szCs w:val="18"/>
              </w:rPr>
            </w:pPr>
            <w:r w:rsidRPr="007740E4">
              <w:rPr>
                <w:szCs w:val="18"/>
              </w:rPr>
              <w:t>Kariyawasa</w:t>
            </w:r>
            <w:r w:rsidR="00E02584">
              <w:rPr>
                <w:szCs w:val="18"/>
              </w:rPr>
              <w:t>m</w:t>
            </w:r>
            <w:r w:rsidRPr="007740E4">
              <w:rPr>
                <w:szCs w:val="18"/>
              </w:rPr>
              <w:t xml:space="preserve"> et al. Newborn screening for spinal muscular atrophy in Australia: a non-randomised cohort study.</w:t>
            </w:r>
            <w:r w:rsidRPr="007740E4">
              <w:t xml:space="preserve"> </w:t>
            </w:r>
            <w:r w:rsidRPr="007740E4">
              <w:rPr>
                <w:szCs w:val="18"/>
              </w:rPr>
              <w:t xml:space="preserve">DOI: </w:t>
            </w:r>
            <w:hyperlink r:id="rId12" w:history="1">
              <w:r w:rsidRPr="007740E4">
                <w:rPr>
                  <w:rStyle w:val="Hyperlink"/>
                  <w:szCs w:val="18"/>
                </w:rPr>
                <w:t>https://doi.org/10.1016/S2352-4642(22)00342-X</w:t>
              </w:r>
            </w:hyperlink>
            <w:r w:rsidRPr="007740E4">
              <w:rPr>
                <w:szCs w:val="18"/>
              </w:rPr>
              <w:t xml:space="preserve"> </w:t>
            </w:r>
          </w:p>
        </w:tc>
        <w:tc>
          <w:tcPr>
            <w:tcW w:w="1230" w:type="pct"/>
            <w:tcBorders>
              <w:bottom w:val="single" w:sz="4" w:space="0" w:color="auto"/>
            </w:tcBorders>
            <w:vAlign w:val="center"/>
          </w:tcPr>
          <w:p w14:paraId="0EF3D853" w14:textId="77777777" w:rsidR="0014093D" w:rsidRPr="007740E4" w:rsidRDefault="0014093D" w:rsidP="005C00E6">
            <w:pPr>
              <w:pStyle w:val="TableText0"/>
              <w:keepLines/>
            </w:pPr>
            <w:r w:rsidRPr="007740E4">
              <w:rPr>
                <w:i/>
              </w:rPr>
              <w:t>Lancet Child Adolesc</w:t>
            </w:r>
            <w:r w:rsidRPr="007740E4">
              <w:t xml:space="preserve"> 2023; 7(3):159-170</w:t>
            </w:r>
          </w:p>
        </w:tc>
      </w:tr>
    </w:tbl>
    <w:p w14:paraId="1C64EA25" w14:textId="77777777" w:rsidR="0014093D" w:rsidRPr="007740E4" w:rsidRDefault="0014093D" w:rsidP="005C00E6">
      <w:pPr>
        <w:pStyle w:val="TableFigureFooter"/>
        <w:keepNext/>
        <w:keepLines/>
        <w:spacing w:after="0"/>
        <w:contextualSpacing w:val="0"/>
        <w:rPr>
          <w:bCs/>
          <w:szCs w:val="18"/>
        </w:rPr>
      </w:pPr>
      <w:r w:rsidRPr="007740E4">
        <w:rPr>
          <w:rStyle w:val="CommentReference"/>
          <w:b w:val="0"/>
          <w:bCs/>
          <w:sz w:val="18"/>
          <w:szCs w:val="18"/>
        </w:rPr>
        <w:t xml:space="preserve">Blue shading indicates items presented by the previous submission. </w:t>
      </w:r>
    </w:p>
    <w:p w14:paraId="66773BD2" w14:textId="77777777" w:rsidR="0014093D" w:rsidRPr="007740E4" w:rsidRDefault="0014093D" w:rsidP="005C00E6">
      <w:pPr>
        <w:pStyle w:val="FooterTableFigure"/>
        <w:keepNext/>
        <w:keepLines/>
        <w:spacing w:after="0"/>
        <w:contextualSpacing w:val="0"/>
      </w:pPr>
      <w:r w:rsidRPr="007740E4">
        <w:t>Source: Table 2.3, p67 of the resubmission.</w:t>
      </w:r>
    </w:p>
    <w:p w14:paraId="55A920C8" w14:textId="5B3145D6" w:rsidR="00061D63" w:rsidRPr="00363150" w:rsidRDefault="0014093D" w:rsidP="00061D63">
      <w:pPr>
        <w:pStyle w:val="FooterTableFigure"/>
      </w:pPr>
      <w:r w:rsidRPr="007740E4">
        <w:t xml:space="preserve">NUSI=nusinersen; ONA=onasemnogene abeparvovec; RIS=risdiplam; SCHN= Sydney Children Hospital Network; SMA=spinal muscular atrophy; </w:t>
      </w:r>
      <w:r w:rsidR="00B64F80" w:rsidRPr="002A7E48">
        <w:rPr>
          <w:i/>
          <w:iCs/>
        </w:rPr>
        <w:t>SMN1</w:t>
      </w:r>
      <w:r w:rsidRPr="002A7E48">
        <w:rPr>
          <w:i/>
          <w:iCs/>
        </w:rPr>
        <w:t>=</w:t>
      </w:r>
      <w:r w:rsidRPr="007740E4">
        <w:t xml:space="preserve">survival motor neuron 1; </w:t>
      </w:r>
      <w:r w:rsidR="00EA2BFF" w:rsidRPr="00EA2BFF">
        <w:rPr>
          <w:i/>
        </w:rPr>
        <w:t>SMN2</w:t>
      </w:r>
      <w:r w:rsidRPr="007740E4">
        <w:t>=survival motor neuron 2</w:t>
      </w:r>
    </w:p>
    <w:p w14:paraId="073ED1D7" w14:textId="53E4EDF5" w:rsidR="0014093D" w:rsidRPr="00363150" w:rsidRDefault="0014093D" w:rsidP="0014093D">
      <w:pPr>
        <w:pStyle w:val="3-BodyText"/>
      </w:pPr>
      <w:r w:rsidRPr="00363150">
        <w:t xml:space="preserve">The key features of the studies are summarised in </w:t>
      </w:r>
      <w:r w:rsidRPr="00363150">
        <w:fldChar w:fldCharType="begin" w:fldLock="1"/>
      </w:r>
      <w:r w:rsidRPr="00363150">
        <w:instrText xml:space="preserve"> REF _Ref104804098 \h  \* MERGEFORMAT </w:instrText>
      </w:r>
      <w:r w:rsidRPr="00363150">
        <w:fldChar w:fldCharType="separate"/>
      </w:r>
      <w:r w:rsidR="007866DB" w:rsidRPr="007866DB">
        <w:t>Table 5</w:t>
      </w:r>
      <w:r w:rsidRPr="00363150">
        <w:fldChar w:fldCharType="end"/>
      </w:r>
      <w:r w:rsidRPr="00363150">
        <w:t>.</w:t>
      </w:r>
    </w:p>
    <w:p w14:paraId="1004E3D3" w14:textId="3C74F6E3" w:rsidR="0014093D" w:rsidRPr="007740E4" w:rsidRDefault="0014093D" w:rsidP="005C00E6">
      <w:pPr>
        <w:pStyle w:val="Caption"/>
        <w:rPr>
          <w:rStyle w:val="CommentReference"/>
          <w:rFonts w:eastAsiaTheme="majorEastAsia" w:cstheme="majorBidi"/>
          <w:b/>
          <w:szCs w:val="24"/>
        </w:rPr>
      </w:pPr>
      <w:bookmarkStart w:id="30" w:name="_Ref104804098"/>
      <w:r w:rsidRPr="007740E4">
        <w:rPr>
          <w:rStyle w:val="CommentReference"/>
          <w:rFonts w:eastAsiaTheme="majorEastAsia" w:cstheme="majorBidi"/>
          <w:b/>
          <w:szCs w:val="24"/>
        </w:rPr>
        <w:t xml:space="preserve">Table </w:t>
      </w:r>
      <w:r w:rsidRPr="007740E4">
        <w:rPr>
          <w:rStyle w:val="CommentReference"/>
          <w:rFonts w:eastAsiaTheme="majorEastAsia" w:cstheme="majorBidi"/>
          <w:b/>
          <w:szCs w:val="24"/>
        </w:rPr>
        <w:fldChar w:fldCharType="begin" w:fldLock="1"/>
      </w:r>
      <w:r w:rsidRPr="007740E4">
        <w:rPr>
          <w:rStyle w:val="CommentReference"/>
          <w:rFonts w:eastAsiaTheme="majorEastAsia" w:cstheme="majorBidi"/>
          <w:b/>
          <w:szCs w:val="24"/>
        </w:rPr>
        <w:instrText xml:space="preserve"> SEQ Table \* ARABIC </w:instrText>
      </w:r>
      <w:r w:rsidRPr="007740E4">
        <w:rPr>
          <w:rStyle w:val="CommentReference"/>
          <w:rFonts w:eastAsiaTheme="majorEastAsia" w:cstheme="majorBidi"/>
          <w:b/>
          <w:szCs w:val="24"/>
        </w:rPr>
        <w:fldChar w:fldCharType="separate"/>
      </w:r>
      <w:r w:rsidR="0084520A">
        <w:rPr>
          <w:rStyle w:val="CommentReference"/>
          <w:rFonts w:eastAsiaTheme="majorEastAsia" w:cstheme="majorBidi"/>
          <w:b/>
          <w:noProof/>
          <w:szCs w:val="24"/>
        </w:rPr>
        <w:t>5</w:t>
      </w:r>
      <w:r w:rsidRPr="007740E4">
        <w:rPr>
          <w:rStyle w:val="CommentReference"/>
          <w:rFonts w:eastAsiaTheme="majorEastAsia" w:cstheme="majorBidi"/>
          <w:b/>
          <w:szCs w:val="24"/>
        </w:rPr>
        <w:fldChar w:fldCharType="end"/>
      </w:r>
      <w:bookmarkEnd w:id="30"/>
      <w:r w:rsidRPr="007740E4">
        <w:rPr>
          <w:rStyle w:val="CommentReference"/>
          <w:rFonts w:eastAsiaTheme="majorEastAsia" w:cstheme="majorBidi"/>
          <w:b/>
          <w:szCs w:val="24"/>
        </w:rPr>
        <w:t>: Key features of the included evidence</w:t>
      </w:r>
    </w:p>
    <w:tbl>
      <w:tblPr>
        <w:tblStyle w:val="TableGrid"/>
        <w:tblW w:w="0" w:type="auto"/>
        <w:tblLook w:val="04A0" w:firstRow="1" w:lastRow="0" w:firstColumn="1" w:lastColumn="0" w:noHBand="0" w:noVBand="1"/>
        <w:tblCaption w:val="Table 5: Key features of the included evidence"/>
      </w:tblPr>
      <w:tblGrid>
        <w:gridCol w:w="1510"/>
        <w:gridCol w:w="2307"/>
        <w:gridCol w:w="563"/>
        <w:gridCol w:w="1155"/>
        <w:gridCol w:w="1496"/>
        <w:gridCol w:w="1986"/>
      </w:tblGrid>
      <w:tr w:rsidR="0014093D" w:rsidRPr="00820898" w14:paraId="4BDB3F18" w14:textId="77777777" w:rsidTr="00363150">
        <w:trPr>
          <w:cantSplit/>
          <w:tblHeader/>
        </w:trPr>
        <w:tc>
          <w:tcPr>
            <w:tcW w:w="1510" w:type="dxa"/>
            <w:shd w:val="clear" w:color="auto" w:fill="auto"/>
            <w:vAlign w:val="center"/>
          </w:tcPr>
          <w:p w14:paraId="26A4CA67"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Study, n</w:t>
            </w:r>
          </w:p>
        </w:tc>
        <w:tc>
          <w:tcPr>
            <w:tcW w:w="2307" w:type="dxa"/>
            <w:shd w:val="clear" w:color="auto" w:fill="auto"/>
            <w:vAlign w:val="center"/>
          </w:tcPr>
          <w:p w14:paraId="1AF5A677"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Design/duration</w:t>
            </w:r>
          </w:p>
        </w:tc>
        <w:tc>
          <w:tcPr>
            <w:tcW w:w="0" w:type="auto"/>
            <w:shd w:val="clear" w:color="auto" w:fill="auto"/>
            <w:vAlign w:val="center"/>
          </w:tcPr>
          <w:p w14:paraId="5CFFDCEC"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Bias</w:t>
            </w:r>
          </w:p>
        </w:tc>
        <w:tc>
          <w:tcPr>
            <w:tcW w:w="1155" w:type="dxa"/>
            <w:shd w:val="clear" w:color="auto" w:fill="auto"/>
            <w:vAlign w:val="center"/>
          </w:tcPr>
          <w:p w14:paraId="5ECB44B1"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Treatment</w:t>
            </w:r>
          </w:p>
        </w:tc>
        <w:tc>
          <w:tcPr>
            <w:tcW w:w="1496" w:type="dxa"/>
            <w:shd w:val="clear" w:color="auto" w:fill="auto"/>
            <w:vAlign w:val="center"/>
          </w:tcPr>
          <w:p w14:paraId="371716EA"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Population</w:t>
            </w:r>
          </w:p>
        </w:tc>
        <w:tc>
          <w:tcPr>
            <w:tcW w:w="1986" w:type="dxa"/>
            <w:shd w:val="clear" w:color="auto" w:fill="auto"/>
            <w:vAlign w:val="center"/>
          </w:tcPr>
          <w:p w14:paraId="0BD6D5F8" w14:textId="77777777" w:rsidR="0014093D" w:rsidRPr="00820898" w:rsidRDefault="0014093D" w:rsidP="005C00E6">
            <w:pPr>
              <w:keepNext/>
              <w:keepLines/>
              <w:jc w:val="center"/>
              <w:rPr>
                <w:rFonts w:ascii="Arial Narrow" w:hAnsi="Arial Narrow"/>
                <w:b/>
                <w:sz w:val="20"/>
                <w:szCs w:val="20"/>
              </w:rPr>
            </w:pPr>
            <w:r w:rsidRPr="00820898">
              <w:rPr>
                <w:rFonts w:ascii="Arial Narrow" w:hAnsi="Arial Narrow"/>
                <w:b/>
                <w:sz w:val="20"/>
                <w:szCs w:val="20"/>
              </w:rPr>
              <w:t>Outcome(s)</w:t>
            </w:r>
          </w:p>
        </w:tc>
      </w:tr>
      <w:tr w:rsidR="0014093D" w:rsidRPr="00820898" w14:paraId="001E093E" w14:textId="77777777" w:rsidTr="00363150">
        <w:trPr>
          <w:cantSplit/>
        </w:trPr>
        <w:tc>
          <w:tcPr>
            <w:tcW w:w="1510" w:type="dxa"/>
            <w:shd w:val="clear" w:color="auto" w:fill="C6D9F1" w:themeFill="text2" w:themeFillTint="33"/>
            <w:vAlign w:val="center"/>
          </w:tcPr>
          <w:p w14:paraId="351057CE"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SPR1NT</w:t>
            </w:r>
          </w:p>
          <w:p w14:paraId="4F055CBE"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n=14 (2 copies); 15 (3 copies)</w:t>
            </w:r>
          </w:p>
        </w:tc>
        <w:tc>
          <w:tcPr>
            <w:tcW w:w="2307" w:type="dxa"/>
            <w:shd w:val="clear" w:color="auto" w:fill="C6D9F1" w:themeFill="text2" w:themeFillTint="33"/>
            <w:vAlign w:val="center"/>
          </w:tcPr>
          <w:p w14:paraId="1BC3B5E0" w14:textId="1A302F38"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MC, NC, SA, OL up to 18&amp;24 mths of age for 2</w:t>
            </w:r>
            <w:r w:rsidR="00EA2BFF" w:rsidRPr="00EA2BFF">
              <w:rPr>
                <w:rFonts w:ascii="Arial Narrow" w:hAnsi="Arial Narrow"/>
                <w:i/>
                <w:sz w:val="20"/>
                <w:szCs w:val="20"/>
              </w:rPr>
              <w:t>SMN2</w:t>
            </w:r>
            <w:r w:rsidRPr="00820898">
              <w:rPr>
                <w:rFonts w:ascii="Arial Narrow" w:hAnsi="Arial Narrow"/>
                <w:sz w:val="20"/>
                <w:szCs w:val="20"/>
              </w:rPr>
              <w:t xml:space="preserve"> and 3</w:t>
            </w:r>
            <w:r w:rsidR="00EA2BFF" w:rsidRPr="00EA2BFF">
              <w:rPr>
                <w:rFonts w:ascii="Arial Narrow" w:hAnsi="Arial Narrow"/>
                <w:i/>
                <w:sz w:val="20"/>
                <w:szCs w:val="20"/>
              </w:rPr>
              <w:t>SMN2</w:t>
            </w:r>
            <w:r w:rsidRPr="00820898">
              <w:rPr>
                <w:rFonts w:ascii="Arial Narrow" w:hAnsi="Arial Narrow"/>
                <w:sz w:val="20"/>
                <w:szCs w:val="20"/>
              </w:rPr>
              <w:t xml:space="preserve"> respectively</w:t>
            </w:r>
          </w:p>
        </w:tc>
        <w:tc>
          <w:tcPr>
            <w:tcW w:w="0" w:type="auto"/>
            <w:shd w:val="clear" w:color="auto" w:fill="C6D9F1" w:themeFill="text2" w:themeFillTint="33"/>
            <w:vAlign w:val="center"/>
          </w:tcPr>
          <w:p w14:paraId="3E25057A"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High</w:t>
            </w:r>
          </w:p>
        </w:tc>
        <w:tc>
          <w:tcPr>
            <w:tcW w:w="1155" w:type="dxa"/>
            <w:shd w:val="clear" w:color="auto" w:fill="C6D9F1" w:themeFill="text2" w:themeFillTint="33"/>
            <w:vAlign w:val="center"/>
          </w:tcPr>
          <w:p w14:paraId="2D4FEE84"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ONA IV 1.1 x 10</w:t>
            </w:r>
            <w:r w:rsidRPr="00820898">
              <w:rPr>
                <w:rFonts w:ascii="Arial Narrow" w:hAnsi="Arial Narrow"/>
                <w:sz w:val="20"/>
                <w:szCs w:val="20"/>
                <w:vertAlign w:val="superscript"/>
              </w:rPr>
              <w:t>14</w:t>
            </w:r>
            <w:r w:rsidRPr="00820898">
              <w:rPr>
                <w:rFonts w:ascii="Arial Narrow" w:hAnsi="Arial Narrow"/>
                <w:sz w:val="20"/>
                <w:szCs w:val="20"/>
              </w:rPr>
              <w:t xml:space="preserve"> vg/kg</w:t>
            </w:r>
          </w:p>
        </w:tc>
        <w:tc>
          <w:tcPr>
            <w:tcW w:w="1496" w:type="dxa"/>
            <w:shd w:val="clear" w:color="auto" w:fill="C6D9F1" w:themeFill="text2" w:themeFillTint="33"/>
            <w:vAlign w:val="center"/>
          </w:tcPr>
          <w:p w14:paraId="6E7E0595" w14:textId="459024AD"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Pre-symptomatic patients – 2 and 3 copy </w:t>
            </w:r>
            <w:r w:rsidR="00EA2BFF" w:rsidRPr="00EA2BFF">
              <w:rPr>
                <w:rFonts w:ascii="Arial Narrow" w:hAnsi="Arial Narrow"/>
                <w:i/>
                <w:sz w:val="20"/>
                <w:szCs w:val="20"/>
              </w:rPr>
              <w:t>SMN2</w:t>
            </w:r>
            <w:r w:rsidRPr="00820898">
              <w:rPr>
                <w:rFonts w:ascii="Arial Narrow" w:hAnsi="Arial Narrow"/>
                <w:sz w:val="20"/>
                <w:szCs w:val="20"/>
              </w:rPr>
              <w:t xml:space="preserve"> aged ≤ 6 wks</w:t>
            </w:r>
          </w:p>
        </w:tc>
        <w:tc>
          <w:tcPr>
            <w:tcW w:w="1986" w:type="dxa"/>
            <w:shd w:val="clear" w:color="auto" w:fill="C6D9F1" w:themeFill="text2" w:themeFillTint="33"/>
            <w:vAlign w:val="center"/>
          </w:tcPr>
          <w:p w14:paraId="73A917D7"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1°: motor milestone – sitting (for 2 copies, 18 mths); standing (for 3 copies, 24 mths)</w:t>
            </w:r>
          </w:p>
          <w:p w14:paraId="390496E8"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2°: motor milestones, EFS</w:t>
            </w:r>
          </w:p>
        </w:tc>
      </w:tr>
      <w:tr w:rsidR="0014093D" w:rsidRPr="00820898" w14:paraId="4CBD50AC" w14:textId="77777777" w:rsidTr="00363150">
        <w:trPr>
          <w:cantSplit/>
        </w:trPr>
        <w:tc>
          <w:tcPr>
            <w:tcW w:w="1510" w:type="dxa"/>
            <w:shd w:val="clear" w:color="auto" w:fill="C6D9F1" w:themeFill="text2" w:themeFillTint="33"/>
            <w:vAlign w:val="center"/>
          </w:tcPr>
          <w:p w14:paraId="1B554387"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LT-002 (SPR1NT)^</w:t>
            </w:r>
          </w:p>
          <w:p w14:paraId="310C47C5"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n=12 (2 copies); 13 (3 copies)</w:t>
            </w:r>
          </w:p>
        </w:tc>
        <w:tc>
          <w:tcPr>
            <w:tcW w:w="2307" w:type="dxa"/>
            <w:shd w:val="clear" w:color="auto" w:fill="C6D9F1" w:themeFill="text2" w:themeFillTint="33"/>
            <w:vAlign w:val="center"/>
          </w:tcPr>
          <w:p w14:paraId="3F2A1B7F" w14:textId="77777777" w:rsidR="0014093D" w:rsidRPr="00820898" w:rsidRDefault="0014093D" w:rsidP="005C00E6">
            <w:pPr>
              <w:pStyle w:val="TableText0"/>
              <w:keepLines/>
              <w:rPr>
                <w:szCs w:val="20"/>
              </w:rPr>
            </w:pPr>
            <w:r w:rsidRPr="00820898">
              <w:rPr>
                <w:szCs w:val="20"/>
              </w:rPr>
              <w:t xml:space="preserve">MC, NC, SA, OB, OL extension 15 yrs </w:t>
            </w:r>
          </w:p>
          <w:p w14:paraId="4D6DA330"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May 2022 data cut: median (range) age: 43.7 (35.9, 50.5) mths for 2 copies and 40.1 (34.4, 46.0) for 3 copies; time since treatment: 43.2 (35.2, 50.2) mths for 2 copies and 39.6 (33.8, 44.8) mths for 3 copies. </w:t>
            </w:r>
          </w:p>
        </w:tc>
        <w:tc>
          <w:tcPr>
            <w:tcW w:w="0" w:type="auto"/>
            <w:shd w:val="clear" w:color="auto" w:fill="C6D9F1" w:themeFill="text2" w:themeFillTint="33"/>
            <w:vAlign w:val="center"/>
          </w:tcPr>
          <w:p w14:paraId="021A504B"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High</w:t>
            </w:r>
          </w:p>
        </w:tc>
        <w:tc>
          <w:tcPr>
            <w:tcW w:w="1155" w:type="dxa"/>
            <w:shd w:val="clear" w:color="auto" w:fill="C6D9F1" w:themeFill="text2" w:themeFillTint="33"/>
            <w:vAlign w:val="center"/>
          </w:tcPr>
          <w:p w14:paraId="4686F748"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As in SPR1NT</w:t>
            </w:r>
          </w:p>
        </w:tc>
        <w:tc>
          <w:tcPr>
            <w:tcW w:w="1496" w:type="dxa"/>
            <w:shd w:val="clear" w:color="auto" w:fill="C6D9F1" w:themeFill="text2" w:themeFillTint="33"/>
            <w:vAlign w:val="center"/>
          </w:tcPr>
          <w:p w14:paraId="42C95B2D" w14:textId="45DBD691"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Pre-symptomatic patients – 2 and 3 copy </w:t>
            </w:r>
            <w:r w:rsidR="00EA2BFF" w:rsidRPr="00EA2BFF">
              <w:rPr>
                <w:rFonts w:ascii="Arial Narrow" w:hAnsi="Arial Narrow"/>
                <w:i/>
                <w:sz w:val="20"/>
                <w:szCs w:val="20"/>
              </w:rPr>
              <w:t>SMN2</w:t>
            </w:r>
            <w:r w:rsidRPr="00820898">
              <w:rPr>
                <w:rFonts w:ascii="Arial Narrow" w:hAnsi="Arial Narrow"/>
                <w:sz w:val="20"/>
                <w:szCs w:val="20"/>
              </w:rPr>
              <w:t>. Extension study of SPR1NT</w:t>
            </w:r>
          </w:p>
        </w:tc>
        <w:tc>
          <w:tcPr>
            <w:tcW w:w="1986" w:type="dxa"/>
            <w:shd w:val="clear" w:color="auto" w:fill="C6D9F1" w:themeFill="text2" w:themeFillTint="33"/>
            <w:vAlign w:val="center"/>
          </w:tcPr>
          <w:p w14:paraId="41BBABE8"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1°: motor milestone </w:t>
            </w:r>
          </w:p>
          <w:p w14:paraId="57BEC5F6"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2°: motor milestones, EFS</w:t>
            </w:r>
          </w:p>
        </w:tc>
      </w:tr>
      <w:tr w:rsidR="0014093D" w:rsidRPr="00820898" w14:paraId="189358A4" w14:textId="77777777" w:rsidTr="00363150">
        <w:trPr>
          <w:cantSplit/>
        </w:trPr>
        <w:tc>
          <w:tcPr>
            <w:tcW w:w="1510" w:type="dxa"/>
            <w:shd w:val="clear" w:color="auto" w:fill="C6D9F1" w:themeFill="text2" w:themeFillTint="33"/>
            <w:vAlign w:val="center"/>
          </w:tcPr>
          <w:p w14:paraId="15CCBC51"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NURTURE^</w:t>
            </w:r>
          </w:p>
          <w:p w14:paraId="6A611D21"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n=15 (2 copies); 10 (3 copies)</w:t>
            </w:r>
          </w:p>
        </w:tc>
        <w:tc>
          <w:tcPr>
            <w:tcW w:w="2307" w:type="dxa"/>
            <w:shd w:val="clear" w:color="auto" w:fill="C6D9F1" w:themeFill="text2" w:themeFillTint="33"/>
            <w:vAlign w:val="center"/>
          </w:tcPr>
          <w:p w14:paraId="2AA7738D"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MC, NC, SA, OL, 5y</w:t>
            </w:r>
          </w:p>
          <w:p w14:paraId="7508A5A9"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March 2019 data cut: median (range) age 34.8 (25.7-45.4) mths; time in study was 33.9 (25.3-45.1) mths.</w:t>
            </w:r>
          </w:p>
        </w:tc>
        <w:tc>
          <w:tcPr>
            <w:tcW w:w="0" w:type="auto"/>
            <w:shd w:val="clear" w:color="auto" w:fill="C6D9F1" w:themeFill="text2" w:themeFillTint="33"/>
            <w:vAlign w:val="center"/>
          </w:tcPr>
          <w:p w14:paraId="67C8427F"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High</w:t>
            </w:r>
          </w:p>
        </w:tc>
        <w:tc>
          <w:tcPr>
            <w:tcW w:w="1155" w:type="dxa"/>
            <w:shd w:val="clear" w:color="auto" w:fill="C6D9F1" w:themeFill="text2" w:themeFillTint="33"/>
            <w:vAlign w:val="center"/>
          </w:tcPr>
          <w:p w14:paraId="08ABF6F4"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NUSI IC 12 mg</w:t>
            </w:r>
          </w:p>
        </w:tc>
        <w:tc>
          <w:tcPr>
            <w:tcW w:w="1496" w:type="dxa"/>
            <w:shd w:val="clear" w:color="auto" w:fill="C6D9F1" w:themeFill="text2" w:themeFillTint="33"/>
            <w:vAlign w:val="center"/>
          </w:tcPr>
          <w:p w14:paraId="482DA8EF" w14:textId="1DC34ABA"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Pre-symptomatic patients – 2 and 3 copy </w:t>
            </w:r>
            <w:r w:rsidR="00EA2BFF" w:rsidRPr="00EA2BFF">
              <w:rPr>
                <w:rFonts w:ascii="Arial Narrow" w:hAnsi="Arial Narrow"/>
                <w:i/>
                <w:sz w:val="20"/>
                <w:szCs w:val="20"/>
              </w:rPr>
              <w:t>SMN2</w:t>
            </w:r>
            <w:r w:rsidRPr="00820898">
              <w:rPr>
                <w:rFonts w:ascii="Arial Narrow" w:hAnsi="Arial Narrow"/>
                <w:sz w:val="20"/>
                <w:szCs w:val="20"/>
              </w:rPr>
              <w:t xml:space="preserve"> aged ≤ 6 wks</w:t>
            </w:r>
          </w:p>
        </w:tc>
        <w:tc>
          <w:tcPr>
            <w:tcW w:w="1986" w:type="dxa"/>
            <w:shd w:val="clear" w:color="auto" w:fill="C6D9F1" w:themeFill="text2" w:themeFillTint="33"/>
            <w:vAlign w:val="center"/>
          </w:tcPr>
          <w:p w14:paraId="1AB6BECE"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1°: EFS</w:t>
            </w:r>
          </w:p>
          <w:p w14:paraId="6FC2A07A"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2°: OS, motor milestones</w:t>
            </w:r>
          </w:p>
        </w:tc>
      </w:tr>
      <w:tr w:rsidR="0014093D" w:rsidRPr="00820898" w14:paraId="1081717D" w14:textId="77777777" w:rsidTr="00363150">
        <w:trPr>
          <w:cantSplit/>
        </w:trPr>
        <w:tc>
          <w:tcPr>
            <w:tcW w:w="1510" w:type="dxa"/>
            <w:shd w:val="clear" w:color="auto" w:fill="C6D9F1" w:themeFill="text2" w:themeFillTint="33"/>
            <w:vAlign w:val="center"/>
          </w:tcPr>
          <w:p w14:paraId="67BC49D7"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RAINBOWFISH^</w:t>
            </w:r>
            <w:r w:rsidRPr="00820898">
              <w:rPr>
                <w:rFonts w:ascii="Arial Narrow" w:hAnsi="Arial Narrow"/>
                <w:sz w:val="20"/>
                <w:szCs w:val="20"/>
                <w:vertAlign w:val="superscript"/>
              </w:rPr>
              <w:t>#</w:t>
            </w:r>
          </w:p>
          <w:p w14:paraId="3D69BB23"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n=7 (2 copies);</w:t>
            </w:r>
          </w:p>
          <w:p w14:paraId="1C3CF520" w14:textId="77777777" w:rsidR="0014093D" w:rsidRPr="00820898" w:rsidRDefault="0014093D" w:rsidP="005C00E6">
            <w:pPr>
              <w:keepNext/>
              <w:keepLines/>
              <w:rPr>
                <w:rFonts w:ascii="Arial Narrow" w:hAnsi="Arial Narrow"/>
                <w:sz w:val="20"/>
                <w:szCs w:val="20"/>
              </w:rPr>
            </w:pPr>
            <w:r w:rsidRPr="00820898">
              <w:rPr>
                <w:rFonts w:ascii="Arial Narrow" w:hAnsi="Arial Narrow"/>
                <w:sz w:val="20"/>
                <w:szCs w:val="20"/>
              </w:rPr>
              <w:t>11 (&gt;2 copies)</w:t>
            </w:r>
          </w:p>
        </w:tc>
        <w:tc>
          <w:tcPr>
            <w:tcW w:w="2307" w:type="dxa"/>
            <w:shd w:val="clear" w:color="auto" w:fill="C6D9F1" w:themeFill="text2" w:themeFillTint="33"/>
            <w:vAlign w:val="center"/>
          </w:tcPr>
          <w:p w14:paraId="69948412"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MC, NC, SA, OL 2 yrs / 3 yrs</w:t>
            </w:r>
          </w:p>
          <w:p w14:paraId="019B9044"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July 2021 data cut: median (range) treated for 8.7 (0.5-22.8) mths. </w:t>
            </w:r>
          </w:p>
        </w:tc>
        <w:tc>
          <w:tcPr>
            <w:tcW w:w="0" w:type="auto"/>
            <w:shd w:val="clear" w:color="auto" w:fill="C6D9F1" w:themeFill="text2" w:themeFillTint="33"/>
            <w:vAlign w:val="center"/>
          </w:tcPr>
          <w:p w14:paraId="47FA3F7E"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High</w:t>
            </w:r>
          </w:p>
        </w:tc>
        <w:tc>
          <w:tcPr>
            <w:tcW w:w="1155" w:type="dxa"/>
            <w:shd w:val="clear" w:color="auto" w:fill="C6D9F1" w:themeFill="text2" w:themeFillTint="33"/>
            <w:vAlign w:val="center"/>
          </w:tcPr>
          <w:p w14:paraId="6662A6DB"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RIS oral target dose</w:t>
            </w:r>
          </w:p>
        </w:tc>
        <w:tc>
          <w:tcPr>
            <w:tcW w:w="1496" w:type="dxa"/>
            <w:shd w:val="clear" w:color="auto" w:fill="C6D9F1" w:themeFill="text2" w:themeFillTint="33"/>
            <w:vAlign w:val="center"/>
          </w:tcPr>
          <w:p w14:paraId="71A7FBF1" w14:textId="2E59DCB9"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 xml:space="preserve">Pre-symptomatic </w:t>
            </w:r>
            <w:r w:rsidR="00861BE4" w:rsidRPr="00820898">
              <w:rPr>
                <w:rFonts w:ascii="Arial Narrow" w:hAnsi="Arial Narrow"/>
                <w:sz w:val="20"/>
                <w:szCs w:val="20"/>
              </w:rPr>
              <w:t>patients ≥</w:t>
            </w:r>
            <w:r w:rsidRPr="00820898">
              <w:rPr>
                <w:rFonts w:ascii="Arial Narrow" w:hAnsi="Arial Narrow"/>
                <w:sz w:val="20"/>
                <w:szCs w:val="20"/>
              </w:rPr>
              <w:t xml:space="preserve">2 copies of </w:t>
            </w:r>
            <w:r w:rsidR="00EA2BFF" w:rsidRPr="00EA2BFF">
              <w:rPr>
                <w:rFonts w:ascii="Arial Narrow" w:hAnsi="Arial Narrow"/>
                <w:i/>
                <w:sz w:val="20"/>
                <w:szCs w:val="20"/>
              </w:rPr>
              <w:t>SMN2</w:t>
            </w:r>
            <w:r w:rsidRPr="00820898">
              <w:rPr>
                <w:rFonts w:ascii="Arial Narrow" w:hAnsi="Arial Narrow"/>
                <w:sz w:val="20"/>
                <w:szCs w:val="20"/>
              </w:rPr>
              <w:t xml:space="preserve"> aged ≤ 6 wks</w:t>
            </w:r>
          </w:p>
        </w:tc>
        <w:tc>
          <w:tcPr>
            <w:tcW w:w="1986" w:type="dxa"/>
            <w:shd w:val="clear" w:color="auto" w:fill="C6D9F1" w:themeFill="text2" w:themeFillTint="33"/>
            <w:vAlign w:val="center"/>
          </w:tcPr>
          <w:p w14:paraId="54794B54"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1°: motor milestone - sitting (12 mths)</w:t>
            </w:r>
            <w:r w:rsidRPr="00820898">
              <w:rPr>
                <w:rFonts w:ascii="Arial Narrow" w:hAnsi="Arial Narrow"/>
                <w:sz w:val="20"/>
                <w:szCs w:val="20"/>
                <w:vertAlign w:val="superscript"/>
              </w:rPr>
              <w:t>a</w:t>
            </w:r>
          </w:p>
          <w:p w14:paraId="4C4BBC3E" w14:textId="77777777" w:rsidR="0014093D" w:rsidRPr="00820898" w:rsidRDefault="0014093D" w:rsidP="005C00E6">
            <w:pPr>
              <w:keepNext/>
              <w:keepLines/>
              <w:jc w:val="left"/>
              <w:rPr>
                <w:rFonts w:ascii="Arial Narrow" w:hAnsi="Arial Narrow"/>
                <w:sz w:val="20"/>
                <w:szCs w:val="20"/>
              </w:rPr>
            </w:pPr>
            <w:r w:rsidRPr="00820898">
              <w:rPr>
                <w:rFonts w:ascii="Arial Narrow" w:hAnsi="Arial Narrow"/>
                <w:sz w:val="20"/>
                <w:szCs w:val="20"/>
              </w:rPr>
              <w:t>2°: motor milestones, EFS</w:t>
            </w:r>
          </w:p>
        </w:tc>
      </w:tr>
      <w:tr w:rsidR="007B6B55" w:rsidRPr="00820898" w14:paraId="47B0828A" w14:textId="77777777" w:rsidTr="00363150">
        <w:trPr>
          <w:cantSplit/>
        </w:trPr>
        <w:tc>
          <w:tcPr>
            <w:tcW w:w="1510" w:type="dxa"/>
            <w:shd w:val="clear" w:color="auto" w:fill="auto"/>
            <w:vAlign w:val="center"/>
          </w:tcPr>
          <w:p w14:paraId="50EB8F84" w14:textId="77777777" w:rsidR="007B6B55" w:rsidRPr="00820898" w:rsidRDefault="007B6B55" w:rsidP="005C00E6">
            <w:pPr>
              <w:keepNext/>
              <w:keepLines/>
              <w:rPr>
                <w:rFonts w:ascii="Arial Narrow" w:hAnsi="Arial Narrow"/>
                <w:sz w:val="20"/>
                <w:szCs w:val="20"/>
              </w:rPr>
            </w:pPr>
            <w:r w:rsidRPr="00820898">
              <w:rPr>
                <w:rFonts w:ascii="Arial Narrow" w:hAnsi="Arial Narrow"/>
                <w:sz w:val="20"/>
                <w:szCs w:val="20"/>
              </w:rPr>
              <w:t>SCHN</w:t>
            </w:r>
          </w:p>
          <w:p w14:paraId="77EDA340" w14:textId="77777777" w:rsidR="007B6B55" w:rsidRPr="00820898" w:rsidRDefault="007B6B55" w:rsidP="005C00E6">
            <w:pPr>
              <w:keepNext/>
              <w:keepLines/>
              <w:rPr>
                <w:rFonts w:ascii="Arial Narrow" w:hAnsi="Arial Narrow"/>
                <w:sz w:val="20"/>
                <w:szCs w:val="20"/>
              </w:rPr>
            </w:pPr>
            <w:r w:rsidRPr="00820898">
              <w:rPr>
                <w:rFonts w:ascii="Arial Narrow" w:hAnsi="Arial Narrow"/>
                <w:sz w:val="20"/>
                <w:szCs w:val="20"/>
              </w:rPr>
              <w:t xml:space="preserve">n=18 (3 copies); 13 (3 copies); </w:t>
            </w:r>
          </w:p>
          <w:p w14:paraId="729CC875" w14:textId="77777777" w:rsidR="007B6B55" w:rsidRPr="00820898" w:rsidRDefault="007B6B55" w:rsidP="005C00E6">
            <w:pPr>
              <w:keepNext/>
              <w:keepLines/>
              <w:rPr>
                <w:rFonts w:ascii="Arial Narrow" w:hAnsi="Arial Narrow"/>
                <w:sz w:val="20"/>
                <w:szCs w:val="20"/>
              </w:rPr>
            </w:pPr>
            <w:r w:rsidRPr="00820898">
              <w:rPr>
                <w:rFonts w:ascii="Arial Narrow" w:hAnsi="Arial Narrow"/>
                <w:sz w:val="20"/>
                <w:szCs w:val="20"/>
              </w:rPr>
              <w:t>2 (4 copies)</w:t>
            </w:r>
          </w:p>
        </w:tc>
        <w:tc>
          <w:tcPr>
            <w:tcW w:w="2307" w:type="dxa"/>
            <w:shd w:val="clear" w:color="auto" w:fill="auto"/>
            <w:vAlign w:val="center"/>
          </w:tcPr>
          <w:p w14:paraId="03C3143D" w14:textId="5596FE03"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NR cohort study of SMA babies comparing an incident population diagnosed through newborn screening (1/8/2018-1/8/2020) and an incident population diagnosed by clinical referral (1/8/2016 – 31/7/2018)</w:t>
            </w:r>
          </w:p>
        </w:tc>
        <w:tc>
          <w:tcPr>
            <w:tcW w:w="0" w:type="auto"/>
            <w:shd w:val="clear" w:color="auto" w:fill="auto"/>
            <w:vAlign w:val="center"/>
          </w:tcPr>
          <w:p w14:paraId="6DEC12A4" w14:textId="77777777"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High</w:t>
            </w:r>
          </w:p>
        </w:tc>
        <w:tc>
          <w:tcPr>
            <w:tcW w:w="1155" w:type="dxa"/>
            <w:shd w:val="clear" w:color="auto" w:fill="auto"/>
            <w:vAlign w:val="center"/>
          </w:tcPr>
          <w:p w14:paraId="14941D69" w14:textId="77777777"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 xml:space="preserve">No treatment administered as part of study </w:t>
            </w:r>
            <w:r w:rsidRPr="00820898">
              <w:rPr>
                <w:rFonts w:ascii="Arial Narrow" w:hAnsi="Arial Narrow"/>
                <w:sz w:val="20"/>
                <w:szCs w:val="20"/>
                <w:vertAlign w:val="superscript"/>
              </w:rPr>
              <w:t xml:space="preserve">b </w:t>
            </w:r>
          </w:p>
        </w:tc>
        <w:tc>
          <w:tcPr>
            <w:tcW w:w="1496" w:type="dxa"/>
            <w:shd w:val="clear" w:color="auto" w:fill="auto"/>
            <w:vAlign w:val="center"/>
          </w:tcPr>
          <w:p w14:paraId="1138F421" w14:textId="77777777"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Symptomatic and pre-symptomatic diagnosed SMA patients</w:t>
            </w:r>
          </w:p>
        </w:tc>
        <w:tc>
          <w:tcPr>
            <w:tcW w:w="1986" w:type="dxa"/>
            <w:shd w:val="clear" w:color="auto" w:fill="auto"/>
            <w:vAlign w:val="center"/>
          </w:tcPr>
          <w:p w14:paraId="50FA4531" w14:textId="77777777"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1°: motor milestone – highest motor attainment (24 mths)</w:t>
            </w:r>
          </w:p>
          <w:p w14:paraId="2C3D5347" w14:textId="77777777" w:rsidR="007B6B55" w:rsidRPr="00820898" w:rsidRDefault="007B6B55" w:rsidP="005C00E6">
            <w:pPr>
              <w:keepNext/>
              <w:keepLines/>
              <w:jc w:val="left"/>
              <w:rPr>
                <w:rFonts w:ascii="Arial Narrow" w:hAnsi="Arial Narrow"/>
                <w:sz w:val="20"/>
                <w:szCs w:val="20"/>
              </w:rPr>
            </w:pPr>
            <w:r w:rsidRPr="00820898">
              <w:rPr>
                <w:rFonts w:ascii="Arial Narrow" w:hAnsi="Arial Narrow"/>
                <w:sz w:val="20"/>
                <w:szCs w:val="20"/>
              </w:rPr>
              <w:t xml:space="preserve">2°: OS, changes in HINE-2 score, WeeFim, CHOP-INTEND </w:t>
            </w:r>
          </w:p>
        </w:tc>
      </w:tr>
    </w:tbl>
    <w:p w14:paraId="598CC75E" w14:textId="77777777" w:rsidR="0014093D" w:rsidRPr="007740E4" w:rsidRDefault="0014093D" w:rsidP="005C00E6">
      <w:pPr>
        <w:pStyle w:val="TableFigureFooter"/>
        <w:keepNext/>
        <w:keepLines/>
        <w:rPr>
          <w:rStyle w:val="CommentReference"/>
          <w:b w:val="0"/>
          <w:bCs/>
          <w:sz w:val="18"/>
          <w:szCs w:val="18"/>
        </w:rPr>
      </w:pPr>
      <w:r w:rsidRPr="007740E4">
        <w:rPr>
          <w:rStyle w:val="CommentReference"/>
          <w:b w:val="0"/>
          <w:bCs/>
          <w:sz w:val="18"/>
          <w:szCs w:val="18"/>
        </w:rPr>
        <w:t xml:space="preserve">Blue shading represents studies previously presented and considered at the PBAC November 2022 meeting.  </w:t>
      </w:r>
    </w:p>
    <w:p w14:paraId="2A227682" w14:textId="637F7E57" w:rsidR="0014093D" w:rsidRPr="007740E4" w:rsidRDefault="0014093D" w:rsidP="005C00E6">
      <w:pPr>
        <w:pStyle w:val="TableFigureFooter"/>
        <w:keepNext/>
        <w:keepLines/>
        <w:rPr>
          <w:szCs w:val="18"/>
        </w:rPr>
      </w:pPr>
      <w:r w:rsidRPr="007740E4">
        <w:rPr>
          <w:szCs w:val="18"/>
        </w:rPr>
        <w:t xml:space="preserve">Source: Table 2.4, 2.5, 2.6 &amp; 2.11, p67, 68, 72 &amp; 85 of the resubmission; Table 4, p15 of the onasemnogene abeparvovec, </w:t>
      </w:r>
      <w:r w:rsidR="00D862B0">
        <w:rPr>
          <w:szCs w:val="18"/>
        </w:rPr>
        <w:t>PSD</w:t>
      </w:r>
      <w:r w:rsidRPr="007740E4">
        <w:rPr>
          <w:szCs w:val="18"/>
        </w:rPr>
        <w:t>, November 2022 PBAC meeting; Table 3.3 &amp; 3.4, p31 &amp; 32 of the summary of long-term follow-up data; p4 of De Vivo et al 2019 (NURTURE); p1 of Finkel et al 2022 (RAINBOWFISH)</w:t>
      </w:r>
    </w:p>
    <w:p w14:paraId="07291C11" w14:textId="0E840B46" w:rsidR="0014093D" w:rsidRPr="007740E4" w:rsidRDefault="0014093D" w:rsidP="005C00E6">
      <w:pPr>
        <w:pStyle w:val="TableFigureFooter"/>
        <w:keepNext/>
        <w:keepLines/>
        <w:rPr>
          <w:szCs w:val="18"/>
        </w:rPr>
      </w:pPr>
      <w:r w:rsidRPr="007740E4">
        <w:rPr>
          <w:sz w:val="20"/>
          <w:szCs w:val="20"/>
        </w:rPr>
        <w:t xml:space="preserve">1° = primary outcome; 2°= secondary outcome; </w:t>
      </w:r>
      <w:r w:rsidRPr="007740E4">
        <w:rPr>
          <w:szCs w:val="18"/>
        </w:rPr>
        <w:t>CHOP-INTEND=The Children’s Hospital of Philadelphia Infant Test of Neuromuscular Disorders; EFS=event-free survival (survival without permanent ventilation); HINE-2=Hammersmith Infant Neurological Examination; IC=intra</w:t>
      </w:r>
      <w:r w:rsidR="004E2448">
        <w:rPr>
          <w:szCs w:val="18"/>
        </w:rPr>
        <w:t>thecal</w:t>
      </w:r>
      <w:r w:rsidRPr="007740E4">
        <w:rPr>
          <w:szCs w:val="18"/>
        </w:rPr>
        <w:t xml:space="preserve">; IV=intravenous; MC=multi-centre; mths = months NC=non-comparative single arm study; NR=non randomised; NUSI=nusinersen; OB=observational; OL=open label; ONA=onasemnogene abeparvovec; OS=overall survival; RIS=risdiplam; SA=single arm; SMA=spinal muscular atrophy; </w:t>
      </w:r>
      <w:r w:rsidR="00B64F80" w:rsidRPr="007740E4">
        <w:rPr>
          <w:i/>
          <w:szCs w:val="18"/>
        </w:rPr>
        <w:t>SMN2</w:t>
      </w:r>
      <w:r w:rsidRPr="007740E4">
        <w:rPr>
          <w:szCs w:val="18"/>
        </w:rPr>
        <w:t xml:space="preserve">=survival motor neuron 2; </w:t>
      </w:r>
      <w:r w:rsidR="007074F6">
        <w:rPr>
          <w:szCs w:val="18"/>
        </w:rPr>
        <w:t>W</w:t>
      </w:r>
      <w:r w:rsidRPr="007740E4">
        <w:rPr>
          <w:szCs w:val="18"/>
        </w:rPr>
        <w:t>eeFim= Functional Independence Measure for Children; wks=weeks; yr=year</w:t>
      </w:r>
    </w:p>
    <w:p w14:paraId="4F266C8D" w14:textId="32D7EEED" w:rsidR="0014093D" w:rsidRPr="007740E4" w:rsidRDefault="0014093D" w:rsidP="005C00E6">
      <w:pPr>
        <w:pStyle w:val="TableFigureFooter"/>
        <w:keepNext/>
        <w:keepLines/>
        <w:rPr>
          <w:szCs w:val="18"/>
        </w:rPr>
      </w:pPr>
      <w:r w:rsidRPr="007740E4">
        <w:rPr>
          <w:szCs w:val="18"/>
        </w:rPr>
        <w:t xml:space="preserve">^ </w:t>
      </w:r>
      <w:r w:rsidR="00B00909">
        <w:rPr>
          <w:szCs w:val="18"/>
        </w:rPr>
        <w:t>O</w:t>
      </w:r>
      <w:r w:rsidRPr="007740E4">
        <w:rPr>
          <w:szCs w:val="18"/>
        </w:rPr>
        <w:t>ngoing study.</w:t>
      </w:r>
    </w:p>
    <w:p w14:paraId="101F35CB" w14:textId="73DDCE6C" w:rsidR="0014093D" w:rsidRPr="007740E4" w:rsidRDefault="0014093D" w:rsidP="005C00E6">
      <w:pPr>
        <w:pStyle w:val="TableFigureFooter"/>
        <w:keepNext/>
        <w:keepLines/>
        <w:rPr>
          <w:szCs w:val="18"/>
        </w:rPr>
      </w:pPr>
      <w:r w:rsidRPr="007740E4">
        <w:rPr>
          <w:szCs w:val="18"/>
        </w:rPr>
        <w:t xml:space="preserve"># </w:t>
      </w:r>
      <w:r w:rsidR="00B00909">
        <w:rPr>
          <w:szCs w:val="18"/>
        </w:rPr>
        <w:t>I</w:t>
      </w:r>
      <w:r w:rsidRPr="007740E4">
        <w:rPr>
          <w:szCs w:val="18"/>
        </w:rPr>
        <w:t xml:space="preserve">ncludes 7 patients with 3 </w:t>
      </w:r>
      <w:r w:rsidR="00B64F80" w:rsidRPr="007740E4">
        <w:rPr>
          <w:i/>
          <w:szCs w:val="18"/>
        </w:rPr>
        <w:t>SMN2</w:t>
      </w:r>
      <w:r w:rsidRPr="007740E4">
        <w:rPr>
          <w:szCs w:val="18"/>
        </w:rPr>
        <w:t xml:space="preserve"> copies and 4 with ≥4 </w:t>
      </w:r>
      <w:r w:rsidR="00B64F80" w:rsidRPr="007740E4">
        <w:rPr>
          <w:i/>
          <w:szCs w:val="18"/>
        </w:rPr>
        <w:t>SMN2</w:t>
      </w:r>
      <w:r w:rsidRPr="007740E4">
        <w:rPr>
          <w:szCs w:val="18"/>
        </w:rPr>
        <w:t xml:space="preserve"> copies</w:t>
      </w:r>
    </w:p>
    <w:p w14:paraId="185F54B0" w14:textId="0F75A839" w:rsidR="0014093D" w:rsidRPr="007740E4" w:rsidRDefault="0014093D" w:rsidP="005C00E6">
      <w:pPr>
        <w:pStyle w:val="TableFigureFooter"/>
        <w:keepNext/>
        <w:keepLines/>
        <w:rPr>
          <w:szCs w:val="18"/>
        </w:rPr>
      </w:pPr>
      <w:r w:rsidRPr="007740E4">
        <w:rPr>
          <w:szCs w:val="18"/>
        </w:rPr>
        <w:t xml:space="preserve">a </w:t>
      </w:r>
      <w:r w:rsidR="00B00909">
        <w:rPr>
          <w:szCs w:val="18"/>
        </w:rPr>
        <w:t>P</w:t>
      </w:r>
      <w:r w:rsidRPr="007740E4">
        <w:rPr>
          <w:szCs w:val="18"/>
        </w:rPr>
        <w:t xml:space="preserve">rimary efficacy population included patients with 2 copies of </w:t>
      </w:r>
      <w:r w:rsidR="00B64F80" w:rsidRPr="007740E4">
        <w:rPr>
          <w:i/>
          <w:szCs w:val="18"/>
        </w:rPr>
        <w:t>SMN2</w:t>
      </w:r>
      <w:r w:rsidRPr="007740E4">
        <w:rPr>
          <w:szCs w:val="18"/>
        </w:rPr>
        <w:t xml:space="preserve"> and CMAP ≥1.5 mV at baseline.</w:t>
      </w:r>
    </w:p>
    <w:p w14:paraId="1C40904C" w14:textId="77777777" w:rsidR="0014093D" w:rsidRPr="007740E4" w:rsidRDefault="0014093D" w:rsidP="00363150">
      <w:pPr>
        <w:pStyle w:val="TableFigureFooter"/>
        <w:rPr>
          <w:szCs w:val="18"/>
        </w:rPr>
      </w:pPr>
      <w:r w:rsidRPr="007740E4">
        <w:rPr>
          <w:szCs w:val="18"/>
        </w:rPr>
        <w:t xml:space="preserve">b No interventions were administered as part of the study, but patients were allowed to access treatment. Patients in the screening group received: NUSI; ONA; palliative care; or active surveillance. Patients in the comparator group received NUSI or palliative care. </w:t>
      </w:r>
    </w:p>
    <w:p w14:paraId="64C73D8E" w14:textId="77777777" w:rsidR="0014093D" w:rsidRPr="007740E4" w:rsidRDefault="0014093D" w:rsidP="0014093D">
      <w:pPr>
        <w:pStyle w:val="4-SubsectionHeading"/>
      </w:pPr>
      <w:bookmarkStart w:id="31" w:name="_Toc22897641"/>
      <w:bookmarkStart w:id="32" w:name="_Toc135210587"/>
      <w:r w:rsidRPr="007740E4">
        <w:t>Comparative effectiveness</w:t>
      </w:r>
      <w:bookmarkEnd w:id="31"/>
      <w:bookmarkEnd w:id="32"/>
    </w:p>
    <w:p w14:paraId="00D0A5F7" w14:textId="3A92EABF" w:rsidR="00436DAE" w:rsidRPr="00436DAE" w:rsidRDefault="00436DAE" w:rsidP="00436DAE">
      <w:pPr>
        <w:pStyle w:val="3-BodyText"/>
        <w:numPr>
          <w:ilvl w:val="0"/>
          <w:numId w:val="0"/>
        </w:numPr>
        <w:rPr>
          <w:u w:val="single"/>
        </w:rPr>
      </w:pPr>
      <w:r>
        <w:rPr>
          <w:u w:val="single"/>
        </w:rPr>
        <w:t xml:space="preserve">Pre-symptomatic ONA in 3 copies of </w:t>
      </w:r>
      <w:r w:rsidRPr="00436DAE">
        <w:rPr>
          <w:i/>
          <w:iCs/>
          <w:u w:val="single"/>
        </w:rPr>
        <w:t>SMN2</w:t>
      </w:r>
      <w:r>
        <w:rPr>
          <w:u w:val="single"/>
        </w:rPr>
        <w:t xml:space="preserve"> compared to pre-symptomatic ONA in 2 copies of </w:t>
      </w:r>
      <w:r w:rsidRPr="00436DAE">
        <w:rPr>
          <w:i/>
          <w:iCs/>
          <w:u w:val="single"/>
        </w:rPr>
        <w:t>SMN2</w:t>
      </w:r>
    </w:p>
    <w:p w14:paraId="4A9165EC" w14:textId="21C2967D" w:rsidR="0014093D" w:rsidRPr="007740E4" w:rsidRDefault="0014093D" w:rsidP="0014093D">
      <w:pPr>
        <w:pStyle w:val="3-BodyText"/>
      </w:pPr>
      <w:r w:rsidRPr="007740E4">
        <w:t xml:space="preserve">A comparison of developmental milestones achieved between patients with 3 copies of </w:t>
      </w:r>
      <w:r w:rsidR="00B64F80" w:rsidRPr="007740E4">
        <w:rPr>
          <w:i/>
        </w:rPr>
        <w:t>SMN2</w:t>
      </w:r>
      <w:r w:rsidRPr="007740E4">
        <w:t xml:space="preserve"> and patients with 2 copies of </w:t>
      </w:r>
      <w:r w:rsidR="00B64F80" w:rsidRPr="007740E4">
        <w:rPr>
          <w:i/>
        </w:rPr>
        <w:t>SMN2</w:t>
      </w:r>
      <w:r w:rsidRPr="007740E4">
        <w:t xml:space="preserve"> treated pre-symptomatically with ONA from the SPR1NT study is summarised in </w:t>
      </w:r>
      <w:r w:rsidRPr="007740E4">
        <w:fldChar w:fldCharType="begin" w:fldLock="1"/>
      </w:r>
      <w:r w:rsidRPr="007740E4">
        <w:instrText xml:space="preserve"> REF _Ref134264429 \h </w:instrText>
      </w:r>
      <w:r w:rsidRPr="007740E4">
        <w:fldChar w:fldCharType="separate"/>
      </w:r>
      <w:r w:rsidR="007866DB" w:rsidRPr="007740E4">
        <w:t xml:space="preserve">Table </w:t>
      </w:r>
      <w:r w:rsidR="007866DB">
        <w:rPr>
          <w:noProof/>
        </w:rPr>
        <w:t>6</w:t>
      </w:r>
      <w:r w:rsidRPr="007740E4">
        <w:fldChar w:fldCharType="end"/>
      </w:r>
      <w:r w:rsidRPr="007740E4">
        <w:t xml:space="preserve">. </w:t>
      </w:r>
    </w:p>
    <w:p w14:paraId="46FFF9CF" w14:textId="151941E6" w:rsidR="0014093D" w:rsidRPr="007740E4" w:rsidRDefault="0014093D" w:rsidP="00B00909">
      <w:pPr>
        <w:pStyle w:val="Caption"/>
        <w:keepNext w:val="0"/>
        <w:keepLines w:val="0"/>
        <w:rPr>
          <w:rStyle w:val="CommentReference"/>
          <w:b/>
          <w:szCs w:val="24"/>
        </w:rPr>
      </w:pPr>
      <w:bookmarkStart w:id="33" w:name="_Ref134264429"/>
      <w:r w:rsidRPr="007740E4">
        <w:t xml:space="preserve">Table </w:t>
      </w:r>
      <w:fldSimple w:instr=" SEQ Table \* ARABIC " w:fldLock="1">
        <w:r w:rsidR="0084520A">
          <w:rPr>
            <w:noProof/>
          </w:rPr>
          <w:t>6</w:t>
        </w:r>
      </w:fldSimple>
      <w:bookmarkEnd w:id="33"/>
      <w:r w:rsidRPr="007740E4">
        <w:t>:</w:t>
      </w:r>
      <w:r w:rsidRPr="007740E4">
        <w:rPr>
          <w:rStyle w:val="CommentReference"/>
          <w:b/>
          <w:szCs w:val="24"/>
        </w:rPr>
        <w:t xml:space="preserve"> Summary of developmental milestone results in SPR1NT</w:t>
      </w:r>
    </w:p>
    <w:tbl>
      <w:tblPr>
        <w:tblStyle w:val="TableGrid"/>
        <w:tblW w:w="0" w:type="auto"/>
        <w:tblLook w:val="04A0" w:firstRow="1" w:lastRow="0" w:firstColumn="1" w:lastColumn="0" w:noHBand="0" w:noVBand="1"/>
        <w:tblCaption w:val="Table 6: Summary of developmental milestone results in SPR1NT"/>
      </w:tblPr>
      <w:tblGrid>
        <w:gridCol w:w="3256"/>
        <w:gridCol w:w="1559"/>
        <w:gridCol w:w="1276"/>
        <w:gridCol w:w="1556"/>
        <w:gridCol w:w="1370"/>
      </w:tblGrid>
      <w:tr w:rsidR="0014093D" w:rsidRPr="007740E4" w14:paraId="2635D2BB" w14:textId="77777777" w:rsidTr="00CC62A4">
        <w:tc>
          <w:tcPr>
            <w:tcW w:w="3256" w:type="dxa"/>
            <w:vMerge w:val="restart"/>
          </w:tcPr>
          <w:p w14:paraId="651F4354" w14:textId="77777777" w:rsidR="0014093D" w:rsidRPr="007740E4" w:rsidRDefault="0014093D" w:rsidP="00B00909">
            <w:pPr>
              <w:rPr>
                <w:rFonts w:ascii="Arial Narrow" w:hAnsi="Arial Narrow"/>
                <w:b/>
                <w:sz w:val="20"/>
                <w:szCs w:val="20"/>
              </w:rPr>
            </w:pPr>
            <w:r w:rsidRPr="007740E4">
              <w:rPr>
                <w:rFonts w:ascii="Arial Narrow" w:hAnsi="Arial Narrow"/>
                <w:b/>
                <w:sz w:val="20"/>
                <w:szCs w:val="20"/>
              </w:rPr>
              <w:t>Outcome</w:t>
            </w:r>
          </w:p>
        </w:tc>
        <w:tc>
          <w:tcPr>
            <w:tcW w:w="2835" w:type="dxa"/>
            <w:gridSpan w:val="2"/>
            <w:vAlign w:val="center"/>
          </w:tcPr>
          <w:p w14:paraId="7B66D224" w14:textId="4AA5FD84"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3</w:t>
            </w:r>
            <w:r w:rsidR="00B64F80" w:rsidRPr="007740E4">
              <w:rPr>
                <w:rFonts w:ascii="Arial Narrow" w:hAnsi="Arial Narrow"/>
                <w:b/>
                <w:i/>
                <w:sz w:val="20"/>
                <w:szCs w:val="20"/>
              </w:rPr>
              <w:t>SMN2</w:t>
            </w:r>
            <w:r w:rsidRPr="007740E4">
              <w:rPr>
                <w:rFonts w:ascii="Arial Narrow" w:hAnsi="Arial Narrow"/>
                <w:b/>
                <w:sz w:val="20"/>
                <w:szCs w:val="20"/>
              </w:rPr>
              <w:t xml:space="preserve"> copies (n=15)</w:t>
            </w:r>
            <w:r w:rsidRPr="00D5665A">
              <w:rPr>
                <w:rFonts w:ascii="Arial Narrow" w:hAnsi="Arial Narrow"/>
                <w:b/>
                <w:sz w:val="20"/>
                <w:szCs w:val="20"/>
                <w:vertAlign w:val="superscript"/>
              </w:rPr>
              <w:t>†</w:t>
            </w:r>
            <w:r w:rsidR="00CC62A4">
              <w:rPr>
                <w:rFonts w:ascii="Arial Narrow" w:hAnsi="Arial Narrow"/>
                <w:b/>
                <w:sz w:val="20"/>
                <w:szCs w:val="20"/>
              </w:rPr>
              <w:t xml:space="preserve"> ‘Cohort 2’</w:t>
            </w:r>
          </w:p>
        </w:tc>
        <w:tc>
          <w:tcPr>
            <w:tcW w:w="2926" w:type="dxa"/>
            <w:gridSpan w:val="2"/>
            <w:vAlign w:val="center"/>
          </w:tcPr>
          <w:p w14:paraId="3298AD1C" w14:textId="4FD977D3"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2</w:t>
            </w:r>
            <w:r w:rsidR="00B64F80" w:rsidRPr="007740E4">
              <w:rPr>
                <w:rFonts w:ascii="Arial Narrow" w:hAnsi="Arial Narrow"/>
                <w:b/>
                <w:i/>
                <w:sz w:val="20"/>
                <w:szCs w:val="20"/>
              </w:rPr>
              <w:t>SMN2</w:t>
            </w:r>
            <w:r w:rsidRPr="007740E4">
              <w:rPr>
                <w:rFonts w:ascii="Arial Narrow" w:hAnsi="Arial Narrow"/>
                <w:b/>
                <w:sz w:val="20"/>
                <w:szCs w:val="20"/>
              </w:rPr>
              <w:t xml:space="preserve"> copies (n=14)</w:t>
            </w:r>
            <w:r w:rsidRPr="00D5665A">
              <w:rPr>
                <w:rFonts w:ascii="Arial Narrow" w:hAnsi="Arial Narrow"/>
                <w:b/>
                <w:sz w:val="20"/>
                <w:szCs w:val="20"/>
                <w:vertAlign w:val="superscript"/>
              </w:rPr>
              <w:t>‡</w:t>
            </w:r>
            <w:r w:rsidR="00CC62A4">
              <w:rPr>
                <w:rFonts w:ascii="Arial Narrow" w:hAnsi="Arial Narrow"/>
                <w:b/>
                <w:sz w:val="20"/>
                <w:szCs w:val="20"/>
              </w:rPr>
              <w:t xml:space="preserve"> ‘Cohort 1’</w:t>
            </w:r>
          </w:p>
        </w:tc>
      </w:tr>
      <w:tr w:rsidR="0014093D" w:rsidRPr="007740E4" w14:paraId="318649D1" w14:textId="77777777" w:rsidTr="00CC62A4">
        <w:tc>
          <w:tcPr>
            <w:tcW w:w="3256" w:type="dxa"/>
            <w:vMerge/>
          </w:tcPr>
          <w:p w14:paraId="79E21550" w14:textId="77777777" w:rsidR="0014093D" w:rsidRPr="007740E4" w:rsidRDefault="0014093D" w:rsidP="00B00909">
            <w:pPr>
              <w:rPr>
                <w:rFonts w:ascii="Arial Narrow" w:hAnsi="Arial Narrow"/>
                <w:sz w:val="20"/>
                <w:szCs w:val="20"/>
              </w:rPr>
            </w:pPr>
          </w:p>
        </w:tc>
        <w:tc>
          <w:tcPr>
            <w:tcW w:w="1559" w:type="dxa"/>
            <w:vAlign w:val="center"/>
          </w:tcPr>
          <w:p w14:paraId="7158A5E8" w14:textId="77777777"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WHO-MGRS</w:t>
            </w:r>
          </w:p>
        </w:tc>
        <w:tc>
          <w:tcPr>
            <w:tcW w:w="1276" w:type="dxa"/>
            <w:vAlign w:val="center"/>
          </w:tcPr>
          <w:p w14:paraId="70E19B42" w14:textId="77777777"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BSID</w:t>
            </w:r>
          </w:p>
        </w:tc>
        <w:tc>
          <w:tcPr>
            <w:tcW w:w="1556" w:type="dxa"/>
            <w:vAlign w:val="center"/>
          </w:tcPr>
          <w:p w14:paraId="1A0E150F" w14:textId="77777777"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WHO-MGRS</w:t>
            </w:r>
          </w:p>
        </w:tc>
        <w:tc>
          <w:tcPr>
            <w:tcW w:w="1370" w:type="dxa"/>
            <w:vAlign w:val="center"/>
          </w:tcPr>
          <w:p w14:paraId="294AB173" w14:textId="77777777" w:rsidR="0014093D" w:rsidRPr="007740E4" w:rsidRDefault="0014093D" w:rsidP="00B00909">
            <w:pPr>
              <w:jc w:val="center"/>
              <w:rPr>
                <w:rFonts w:ascii="Arial Narrow" w:hAnsi="Arial Narrow"/>
                <w:b/>
                <w:sz w:val="20"/>
                <w:szCs w:val="20"/>
              </w:rPr>
            </w:pPr>
            <w:r w:rsidRPr="007740E4">
              <w:rPr>
                <w:rFonts w:ascii="Arial Narrow" w:hAnsi="Arial Narrow"/>
                <w:b/>
                <w:sz w:val="20"/>
                <w:szCs w:val="20"/>
              </w:rPr>
              <w:t>BSID</w:t>
            </w:r>
          </w:p>
        </w:tc>
      </w:tr>
      <w:tr w:rsidR="0014093D" w:rsidRPr="007740E4" w14:paraId="3254968D" w14:textId="77777777" w:rsidTr="00CC62A4">
        <w:tc>
          <w:tcPr>
            <w:tcW w:w="3256" w:type="dxa"/>
            <w:tcBorders>
              <w:top w:val="single" w:sz="4" w:space="0" w:color="auto"/>
            </w:tcBorders>
            <w:shd w:val="clear" w:color="auto" w:fill="auto"/>
            <w:vAlign w:val="bottom"/>
          </w:tcPr>
          <w:p w14:paraId="07CAA3E2" w14:textId="4C3C3D11"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sitting without support </w:t>
            </w:r>
            <w:r w:rsidR="00861BE4" w:rsidRPr="007740E4">
              <w:rPr>
                <w:rFonts w:ascii="Arial Narrow" w:hAnsi="Arial Narrow"/>
                <w:sz w:val="20"/>
                <w:szCs w:val="20"/>
              </w:rPr>
              <w:t>n (</w:t>
            </w:r>
            <w:r w:rsidRPr="007740E4">
              <w:rPr>
                <w:rFonts w:ascii="Arial Narrow" w:hAnsi="Arial Narrow"/>
                <w:sz w:val="20"/>
                <w:szCs w:val="20"/>
              </w:rPr>
              <w:t>%)</w:t>
            </w:r>
          </w:p>
        </w:tc>
        <w:tc>
          <w:tcPr>
            <w:tcW w:w="1559" w:type="dxa"/>
            <w:tcBorders>
              <w:top w:val="single" w:sz="4" w:space="0" w:color="auto"/>
            </w:tcBorders>
            <w:shd w:val="clear" w:color="auto" w:fill="auto"/>
            <w:vAlign w:val="center"/>
          </w:tcPr>
          <w:p w14:paraId="03FDB71F"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276" w:type="dxa"/>
            <w:tcBorders>
              <w:top w:val="single" w:sz="4" w:space="0" w:color="auto"/>
            </w:tcBorders>
            <w:shd w:val="clear" w:color="auto" w:fill="auto"/>
            <w:vAlign w:val="center"/>
          </w:tcPr>
          <w:p w14:paraId="3766E592"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tcBorders>
              <w:top w:val="single" w:sz="4" w:space="0" w:color="auto"/>
            </w:tcBorders>
            <w:shd w:val="clear" w:color="auto" w:fill="auto"/>
            <w:vAlign w:val="center"/>
          </w:tcPr>
          <w:p w14:paraId="0181EC8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(100)</w:t>
            </w:r>
          </w:p>
        </w:tc>
        <w:tc>
          <w:tcPr>
            <w:tcW w:w="1370" w:type="dxa"/>
            <w:tcBorders>
              <w:top w:val="single" w:sz="4" w:space="0" w:color="auto"/>
            </w:tcBorders>
            <w:shd w:val="clear" w:color="auto" w:fill="auto"/>
            <w:vAlign w:val="center"/>
          </w:tcPr>
          <w:p w14:paraId="705CC73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(100)</w:t>
            </w:r>
          </w:p>
        </w:tc>
      </w:tr>
      <w:tr w:rsidR="0014093D" w:rsidRPr="007740E4" w14:paraId="2F60001A" w14:textId="77777777" w:rsidTr="00CC62A4">
        <w:tc>
          <w:tcPr>
            <w:tcW w:w="3256" w:type="dxa"/>
            <w:tcBorders>
              <w:top w:val="single" w:sz="4" w:space="0" w:color="auto"/>
            </w:tcBorders>
            <w:shd w:val="clear" w:color="auto" w:fill="auto"/>
            <w:vAlign w:val="bottom"/>
          </w:tcPr>
          <w:p w14:paraId="72207C5B"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nil"/>
            </w:tcBorders>
            <w:shd w:val="clear" w:color="auto" w:fill="auto"/>
            <w:vAlign w:val="center"/>
          </w:tcPr>
          <w:p w14:paraId="634FA6C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8.80 (7.1, 8.8)</w:t>
            </w:r>
          </w:p>
        </w:tc>
        <w:tc>
          <w:tcPr>
            <w:tcW w:w="1276" w:type="dxa"/>
            <w:tcBorders>
              <w:top w:val="nil"/>
            </w:tcBorders>
            <w:shd w:val="clear" w:color="auto" w:fill="auto"/>
            <w:vAlign w:val="center"/>
          </w:tcPr>
          <w:p w14:paraId="01BE9DC8"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7.60 (6.9, 8.6)</w:t>
            </w:r>
          </w:p>
        </w:tc>
        <w:tc>
          <w:tcPr>
            <w:tcW w:w="1556" w:type="dxa"/>
            <w:tcBorders>
              <w:top w:val="nil"/>
            </w:tcBorders>
            <w:shd w:val="clear" w:color="auto" w:fill="auto"/>
            <w:vAlign w:val="center"/>
          </w:tcPr>
          <w:p w14:paraId="08B7A19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9.00 (7.6, 11.1)</w:t>
            </w:r>
          </w:p>
        </w:tc>
        <w:tc>
          <w:tcPr>
            <w:tcW w:w="1370" w:type="dxa"/>
            <w:tcBorders>
              <w:top w:val="nil"/>
            </w:tcBorders>
            <w:shd w:val="clear" w:color="auto" w:fill="auto"/>
            <w:vAlign w:val="center"/>
          </w:tcPr>
          <w:p w14:paraId="07BE6CC9"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8.85 (7.2, 9.2)</w:t>
            </w:r>
          </w:p>
        </w:tc>
      </w:tr>
      <w:tr w:rsidR="0014093D" w:rsidRPr="007740E4" w14:paraId="442151A8" w14:textId="77777777" w:rsidTr="00CC62A4">
        <w:tc>
          <w:tcPr>
            <w:tcW w:w="3256" w:type="dxa"/>
            <w:tcBorders>
              <w:top w:val="single" w:sz="4" w:space="0" w:color="auto"/>
            </w:tcBorders>
            <w:shd w:val="clear" w:color="auto" w:fill="auto"/>
            <w:vAlign w:val="bottom"/>
          </w:tcPr>
          <w:p w14:paraId="10F0ACA9"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nil"/>
            </w:tcBorders>
            <w:shd w:val="clear" w:color="auto" w:fill="auto"/>
            <w:vAlign w:val="center"/>
          </w:tcPr>
          <w:p w14:paraId="7C1C795A"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10 (66.7)</w:t>
            </w:r>
          </w:p>
        </w:tc>
        <w:tc>
          <w:tcPr>
            <w:tcW w:w="1276" w:type="dxa"/>
            <w:tcBorders>
              <w:top w:val="nil"/>
            </w:tcBorders>
            <w:shd w:val="clear" w:color="auto" w:fill="auto"/>
            <w:vAlign w:val="center"/>
          </w:tcPr>
          <w:p w14:paraId="6B68671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(73.3)</w:t>
            </w:r>
          </w:p>
        </w:tc>
        <w:tc>
          <w:tcPr>
            <w:tcW w:w="1556" w:type="dxa"/>
            <w:tcBorders>
              <w:top w:val="nil"/>
            </w:tcBorders>
            <w:shd w:val="clear" w:color="auto" w:fill="auto"/>
            <w:vAlign w:val="center"/>
          </w:tcPr>
          <w:p w14:paraId="1F4868ED"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10 (71.4)</w:t>
            </w:r>
          </w:p>
        </w:tc>
        <w:tc>
          <w:tcPr>
            <w:tcW w:w="1370" w:type="dxa"/>
            <w:tcBorders>
              <w:top w:val="nil"/>
            </w:tcBorders>
            <w:shd w:val="clear" w:color="auto" w:fill="auto"/>
            <w:vAlign w:val="center"/>
          </w:tcPr>
          <w:p w14:paraId="37EE182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(78.6)</w:t>
            </w:r>
          </w:p>
        </w:tc>
      </w:tr>
      <w:tr w:rsidR="0014093D" w:rsidRPr="007740E4" w14:paraId="62EA103E" w14:textId="77777777" w:rsidTr="00CC62A4">
        <w:tc>
          <w:tcPr>
            <w:tcW w:w="3256" w:type="dxa"/>
            <w:shd w:val="clear" w:color="auto" w:fill="auto"/>
            <w:vAlign w:val="bottom"/>
          </w:tcPr>
          <w:p w14:paraId="4D466A6E" w14:textId="4E889B48"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standing with assistance </w:t>
            </w:r>
            <w:r w:rsidR="00861BE4" w:rsidRPr="007740E4">
              <w:rPr>
                <w:rFonts w:ascii="Arial Narrow" w:hAnsi="Arial Narrow"/>
                <w:sz w:val="20"/>
                <w:szCs w:val="20"/>
              </w:rPr>
              <w:t>n (</w:t>
            </w:r>
            <w:r w:rsidRPr="007740E4">
              <w:rPr>
                <w:rFonts w:ascii="Arial Narrow" w:hAnsi="Arial Narrow"/>
                <w:sz w:val="20"/>
                <w:szCs w:val="20"/>
              </w:rPr>
              <w:t>%)</w:t>
            </w:r>
          </w:p>
        </w:tc>
        <w:tc>
          <w:tcPr>
            <w:tcW w:w="1559" w:type="dxa"/>
            <w:tcBorders>
              <w:bottom w:val="single" w:sz="4" w:space="0" w:color="auto"/>
            </w:tcBorders>
            <w:shd w:val="clear" w:color="auto" w:fill="auto"/>
            <w:vAlign w:val="center"/>
          </w:tcPr>
          <w:p w14:paraId="216DD3F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276" w:type="dxa"/>
            <w:tcBorders>
              <w:bottom w:val="single" w:sz="4" w:space="0" w:color="auto"/>
            </w:tcBorders>
            <w:shd w:val="clear" w:color="auto" w:fill="auto"/>
            <w:vAlign w:val="center"/>
          </w:tcPr>
          <w:p w14:paraId="0D6A0BB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tcBorders>
              <w:bottom w:val="single" w:sz="4" w:space="0" w:color="auto"/>
            </w:tcBorders>
            <w:shd w:val="clear" w:color="auto" w:fill="auto"/>
            <w:vAlign w:val="center"/>
          </w:tcPr>
          <w:p w14:paraId="38513D68"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(100)</w:t>
            </w:r>
          </w:p>
        </w:tc>
        <w:tc>
          <w:tcPr>
            <w:tcW w:w="1370" w:type="dxa"/>
            <w:tcBorders>
              <w:bottom w:val="single" w:sz="4" w:space="0" w:color="auto"/>
            </w:tcBorders>
            <w:shd w:val="clear" w:color="auto" w:fill="auto"/>
            <w:vAlign w:val="center"/>
          </w:tcPr>
          <w:p w14:paraId="1FADA04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(100)</w:t>
            </w:r>
          </w:p>
        </w:tc>
      </w:tr>
      <w:tr w:rsidR="0014093D" w:rsidRPr="007740E4" w14:paraId="3405A99B" w14:textId="77777777" w:rsidTr="00CC62A4">
        <w:tc>
          <w:tcPr>
            <w:tcW w:w="3256" w:type="dxa"/>
            <w:tcBorders>
              <w:top w:val="single" w:sz="4" w:space="0" w:color="auto"/>
              <w:right w:val="single" w:sz="4" w:space="0" w:color="auto"/>
            </w:tcBorders>
            <w:shd w:val="clear" w:color="auto" w:fill="auto"/>
            <w:vAlign w:val="bottom"/>
          </w:tcPr>
          <w:p w14:paraId="487DF590"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2636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9.30</w:t>
            </w:r>
            <w:r w:rsidRPr="007740E4">
              <w:rPr>
                <w:rFonts w:ascii="Arial Narrow" w:hAnsi="Arial Narrow"/>
                <w:sz w:val="20"/>
                <w:szCs w:val="20"/>
              </w:rPr>
              <w:br/>
              <w:t>(9.05, 10.64)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BB12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9.25</w:t>
            </w:r>
            <w:r w:rsidRPr="007740E4">
              <w:rPr>
                <w:rFonts w:ascii="Arial Narrow" w:hAnsi="Arial Narrow"/>
                <w:sz w:val="20"/>
                <w:szCs w:val="20"/>
              </w:rPr>
              <w:br/>
              <w:t>(8.7, 10.6)</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20F7ACAA"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12.95 </w:t>
            </w:r>
            <w:r w:rsidRPr="007740E4">
              <w:rPr>
                <w:rFonts w:ascii="Arial Narrow" w:hAnsi="Arial Narrow"/>
                <w:sz w:val="20"/>
                <w:szCs w:val="20"/>
              </w:rPr>
              <w:br/>
              <w:t>(11.1, 15.3)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8A7AF8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13.70 </w:t>
            </w:r>
            <w:r w:rsidRPr="007740E4">
              <w:rPr>
                <w:rFonts w:ascii="Arial Narrow" w:hAnsi="Arial Narrow"/>
                <w:sz w:val="20"/>
                <w:szCs w:val="20"/>
              </w:rPr>
              <w:br/>
              <w:t>(10.4, 15.7)</w:t>
            </w:r>
          </w:p>
        </w:tc>
      </w:tr>
      <w:tr w:rsidR="0014093D" w:rsidRPr="007740E4" w14:paraId="2655BAC3" w14:textId="77777777" w:rsidTr="00CC62A4">
        <w:tc>
          <w:tcPr>
            <w:tcW w:w="3256" w:type="dxa"/>
            <w:tcBorders>
              <w:top w:val="single" w:sz="4" w:space="0" w:color="auto"/>
              <w:right w:val="single" w:sz="4" w:space="0" w:color="auto"/>
            </w:tcBorders>
            <w:shd w:val="clear" w:color="auto" w:fill="auto"/>
            <w:vAlign w:val="bottom"/>
          </w:tcPr>
          <w:p w14:paraId="584877CC"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28BACD"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347A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(73.3)</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1531A5C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5 (35.7)</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CB13BF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6 (42.9)</w:t>
            </w:r>
          </w:p>
        </w:tc>
      </w:tr>
      <w:tr w:rsidR="0014093D" w:rsidRPr="007740E4" w14:paraId="0C9475EF" w14:textId="77777777" w:rsidTr="00CC62A4">
        <w:tc>
          <w:tcPr>
            <w:tcW w:w="3256" w:type="dxa"/>
            <w:shd w:val="clear" w:color="auto" w:fill="auto"/>
            <w:vAlign w:val="bottom"/>
          </w:tcPr>
          <w:p w14:paraId="41EA8A61" w14:textId="543F8E61"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crawling </w:t>
            </w:r>
            <w:r w:rsidR="00861BE4" w:rsidRPr="007740E4">
              <w:rPr>
                <w:rFonts w:ascii="Arial Narrow" w:hAnsi="Arial Narrow"/>
                <w:sz w:val="20"/>
                <w:szCs w:val="20"/>
              </w:rPr>
              <w:t>n (</w:t>
            </w:r>
            <w:r w:rsidRPr="007740E4">
              <w:rPr>
                <w:rFonts w:ascii="Arial Narrow" w:hAnsi="Arial Narrow"/>
                <w:sz w:val="20"/>
                <w:szCs w:val="20"/>
              </w:rPr>
              <w:t>%)</w:t>
            </w:r>
          </w:p>
        </w:tc>
        <w:tc>
          <w:tcPr>
            <w:tcW w:w="1559" w:type="dxa"/>
            <w:tcBorders>
              <w:top w:val="single" w:sz="4" w:space="0" w:color="auto"/>
            </w:tcBorders>
            <w:shd w:val="clear" w:color="auto" w:fill="auto"/>
            <w:vAlign w:val="center"/>
          </w:tcPr>
          <w:p w14:paraId="5DCB8646"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276" w:type="dxa"/>
            <w:tcBorders>
              <w:top w:val="single" w:sz="4" w:space="0" w:color="auto"/>
            </w:tcBorders>
            <w:shd w:val="clear" w:color="auto" w:fill="auto"/>
            <w:vAlign w:val="center"/>
          </w:tcPr>
          <w:p w14:paraId="63EB1FD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tcBorders>
              <w:top w:val="single" w:sz="4" w:space="0" w:color="auto"/>
            </w:tcBorders>
            <w:shd w:val="clear" w:color="auto" w:fill="auto"/>
            <w:vAlign w:val="center"/>
          </w:tcPr>
          <w:p w14:paraId="4E326BD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10 (71.4)</w:t>
            </w:r>
          </w:p>
        </w:tc>
        <w:tc>
          <w:tcPr>
            <w:tcW w:w="1370" w:type="dxa"/>
            <w:tcBorders>
              <w:top w:val="single" w:sz="4" w:space="0" w:color="auto"/>
            </w:tcBorders>
            <w:shd w:val="clear" w:color="auto" w:fill="auto"/>
            <w:vAlign w:val="center"/>
          </w:tcPr>
          <w:p w14:paraId="7F5F783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9 (64.3)</w:t>
            </w:r>
          </w:p>
        </w:tc>
      </w:tr>
      <w:tr w:rsidR="0014093D" w:rsidRPr="007740E4" w14:paraId="7E3118EE" w14:textId="77777777" w:rsidTr="00CC62A4">
        <w:tc>
          <w:tcPr>
            <w:tcW w:w="3256" w:type="dxa"/>
            <w:tcBorders>
              <w:top w:val="single" w:sz="4" w:space="0" w:color="auto"/>
            </w:tcBorders>
            <w:shd w:val="clear" w:color="auto" w:fill="auto"/>
            <w:vAlign w:val="bottom"/>
          </w:tcPr>
          <w:p w14:paraId="367D0719"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nil"/>
            </w:tcBorders>
            <w:shd w:val="clear" w:color="auto" w:fill="auto"/>
            <w:vAlign w:val="center"/>
          </w:tcPr>
          <w:p w14:paraId="7586298A"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10.75 </w:t>
            </w:r>
            <w:r w:rsidRPr="007740E4">
              <w:rPr>
                <w:rFonts w:ascii="Arial Narrow" w:hAnsi="Arial Narrow"/>
                <w:sz w:val="20"/>
                <w:szCs w:val="20"/>
              </w:rPr>
              <w:br/>
              <w:t>(9.75, 12.37)</w:t>
            </w:r>
          </w:p>
        </w:tc>
        <w:tc>
          <w:tcPr>
            <w:tcW w:w="1276" w:type="dxa"/>
            <w:tcBorders>
              <w:top w:val="nil"/>
            </w:tcBorders>
            <w:shd w:val="clear" w:color="auto" w:fill="auto"/>
            <w:vAlign w:val="center"/>
          </w:tcPr>
          <w:p w14:paraId="36F47CB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10.75 </w:t>
            </w:r>
            <w:r w:rsidRPr="007740E4">
              <w:rPr>
                <w:rFonts w:ascii="Arial Narrow" w:hAnsi="Arial Narrow"/>
                <w:sz w:val="20"/>
                <w:szCs w:val="20"/>
              </w:rPr>
              <w:br/>
              <w:t>(9.8, 11.8)</w:t>
            </w:r>
          </w:p>
        </w:tc>
        <w:tc>
          <w:tcPr>
            <w:tcW w:w="1556" w:type="dxa"/>
            <w:tcBorders>
              <w:top w:val="nil"/>
            </w:tcBorders>
            <w:shd w:val="clear" w:color="auto" w:fill="auto"/>
            <w:vAlign w:val="center"/>
          </w:tcPr>
          <w:p w14:paraId="5C61030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13.40</w:t>
            </w:r>
            <w:r w:rsidRPr="007740E4">
              <w:rPr>
                <w:rFonts w:ascii="Arial Narrow" w:hAnsi="Arial Narrow"/>
                <w:sz w:val="20"/>
                <w:szCs w:val="20"/>
              </w:rPr>
              <w:br/>
              <w:t>(10.5, 14.9)</w:t>
            </w:r>
          </w:p>
        </w:tc>
        <w:tc>
          <w:tcPr>
            <w:tcW w:w="1370" w:type="dxa"/>
            <w:tcBorders>
              <w:top w:val="nil"/>
            </w:tcBorders>
            <w:shd w:val="clear" w:color="auto" w:fill="auto"/>
            <w:vAlign w:val="center"/>
          </w:tcPr>
          <w:p w14:paraId="10BEAE4A"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14.40</w:t>
            </w:r>
            <w:r w:rsidRPr="007740E4">
              <w:rPr>
                <w:rFonts w:ascii="Arial Narrow" w:hAnsi="Arial Narrow"/>
                <w:sz w:val="20"/>
                <w:szCs w:val="20"/>
              </w:rPr>
              <w:br/>
              <w:t>(10.5, 14.9)</w:t>
            </w:r>
          </w:p>
        </w:tc>
      </w:tr>
      <w:tr w:rsidR="0014093D" w:rsidRPr="007740E4" w14:paraId="6B1A6648" w14:textId="77777777" w:rsidTr="00CC62A4">
        <w:tc>
          <w:tcPr>
            <w:tcW w:w="3256" w:type="dxa"/>
            <w:tcBorders>
              <w:top w:val="single" w:sz="4" w:space="0" w:color="auto"/>
            </w:tcBorders>
            <w:shd w:val="clear" w:color="auto" w:fill="auto"/>
            <w:vAlign w:val="bottom"/>
          </w:tcPr>
          <w:p w14:paraId="3C9670AD"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nil"/>
            </w:tcBorders>
            <w:shd w:val="clear" w:color="auto" w:fill="auto"/>
            <w:vAlign w:val="center"/>
          </w:tcPr>
          <w:p w14:paraId="726D6D6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 (86.7)</w:t>
            </w:r>
          </w:p>
        </w:tc>
        <w:tc>
          <w:tcPr>
            <w:tcW w:w="1276" w:type="dxa"/>
            <w:tcBorders>
              <w:top w:val="nil"/>
            </w:tcBorders>
            <w:shd w:val="clear" w:color="auto" w:fill="auto"/>
            <w:vAlign w:val="center"/>
          </w:tcPr>
          <w:p w14:paraId="6B0A9FA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tcBorders>
              <w:top w:val="nil"/>
            </w:tcBorders>
            <w:shd w:val="clear" w:color="auto" w:fill="auto"/>
            <w:vAlign w:val="center"/>
          </w:tcPr>
          <w:p w14:paraId="119B62C6"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5 (35.7)</w:t>
            </w:r>
          </w:p>
        </w:tc>
        <w:tc>
          <w:tcPr>
            <w:tcW w:w="1370" w:type="dxa"/>
            <w:tcBorders>
              <w:top w:val="nil"/>
            </w:tcBorders>
            <w:shd w:val="clear" w:color="auto" w:fill="auto"/>
            <w:vAlign w:val="center"/>
          </w:tcPr>
          <w:p w14:paraId="1128F3B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4 (28.6)</w:t>
            </w:r>
          </w:p>
        </w:tc>
      </w:tr>
      <w:tr w:rsidR="0014093D" w:rsidRPr="007740E4" w14:paraId="04898C5B" w14:textId="77777777" w:rsidTr="00CC62A4">
        <w:tc>
          <w:tcPr>
            <w:tcW w:w="3256" w:type="dxa"/>
            <w:shd w:val="clear" w:color="auto" w:fill="auto"/>
            <w:vAlign w:val="bottom"/>
          </w:tcPr>
          <w:p w14:paraId="6ED2B7D6" w14:textId="391EF9F3"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walking with assistance </w:t>
            </w:r>
            <w:r w:rsidR="00861BE4" w:rsidRPr="007740E4">
              <w:rPr>
                <w:rFonts w:ascii="Arial Narrow" w:hAnsi="Arial Narrow"/>
                <w:sz w:val="20"/>
                <w:szCs w:val="20"/>
              </w:rPr>
              <w:t>n (</w:t>
            </w:r>
            <w:r w:rsidRPr="007740E4">
              <w:rPr>
                <w:rFonts w:ascii="Arial Narrow" w:hAnsi="Arial Narrow"/>
                <w:sz w:val="20"/>
                <w:szCs w:val="20"/>
              </w:rPr>
              <w:t>%)</w:t>
            </w:r>
          </w:p>
        </w:tc>
        <w:tc>
          <w:tcPr>
            <w:tcW w:w="1559" w:type="dxa"/>
            <w:shd w:val="clear" w:color="auto" w:fill="auto"/>
            <w:vAlign w:val="center"/>
          </w:tcPr>
          <w:p w14:paraId="24E38B4C"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276" w:type="dxa"/>
            <w:shd w:val="clear" w:color="auto" w:fill="auto"/>
            <w:vAlign w:val="center"/>
          </w:tcPr>
          <w:p w14:paraId="4863B481"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shd w:val="clear" w:color="auto" w:fill="auto"/>
            <w:vAlign w:val="center"/>
          </w:tcPr>
          <w:p w14:paraId="3410A729"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12 (85.7)</w:t>
            </w:r>
          </w:p>
        </w:tc>
        <w:tc>
          <w:tcPr>
            <w:tcW w:w="1370" w:type="dxa"/>
            <w:shd w:val="clear" w:color="auto" w:fill="auto"/>
            <w:vAlign w:val="center"/>
          </w:tcPr>
          <w:p w14:paraId="7DE991C1"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(78.6)</w:t>
            </w:r>
          </w:p>
        </w:tc>
      </w:tr>
      <w:tr w:rsidR="0014093D" w:rsidRPr="007740E4" w14:paraId="6EF6E623" w14:textId="77777777" w:rsidTr="00CC62A4">
        <w:tc>
          <w:tcPr>
            <w:tcW w:w="3256" w:type="dxa"/>
            <w:tcBorders>
              <w:top w:val="single" w:sz="4" w:space="0" w:color="auto"/>
            </w:tcBorders>
            <w:shd w:val="clear" w:color="auto" w:fill="auto"/>
            <w:vAlign w:val="bottom"/>
          </w:tcPr>
          <w:p w14:paraId="2BDA409F"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nil"/>
            </w:tcBorders>
            <w:shd w:val="clear" w:color="auto" w:fill="auto"/>
            <w:vAlign w:val="center"/>
          </w:tcPr>
          <w:p w14:paraId="6EEDEB20"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12.30</w:t>
            </w:r>
            <w:r w:rsidRPr="007740E4">
              <w:rPr>
                <w:rFonts w:ascii="Arial Narrow" w:hAnsi="Arial Narrow"/>
                <w:sz w:val="20"/>
                <w:szCs w:val="20"/>
              </w:rPr>
              <w:br/>
              <w:t>(11.04, 13.46)</w:t>
            </w:r>
          </w:p>
        </w:tc>
        <w:tc>
          <w:tcPr>
            <w:tcW w:w="1276" w:type="dxa"/>
            <w:tcBorders>
              <w:top w:val="nil"/>
            </w:tcBorders>
            <w:shd w:val="clear" w:color="auto" w:fill="auto"/>
            <w:vAlign w:val="center"/>
          </w:tcPr>
          <w:p w14:paraId="386222E3"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12.20 </w:t>
            </w:r>
            <w:r w:rsidRPr="007740E4">
              <w:rPr>
                <w:rFonts w:ascii="Arial Narrow" w:hAnsi="Arial Narrow"/>
                <w:sz w:val="20"/>
                <w:szCs w:val="20"/>
              </w:rPr>
              <w:br/>
              <w:t>(10.9, 13.0)</w:t>
            </w:r>
          </w:p>
        </w:tc>
        <w:tc>
          <w:tcPr>
            <w:tcW w:w="1556" w:type="dxa"/>
            <w:tcBorders>
              <w:top w:val="nil"/>
            </w:tcBorders>
            <w:shd w:val="clear" w:color="auto" w:fill="auto"/>
            <w:vAlign w:val="center"/>
          </w:tcPr>
          <w:p w14:paraId="27E12679"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14.90</w:t>
            </w:r>
            <w:r w:rsidRPr="007740E4">
              <w:rPr>
                <w:rFonts w:ascii="Arial Narrow" w:hAnsi="Arial Narrow"/>
                <w:sz w:val="20"/>
                <w:szCs w:val="20"/>
              </w:rPr>
              <w:br/>
              <w:t>(13.3, 16.4)</w:t>
            </w:r>
          </w:p>
        </w:tc>
        <w:tc>
          <w:tcPr>
            <w:tcW w:w="1370" w:type="dxa"/>
            <w:tcBorders>
              <w:top w:val="nil"/>
            </w:tcBorders>
            <w:shd w:val="clear" w:color="auto" w:fill="auto"/>
            <w:vAlign w:val="center"/>
          </w:tcPr>
          <w:p w14:paraId="038DB8C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12.50</w:t>
            </w:r>
            <w:r w:rsidRPr="007740E4">
              <w:rPr>
                <w:rFonts w:ascii="Arial Narrow" w:hAnsi="Arial Narrow"/>
                <w:sz w:val="20"/>
                <w:szCs w:val="20"/>
              </w:rPr>
              <w:br/>
              <w:t>(11.8, 15.2)</w:t>
            </w:r>
          </w:p>
        </w:tc>
      </w:tr>
      <w:tr w:rsidR="0014093D" w:rsidRPr="007740E4" w14:paraId="7635E834" w14:textId="77777777" w:rsidTr="00CC62A4">
        <w:tc>
          <w:tcPr>
            <w:tcW w:w="3256" w:type="dxa"/>
            <w:tcBorders>
              <w:top w:val="single" w:sz="4" w:space="0" w:color="auto"/>
            </w:tcBorders>
            <w:shd w:val="clear" w:color="auto" w:fill="auto"/>
            <w:vAlign w:val="bottom"/>
          </w:tcPr>
          <w:p w14:paraId="10E7B4DE"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nil"/>
            </w:tcBorders>
            <w:shd w:val="clear" w:color="auto" w:fill="auto"/>
            <w:vAlign w:val="center"/>
          </w:tcPr>
          <w:p w14:paraId="24126EB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12 (80.0)</w:t>
            </w:r>
          </w:p>
        </w:tc>
        <w:tc>
          <w:tcPr>
            <w:tcW w:w="1276" w:type="dxa"/>
            <w:tcBorders>
              <w:top w:val="nil"/>
            </w:tcBorders>
            <w:shd w:val="clear" w:color="auto" w:fill="auto"/>
            <w:vAlign w:val="center"/>
          </w:tcPr>
          <w:p w14:paraId="722DE939"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 (86.7)</w:t>
            </w:r>
          </w:p>
        </w:tc>
        <w:tc>
          <w:tcPr>
            <w:tcW w:w="1556" w:type="dxa"/>
            <w:tcBorders>
              <w:top w:val="nil"/>
            </w:tcBorders>
            <w:shd w:val="clear" w:color="auto" w:fill="auto"/>
            <w:vAlign w:val="center"/>
          </w:tcPr>
          <w:p w14:paraId="665916E2"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5 (35.7)</w:t>
            </w:r>
          </w:p>
        </w:tc>
        <w:tc>
          <w:tcPr>
            <w:tcW w:w="1370" w:type="dxa"/>
            <w:tcBorders>
              <w:top w:val="nil"/>
            </w:tcBorders>
            <w:shd w:val="clear" w:color="auto" w:fill="auto"/>
            <w:vAlign w:val="center"/>
          </w:tcPr>
          <w:p w14:paraId="02CFBA9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6 (42.9)</w:t>
            </w:r>
          </w:p>
        </w:tc>
      </w:tr>
      <w:tr w:rsidR="0014093D" w:rsidRPr="007740E4" w14:paraId="6050808F" w14:textId="77777777" w:rsidTr="00CC62A4">
        <w:tc>
          <w:tcPr>
            <w:tcW w:w="3256" w:type="dxa"/>
            <w:shd w:val="clear" w:color="auto" w:fill="auto"/>
            <w:vAlign w:val="bottom"/>
          </w:tcPr>
          <w:p w14:paraId="0D19F953" w14:textId="45E71051"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standing alone </w:t>
            </w:r>
            <w:r w:rsidR="00861BE4" w:rsidRPr="007740E4">
              <w:rPr>
                <w:rFonts w:ascii="Arial Narrow" w:hAnsi="Arial Narrow"/>
                <w:sz w:val="20"/>
                <w:szCs w:val="20"/>
              </w:rPr>
              <w:t>n (</w:t>
            </w:r>
            <w:r w:rsidRPr="007740E4">
              <w:rPr>
                <w:rFonts w:ascii="Arial Narrow" w:hAnsi="Arial Narrow"/>
                <w:sz w:val="20"/>
                <w:szCs w:val="20"/>
              </w:rPr>
              <w:t>%)</w:t>
            </w:r>
          </w:p>
        </w:tc>
        <w:tc>
          <w:tcPr>
            <w:tcW w:w="1559" w:type="dxa"/>
            <w:shd w:val="clear" w:color="auto" w:fill="auto"/>
            <w:vAlign w:val="center"/>
          </w:tcPr>
          <w:p w14:paraId="387E94E2"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15 (100)</w:t>
            </w:r>
          </w:p>
        </w:tc>
        <w:tc>
          <w:tcPr>
            <w:tcW w:w="1276" w:type="dxa"/>
            <w:shd w:val="clear" w:color="auto" w:fill="C6D9F1" w:themeFill="text2" w:themeFillTint="33"/>
            <w:vAlign w:val="center"/>
          </w:tcPr>
          <w:p w14:paraId="6B2270A0"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15 (100)</w:t>
            </w:r>
          </w:p>
        </w:tc>
        <w:tc>
          <w:tcPr>
            <w:tcW w:w="1556" w:type="dxa"/>
            <w:shd w:val="clear" w:color="auto" w:fill="auto"/>
            <w:vAlign w:val="center"/>
          </w:tcPr>
          <w:p w14:paraId="234791C1"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10 (71.4)</w:t>
            </w:r>
          </w:p>
        </w:tc>
        <w:tc>
          <w:tcPr>
            <w:tcW w:w="1370" w:type="dxa"/>
            <w:shd w:val="clear" w:color="auto" w:fill="C6D9F1" w:themeFill="text2" w:themeFillTint="33"/>
            <w:vAlign w:val="center"/>
          </w:tcPr>
          <w:p w14:paraId="0BAF54AF"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(78.6)</w:t>
            </w:r>
          </w:p>
        </w:tc>
      </w:tr>
      <w:tr w:rsidR="0014093D" w:rsidRPr="007740E4" w14:paraId="0D11027E" w14:textId="77777777" w:rsidTr="00CC62A4">
        <w:tc>
          <w:tcPr>
            <w:tcW w:w="3256" w:type="dxa"/>
            <w:tcBorders>
              <w:top w:val="single" w:sz="4" w:space="0" w:color="auto"/>
            </w:tcBorders>
            <w:shd w:val="clear" w:color="auto" w:fill="auto"/>
            <w:vAlign w:val="bottom"/>
          </w:tcPr>
          <w:p w14:paraId="0B60D6A1"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nil"/>
            </w:tcBorders>
            <w:shd w:val="clear" w:color="auto" w:fill="auto"/>
            <w:vAlign w:val="center"/>
          </w:tcPr>
          <w:p w14:paraId="1D168873"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13.30</w:t>
            </w:r>
            <w:r w:rsidRPr="007740E4">
              <w:rPr>
                <w:rFonts w:ascii="Arial Narrow" w:hAnsi="Arial Narrow"/>
                <w:sz w:val="20"/>
                <w:szCs w:val="20"/>
              </w:rPr>
              <w:br/>
              <w:t>(12.97, 15.46)</w:t>
            </w:r>
          </w:p>
        </w:tc>
        <w:tc>
          <w:tcPr>
            <w:tcW w:w="1276" w:type="dxa"/>
            <w:tcBorders>
              <w:top w:val="nil"/>
            </w:tcBorders>
            <w:shd w:val="clear" w:color="auto" w:fill="auto"/>
            <w:vAlign w:val="center"/>
          </w:tcPr>
          <w:p w14:paraId="047D72D5"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12.60</w:t>
            </w:r>
            <w:r w:rsidRPr="007740E4">
              <w:rPr>
                <w:rFonts w:ascii="Arial Narrow" w:hAnsi="Arial Narrow"/>
                <w:sz w:val="20"/>
                <w:szCs w:val="20"/>
              </w:rPr>
              <w:br/>
              <w:t>(12.2, 14.7)</w:t>
            </w:r>
          </w:p>
        </w:tc>
        <w:tc>
          <w:tcPr>
            <w:tcW w:w="1556" w:type="dxa"/>
            <w:tcBorders>
              <w:top w:val="nil"/>
            </w:tcBorders>
            <w:shd w:val="clear" w:color="auto" w:fill="auto"/>
            <w:vAlign w:val="center"/>
          </w:tcPr>
          <w:p w14:paraId="5BAAFAB1"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16.40</w:t>
            </w:r>
            <w:r w:rsidRPr="007740E4">
              <w:rPr>
                <w:rFonts w:ascii="Arial Narrow" w:hAnsi="Arial Narrow"/>
                <w:sz w:val="20"/>
                <w:szCs w:val="20"/>
              </w:rPr>
              <w:br/>
              <w:t>(14.6, 18.0)</w:t>
            </w:r>
          </w:p>
        </w:tc>
        <w:tc>
          <w:tcPr>
            <w:tcW w:w="1370" w:type="dxa"/>
            <w:tcBorders>
              <w:top w:val="nil"/>
            </w:tcBorders>
            <w:shd w:val="clear" w:color="auto" w:fill="auto"/>
            <w:vAlign w:val="center"/>
          </w:tcPr>
          <w:p w14:paraId="496043AC"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15.30</w:t>
            </w:r>
            <w:r w:rsidRPr="007740E4">
              <w:rPr>
                <w:rFonts w:ascii="Arial Narrow" w:hAnsi="Arial Narrow"/>
                <w:sz w:val="20"/>
                <w:szCs w:val="20"/>
              </w:rPr>
              <w:br/>
              <w:t>(13.4, 17.1)</w:t>
            </w:r>
          </w:p>
        </w:tc>
      </w:tr>
      <w:tr w:rsidR="0014093D" w:rsidRPr="007740E4" w14:paraId="6EE7EBB8" w14:textId="77777777" w:rsidTr="00CC62A4">
        <w:tc>
          <w:tcPr>
            <w:tcW w:w="3256" w:type="dxa"/>
            <w:tcBorders>
              <w:top w:val="single" w:sz="4" w:space="0" w:color="auto"/>
            </w:tcBorders>
            <w:shd w:val="clear" w:color="auto" w:fill="auto"/>
            <w:vAlign w:val="bottom"/>
          </w:tcPr>
          <w:p w14:paraId="6099498E"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nil"/>
            </w:tcBorders>
            <w:shd w:val="clear" w:color="auto" w:fill="auto"/>
            <w:vAlign w:val="center"/>
          </w:tcPr>
          <w:p w14:paraId="73A7A5BF"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 (86.7)</w:t>
            </w:r>
          </w:p>
        </w:tc>
        <w:tc>
          <w:tcPr>
            <w:tcW w:w="1276" w:type="dxa"/>
            <w:tcBorders>
              <w:top w:val="nil"/>
            </w:tcBorders>
            <w:shd w:val="clear" w:color="auto" w:fill="C6D9F1" w:themeFill="text2" w:themeFillTint="33"/>
            <w:vAlign w:val="center"/>
          </w:tcPr>
          <w:p w14:paraId="018E9670"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 (93.3)</w:t>
            </w:r>
          </w:p>
        </w:tc>
        <w:tc>
          <w:tcPr>
            <w:tcW w:w="1556" w:type="dxa"/>
            <w:tcBorders>
              <w:top w:val="nil"/>
            </w:tcBorders>
            <w:shd w:val="clear" w:color="auto" w:fill="auto"/>
            <w:vAlign w:val="center"/>
          </w:tcPr>
          <w:p w14:paraId="562DF884"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5 (35.7)</w:t>
            </w:r>
          </w:p>
        </w:tc>
        <w:tc>
          <w:tcPr>
            <w:tcW w:w="1370" w:type="dxa"/>
            <w:tcBorders>
              <w:top w:val="nil"/>
            </w:tcBorders>
            <w:shd w:val="clear" w:color="auto" w:fill="auto"/>
            <w:vAlign w:val="center"/>
          </w:tcPr>
          <w:p w14:paraId="3CA3B1C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7 (50.0)</w:t>
            </w:r>
          </w:p>
        </w:tc>
      </w:tr>
      <w:tr w:rsidR="0014093D" w:rsidRPr="007740E4" w14:paraId="78AE7849" w14:textId="77777777" w:rsidTr="00CC62A4">
        <w:tc>
          <w:tcPr>
            <w:tcW w:w="3256" w:type="dxa"/>
            <w:shd w:val="clear" w:color="auto" w:fill="auto"/>
            <w:vAlign w:val="bottom"/>
          </w:tcPr>
          <w:p w14:paraId="524AD62C" w14:textId="3E192D9F" w:rsidR="0014093D" w:rsidRPr="007740E4" w:rsidRDefault="0014093D" w:rsidP="00B00909">
            <w:pPr>
              <w:rPr>
                <w:rFonts w:ascii="Arial Narrow" w:hAnsi="Arial Narrow"/>
                <w:sz w:val="20"/>
                <w:szCs w:val="20"/>
              </w:rPr>
            </w:pPr>
            <w:r w:rsidRPr="007740E4">
              <w:rPr>
                <w:rFonts w:ascii="Arial Narrow" w:hAnsi="Arial Narrow"/>
                <w:sz w:val="20"/>
                <w:szCs w:val="20"/>
              </w:rPr>
              <w:t xml:space="preserve">Achieved walking alone </w:t>
            </w:r>
            <w:r w:rsidR="00861BE4" w:rsidRPr="007740E4">
              <w:rPr>
                <w:rFonts w:ascii="Arial Narrow" w:hAnsi="Arial Narrow"/>
                <w:sz w:val="20"/>
                <w:szCs w:val="20"/>
              </w:rPr>
              <w:t>n (</w:t>
            </w:r>
            <w:r w:rsidRPr="007740E4">
              <w:rPr>
                <w:rFonts w:ascii="Arial Narrow" w:hAnsi="Arial Narrow"/>
                <w:sz w:val="20"/>
                <w:szCs w:val="20"/>
              </w:rPr>
              <w:t>%)</w:t>
            </w:r>
          </w:p>
        </w:tc>
        <w:tc>
          <w:tcPr>
            <w:tcW w:w="1559" w:type="dxa"/>
            <w:shd w:val="clear" w:color="auto" w:fill="auto"/>
            <w:vAlign w:val="center"/>
          </w:tcPr>
          <w:p w14:paraId="1C073838"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14 (93.3) </w:t>
            </w:r>
            <w:r w:rsidRPr="007740E4">
              <w:rPr>
                <w:rFonts w:ascii="Arial Narrow" w:hAnsi="Arial Narrow"/>
                <w:sz w:val="20"/>
                <w:szCs w:val="20"/>
                <w:vertAlign w:val="superscript"/>
              </w:rPr>
              <w:t>a</w:t>
            </w:r>
          </w:p>
        </w:tc>
        <w:tc>
          <w:tcPr>
            <w:tcW w:w="1276" w:type="dxa"/>
            <w:shd w:val="clear" w:color="auto" w:fill="C6D9F1" w:themeFill="text2" w:themeFillTint="33"/>
            <w:vAlign w:val="center"/>
          </w:tcPr>
          <w:p w14:paraId="5C0474D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 xml:space="preserve">14 (93.3) </w:t>
            </w:r>
            <w:r w:rsidRPr="007740E4">
              <w:rPr>
                <w:rFonts w:ascii="Arial Narrow" w:hAnsi="Arial Narrow"/>
                <w:sz w:val="20"/>
                <w:szCs w:val="20"/>
                <w:vertAlign w:val="superscript"/>
              </w:rPr>
              <w:t>a</w:t>
            </w:r>
          </w:p>
        </w:tc>
        <w:tc>
          <w:tcPr>
            <w:tcW w:w="1556" w:type="dxa"/>
            <w:shd w:val="clear" w:color="auto" w:fill="auto"/>
            <w:vAlign w:val="center"/>
          </w:tcPr>
          <w:p w14:paraId="3203344C"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10 (71.4)</w:t>
            </w:r>
          </w:p>
        </w:tc>
        <w:tc>
          <w:tcPr>
            <w:tcW w:w="1370" w:type="dxa"/>
            <w:shd w:val="clear" w:color="auto" w:fill="C6D9F1" w:themeFill="text2" w:themeFillTint="33"/>
            <w:vAlign w:val="center"/>
          </w:tcPr>
          <w:p w14:paraId="3FFA196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9 (64.3)</w:t>
            </w:r>
          </w:p>
        </w:tc>
      </w:tr>
      <w:tr w:rsidR="0014093D" w:rsidRPr="007740E4" w14:paraId="1BFBD0CF" w14:textId="77777777" w:rsidTr="00CC62A4">
        <w:tc>
          <w:tcPr>
            <w:tcW w:w="3256" w:type="dxa"/>
            <w:tcBorders>
              <w:top w:val="single" w:sz="4" w:space="0" w:color="auto"/>
            </w:tcBorders>
            <w:shd w:val="clear" w:color="auto" w:fill="auto"/>
            <w:vAlign w:val="bottom"/>
          </w:tcPr>
          <w:p w14:paraId="584974DD"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Median age (months) at earliest achievement (95%CI)</w:t>
            </w:r>
          </w:p>
        </w:tc>
        <w:tc>
          <w:tcPr>
            <w:tcW w:w="1559" w:type="dxa"/>
            <w:tcBorders>
              <w:top w:val="nil"/>
            </w:tcBorders>
            <w:shd w:val="clear" w:color="auto" w:fill="auto"/>
            <w:vAlign w:val="center"/>
          </w:tcPr>
          <w:p w14:paraId="1515354E"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14.05</w:t>
            </w:r>
            <w:r w:rsidRPr="007740E4">
              <w:rPr>
                <w:rFonts w:ascii="Arial Narrow" w:hAnsi="Arial Narrow"/>
                <w:sz w:val="20"/>
                <w:szCs w:val="20"/>
              </w:rPr>
              <w:br/>
              <w:t>(13.02, 15.37)</w:t>
            </w:r>
          </w:p>
        </w:tc>
        <w:tc>
          <w:tcPr>
            <w:tcW w:w="1276" w:type="dxa"/>
            <w:tcBorders>
              <w:top w:val="nil"/>
            </w:tcBorders>
            <w:shd w:val="clear" w:color="auto" w:fill="auto"/>
            <w:vAlign w:val="center"/>
          </w:tcPr>
          <w:p w14:paraId="69AA9DD7"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14.10</w:t>
            </w:r>
            <w:r w:rsidRPr="007740E4">
              <w:rPr>
                <w:rFonts w:ascii="Arial Narrow" w:hAnsi="Arial Narrow"/>
                <w:sz w:val="20"/>
                <w:szCs w:val="20"/>
              </w:rPr>
              <w:br/>
              <w:t>(13.2, 16.1)</w:t>
            </w:r>
          </w:p>
        </w:tc>
        <w:tc>
          <w:tcPr>
            <w:tcW w:w="1556" w:type="dxa"/>
            <w:tcBorders>
              <w:top w:val="nil"/>
            </w:tcBorders>
            <w:shd w:val="clear" w:color="auto" w:fill="auto"/>
            <w:vAlign w:val="center"/>
          </w:tcPr>
          <w:p w14:paraId="51763D43"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16.40</w:t>
            </w:r>
            <w:r w:rsidRPr="007740E4">
              <w:rPr>
                <w:rFonts w:ascii="Arial Narrow" w:hAnsi="Arial Narrow"/>
                <w:sz w:val="20"/>
                <w:szCs w:val="20"/>
              </w:rPr>
              <w:br/>
              <w:t>(14.4, 17.9)</w:t>
            </w:r>
          </w:p>
        </w:tc>
        <w:tc>
          <w:tcPr>
            <w:tcW w:w="1370" w:type="dxa"/>
            <w:tcBorders>
              <w:top w:val="nil"/>
            </w:tcBorders>
            <w:shd w:val="clear" w:color="auto" w:fill="auto"/>
            <w:vAlign w:val="center"/>
          </w:tcPr>
          <w:p w14:paraId="40190C5B"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17.50</w:t>
            </w:r>
            <w:r w:rsidRPr="007740E4">
              <w:rPr>
                <w:rFonts w:ascii="Arial Narrow" w:hAnsi="Arial Narrow"/>
                <w:sz w:val="20"/>
                <w:szCs w:val="20"/>
              </w:rPr>
              <w:br/>
              <w:t>(14.3, 18.3)</w:t>
            </w:r>
          </w:p>
        </w:tc>
      </w:tr>
      <w:tr w:rsidR="0014093D" w:rsidRPr="007740E4" w14:paraId="12630607" w14:textId="77777777" w:rsidTr="00CC62A4">
        <w:tc>
          <w:tcPr>
            <w:tcW w:w="3256" w:type="dxa"/>
            <w:tcBorders>
              <w:top w:val="single" w:sz="4" w:space="0" w:color="auto"/>
            </w:tcBorders>
            <w:shd w:val="clear" w:color="auto" w:fill="auto"/>
            <w:vAlign w:val="bottom"/>
          </w:tcPr>
          <w:p w14:paraId="26864F32" w14:textId="77777777" w:rsidR="0014093D" w:rsidRPr="007740E4" w:rsidRDefault="0014093D" w:rsidP="00B00909">
            <w:pPr>
              <w:ind w:left="113"/>
              <w:jc w:val="left"/>
              <w:rPr>
                <w:rFonts w:ascii="Arial Narrow" w:hAnsi="Arial Narrow"/>
                <w:sz w:val="20"/>
                <w:szCs w:val="20"/>
              </w:rPr>
            </w:pPr>
            <w:r w:rsidRPr="007740E4">
              <w:rPr>
                <w:rFonts w:ascii="Arial Narrow" w:hAnsi="Arial Narrow"/>
                <w:sz w:val="20"/>
                <w:szCs w:val="20"/>
              </w:rPr>
              <w:t>Achieved within 99</w:t>
            </w:r>
            <w:r w:rsidRPr="007740E4">
              <w:rPr>
                <w:rFonts w:ascii="Arial Narrow" w:hAnsi="Arial Narrow"/>
                <w:sz w:val="20"/>
                <w:szCs w:val="20"/>
                <w:vertAlign w:val="superscript"/>
              </w:rPr>
              <w:t>th</w:t>
            </w:r>
            <w:r w:rsidRPr="007740E4">
              <w:rPr>
                <w:rFonts w:ascii="Arial Narrow" w:hAnsi="Arial Narrow"/>
                <w:sz w:val="20"/>
                <w:szCs w:val="20"/>
              </w:rPr>
              <w:t xml:space="preserve"> percentile of normal development, n (%)</w:t>
            </w:r>
          </w:p>
        </w:tc>
        <w:tc>
          <w:tcPr>
            <w:tcW w:w="1559" w:type="dxa"/>
            <w:tcBorders>
              <w:top w:val="nil"/>
            </w:tcBorders>
            <w:shd w:val="clear" w:color="auto" w:fill="auto"/>
            <w:vAlign w:val="center"/>
          </w:tcPr>
          <w:p w14:paraId="0998FB46"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13 (86.7)</w:t>
            </w:r>
          </w:p>
        </w:tc>
        <w:tc>
          <w:tcPr>
            <w:tcW w:w="1276" w:type="dxa"/>
            <w:tcBorders>
              <w:top w:val="nil"/>
            </w:tcBorders>
            <w:shd w:val="clear" w:color="auto" w:fill="C6D9F1" w:themeFill="text2" w:themeFillTint="33"/>
            <w:vAlign w:val="center"/>
          </w:tcPr>
          <w:p w14:paraId="4CEC5231"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11 (73.3)</w:t>
            </w:r>
          </w:p>
        </w:tc>
        <w:tc>
          <w:tcPr>
            <w:tcW w:w="1556" w:type="dxa"/>
            <w:tcBorders>
              <w:top w:val="nil"/>
            </w:tcBorders>
            <w:shd w:val="clear" w:color="auto" w:fill="auto"/>
            <w:vAlign w:val="center"/>
          </w:tcPr>
          <w:p w14:paraId="211A109F"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6 (42.9)</w:t>
            </w:r>
          </w:p>
        </w:tc>
        <w:tc>
          <w:tcPr>
            <w:tcW w:w="1370" w:type="dxa"/>
            <w:tcBorders>
              <w:top w:val="nil"/>
            </w:tcBorders>
            <w:shd w:val="clear" w:color="auto" w:fill="auto"/>
            <w:vAlign w:val="center"/>
          </w:tcPr>
          <w:p w14:paraId="7FFC7009" w14:textId="77777777" w:rsidR="0014093D" w:rsidRPr="007740E4" w:rsidRDefault="0014093D" w:rsidP="00B00909">
            <w:pPr>
              <w:jc w:val="center"/>
              <w:rPr>
                <w:rFonts w:ascii="Arial Narrow" w:hAnsi="Arial Narrow"/>
                <w:sz w:val="20"/>
                <w:szCs w:val="20"/>
              </w:rPr>
            </w:pPr>
            <w:r w:rsidRPr="007740E4">
              <w:rPr>
                <w:rFonts w:ascii="Arial Narrow" w:hAnsi="Arial Narrow"/>
                <w:sz w:val="20"/>
                <w:szCs w:val="20"/>
              </w:rPr>
              <w:t>5 (35.7)</w:t>
            </w:r>
          </w:p>
        </w:tc>
      </w:tr>
    </w:tbl>
    <w:p w14:paraId="7BEAFEA6" w14:textId="77777777" w:rsidR="0014093D" w:rsidRPr="007740E4" w:rsidRDefault="0014093D" w:rsidP="00B00909">
      <w:pPr>
        <w:pStyle w:val="TableFigureFooter"/>
        <w:rPr>
          <w:rStyle w:val="CommentReference"/>
          <w:b w:val="0"/>
          <w:bCs/>
          <w:sz w:val="18"/>
          <w:szCs w:val="18"/>
        </w:rPr>
      </w:pPr>
      <w:r w:rsidRPr="007740E4">
        <w:rPr>
          <w:rStyle w:val="CommentReference"/>
          <w:b w:val="0"/>
          <w:bCs/>
          <w:sz w:val="18"/>
          <w:szCs w:val="18"/>
        </w:rPr>
        <w:t xml:space="preserve">Blue shading represents results previously presented and considered at the PBAC November 2022 meeting.  </w:t>
      </w:r>
    </w:p>
    <w:p w14:paraId="01382AC8" w14:textId="77777777" w:rsidR="0014093D" w:rsidRPr="007740E4" w:rsidRDefault="0014093D" w:rsidP="00B00909">
      <w:pPr>
        <w:pStyle w:val="TableFigureFooter"/>
      </w:pPr>
      <w:r w:rsidRPr="007740E4">
        <w:t xml:space="preserve">Source: Tables 2.19-2.25, pp102-106 of the resubmission. </w:t>
      </w:r>
    </w:p>
    <w:p w14:paraId="62CDF386" w14:textId="0D64C3F1" w:rsidR="0014093D" w:rsidRPr="007740E4" w:rsidRDefault="0014093D" w:rsidP="00B00909">
      <w:pPr>
        <w:pStyle w:val="TableFigureFooter"/>
        <w:spacing w:after="0"/>
        <w:contextualSpacing w:val="0"/>
      </w:pPr>
      <w:r w:rsidRPr="007740E4">
        <w:t xml:space="preserve">BSID=Bayley Scale for Infant Development; </w:t>
      </w:r>
      <w:r w:rsidR="00B64F80" w:rsidRPr="007740E4">
        <w:rPr>
          <w:i/>
          <w:szCs w:val="18"/>
        </w:rPr>
        <w:t>SMN2</w:t>
      </w:r>
      <w:r w:rsidRPr="007740E4">
        <w:rPr>
          <w:szCs w:val="18"/>
        </w:rPr>
        <w:t xml:space="preserve">=survival motor neuron 2; </w:t>
      </w:r>
      <w:r w:rsidRPr="007740E4">
        <w:t>WHO-MGRS=World Health Organisation Multicentre Growth Reference Study</w:t>
      </w:r>
    </w:p>
    <w:p w14:paraId="120456B7" w14:textId="4358A992" w:rsidR="0014093D" w:rsidRPr="007740E4" w:rsidRDefault="0014093D" w:rsidP="00B00909">
      <w:pPr>
        <w:pStyle w:val="TableFigureFooter"/>
        <w:spacing w:after="0"/>
        <w:contextualSpacing w:val="0"/>
      </w:pPr>
      <w:r w:rsidRPr="007740E4">
        <w:t>† Measured up to and including the 24 months of age visit; ‡ Measured up to and including the 18 months of age visit</w:t>
      </w:r>
    </w:p>
    <w:p w14:paraId="4800FE11" w14:textId="21216488" w:rsidR="00F530E7" w:rsidRDefault="0014093D" w:rsidP="00B00909">
      <w:pPr>
        <w:pStyle w:val="TableFigureFooter"/>
        <w:contextualSpacing w:val="0"/>
      </w:pPr>
      <w:r w:rsidRPr="007740E4">
        <w:t xml:space="preserve">a One patient did not have any recorded video footage for central review confirmation of being able to walk alone and was not formally counted as achieving this milestone prior to reaching 24 months of age. </w:t>
      </w:r>
      <w:r w:rsidR="00861BE4" w:rsidRPr="007740E4">
        <w:t>However,</w:t>
      </w:r>
      <w:r w:rsidRPr="007740E4">
        <w:t xml:space="preserve"> at the age 24 month visit, the clinical evaluator observed by video that the patient was able to stand and walk alone. </w:t>
      </w:r>
    </w:p>
    <w:p w14:paraId="7371CD13" w14:textId="5D9B5ADD" w:rsidR="0014093D" w:rsidRPr="007740E4" w:rsidRDefault="0014093D" w:rsidP="0014093D">
      <w:pPr>
        <w:pStyle w:val="3-BodyText"/>
      </w:pPr>
      <w:r w:rsidRPr="007740E4">
        <w:t xml:space="preserve">Overall, compared to patients </w:t>
      </w:r>
      <w:r w:rsidR="00F530E7">
        <w:t xml:space="preserve">with </w:t>
      </w:r>
      <w:r w:rsidRPr="007740E4">
        <w:t xml:space="preserve">2 copies of </w:t>
      </w:r>
      <w:r w:rsidR="00B64F80" w:rsidRPr="007740E4">
        <w:rPr>
          <w:i/>
        </w:rPr>
        <w:t>SMN2</w:t>
      </w:r>
      <w:r w:rsidRPr="007740E4">
        <w:t xml:space="preserve">, a larger proportion of patients </w:t>
      </w:r>
      <w:r w:rsidR="00F530E7">
        <w:t xml:space="preserve">with </w:t>
      </w:r>
      <w:r w:rsidRPr="007740E4">
        <w:t xml:space="preserve">3 copies of </w:t>
      </w:r>
      <w:r w:rsidR="00B64F80" w:rsidRPr="007740E4">
        <w:rPr>
          <w:i/>
        </w:rPr>
        <w:t>SMN2</w:t>
      </w:r>
      <w:r w:rsidRPr="007740E4">
        <w:t xml:space="preserve"> </w:t>
      </w:r>
      <w:r w:rsidR="00F530E7">
        <w:t xml:space="preserve">enrolled in the </w:t>
      </w:r>
      <w:r w:rsidRPr="007740E4">
        <w:t xml:space="preserve">SPR1NT study achieved more advanced developmental milestones and these were consistently achieved within a shorter median time. </w:t>
      </w:r>
      <w:r w:rsidR="00F530E7">
        <w:t>A</w:t>
      </w:r>
      <w:r w:rsidRPr="007740E4">
        <w:t xml:space="preserve"> larger proportion of patients </w:t>
      </w:r>
      <w:r w:rsidR="00F530E7">
        <w:t xml:space="preserve">with </w:t>
      </w:r>
      <w:r w:rsidRPr="007740E4">
        <w:t xml:space="preserve">3 copies of </w:t>
      </w:r>
      <w:r w:rsidR="00B64F80" w:rsidRPr="007740E4">
        <w:rPr>
          <w:i/>
        </w:rPr>
        <w:t>SMN2</w:t>
      </w:r>
      <w:r w:rsidRPr="007740E4">
        <w:t xml:space="preserve"> </w:t>
      </w:r>
      <w:r w:rsidR="00850527">
        <w:t xml:space="preserve">also </w:t>
      </w:r>
      <w:r w:rsidRPr="007740E4">
        <w:t xml:space="preserve">achieved their relevant developmental milestones within the upper bound of normal development according to the WHO-MGRS. Walking for 14 children and standing for one child represented the highest achieved milestones for patients </w:t>
      </w:r>
      <w:r w:rsidR="00850527">
        <w:t xml:space="preserve">with 3 copies of </w:t>
      </w:r>
      <w:r w:rsidR="00850527" w:rsidRPr="00850527">
        <w:rPr>
          <w:i/>
          <w:iCs/>
        </w:rPr>
        <w:t>SMN2</w:t>
      </w:r>
      <w:r w:rsidR="00850527">
        <w:t xml:space="preserve"> </w:t>
      </w:r>
      <w:r w:rsidRPr="007740E4">
        <w:t xml:space="preserve">enrolled in </w:t>
      </w:r>
      <w:r w:rsidR="00850527">
        <w:t>SPR1NT</w:t>
      </w:r>
      <w:r w:rsidRPr="007740E4">
        <w:t xml:space="preserve">. </w:t>
      </w:r>
    </w:p>
    <w:p w14:paraId="6FD5424B" w14:textId="79B1AD4A" w:rsidR="0014093D" w:rsidRPr="00820898" w:rsidRDefault="0014093D" w:rsidP="0091133E">
      <w:pPr>
        <w:pStyle w:val="3-BodyText"/>
      </w:pPr>
      <w:r w:rsidRPr="007740E4">
        <w:t>A total of 25 patients (12 with 2</w:t>
      </w:r>
      <w:r w:rsidR="00B64F80" w:rsidRPr="007740E4">
        <w:rPr>
          <w:i/>
        </w:rPr>
        <w:t>SMN2</w:t>
      </w:r>
      <w:r w:rsidRPr="007740E4">
        <w:t xml:space="preserve"> copies; 13 with 3</w:t>
      </w:r>
      <w:r w:rsidR="00B64F80" w:rsidRPr="007740E4">
        <w:rPr>
          <w:i/>
        </w:rPr>
        <w:t>SMN2</w:t>
      </w:r>
      <w:r w:rsidRPr="007740E4">
        <w:t xml:space="preserve"> copies) from SPR1NT rolled over into LT-002. At the time of the latest data cut-off (23 May 2022</w:t>
      </w:r>
      <w:r w:rsidR="006A1D98">
        <w:t>, median age 40.1 months</w:t>
      </w:r>
      <w:r w:rsidRPr="007740E4">
        <w:t>), all patients in both cohorts had achieved and maintained the highest developmental milestone of walking alone</w:t>
      </w:r>
      <w:r w:rsidRPr="00820898">
        <w:t>.</w:t>
      </w:r>
      <w:r w:rsidR="00CB5EEC" w:rsidRPr="00820898">
        <w:t xml:space="preserve"> </w:t>
      </w:r>
      <w:r w:rsidR="006A1D98" w:rsidRPr="00820898">
        <w:t>Longer-term results</w:t>
      </w:r>
      <w:r w:rsidR="00D326CE" w:rsidRPr="00820898">
        <w:t>,</w:t>
      </w:r>
      <w:r w:rsidR="006A1D98" w:rsidRPr="00820898">
        <w:t xml:space="preserve"> including whether patients will regress</w:t>
      </w:r>
      <w:r w:rsidR="00AA7A17" w:rsidRPr="00820898">
        <w:t xml:space="preserve">, </w:t>
      </w:r>
      <w:r w:rsidR="00DA1076" w:rsidRPr="00820898">
        <w:t>w</w:t>
      </w:r>
      <w:r w:rsidR="00DA1076">
        <w:t>ere</w:t>
      </w:r>
      <w:r w:rsidR="00DA1076" w:rsidRPr="00820898">
        <w:t xml:space="preserve"> </w:t>
      </w:r>
      <w:r w:rsidR="00AA7A17" w:rsidRPr="00820898">
        <w:t>unknown.</w:t>
      </w:r>
      <w:r w:rsidR="00E24108" w:rsidRPr="00E24108">
        <w:t xml:space="preserve"> </w:t>
      </w:r>
    </w:p>
    <w:p w14:paraId="66D9DDB4" w14:textId="4E523F81" w:rsidR="00B3142A" w:rsidRPr="00820898" w:rsidRDefault="0014093D" w:rsidP="0014093D">
      <w:pPr>
        <w:pStyle w:val="3-BodyText"/>
      </w:pPr>
      <w:r w:rsidRPr="00820898">
        <w:t xml:space="preserve">The PBAC has previously noted that “based on natural history data, the majority of type IIIa and IIIb SMA patients, who are likely to have 3 or more copies of </w:t>
      </w:r>
      <w:r w:rsidR="00EA2BFF" w:rsidRPr="00EA2BFF">
        <w:rPr>
          <w:i/>
        </w:rPr>
        <w:t>SMN2</w:t>
      </w:r>
      <w:r w:rsidRPr="00820898">
        <w:t xml:space="preserve">, retained the ability to walk after 10 years. Therefore, a proportion of patients treated pre-symptomatically with ONA would have achieved the ability to walk without treatment” (paragraph 7.6, </w:t>
      </w:r>
      <w:r w:rsidR="00DA1076">
        <w:t>ONA</w:t>
      </w:r>
      <w:r w:rsidRPr="00820898">
        <w:t xml:space="preserve"> </w:t>
      </w:r>
      <w:r w:rsidR="00D862B0" w:rsidRPr="00820898">
        <w:t>PSD</w:t>
      </w:r>
      <w:r w:rsidRPr="00820898">
        <w:t>, November 2022 PBAC meeting). Given this</w:t>
      </w:r>
      <w:r w:rsidR="002628D3" w:rsidRPr="00820898">
        <w:t>,</w:t>
      </w:r>
      <w:r w:rsidRPr="00820898">
        <w:t xml:space="preserve"> better outcomes in patients with 3 copies of </w:t>
      </w:r>
      <w:r w:rsidR="00EA2BFF" w:rsidRPr="00EA2BFF">
        <w:rPr>
          <w:i/>
        </w:rPr>
        <w:t>SMN2</w:t>
      </w:r>
      <w:r w:rsidRPr="00820898">
        <w:t xml:space="preserve"> compared to patients with 2 copies of </w:t>
      </w:r>
      <w:r w:rsidR="00EA2BFF" w:rsidRPr="00EA2BFF">
        <w:rPr>
          <w:i/>
        </w:rPr>
        <w:t>SMN2</w:t>
      </w:r>
      <w:r w:rsidRPr="00820898">
        <w:t xml:space="preserve"> would likely be observed</w:t>
      </w:r>
      <w:r w:rsidR="002628D3" w:rsidRPr="00820898">
        <w:t xml:space="preserve"> even in the absence of treatment</w:t>
      </w:r>
      <w:r w:rsidRPr="00820898">
        <w:t xml:space="preserve">, </w:t>
      </w:r>
      <w:r w:rsidR="000C445A" w:rsidRPr="00820898">
        <w:t xml:space="preserve">and it was not possible to accurately distinguish the treatment effect of </w:t>
      </w:r>
      <w:r w:rsidR="00682CC8" w:rsidRPr="00820898">
        <w:t>pre-symptomatic</w:t>
      </w:r>
      <w:r w:rsidR="000C445A" w:rsidRPr="00820898">
        <w:t xml:space="preserve"> treatment with a DMT from any natural development of the patient in the absence of an appropriate control group. </w:t>
      </w:r>
    </w:p>
    <w:p w14:paraId="3DF7B35C" w14:textId="4142435D" w:rsidR="00565F68" w:rsidRPr="00820898" w:rsidRDefault="00565F68" w:rsidP="0014093D">
      <w:pPr>
        <w:pStyle w:val="3-BodyText"/>
      </w:pPr>
      <w:r w:rsidRPr="00820898">
        <w:t>Based on the results from SPR1NT, no conclusion could be drawn with regards to the magnitude of incremental benefit (if any) for pre</w:t>
      </w:r>
      <w:r w:rsidRPr="00820898">
        <w:noBreakHyphen/>
        <w:t xml:space="preserve">symptomatic ONA treatment </w:t>
      </w:r>
      <w:r w:rsidR="00D42A11" w:rsidRPr="00820898">
        <w:t xml:space="preserve">compared to symptomatic initiation of treatment in either </w:t>
      </w:r>
      <w:r w:rsidRPr="00820898">
        <w:t xml:space="preserve">patients with 3 copies of </w:t>
      </w:r>
      <w:r w:rsidRPr="00DA1076">
        <w:rPr>
          <w:i/>
          <w:iCs/>
        </w:rPr>
        <w:t>SMN2</w:t>
      </w:r>
      <w:r w:rsidRPr="00820898">
        <w:t xml:space="preserve"> </w:t>
      </w:r>
      <w:r w:rsidR="00D42A11" w:rsidRPr="00820898">
        <w:t xml:space="preserve">or in </w:t>
      </w:r>
      <w:r w:rsidRPr="00820898">
        <w:t xml:space="preserve">patients with 2 copies of </w:t>
      </w:r>
      <w:r w:rsidRPr="00DA1076">
        <w:rPr>
          <w:i/>
          <w:iCs/>
        </w:rPr>
        <w:t>SMN2</w:t>
      </w:r>
      <w:r w:rsidR="00D42A11" w:rsidRPr="00820898">
        <w:t xml:space="preserve">, therefore a comparison of the incremental benefit </w:t>
      </w:r>
      <w:r w:rsidR="00D22242" w:rsidRPr="00820898">
        <w:t xml:space="preserve">of pre-symptomatic treatment in patients with 3 copies of </w:t>
      </w:r>
      <w:r w:rsidR="00D22242" w:rsidRPr="00DA1076">
        <w:rPr>
          <w:i/>
          <w:iCs/>
        </w:rPr>
        <w:t>SMN2</w:t>
      </w:r>
      <w:r w:rsidR="00D22242" w:rsidRPr="00820898">
        <w:t xml:space="preserve"> with pre</w:t>
      </w:r>
      <w:r w:rsidR="00D22242" w:rsidRPr="00820898">
        <w:noBreakHyphen/>
        <w:t xml:space="preserve">symptomatic treatment in patients with 2 copies of </w:t>
      </w:r>
      <w:r w:rsidR="00D22242" w:rsidRPr="00DA1076">
        <w:rPr>
          <w:i/>
          <w:iCs/>
        </w:rPr>
        <w:t>SMN2</w:t>
      </w:r>
      <w:r w:rsidR="00D22242" w:rsidRPr="00820898">
        <w:t xml:space="preserve"> could not be conducted</w:t>
      </w:r>
      <w:r w:rsidRPr="00820898">
        <w:t>.</w:t>
      </w:r>
    </w:p>
    <w:p w14:paraId="7C3351E5" w14:textId="5D80F086" w:rsidR="00436DAE" w:rsidRPr="00436DAE" w:rsidRDefault="00436DAE" w:rsidP="00436DAE">
      <w:pPr>
        <w:pStyle w:val="3-BodyText"/>
        <w:numPr>
          <w:ilvl w:val="0"/>
          <w:numId w:val="0"/>
        </w:numPr>
        <w:rPr>
          <w:i/>
          <w:u w:val="single"/>
        </w:rPr>
      </w:pPr>
      <w:r>
        <w:rPr>
          <w:u w:val="single"/>
        </w:rPr>
        <w:t>Near market comparators</w:t>
      </w:r>
    </w:p>
    <w:p w14:paraId="263301F0" w14:textId="2770E661" w:rsidR="0014093D" w:rsidRPr="007740E4" w:rsidRDefault="0014093D" w:rsidP="0014093D">
      <w:pPr>
        <w:pStyle w:val="3-BodyText"/>
      </w:pPr>
      <w:r w:rsidRPr="007740E4">
        <w:fldChar w:fldCharType="begin" w:fldLock="1"/>
      </w:r>
      <w:r w:rsidRPr="007740E4">
        <w:instrText xml:space="preserve"> REF _Ref134270218 \h </w:instrText>
      </w:r>
      <w:r w:rsidRPr="007740E4">
        <w:fldChar w:fldCharType="separate"/>
      </w:r>
      <w:r w:rsidR="007866DB" w:rsidRPr="007740E4">
        <w:t xml:space="preserve">Table </w:t>
      </w:r>
      <w:r w:rsidR="007866DB">
        <w:rPr>
          <w:noProof/>
        </w:rPr>
        <w:t>7</w:t>
      </w:r>
      <w:r w:rsidRPr="007740E4">
        <w:fldChar w:fldCharType="end"/>
      </w:r>
      <w:r w:rsidRPr="007740E4">
        <w:t xml:space="preserve"> presents comparisons between ONA and the nominated near market comparators, NUSI and RIS, for the pre-symptomatic treatment of SMA patients, based on the outcome of developmental motor milestones. These comparisons have been presented in multiple submissions including the evaluation of the previous submission (discussed at the November 2022 PBAC meeting)</w:t>
      </w:r>
      <w:r w:rsidRPr="007740E4">
        <w:rPr>
          <w:i/>
        </w:rPr>
        <w:t>.</w:t>
      </w:r>
    </w:p>
    <w:p w14:paraId="0DDE2B42" w14:textId="70C2D066" w:rsidR="0014093D" w:rsidRPr="007740E4" w:rsidRDefault="0014093D" w:rsidP="0014093D">
      <w:pPr>
        <w:pStyle w:val="Caption"/>
      </w:pPr>
      <w:bookmarkStart w:id="34" w:name="_Ref134270218"/>
      <w:r w:rsidRPr="007740E4">
        <w:t xml:space="preserve">Table </w:t>
      </w:r>
      <w:fldSimple w:instr=" SEQ Table \* ARABIC " w:fldLock="1">
        <w:r w:rsidR="0084520A">
          <w:rPr>
            <w:noProof/>
          </w:rPr>
          <w:t>7</w:t>
        </w:r>
      </w:fldSimple>
      <w:bookmarkEnd w:id="34"/>
      <w:r w:rsidRPr="007740E4">
        <w:rPr>
          <w:rStyle w:val="CommentReference"/>
          <w:b/>
          <w:szCs w:val="24"/>
        </w:rPr>
        <w:t>: Summary of developmental milestone results in the clinical studies</w:t>
      </w:r>
    </w:p>
    <w:tbl>
      <w:tblPr>
        <w:tblStyle w:val="TableGrid"/>
        <w:tblW w:w="0" w:type="auto"/>
        <w:tblLook w:val="04A0" w:firstRow="1" w:lastRow="0" w:firstColumn="1" w:lastColumn="0" w:noHBand="0" w:noVBand="1"/>
        <w:tblCaption w:val="Table 7: Summary of developmental milestone results in the clinical studies"/>
      </w:tblPr>
      <w:tblGrid>
        <w:gridCol w:w="2019"/>
        <w:gridCol w:w="1010"/>
        <w:gridCol w:w="1163"/>
        <w:gridCol w:w="895"/>
        <w:gridCol w:w="1010"/>
        <w:gridCol w:w="1069"/>
        <w:gridCol w:w="929"/>
        <w:gridCol w:w="922"/>
      </w:tblGrid>
      <w:tr w:rsidR="0014093D" w:rsidRPr="00820898" w14:paraId="3F9430F5" w14:textId="77777777" w:rsidTr="002C5A53">
        <w:tc>
          <w:tcPr>
            <w:tcW w:w="2019" w:type="dxa"/>
            <w:vMerge w:val="restart"/>
            <w:shd w:val="clear" w:color="auto" w:fill="auto"/>
            <w:vAlign w:val="center"/>
          </w:tcPr>
          <w:p w14:paraId="1F2E3901" w14:textId="77777777" w:rsidR="0014093D" w:rsidRPr="00820898" w:rsidRDefault="0014093D" w:rsidP="00EF68D9">
            <w:pPr>
              <w:keepNext/>
              <w:keepLines/>
              <w:jc w:val="left"/>
              <w:rPr>
                <w:rFonts w:ascii="Arial Narrow" w:hAnsi="Arial Narrow"/>
                <w:b/>
                <w:sz w:val="20"/>
                <w:szCs w:val="20"/>
              </w:rPr>
            </w:pPr>
            <w:r w:rsidRPr="00820898">
              <w:rPr>
                <w:rFonts w:ascii="Arial Narrow" w:hAnsi="Arial Narrow"/>
                <w:b/>
                <w:sz w:val="20"/>
                <w:szCs w:val="20"/>
              </w:rPr>
              <w:t>Outcome</w:t>
            </w:r>
          </w:p>
        </w:tc>
        <w:tc>
          <w:tcPr>
            <w:tcW w:w="2173" w:type="dxa"/>
            <w:gridSpan w:val="2"/>
            <w:shd w:val="clear" w:color="auto" w:fill="auto"/>
            <w:vAlign w:val="center"/>
          </w:tcPr>
          <w:p w14:paraId="4B4D8D6A" w14:textId="77777777"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SPR1NT (ONA)</w:t>
            </w:r>
          </w:p>
        </w:tc>
        <w:tc>
          <w:tcPr>
            <w:tcW w:w="895" w:type="dxa"/>
            <w:shd w:val="clear" w:color="auto" w:fill="auto"/>
            <w:vAlign w:val="center"/>
          </w:tcPr>
          <w:p w14:paraId="7937023B" w14:textId="77777777"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Control^</w:t>
            </w:r>
          </w:p>
        </w:tc>
        <w:tc>
          <w:tcPr>
            <w:tcW w:w="2079" w:type="dxa"/>
            <w:gridSpan w:val="2"/>
            <w:shd w:val="clear" w:color="auto" w:fill="auto"/>
            <w:vAlign w:val="center"/>
          </w:tcPr>
          <w:p w14:paraId="4E5D92C2" w14:textId="77777777"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NURTURE (NUSI)</w:t>
            </w:r>
            <w:r w:rsidRPr="00820898">
              <w:rPr>
                <w:rFonts w:ascii="Arial Narrow" w:hAnsi="Arial Narrow"/>
                <w:b/>
                <w:sz w:val="20"/>
                <w:szCs w:val="20"/>
                <w:vertAlign w:val="superscript"/>
              </w:rPr>
              <w:t>#</w:t>
            </w:r>
          </w:p>
        </w:tc>
        <w:tc>
          <w:tcPr>
            <w:tcW w:w="1851" w:type="dxa"/>
            <w:gridSpan w:val="2"/>
            <w:shd w:val="clear" w:color="auto" w:fill="auto"/>
            <w:vAlign w:val="center"/>
          </w:tcPr>
          <w:p w14:paraId="76D40A18" w14:textId="77777777"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RAINBOWFISH(RIS)*</w:t>
            </w:r>
          </w:p>
        </w:tc>
      </w:tr>
      <w:tr w:rsidR="0014093D" w:rsidRPr="00820898" w14:paraId="47D47713" w14:textId="77777777" w:rsidTr="002C5A53">
        <w:tc>
          <w:tcPr>
            <w:tcW w:w="2019" w:type="dxa"/>
            <w:vMerge/>
            <w:shd w:val="clear" w:color="auto" w:fill="auto"/>
            <w:vAlign w:val="center"/>
          </w:tcPr>
          <w:p w14:paraId="3326F2C2" w14:textId="77777777" w:rsidR="0014093D" w:rsidRPr="00820898" w:rsidRDefault="0014093D" w:rsidP="00EF68D9">
            <w:pPr>
              <w:keepNext/>
              <w:keepLines/>
              <w:jc w:val="left"/>
              <w:rPr>
                <w:rFonts w:ascii="Arial Narrow" w:hAnsi="Arial Narrow"/>
                <w:sz w:val="20"/>
                <w:szCs w:val="20"/>
              </w:rPr>
            </w:pPr>
          </w:p>
        </w:tc>
        <w:tc>
          <w:tcPr>
            <w:tcW w:w="1010" w:type="dxa"/>
            <w:shd w:val="clear" w:color="auto" w:fill="auto"/>
            <w:vAlign w:val="center"/>
          </w:tcPr>
          <w:p w14:paraId="783BC873" w14:textId="39A0FA46"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2</w:t>
            </w:r>
            <w:r w:rsidR="00B64F80" w:rsidRPr="00820898">
              <w:rPr>
                <w:rFonts w:ascii="Arial Narrow" w:hAnsi="Arial Narrow"/>
                <w:b/>
                <w:sz w:val="20"/>
                <w:szCs w:val="20"/>
              </w:rPr>
              <w:t>SMN2</w:t>
            </w:r>
            <w:r w:rsidRPr="00D5665A">
              <w:rPr>
                <w:rFonts w:ascii="Arial Narrow" w:hAnsi="Arial Narrow"/>
                <w:b/>
                <w:sz w:val="20"/>
                <w:szCs w:val="20"/>
                <w:vertAlign w:val="superscript"/>
              </w:rPr>
              <w:t>‡</w:t>
            </w:r>
          </w:p>
        </w:tc>
        <w:tc>
          <w:tcPr>
            <w:tcW w:w="1163" w:type="dxa"/>
            <w:shd w:val="clear" w:color="auto" w:fill="auto"/>
            <w:vAlign w:val="center"/>
          </w:tcPr>
          <w:p w14:paraId="2885EB06" w14:textId="088EA0F0"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3</w:t>
            </w:r>
            <w:r w:rsidR="00B64F80" w:rsidRPr="00820898">
              <w:rPr>
                <w:rFonts w:ascii="Arial Narrow" w:hAnsi="Arial Narrow"/>
                <w:b/>
                <w:sz w:val="20"/>
                <w:szCs w:val="20"/>
              </w:rPr>
              <w:t>SMN2</w:t>
            </w:r>
            <w:r w:rsidRPr="00D5665A">
              <w:rPr>
                <w:rFonts w:ascii="Arial Narrow" w:hAnsi="Arial Narrow"/>
                <w:b/>
                <w:sz w:val="20"/>
                <w:szCs w:val="20"/>
                <w:vertAlign w:val="superscript"/>
              </w:rPr>
              <w:t>†</w:t>
            </w:r>
          </w:p>
        </w:tc>
        <w:tc>
          <w:tcPr>
            <w:tcW w:w="895" w:type="dxa"/>
            <w:shd w:val="clear" w:color="auto" w:fill="auto"/>
            <w:vAlign w:val="center"/>
          </w:tcPr>
          <w:p w14:paraId="349619C6" w14:textId="1B36D5E5"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≥2</w:t>
            </w:r>
            <w:r w:rsidR="00B64F80" w:rsidRPr="00820898">
              <w:rPr>
                <w:rFonts w:ascii="Arial Narrow" w:hAnsi="Arial Narrow"/>
                <w:b/>
                <w:sz w:val="20"/>
                <w:szCs w:val="20"/>
              </w:rPr>
              <w:t>SMN2</w:t>
            </w:r>
          </w:p>
        </w:tc>
        <w:tc>
          <w:tcPr>
            <w:tcW w:w="1010" w:type="dxa"/>
            <w:shd w:val="clear" w:color="auto" w:fill="auto"/>
            <w:vAlign w:val="center"/>
          </w:tcPr>
          <w:p w14:paraId="7D679D8A" w14:textId="3CA505D3"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2</w:t>
            </w:r>
            <w:r w:rsidR="00B64F80" w:rsidRPr="00820898">
              <w:rPr>
                <w:rFonts w:ascii="Arial Narrow" w:hAnsi="Arial Narrow"/>
                <w:b/>
                <w:sz w:val="20"/>
                <w:szCs w:val="20"/>
              </w:rPr>
              <w:t>SMN2</w:t>
            </w:r>
          </w:p>
        </w:tc>
        <w:tc>
          <w:tcPr>
            <w:tcW w:w="1069" w:type="dxa"/>
            <w:shd w:val="clear" w:color="auto" w:fill="auto"/>
            <w:vAlign w:val="center"/>
          </w:tcPr>
          <w:p w14:paraId="0B13A475" w14:textId="40EBFD5C"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3</w:t>
            </w:r>
            <w:r w:rsidR="00B64F80" w:rsidRPr="00820898">
              <w:rPr>
                <w:rFonts w:ascii="Arial Narrow" w:hAnsi="Arial Narrow"/>
                <w:b/>
                <w:sz w:val="20"/>
                <w:szCs w:val="20"/>
              </w:rPr>
              <w:t>SMN2</w:t>
            </w:r>
          </w:p>
        </w:tc>
        <w:tc>
          <w:tcPr>
            <w:tcW w:w="929" w:type="dxa"/>
            <w:shd w:val="clear" w:color="auto" w:fill="auto"/>
            <w:vAlign w:val="center"/>
          </w:tcPr>
          <w:p w14:paraId="0B98D095" w14:textId="5E70335B"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2</w:t>
            </w:r>
            <w:r w:rsidR="00B64F80" w:rsidRPr="00820898">
              <w:rPr>
                <w:rFonts w:ascii="Arial Narrow" w:hAnsi="Arial Narrow"/>
                <w:b/>
                <w:sz w:val="20"/>
                <w:szCs w:val="20"/>
              </w:rPr>
              <w:t>SMN2</w:t>
            </w:r>
          </w:p>
        </w:tc>
        <w:tc>
          <w:tcPr>
            <w:tcW w:w="922" w:type="dxa"/>
            <w:shd w:val="clear" w:color="auto" w:fill="auto"/>
            <w:vAlign w:val="center"/>
          </w:tcPr>
          <w:p w14:paraId="0086A0D3" w14:textId="6BA79835" w:rsidR="0014093D" w:rsidRPr="00820898" w:rsidRDefault="0014093D" w:rsidP="00EF68D9">
            <w:pPr>
              <w:keepNext/>
              <w:keepLines/>
              <w:jc w:val="center"/>
              <w:rPr>
                <w:rFonts w:ascii="Arial Narrow" w:hAnsi="Arial Narrow"/>
                <w:b/>
                <w:sz w:val="20"/>
                <w:szCs w:val="20"/>
              </w:rPr>
            </w:pPr>
            <w:r w:rsidRPr="00820898">
              <w:rPr>
                <w:rFonts w:ascii="Arial Narrow" w:hAnsi="Arial Narrow"/>
                <w:b/>
                <w:sz w:val="20"/>
                <w:szCs w:val="20"/>
              </w:rPr>
              <w:t>&gt;2</w:t>
            </w:r>
            <w:r w:rsidR="00B64F80" w:rsidRPr="00820898">
              <w:rPr>
                <w:rFonts w:ascii="Arial Narrow" w:hAnsi="Arial Narrow"/>
                <w:b/>
                <w:sz w:val="20"/>
                <w:szCs w:val="20"/>
              </w:rPr>
              <w:t>SMN2</w:t>
            </w:r>
          </w:p>
        </w:tc>
      </w:tr>
      <w:tr w:rsidR="0014093D" w:rsidRPr="00820898" w14:paraId="77A803F8" w14:textId="77777777" w:rsidTr="00EF68D9">
        <w:tc>
          <w:tcPr>
            <w:tcW w:w="9017" w:type="dxa"/>
            <w:gridSpan w:val="8"/>
            <w:shd w:val="clear" w:color="auto" w:fill="auto"/>
            <w:vAlign w:val="center"/>
          </w:tcPr>
          <w:p w14:paraId="05D280E8" w14:textId="20F5C1E2" w:rsidR="0014093D" w:rsidRPr="00820898" w:rsidRDefault="0014093D" w:rsidP="00EF68D9">
            <w:pPr>
              <w:keepNext/>
              <w:keepLines/>
              <w:jc w:val="left"/>
              <w:rPr>
                <w:rFonts w:ascii="Arial Narrow" w:hAnsi="Arial Narrow"/>
                <w:b/>
                <w:sz w:val="20"/>
                <w:szCs w:val="20"/>
              </w:rPr>
            </w:pPr>
            <w:r w:rsidRPr="00820898">
              <w:rPr>
                <w:rFonts w:ascii="Arial Narrow" w:hAnsi="Arial Narrow"/>
                <w:b/>
                <w:sz w:val="20"/>
                <w:szCs w:val="20"/>
              </w:rPr>
              <w:t>Achieved ability to stand unsupported, n/N</w:t>
            </w:r>
            <w:r w:rsidR="00B00909">
              <w:rPr>
                <w:rFonts w:ascii="Arial Narrow" w:hAnsi="Arial Narrow"/>
                <w:b/>
                <w:sz w:val="20"/>
                <w:szCs w:val="20"/>
              </w:rPr>
              <w:t xml:space="preserve"> </w:t>
            </w:r>
            <w:r w:rsidRPr="00820898">
              <w:rPr>
                <w:rFonts w:ascii="Arial Narrow" w:hAnsi="Arial Narrow"/>
                <w:b/>
                <w:sz w:val="20"/>
                <w:szCs w:val="20"/>
              </w:rPr>
              <w:t>(%)</w:t>
            </w:r>
          </w:p>
        </w:tc>
      </w:tr>
      <w:tr w:rsidR="0014093D" w:rsidRPr="00820898" w14:paraId="1F165CD2" w14:textId="77777777" w:rsidTr="002C5A53">
        <w:tc>
          <w:tcPr>
            <w:tcW w:w="2019" w:type="dxa"/>
            <w:shd w:val="clear" w:color="auto" w:fill="auto"/>
            <w:vAlign w:val="center"/>
          </w:tcPr>
          <w:p w14:paraId="03AD2A13" w14:textId="70DCEDC2"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BSID </w:t>
            </w:r>
            <w:r w:rsidR="00D5665A">
              <w:rPr>
                <w:rFonts w:ascii="Arial Narrow" w:hAnsi="Arial Narrow"/>
                <w:sz w:val="20"/>
                <w:szCs w:val="20"/>
                <w:vertAlign w:val="superscript"/>
              </w:rPr>
              <w:t>a</w:t>
            </w:r>
          </w:p>
        </w:tc>
        <w:tc>
          <w:tcPr>
            <w:tcW w:w="1010" w:type="dxa"/>
            <w:shd w:val="clear" w:color="auto" w:fill="C6D9F1" w:themeFill="text2" w:themeFillTint="33"/>
            <w:vAlign w:val="center"/>
          </w:tcPr>
          <w:p w14:paraId="2533BA7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11/14 (78.6)</w:t>
            </w:r>
          </w:p>
        </w:tc>
        <w:tc>
          <w:tcPr>
            <w:tcW w:w="1163" w:type="dxa"/>
            <w:shd w:val="clear" w:color="auto" w:fill="C6D9F1" w:themeFill="text2" w:themeFillTint="33"/>
            <w:vAlign w:val="center"/>
          </w:tcPr>
          <w:p w14:paraId="4C84934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15/15 (100)</w:t>
            </w:r>
          </w:p>
        </w:tc>
        <w:tc>
          <w:tcPr>
            <w:tcW w:w="895" w:type="dxa"/>
            <w:shd w:val="clear" w:color="auto" w:fill="C6D9F1" w:themeFill="text2" w:themeFillTint="33"/>
            <w:vAlign w:val="center"/>
          </w:tcPr>
          <w:p w14:paraId="15142D1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19/81 (23.5)</w:t>
            </w:r>
          </w:p>
        </w:tc>
        <w:tc>
          <w:tcPr>
            <w:tcW w:w="1010" w:type="dxa"/>
            <w:shd w:val="clear" w:color="auto" w:fill="auto"/>
            <w:vAlign w:val="center"/>
          </w:tcPr>
          <w:p w14:paraId="4213B58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09290AB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068DBBB2"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066656A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30695FF5" w14:textId="77777777" w:rsidTr="002C5A53">
        <w:tc>
          <w:tcPr>
            <w:tcW w:w="2019" w:type="dxa"/>
            <w:shd w:val="clear" w:color="auto" w:fill="auto"/>
            <w:vAlign w:val="center"/>
          </w:tcPr>
          <w:p w14:paraId="37F3A135"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187C3B95"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7/14 (50.0)</w:t>
            </w:r>
          </w:p>
        </w:tc>
        <w:tc>
          <w:tcPr>
            <w:tcW w:w="1163" w:type="dxa"/>
            <w:shd w:val="clear" w:color="auto" w:fill="C6D9F1" w:themeFill="text2" w:themeFillTint="33"/>
            <w:vAlign w:val="center"/>
          </w:tcPr>
          <w:p w14:paraId="710687F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14/15 (93.3)</w:t>
            </w:r>
          </w:p>
        </w:tc>
        <w:tc>
          <w:tcPr>
            <w:tcW w:w="895" w:type="dxa"/>
            <w:shd w:val="clear" w:color="auto" w:fill="auto"/>
            <w:vAlign w:val="center"/>
          </w:tcPr>
          <w:p w14:paraId="229BCBFB"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4DED125B"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1AE6136A"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078381A2"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5B10D93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5FB92F98" w14:textId="77777777" w:rsidTr="002C5A53">
        <w:tc>
          <w:tcPr>
            <w:tcW w:w="2019" w:type="dxa"/>
            <w:shd w:val="clear" w:color="auto" w:fill="auto"/>
            <w:vAlign w:val="center"/>
          </w:tcPr>
          <w:p w14:paraId="5592F918" w14:textId="669A2635"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WHO-MGRS </w:t>
            </w:r>
            <w:r w:rsidR="00D5665A">
              <w:rPr>
                <w:rFonts w:ascii="Arial Narrow" w:hAnsi="Arial Narrow"/>
                <w:sz w:val="20"/>
                <w:szCs w:val="20"/>
                <w:vertAlign w:val="superscript"/>
              </w:rPr>
              <w:t>b</w:t>
            </w:r>
          </w:p>
        </w:tc>
        <w:tc>
          <w:tcPr>
            <w:tcW w:w="1010" w:type="dxa"/>
            <w:shd w:val="clear" w:color="auto" w:fill="auto"/>
            <w:vAlign w:val="center"/>
          </w:tcPr>
          <w:p w14:paraId="026AE55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10/14 (71.4)</w:t>
            </w:r>
          </w:p>
        </w:tc>
        <w:tc>
          <w:tcPr>
            <w:tcW w:w="1163" w:type="dxa"/>
            <w:shd w:val="clear" w:color="auto" w:fill="auto"/>
            <w:vAlign w:val="center"/>
          </w:tcPr>
          <w:p w14:paraId="59EBEE8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15/15 (100)</w:t>
            </w:r>
          </w:p>
        </w:tc>
        <w:tc>
          <w:tcPr>
            <w:tcW w:w="895" w:type="dxa"/>
            <w:shd w:val="clear" w:color="auto" w:fill="auto"/>
            <w:vAlign w:val="center"/>
          </w:tcPr>
          <w:p w14:paraId="4B29866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13172A51"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12/15 (80)</w:t>
            </w:r>
          </w:p>
        </w:tc>
        <w:tc>
          <w:tcPr>
            <w:tcW w:w="1069" w:type="dxa"/>
            <w:shd w:val="clear" w:color="auto" w:fill="auto"/>
            <w:vAlign w:val="center"/>
          </w:tcPr>
          <w:p w14:paraId="7ABF1EAB"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10/10 (100)</w:t>
            </w:r>
          </w:p>
        </w:tc>
        <w:tc>
          <w:tcPr>
            <w:tcW w:w="929" w:type="dxa"/>
            <w:shd w:val="clear" w:color="auto" w:fill="auto"/>
            <w:vAlign w:val="center"/>
          </w:tcPr>
          <w:p w14:paraId="11087DA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0DC87EE8"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270E654A" w14:textId="77777777" w:rsidTr="002C5A53">
        <w:tc>
          <w:tcPr>
            <w:tcW w:w="2019" w:type="dxa"/>
            <w:shd w:val="clear" w:color="auto" w:fill="auto"/>
            <w:vAlign w:val="center"/>
          </w:tcPr>
          <w:p w14:paraId="5E63C597"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34A016D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5/14 (35.7)</w:t>
            </w:r>
          </w:p>
        </w:tc>
        <w:tc>
          <w:tcPr>
            <w:tcW w:w="1163" w:type="dxa"/>
            <w:shd w:val="clear" w:color="auto" w:fill="auto"/>
            <w:vAlign w:val="center"/>
          </w:tcPr>
          <w:p w14:paraId="7C99CA1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13/15 (86.7)</w:t>
            </w:r>
          </w:p>
        </w:tc>
        <w:tc>
          <w:tcPr>
            <w:tcW w:w="895" w:type="dxa"/>
            <w:shd w:val="clear" w:color="auto" w:fill="auto"/>
            <w:vAlign w:val="center"/>
          </w:tcPr>
          <w:p w14:paraId="32E9C75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4D91347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4/15 (27)</w:t>
            </w:r>
          </w:p>
        </w:tc>
        <w:tc>
          <w:tcPr>
            <w:tcW w:w="1069" w:type="dxa"/>
            <w:shd w:val="clear" w:color="auto" w:fill="auto"/>
            <w:vAlign w:val="center"/>
          </w:tcPr>
          <w:p w14:paraId="569592B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10/10 (100)</w:t>
            </w:r>
          </w:p>
        </w:tc>
        <w:tc>
          <w:tcPr>
            <w:tcW w:w="929" w:type="dxa"/>
            <w:shd w:val="clear" w:color="auto" w:fill="auto"/>
            <w:vAlign w:val="center"/>
          </w:tcPr>
          <w:p w14:paraId="432B45A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6E1B440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70B8440B" w14:textId="77777777" w:rsidTr="002C5A53">
        <w:tc>
          <w:tcPr>
            <w:tcW w:w="2019" w:type="dxa"/>
            <w:shd w:val="clear" w:color="auto" w:fill="auto"/>
            <w:vAlign w:val="center"/>
          </w:tcPr>
          <w:p w14:paraId="6E509522" w14:textId="42B8AD79"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HINE-2 </w:t>
            </w:r>
            <w:r w:rsidR="00D5665A">
              <w:rPr>
                <w:rFonts w:ascii="Arial Narrow" w:hAnsi="Arial Narrow"/>
                <w:sz w:val="20"/>
                <w:szCs w:val="20"/>
                <w:vertAlign w:val="superscript"/>
              </w:rPr>
              <w:t>c</w:t>
            </w:r>
          </w:p>
        </w:tc>
        <w:tc>
          <w:tcPr>
            <w:tcW w:w="1010" w:type="dxa"/>
            <w:shd w:val="clear" w:color="auto" w:fill="auto"/>
            <w:vAlign w:val="center"/>
          </w:tcPr>
          <w:p w14:paraId="24761D9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163" w:type="dxa"/>
            <w:shd w:val="clear" w:color="auto" w:fill="auto"/>
            <w:vAlign w:val="center"/>
          </w:tcPr>
          <w:p w14:paraId="625A9EA5"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895" w:type="dxa"/>
            <w:shd w:val="clear" w:color="auto" w:fill="auto"/>
            <w:vAlign w:val="center"/>
          </w:tcPr>
          <w:p w14:paraId="498509E4"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0FD9438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1D00416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C6D9F1" w:themeFill="text2" w:themeFillTint="33"/>
            <w:vAlign w:val="center"/>
          </w:tcPr>
          <w:p w14:paraId="2DD9B81A"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2/4 (50)</w:t>
            </w:r>
          </w:p>
        </w:tc>
        <w:tc>
          <w:tcPr>
            <w:tcW w:w="922" w:type="dxa"/>
            <w:shd w:val="clear" w:color="auto" w:fill="C6D9F1" w:themeFill="text2" w:themeFillTint="33"/>
            <w:vAlign w:val="center"/>
          </w:tcPr>
          <w:p w14:paraId="14789351"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3/3 (100)</w:t>
            </w:r>
          </w:p>
        </w:tc>
      </w:tr>
      <w:tr w:rsidR="0014093D" w:rsidRPr="00820898" w14:paraId="0CB09F7F" w14:textId="77777777" w:rsidTr="002C5A53">
        <w:tc>
          <w:tcPr>
            <w:tcW w:w="2019" w:type="dxa"/>
            <w:shd w:val="clear" w:color="auto" w:fill="auto"/>
            <w:vAlign w:val="center"/>
          </w:tcPr>
          <w:p w14:paraId="68174DFC"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61179D4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163" w:type="dxa"/>
            <w:shd w:val="clear" w:color="auto" w:fill="auto"/>
            <w:vAlign w:val="center"/>
          </w:tcPr>
          <w:p w14:paraId="61F999B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895" w:type="dxa"/>
            <w:shd w:val="clear" w:color="auto" w:fill="auto"/>
            <w:vAlign w:val="center"/>
          </w:tcPr>
          <w:p w14:paraId="3F8BC58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7026563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09C5507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71ACEE1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1/4 (25)</w:t>
            </w:r>
          </w:p>
        </w:tc>
        <w:tc>
          <w:tcPr>
            <w:tcW w:w="922" w:type="dxa"/>
            <w:shd w:val="clear" w:color="auto" w:fill="auto"/>
            <w:vAlign w:val="center"/>
          </w:tcPr>
          <w:p w14:paraId="123815F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3/3 (100)</w:t>
            </w:r>
          </w:p>
        </w:tc>
      </w:tr>
      <w:tr w:rsidR="0014093D" w:rsidRPr="00820898" w14:paraId="2999B1E8" w14:textId="77777777" w:rsidTr="00EF68D9">
        <w:tc>
          <w:tcPr>
            <w:tcW w:w="9017" w:type="dxa"/>
            <w:gridSpan w:val="8"/>
            <w:shd w:val="clear" w:color="auto" w:fill="auto"/>
            <w:vAlign w:val="center"/>
          </w:tcPr>
          <w:p w14:paraId="6EE38607" w14:textId="0F1BAF08" w:rsidR="0014093D" w:rsidRPr="00820898" w:rsidRDefault="0014093D" w:rsidP="00EF68D9">
            <w:pPr>
              <w:keepNext/>
              <w:keepLines/>
              <w:jc w:val="left"/>
              <w:rPr>
                <w:rFonts w:ascii="Arial Narrow" w:hAnsi="Arial Narrow"/>
                <w:b/>
                <w:sz w:val="20"/>
                <w:szCs w:val="20"/>
              </w:rPr>
            </w:pPr>
            <w:r w:rsidRPr="00820898">
              <w:rPr>
                <w:rFonts w:ascii="Arial Narrow" w:hAnsi="Arial Narrow"/>
                <w:b/>
                <w:sz w:val="20"/>
                <w:szCs w:val="20"/>
              </w:rPr>
              <w:t>Achieved ability to walk unsupported, n/N</w:t>
            </w:r>
            <w:r w:rsidR="00B00909">
              <w:rPr>
                <w:rFonts w:ascii="Arial Narrow" w:hAnsi="Arial Narrow"/>
                <w:b/>
                <w:sz w:val="20"/>
                <w:szCs w:val="20"/>
              </w:rPr>
              <w:t xml:space="preserve"> </w:t>
            </w:r>
            <w:r w:rsidRPr="00820898">
              <w:rPr>
                <w:rFonts w:ascii="Arial Narrow" w:hAnsi="Arial Narrow"/>
                <w:b/>
                <w:sz w:val="20"/>
                <w:szCs w:val="20"/>
              </w:rPr>
              <w:t>(%)</w:t>
            </w:r>
          </w:p>
        </w:tc>
      </w:tr>
      <w:tr w:rsidR="0014093D" w:rsidRPr="00820898" w14:paraId="729191A2" w14:textId="77777777" w:rsidTr="002C5A53">
        <w:tc>
          <w:tcPr>
            <w:tcW w:w="2019" w:type="dxa"/>
            <w:shd w:val="clear" w:color="auto" w:fill="auto"/>
            <w:vAlign w:val="center"/>
          </w:tcPr>
          <w:p w14:paraId="084AD266" w14:textId="41E3DC37"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BSID </w:t>
            </w:r>
            <w:r w:rsidR="00D5665A">
              <w:rPr>
                <w:rFonts w:ascii="Arial Narrow" w:hAnsi="Arial Narrow"/>
                <w:sz w:val="20"/>
                <w:szCs w:val="20"/>
                <w:vertAlign w:val="superscript"/>
              </w:rPr>
              <w:t>d</w:t>
            </w:r>
          </w:p>
        </w:tc>
        <w:tc>
          <w:tcPr>
            <w:tcW w:w="1010" w:type="dxa"/>
            <w:shd w:val="clear" w:color="auto" w:fill="C6D9F1" w:themeFill="text2" w:themeFillTint="33"/>
            <w:vAlign w:val="center"/>
          </w:tcPr>
          <w:p w14:paraId="3976409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9/14 (64.3)</w:t>
            </w:r>
          </w:p>
        </w:tc>
        <w:tc>
          <w:tcPr>
            <w:tcW w:w="1163" w:type="dxa"/>
            <w:shd w:val="clear" w:color="auto" w:fill="C6D9F1" w:themeFill="text2" w:themeFillTint="33"/>
            <w:vAlign w:val="center"/>
          </w:tcPr>
          <w:p w14:paraId="08998B4C" w14:textId="5D83FAFA"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 xml:space="preserve">14/15 </w:t>
            </w:r>
            <w:r w:rsidR="00D5665A">
              <w:rPr>
                <w:rFonts w:ascii="Arial Narrow" w:hAnsi="Arial Narrow"/>
                <w:sz w:val="20"/>
                <w:szCs w:val="20"/>
                <w:vertAlign w:val="superscript"/>
              </w:rPr>
              <w:t>e</w:t>
            </w:r>
            <w:r w:rsidR="00D5665A" w:rsidRPr="00820898">
              <w:rPr>
                <w:rFonts w:ascii="Arial Narrow" w:hAnsi="Arial Narrow"/>
                <w:sz w:val="20"/>
                <w:szCs w:val="20"/>
                <w:vertAlign w:val="superscript"/>
              </w:rPr>
              <w:t xml:space="preserve"> </w:t>
            </w:r>
            <w:r w:rsidRPr="00820898">
              <w:rPr>
                <w:rFonts w:ascii="Arial Narrow" w:hAnsi="Arial Narrow"/>
                <w:sz w:val="20"/>
                <w:szCs w:val="20"/>
              </w:rPr>
              <w:t>(93.3)</w:t>
            </w:r>
          </w:p>
        </w:tc>
        <w:tc>
          <w:tcPr>
            <w:tcW w:w="895" w:type="dxa"/>
            <w:shd w:val="clear" w:color="auto" w:fill="C6D9F1" w:themeFill="text2" w:themeFillTint="33"/>
            <w:vAlign w:val="center"/>
          </w:tcPr>
          <w:p w14:paraId="0581A84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17/81 (21)</w:t>
            </w:r>
          </w:p>
        </w:tc>
        <w:tc>
          <w:tcPr>
            <w:tcW w:w="1010" w:type="dxa"/>
            <w:shd w:val="clear" w:color="auto" w:fill="auto"/>
            <w:vAlign w:val="center"/>
          </w:tcPr>
          <w:p w14:paraId="5A221C3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69A22594"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0C887B4E"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6AEF1F53"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78F914E4" w14:textId="77777777" w:rsidTr="002C5A53">
        <w:tc>
          <w:tcPr>
            <w:tcW w:w="2019" w:type="dxa"/>
            <w:shd w:val="clear" w:color="auto" w:fill="auto"/>
            <w:vAlign w:val="center"/>
          </w:tcPr>
          <w:p w14:paraId="558CF600"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1BC64B7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5/14 (35.7)</w:t>
            </w:r>
          </w:p>
        </w:tc>
        <w:tc>
          <w:tcPr>
            <w:tcW w:w="1163" w:type="dxa"/>
            <w:shd w:val="clear" w:color="auto" w:fill="C6D9F1" w:themeFill="text2" w:themeFillTint="33"/>
            <w:vAlign w:val="center"/>
          </w:tcPr>
          <w:p w14:paraId="214A22E5"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11/15 (73.3)</w:t>
            </w:r>
          </w:p>
        </w:tc>
        <w:tc>
          <w:tcPr>
            <w:tcW w:w="895" w:type="dxa"/>
            <w:shd w:val="clear" w:color="auto" w:fill="auto"/>
            <w:vAlign w:val="center"/>
          </w:tcPr>
          <w:p w14:paraId="34297F0A"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36FB5FE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649BD0E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48AA048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3D7CD4B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60E17CAB" w14:textId="77777777" w:rsidTr="002C5A53">
        <w:tc>
          <w:tcPr>
            <w:tcW w:w="2019" w:type="dxa"/>
            <w:shd w:val="clear" w:color="auto" w:fill="auto"/>
            <w:vAlign w:val="center"/>
          </w:tcPr>
          <w:p w14:paraId="06A379AD" w14:textId="2B403039"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WHO-MGRS </w:t>
            </w:r>
            <w:r w:rsidR="00D5665A">
              <w:rPr>
                <w:rFonts w:ascii="Arial Narrow" w:hAnsi="Arial Narrow"/>
                <w:sz w:val="20"/>
                <w:szCs w:val="20"/>
                <w:vertAlign w:val="superscript"/>
              </w:rPr>
              <w:t>f</w:t>
            </w:r>
          </w:p>
        </w:tc>
        <w:tc>
          <w:tcPr>
            <w:tcW w:w="1010" w:type="dxa"/>
            <w:shd w:val="clear" w:color="auto" w:fill="auto"/>
            <w:vAlign w:val="center"/>
          </w:tcPr>
          <w:p w14:paraId="487F854A"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10/14 (71.4)</w:t>
            </w:r>
          </w:p>
        </w:tc>
        <w:tc>
          <w:tcPr>
            <w:tcW w:w="1163" w:type="dxa"/>
            <w:shd w:val="clear" w:color="auto" w:fill="auto"/>
            <w:vAlign w:val="center"/>
          </w:tcPr>
          <w:p w14:paraId="5F293E80" w14:textId="5886C7A8"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 xml:space="preserve">14/15 </w:t>
            </w:r>
            <w:r w:rsidR="00D5665A">
              <w:rPr>
                <w:rFonts w:ascii="Arial Narrow" w:hAnsi="Arial Narrow"/>
                <w:sz w:val="20"/>
                <w:szCs w:val="20"/>
                <w:vertAlign w:val="superscript"/>
              </w:rPr>
              <w:t>e</w:t>
            </w:r>
            <w:r w:rsidR="00D5665A" w:rsidRPr="00820898">
              <w:rPr>
                <w:rFonts w:ascii="Arial Narrow" w:hAnsi="Arial Narrow"/>
                <w:sz w:val="20"/>
                <w:szCs w:val="20"/>
                <w:vertAlign w:val="superscript"/>
              </w:rPr>
              <w:t xml:space="preserve"> </w:t>
            </w:r>
            <w:r w:rsidRPr="00820898">
              <w:rPr>
                <w:rFonts w:ascii="Arial Narrow" w:hAnsi="Arial Narrow"/>
                <w:sz w:val="20"/>
                <w:szCs w:val="20"/>
              </w:rPr>
              <w:t>(93.3)</w:t>
            </w:r>
          </w:p>
        </w:tc>
        <w:tc>
          <w:tcPr>
            <w:tcW w:w="895" w:type="dxa"/>
            <w:shd w:val="clear" w:color="auto" w:fill="auto"/>
            <w:vAlign w:val="center"/>
          </w:tcPr>
          <w:p w14:paraId="4C4F8D71"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C6D9F1" w:themeFill="text2" w:themeFillTint="33"/>
            <w:vAlign w:val="center"/>
          </w:tcPr>
          <w:p w14:paraId="22F1F2D5"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12/15 (88)</w:t>
            </w:r>
          </w:p>
        </w:tc>
        <w:tc>
          <w:tcPr>
            <w:tcW w:w="1069" w:type="dxa"/>
            <w:shd w:val="clear" w:color="auto" w:fill="C6D9F1" w:themeFill="text2" w:themeFillTint="33"/>
            <w:vAlign w:val="center"/>
          </w:tcPr>
          <w:p w14:paraId="36FD937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10/10 (100)</w:t>
            </w:r>
          </w:p>
        </w:tc>
        <w:tc>
          <w:tcPr>
            <w:tcW w:w="929" w:type="dxa"/>
            <w:shd w:val="clear" w:color="auto" w:fill="auto"/>
            <w:vAlign w:val="center"/>
          </w:tcPr>
          <w:p w14:paraId="391038DE"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3E626C4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337B1ED6" w14:textId="77777777" w:rsidTr="002C5A53">
        <w:tc>
          <w:tcPr>
            <w:tcW w:w="2019" w:type="dxa"/>
            <w:shd w:val="clear" w:color="auto" w:fill="auto"/>
            <w:vAlign w:val="center"/>
          </w:tcPr>
          <w:p w14:paraId="45789CE3"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Median age (months) at earliest achievement (95%CI</w:t>
            </w:r>
          </w:p>
        </w:tc>
        <w:tc>
          <w:tcPr>
            <w:tcW w:w="1010" w:type="dxa"/>
            <w:shd w:val="clear" w:color="auto" w:fill="auto"/>
            <w:vAlign w:val="center"/>
          </w:tcPr>
          <w:p w14:paraId="3F27987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16.40 (14.4,17.9)</w:t>
            </w:r>
          </w:p>
        </w:tc>
        <w:tc>
          <w:tcPr>
            <w:tcW w:w="1163" w:type="dxa"/>
            <w:shd w:val="clear" w:color="auto" w:fill="auto"/>
            <w:vAlign w:val="center"/>
          </w:tcPr>
          <w:p w14:paraId="6D10EB9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14.05</w:t>
            </w:r>
          </w:p>
          <w:p w14:paraId="3D29E774"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(13.0,15.4)</w:t>
            </w:r>
          </w:p>
        </w:tc>
        <w:tc>
          <w:tcPr>
            <w:tcW w:w="895" w:type="dxa"/>
            <w:shd w:val="clear" w:color="auto" w:fill="auto"/>
            <w:vAlign w:val="center"/>
          </w:tcPr>
          <w:p w14:paraId="0BA1159A"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3DC65AD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20.4</w:t>
            </w:r>
          </w:p>
          <w:p w14:paraId="7D98805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(15.5,29.7)</w:t>
            </w:r>
          </w:p>
        </w:tc>
        <w:tc>
          <w:tcPr>
            <w:tcW w:w="1069" w:type="dxa"/>
            <w:shd w:val="clear" w:color="auto" w:fill="auto"/>
            <w:vAlign w:val="center"/>
          </w:tcPr>
          <w:p w14:paraId="5E7F677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12.3</w:t>
            </w:r>
          </w:p>
          <w:p w14:paraId="58B0F102"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(11.2,14.9)</w:t>
            </w:r>
          </w:p>
        </w:tc>
        <w:tc>
          <w:tcPr>
            <w:tcW w:w="929" w:type="dxa"/>
            <w:shd w:val="clear" w:color="auto" w:fill="auto"/>
            <w:vAlign w:val="center"/>
          </w:tcPr>
          <w:p w14:paraId="171ABD1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77D4A2E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592E9199" w14:textId="77777777" w:rsidTr="002C5A53">
        <w:tc>
          <w:tcPr>
            <w:tcW w:w="2019" w:type="dxa"/>
            <w:shd w:val="clear" w:color="auto" w:fill="auto"/>
            <w:vAlign w:val="center"/>
          </w:tcPr>
          <w:p w14:paraId="155ACF30"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57CB16F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6/14 (42.9)</w:t>
            </w:r>
          </w:p>
        </w:tc>
        <w:tc>
          <w:tcPr>
            <w:tcW w:w="1163" w:type="dxa"/>
            <w:shd w:val="clear" w:color="auto" w:fill="auto"/>
            <w:vAlign w:val="center"/>
          </w:tcPr>
          <w:p w14:paraId="253BDF5D"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13/15 (86.7)</w:t>
            </w:r>
          </w:p>
        </w:tc>
        <w:tc>
          <w:tcPr>
            <w:tcW w:w="895" w:type="dxa"/>
            <w:shd w:val="clear" w:color="auto" w:fill="auto"/>
            <w:vAlign w:val="center"/>
          </w:tcPr>
          <w:p w14:paraId="04F4B50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3AD1708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6/15 (40)</w:t>
            </w:r>
          </w:p>
        </w:tc>
        <w:tc>
          <w:tcPr>
            <w:tcW w:w="1069" w:type="dxa"/>
            <w:shd w:val="clear" w:color="auto" w:fill="auto"/>
            <w:vAlign w:val="center"/>
          </w:tcPr>
          <w:p w14:paraId="0FD70AF1"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10/10 (100)</w:t>
            </w:r>
          </w:p>
        </w:tc>
        <w:tc>
          <w:tcPr>
            <w:tcW w:w="929" w:type="dxa"/>
            <w:shd w:val="clear" w:color="auto" w:fill="auto"/>
            <w:vAlign w:val="center"/>
          </w:tcPr>
          <w:p w14:paraId="47CB8ADB"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2" w:type="dxa"/>
            <w:shd w:val="clear" w:color="auto" w:fill="auto"/>
            <w:vAlign w:val="center"/>
          </w:tcPr>
          <w:p w14:paraId="669ABC1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r>
      <w:tr w:rsidR="0014093D" w:rsidRPr="00820898" w14:paraId="62540B41" w14:textId="77777777" w:rsidTr="002C5A53">
        <w:tc>
          <w:tcPr>
            <w:tcW w:w="2019" w:type="dxa"/>
            <w:shd w:val="clear" w:color="auto" w:fill="auto"/>
            <w:vAlign w:val="center"/>
          </w:tcPr>
          <w:p w14:paraId="6A949337" w14:textId="45A666C6" w:rsidR="0014093D" w:rsidRPr="00820898" w:rsidRDefault="0014093D" w:rsidP="00EF68D9">
            <w:pPr>
              <w:keepNext/>
              <w:keepLines/>
              <w:jc w:val="left"/>
              <w:rPr>
                <w:rFonts w:ascii="Arial Narrow" w:hAnsi="Arial Narrow"/>
                <w:sz w:val="20"/>
                <w:szCs w:val="20"/>
              </w:rPr>
            </w:pPr>
            <w:r w:rsidRPr="00820898">
              <w:rPr>
                <w:rFonts w:ascii="Arial Narrow" w:hAnsi="Arial Narrow"/>
                <w:sz w:val="20"/>
                <w:szCs w:val="20"/>
              </w:rPr>
              <w:t xml:space="preserve">HINE-2 </w:t>
            </w:r>
            <w:r w:rsidR="00D5665A">
              <w:rPr>
                <w:rFonts w:ascii="Arial Narrow" w:hAnsi="Arial Narrow"/>
                <w:sz w:val="20"/>
                <w:szCs w:val="20"/>
                <w:vertAlign w:val="superscript"/>
              </w:rPr>
              <w:t>g</w:t>
            </w:r>
          </w:p>
        </w:tc>
        <w:tc>
          <w:tcPr>
            <w:tcW w:w="1010" w:type="dxa"/>
            <w:shd w:val="clear" w:color="auto" w:fill="auto"/>
            <w:vAlign w:val="center"/>
          </w:tcPr>
          <w:p w14:paraId="60E08FC0"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163" w:type="dxa"/>
            <w:shd w:val="clear" w:color="auto" w:fill="auto"/>
            <w:vAlign w:val="center"/>
          </w:tcPr>
          <w:p w14:paraId="21F7B2B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895" w:type="dxa"/>
            <w:shd w:val="clear" w:color="auto" w:fill="auto"/>
            <w:vAlign w:val="center"/>
          </w:tcPr>
          <w:p w14:paraId="3690A50C"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6618938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57E0778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C6D9F1" w:themeFill="text2" w:themeFillTint="33"/>
            <w:vAlign w:val="center"/>
          </w:tcPr>
          <w:p w14:paraId="5956A64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1/4 (25)</w:t>
            </w:r>
          </w:p>
        </w:tc>
        <w:tc>
          <w:tcPr>
            <w:tcW w:w="922" w:type="dxa"/>
            <w:shd w:val="clear" w:color="auto" w:fill="C6D9F1" w:themeFill="text2" w:themeFillTint="33"/>
            <w:vAlign w:val="center"/>
          </w:tcPr>
          <w:p w14:paraId="6C35ADA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3/3 (100)</w:t>
            </w:r>
          </w:p>
        </w:tc>
      </w:tr>
      <w:tr w:rsidR="0014093D" w:rsidRPr="00820898" w14:paraId="78F99F9F" w14:textId="77777777" w:rsidTr="002C5A53">
        <w:tc>
          <w:tcPr>
            <w:tcW w:w="2019" w:type="dxa"/>
            <w:shd w:val="clear" w:color="auto" w:fill="auto"/>
            <w:vAlign w:val="center"/>
          </w:tcPr>
          <w:p w14:paraId="4D4094F4" w14:textId="77777777" w:rsidR="0014093D" w:rsidRPr="00820898" w:rsidRDefault="0014093D" w:rsidP="00EF68D9">
            <w:pPr>
              <w:keepNext/>
              <w:keepLines/>
              <w:ind w:left="113"/>
              <w:jc w:val="left"/>
              <w:rPr>
                <w:rFonts w:ascii="Arial Narrow" w:hAnsi="Arial Narrow"/>
                <w:sz w:val="20"/>
                <w:szCs w:val="20"/>
              </w:rPr>
            </w:pPr>
            <w:r w:rsidRPr="00820898">
              <w:rPr>
                <w:rFonts w:ascii="Arial Narrow" w:hAnsi="Arial Narrow"/>
                <w:sz w:val="20"/>
                <w:szCs w:val="20"/>
              </w:rPr>
              <w:t>% achieved within window</w:t>
            </w:r>
          </w:p>
        </w:tc>
        <w:tc>
          <w:tcPr>
            <w:tcW w:w="1010" w:type="dxa"/>
            <w:shd w:val="clear" w:color="auto" w:fill="auto"/>
            <w:vAlign w:val="center"/>
          </w:tcPr>
          <w:p w14:paraId="419F346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163" w:type="dxa"/>
            <w:shd w:val="clear" w:color="auto" w:fill="auto"/>
            <w:vAlign w:val="center"/>
          </w:tcPr>
          <w:p w14:paraId="13AA0C24"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895" w:type="dxa"/>
            <w:shd w:val="clear" w:color="auto" w:fill="auto"/>
            <w:vAlign w:val="center"/>
          </w:tcPr>
          <w:p w14:paraId="7DA087CF"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10" w:type="dxa"/>
            <w:shd w:val="clear" w:color="auto" w:fill="auto"/>
            <w:vAlign w:val="center"/>
          </w:tcPr>
          <w:p w14:paraId="1286FC06"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1069" w:type="dxa"/>
            <w:shd w:val="clear" w:color="auto" w:fill="auto"/>
            <w:vAlign w:val="center"/>
          </w:tcPr>
          <w:p w14:paraId="5F7F3457"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w:t>
            </w:r>
          </w:p>
        </w:tc>
        <w:tc>
          <w:tcPr>
            <w:tcW w:w="929" w:type="dxa"/>
            <w:shd w:val="clear" w:color="auto" w:fill="auto"/>
            <w:vAlign w:val="center"/>
          </w:tcPr>
          <w:p w14:paraId="2E07D65B"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1/4 (25)</w:t>
            </w:r>
          </w:p>
        </w:tc>
        <w:tc>
          <w:tcPr>
            <w:tcW w:w="922" w:type="dxa"/>
            <w:shd w:val="clear" w:color="auto" w:fill="auto"/>
            <w:vAlign w:val="center"/>
          </w:tcPr>
          <w:p w14:paraId="7DB73859" w14:textId="77777777" w:rsidR="0014093D" w:rsidRPr="00820898" w:rsidRDefault="0014093D" w:rsidP="00EF68D9">
            <w:pPr>
              <w:keepNext/>
              <w:keepLines/>
              <w:jc w:val="center"/>
              <w:rPr>
                <w:rFonts w:ascii="Arial Narrow" w:hAnsi="Arial Narrow"/>
                <w:sz w:val="20"/>
                <w:szCs w:val="20"/>
              </w:rPr>
            </w:pPr>
            <w:r w:rsidRPr="00820898">
              <w:rPr>
                <w:rFonts w:ascii="Arial Narrow" w:hAnsi="Arial Narrow"/>
                <w:sz w:val="20"/>
                <w:szCs w:val="20"/>
              </w:rPr>
              <w:t>3/3 (100)</w:t>
            </w:r>
          </w:p>
        </w:tc>
      </w:tr>
    </w:tbl>
    <w:p w14:paraId="1B6D892E" w14:textId="77777777" w:rsidR="0014093D" w:rsidRPr="007740E4" w:rsidRDefault="0014093D" w:rsidP="0014093D">
      <w:pPr>
        <w:pStyle w:val="TableFigureFooter"/>
        <w:spacing w:after="0"/>
        <w:rPr>
          <w:rStyle w:val="CommentReference"/>
          <w:b w:val="0"/>
          <w:bCs/>
          <w:sz w:val="18"/>
          <w:szCs w:val="18"/>
        </w:rPr>
      </w:pPr>
      <w:r w:rsidRPr="007740E4">
        <w:rPr>
          <w:rStyle w:val="CommentReference"/>
          <w:b w:val="0"/>
          <w:bCs/>
          <w:sz w:val="18"/>
          <w:szCs w:val="18"/>
        </w:rPr>
        <w:t xml:space="preserve">Blue shading represents results previously presented and considered at the PBAC November 2022 meeting.  </w:t>
      </w:r>
    </w:p>
    <w:p w14:paraId="7A0433CB" w14:textId="77777777" w:rsidR="0014093D" w:rsidRPr="007740E4" w:rsidRDefault="0014093D" w:rsidP="0014093D">
      <w:pPr>
        <w:pStyle w:val="FooterTableFigure"/>
      </w:pPr>
      <w:r w:rsidRPr="007740E4">
        <w:t>Source: Tables 2.30-2.32, pp114-116 of the resubmission; De Vivo et al 2019 (NURTURE); Finkel et al 2022 (RAINBOWFISH).</w:t>
      </w:r>
    </w:p>
    <w:p w14:paraId="0E43EB02" w14:textId="33716BBD" w:rsidR="0014093D" w:rsidRPr="007740E4" w:rsidRDefault="0014093D" w:rsidP="0014093D">
      <w:pPr>
        <w:pStyle w:val="FooterTableFigure"/>
      </w:pPr>
      <w:r w:rsidRPr="007740E4">
        <w:t xml:space="preserve">BSID=Bayley Scale for Infant Development; HINE-2=Hammersmith Infant Neurological Examination-2; MGRS=Multicentre Growth Reference Study, NUSI=nusinersen; ONA=onasemnogene abeparvovec; RIS=risdiplam; </w:t>
      </w:r>
      <w:r w:rsidR="00B64F80" w:rsidRPr="007740E4">
        <w:rPr>
          <w:i/>
        </w:rPr>
        <w:t>SMN2</w:t>
      </w:r>
      <w:r w:rsidRPr="007740E4">
        <w:t>=survival motor neuron 2; WHO=World Health Organisation; NR=not reported; PNCR= Paediatric Neuromuscular Clinical Research Network for SMA</w:t>
      </w:r>
    </w:p>
    <w:p w14:paraId="5E9B73BB" w14:textId="7A984FCE" w:rsidR="0014093D" w:rsidRPr="007740E4" w:rsidRDefault="0014093D" w:rsidP="0014093D">
      <w:pPr>
        <w:pStyle w:val="FooterTableFigure"/>
      </w:pPr>
      <w:r w:rsidRPr="007740E4">
        <w:t>† Measured up to and including the 24 months of age visit; ‡ Measured up to and including the 18 months of age visit; ^ comparison with PNCR population, the PNCR was a natural history study (2014) of the disease which was used for comparisons to the study populations in SPR1NT. The “population matched” control cohort for the ability to sit without support was those with 2</w:t>
      </w:r>
      <w:r w:rsidR="00B64F80" w:rsidRPr="007740E4">
        <w:rPr>
          <w:i/>
        </w:rPr>
        <w:t>SMN2</w:t>
      </w:r>
      <w:r w:rsidRPr="007740E4">
        <w:t xml:space="preserve"> copies while those with 3</w:t>
      </w:r>
      <w:r w:rsidR="00B64F80" w:rsidRPr="007740E4">
        <w:rPr>
          <w:i/>
        </w:rPr>
        <w:t>SMN2</w:t>
      </w:r>
      <w:r w:rsidRPr="007740E4">
        <w:t xml:space="preserve"> copies were matched for the ability to stand and walk unsupported; # Measured at </w:t>
      </w:r>
      <w:r w:rsidRPr="00D5665A">
        <w:rPr>
          <w:iCs/>
        </w:rPr>
        <w:t>24 months of age</w:t>
      </w:r>
      <w:r w:rsidRPr="007740E4">
        <w:t>; * In RAINBOWFISH the preliminary exploratory analysis at the July 2021 data cut was for 7 patients t</w:t>
      </w:r>
      <w:r w:rsidR="00C21E31" w:rsidRPr="007740E4">
        <w:t>reated with RIS</w:t>
      </w:r>
      <w:r w:rsidRPr="007740E4">
        <w:t xml:space="preserve"> for ≥12 months; in the &gt;2</w:t>
      </w:r>
      <w:r w:rsidR="00B64F80" w:rsidRPr="007740E4">
        <w:rPr>
          <w:i/>
        </w:rPr>
        <w:t>SMN2</w:t>
      </w:r>
      <w:r w:rsidRPr="007740E4">
        <w:t xml:space="preserve"> group: two patients had 3 </w:t>
      </w:r>
      <w:r w:rsidR="00B64F80" w:rsidRPr="007740E4">
        <w:rPr>
          <w:i/>
        </w:rPr>
        <w:t>SMN2</w:t>
      </w:r>
      <w:r w:rsidRPr="007740E4">
        <w:t xml:space="preserve"> copies and one patient had atypical 3-4</w:t>
      </w:r>
      <w:r w:rsidR="00B64F80" w:rsidRPr="007740E4">
        <w:rPr>
          <w:i/>
        </w:rPr>
        <w:t>SMN2</w:t>
      </w:r>
      <w:r w:rsidRPr="007740E4">
        <w:t xml:space="preserve"> copies.</w:t>
      </w:r>
    </w:p>
    <w:p w14:paraId="59217741" w14:textId="34B896C8" w:rsidR="0014093D" w:rsidRPr="007740E4" w:rsidRDefault="00D5665A" w:rsidP="0014093D">
      <w:pPr>
        <w:pStyle w:val="FooterTableFigure"/>
      </w:pPr>
      <w:r>
        <w:t>a</w:t>
      </w:r>
      <w:r w:rsidR="0014093D" w:rsidRPr="007740E4">
        <w:t xml:space="preserve"> Bayley GM item 40: stands alone ≥3 seconds (after you release his/her hands).</w:t>
      </w:r>
    </w:p>
    <w:p w14:paraId="73E8E482" w14:textId="287D4F39" w:rsidR="0014093D" w:rsidRPr="007740E4" w:rsidRDefault="00D5665A" w:rsidP="0014093D">
      <w:pPr>
        <w:pStyle w:val="FooterTableFigure"/>
      </w:pPr>
      <w:r>
        <w:t>b</w:t>
      </w:r>
      <w:r w:rsidRPr="007740E4">
        <w:t xml:space="preserve"> </w:t>
      </w:r>
      <w:r w:rsidR="0014093D" w:rsidRPr="007740E4">
        <w:t>WHO-MGRS: standing alone ≥10 seconds. Child stands upright position on both feet (not toes) with back straight. Legs support 100% weight. No contact with a person or object.</w:t>
      </w:r>
    </w:p>
    <w:p w14:paraId="48934A1C" w14:textId="1DC03F7E" w:rsidR="0014093D" w:rsidRPr="007740E4" w:rsidRDefault="00D5665A" w:rsidP="0014093D">
      <w:pPr>
        <w:pStyle w:val="FooterTableFigure"/>
      </w:pPr>
      <w:r>
        <w:t>c</w:t>
      </w:r>
      <w:r w:rsidRPr="007740E4">
        <w:t xml:space="preserve"> </w:t>
      </w:r>
      <w:r w:rsidR="0014093D" w:rsidRPr="007740E4">
        <w:t xml:space="preserve">HINE-2: “standing </w:t>
      </w:r>
      <w:r w:rsidR="0051672C" w:rsidRPr="007740E4">
        <w:t>unaided”.</w:t>
      </w:r>
    </w:p>
    <w:p w14:paraId="558EE9D0" w14:textId="5BBA7B72" w:rsidR="0014093D" w:rsidRPr="007740E4" w:rsidRDefault="00D5665A" w:rsidP="0014093D">
      <w:pPr>
        <w:pStyle w:val="FooterTableFigure"/>
      </w:pPr>
      <w:r>
        <w:t>d</w:t>
      </w:r>
      <w:r w:rsidRPr="007740E4">
        <w:t xml:space="preserve"> </w:t>
      </w:r>
      <w:r w:rsidR="0014093D" w:rsidRPr="007740E4">
        <w:t>Bayley GM item 43: walks alone. Child takes ≥5 steps independently, displaying coordination and balance.</w:t>
      </w:r>
    </w:p>
    <w:p w14:paraId="66ACC200" w14:textId="341674AA" w:rsidR="0014093D" w:rsidRPr="007740E4" w:rsidRDefault="00D5665A" w:rsidP="0014093D">
      <w:pPr>
        <w:pStyle w:val="FooterTableFigure"/>
      </w:pPr>
      <w:r>
        <w:t>e</w:t>
      </w:r>
      <w:r w:rsidRPr="007740E4">
        <w:t xml:space="preserve"> </w:t>
      </w:r>
      <w:r w:rsidR="0014093D" w:rsidRPr="007740E4">
        <w:t>One patient did not have any recorded video footage for central review confirmation of being able to walk alone and was not formally counted as achieving this milestone prior to reaching 24 months of age. However</w:t>
      </w:r>
      <w:r w:rsidR="00B00909">
        <w:t>,</w:t>
      </w:r>
      <w:r w:rsidR="0014093D" w:rsidRPr="007740E4">
        <w:t xml:space="preserve"> at the age 24 month visit, the clinical evaluator observed by video that the patient was able to stand and walk alone.</w:t>
      </w:r>
    </w:p>
    <w:p w14:paraId="0C9B7A5B" w14:textId="60B7D21B" w:rsidR="0014093D" w:rsidRPr="007740E4" w:rsidRDefault="00D5665A" w:rsidP="0014093D">
      <w:pPr>
        <w:pStyle w:val="FooterTableFigure"/>
      </w:pPr>
      <w:r>
        <w:t>f</w:t>
      </w:r>
      <w:r w:rsidRPr="007740E4">
        <w:t xml:space="preserve"> </w:t>
      </w:r>
      <w:r w:rsidR="0014093D" w:rsidRPr="007740E4">
        <w:t>WHO-MGRS: walking alone. Child takes ≥5 steps independently in upright position with back straight. One leg moves forward while the other supports most of the body weight. There is no contact with a person or object.</w:t>
      </w:r>
    </w:p>
    <w:p w14:paraId="43B1AE4E" w14:textId="6D22806A" w:rsidR="0014093D" w:rsidRPr="007740E4" w:rsidRDefault="0014093D" w:rsidP="0014093D">
      <w:pPr>
        <w:pStyle w:val="FooterTableFigure"/>
      </w:pPr>
      <w:r w:rsidRPr="007740E4">
        <w:t xml:space="preserve">j HINE-2: “walking </w:t>
      </w:r>
      <w:r w:rsidR="0051672C" w:rsidRPr="007740E4">
        <w:t>independently”.</w:t>
      </w:r>
    </w:p>
    <w:p w14:paraId="1278B77D" w14:textId="07044D2C" w:rsidR="0014093D" w:rsidRPr="00820898" w:rsidRDefault="00193E3F" w:rsidP="0014093D">
      <w:pPr>
        <w:pStyle w:val="3-BodyText"/>
        <w:rPr>
          <w:iCs/>
        </w:rPr>
      </w:pPr>
      <w:r w:rsidRPr="00820898">
        <w:rPr>
          <w:iCs/>
        </w:rPr>
        <w:t>T</w:t>
      </w:r>
      <w:r w:rsidR="0014093D" w:rsidRPr="00820898">
        <w:rPr>
          <w:iCs/>
        </w:rPr>
        <w:t xml:space="preserve">he </w:t>
      </w:r>
      <w:r w:rsidRPr="00820898">
        <w:rPr>
          <w:iCs/>
        </w:rPr>
        <w:t>‘</w:t>
      </w:r>
      <w:r w:rsidR="0014093D" w:rsidRPr="00820898">
        <w:rPr>
          <w:iCs/>
        </w:rPr>
        <w:t xml:space="preserve">control group </w:t>
      </w:r>
      <w:r w:rsidRPr="00820898">
        <w:rPr>
          <w:iCs/>
        </w:rPr>
        <w:t>‘</w:t>
      </w:r>
      <w:r w:rsidR="0014093D" w:rsidRPr="00820898">
        <w:rPr>
          <w:iCs/>
        </w:rPr>
        <w:t xml:space="preserve">presented in </w:t>
      </w:r>
      <w:r w:rsidR="0014093D" w:rsidRPr="00820898">
        <w:rPr>
          <w:iCs/>
        </w:rPr>
        <w:fldChar w:fldCharType="begin" w:fldLock="1"/>
      </w:r>
      <w:r w:rsidR="0014093D" w:rsidRPr="00820898">
        <w:rPr>
          <w:iCs/>
        </w:rPr>
        <w:instrText xml:space="preserve"> REF _Ref134270218 \h  \* MERGEFORMAT </w:instrText>
      </w:r>
      <w:r w:rsidR="0014093D" w:rsidRPr="00820898">
        <w:rPr>
          <w:iCs/>
        </w:rPr>
      </w:r>
      <w:r w:rsidR="0014093D" w:rsidRPr="00820898">
        <w:rPr>
          <w:iCs/>
        </w:rPr>
        <w:fldChar w:fldCharType="separate"/>
      </w:r>
      <w:r w:rsidR="007866DB" w:rsidRPr="00820898">
        <w:rPr>
          <w:iCs/>
        </w:rPr>
        <w:t>Table 7</w:t>
      </w:r>
      <w:r w:rsidR="0014093D" w:rsidRPr="00820898">
        <w:rPr>
          <w:iCs/>
        </w:rPr>
        <w:fldChar w:fldCharType="end"/>
      </w:r>
      <w:r w:rsidR="0014093D" w:rsidRPr="00820898">
        <w:rPr>
          <w:iCs/>
        </w:rPr>
        <w:t xml:space="preserve"> was based on a natural history study (the Paediatric Neuromuscular Clinical Research study; Finkel et al, 2014). The PBAC previously noted that such studies would not reflect a scenario where patients are treated with DMTs pre-symptomatically or soon after symptoms appear, and hence, would not reflect current clinical practice (paragraph 4.6. &amp; 7.5, </w:t>
      </w:r>
      <w:r w:rsidR="00D5665A">
        <w:rPr>
          <w:iCs/>
        </w:rPr>
        <w:t>ONA</w:t>
      </w:r>
      <w:r w:rsidR="0014093D" w:rsidRPr="00820898">
        <w:rPr>
          <w:iCs/>
        </w:rPr>
        <w:t xml:space="preserve"> </w:t>
      </w:r>
      <w:r w:rsidR="00D862B0" w:rsidRPr="00820898">
        <w:rPr>
          <w:iCs/>
        </w:rPr>
        <w:t>PSD</w:t>
      </w:r>
      <w:r w:rsidR="0014093D" w:rsidRPr="00820898">
        <w:rPr>
          <w:iCs/>
        </w:rPr>
        <w:t xml:space="preserve">, November 2022 PBAC meeting). Further, the developmental milestones assessed were measured using different scales at different timepoints. </w:t>
      </w:r>
    </w:p>
    <w:p w14:paraId="3C23DF06" w14:textId="4B115206" w:rsidR="0014093D" w:rsidRPr="00820898" w:rsidRDefault="0014093D" w:rsidP="0014093D">
      <w:pPr>
        <w:pStyle w:val="3-BodyText"/>
        <w:rPr>
          <w:iCs/>
        </w:rPr>
      </w:pPr>
      <w:r w:rsidRPr="00820898">
        <w:rPr>
          <w:iCs/>
        </w:rPr>
        <w:t xml:space="preserve">Only SPR1NT and NURTURE reported similar outcomes which allowed for some level of naïve comparisons (WHO milestone ability to sit without support, ability to stand unsupported and ability to walk unsupported). While the patients were assessed at different </w:t>
      </w:r>
      <w:r w:rsidR="00D5665A">
        <w:rPr>
          <w:iCs/>
        </w:rPr>
        <w:t>timepoints</w:t>
      </w:r>
      <w:r w:rsidRPr="00820898">
        <w:rPr>
          <w:iCs/>
        </w:rPr>
        <w:t xml:space="preserve"> which made the comparisons more difficult, the median age at which patients with 3 copies of </w:t>
      </w:r>
      <w:r w:rsidR="00B64F80" w:rsidRPr="00D5665A">
        <w:rPr>
          <w:i/>
        </w:rPr>
        <w:t>SMN2</w:t>
      </w:r>
      <w:r w:rsidRPr="00820898">
        <w:rPr>
          <w:iCs/>
        </w:rPr>
        <w:t xml:space="preserve"> achieved ability to sit in NURTURE was lower (6.4 months) than in SPR1NT (8.8 months), and a similar trend was observed in the median age at which patients achieved ability to walk unsupported (12.3 months in NURTURE and 14.05 months in SPR1NT), though the clinical significance of these differences was unclear. Of the patients with 3 copies of the </w:t>
      </w:r>
      <w:r w:rsidR="00B64F80" w:rsidRPr="00D5665A">
        <w:rPr>
          <w:i/>
        </w:rPr>
        <w:t>SMN2</w:t>
      </w:r>
      <w:r w:rsidRPr="00820898">
        <w:rPr>
          <w:iCs/>
        </w:rPr>
        <w:t xml:space="preserve"> gene, a higher proportion of patients treated with NUSI (compared to those treated with ONA) were found to have consistently achieved these milestones within the normal window.</w:t>
      </w:r>
    </w:p>
    <w:p w14:paraId="472FADE4" w14:textId="72847D21" w:rsidR="0014093D" w:rsidRPr="00820898" w:rsidRDefault="0014093D" w:rsidP="0014093D">
      <w:pPr>
        <w:pStyle w:val="3-BodyText"/>
        <w:rPr>
          <w:iCs/>
        </w:rPr>
      </w:pPr>
      <w:r w:rsidRPr="00820898">
        <w:rPr>
          <w:iCs/>
        </w:rPr>
        <w:t>All patients from SPR1NT enrolled in LT-002 (n=25) were alive at the latest data cut-off (May 2022). Similar</w:t>
      </w:r>
      <w:r w:rsidR="00B65938" w:rsidRPr="00820898">
        <w:rPr>
          <w:iCs/>
        </w:rPr>
        <w:t xml:space="preserve"> results were </w:t>
      </w:r>
      <w:r w:rsidRPr="00820898">
        <w:rPr>
          <w:iCs/>
        </w:rPr>
        <w:t xml:space="preserve">observed for NURTURE (n=25; March 2019 data cut) and RAINBOWFISH (n=18; July 2021 data cut). None of the patients from SPR1NT in LT-002 required ventilatory support (invasive or non-invasive). While none of the patients enrolled in NURTURE required permanent ventilation (defined as ≥16 h/day continuously for &gt; 21 days in the absence of an acute reversible event or tracheostomy), four patients (all with two </w:t>
      </w:r>
      <w:r w:rsidR="00B64F80" w:rsidRPr="00F97950">
        <w:rPr>
          <w:i/>
        </w:rPr>
        <w:t>SMN2</w:t>
      </w:r>
      <w:r w:rsidRPr="00820898">
        <w:rPr>
          <w:iCs/>
        </w:rPr>
        <w:t xml:space="preserve"> copies) utilised respiratory support. This was not reported for RIS in RAINBOWFISH.</w:t>
      </w:r>
    </w:p>
    <w:p w14:paraId="04C0A707" w14:textId="61F24409" w:rsidR="00436DAE" w:rsidRPr="00436DAE" w:rsidRDefault="00436DAE" w:rsidP="00436DAE">
      <w:pPr>
        <w:pStyle w:val="3-BodyText"/>
        <w:numPr>
          <w:ilvl w:val="0"/>
          <w:numId w:val="0"/>
        </w:numPr>
        <w:rPr>
          <w:u w:val="single"/>
        </w:rPr>
      </w:pPr>
      <w:r>
        <w:rPr>
          <w:u w:val="single"/>
        </w:rPr>
        <w:t xml:space="preserve">SCHN study (Kariyawasam et al 2023) – </w:t>
      </w:r>
      <w:r w:rsidR="00594F56">
        <w:rPr>
          <w:u w:val="single"/>
        </w:rPr>
        <w:t xml:space="preserve">SMA </w:t>
      </w:r>
      <w:r>
        <w:rPr>
          <w:u w:val="single"/>
        </w:rPr>
        <w:t xml:space="preserve">treatment </w:t>
      </w:r>
      <w:r w:rsidR="005057C2">
        <w:rPr>
          <w:u w:val="single"/>
        </w:rPr>
        <w:t xml:space="preserve">before and after implementation of </w:t>
      </w:r>
      <w:r>
        <w:rPr>
          <w:u w:val="single"/>
        </w:rPr>
        <w:t xml:space="preserve">SMA screening </w:t>
      </w:r>
    </w:p>
    <w:p w14:paraId="1D79B7A3" w14:textId="787F605C" w:rsidR="0014093D" w:rsidRPr="00820898" w:rsidRDefault="0014093D" w:rsidP="0014093D">
      <w:pPr>
        <w:pStyle w:val="3-BodyText"/>
        <w:rPr>
          <w:iCs/>
        </w:rPr>
      </w:pPr>
      <w:r w:rsidRPr="007740E4">
        <w:t>The SCHN study was a</w:t>
      </w:r>
      <w:r w:rsidRPr="007E0096">
        <w:t xml:space="preserve"> study of pre-symptomatic treatment of SMA (identified through NBS</w:t>
      </w:r>
      <w:r w:rsidR="007B6B55">
        <w:t xml:space="preserve"> between 1 August 2018 to 1 August 2020</w:t>
      </w:r>
      <w:r w:rsidRPr="007E0096">
        <w:t xml:space="preserve">; screening group) and patients who were </w:t>
      </w:r>
      <w:r w:rsidR="007B6B55">
        <w:t xml:space="preserve">identified via referral between 1 August 2016 and 31 July 2018 and </w:t>
      </w:r>
      <w:r w:rsidRPr="007E0096">
        <w:t>treated after symptom onset (comparator group)</w:t>
      </w:r>
      <w:r w:rsidR="007E0096" w:rsidRPr="007E0096">
        <w:t xml:space="preserve"> in Australia</w:t>
      </w:r>
      <w:r w:rsidRPr="007740E4">
        <w:t xml:space="preserve">. </w:t>
      </w:r>
      <w:r w:rsidRPr="00820898">
        <w:rPr>
          <w:iCs/>
        </w:rPr>
        <w:t xml:space="preserve">However, actual treatments received by patients with 3 copies of </w:t>
      </w:r>
      <w:r w:rsidR="00B64F80" w:rsidRPr="00F97950">
        <w:rPr>
          <w:i/>
        </w:rPr>
        <w:t>SMN2</w:t>
      </w:r>
      <w:r w:rsidRPr="00820898">
        <w:rPr>
          <w:iCs/>
        </w:rPr>
        <w:t xml:space="preserve"> in the screening group (patients identified by NBS and primarily treated pre-symptomatically) were unknown therefore it was unclear any of the results would be applicable to the resubmission</w:t>
      </w:r>
      <w:r w:rsidR="007E0096" w:rsidRPr="00820898">
        <w:rPr>
          <w:iCs/>
        </w:rPr>
        <w:t xml:space="preserve">, and the comparator arm has similar applicability issues </w:t>
      </w:r>
      <w:r w:rsidR="00297063" w:rsidRPr="00820898">
        <w:rPr>
          <w:iCs/>
        </w:rPr>
        <w:t xml:space="preserve">as </w:t>
      </w:r>
      <w:r w:rsidR="007E0096" w:rsidRPr="00820898">
        <w:rPr>
          <w:iCs/>
        </w:rPr>
        <w:t>other natural history studies</w:t>
      </w:r>
      <w:r w:rsidR="00297063" w:rsidRPr="00820898">
        <w:rPr>
          <w:iCs/>
        </w:rPr>
        <w:t>,</w:t>
      </w:r>
      <w:r w:rsidR="007E0096" w:rsidRPr="00820898">
        <w:rPr>
          <w:iCs/>
        </w:rPr>
        <w:t xml:space="preserve"> with</w:t>
      </w:r>
      <w:r w:rsidR="00EC0147" w:rsidRPr="00820898">
        <w:rPr>
          <w:iCs/>
        </w:rPr>
        <w:t xml:space="preserve"> longer delay between symptom onset and treatment (difference between m</w:t>
      </w:r>
      <w:r w:rsidR="007032E3" w:rsidRPr="00820898">
        <w:rPr>
          <w:iCs/>
        </w:rPr>
        <w:t xml:space="preserve">edian age at treatment and median age at ‘symptom onset’ was 28.5 weeks) than would be expected with </w:t>
      </w:r>
      <w:r w:rsidR="00297063" w:rsidRPr="00820898">
        <w:rPr>
          <w:iCs/>
        </w:rPr>
        <w:t xml:space="preserve">patients identified through </w:t>
      </w:r>
      <w:r w:rsidR="007032E3" w:rsidRPr="00820898">
        <w:rPr>
          <w:iCs/>
        </w:rPr>
        <w:t>NBS.</w:t>
      </w:r>
    </w:p>
    <w:p w14:paraId="62989DD1" w14:textId="15AD2019" w:rsidR="00FF72A0" w:rsidRDefault="00185AD7" w:rsidP="0014093D">
      <w:pPr>
        <w:pStyle w:val="3-BodyText"/>
      </w:pPr>
      <w:r>
        <w:t>I</w:t>
      </w:r>
      <w:r w:rsidR="00FF72A0" w:rsidRPr="00FF72A0">
        <w:t>n the SCHN study, by the two-year follow-up, 14 (93%) of 15 patients in the screening group and 16 (89%) of 18 patients in the comparator group were alive. With regard to WHO motor milestones, of the screening group, 11 (79%) of 14 patients were walking independently or with assistance compared with one (6%) of 16 patients in the comparator group (79% vs 6%; χ²=16·27; p&lt;0·0001). In this comparator group, at a median chronological age of 2.84 years, the highest motor milestone attained by most patients was sitting ability, observed in nine (56%) patients.</w:t>
      </w:r>
    </w:p>
    <w:p w14:paraId="61869984" w14:textId="7655E4A6" w:rsidR="0014093D" w:rsidRPr="00820898" w:rsidRDefault="0014093D" w:rsidP="0014093D">
      <w:pPr>
        <w:pStyle w:val="3-BodyText"/>
        <w:rPr>
          <w:iCs/>
        </w:rPr>
      </w:pPr>
      <w:r w:rsidRPr="007740E4">
        <w:t xml:space="preserve">The resubmission claimed that </w:t>
      </w:r>
      <w:r w:rsidR="00DE4201">
        <w:t>based on the SCHN study</w:t>
      </w:r>
      <w:r w:rsidR="009D3842">
        <w:t xml:space="preserve">, </w:t>
      </w:r>
      <w:r w:rsidRPr="007740E4">
        <w:t>it is the impact of when treatment was accessed that has the most impact on outcome and not the</w:t>
      </w:r>
      <w:r w:rsidR="00DE4201">
        <w:t xml:space="preserve"> </w:t>
      </w:r>
      <w:r w:rsidR="00DE4201">
        <w:rPr>
          <w:i/>
          <w:iCs/>
        </w:rPr>
        <w:t>SMN2</w:t>
      </w:r>
      <w:r w:rsidRPr="007740E4">
        <w:t xml:space="preserve"> copy number itself and that having 3 </w:t>
      </w:r>
      <w:r w:rsidR="00B64F80" w:rsidRPr="007740E4">
        <w:rPr>
          <w:i/>
        </w:rPr>
        <w:t>SMN2</w:t>
      </w:r>
      <w:r w:rsidRPr="007740E4">
        <w:t xml:space="preserve"> copies was not protective of poorer outcomes. </w:t>
      </w:r>
      <w:r w:rsidRPr="00820898">
        <w:rPr>
          <w:iCs/>
        </w:rPr>
        <w:t>T</w:t>
      </w:r>
      <w:r w:rsidR="00AB7A82">
        <w:rPr>
          <w:iCs/>
        </w:rPr>
        <w:t>he evaluation considered t</w:t>
      </w:r>
      <w:r w:rsidRPr="00820898">
        <w:rPr>
          <w:iCs/>
        </w:rPr>
        <w:t xml:space="preserve">his was not a reasonable conclusion. While the age of treatment may have a larger impact, the </w:t>
      </w:r>
      <w:r w:rsidR="00DE4201" w:rsidRPr="00820898">
        <w:rPr>
          <w:iCs/>
        </w:rPr>
        <w:t xml:space="preserve">SCHN </w:t>
      </w:r>
      <w:r w:rsidRPr="00820898">
        <w:rPr>
          <w:iCs/>
        </w:rPr>
        <w:t xml:space="preserve">study found </w:t>
      </w:r>
      <w:r w:rsidR="00B64F80" w:rsidRPr="00AB7A82">
        <w:rPr>
          <w:i/>
        </w:rPr>
        <w:t>SMN2</w:t>
      </w:r>
      <w:r w:rsidRPr="00820898">
        <w:rPr>
          <w:iCs/>
        </w:rPr>
        <w:t xml:space="preserve"> copy number was also a significant predictor of HINE-2 and WHO motor scores where those with 3 </w:t>
      </w:r>
      <w:r w:rsidR="00B64F80" w:rsidRPr="00AB7A82">
        <w:rPr>
          <w:i/>
        </w:rPr>
        <w:t>SMN2</w:t>
      </w:r>
      <w:r w:rsidRPr="00820898">
        <w:rPr>
          <w:iCs/>
        </w:rPr>
        <w:t xml:space="preserve"> copies on average, had more favourable scores than those with 2 </w:t>
      </w:r>
      <w:r w:rsidR="00B64F80" w:rsidRPr="00AB7A82">
        <w:rPr>
          <w:i/>
        </w:rPr>
        <w:t>SMN2</w:t>
      </w:r>
      <w:r w:rsidRPr="00820898">
        <w:rPr>
          <w:iCs/>
        </w:rPr>
        <w:t xml:space="preserve"> copies. Even though patients with 3 copies of </w:t>
      </w:r>
      <w:r w:rsidR="00B64F80" w:rsidRPr="00AB7A82">
        <w:rPr>
          <w:i/>
        </w:rPr>
        <w:t>SMN2</w:t>
      </w:r>
      <w:r w:rsidRPr="00820898">
        <w:rPr>
          <w:iCs/>
        </w:rPr>
        <w:t xml:space="preserve"> in the screening group attained more advanced motor milestones than patients with 3 copies </w:t>
      </w:r>
      <w:r w:rsidR="00AB4DE4" w:rsidRPr="00820898">
        <w:rPr>
          <w:iCs/>
        </w:rPr>
        <w:t xml:space="preserve">of </w:t>
      </w:r>
      <w:r w:rsidR="00AB4DE4" w:rsidRPr="00AB7A82">
        <w:rPr>
          <w:i/>
        </w:rPr>
        <w:t>SMN2</w:t>
      </w:r>
      <w:r w:rsidR="00AB4DE4" w:rsidRPr="00820898">
        <w:rPr>
          <w:iCs/>
        </w:rPr>
        <w:t xml:space="preserve"> </w:t>
      </w:r>
      <w:r w:rsidRPr="00820898">
        <w:rPr>
          <w:iCs/>
        </w:rPr>
        <w:t>in the comparator group, it should be noted that patients in the comparator group were significantly worse off at baseline.</w:t>
      </w:r>
    </w:p>
    <w:p w14:paraId="03BC4ABA" w14:textId="5831A931" w:rsidR="0014093D" w:rsidRPr="00820898" w:rsidRDefault="009E35D1" w:rsidP="0014093D">
      <w:pPr>
        <w:pStyle w:val="3-BodyText"/>
        <w:rPr>
          <w:rStyle w:val="CommentReference"/>
          <w:rFonts w:asciiTheme="minorHAnsi" w:hAnsiTheme="minorHAnsi"/>
          <w:b w:val="0"/>
          <w:iCs/>
          <w:sz w:val="24"/>
          <w:szCs w:val="24"/>
        </w:rPr>
      </w:pPr>
      <w:r w:rsidRPr="00820898">
        <w:rPr>
          <w:iCs/>
        </w:rPr>
        <w:t xml:space="preserve">Overall, the SCHN </w:t>
      </w:r>
      <w:r w:rsidR="0014093D" w:rsidRPr="00820898">
        <w:rPr>
          <w:iCs/>
        </w:rPr>
        <w:t>study was confounded and prone to selection bias. Patients enrolled in the comparator group were worse off at baseline</w:t>
      </w:r>
      <w:r w:rsidR="001C4923" w:rsidRPr="00820898">
        <w:rPr>
          <w:iCs/>
        </w:rPr>
        <w:t xml:space="preserve"> compared to the screening group</w:t>
      </w:r>
      <w:r w:rsidR="0014093D" w:rsidRPr="00820898">
        <w:rPr>
          <w:iCs/>
        </w:rPr>
        <w:t>, with lower motor function (indicated by significantly lower HINE-2 and CHOP-INTEND scores) and at least half of the patients expressing the severe SMA Type I phenotype (non-sitters). As such, comparisons made between the screening and comparator groups were likely biased in favour of the screening group, and it was difficult to draw any meaningful comparisons from the study.</w:t>
      </w:r>
    </w:p>
    <w:p w14:paraId="698B7904" w14:textId="77777777" w:rsidR="0014093D" w:rsidRPr="007740E4" w:rsidRDefault="0014093D" w:rsidP="0014093D">
      <w:pPr>
        <w:pStyle w:val="4-SubsectionHeading"/>
      </w:pPr>
      <w:bookmarkStart w:id="35" w:name="_Toc22897642"/>
      <w:bookmarkStart w:id="36" w:name="_Toc135210588"/>
      <w:r w:rsidRPr="007740E4">
        <w:t>Comparative harms</w:t>
      </w:r>
      <w:bookmarkEnd w:id="35"/>
      <w:bookmarkEnd w:id="36"/>
    </w:p>
    <w:p w14:paraId="26AE782E" w14:textId="220A48A0" w:rsidR="0014093D" w:rsidRPr="007740E4" w:rsidRDefault="0014093D" w:rsidP="0014093D">
      <w:pPr>
        <w:pStyle w:val="3-BodyText"/>
      </w:pPr>
      <w:r w:rsidRPr="007740E4">
        <w:t xml:space="preserve">An overview of adverse events (AEs) reported in SPR1NT is presented in </w:t>
      </w:r>
      <w:r w:rsidRPr="007740E4">
        <w:fldChar w:fldCharType="begin" w:fldLock="1"/>
      </w:r>
      <w:r w:rsidRPr="007740E4">
        <w:instrText xml:space="preserve"> REF _Ref134276593 \h </w:instrText>
      </w:r>
      <w:r w:rsidRPr="007740E4">
        <w:fldChar w:fldCharType="separate"/>
      </w:r>
      <w:r w:rsidR="007866DB" w:rsidRPr="007740E4">
        <w:t xml:space="preserve">Table </w:t>
      </w:r>
      <w:r w:rsidR="007866DB">
        <w:rPr>
          <w:noProof/>
        </w:rPr>
        <w:t>8</w:t>
      </w:r>
      <w:r w:rsidRPr="007740E4">
        <w:fldChar w:fldCharType="end"/>
      </w:r>
      <w:r w:rsidRPr="007740E4">
        <w:t xml:space="preserve">. </w:t>
      </w:r>
    </w:p>
    <w:p w14:paraId="0E453B81" w14:textId="5F3EACC1" w:rsidR="0014093D" w:rsidRPr="007740E4" w:rsidRDefault="0014093D" w:rsidP="0014093D">
      <w:pPr>
        <w:pStyle w:val="TableFigureHeading"/>
      </w:pPr>
      <w:bookmarkStart w:id="37" w:name="_Ref134276593"/>
      <w:r w:rsidRPr="007740E4">
        <w:t xml:space="preserve">Table </w:t>
      </w:r>
      <w:fldSimple w:instr=" SEQ Table \* ARABIC " w:fldLock="1">
        <w:r w:rsidR="0084520A">
          <w:rPr>
            <w:noProof/>
          </w:rPr>
          <w:t>8</w:t>
        </w:r>
      </w:fldSimple>
      <w:bookmarkEnd w:id="37"/>
      <w:r w:rsidRPr="007740E4">
        <w:t>:</w:t>
      </w:r>
      <w:r w:rsidRPr="007740E4">
        <w:rPr>
          <w:rStyle w:val="CommentReference"/>
          <w:b/>
          <w:szCs w:val="24"/>
        </w:rPr>
        <w:t xml:space="preserve"> Adverse events reported in SPR1NT by patient cohort</w:t>
      </w:r>
    </w:p>
    <w:tbl>
      <w:tblPr>
        <w:tblStyle w:val="TableGrid"/>
        <w:tblW w:w="0" w:type="auto"/>
        <w:tblLook w:val="04A0" w:firstRow="1" w:lastRow="0" w:firstColumn="1" w:lastColumn="0" w:noHBand="0" w:noVBand="1"/>
        <w:tblCaption w:val="Table 8: Adverse events reported in SPR1NT by patient cohort"/>
      </w:tblPr>
      <w:tblGrid>
        <w:gridCol w:w="3397"/>
        <w:gridCol w:w="2810"/>
        <w:gridCol w:w="2810"/>
      </w:tblGrid>
      <w:tr w:rsidR="0014093D" w:rsidRPr="007740E4" w14:paraId="2412FE9B" w14:textId="77777777" w:rsidTr="00EF68D9">
        <w:tc>
          <w:tcPr>
            <w:tcW w:w="3397" w:type="dxa"/>
          </w:tcPr>
          <w:p w14:paraId="11087F96" w14:textId="5C865E6B" w:rsidR="0014093D" w:rsidRPr="007740E4" w:rsidRDefault="0014093D" w:rsidP="00EF68D9">
            <w:pPr>
              <w:keepNext/>
              <w:keepLines/>
              <w:rPr>
                <w:rFonts w:ascii="Arial Narrow" w:hAnsi="Arial Narrow"/>
                <w:b/>
                <w:sz w:val="20"/>
              </w:rPr>
            </w:pPr>
            <w:r w:rsidRPr="007740E4">
              <w:rPr>
                <w:rFonts w:ascii="Arial Narrow" w:hAnsi="Arial Narrow"/>
                <w:b/>
                <w:sz w:val="20"/>
              </w:rPr>
              <w:t>Safety outcome, n</w:t>
            </w:r>
            <w:r w:rsidR="00B00909">
              <w:rPr>
                <w:rFonts w:ascii="Arial Narrow" w:hAnsi="Arial Narrow"/>
                <w:b/>
                <w:sz w:val="20"/>
              </w:rPr>
              <w:t xml:space="preserve"> </w:t>
            </w:r>
            <w:r w:rsidRPr="007740E4">
              <w:rPr>
                <w:rFonts w:ascii="Arial Narrow" w:hAnsi="Arial Narrow"/>
                <w:b/>
                <w:sz w:val="20"/>
              </w:rPr>
              <w:t>(%)</w:t>
            </w:r>
          </w:p>
        </w:tc>
        <w:tc>
          <w:tcPr>
            <w:tcW w:w="2810" w:type="dxa"/>
          </w:tcPr>
          <w:p w14:paraId="0E13480E" w14:textId="3F81E6BB" w:rsidR="0014093D" w:rsidRPr="007740E4" w:rsidRDefault="0014093D" w:rsidP="00EF68D9">
            <w:pPr>
              <w:keepNext/>
              <w:keepLines/>
              <w:jc w:val="center"/>
              <w:rPr>
                <w:rFonts w:ascii="Arial Narrow" w:hAnsi="Arial Narrow"/>
                <w:b/>
                <w:sz w:val="20"/>
              </w:rPr>
            </w:pPr>
            <w:r w:rsidRPr="007740E4">
              <w:rPr>
                <w:rFonts w:ascii="Arial Narrow" w:hAnsi="Arial Narrow"/>
                <w:b/>
                <w:sz w:val="20"/>
              </w:rPr>
              <w:t>Cohort 2 (3</w:t>
            </w:r>
            <w:r w:rsidR="00B64F80" w:rsidRPr="007740E4">
              <w:rPr>
                <w:rFonts w:ascii="Arial Narrow" w:hAnsi="Arial Narrow"/>
                <w:b/>
                <w:i/>
                <w:sz w:val="20"/>
              </w:rPr>
              <w:t>SMN2</w:t>
            </w:r>
            <w:r w:rsidRPr="007740E4">
              <w:rPr>
                <w:rFonts w:ascii="Arial Narrow" w:hAnsi="Arial Narrow"/>
                <w:b/>
                <w:sz w:val="20"/>
              </w:rPr>
              <w:t xml:space="preserve"> copies) (n=15)</w:t>
            </w:r>
          </w:p>
        </w:tc>
        <w:tc>
          <w:tcPr>
            <w:tcW w:w="2810" w:type="dxa"/>
          </w:tcPr>
          <w:p w14:paraId="14BFFB29" w14:textId="6487DD87" w:rsidR="0014093D" w:rsidRPr="007740E4" w:rsidRDefault="0014093D" w:rsidP="00EF68D9">
            <w:pPr>
              <w:keepNext/>
              <w:keepLines/>
              <w:jc w:val="center"/>
              <w:rPr>
                <w:rFonts w:ascii="Arial Narrow" w:hAnsi="Arial Narrow"/>
                <w:b/>
                <w:sz w:val="20"/>
              </w:rPr>
            </w:pPr>
            <w:r w:rsidRPr="007740E4">
              <w:rPr>
                <w:rFonts w:ascii="Arial Narrow" w:hAnsi="Arial Narrow"/>
                <w:b/>
                <w:sz w:val="20"/>
              </w:rPr>
              <w:t>Cohort 2 (2</w:t>
            </w:r>
            <w:r w:rsidR="00B64F80" w:rsidRPr="007740E4">
              <w:rPr>
                <w:rFonts w:ascii="Arial Narrow" w:hAnsi="Arial Narrow"/>
                <w:b/>
                <w:i/>
                <w:sz w:val="20"/>
              </w:rPr>
              <w:t>SMN2</w:t>
            </w:r>
            <w:r w:rsidRPr="007740E4">
              <w:rPr>
                <w:rFonts w:ascii="Arial Narrow" w:hAnsi="Arial Narrow"/>
                <w:b/>
                <w:sz w:val="20"/>
              </w:rPr>
              <w:t xml:space="preserve"> copies) (n=14)</w:t>
            </w:r>
          </w:p>
        </w:tc>
      </w:tr>
      <w:tr w:rsidR="0014093D" w:rsidRPr="007740E4" w14:paraId="37B21E16" w14:textId="77777777" w:rsidTr="00EF68D9">
        <w:tc>
          <w:tcPr>
            <w:tcW w:w="3397" w:type="dxa"/>
            <w:tcBorders>
              <w:bottom w:val="single" w:sz="4" w:space="0" w:color="auto"/>
            </w:tcBorders>
          </w:tcPr>
          <w:p w14:paraId="07BE4852" w14:textId="77777777" w:rsidR="0014093D" w:rsidRPr="007740E4" w:rsidRDefault="0014093D" w:rsidP="00EF68D9">
            <w:pPr>
              <w:keepNext/>
              <w:keepLines/>
              <w:rPr>
                <w:rFonts w:ascii="Arial Narrow" w:hAnsi="Arial Narrow"/>
                <w:sz w:val="20"/>
              </w:rPr>
            </w:pPr>
            <w:r w:rsidRPr="007740E4">
              <w:rPr>
                <w:rFonts w:ascii="Arial Narrow" w:hAnsi="Arial Narrow"/>
                <w:sz w:val="20"/>
              </w:rPr>
              <w:t>Any TEAE</w:t>
            </w:r>
          </w:p>
        </w:tc>
        <w:tc>
          <w:tcPr>
            <w:tcW w:w="2810" w:type="dxa"/>
            <w:tcBorders>
              <w:bottom w:val="single" w:sz="4" w:space="0" w:color="auto"/>
            </w:tcBorders>
            <w:shd w:val="clear" w:color="auto" w:fill="C6D9F1" w:themeFill="text2" w:themeFillTint="33"/>
          </w:tcPr>
          <w:p w14:paraId="29E91442"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15 (100)</w:t>
            </w:r>
          </w:p>
        </w:tc>
        <w:tc>
          <w:tcPr>
            <w:tcW w:w="2810" w:type="dxa"/>
            <w:tcBorders>
              <w:bottom w:val="single" w:sz="4" w:space="0" w:color="auto"/>
            </w:tcBorders>
          </w:tcPr>
          <w:p w14:paraId="6DBAF0BB"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14 (100)</w:t>
            </w:r>
          </w:p>
        </w:tc>
      </w:tr>
      <w:tr w:rsidR="0014093D" w:rsidRPr="007740E4" w14:paraId="2165294F" w14:textId="77777777" w:rsidTr="00EF68D9">
        <w:tc>
          <w:tcPr>
            <w:tcW w:w="3397" w:type="dxa"/>
            <w:tcBorders>
              <w:top w:val="single" w:sz="4" w:space="0" w:color="auto"/>
              <w:bottom w:val="single" w:sz="4" w:space="0" w:color="auto"/>
            </w:tcBorders>
          </w:tcPr>
          <w:p w14:paraId="4738F80D" w14:textId="77777777" w:rsidR="0014093D" w:rsidRPr="007740E4" w:rsidRDefault="0014093D" w:rsidP="00EF68D9">
            <w:pPr>
              <w:keepNext/>
              <w:keepLines/>
              <w:rPr>
                <w:rFonts w:ascii="Arial Narrow" w:hAnsi="Arial Narrow"/>
                <w:sz w:val="20"/>
              </w:rPr>
            </w:pPr>
            <w:r w:rsidRPr="007740E4">
              <w:rPr>
                <w:rFonts w:ascii="Arial Narrow" w:hAnsi="Arial Narrow"/>
                <w:sz w:val="20"/>
              </w:rPr>
              <w:t>TEAEs related to study treatment</w:t>
            </w:r>
          </w:p>
        </w:tc>
        <w:tc>
          <w:tcPr>
            <w:tcW w:w="2810" w:type="dxa"/>
            <w:tcBorders>
              <w:top w:val="single" w:sz="4" w:space="0" w:color="auto"/>
              <w:bottom w:val="single" w:sz="4" w:space="0" w:color="auto"/>
            </w:tcBorders>
          </w:tcPr>
          <w:p w14:paraId="6F90DE31"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8 (53.3)</w:t>
            </w:r>
          </w:p>
        </w:tc>
        <w:tc>
          <w:tcPr>
            <w:tcW w:w="2810" w:type="dxa"/>
            <w:tcBorders>
              <w:top w:val="single" w:sz="4" w:space="0" w:color="auto"/>
              <w:bottom w:val="single" w:sz="4" w:space="0" w:color="auto"/>
            </w:tcBorders>
          </w:tcPr>
          <w:p w14:paraId="23A8E4FB"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10 (71.4)</w:t>
            </w:r>
          </w:p>
        </w:tc>
      </w:tr>
      <w:tr w:rsidR="0014093D" w:rsidRPr="007740E4" w14:paraId="723B648C" w14:textId="77777777" w:rsidTr="00EF68D9">
        <w:tc>
          <w:tcPr>
            <w:tcW w:w="3397" w:type="dxa"/>
            <w:tcBorders>
              <w:top w:val="single" w:sz="4" w:space="0" w:color="auto"/>
              <w:bottom w:val="single" w:sz="4" w:space="0" w:color="auto"/>
            </w:tcBorders>
          </w:tcPr>
          <w:p w14:paraId="40EE710C" w14:textId="77777777" w:rsidR="0014093D" w:rsidRPr="007740E4" w:rsidRDefault="0014093D" w:rsidP="00EF68D9">
            <w:pPr>
              <w:keepNext/>
              <w:keepLines/>
              <w:rPr>
                <w:rFonts w:ascii="Arial Narrow" w:hAnsi="Arial Narrow"/>
                <w:sz w:val="20"/>
              </w:rPr>
            </w:pPr>
            <w:r w:rsidRPr="007740E4">
              <w:rPr>
                <w:rFonts w:ascii="Arial Narrow" w:hAnsi="Arial Narrow"/>
                <w:sz w:val="20"/>
              </w:rPr>
              <w:t>TEAEs of Grade 3 severity or higher</w:t>
            </w:r>
          </w:p>
        </w:tc>
        <w:tc>
          <w:tcPr>
            <w:tcW w:w="2810" w:type="dxa"/>
            <w:tcBorders>
              <w:top w:val="single" w:sz="4" w:space="0" w:color="auto"/>
              <w:bottom w:val="single" w:sz="4" w:space="0" w:color="auto"/>
            </w:tcBorders>
          </w:tcPr>
          <w:p w14:paraId="1673BFCA"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3 (20.0)</w:t>
            </w:r>
          </w:p>
        </w:tc>
        <w:tc>
          <w:tcPr>
            <w:tcW w:w="2810" w:type="dxa"/>
            <w:tcBorders>
              <w:top w:val="single" w:sz="4" w:space="0" w:color="auto"/>
              <w:bottom w:val="single" w:sz="4" w:space="0" w:color="auto"/>
            </w:tcBorders>
          </w:tcPr>
          <w:p w14:paraId="71916778"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4 (28.6)</w:t>
            </w:r>
          </w:p>
        </w:tc>
      </w:tr>
      <w:tr w:rsidR="0014093D" w:rsidRPr="007740E4" w14:paraId="536BAC23" w14:textId="77777777" w:rsidTr="00EF68D9">
        <w:tc>
          <w:tcPr>
            <w:tcW w:w="3397" w:type="dxa"/>
            <w:tcBorders>
              <w:top w:val="single" w:sz="4" w:space="0" w:color="auto"/>
              <w:bottom w:val="single" w:sz="4" w:space="0" w:color="auto"/>
            </w:tcBorders>
          </w:tcPr>
          <w:p w14:paraId="6B8D35BC" w14:textId="77777777" w:rsidR="0014093D" w:rsidRPr="007740E4" w:rsidRDefault="0014093D" w:rsidP="00EF68D9">
            <w:pPr>
              <w:keepNext/>
              <w:keepLines/>
              <w:rPr>
                <w:rFonts w:ascii="Arial Narrow" w:hAnsi="Arial Narrow"/>
                <w:sz w:val="20"/>
              </w:rPr>
            </w:pPr>
            <w:r w:rsidRPr="007740E4">
              <w:rPr>
                <w:rFonts w:ascii="Arial Narrow" w:hAnsi="Arial Narrow"/>
                <w:sz w:val="20"/>
              </w:rPr>
              <w:t>Serious TEAEs</w:t>
            </w:r>
          </w:p>
        </w:tc>
        <w:tc>
          <w:tcPr>
            <w:tcW w:w="2810" w:type="dxa"/>
            <w:tcBorders>
              <w:top w:val="single" w:sz="4" w:space="0" w:color="auto"/>
              <w:bottom w:val="single" w:sz="4" w:space="0" w:color="auto"/>
            </w:tcBorders>
            <w:shd w:val="clear" w:color="auto" w:fill="auto"/>
          </w:tcPr>
          <w:p w14:paraId="23535646"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3 (20.0)</w:t>
            </w:r>
          </w:p>
        </w:tc>
        <w:tc>
          <w:tcPr>
            <w:tcW w:w="2810" w:type="dxa"/>
            <w:tcBorders>
              <w:top w:val="single" w:sz="4" w:space="0" w:color="auto"/>
              <w:bottom w:val="single" w:sz="4" w:space="0" w:color="auto"/>
            </w:tcBorders>
          </w:tcPr>
          <w:p w14:paraId="4F218156"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5 (35.7)</w:t>
            </w:r>
          </w:p>
        </w:tc>
      </w:tr>
      <w:tr w:rsidR="0014093D" w:rsidRPr="007740E4" w14:paraId="08B64CD9" w14:textId="77777777" w:rsidTr="00EF68D9">
        <w:tc>
          <w:tcPr>
            <w:tcW w:w="3397" w:type="dxa"/>
            <w:tcBorders>
              <w:top w:val="single" w:sz="4" w:space="0" w:color="auto"/>
              <w:bottom w:val="single" w:sz="4" w:space="0" w:color="auto"/>
            </w:tcBorders>
          </w:tcPr>
          <w:p w14:paraId="64B7AA22" w14:textId="77777777" w:rsidR="0014093D" w:rsidRPr="007740E4" w:rsidRDefault="0014093D" w:rsidP="00EF68D9">
            <w:pPr>
              <w:keepNext/>
              <w:keepLines/>
              <w:rPr>
                <w:rFonts w:ascii="Arial Narrow" w:hAnsi="Arial Narrow"/>
                <w:sz w:val="20"/>
              </w:rPr>
            </w:pPr>
            <w:r w:rsidRPr="007740E4">
              <w:rPr>
                <w:rFonts w:ascii="Arial Narrow" w:hAnsi="Arial Narrow"/>
                <w:sz w:val="20"/>
              </w:rPr>
              <w:t>Serious TEAEs related to study treatment</w:t>
            </w:r>
          </w:p>
        </w:tc>
        <w:tc>
          <w:tcPr>
            <w:tcW w:w="2810" w:type="dxa"/>
            <w:tcBorders>
              <w:top w:val="single" w:sz="4" w:space="0" w:color="auto"/>
              <w:bottom w:val="single" w:sz="4" w:space="0" w:color="auto"/>
            </w:tcBorders>
          </w:tcPr>
          <w:p w14:paraId="7506B802"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c>
          <w:tcPr>
            <w:tcW w:w="2810" w:type="dxa"/>
            <w:tcBorders>
              <w:top w:val="single" w:sz="4" w:space="0" w:color="auto"/>
              <w:bottom w:val="single" w:sz="4" w:space="0" w:color="auto"/>
            </w:tcBorders>
          </w:tcPr>
          <w:p w14:paraId="1DCE26E1"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r>
      <w:tr w:rsidR="0014093D" w:rsidRPr="007740E4" w14:paraId="411A9047" w14:textId="77777777" w:rsidTr="00EF68D9">
        <w:tc>
          <w:tcPr>
            <w:tcW w:w="3397" w:type="dxa"/>
            <w:tcBorders>
              <w:top w:val="single" w:sz="4" w:space="0" w:color="auto"/>
              <w:bottom w:val="single" w:sz="4" w:space="0" w:color="auto"/>
            </w:tcBorders>
          </w:tcPr>
          <w:p w14:paraId="54AEE2C5" w14:textId="77777777" w:rsidR="0014093D" w:rsidRPr="007740E4" w:rsidRDefault="0014093D" w:rsidP="00EF68D9">
            <w:pPr>
              <w:keepNext/>
              <w:keepLines/>
              <w:rPr>
                <w:rFonts w:ascii="Arial Narrow" w:hAnsi="Arial Narrow"/>
                <w:sz w:val="20"/>
              </w:rPr>
            </w:pPr>
            <w:r w:rsidRPr="007740E4">
              <w:rPr>
                <w:rFonts w:ascii="Arial Narrow" w:hAnsi="Arial Narrow"/>
                <w:sz w:val="20"/>
              </w:rPr>
              <w:t>TEAEs leading to study discontinuation</w:t>
            </w:r>
          </w:p>
        </w:tc>
        <w:tc>
          <w:tcPr>
            <w:tcW w:w="2810" w:type="dxa"/>
            <w:tcBorders>
              <w:top w:val="single" w:sz="4" w:space="0" w:color="auto"/>
              <w:bottom w:val="single" w:sz="4" w:space="0" w:color="auto"/>
            </w:tcBorders>
          </w:tcPr>
          <w:p w14:paraId="543E7369"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c>
          <w:tcPr>
            <w:tcW w:w="2810" w:type="dxa"/>
            <w:tcBorders>
              <w:top w:val="single" w:sz="4" w:space="0" w:color="auto"/>
              <w:bottom w:val="single" w:sz="4" w:space="0" w:color="auto"/>
            </w:tcBorders>
          </w:tcPr>
          <w:p w14:paraId="7ADE66CC"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r>
      <w:tr w:rsidR="0014093D" w:rsidRPr="007740E4" w14:paraId="2869A740" w14:textId="77777777" w:rsidTr="00EF68D9">
        <w:tc>
          <w:tcPr>
            <w:tcW w:w="3397" w:type="dxa"/>
            <w:tcBorders>
              <w:top w:val="single" w:sz="4" w:space="0" w:color="auto"/>
              <w:bottom w:val="single" w:sz="4" w:space="0" w:color="auto"/>
            </w:tcBorders>
          </w:tcPr>
          <w:p w14:paraId="331DCA7C" w14:textId="77777777" w:rsidR="0014093D" w:rsidRPr="007740E4" w:rsidRDefault="0014093D" w:rsidP="00EF68D9">
            <w:pPr>
              <w:keepNext/>
              <w:keepLines/>
              <w:rPr>
                <w:rFonts w:ascii="Arial Narrow" w:hAnsi="Arial Narrow"/>
                <w:sz w:val="20"/>
              </w:rPr>
            </w:pPr>
            <w:r w:rsidRPr="007740E4">
              <w:rPr>
                <w:rFonts w:ascii="Arial Narrow" w:hAnsi="Arial Narrow"/>
                <w:sz w:val="20"/>
              </w:rPr>
              <w:t>Deaths</w:t>
            </w:r>
          </w:p>
        </w:tc>
        <w:tc>
          <w:tcPr>
            <w:tcW w:w="2810" w:type="dxa"/>
            <w:tcBorders>
              <w:top w:val="single" w:sz="4" w:space="0" w:color="auto"/>
              <w:bottom w:val="single" w:sz="4" w:space="0" w:color="auto"/>
            </w:tcBorders>
            <w:shd w:val="clear" w:color="auto" w:fill="C6D9F1" w:themeFill="text2" w:themeFillTint="33"/>
          </w:tcPr>
          <w:p w14:paraId="18EDD6F5"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c>
          <w:tcPr>
            <w:tcW w:w="2810" w:type="dxa"/>
            <w:tcBorders>
              <w:top w:val="single" w:sz="4" w:space="0" w:color="auto"/>
              <w:bottom w:val="single" w:sz="4" w:space="0" w:color="auto"/>
            </w:tcBorders>
          </w:tcPr>
          <w:p w14:paraId="775C3BA9" w14:textId="77777777" w:rsidR="0014093D" w:rsidRPr="007740E4" w:rsidRDefault="0014093D" w:rsidP="00EF68D9">
            <w:pPr>
              <w:keepNext/>
              <w:keepLines/>
              <w:jc w:val="center"/>
              <w:rPr>
                <w:rFonts w:ascii="Arial Narrow" w:hAnsi="Arial Narrow"/>
                <w:sz w:val="20"/>
              </w:rPr>
            </w:pPr>
            <w:r w:rsidRPr="007740E4">
              <w:rPr>
                <w:rFonts w:ascii="Arial Narrow" w:hAnsi="Arial Narrow"/>
                <w:sz w:val="20"/>
              </w:rPr>
              <w:t>0</w:t>
            </w:r>
          </w:p>
        </w:tc>
      </w:tr>
    </w:tbl>
    <w:p w14:paraId="7842089B" w14:textId="77777777" w:rsidR="0014093D" w:rsidRPr="007740E4" w:rsidRDefault="0014093D" w:rsidP="0014093D">
      <w:pPr>
        <w:pStyle w:val="TableFigureFooter"/>
        <w:keepNext/>
        <w:keepLines/>
        <w:spacing w:after="0"/>
        <w:rPr>
          <w:rStyle w:val="CommentReference"/>
          <w:b w:val="0"/>
          <w:bCs/>
          <w:sz w:val="18"/>
          <w:szCs w:val="18"/>
        </w:rPr>
      </w:pPr>
      <w:r w:rsidRPr="007740E4">
        <w:rPr>
          <w:rStyle w:val="CommentReference"/>
          <w:b w:val="0"/>
          <w:bCs/>
          <w:sz w:val="18"/>
          <w:szCs w:val="18"/>
        </w:rPr>
        <w:t xml:space="preserve">Blue shading represents results previously presented and considered at the PBAC November 2022 meeting.  </w:t>
      </w:r>
    </w:p>
    <w:p w14:paraId="185111A8" w14:textId="77777777" w:rsidR="0014093D" w:rsidRPr="007740E4" w:rsidRDefault="0014093D" w:rsidP="0014093D">
      <w:pPr>
        <w:pStyle w:val="FooterTableFigure"/>
        <w:keepNext/>
        <w:keepLines/>
      </w:pPr>
      <w:r w:rsidRPr="007740E4">
        <w:t>Source: Table 2.33, p117 of the resubmission.</w:t>
      </w:r>
    </w:p>
    <w:p w14:paraId="791F0A82" w14:textId="00DDA34F" w:rsidR="0014093D" w:rsidRPr="007740E4" w:rsidRDefault="0014093D" w:rsidP="0014093D">
      <w:pPr>
        <w:pStyle w:val="FooterTableFigure"/>
        <w:keepNext/>
        <w:keepLines/>
      </w:pPr>
      <w:r w:rsidRPr="007740E4">
        <w:t xml:space="preserve">TEAE=treatment-emergent adverse event; </w:t>
      </w:r>
      <w:r w:rsidR="00B64F80" w:rsidRPr="007740E4">
        <w:rPr>
          <w:i/>
        </w:rPr>
        <w:t>SMN2</w:t>
      </w:r>
      <w:r w:rsidRPr="007740E4">
        <w:t>=survival motor neuron 2</w:t>
      </w:r>
    </w:p>
    <w:p w14:paraId="36E30B13" w14:textId="2C95B085" w:rsidR="0014093D" w:rsidRPr="007740E4" w:rsidRDefault="0014093D" w:rsidP="0014093D">
      <w:pPr>
        <w:pStyle w:val="FooterTableFigure"/>
        <w:keepNext/>
        <w:keepLines/>
      </w:pPr>
      <w:r w:rsidRPr="007740E4">
        <w:t>Note</w:t>
      </w:r>
      <w:r w:rsidR="00AB7A82">
        <w:t>s</w:t>
      </w:r>
      <w:r w:rsidRPr="007740E4">
        <w:t>: For each category, patients are included only once, even if they experienced multiple events in that category.</w:t>
      </w:r>
    </w:p>
    <w:p w14:paraId="3F2C9678" w14:textId="0434A46E" w:rsidR="0014093D" w:rsidRPr="007740E4" w:rsidRDefault="0014093D" w:rsidP="0014093D">
      <w:pPr>
        <w:pStyle w:val="FooterTableFigure"/>
        <w:keepNext/>
        <w:keepLines/>
      </w:pPr>
      <w:r w:rsidRPr="007740E4">
        <w:t>TEAEs were considered treatment related if they were classified by the investigator as possibly, probably, or definitely related to study treatment.</w:t>
      </w:r>
    </w:p>
    <w:p w14:paraId="2C9546C5" w14:textId="53CA05EA" w:rsidR="0014093D" w:rsidRPr="00820898" w:rsidRDefault="0014093D" w:rsidP="0014093D">
      <w:pPr>
        <w:pStyle w:val="3-BodyText"/>
        <w:rPr>
          <w:iCs/>
        </w:rPr>
      </w:pPr>
      <w:r w:rsidRPr="00820898">
        <w:rPr>
          <w:iCs/>
          <w:snapToGrid/>
        </w:rPr>
        <w:t xml:space="preserve">Overall, the safety profile of ONA for the pre-symptomatic treatment of patients with 3 copies of </w:t>
      </w:r>
      <w:r w:rsidR="00B64F80" w:rsidRPr="00AB7A82">
        <w:rPr>
          <w:i/>
          <w:snapToGrid/>
        </w:rPr>
        <w:t>SMN2</w:t>
      </w:r>
      <w:r w:rsidRPr="00820898">
        <w:rPr>
          <w:iCs/>
          <w:snapToGrid/>
        </w:rPr>
        <w:t xml:space="preserve"> appeared to be generally consistent with patients with 2 copies of </w:t>
      </w:r>
      <w:r w:rsidR="00B64F80" w:rsidRPr="00AB7A82">
        <w:rPr>
          <w:i/>
          <w:snapToGrid/>
        </w:rPr>
        <w:t>SMN2</w:t>
      </w:r>
      <w:r w:rsidRPr="00820898">
        <w:rPr>
          <w:iCs/>
          <w:snapToGrid/>
        </w:rPr>
        <w:t xml:space="preserve">, but it was difficult to make a formal conclusion based on the small numbers of patients in each cohort. </w:t>
      </w:r>
    </w:p>
    <w:p w14:paraId="75C8D0D9" w14:textId="38E9F230" w:rsidR="0014093D" w:rsidRPr="007740E4" w:rsidRDefault="0014093D" w:rsidP="0014093D">
      <w:pPr>
        <w:pStyle w:val="3-BodyText"/>
      </w:pPr>
      <w:r w:rsidRPr="007740E4">
        <w:t xml:space="preserve">An overview of AEs reported in the included clinical studies (SPR1NT, NURTURE and RAINBOWFISH) </w:t>
      </w:r>
      <w:r w:rsidR="00221DB3">
        <w:t xml:space="preserve">with different DMTs </w:t>
      </w:r>
      <w:r w:rsidRPr="007740E4">
        <w:t xml:space="preserve">is presented in </w:t>
      </w:r>
      <w:r w:rsidRPr="007740E4">
        <w:fldChar w:fldCharType="begin" w:fldLock="1"/>
      </w:r>
      <w:r w:rsidRPr="007740E4">
        <w:instrText xml:space="preserve"> REF _Ref134276705 \h </w:instrText>
      </w:r>
      <w:r w:rsidRPr="007740E4">
        <w:fldChar w:fldCharType="separate"/>
      </w:r>
      <w:r w:rsidR="007866DB" w:rsidRPr="007740E4">
        <w:t xml:space="preserve">Table </w:t>
      </w:r>
      <w:r w:rsidR="007866DB">
        <w:rPr>
          <w:noProof/>
        </w:rPr>
        <w:t>9</w:t>
      </w:r>
      <w:r w:rsidRPr="007740E4">
        <w:fldChar w:fldCharType="end"/>
      </w:r>
      <w:r w:rsidRPr="007740E4">
        <w:t xml:space="preserve">. </w:t>
      </w:r>
      <w:r w:rsidR="00AE354B" w:rsidRPr="00820898">
        <w:t xml:space="preserve">The SCHN study </w:t>
      </w:r>
      <w:r w:rsidR="000F448F" w:rsidRPr="00820898">
        <w:t>did not report any safety outcomes.</w:t>
      </w:r>
    </w:p>
    <w:p w14:paraId="34011A81" w14:textId="6648807F" w:rsidR="0014093D" w:rsidRPr="007740E4" w:rsidRDefault="0014093D" w:rsidP="0014093D">
      <w:pPr>
        <w:pStyle w:val="Caption"/>
      </w:pPr>
      <w:bookmarkStart w:id="38" w:name="_Ref134276705"/>
      <w:r w:rsidRPr="007740E4">
        <w:t xml:space="preserve">Table </w:t>
      </w:r>
      <w:fldSimple w:instr=" SEQ Table \* ARABIC " w:fldLock="1">
        <w:r w:rsidR="0084520A">
          <w:rPr>
            <w:noProof/>
          </w:rPr>
          <w:t>9</w:t>
        </w:r>
      </w:fldSimple>
      <w:bookmarkEnd w:id="38"/>
      <w:r w:rsidRPr="007740E4">
        <w:t xml:space="preserve">: Adverse events reported in the included clinical studies – total populations </w:t>
      </w:r>
    </w:p>
    <w:tbl>
      <w:tblPr>
        <w:tblStyle w:val="TableGrid"/>
        <w:tblW w:w="0" w:type="auto"/>
        <w:tblLook w:val="04A0" w:firstRow="1" w:lastRow="0" w:firstColumn="1" w:lastColumn="0" w:noHBand="0" w:noVBand="1"/>
        <w:tblCaption w:val="Table 9: Adverse events reported in the included clinical studies – total populations "/>
      </w:tblPr>
      <w:tblGrid>
        <w:gridCol w:w="2972"/>
        <w:gridCol w:w="1007"/>
        <w:gridCol w:w="1008"/>
        <w:gridCol w:w="1007"/>
        <w:gridCol w:w="1008"/>
        <w:gridCol w:w="1007"/>
        <w:gridCol w:w="1008"/>
      </w:tblGrid>
      <w:tr w:rsidR="0014093D" w:rsidRPr="007740E4" w14:paraId="08161E83" w14:textId="77777777" w:rsidTr="000F448F">
        <w:tc>
          <w:tcPr>
            <w:tcW w:w="2972" w:type="dxa"/>
            <w:vMerge w:val="restart"/>
          </w:tcPr>
          <w:p w14:paraId="2962A281" w14:textId="799E6BD6" w:rsidR="0014093D" w:rsidRPr="007740E4" w:rsidRDefault="0014093D" w:rsidP="00EF68D9">
            <w:pPr>
              <w:keepNext/>
              <w:keepLines/>
              <w:rPr>
                <w:rFonts w:ascii="Arial Narrow" w:hAnsi="Arial Narrow"/>
                <w:sz w:val="20"/>
                <w:szCs w:val="20"/>
              </w:rPr>
            </w:pPr>
            <w:r w:rsidRPr="007740E4">
              <w:rPr>
                <w:rFonts w:ascii="Arial Narrow" w:hAnsi="Arial Narrow"/>
                <w:b/>
                <w:sz w:val="20"/>
                <w:szCs w:val="20"/>
              </w:rPr>
              <w:t>Outcome, n</w:t>
            </w:r>
            <w:r w:rsidR="00B00909">
              <w:rPr>
                <w:rFonts w:ascii="Arial Narrow" w:hAnsi="Arial Narrow"/>
                <w:b/>
                <w:sz w:val="20"/>
                <w:szCs w:val="20"/>
              </w:rPr>
              <w:t xml:space="preserve"> </w:t>
            </w:r>
            <w:r w:rsidRPr="007740E4">
              <w:rPr>
                <w:rFonts w:ascii="Arial Narrow" w:hAnsi="Arial Narrow"/>
                <w:b/>
                <w:sz w:val="20"/>
                <w:szCs w:val="20"/>
              </w:rPr>
              <w:t>(%)</w:t>
            </w:r>
          </w:p>
        </w:tc>
        <w:tc>
          <w:tcPr>
            <w:tcW w:w="2015" w:type="dxa"/>
            <w:gridSpan w:val="2"/>
          </w:tcPr>
          <w:p w14:paraId="4800E7F5"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SPR1NT (ONA)</w:t>
            </w:r>
          </w:p>
        </w:tc>
        <w:tc>
          <w:tcPr>
            <w:tcW w:w="2015" w:type="dxa"/>
            <w:gridSpan w:val="2"/>
          </w:tcPr>
          <w:p w14:paraId="65CF8B93"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NURTURE (NUSI)</w:t>
            </w:r>
          </w:p>
        </w:tc>
        <w:tc>
          <w:tcPr>
            <w:tcW w:w="2015" w:type="dxa"/>
            <w:gridSpan w:val="2"/>
          </w:tcPr>
          <w:p w14:paraId="662A83FB" w14:textId="77777777"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RAINBOWFISH (RIS)</w:t>
            </w:r>
          </w:p>
        </w:tc>
      </w:tr>
      <w:tr w:rsidR="0014093D" w:rsidRPr="007740E4" w14:paraId="29AA21B9" w14:textId="77777777" w:rsidTr="000F448F">
        <w:tc>
          <w:tcPr>
            <w:tcW w:w="2972" w:type="dxa"/>
            <w:vMerge/>
          </w:tcPr>
          <w:p w14:paraId="539D3166" w14:textId="77777777" w:rsidR="0014093D" w:rsidRPr="007740E4" w:rsidRDefault="0014093D" w:rsidP="00EF68D9">
            <w:pPr>
              <w:keepNext/>
              <w:keepLines/>
              <w:rPr>
                <w:rFonts w:ascii="Arial Narrow" w:hAnsi="Arial Narrow"/>
                <w:b/>
                <w:sz w:val="20"/>
                <w:szCs w:val="20"/>
              </w:rPr>
            </w:pPr>
          </w:p>
        </w:tc>
        <w:tc>
          <w:tcPr>
            <w:tcW w:w="1007" w:type="dxa"/>
            <w:vAlign w:val="center"/>
          </w:tcPr>
          <w:p w14:paraId="507CFD88" w14:textId="41C8AF34"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2</w:t>
            </w:r>
            <w:r w:rsidR="00B64F80" w:rsidRPr="007740E4">
              <w:rPr>
                <w:rFonts w:ascii="Arial Narrow" w:hAnsi="Arial Narrow"/>
                <w:b/>
                <w:i/>
                <w:sz w:val="20"/>
                <w:szCs w:val="20"/>
              </w:rPr>
              <w:t>SMN2</w:t>
            </w:r>
            <w:r w:rsidRPr="007740E4">
              <w:rPr>
                <w:rFonts w:ascii="Arial Narrow" w:hAnsi="Arial Narrow"/>
                <w:b/>
                <w:sz w:val="20"/>
                <w:szCs w:val="20"/>
              </w:rPr>
              <w:t xml:space="preserve"> copies (n=14)</w:t>
            </w:r>
          </w:p>
        </w:tc>
        <w:tc>
          <w:tcPr>
            <w:tcW w:w="1008" w:type="dxa"/>
            <w:vAlign w:val="center"/>
          </w:tcPr>
          <w:p w14:paraId="66171E53" w14:textId="6306EFA1"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3</w:t>
            </w:r>
            <w:r w:rsidR="00B64F80" w:rsidRPr="007740E4">
              <w:rPr>
                <w:rFonts w:ascii="Arial Narrow" w:hAnsi="Arial Narrow"/>
                <w:b/>
                <w:i/>
                <w:sz w:val="20"/>
                <w:szCs w:val="20"/>
              </w:rPr>
              <w:t>SMN2</w:t>
            </w:r>
            <w:r w:rsidRPr="007740E4">
              <w:rPr>
                <w:rFonts w:ascii="Arial Narrow" w:hAnsi="Arial Narrow"/>
                <w:b/>
                <w:sz w:val="20"/>
                <w:szCs w:val="20"/>
              </w:rPr>
              <w:t xml:space="preserve"> copies (n=15)</w:t>
            </w:r>
          </w:p>
        </w:tc>
        <w:tc>
          <w:tcPr>
            <w:tcW w:w="1007" w:type="dxa"/>
            <w:vAlign w:val="center"/>
          </w:tcPr>
          <w:p w14:paraId="1FF340C7" w14:textId="27829EEB"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2</w:t>
            </w:r>
            <w:r w:rsidR="00B64F80" w:rsidRPr="007740E4">
              <w:rPr>
                <w:rFonts w:ascii="Arial Narrow" w:hAnsi="Arial Narrow"/>
                <w:b/>
                <w:i/>
                <w:sz w:val="20"/>
                <w:szCs w:val="20"/>
              </w:rPr>
              <w:t>SMN2</w:t>
            </w:r>
            <w:r w:rsidRPr="007740E4">
              <w:rPr>
                <w:rFonts w:ascii="Arial Narrow" w:hAnsi="Arial Narrow"/>
                <w:b/>
                <w:sz w:val="20"/>
                <w:szCs w:val="20"/>
              </w:rPr>
              <w:t xml:space="preserve"> copies (n=15)</w:t>
            </w:r>
          </w:p>
        </w:tc>
        <w:tc>
          <w:tcPr>
            <w:tcW w:w="1008" w:type="dxa"/>
            <w:vAlign w:val="center"/>
          </w:tcPr>
          <w:p w14:paraId="5208D7FA" w14:textId="7184E3F9"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3</w:t>
            </w:r>
            <w:r w:rsidR="00B64F80" w:rsidRPr="007740E4">
              <w:rPr>
                <w:rFonts w:ascii="Arial Narrow" w:hAnsi="Arial Narrow"/>
                <w:b/>
                <w:i/>
                <w:sz w:val="20"/>
                <w:szCs w:val="20"/>
              </w:rPr>
              <w:t>SMN2</w:t>
            </w:r>
            <w:r w:rsidRPr="007740E4">
              <w:rPr>
                <w:rFonts w:ascii="Arial Narrow" w:hAnsi="Arial Narrow"/>
                <w:b/>
                <w:sz w:val="20"/>
                <w:szCs w:val="20"/>
              </w:rPr>
              <w:t xml:space="preserve"> copies (n=10)</w:t>
            </w:r>
          </w:p>
        </w:tc>
        <w:tc>
          <w:tcPr>
            <w:tcW w:w="1007" w:type="dxa"/>
            <w:vAlign w:val="center"/>
          </w:tcPr>
          <w:p w14:paraId="385268D0" w14:textId="0A3DFDFB"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2</w:t>
            </w:r>
            <w:r w:rsidR="00B64F80" w:rsidRPr="007740E4">
              <w:rPr>
                <w:rFonts w:ascii="Arial Narrow" w:hAnsi="Arial Narrow"/>
                <w:b/>
                <w:i/>
                <w:sz w:val="20"/>
                <w:szCs w:val="20"/>
              </w:rPr>
              <w:t>SMN2</w:t>
            </w:r>
            <w:r w:rsidRPr="007740E4">
              <w:rPr>
                <w:rFonts w:ascii="Arial Narrow" w:hAnsi="Arial Narrow"/>
                <w:b/>
                <w:sz w:val="20"/>
                <w:szCs w:val="20"/>
              </w:rPr>
              <w:t xml:space="preserve"> copies (n=</w:t>
            </w:r>
            <w:r w:rsidRPr="007740E4">
              <w:rPr>
                <w:rFonts w:ascii="Arial Narrow" w:hAnsi="Arial Narrow"/>
                <w:b/>
                <w:i/>
                <w:sz w:val="20"/>
                <w:szCs w:val="20"/>
              </w:rPr>
              <w:t>7</w:t>
            </w:r>
            <w:r w:rsidRPr="007740E4">
              <w:rPr>
                <w:rFonts w:ascii="Arial Narrow" w:hAnsi="Arial Narrow"/>
                <w:b/>
                <w:sz w:val="20"/>
                <w:szCs w:val="20"/>
              </w:rPr>
              <w:t>)</w:t>
            </w:r>
          </w:p>
        </w:tc>
        <w:tc>
          <w:tcPr>
            <w:tcW w:w="1008" w:type="dxa"/>
            <w:vAlign w:val="center"/>
          </w:tcPr>
          <w:p w14:paraId="4C8BC8FB" w14:textId="0676F1EC" w:rsidR="0014093D" w:rsidRPr="007740E4" w:rsidRDefault="0014093D" w:rsidP="00EF68D9">
            <w:pPr>
              <w:keepNext/>
              <w:keepLines/>
              <w:jc w:val="center"/>
              <w:rPr>
                <w:rFonts w:ascii="Arial Narrow" w:hAnsi="Arial Narrow"/>
                <w:b/>
                <w:sz w:val="20"/>
                <w:szCs w:val="20"/>
              </w:rPr>
            </w:pPr>
            <w:r w:rsidRPr="007740E4">
              <w:rPr>
                <w:rFonts w:ascii="Arial Narrow" w:hAnsi="Arial Narrow"/>
                <w:b/>
                <w:sz w:val="20"/>
                <w:szCs w:val="20"/>
              </w:rPr>
              <w:t>&gt;2</w:t>
            </w:r>
            <w:r w:rsidR="00B64F80" w:rsidRPr="007740E4">
              <w:rPr>
                <w:rFonts w:ascii="Arial Narrow" w:hAnsi="Arial Narrow"/>
                <w:b/>
                <w:i/>
                <w:sz w:val="20"/>
                <w:szCs w:val="20"/>
              </w:rPr>
              <w:t>SMN2</w:t>
            </w:r>
            <w:r w:rsidRPr="007740E4">
              <w:rPr>
                <w:rFonts w:ascii="Arial Narrow" w:hAnsi="Arial Narrow"/>
                <w:b/>
                <w:sz w:val="20"/>
                <w:szCs w:val="20"/>
              </w:rPr>
              <w:t xml:space="preserve"> copies^ (n=</w:t>
            </w:r>
            <w:r w:rsidRPr="007740E4">
              <w:rPr>
                <w:rFonts w:ascii="Arial Narrow" w:hAnsi="Arial Narrow"/>
                <w:b/>
                <w:i/>
                <w:sz w:val="20"/>
                <w:szCs w:val="20"/>
              </w:rPr>
              <w:t>11</w:t>
            </w:r>
            <w:r w:rsidRPr="007740E4">
              <w:rPr>
                <w:rFonts w:ascii="Arial Narrow" w:hAnsi="Arial Narrow"/>
                <w:b/>
                <w:sz w:val="20"/>
                <w:szCs w:val="20"/>
              </w:rPr>
              <w:t>)</w:t>
            </w:r>
          </w:p>
        </w:tc>
      </w:tr>
      <w:tr w:rsidR="0014093D" w:rsidRPr="007740E4" w14:paraId="530854B7" w14:textId="77777777" w:rsidTr="000F448F">
        <w:tc>
          <w:tcPr>
            <w:tcW w:w="2972" w:type="dxa"/>
            <w:tcBorders>
              <w:top w:val="single" w:sz="4" w:space="0" w:color="auto"/>
            </w:tcBorders>
          </w:tcPr>
          <w:p w14:paraId="7EDC7631"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Any AE</w:t>
            </w:r>
          </w:p>
        </w:tc>
        <w:tc>
          <w:tcPr>
            <w:tcW w:w="1007" w:type="dxa"/>
            <w:tcBorders>
              <w:top w:val="single" w:sz="4" w:space="0" w:color="auto"/>
            </w:tcBorders>
            <w:vAlign w:val="center"/>
          </w:tcPr>
          <w:p w14:paraId="6AAF3AA5"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14 (100)</w:t>
            </w:r>
          </w:p>
        </w:tc>
        <w:tc>
          <w:tcPr>
            <w:tcW w:w="1008" w:type="dxa"/>
            <w:tcBorders>
              <w:top w:val="single" w:sz="4" w:space="0" w:color="auto"/>
            </w:tcBorders>
            <w:shd w:val="clear" w:color="auto" w:fill="C6D9F1" w:themeFill="text2" w:themeFillTint="33"/>
            <w:vAlign w:val="center"/>
          </w:tcPr>
          <w:p w14:paraId="5F69CE17"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15 (100)</w:t>
            </w:r>
          </w:p>
        </w:tc>
        <w:tc>
          <w:tcPr>
            <w:tcW w:w="1007" w:type="dxa"/>
            <w:tcBorders>
              <w:top w:val="single" w:sz="4" w:space="0" w:color="auto"/>
            </w:tcBorders>
            <w:vAlign w:val="center"/>
          </w:tcPr>
          <w:p w14:paraId="791435BF"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15 (100)</w:t>
            </w:r>
          </w:p>
        </w:tc>
        <w:tc>
          <w:tcPr>
            <w:tcW w:w="1008" w:type="dxa"/>
            <w:tcBorders>
              <w:top w:val="single" w:sz="4" w:space="0" w:color="auto"/>
            </w:tcBorders>
            <w:shd w:val="clear" w:color="auto" w:fill="C6D9F1" w:themeFill="text2" w:themeFillTint="33"/>
            <w:vAlign w:val="center"/>
          </w:tcPr>
          <w:p w14:paraId="175EE81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10 (100)</w:t>
            </w:r>
          </w:p>
        </w:tc>
        <w:tc>
          <w:tcPr>
            <w:tcW w:w="1007" w:type="dxa"/>
            <w:tcBorders>
              <w:top w:val="single" w:sz="4" w:space="0" w:color="auto"/>
            </w:tcBorders>
            <w:vAlign w:val="center"/>
          </w:tcPr>
          <w:p w14:paraId="2EFA45A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5 (71)</w:t>
            </w:r>
          </w:p>
        </w:tc>
        <w:tc>
          <w:tcPr>
            <w:tcW w:w="1008" w:type="dxa"/>
            <w:tcBorders>
              <w:top w:val="single" w:sz="4" w:space="0" w:color="auto"/>
            </w:tcBorders>
            <w:vAlign w:val="center"/>
          </w:tcPr>
          <w:p w14:paraId="524F9B5E"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9 (82)</w:t>
            </w:r>
          </w:p>
        </w:tc>
      </w:tr>
      <w:tr w:rsidR="0014093D" w:rsidRPr="007740E4" w14:paraId="3A52B9BC" w14:textId="77777777" w:rsidTr="000F448F">
        <w:tc>
          <w:tcPr>
            <w:tcW w:w="2972" w:type="dxa"/>
          </w:tcPr>
          <w:p w14:paraId="01A6DC15"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AE related to study treatment</w:t>
            </w:r>
          </w:p>
        </w:tc>
        <w:tc>
          <w:tcPr>
            <w:tcW w:w="1007" w:type="dxa"/>
            <w:vAlign w:val="center"/>
          </w:tcPr>
          <w:p w14:paraId="7955BECF"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10 (71)</w:t>
            </w:r>
          </w:p>
        </w:tc>
        <w:tc>
          <w:tcPr>
            <w:tcW w:w="1008" w:type="dxa"/>
            <w:vAlign w:val="center"/>
          </w:tcPr>
          <w:p w14:paraId="6985F958"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8 (53)</w:t>
            </w:r>
          </w:p>
        </w:tc>
        <w:tc>
          <w:tcPr>
            <w:tcW w:w="1007" w:type="dxa"/>
            <w:vAlign w:val="center"/>
          </w:tcPr>
          <w:p w14:paraId="53BB8AC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4 (27)</w:t>
            </w:r>
          </w:p>
        </w:tc>
        <w:tc>
          <w:tcPr>
            <w:tcW w:w="1008" w:type="dxa"/>
            <w:vAlign w:val="center"/>
          </w:tcPr>
          <w:p w14:paraId="5CC8882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4 (40)</w:t>
            </w:r>
          </w:p>
        </w:tc>
        <w:tc>
          <w:tcPr>
            <w:tcW w:w="1007" w:type="dxa"/>
            <w:vAlign w:val="center"/>
          </w:tcPr>
          <w:p w14:paraId="141D1EE9"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3C378E1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2 (18)</w:t>
            </w:r>
          </w:p>
        </w:tc>
      </w:tr>
      <w:tr w:rsidR="0014093D" w:rsidRPr="007740E4" w14:paraId="58755AFD" w14:textId="77777777" w:rsidTr="000F448F">
        <w:tc>
          <w:tcPr>
            <w:tcW w:w="2972" w:type="dxa"/>
          </w:tcPr>
          <w:p w14:paraId="12AC2FAD"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AE of Grade 3 severity or higher</w:t>
            </w:r>
          </w:p>
        </w:tc>
        <w:tc>
          <w:tcPr>
            <w:tcW w:w="1007" w:type="dxa"/>
            <w:vAlign w:val="center"/>
          </w:tcPr>
          <w:p w14:paraId="72ADB32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4 (29)</w:t>
            </w:r>
          </w:p>
        </w:tc>
        <w:tc>
          <w:tcPr>
            <w:tcW w:w="1008" w:type="dxa"/>
            <w:vAlign w:val="center"/>
          </w:tcPr>
          <w:p w14:paraId="0CBF891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3 (20)</w:t>
            </w:r>
          </w:p>
        </w:tc>
        <w:tc>
          <w:tcPr>
            <w:tcW w:w="1007" w:type="dxa"/>
            <w:vAlign w:val="center"/>
          </w:tcPr>
          <w:p w14:paraId="2AFACC43"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c>
          <w:tcPr>
            <w:tcW w:w="1008" w:type="dxa"/>
            <w:vAlign w:val="center"/>
          </w:tcPr>
          <w:p w14:paraId="727AF3D0"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c>
          <w:tcPr>
            <w:tcW w:w="1007" w:type="dxa"/>
            <w:vAlign w:val="center"/>
          </w:tcPr>
          <w:p w14:paraId="71E86BB8" w14:textId="77777777" w:rsidR="0014093D" w:rsidRPr="00AB7A82" w:rsidRDefault="0014093D" w:rsidP="00EF68D9">
            <w:pPr>
              <w:keepNext/>
              <w:keepLines/>
              <w:jc w:val="center"/>
              <w:rPr>
                <w:rFonts w:ascii="Arial Narrow" w:hAnsi="Arial Narrow"/>
                <w:iCs/>
                <w:sz w:val="20"/>
                <w:szCs w:val="20"/>
              </w:rPr>
            </w:pPr>
            <w:r w:rsidRPr="00AB7A82">
              <w:rPr>
                <w:rFonts w:ascii="Arial Narrow" w:hAnsi="Arial Narrow"/>
                <w:iCs/>
                <w:sz w:val="20"/>
                <w:szCs w:val="20"/>
              </w:rPr>
              <w:t xml:space="preserve">1 (14) </w:t>
            </w:r>
            <w:r w:rsidRPr="00AB7A82">
              <w:rPr>
                <w:rFonts w:ascii="Arial Narrow" w:hAnsi="Arial Narrow"/>
                <w:iCs/>
                <w:sz w:val="20"/>
                <w:szCs w:val="20"/>
                <w:vertAlign w:val="superscript"/>
              </w:rPr>
              <w:t>a</w:t>
            </w:r>
          </w:p>
        </w:tc>
        <w:tc>
          <w:tcPr>
            <w:tcW w:w="1008" w:type="dxa"/>
            <w:vAlign w:val="center"/>
          </w:tcPr>
          <w:p w14:paraId="7C79671A" w14:textId="77777777" w:rsidR="0014093D" w:rsidRPr="00AB7A82" w:rsidRDefault="0014093D" w:rsidP="00EF68D9">
            <w:pPr>
              <w:keepNext/>
              <w:keepLines/>
              <w:jc w:val="center"/>
              <w:rPr>
                <w:rFonts w:ascii="Arial Narrow" w:hAnsi="Arial Narrow"/>
                <w:iCs/>
                <w:sz w:val="20"/>
                <w:szCs w:val="20"/>
              </w:rPr>
            </w:pPr>
            <w:r w:rsidRPr="00AB7A82">
              <w:rPr>
                <w:rFonts w:ascii="Arial Narrow" w:hAnsi="Arial Narrow"/>
                <w:iCs/>
                <w:sz w:val="20"/>
                <w:szCs w:val="20"/>
              </w:rPr>
              <w:t xml:space="preserve">1 (9) </w:t>
            </w:r>
            <w:r w:rsidRPr="00AB7A82">
              <w:rPr>
                <w:rFonts w:ascii="Arial Narrow" w:hAnsi="Arial Narrow"/>
                <w:iCs/>
                <w:sz w:val="20"/>
                <w:szCs w:val="20"/>
                <w:vertAlign w:val="superscript"/>
              </w:rPr>
              <w:t>a</w:t>
            </w:r>
          </w:p>
        </w:tc>
      </w:tr>
      <w:tr w:rsidR="0014093D" w:rsidRPr="007740E4" w14:paraId="1CB819EC" w14:textId="77777777" w:rsidTr="000F448F">
        <w:tc>
          <w:tcPr>
            <w:tcW w:w="2972" w:type="dxa"/>
          </w:tcPr>
          <w:p w14:paraId="29307035"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Serious AE</w:t>
            </w:r>
          </w:p>
        </w:tc>
        <w:tc>
          <w:tcPr>
            <w:tcW w:w="1007" w:type="dxa"/>
            <w:vAlign w:val="center"/>
          </w:tcPr>
          <w:p w14:paraId="424D61FE"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5 (36)</w:t>
            </w:r>
          </w:p>
        </w:tc>
        <w:tc>
          <w:tcPr>
            <w:tcW w:w="1008" w:type="dxa"/>
            <w:shd w:val="clear" w:color="auto" w:fill="C6D9F1" w:themeFill="text2" w:themeFillTint="33"/>
            <w:vAlign w:val="center"/>
          </w:tcPr>
          <w:p w14:paraId="2DB524B7"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3 (20)</w:t>
            </w:r>
          </w:p>
        </w:tc>
        <w:tc>
          <w:tcPr>
            <w:tcW w:w="1007" w:type="dxa"/>
            <w:vAlign w:val="center"/>
          </w:tcPr>
          <w:p w14:paraId="194E5959"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9 (60)</w:t>
            </w:r>
          </w:p>
        </w:tc>
        <w:tc>
          <w:tcPr>
            <w:tcW w:w="1008" w:type="dxa"/>
            <w:shd w:val="clear" w:color="auto" w:fill="C6D9F1" w:themeFill="text2" w:themeFillTint="33"/>
            <w:vAlign w:val="center"/>
          </w:tcPr>
          <w:p w14:paraId="6DC66F24"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3 (30)</w:t>
            </w:r>
          </w:p>
        </w:tc>
        <w:tc>
          <w:tcPr>
            <w:tcW w:w="1007" w:type="dxa"/>
            <w:vAlign w:val="center"/>
          </w:tcPr>
          <w:p w14:paraId="70A2A0A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29FAFC91"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r>
      <w:tr w:rsidR="0014093D" w:rsidRPr="007740E4" w14:paraId="433B993B" w14:textId="77777777" w:rsidTr="000F448F">
        <w:tc>
          <w:tcPr>
            <w:tcW w:w="2972" w:type="dxa"/>
          </w:tcPr>
          <w:p w14:paraId="5DC74501"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Severe AE</w:t>
            </w:r>
          </w:p>
        </w:tc>
        <w:tc>
          <w:tcPr>
            <w:tcW w:w="1007" w:type="dxa"/>
            <w:vAlign w:val="center"/>
          </w:tcPr>
          <w:p w14:paraId="40AF2223"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c>
          <w:tcPr>
            <w:tcW w:w="1008" w:type="dxa"/>
            <w:vAlign w:val="center"/>
          </w:tcPr>
          <w:p w14:paraId="19BD6C56"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c>
          <w:tcPr>
            <w:tcW w:w="1007" w:type="dxa"/>
            <w:vAlign w:val="center"/>
          </w:tcPr>
          <w:p w14:paraId="12F1EDFF"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5 (33)</w:t>
            </w:r>
          </w:p>
        </w:tc>
        <w:tc>
          <w:tcPr>
            <w:tcW w:w="1008" w:type="dxa"/>
            <w:vAlign w:val="center"/>
          </w:tcPr>
          <w:p w14:paraId="6643FF70"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59AB678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c>
          <w:tcPr>
            <w:tcW w:w="1008" w:type="dxa"/>
            <w:vAlign w:val="center"/>
          </w:tcPr>
          <w:p w14:paraId="1FB02301"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w:t>
            </w:r>
          </w:p>
        </w:tc>
      </w:tr>
      <w:tr w:rsidR="0014093D" w:rsidRPr="007740E4" w14:paraId="0519CD00" w14:textId="77777777" w:rsidTr="000F448F">
        <w:tc>
          <w:tcPr>
            <w:tcW w:w="2972" w:type="dxa"/>
            <w:vAlign w:val="center"/>
          </w:tcPr>
          <w:p w14:paraId="60724B4B" w14:textId="77777777" w:rsidR="0014093D" w:rsidRPr="007740E4" w:rsidRDefault="0014093D" w:rsidP="00EF68D9">
            <w:pPr>
              <w:keepNext/>
              <w:keepLines/>
              <w:jc w:val="left"/>
              <w:rPr>
                <w:rFonts w:ascii="Arial Narrow" w:hAnsi="Arial Narrow"/>
                <w:sz w:val="20"/>
                <w:szCs w:val="20"/>
              </w:rPr>
            </w:pPr>
            <w:r w:rsidRPr="007740E4">
              <w:rPr>
                <w:rFonts w:ascii="Arial Narrow" w:hAnsi="Arial Narrow"/>
                <w:sz w:val="20"/>
                <w:szCs w:val="20"/>
              </w:rPr>
              <w:t>Serious AE related to study treatment</w:t>
            </w:r>
          </w:p>
        </w:tc>
        <w:tc>
          <w:tcPr>
            <w:tcW w:w="1007" w:type="dxa"/>
            <w:vAlign w:val="center"/>
          </w:tcPr>
          <w:p w14:paraId="1BBF5470"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16171E83"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0FFA488E"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0FBE3592"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0F19EE8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70E10F6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r>
      <w:tr w:rsidR="0014093D" w:rsidRPr="007740E4" w14:paraId="265BB6B2" w14:textId="77777777" w:rsidTr="000F448F">
        <w:tc>
          <w:tcPr>
            <w:tcW w:w="2972" w:type="dxa"/>
            <w:vAlign w:val="center"/>
          </w:tcPr>
          <w:p w14:paraId="49DA2AFA" w14:textId="77777777" w:rsidR="0014093D" w:rsidRPr="007740E4" w:rsidRDefault="0014093D" w:rsidP="00EF68D9">
            <w:pPr>
              <w:keepNext/>
              <w:keepLines/>
              <w:jc w:val="left"/>
              <w:rPr>
                <w:rFonts w:ascii="Arial Narrow" w:hAnsi="Arial Narrow"/>
                <w:sz w:val="20"/>
                <w:szCs w:val="20"/>
              </w:rPr>
            </w:pPr>
            <w:r w:rsidRPr="007740E4">
              <w:rPr>
                <w:rFonts w:ascii="Arial Narrow" w:hAnsi="Arial Narrow"/>
                <w:sz w:val="20"/>
                <w:szCs w:val="20"/>
              </w:rPr>
              <w:t>AE leading to study discontinuation</w:t>
            </w:r>
          </w:p>
        </w:tc>
        <w:tc>
          <w:tcPr>
            <w:tcW w:w="1007" w:type="dxa"/>
            <w:vAlign w:val="center"/>
          </w:tcPr>
          <w:p w14:paraId="51AF9894"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shd w:val="clear" w:color="auto" w:fill="C6D9F1" w:themeFill="text2" w:themeFillTint="33"/>
            <w:vAlign w:val="center"/>
          </w:tcPr>
          <w:p w14:paraId="587D44D9"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58C725E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shd w:val="clear" w:color="auto" w:fill="C6D9F1" w:themeFill="text2" w:themeFillTint="33"/>
            <w:vAlign w:val="center"/>
          </w:tcPr>
          <w:p w14:paraId="6B06E0E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01EF7FD3"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5C077D38"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r>
      <w:tr w:rsidR="0014093D" w:rsidRPr="007740E4" w14:paraId="77416F43" w14:textId="77777777" w:rsidTr="000F448F">
        <w:tc>
          <w:tcPr>
            <w:tcW w:w="2972" w:type="dxa"/>
          </w:tcPr>
          <w:p w14:paraId="277CA3FB" w14:textId="77777777" w:rsidR="0014093D" w:rsidRPr="007740E4" w:rsidRDefault="0014093D" w:rsidP="00EF68D9">
            <w:pPr>
              <w:keepNext/>
              <w:keepLines/>
              <w:rPr>
                <w:rFonts w:ascii="Arial Narrow" w:hAnsi="Arial Narrow"/>
                <w:sz w:val="20"/>
                <w:szCs w:val="20"/>
              </w:rPr>
            </w:pPr>
            <w:r w:rsidRPr="007740E4">
              <w:rPr>
                <w:rFonts w:ascii="Arial Narrow" w:hAnsi="Arial Narrow"/>
                <w:sz w:val="20"/>
                <w:szCs w:val="20"/>
              </w:rPr>
              <w:t>AE leading to death</w:t>
            </w:r>
          </w:p>
        </w:tc>
        <w:tc>
          <w:tcPr>
            <w:tcW w:w="1007" w:type="dxa"/>
            <w:vAlign w:val="center"/>
          </w:tcPr>
          <w:p w14:paraId="73AB9B70"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shd w:val="clear" w:color="auto" w:fill="C6D9F1" w:themeFill="text2" w:themeFillTint="33"/>
            <w:vAlign w:val="center"/>
          </w:tcPr>
          <w:p w14:paraId="19770DE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075E08D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shd w:val="clear" w:color="auto" w:fill="C6D9F1" w:themeFill="text2" w:themeFillTint="33"/>
            <w:vAlign w:val="center"/>
          </w:tcPr>
          <w:p w14:paraId="3D865F2C"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7" w:type="dxa"/>
            <w:vAlign w:val="center"/>
          </w:tcPr>
          <w:p w14:paraId="66FDFBDD"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c>
          <w:tcPr>
            <w:tcW w:w="1008" w:type="dxa"/>
            <w:vAlign w:val="center"/>
          </w:tcPr>
          <w:p w14:paraId="38B4482B" w14:textId="77777777" w:rsidR="0014093D" w:rsidRPr="007740E4" w:rsidRDefault="0014093D" w:rsidP="00EF68D9">
            <w:pPr>
              <w:keepNext/>
              <w:keepLines/>
              <w:jc w:val="center"/>
              <w:rPr>
                <w:rFonts w:ascii="Arial Narrow" w:hAnsi="Arial Narrow"/>
                <w:sz w:val="20"/>
                <w:szCs w:val="20"/>
              </w:rPr>
            </w:pPr>
            <w:r w:rsidRPr="007740E4">
              <w:rPr>
                <w:rFonts w:ascii="Arial Narrow" w:hAnsi="Arial Narrow"/>
                <w:sz w:val="20"/>
                <w:szCs w:val="20"/>
              </w:rPr>
              <w:t>0</w:t>
            </w:r>
          </w:p>
        </w:tc>
      </w:tr>
    </w:tbl>
    <w:p w14:paraId="24564EC9" w14:textId="77777777" w:rsidR="0014093D" w:rsidRPr="007740E4" w:rsidRDefault="0014093D" w:rsidP="0014093D">
      <w:pPr>
        <w:pStyle w:val="TableFigureFooter"/>
        <w:keepNext/>
        <w:keepLines/>
        <w:spacing w:after="0"/>
        <w:rPr>
          <w:rStyle w:val="CommentReference"/>
          <w:b w:val="0"/>
          <w:bCs/>
          <w:sz w:val="18"/>
          <w:szCs w:val="18"/>
        </w:rPr>
      </w:pPr>
      <w:r w:rsidRPr="007740E4">
        <w:rPr>
          <w:rStyle w:val="CommentReference"/>
          <w:b w:val="0"/>
          <w:bCs/>
          <w:sz w:val="18"/>
          <w:szCs w:val="18"/>
        </w:rPr>
        <w:t xml:space="preserve">Blue shading represents results previously presented and considered at the PBAC November 2022 meeting.  </w:t>
      </w:r>
    </w:p>
    <w:p w14:paraId="463EE14B" w14:textId="77777777" w:rsidR="0014093D" w:rsidRPr="007740E4" w:rsidRDefault="0014093D" w:rsidP="0014093D">
      <w:pPr>
        <w:pStyle w:val="FooterTableFigure"/>
        <w:keepNext/>
        <w:keepLines/>
      </w:pPr>
      <w:r w:rsidRPr="007740E4">
        <w:t>Source: Table 2.33, p117 of the resubmission.</w:t>
      </w:r>
    </w:p>
    <w:p w14:paraId="7555C326" w14:textId="51A620AD" w:rsidR="0014093D" w:rsidRPr="007740E4" w:rsidRDefault="0014093D" w:rsidP="0014093D">
      <w:pPr>
        <w:pStyle w:val="FooterTableFigure"/>
        <w:keepNext/>
        <w:keepLines/>
      </w:pPr>
      <w:r w:rsidRPr="007740E4">
        <w:t xml:space="preserve">NUSI=nusinersen; ONA=onasemnogene abeparvovec; RIS=risdiplam; TEAE=treatment-emergent adverse event; </w:t>
      </w:r>
      <w:r w:rsidR="00B64F80" w:rsidRPr="007740E4">
        <w:rPr>
          <w:i/>
        </w:rPr>
        <w:t>SMN2</w:t>
      </w:r>
      <w:r w:rsidRPr="007740E4">
        <w:t>=survival motor neuron 2</w:t>
      </w:r>
    </w:p>
    <w:p w14:paraId="762C7EE4" w14:textId="77777777" w:rsidR="0014093D" w:rsidRPr="007740E4" w:rsidRDefault="0014093D" w:rsidP="0014093D">
      <w:pPr>
        <w:pStyle w:val="FooterTableFigure"/>
        <w:keepNext/>
        <w:keepLines/>
      </w:pPr>
      <w:r w:rsidRPr="007740E4">
        <w:t>Note: For each category, patients are included only once, even if they experienced multiple events in that category.</w:t>
      </w:r>
    </w:p>
    <w:p w14:paraId="240CD4DC" w14:textId="77777777" w:rsidR="0014093D" w:rsidRPr="007740E4" w:rsidRDefault="0014093D" w:rsidP="0014093D">
      <w:pPr>
        <w:pStyle w:val="FooterTableFigure"/>
        <w:keepNext/>
        <w:keepLines/>
      </w:pPr>
      <w:r w:rsidRPr="007740E4">
        <w:t>Note 2: TEAEs were considered treatment related if they were classified by the investigator as possibly, probably, or definitely related to study treatment.</w:t>
      </w:r>
    </w:p>
    <w:p w14:paraId="1B4EC248" w14:textId="2DC77D4C" w:rsidR="0014093D" w:rsidRPr="007740E4" w:rsidRDefault="0014093D" w:rsidP="0014093D">
      <w:pPr>
        <w:pStyle w:val="FooterTableFigure"/>
        <w:keepNext/>
        <w:keepLines/>
      </w:pPr>
      <w:r w:rsidRPr="007740E4">
        <w:t xml:space="preserve">^ includes 7 patients with 3 </w:t>
      </w:r>
      <w:r w:rsidR="00B64F80" w:rsidRPr="007740E4">
        <w:rPr>
          <w:i/>
        </w:rPr>
        <w:t>SMN2</w:t>
      </w:r>
      <w:r w:rsidRPr="007740E4">
        <w:t xml:space="preserve"> copies and 4 with ≥4 </w:t>
      </w:r>
      <w:r w:rsidR="00B64F80" w:rsidRPr="007740E4">
        <w:rPr>
          <w:i/>
        </w:rPr>
        <w:t>SMN2</w:t>
      </w:r>
      <w:r w:rsidRPr="007740E4">
        <w:t xml:space="preserve"> copies.</w:t>
      </w:r>
    </w:p>
    <w:p w14:paraId="37800D23" w14:textId="60175865" w:rsidR="0014093D" w:rsidRPr="007740E4" w:rsidRDefault="0014093D" w:rsidP="0014093D">
      <w:pPr>
        <w:pStyle w:val="FooterTableFigure"/>
        <w:keepNext/>
        <w:keepLines/>
      </w:pPr>
      <w:r w:rsidRPr="007740E4">
        <w:t xml:space="preserve">a Corrected during the evaluation. These were previously </w:t>
      </w:r>
      <w:r w:rsidR="005173CA">
        <w:t xml:space="preserve">listed as not available </w:t>
      </w:r>
      <w:r w:rsidRPr="007740E4">
        <w:t>“-”.</w:t>
      </w:r>
    </w:p>
    <w:p w14:paraId="4684CE68" w14:textId="7CA25D14" w:rsidR="0014093D" w:rsidRPr="007740E4" w:rsidRDefault="0014093D" w:rsidP="0014093D">
      <w:pPr>
        <w:pStyle w:val="3-BodyText"/>
      </w:pPr>
      <w:r w:rsidRPr="007740E4">
        <w:t xml:space="preserve">In </w:t>
      </w:r>
      <w:r w:rsidR="005A7120">
        <w:t>its</w:t>
      </w:r>
      <w:r w:rsidR="005A7120" w:rsidRPr="007740E4">
        <w:t xml:space="preserve"> </w:t>
      </w:r>
      <w:r w:rsidRPr="007740E4">
        <w:t xml:space="preserve">consideration of ONA at the November 2020 meeting, the PBAC did not accept the claim of superior safety for ONA versus NUSI, noting that safety data presented for ONA and NUSI indicated that ONA had a similar or greater proportion of patients with any AE, serious AEs, and treatment related serious AEs and a black box safety warning for the risk of acute serious liver injury (paragraph 7.6 </w:t>
      </w:r>
      <w:r w:rsidR="00AB7A82">
        <w:t>ONA</w:t>
      </w:r>
      <w:r w:rsidRPr="007740E4">
        <w:t xml:space="preserve"> </w:t>
      </w:r>
      <w:r w:rsidR="00D862B0">
        <w:t>PSD</w:t>
      </w:r>
      <w:r w:rsidRPr="007740E4">
        <w:t xml:space="preserve">, November 2020 PBAC meeting). The PBAC has also noted that it was difficult to conclude ONA and NUSI were non-inferior in terms of safety based on available evidence (paragraph 6.51, </w:t>
      </w:r>
      <w:r w:rsidR="00AB7A82">
        <w:t>ONA</w:t>
      </w:r>
      <w:r w:rsidRPr="007740E4">
        <w:t xml:space="preserve"> </w:t>
      </w:r>
      <w:r w:rsidR="00D862B0">
        <w:t>PSD</w:t>
      </w:r>
      <w:r w:rsidRPr="007740E4">
        <w:t xml:space="preserve">, September 2021 meeting). At the November 2022 meeting, the PBAC further considered that the claim of non-inferior comparative safety for pre-symptomatic treatment with ONA compared with watchful waiting was not reasonable, where some patients (albeit a small proportion) may not require symptomatic treatment with DMTs (paragraph 7.7, </w:t>
      </w:r>
      <w:r w:rsidR="00AB7A82">
        <w:t>ONA</w:t>
      </w:r>
      <w:r w:rsidRPr="007740E4">
        <w:t xml:space="preserve"> </w:t>
      </w:r>
      <w:r w:rsidR="00D862B0">
        <w:t>PSD</w:t>
      </w:r>
      <w:r w:rsidRPr="007740E4">
        <w:t>, November 2022 PBAC meeting).</w:t>
      </w:r>
    </w:p>
    <w:p w14:paraId="6FEF4BB0" w14:textId="7BD9C791" w:rsidR="0014093D" w:rsidRPr="00820898" w:rsidRDefault="0014093D" w:rsidP="0014093D">
      <w:pPr>
        <w:pStyle w:val="3-BodyText"/>
      </w:pPr>
      <w:bookmarkStart w:id="39" w:name="_Ref134906250"/>
      <w:r w:rsidRPr="007740E4">
        <w:t xml:space="preserve">For the purpose of the economic evaluation (in which a cost-minimisation </w:t>
      </w:r>
      <w:r w:rsidR="00643667">
        <w:t xml:space="preserve">approach </w:t>
      </w:r>
      <w:r w:rsidRPr="007740E4">
        <w:t xml:space="preserve">was provided), the resubmission further described that ONA had a different but non-inferior safety profile compared to RIS. In the March 2021 consideration of RIS in symptomatic SMA, the PBAC considered that the conclusion that RIS has a favourable safety profile compared to NUSI in some patients was reasonable (paragraph 7.8, risdiplam </w:t>
      </w:r>
      <w:r w:rsidR="00D862B0">
        <w:t>PSD</w:t>
      </w:r>
      <w:r w:rsidRPr="007740E4">
        <w:t>, March 2021 PBAC meeting</w:t>
      </w:r>
      <w:r w:rsidRPr="00820898">
        <w:t>). Overall, it was difficult to make an informed conclusion with respect to the safety profile of ONA compared to RIS. The PBAC has previous considered that RIS had a more favourable safety profile than NUSI in some patients, whereas the PBAC rejected a superior safety claim of ONA compared to NUSI previously, preventing a transitivity argument for non-inferior safety between ONA and RIS.</w:t>
      </w:r>
      <w:bookmarkEnd w:id="39"/>
    </w:p>
    <w:p w14:paraId="4A378BF5" w14:textId="77777777" w:rsidR="0014093D" w:rsidRPr="007740E4" w:rsidRDefault="0014093D" w:rsidP="0014093D">
      <w:pPr>
        <w:pStyle w:val="4-SubsectionHeading"/>
      </w:pPr>
      <w:bookmarkStart w:id="40" w:name="_Toc22897643"/>
      <w:bookmarkStart w:id="41" w:name="_Toc135210589"/>
      <w:r w:rsidRPr="007740E4">
        <w:t>Benefits/harms</w:t>
      </w:r>
      <w:bookmarkEnd w:id="40"/>
      <w:bookmarkEnd w:id="41"/>
    </w:p>
    <w:p w14:paraId="50011AEF" w14:textId="058E765A" w:rsidR="0014093D" w:rsidRPr="00820898" w:rsidRDefault="0014093D" w:rsidP="0014093D">
      <w:pPr>
        <w:pStyle w:val="3-BodyText"/>
        <w:rPr>
          <w:iCs/>
        </w:rPr>
      </w:pPr>
      <w:r w:rsidRPr="00820898">
        <w:rPr>
          <w:iCs/>
          <w:snapToGrid/>
        </w:rPr>
        <w:t xml:space="preserve">The naïve indirect comparisons presented in the resubmission did not allow for a quantitative comparison of the benefits and harms of ONA and the nominated comparators (ONA (for pre-symptomatic treatment in patients with 2 copies of </w:t>
      </w:r>
      <w:r w:rsidR="00B64F80" w:rsidRPr="00AB7A82">
        <w:rPr>
          <w:i/>
          <w:snapToGrid/>
        </w:rPr>
        <w:t>SMN2</w:t>
      </w:r>
      <w:r w:rsidRPr="00820898">
        <w:rPr>
          <w:iCs/>
          <w:snapToGrid/>
        </w:rPr>
        <w:t>), NUSI or RIS). Accordingly, a benefits/harms table has not been presented.</w:t>
      </w:r>
    </w:p>
    <w:p w14:paraId="55731000" w14:textId="77777777" w:rsidR="0014093D" w:rsidRPr="007740E4" w:rsidRDefault="0014093D" w:rsidP="0014093D">
      <w:pPr>
        <w:pStyle w:val="4-SubsectionHeading"/>
      </w:pPr>
      <w:bookmarkStart w:id="42" w:name="_Toc22897644"/>
      <w:bookmarkStart w:id="43" w:name="_Toc135210590"/>
      <w:r w:rsidRPr="007740E4">
        <w:t>Clinical claim</w:t>
      </w:r>
      <w:bookmarkEnd w:id="42"/>
      <w:bookmarkEnd w:id="43"/>
    </w:p>
    <w:p w14:paraId="2BBCC043" w14:textId="77777777" w:rsidR="0091133E" w:rsidRDefault="00220C7D" w:rsidP="0014093D">
      <w:pPr>
        <w:pStyle w:val="3-BodyText"/>
      </w:pPr>
      <w:bookmarkStart w:id="44" w:name="_Ref134457550"/>
      <w:r w:rsidRPr="00820898">
        <w:t>T</w:t>
      </w:r>
      <w:r w:rsidR="0014093D" w:rsidRPr="00820898">
        <w:t>he resubmission described the pre-symptomatic treatment with ONA for patients with 3</w:t>
      </w:r>
      <w:r w:rsidR="00EB345A" w:rsidRPr="00820898">
        <w:t xml:space="preserve"> </w:t>
      </w:r>
      <w:r w:rsidR="0014093D" w:rsidRPr="00820898">
        <w:t xml:space="preserve">copies </w:t>
      </w:r>
      <w:r w:rsidR="00EB345A" w:rsidRPr="00820898">
        <w:t xml:space="preserve">of </w:t>
      </w:r>
      <w:r w:rsidR="00EB345A" w:rsidRPr="00AB7A82">
        <w:rPr>
          <w:i/>
          <w:iCs/>
        </w:rPr>
        <w:t>SMN2</w:t>
      </w:r>
      <w:r w:rsidR="00EB345A" w:rsidRPr="00820898">
        <w:t xml:space="preserve"> </w:t>
      </w:r>
      <w:r w:rsidR="0014093D" w:rsidRPr="00820898">
        <w:t>as non-inferior in terms of effectiveness compared with pre-symptomatic treatment with ONA for patients with 2</w:t>
      </w:r>
      <w:r w:rsidR="005A7120" w:rsidRPr="00820898">
        <w:t xml:space="preserve"> </w:t>
      </w:r>
      <w:r w:rsidR="00B64F80" w:rsidRPr="00AB7A82">
        <w:rPr>
          <w:i/>
          <w:iCs/>
        </w:rPr>
        <w:t>SMN2</w:t>
      </w:r>
      <w:r w:rsidR="0014093D" w:rsidRPr="00820898">
        <w:t xml:space="preserve"> copies.</w:t>
      </w:r>
      <w:r w:rsidR="0014093D" w:rsidRPr="00820898">
        <w:rPr>
          <w:color w:val="0066FF"/>
        </w:rPr>
        <w:t xml:space="preserve"> </w:t>
      </w:r>
      <w:r w:rsidR="0014093D" w:rsidRPr="00820898">
        <w:t xml:space="preserve">The therapeutic conclusion presented in the </w:t>
      </w:r>
      <w:r w:rsidR="00A64CA1" w:rsidRPr="00820898">
        <w:t>re</w:t>
      </w:r>
      <w:r w:rsidR="0014093D" w:rsidRPr="00820898">
        <w:t xml:space="preserve">submission was not supported because even though naïve comparisons of </w:t>
      </w:r>
      <w:r w:rsidR="00087ABB" w:rsidRPr="00820898">
        <w:t xml:space="preserve">the absolute </w:t>
      </w:r>
      <w:r w:rsidR="0014093D" w:rsidRPr="00820898">
        <w:t xml:space="preserve">developmental outcomes in SPR1NT appeared to suggest that more patients with 3 copies of </w:t>
      </w:r>
      <w:r w:rsidR="00B64F80" w:rsidRPr="00AB7A82">
        <w:rPr>
          <w:i/>
          <w:iCs/>
        </w:rPr>
        <w:t>SMN2</w:t>
      </w:r>
      <w:r w:rsidR="0014093D" w:rsidRPr="00820898">
        <w:t xml:space="preserve"> treated with ONA pre</w:t>
      </w:r>
      <w:r w:rsidR="00087ABB" w:rsidRPr="00820898">
        <w:noBreakHyphen/>
      </w:r>
      <w:r w:rsidR="0014093D" w:rsidRPr="00820898">
        <w:t>symptomatically achieved developmental milestones</w:t>
      </w:r>
      <w:r w:rsidR="00087ABB" w:rsidRPr="00820898">
        <w:t xml:space="preserve"> within the normal timeframe</w:t>
      </w:r>
      <w:r w:rsidR="0014093D" w:rsidRPr="00820898">
        <w:t xml:space="preserve"> compared to patients with 2 copies of </w:t>
      </w:r>
      <w:r w:rsidR="00B64F80" w:rsidRPr="00AB7A82">
        <w:rPr>
          <w:i/>
          <w:iCs/>
        </w:rPr>
        <w:t>SMN2</w:t>
      </w:r>
      <w:r w:rsidR="0014093D" w:rsidRPr="00AB7A82">
        <w:rPr>
          <w:i/>
          <w:iCs/>
        </w:rPr>
        <w:t>,</w:t>
      </w:r>
      <w:r w:rsidR="0014093D" w:rsidRPr="00820898">
        <w:t xml:space="preserve"> this was likely confounded by the differences in baseline attainment of milestones and the natural course of the disease between patients with 2 and 3 </w:t>
      </w:r>
      <w:r w:rsidR="00B64F80" w:rsidRPr="00AB7A82">
        <w:rPr>
          <w:i/>
          <w:iCs/>
        </w:rPr>
        <w:t>SMN2</w:t>
      </w:r>
      <w:r w:rsidR="0014093D" w:rsidRPr="00820898">
        <w:t xml:space="preserve"> cop</w:t>
      </w:r>
      <w:r w:rsidR="00AB7A82">
        <w:t>ies</w:t>
      </w:r>
      <w:r w:rsidR="0014093D" w:rsidRPr="00820898">
        <w:t xml:space="preserve"> and it was difficult to make any meaningful or reliable comparisons between the two distinct populations. </w:t>
      </w:r>
    </w:p>
    <w:p w14:paraId="3A39AD49" w14:textId="05A765AF" w:rsidR="0014093D" w:rsidRPr="00820898" w:rsidRDefault="001F6046" w:rsidP="0014093D">
      <w:pPr>
        <w:pStyle w:val="3-BodyText"/>
      </w:pPr>
      <w:r w:rsidRPr="00820898">
        <w:t xml:space="preserve">Moreover, </w:t>
      </w:r>
      <w:r w:rsidR="0014093D" w:rsidRPr="00820898">
        <w:rPr>
          <w:lang w:eastAsia="en-US"/>
        </w:rPr>
        <w:t xml:space="preserve">the nominated comparator (pre-symptomatic treatment with ONA in patients with 2 copies of </w:t>
      </w:r>
      <w:r w:rsidR="00B64F80" w:rsidRPr="00AB7A82">
        <w:rPr>
          <w:i/>
          <w:iCs/>
          <w:lang w:eastAsia="en-US"/>
        </w:rPr>
        <w:t>SMN2</w:t>
      </w:r>
      <w:r w:rsidR="0014093D" w:rsidRPr="00820898">
        <w:rPr>
          <w:lang w:eastAsia="en-US"/>
        </w:rPr>
        <w:t xml:space="preserve">) </w:t>
      </w:r>
      <w:r w:rsidRPr="00820898">
        <w:rPr>
          <w:lang w:eastAsia="en-US"/>
        </w:rPr>
        <w:t xml:space="preserve">was </w:t>
      </w:r>
      <w:r w:rsidR="0014093D" w:rsidRPr="00820898">
        <w:rPr>
          <w:lang w:eastAsia="en-US"/>
        </w:rPr>
        <w:t>inappropriate, with standard of care (symptomatic initiation with DMT) being the appropriate comparator.</w:t>
      </w:r>
      <w:bookmarkEnd w:id="44"/>
    </w:p>
    <w:p w14:paraId="1DCBDFDC" w14:textId="0E179FFF" w:rsidR="005848E1" w:rsidRPr="00820898" w:rsidRDefault="005848E1" w:rsidP="0014093D">
      <w:pPr>
        <w:pStyle w:val="3-BodyText"/>
      </w:pPr>
      <w:r w:rsidRPr="00820898">
        <w:t>A more informative comparison</w:t>
      </w:r>
      <w:r w:rsidR="00603E5B" w:rsidRPr="00820898">
        <w:t xml:space="preserve"> </w:t>
      </w:r>
      <w:r w:rsidRPr="00820898">
        <w:t xml:space="preserve">would have been a comparison of the incremental benefit </w:t>
      </w:r>
      <w:r w:rsidR="00F41ABE" w:rsidRPr="00820898">
        <w:t xml:space="preserve">of pre-symptomatic initiation of ONA </w:t>
      </w:r>
      <w:r w:rsidRPr="00820898">
        <w:t xml:space="preserve">in patients with 3 copies of </w:t>
      </w:r>
      <w:r w:rsidRPr="00AB7A82">
        <w:rPr>
          <w:i/>
          <w:iCs/>
        </w:rPr>
        <w:t xml:space="preserve">SMN2 </w:t>
      </w:r>
      <w:r w:rsidR="00F41ABE" w:rsidRPr="00820898">
        <w:t xml:space="preserve">compared to symptomatic initiation of DMTs, with the incremental benefit of </w:t>
      </w:r>
      <w:r w:rsidR="00E72664" w:rsidRPr="00820898">
        <w:t xml:space="preserve">pre-symptomatic initiation of ONA in patients with 1-2 copies of </w:t>
      </w:r>
      <w:r w:rsidR="00E72664" w:rsidRPr="00AB7A82">
        <w:rPr>
          <w:i/>
          <w:iCs/>
        </w:rPr>
        <w:t>SMN2</w:t>
      </w:r>
      <w:r w:rsidR="00E72664" w:rsidRPr="00820898">
        <w:t xml:space="preserve"> compared to symptomatic initiation of DMTs (</w:t>
      </w:r>
      <w:r w:rsidR="006F52E8" w:rsidRPr="00820898">
        <w:t>s</w:t>
      </w:r>
      <w:r w:rsidR="00E72664" w:rsidRPr="00820898">
        <w:t xml:space="preserve">ee </w:t>
      </w:r>
      <w:r w:rsidR="00A91EA2" w:rsidRPr="00820898">
        <w:t>p</w:t>
      </w:r>
      <w:r w:rsidR="00E72664" w:rsidRPr="00820898">
        <w:t>aragraph</w:t>
      </w:r>
      <w:r w:rsidR="00A91EA2" w:rsidRPr="00820898">
        <w:t xml:space="preserve"> </w:t>
      </w:r>
      <w:r w:rsidR="00A85BD3" w:rsidRPr="00820898">
        <w:fldChar w:fldCharType="begin" w:fldLock="1"/>
      </w:r>
      <w:r w:rsidR="00A85BD3" w:rsidRPr="00820898">
        <w:instrText xml:space="preserve"> REF _Ref135038161 \r \h </w:instrText>
      </w:r>
      <w:r w:rsidR="00820898">
        <w:instrText xml:space="preserve"> \* MERGEFORMAT </w:instrText>
      </w:r>
      <w:r w:rsidR="00A85BD3" w:rsidRPr="00820898">
        <w:fldChar w:fldCharType="separate"/>
      </w:r>
      <w:r w:rsidR="00B00909">
        <w:t>5.1</w:t>
      </w:r>
      <w:r w:rsidR="00A85BD3" w:rsidRPr="00820898">
        <w:fldChar w:fldCharType="end"/>
      </w:r>
      <w:r w:rsidR="00E72664" w:rsidRPr="00820898">
        <w:t>)</w:t>
      </w:r>
      <w:r w:rsidR="008C4153" w:rsidRPr="00820898">
        <w:t xml:space="preserve">. </w:t>
      </w:r>
      <w:r w:rsidR="0091133E">
        <w:t>The evaluation considered this could have been</w:t>
      </w:r>
      <w:r w:rsidR="006F52E8" w:rsidRPr="00820898">
        <w:t xml:space="preserve"> used to </w:t>
      </w:r>
      <w:r w:rsidR="007D7A64" w:rsidRPr="00820898">
        <w:t xml:space="preserve">support an economic evaluation in the </w:t>
      </w:r>
      <w:r w:rsidR="009A1F17" w:rsidRPr="00820898">
        <w:t>Southwest quadrant of the cost-effectiveness plane (i.e. less effective, less costly)</w:t>
      </w:r>
      <w:r w:rsidR="007D7A64" w:rsidRPr="00820898">
        <w:t xml:space="preserve">, which would be consistent with </w:t>
      </w:r>
      <w:r w:rsidR="005F384F" w:rsidRPr="00820898">
        <w:t xml:space="preserve">PBAC’s previous consideration of pre-symptomatic ONA in patients with 3 copies of </w:t>
      </w:r>
      <w:r w:rsidR="005F384F" w:rsidRPr="00AB7A82">
        <w:rPr>
          <w:i/>
          <w:iCs/>
        </w:rPr>
        <w:t>SMN2</w:t>
      </w:r>
      <w:r w:rsidR="005F384F" w:rsidRPr="00820898">
        <w:t xml:space="preserve"> </w:t>
      </w:r>
      <w:r w:rsidR="006F52E8" w:rsidRPr="00820898">
        <w:t xml:space="preserve">(see </w:t>
      </w:r>
      <w:r w:rsidR="00B00909">
        <w:t>p</w:t>
      </w:r>
      <w:r w:rsidR="006F52E8" w:rsidRPr="00820898">
        <w:t xml:space="preserve">aragraph </w:t>
      </w:r>
      <w:r w:rsidR="006F52E8" w:rsidRPr="00820898">
        <w:fldChar w:fldCharType="begin" w:fldLock="1"/>
      </w:r>
      <w:r w:rsidR="006F52E8" w:rsidRPr="00820898">
        <w:instrText xml:space="preserve"> REF _Ref134988725 \r \h </w:instrText>
      </w:r>
      <w:r w:rsidR="00820898">
        <w:instrText xml:space="preserve"> \* MERGEFORMAT </w:instrText>
      </w:r>
      <w:r w:rsidR="006F52E8" w:rsidRPr="00820898">
        <w:fldChar w:fldCharType="separate"/>
      </w:r>
      <w:r w:rsidR="00B00909">
        <w:t>3.4</w:t>
      </w:r>
      <w:r w:rsidR="006F52E8" w:rsidRPr="00820898">
        <w:fldChar w:fldCharType="end"/>
      </w:r>
      <w:r w:rsidR="006F52E8" w:rsidRPr="00820898">
        <w:t xml:space="preserve">). </w:t>
      </w:r>
    </w:p>
    <w:p w14:paraId="5A8EA8A7" w14:textId="0C5443F4" w:rsidR="0014093D" w:rsidRPr="00820898" w:rsidRDefault="0014093D" w:rsidP="0014093D">
      <w:pPr>
        <w:pStyle w:val="3-BodyText"/>
      </w:pPr>
      <w:r w:rsidRPr="00820898">
        <w:t xml:space="preserve">In its evaluation of the previous submission, the PBAC considered that, “overall, although the clinical evidence was very limited, the claim of superior comparative effectiveness may be reasonable on the basis that pre-symptomatic treatment would be expected to prevent or reduce the irreversible loss of motor neurons and therefore result in superior outcomes for patients. However, the PBAC noted that the magnitude of benefit could not be determined with any certainty given the limitations of the available data” (paragraph 7.5, </w:t>
      </w:r>
      <w:r w:rsidR="00206954">
        <w:t>ONA</w:t>
      </w:r>
      <w:r w:rsidRPr="00820898">
        <w:t xml:space="preserve"> </w:t>
      </w:r>
      <w:r w:rsidR="00D862B0" w:rsidRPr="00820898">
        <w:t>PSD</w:t>
      </w:r>
      <w:r w:rsidRPr="00820898">
        <w:t xml:space="preserve">, November 2022 PBAC meeting). </w:t>
      </w:r>
    </w:p>
    <w:p w14:paraId="2DE8EE21" w14:textId="32811433" w:rsidR="0014093D" w:rsidRPr="00820898" w:rsidRDefault="0014093D" w:rsidP="0014093D">
      <w:pPr>
        <w:pStyle w:val="3-BodyText"/>
      </w:pPr>
      <w:r w:rsidRPr="00820898">
        <w:t>Overall</w:t>
      </w:r>
      <w:r w:rsidRPr="00D21A65">
        <w:t>, t</w:t>
      </w:r>
      <w:r w:rsidR="00206954" w:rsidRPr="00D21A65">
        <w:t>he ESC agreed with the evaluation</w:t>
      </w:r>
      <w:r w:rsidR="00206954">
        <w:t xml:space="preserve"> that t</w:t>
      </w:r>
      <w:r w:rsidRPr="00820898">
        <w:t xml:space="preserve">he incremental benefit of pre-symptomatic treatment with ONA in patients with 3 copies of </w:t>
      </w:r>
      <w:r w:rsidR="00B64F80" w:rsidRPr="00206954">
        <w:rPr>
          <w:i/>
          <w:iCs/>
        </w:rPr>
        <w:t>SMN2</w:t>
      </w:r>
      <w:r w:rsidRPr="00820898">
        <w:t xml:space="preserve"> compared to current standard of care (symptomatic initiation) remains uncertain, and the magnitude of incremental benefit of pre-symptomatic treatment with ONA in patients with 3 copies of </w:t>
      </w:r>
      <w:r w:rsidR="00B64F80" w:rsidRPr="00206954">
        <w:rPr>
          <w:i/>
          <w:iCs/>
        </w:rPr>
        <w:t>SMN2</w:t>
      </w:r>
      <w:r w:rsidRPr="00206954">
        <w:rPr>
          <w:i/>
          <w:iCs/>
        </w:rPr>
        <w:t xml:space="preserve"> </w:t>
      </w:r>
      <w:r w:rsidRPr="00820898">
        <w:t xml:space="preserve">compared to current standard of care relative to the magnitude of incremental benefit of pre-symptomatic treatment with ONA in patients with 1-2 copies of </w:t>
      </w:r>
      <w:r w:rsidR="00B64F80" w:rsidRPr="00206954">
        <w:rPr>
          <w:i/>
          <w:iCs/>
        </w:rPr>
        <w:t>SMN2</w:t>
      </w:r>
      <w:r w:rsidRPr="00820898">
        <w:t xml:space="preserve"> compared to current standard of care was also not informed by the resubmission.</w:t>
      </w:r>
    </w:p>
    <w:p w14:paraId="4C0A35AD" w14:textId="67864502" w:rsidR="002F7024" w:rsidRPr="002F7024" w:rsidRDefault="0014093D" w:rsidP="0014093D">
      <w:pPr>
        <w:pStyle w:val="3-BodyText"/>
        <w:rPr>
          <w:i/>
        </w:rPr>
      </w:pPr>
      <w:r w:rsidRPr="007740E4">
        <w:t>The resubmission described the pre-symptomatic treatment with ONA for patients with 3</w:t>
      </w:r>
      <w:r w:rsidR="008275BA">
        <w:t xml:space="preserve"> </w:t>
      </w:r>
      <w:r w:rsidR="00B64F80" w:rsidRPr="007740E4">
        <w:rPr>
          <w:i/>
        </w:rPr>
        <w:t>SMN2</w:t>
      </w:r>
      <w:r w:rsidRPr="007740E4">
        <w:t xml:space="preserve"> copies as non-inferior in terms of safety compared with pre-symptomatic treatment with ONA for patients with 2</w:t>
      </w:r>
      <w:r w:rsidR="008275BA">
        <w:t xml:space="preserve"> </w:t>
      </w:r>
      <w:r w:rsidR="00B64F80" w:rsidRPr="007740E4">
        <w:rPr>
          <w:i/>
        </w:rPr>
        <w:t>SMN2</w:t>
      </w:r>
      <w:r w:rsidRPr="007740E4">
        <w:t xml:space="preserve"> copies. For the purpose of the economic evaluation (in which a cost-minimisation analysis was provided), the resubmission further described ONA as non-inferior in terms of safety compared with RIS. </w:t>
      </w:r>
      <w:r w:rsidRPr="00820898">
        <w:rPr>
          <w:iCs/>
        </w:rPr>
        <w:t xml:space="preserve">It was difficult to draw a conclusion regarding relative safety given the small sample size and the single arm nature of the included studies. </w:t>
      </w:r>
      <w:r w:rsidR="00124E8C" w:rsidRPr="00820898">
        <w:rPr>
          <w:iCs/>
        </w:rPr>
        <w:t>A transitivity argument for non-</w:t>
      </w:r>
      <w:r w:rsidR="008D36C9" w:rsidRPr="00820898">
        <w:rPr>
          <w:iCs/>
        </w:rPr>
        <w:t>inferior safety</w:t>
      </w:r>
      <w:r w:rsidR="00124E8C" w:rsidRPr="00820898">
        <w:rPr>
          <w:iCs/>
        </w:rPr>
        <w:t xml:space="preserve"> between ONA and RIS </w:t>
      </w:r>
      <w:r w:rsidR="008D36C9" w:rsidRPr="00820898">
        <w:rPr>
          <w:iCs/>
        </w:rPr>
        <w:t xml:space="preserve">(using NUSI) </w:t>
      </w:r>
      <w:r w:rsidR="00124E8C" w:rsidRPr="00820898">
        <w:rPr>
          <w:iCs/>
        </w:rPr>
        <w:t xml:space="preserve">could not be made (see paragraph </w:t>
      </w:r>
      <w:r w:rsidR="00124E8C" w:rsidRPr="00820898">
        <w:rPr>
          <w:iCs/>
        </w:rPr>
        <w:fldChar w:fldCharType="begin" w:fldLock="1"/>
      </w:r>
      <w:r w:rsidR="00124E8C" w:rsidRPr="00820898">
        <w:rPr>
          <w:iCs/>
        </w:rPr>
        <w:instrText xml:space="preserve"> REF _Ref134906250 \r \h </w:instrText>
      </w:r>
      <w:r w:rsidR="00820898">
        <w:rPr>
          <w:iCs/>
        </w:rPr>
        <w:instrText xml:space="preserve"> \* MERGEFORMAT </w:instrText>
      </w:r>
      <w:r w:rsidR="00124E8C" w:rsidRPr="00820898">
        <w:rPr>
          <w:iCs/>
        </w:rPr>
      </w:r>
      <w:r w:rsidR="00124E8C" w:rsidRPr="00820898">
        <w:rPr>
          <w:iCs/>
        </w:rPr>
        <w:fldChar w:fldCharType="separate"/>
      </w:r>
      <w:r w:rsidR="00D21A65">
        <w:rPr>
          <w:iCs/>
        </w:rPr>
        <w:t>6.28</w:t>
      </w:r>
      <w:r w:rsidR="00124E8C" w:rsidRPr="00820898">
        <w:rPr>
          <w:iCs/>
        </w:rPr>
        <w:fldChar w:fldCharType="end"/>
      </w:r>
      <w:r w:rsidR="00124E8C" w:rsidRPr="00820898">
        <w:rPr>
          <w:iCs/>
        </w:rPr>
        <w:t xml:space="preserve">). </w:t>
      </w:r>
    </w:p>
    <w:p w14:paraId="290C4757" w14:textId="5DE2D3AB" w:rsidR="0014093D" w:rsidRDefault="002F7024" w:rsidP="0014093D">
      <w:pPr>
        <w:pStyle w:val="3-BodyText"/>
        <w:rPr>
          <w:iCs/>
        </w:rPr>
      </w:pPr>
      <w:r w:rsidRPr="0047331C">
        <w:rPr>
          <w:iCs/>
        </w:rPr>
        <w:t>The ESC considered that the clinical claim of comparative safety for pre-symptomatic treatment with ONA compared with watchful waiting was not reasonable, where some patients (albeit a small proportion) may not require symptomatic treatment with DMTs.</w:t>
      </w:r>
    </w:p>
    <w:p w14:paraId="61DF3D48" w14:textId="30569661" w:rsidR="0047331C" w:rsidRPr="00861BE4" w:rsidRDefault="0047331C" w:rsidP="00861BE4">
      <w:pPr>
        <w:widowControl w:val="0"/>
        <w:numPr>
          <w:ilvl w:val="1"/>
          <w:numId w:val="1"/>
        </w:numPr>
        <w:spacing w:after="120"/>
        <w:rPr>
          <w:rFonts w:asciiTheme="minorHAnsi" w:hAnsiTheme="minorHAnsi"/>
          <w:snapToGrid w:val="0"/>
          <w:szCs w:val="20"/>
        </w:rPr>
      </w:pPr>
      <w:bookmarkStart w:id="45" w:name="_Hlk76376200"/>
      <w:r w:rsidRPr="00D21A65">
        <w:rPr>
          <w:rFonts w:asciiTheme="minorHAnsi" w:hAnsiTheme="minorHAnsi"/>
          <w:iCs/>
          <w:snapToGrid w:val="0"/>
        </w:rPr>
        <w:t>The</w:t>
      </w:r>
      <w:r w:rsidRPr="00D21A65">
        <w:rPr>
          <w:rFonts w:asciiTheme="minorHAnsi" w:hAnsiTheme="minorHAnsi"/>
          <w:snapToGrid w:val="0"/>
          <w:szCs w:val="20"/>
        </w:rPr>
        <w:t xml:space="preserve"> PBAC considered that the </w:t>
      </w:r>
      <w:r w:rsidR="00D21A65" w:rsidRPr="00D21A65">
        <w:rPr>
          <w:rFonts w:asciiTheme="minorHAnsi" w:hAnsiTheme="minorHAnsi"/>
          <w:snapToGrid w:val="0"/>
          <w:szCs w:val="20"/>
        </w:rPr>
        <w:t xml:space="preserve">efficacy and safety </w:t>
      </w:r>
      <w:r w:rsidRPr="00D21A65">
        <w:rPr>
          <w:rFonts w:asciiTheme="minorHAnsi" w:hAnsiTheme="minorHAnsi"/>
          <w:snapToGrid w:val="0"/>
          <w:szCs w:val="20"/>
        </w:rPr>
        <w:t>claim</w:t>
      </w:r>
      <w:r w:rsidR="00D21A65" w:rsidRPr="00D21A65">
        <w:rPr>
          <w:rFonts w:asciiTheme="minorHAnsi" w:hAnsiTheme="minorHAnsi"/>
          <w:snapToGrid w:val="0"/>
          <w:szCs w:val="20"/>
        </w:rPr>
        <w:t>s made in the submission were not directly relevant to the requested change to the listing of ONA.</w:t>
      </w:r>
      <w:bookmarkEnd w:id="45"/>
    </w:p>
    <w:p w14:paraId="5719A886" w14:textId="77777777" w:rsidR="0014093D" w:rsidRPr="007740E4" w:rsidRDefault="0014093D" w:rsidP="0014093D">
      <w:pPr>
        <w:pStyle w:val="4-SubsectionHeading"/>
      </w:pPr>
      <w:bookmarkStart w:id="46" w:name="_Toc22897645"/>
      <w:bookmarkStart w:id="47" w:name="_Toc135210591"/>
      <w:r w:rsidRPr="007740E4">
        <w:t>Economic analysis</w:t>
      </w:r>
      <w:bookmarkEnd w:id="46"/>
      <w:bookmarkEnd w:id="47"/>
      <w:r w:rsidRPr="007740E4">
        <w:t xml:space="preserve"> </w:t>
      </w:r>
    </w:p>
    <w:p w14:paraId="413F07F2" w14:textId="4B891AD0" w:rsidR="002F7024" w:rsidRPr="0047331C" w:rsidRDefault="0014093D" w:rsidP="0014093D">
      <w:pPr>
        <w:pStyle w:val="3-BodyText"/>
      </w:pPr>
      <w:r w:rsidRPr="007740E4">
        <w:t xml:space="preserve">The resubmission presented a cost-minimisation approach which compared ONA for pre-symptomatic patients with 3 copies of </w:t>
      </w:r>
      <w:r w:rsidR="00B64F80" w:rsidRPr="007740E4">
        <w:rPr>
          <w:i/>
        </w:rPr>
        <w:t>SMN2</w:t>
      </w:r>
      <w:r w:rsidRPr="007740E4">
        <w:t xml:space="preserve"> (the proposed population) with ONA for </w:t>
      </w:r>
      <w:r w:rsidR="00682CC8">
        <w:t>pre-symptomatic</w:t>
      </w:r>
      <w:r w:rsidRPr="007740E4">
        <w:t xml:space="preserve"> patients with 1-2 copies of </w:t>
      </w:r>
      <w:r w:rsidR="00B64F80" w:rsidRPr="007740E4">
        <w:rPr>
          <w:i/>
        </w:rPr>
        <w:t>SMN2</w:t>
      </w:r>
      <w:r w:rsidRPr="007740E4">
        <w:t xml:space="preserve"> (as currently listed on the PBS) over a time horizon of two years based on the follow up of SPR1NT (see </w:t>
      </w:r>
      <w:r w:rsidRPr="007740E4">
        <w:fldChar w:fldCharType="begin" w:fldLock="1"/>
      </w:r>
      <w:r w:rsidRPr="007740E4">
        <w:instrText xml:space="preserve"> REF _Ref134281545 \h </w:instrText>
      </w:r>
      <w:r w:rsidRPr="007740E4">
        <w:fldChar w:fldCharType="separate"/>
      </w:r>
      <w:r w:rsidR="007866DB" w:rsidRPr="007740E4">
        <w:t xml:space="preserve">Table </w:t>
      </w:r>
      <w:r w:rsidR="007866DB">
        <w:rPr>
          <w:noProof/>
        </w:rPr>
        <w:t>10</w:t>
      </w:r>
      <w:r w:rsidRPr="007740E4">
        <w:fldChar w:fldCharType="end"/>
      </w:r>
      <w:r w:rsidRPr="007740E4">
        <w:t xml:space="preserve">). </w:t>
      </w:r>
      <w:r w:rsidR="002F7024" w:rsidRPr="0047331C">
        <w:t xml:space="preserve">The ESC noted that this comparison was based on the assumption that the incremental benefit of pre-symptomatic treatment of SMA patients with 3 copies </w:t>
      </w:r>
      <w:r w:rsidR="00484DEE" w:rsidRPr="00484DEE">
        <w:rPr>
          <w:i/>
        </w:rPr>
        <w:t>SMN2</w:t>
      </w:r>
      <w:r w:rsidR="002F7024" w:rsidRPr="0047331C">
        <w:t xml:space="preserve"> was comparable to the </w:t>
      </w:r>
      <w:r w:rsidR="00064FCC" w:rsidRPr="0047331C">
        <w:t xml:space="preserve">incremental benefit of pre-symptomatic treatment of SMA patients with 1-2 copies </w:t>
      </w:r>
      <w:r w:rsidR="00484DEE" w:rsidRPr="00484DEE">
        <w:rPr>
          <w:i/>
        </w:rPr>
        <w:t>SMN2</w:t>
      </w:r>
      <w:r w:rsidR="00064FCC" w:rsidRPr="0047331C">
        <w:t>.</w:t>
      </w:r>
    </w:p>
    <w:p w14:paraId="0E63074E" w14:textId="53AC48BA" w:rsidR="0014093D" w:rsidRPr="0047331C" w:rsidRDefault="0014093D" w:rsidP="0014093D">
      <w:pPr>
        <w:pStyle w:val="3-BodyText"/>
      </w:pPr>
      <w:r w:rsidRPr="0047331C">
        <w:t xml:space="preserve">The </w:t>
      </w:r>
      <w:r w:rsidR="00064FCC" w:rsidRPr="0047331C">
        <w:t xml:space="preserve">ESC considered the </w:t>
      </w:r>
      <w:r w:rsidRPr="0047331C">
        <w:t xml:space="preserve">cost minimisation approach presented may not be appropriate </w:t>
      </w:r>
      <w:r w:rsidR="00064FCC" w:rsidRPr="0047331C">
        <w:t>as the claim of comparable benefit was not supported by the evidence presented, and given the</w:t>
      </w:r>
      <w:r w:rsidRPr="0047331C">
        <w:t xml:space="preserve"> </w:t>
      </w:r>
      <w:r w:rsidR="00064FCC" w:rsidRPr="0047331C">
        <w:t xml:space="preserve">PBAC has previously considered the </w:t>
      </w:r>
      <w:r w:rsidRPr="0047331C">
        <w:t xml:space="preserve">incremental benefit of pre-symptomatic treatment with ONA compared to symptomatic treatment with disease modifying therapies for patients with 3 </w:t>
      </w:r>
      <w:r w:rsidR="00484DEE" w:rsidRPr="00484DEE">
        <w:rPr>
          <w:i/>
        </w:rPr>
        <w:t>SMN2</w:t>
      </w:r>
      <w:r w:rsidRPr="0047331C">
        <w:t xml:space="preserve"> copies would be less than that for patients with 1-2 </w:t>
      </w:r>
      <w:r w:rsidR="00484DEE" w:rsidRPr="00484DEE">
        <w:rPr>
          <w:i/>
        </w:rPr>
        <w:t>SMN2</w:t>
      </w:r>
      <w:r w:rsidRPr="0047331C">
        <w:t xml:space="preserve"> copies (paragraph 7.6, </w:t>
      </w:r>
      <w:r w:rsidR="00064FCC" w:rsidRPr="0047331C">
        <w:t>ONA</w:t>
      </w:r>
      <w:r w:rsidRPr="0047331C">
        <w:t xml:space="preserve"> </w:t>
      </w:r>
      <w:r w:rsidR="00D862B0" w:rsidRPr="0047331C">
        <w:t>PSD</w:t>
      </w:r>
      <w:r w:rsidRPr="0047331C">
        <w:t>, November 2022 PBAC meeting).</w:t>
      </w:r>
    </w:p>
    <w:p w14:paraId="081C0106" w14:textId="11731EDE" w:rsidR="0014093D" w:rsidRPr="007740E4" w:rsidRDefault="0014093D" w:rsidP="0014093D">
      <w:pPr>
        <w:pStyle w:val="Caption"/>
        <w:rPr>
          <w:rStyle w:val="CommentReference"/>
          <w:b/>
          <w:szCs w:val="24"/>
        </w:rPr>
      </w:pPr>
      <w:bookmarkStart w:id="48" w:name="_Ref134281545"/>
      <w:r w:rsidRPr="007740E4">
        <w:t xml:space="preserve">Table </w:t>
      </w:r>
      <w:fldSimple w:instr=" SEQ Table \* ARABIC " w:fldLock="1">
        <w:r w:rsidR="0084520A">
          <w:rPr>
            <w:noProof/>
          </w:rPr>
          <w:t>10</w:t>
        </w:r>
      </w:fldSimple>
      <w:bookmarkEnd w:id="48"/>
      <w:r w:rsidRPr="007740E4">
        <w:rPr>
          <w:rStyle w:val="CommentReference"/>
          <w:b/>
          <w:szCs w:val="24"/>
        </w:rPr>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Key components and assumptions of the cost-minimisation approach"/>
      </w:tblPr>
      <w:tblGrid>
        <w:gridCol w:w="1696"/>
        <w:gridCol w:w="7484"/>
      </w:tblGrid>
      <w:tr w:rsidR="0014093D" w:rsidRPr="00820898" w14:paraId="082B86F0" w14:textId="77777777" w:rsidTr="00594F56">
        <w:tc>
          <w:tcPr>
            <w:tcW w:w="1696" w:type="dxa"/>
            <w:vAlign w:val="center"/>
          </w:tcPr>
          <w:p w14:paraId="355FF3CF" w14:textId="77777777" w:rsidR="0014093D" w:rsidRPr="00820898" w:rsidRDefault="0014093D" w:rsidP="00EF68D9">
            <w:pPr>
              <w:pStyle w:val="In-tableHeading"/>
              <w:rPr>
                <w:lang w:val="en-AU"/>
              </w:rPr>
            </w:pPr>
            <w:r w:rsidRPr="00820898">
              <w:rPr>
                <w:lang w:val="en-AU"/>
              </w:rPr>
              <w:t>Component</w:t>
            </w:r>
          </w:p>
        </w:tc>
        <w:tc>
          <w:tcPr>
            <w:tcW w:w="7484" w:type="dxa"/>
            <w:vAlign w:val="center"/>
          </w:tcPr>
          <w:p w14:paraId="3D19219E" w14:textId="77777777" w:rsidR="0014093D" w:rsidRPr="00820898" w:rsidRDefault="0014093D" w:rsidP="00EF68D9">
            <w:pPr>
              <w:pStyle w:val="In-tableHeading"/>
              <w:rPr>
                <w:lang w:val="en-AU"/>
              </w:rPr>
            </w:pPr>
            <w:r w:rsidRPr="00820898">
              <w:rPr>
                <w:lang w:val="en-AU"/>
              </w:rPr>
              <w:t>Claim or assumption</w:t>
            </w:r>
          </w:p>
        </w:tc>
      </w:tr>
      <w:tr w:rsidR="0014093D" w:rsidRPr="00820898" w14:paraId="4F58C017" w14:textId="77777777" w:rsidTr="00594F56">
        <w:trPr>
          <w:trHeight w:val="470"/>
        </w:trPr>
        <w:tc>
          <w:tcPr>
            <w:tcW w:w="1696" w:type="dxa"/>
            <w:vAlign w:val="center"/>
          </w:tcPr>
          <w:p w14:paraId="08E4652E" w14:textId="77777777" w:rsidR="0014093D" w:rsidRPr="00820898" w:rsidRDefault="0014093D" w:rsidP="00EF68D9">
            <w:pPr>
              <w:pStyle w:val="TableText0"/>
            </w:pPr>
            <w:r w:rsidRPr="00820898">
              <w:t>Therapeutic claim: effectiveness</w:t>
            </w:r>
          </w:p>
        </w:tc>
        <w:tc>
          <w:tcPr>
            <w:tcW w:w="7484" w:type="dxa"/>
            <w:vAlign w:val="center"/>
          </w:tcPr>
          <w:p w14:paraId="3D0A4DD5" w14:textId="7A1289FB" w:rsidR="0014093D" w:rsidRPr="00820898" w:rsidRDefault="0014093D" w:rsidP="00EF68D9">
            <w:pPr>
              <w:pStyle w:val="TableText0"/>
            </w:pPr>
            <w:r w:rsidRPr="00820898">
              <w:t xml:space="preserve">Based on evidence presented in </w:t>
            </w:r>
            <w:r w:rsidR="007C49CC" w:rsidRPr="00820898">
              <w:t>SPR1</w:t>
            </w:r>
            <w:r w:rsidR="00245AE6" w:rsidRPr="00820898">
              <w:t>NT</w:t>
            </w:r>
            <w:r w:rsidRPr="00820898">
              <w:t xml:space="preserve">, effectiveness was assumed to be non-inferior to ONA for patients with 1-2 copies of </w:t>
            </w:r>
            <w:r w:rsidR="00EA2BFF" w:rsidRPr="00EA2BFF">
              <w:rPr>
                <w:i/>
              </w:rPr>
              <w:t>SMN2</w:t>
            </w:r>
            <w:r w:rsidRPr="00820898">
              <w:rPr>
                <w:vertAlign w:val="superscript"/>
              </w:rPr>
              <w:t>†</w:t>
            </w:r>
            <w:r w:rsidRPr="00820898">
              <w:t>. This may not be reasonable (see</w:t>
            </w:r>
            <w:r w:rsidR="00640A44" w:rsidRPr="00820898">
              <w:t xml:space="preserve"> paragraph </w:t>
            </w:r>
            <w:r w:rsidR="00640A44" w:rsidRPr="00820898">
              <w:fldChar w:fldCharType="begin" w:fldLock="1"/>
            </w:r>
            <w:r w:rsidR="00640A44" w:rsidRPr="00820898">
              <w:instrText xml:space="preserve"> REF _Ref134457550 \r \h </w:instrText>
            </w:r>
            <w:r w:rsidR="00820898" w:rsidRPr="00820898">
              <w:instrText xml:space="preserve"> \* MERGEFORMAT </w:instrText>
            </w:r>
            <w:r w:rsidR="00640A44" w:rsidRPr="00820898">
              <w:fldChar w:fldCharType="separate"/>
            </w:r>
            <w:r w:rsidR="0003678C">
              <w:t>6.30</w:t>
            </w:r>
            <w:r w:rsidR="00640A44" w:rsidRPr="00820898">
              <w:fldChar w:fldCharType="end"/>
            </w:r>
            <w:r w:rsidRPr="00820898">
              <w:t>). Additionally</w:t>
            </w:r>
            <w:r w:rsidR="00B00909">
              <w:t>,</w:t>
            </w:r>
            <w:r w:rsidRPr="00820898">
              <w:t xml:space="preserve"> the SPR1NT study did not include patients with 1 copy of </w:t>
            </w:r>
            <w:r w:rsidR="00EA2BFF" w:rsidRPr="00EA2BFF">
              <w:rPr>
                <w:i/>
              </w:rPr>
              <w:t>SMN2</w:t>
            </w:r>
            <w:r w:rsidRPr="00820898">
              <w:t xml:space="preserve"> (who would likely have more severe disease). </w:t>
            </w:r>
          </w:p>
        </w:tc>
      </w:tr>
      <w:tr w:rsidR="0014093D" w:rsidRPr="00820898" w14:paraId="722087C3" w14:textId="77777777" w:rsidTr="00594F56">
        <w:tc>
          <w:tcPr>
            <w:tcW w:w="1696" w:type="dxa"/>
            <w:vAlign w:val="center"/>
          </w:tcPr>
          <w:p w14:paraId="1ACE18C9" w14:textId="77777777" w:rsidR="0014093D" w:rsidRPr="00820898" w:rsidRDefault="0014093D" w:rsidP="00EF68D9">
            <w:pPr>
              <w:pStyle w:val="TableText0"/>
            </w:pPr>
            <w:r w:rsidRPr="00820898">
              <w:t>Therapeutic claim: safety</w:t>
            </w:r>
          </w:p>
        </w:tc>
        <w:tc>
          <w:tcPr>
            <w:tcW w:w="7484" w:type="dxa"/>
            <w:vAlign w:val="center"/>
          </w:tcPr>
          <w:p w14:paraId="6F99961B" w14:textId="136EEDB3" w:rsidR="0014093D" w:rsidRPr="0003678C" w:rsidRDefault="0014093D" w:rsidP="0003678C">
            <w:pPr>
              <w:pStyle w:val="3-BodyText"/>
              <w:numPr>
                <w:ilvl w:val="0"/>
                <w:numId w:val="0"/>
              </w:numPr>
              <w:ind w:firstLine="35"/>
              <w:rPr>
                <w:rFonts w:ascii="Arial Narrow" w:eastAsiaTheme="majorEastAsia" w:hAnsi="Arial Narrow" w:cstheme="majorBidi"/>
                <w:bCs/>
                <w:snapToGrid/>
                <w:sz w:val="20"/>
              </w:rPr>
            </w:pPr>
            <w:r w:rsidRPr="0003678C">
              <w:rPr>
                <w:rFonts w:ascii="Arial Narrow" w:eastAsiaTheme="majorEastAsia" w:hAnsi="Arial Narrow" w:cstheme="majorBidi"/>
                <w:bCs/>
                <w:snapToGrid/>
                <w:sz w:val="20"/>
              </w:rPr>
              <w:t xml:space="preserve">Based on evidence presented in Section 2, safety is assumed to be non-inferior to ONA for patients with 1-2 copies of </w:t>
            </w:r>
            <w:r w:rsidR="00484DEE" w:rsidRPr="00484DEE">
              <w:rPr>
                <w:rFonts w:ascii="Arial Narrow" w:eastAsiaTheme="majorEastAsia" w:hAnsi="Arial Narrow" w:cstheme="majorBidi"/>
                <w:bCs/>
                <w:i/>
                <w:snapToGrid/>
                <w:sz w:val="20"/>
              </w:rPr>
              <w:t>SMN2</w:t>
            </w:r>
            <w:r w:rsidRPr="0003678C">
              <w:rPr>
                <w:rFonts w:ascii="Arial Narrow" w:eastAsiaTheme="majorEastAsia" w:hAnsi="Arial Narrow" w:cstheme="majorBidi"/>
                <w:bCs/>
                <w:snapToGrid/>
                <w:sz w:val="20"/>
              </w:rPr>
              <w:t>. It was difficult to draw a conclusion regarding relative safety given the small sample size and the single arm nature of the included studies.</w:t>
            </w:r>
          </w:p>
        </w:tc>
      </w:tr>
      <w:tr w:rsidR="0014093D" w:rsidRPr="00820898" w14:paraId="6C732956" w14:textId="77777777" w:rsidTr="00594F56">
        <w:tc>
          <w:tcPr>
            <w:tcW w:w="1696" w:type="dxa"/>
            <w:vAlign w:val="center"/>
          </w:tcPr>
          <w:p w14:paraId="65052AB7" w14:textId="77777777" w:rsidR="0014093D" w:rsidRPr="00820898" w:rsidRDefault="0014093D" w:rsidP="00EF68D9">
            <w:pPr>
              <w:pStyle w:val="TableText0"/>
            </w:pPr>
            <w:r w:rsidRPr="00820898">
              <w:t>Evidence base</w:t>
            </w:r>
          </w:p>
        </w:tc>
        <w:tc>
          <w:tcPr>
            <w:tcW w:w="7484" w:type="dxa"/>
            <w:vAlign w:val="center"/>
          </w:tcPr>
          <w:p w14:paraId="12449775" w14:textId="49115CF9" w:rsidR="0014093D" w:rsidRPr="00820898" w:rsidRDefault="0014093D" w:rsidP="00EF68D9">
            <w:pPr>
              <w:pStyle w:val="TableText0"/>
            </w:pPr>
            <w:r w:rsidRPr="00820898">
              <w:t>Crude comparisons of developmental milestones achieved in patients with 3</w:t>
            </w:r>
            <w:r w:rsidR="00EA2BFF" w:rsidRPr="00EA2BFF">
              <w:rPr>
                <w:i/>
              </w:rPr>
              <w:t>SMN2</w:t>
            </w:r>
            <w:r w:rsidRPr="00820898">
              <w:t xml:space="preserve"> copies and 2</w:t>
            </w:r>
            <w:r w:rsidR="00EA2BFF" w:rsidRPr="00EA2BFF">
              <w:rPr>
                <w:i/>
              </w:rPr>
              <w:t>SMN2</w:t>
            </w:r>
            <w:r w:rsidRPr="00820898">
              <w:t xml:space="preserve"> copies within the SPR1NT study.</w:t>
            </w:r>
          </w:p>
        </w:tc>
      </w:tr>
      <w:tr w:rsidR="0014093D" w:rsidRPr="00820898" w14:paraId="3B4D680D" w14:textId="77777777" w:rsidTr="00594F56">
        <w:tc>
          <w:tcPr>
            <w:tcW w:w="1696" w:type="dxa"/>
            <w:vAlign w:val="center"/>
          </w:tcPr>
          <w:p w14:paraId="1905AD2C" w14:textId="77777777" w:rsidR="0014093D" w:rsidRPr="00820898" w:rsidRDefault="0014093D" w:rsidP="00EF68D9">
            <w:pPr>
              <w:pStyle w:val="TableText0"/>
            </w:pPr>
            <w:r w:rsidRPr="00820898">
              <w:t>Equi-effective doses</w:t>
            </w:r>
          </w:p>
        </w:tc>
        <w:tc>
          <w:tcPr>
            <w:tcW w:w="7484" w:type="dxa"/>
            <w:vAlign w:val="center"/>
          </w:tcPr>
          <w:p w14:paraId="09D13E3D" w14:textId="77777777" w:rsidR="0014093D" w:rsidRPr="00820898" w:rsidRDefault="0014093D" w:rsidP="00EF68D9">
            <w:pPr>
              <w:pStyle w:val="TableText0"/>
            </w:pPr>
            <w:r w:rsidRPr="00820898">
              <w:t>ONA dosed once per lifetime is equivalent to ONA dosed once per lifetime</w:t>
            </w:r>
          </w:p>
        </w:tc>
      </w:tr>
      <w:tr w:rsidR="0014093D" w:rsidRPr="00820898" w14:paraId="0B9FF3F9" w14:textId="77777777" w:rsidTr="00594F56">
        <w:tc>
          <w:tcPr>
            <w:tcW w:w="1696" w:type="dxa"/>
            <w:vAlign w:val="center"/>
          </w:tcPr>
          <w:p w14:paraId="239D95EA" w14:textId="77777777" w:rsidR="0014093D" w:rsidRPr="00820898" w:rsidRDefault="0014093D" w:rsidP="00EF68D9">
            <w:pPr>
              <w:pStyle w:val="TableText0"/>
            </w:pPr>
            <w:r w:rsidRPr="00820898">
              <w:t>Direct medicine costs</w:t>
            </w:r>
          </w:p>
        </w:tc>
        <w:tc>
          <w:tcPr>
            <w:tcW w:w="7484" w:type="dxa"/>
            <w:vAlign w:val="center"/>
          </w:tcPr>
          <w:p w14:paraId="6F8CE7A7" w14:textId="5CFFDE89" w:rsidR="0014093D" w:rsidRPr="00820898" w:rsidRDefault="0014093D" w:rsidP="00EF68D9">
            <w:pPr>
              <w:pStyle w:val="TableText0"/>
            </w:pPr>
            <w:r w:rsidRPr="00820898">
              <w:t>The direct medicine cost of ONA was sourced from the PBS. The direct medicine cost of ONA was equivalent to ONA over a 2-year time horizon. Discounting was not considered.</w:t>
            </w:r>
          </w:p>
        </w:tc>
      </w:tr>
      <w:tr w:rsidR="0014093D" w:rsidRPr="00820898" w14:paraId="4CC38825" w14:textId="77777777" w:rsidTr="00594F56">
        <w:tc>
          <w:tcPr>
            <w:tcW w:w="1696" w:type="dxa"/>
            <w:vAlign w:val="center"/>
          </w:tcPr>
          <w:p w14:paraId="125F4624" w14:textId="77777777" w:rsidR="0014093D" w:rsidRPr="00820898" w:rsidRDefault="0014093D" w:rsidP="00EF68D9">
            <w:pPr>
              <w:pStyle w:val="TableText0"/>
            </w:pPr>
            <w:r w:rsidRPr="00820898">
              <w:t>Other costs or cost offsets</w:t>
            </w:r>
          </w:p>
        </w:tc>
        <w:tc>
          <w:tcPr>
            <w:tcW w:w="7484" w:type="dxa"/>
            <w:vAlign w:val="center"/>
          </w:tcPr>
          <w:p w14:paraId="6C128CC5" w14:textId="77777777" w:rsidR="0014093D" w:rsidRPr="00820898" w:rsidRDefault="0014093D" w:rsidP="00EF68D9">
            <w:pPr>
              <w:pStyle w:val="TableText0"/>
            </w:pPr>
            <w:r w:rsidRPr="00820898">
              <w:t>Cost to MBS of specialist appointments</w:t>
            </w:r>
          </w:p>
          <w:p w14:paraId="1EAF5C87" w14:textId="77777777" w:rsidR="0014093D" w:rsidRPr="00820898" w:rsidRDefault="0014093D" w:rsidP="00EF68D9">
            <w:pPr>
              <w:pStyle w:val="TableText0"/>
            </w:pPr>
            <w:r w:rsidRPr="00820898">
              <w:t>Cost to MBS of physiotherapy appointments</w:t>
            </w:r>
          </w:p>
          <w:p w14:paraId="0C73AD14" w14:textId="7E011708" w:rsidR="0014093D" w:rsidRPr="00820898" w:rsidRDefault="0014093D" w:rsidP="00594F56">
            <w:pPr>
              <w:pStyle w:val="TableText0"/>
            </w:pPr>
            <w:r w:rsidRPr="00820898">
              <w:t>Healthcare resource utilisation was based on attainment of motor milestones in SPR1NT</w:t>
            </w:r>
            <w:r w:rsidR="002C161E" w:rsidRPr="00820898">
              <w:t xml:space="preserve">. In the base case, no difference in MBS costs between patients with 2 copies of </w:t>
            </w:r>
            <w:r w:rsidR="00EA2BFF" w:rsidRPr="00EA2BFF">
              <w:rPr>
                <w:i/>
              </w:rPr>
              <w:t>SMN2</w:t>
            </w:r>
            <w:r w:rsidR="002C161E" w:rsidRPr="00820898">
              <w:t xml:space="preserve"> and 3 copies of </w:t>
            </w:r>
            <w:r w:rsidR="00EA2BFF" w:rsidRPr="00EA2BFF">
              <w:rPr>
                <w:i/>
              </w:rPr>
              <w:t>SMN2</w:t>
            </w:r>
            <w:r w:rsidR="002C161E" w:rsidRPr="00820898">
              <w:t xml:space="preserve"> was assumed. </w:t>
            </w:r>
            <w:r w:rsidRPr="00820898">
              <w:t xml:space="preserve">The cost of subsequent therapy was not considered. </w:t>
            </w:r>
          </w:p>
        </w:tc>
      </w:tr>
    </w:tbl>
    <w:p w14:paraId="044ACFE8" w14:textId="77777777" w:rsidR="0014093D" w:rsidRPr="007740E4" w:rsidRDefault="0014093D" w:rsidP="0014093D">
      <w:pPr>
        <w:pStyle w:val="FooterTableFigure"/>
      </w:pPr>
      <w:r w:rsidRPr="007740E4">
        <w:t>Source: Table 3.1, p133 of the resubmission.</w:t>
      </w:r>
    </w:p>
    <w:p w14:paraId="4516B04D" w14:textId="5F0918FE" w:rsidR="0014093D" w:rsidRPr="007740E4" w:rsidRDefault="0014093D" w:rsidP="0014093D">
      <w:pPr>
        <w:pStyle w:val="FooterTableFigure"/>
      </w:pPr>
      <w:r w:rsidRPr="007740E4">
        <w:t>ONA=onasemnogene abeparvovec</w:t>
      </w:r>
    </w:p>
    <w:p w14:paraId="12765C95" w14:textId="2493329E" w:rsidR="0014093D" w:rsidRPr="007740E4" w:rsidRDefault="0014093D" w:rsidP="0014093D">
      <w:pPr>
        <w:pStyle w:val="FooterTableFigure"/>
        <w:rPr>
          <w:i/>
        </w:rPr>
      </w:pPr>
      <w:r w:rsidRPr="007740E4">
        <w:t xml:space="preserve">† The resubmission claimed that the clinical data showed 3 </w:t>
      </w:r>
      <w:r w:rsidR="00B64F80" w:rsidRPr="007740E4">
        <w:rPr>
          <w:i/>
        </w:rPr>
        <w:t>SMN2</w:t>
      </w:r>
      <w:r w:rsidRPr="007740E4">
        <w:t xml:space="preserve"> copy patients having superior outcomes. The resubmission noted that it understood the bias in the design of the data may not allow a claim of superiority and as such were willing to accept a non-inferior pricing strategy. </w:t>
      </w:r>
    </w:p>
    <w:p w14:paraId="61CA751A" w14:textId="6CFB9229" w:rsidR="0014093D" w:rsidRPr="00F33AA7" w:rsidRDefault="0014093D" w:rsidP="0014093D">
      <w:pPr>
        <w:pStyle w:val="3-BodyText"/>
        <w:rPr>
          <w:bCs/>
        </w:rPr>
      </w:pPr>
      <w:r w:rsidRPr="007740E4">
        <w:t xml:space="preserve">Healthcare resource utilisation for the 1-2 copies of </w:t>
      </w:r>
      <w:r w:rsidR="00B64F80" w:rsidRPr="007740E4">
        <w:rPr>
          <w:i/>
        </w:rPr>
        <w:t>SMN2</w:t>
      </w:r>
      <w:r w:rsidRPr="007740E4">
        <w:t xml:space="preserve"> and the 3 copies of </w:t>
      </w:r>
      <w:r w:rsidR="00B64F80" w:rsidRPr="007740E4">
        <w:rPr>
          <w:i/>
        </w:rPr>
        <w:t>SMN2</w:t>
      </w:r>
      <w:r w:rsidRPr="007740E4">
        <w:t xml:space="preserve"> populations was estimated using motor milestone outcomes from the SPR1NT study (sitting without support and walking without support) as a proxy for healthcare intervention requirements</w:t>
      </w:r>
      <w:r w:rsidRPr="00F33AA7">
        <w:t xml:space="preserve">. All treated patients were able to sit without support and walk without support at two-year follow-up. Although more patients with 3 copies of </w:t>
      </w:r>
      <w:r w:rsidR="00B64F80" w:rsidRPr="00F33AA7">
        <w:rPr>
          <w:i/>
        </w:rPr>
        <w:t>SMN2</w:t>
      </w:r>
      <w:r w:rsidRPr="00F33AA7">
        <w:t xml:space="preserve"> achieved the ability to walk within the WHO specified threshold for normal development (and as such healthcare costs were likely to be lower), the resubmission assumed equal resource utilisation for all children who achieve the ability to walk independently and thus the price of ONA for the proposed and currently subsidised populations was equal. </w:t>
      </w:r>
      <w:r w:rsidRPr="00F33AA7">
        <w:fldChar w:fldCharType="begin" w:fldLock="1"/>
      </w:r>
      <w:r w:rsidRPr="00F33AA7">
        <w:instrText xml:space="preserve"> REF _Ref134282396 \h </w:instrText>
      </w:r>
      <w:r w:rsidRPr="00F33AA7">
        <w:fldChar w:fldCharType="separate"/>
      </w:r>
      <w:r w:rsidR="007866DB" w:rsidRPr="007740E4">
        <w:t xml:space="preserve">Table </w:t>
      </w:r>
      <w:r w:rsidR="007866DB">
        <w:rPr>
          <w:noProof/>
        </w:rPr>
        <w:t>11</w:t>
      </w:r>
      <w:r w:rsidRPr="00F33AA7">
        <w:fldChar w:fldCharType="end"/>
      </w:r>
      <w:r w:rsidRPr="00F33AA7">
        <w:t xml:space="preserve"> presents the results of the cost minimisation approach. </w:t>
      </w:r>
    </w:p>
    <w:p w14:paraId="2EFB5065" w14:textId="6B368626" w:rsidR="0014093D" w:rsidRPr="007740E4" w:rsidRDefault="0014093D" w:rsidP="003F238D">
      <w:pPr>
        <w:pStyle w:val="Caption"/>
        <w:rPr>
          <w:rStyle w:val="CommentReference"/>
          <w:b/>
          <w:szCs w:val="24"/>
        </w:rPr>
      </w:pPr>
      <w:bookmarkStart w:id="49" w:name="_Ref134282396"/>
      <w:r w:rsidRPr="007740E4">
        <w:t xml:space="preserve">Table </w:t>
      </w:r>
      <w:fldSimple w:instr=" SEQ Table \* ARABIC " w:fldLock="1">
        <w:r w:rsidR="0084520A">
          <w:rPr>
            <w:noProof/>
          </w:rPr>
          <w:t>11</w:t>
        </w:r>
      </w:fldSimple>
      <w:bookmarkEnd w:id="49"/>
      <w:r w:rsidRPr="007740E4">
        <w:rPr>
          <w:rStyle w:val="CommentReference"/>
          <w:b/>
          <w:szCs w:val="24"/>
        </w:rPr>
        <w:t>: 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the cost-minimisation approach"/>
      </w:tblPr>
      <w:tblGrid>
        <w:gridCol w:w="2547"/>
        <w:gridCol w:w="1617"/>
        <w:gridCol w:w="1618"/>
        <w:gridCol w:w="1617"/>
        <w:gridCol w:w="1618"/>
      </w:tblGrid>
      <w:tr w:rsidR="0014093D" w:rsidRPr="00820898" w14:paraId="290609A2" w14:textId="77777777" w:rsidTr="00EF68D9">
        <w:tc>
          <w:tcPr>
            <w:tcW w:w="2547" w:type="dxa"/>
          </w:tcPr>
          <w:p w14:paraId="7A480662" w14:textId="77777777" w:rsidR="0014093D" w:rsidRPr="00820898" w:rsidRDefault="0014093D" w:rsidP="003F238D">
            <w:pPr>
              <w:pStyle w:val="In-tableHeading"/>
              <w:keepLines/>
              <w:rPr>
                <w:lang w:val="en-AU"/>
              </w:rPr>
            </w:pPr>
          </w:p>
        </w:tc>
        <w:tc>
          <w:tcPr>
            <w:tcW w:w="3235" w:type="dxa"/>
            <w:gridSpan w:val="2"/>
            <w:vAlign w:val="center"/>
          </w:tcPr>
          <w:p w14:paraId="3829D9AF" w14:textId="77777777" w:rsidR="0014093D" w:rsidRPr="00820898" w:rsidRDefault="0014093D" w:rsidP="003F238D">
            <w:pPr>
              <w:pStyle w:val="In-tableHeading"/>
              <w:keepLines/>
              <w:jc w:val="center"/>
              <w:rPr>
                <w:lang w:val="en-AU"/>
              </w:rPr>
            </w:pPr>
            <w:r w:rsidRPr="00820898">
              <w:rPr>
                <w:lang w:val="en-AU"/>
              </w:rPr>
              <w:t>ONA published price (AEMP)</w:t>
            </w:r>
          </w:p>
        </w:tc>
        <w:tc>
          <w:tcPr>
            <w:tcW w:w="3235" w:type="dxa"/>
            <w:gridSpan w:val="2"/>
            <w:vAlign w:val="center"/>
          </w:tcPr>
          <w:p w14:paraId="3890E09F" w14:textId="77777777" w:rsidR="0014093D" w:rsidRPr="00820898" w:rsidRDefault="0014093D" w:rsidP="003F238D">
            <w:pPr>
              <w:pStyle w:val="In-tableHeading"/>
              <w:keepLines/>
              <w:jc w:val="center"/>
              <w:rPr>
                <w:lang w:val="en-AU"/>
              </w:rPr>
            </w:pPr>
            <w:r w:rsidRPr="00820898">
              <w:rPr>
                <w:lang w:val="en-AU"/>
              </w:rPr>
              <w:t>ONA effective price</w:t>
            </w:r>
          </w:p>
        </w:tc>
      </w:tr>
      <w:tr w:rsidR="0014093D" w:rsidRPr="00820898" w14:paraId="662DB419" w14:textId="77777777" w:rsidTr="00EF68D9">
        <w:tc>
          <w:tcPr>
            <w:tcW w:w="2547" w:type="dxa"/>
          </w:tcPr>
          <w:p w14:paraId="67AC4578" w14:textId="77777777" w:rsidR="0014093D" w:rsidRPr="00820898" w:rsidRDefault="0014093D" w:rsidP="003F238D">
            <w:pPr>
              <w:pStyle w:val="In-tableHeading"/>
              <w:keepLines/>
              <w:rPr>
                <w:lang w:val="en-AU"/>
              </w:rPr>
            </w:pPr>
            <w:r w:rsidRPr="00820898">
              <w:rPr>
                <w:lang w:val="en-AU"/>
              </w:rPr>
              <w:t>Component</w:t>
            </w:r>
          </w:p>
        </w:tc>
        <w:tc>
          <w:tcPr>
            <w:tcW w:w="1617" w:type="dxa"/>
            <w:vAlign w:val="center"/>
          </w:tcPr>
          <w:p w14:paraId="56F20095" w14:textId="1ADF2C47" w:rsidR="0014093D" w:rsidRPr="00820898" w:rsidRDefault="0014093D" w:rsidP="003F238D">
            <w:pPr>
              <w:pStyle w:val="In-tableHeading"/>
              <w:keepLines/>
              <w:jc w:val="center"/>
              <w:rPr>
                <w:lang w:val="en-AU"/>
              </w:rPr>
            </w:pPr>
            <w:r w:rsidRPr="00820898">
              <w:rPr>
                <w:lang w:val="en-AU"/>
              </w:rPr>
              <w:t>3</w:t>
            </w:r>
            <w:r w:rsidR="0003678C">
              <w:rPr>
                <w:lang w:val="en-AU"/>
              </w:rPr>
              <w:t xml:space="preserve"> </w:t>
            </w:r>
            <w:r w:rsidR="00B64F80" w:rsidRPr="00820898">
              <w:rPr>
                <w:lang w:val="en-AU"/>
              </w:rPr>
              <w:t>SMN2</w:t>
            </w:r>
            <w:r w:rsidRPr="00820898">
              <w:rPr>
                <w:lang w:val="en-AU"/>
              </w:rPr>
              <w:t xml:space="preserve"> copies</w:t>
            </w:r>
          </w:p>
        </w:tc>
        <w:tc>
          <w:tcPr>
            <w:tcW w:w="1618" w:type="dxa"/>
            <w:vAlign w:val="center"/>
          </w:tcPr>
          <w:p w14:paraId="1D0D34DD" w14:textId="7EB252E4" w:rsidR="0014093D" w:rsidRPr="00820898" w:rsidRDefault="0014093D" w:rsidP="003F238D">
            <w:pPr>
              <w:pStyle w:val="In-tableHeading"/>
              <w:keepLines/>
              <w:jc w:val="center"/>
              <w:rPr>
                <w:lang w:val="en-AU"/>
              </w:rPr>
            </w:pPr>
            <w:r w:rsidRPr="00820898">
              <w:rPr>
                <w:lang w:val="en-AU"/>
              </w:rPr>
              <w:t>1-2</w:t>
            </w:r>
            <w:r w:rsidR="0003678C">
              <w:rPr>
                <w:lang w:val="en-AU"/>
              </w:rPr>
              <w:t xml:space="preserve"> </w:t>
            </w:r>
            <w:r w:rsidR="00B64F80" w:rsidRPr="00820898">
              <w:rPr>
                <w:lang w:val="en-AU"/>
              </w:rPr>
              <w:t>SMN2</w:t>
            </w:r>
            <w:r w:rsidRPr="00820898">
              <w:rPr>
                <w:lang w:val="en-AU"/>
              </w:rPr>
              <w:t xml:space="preserve"> copies</w:t>
            </w:r>
          </w:p>
        </w:tc>
        <w:tc>
          <w:tcPr>
            <w:tcW w:w="1617" w:type="dxa"/>
            <w:vAlign w:val="center"/>
          </w:tcPr>
          <w:p w14:paraId="1EB1C8DF" w14:textId="1A22F063" w:rsidR="0014093D" w:rsidRPr="00820898" w:rsidRDefault="0014093D" w:rsidP="003F238D">
            <w:pPr>
              <w:pStyle w:val="In-tableHeading"/>
              <w:keepLines/>
              <w:jc w:val="center"/>
              <w:rPr>
                <w:lang w:val="en-AU"/>
              </w:rPr>
            </w:pPr>
            <w:r w:rsidRPr="00820898">
              <w:rPr>
                <w:lang w:val="en-AU"/>
              </w:rPr>
              <w:t>3</w:t>
            </w:r>
            <w:r w:rsidR="0003678C">
              <w:rPr>
                <w:lang w:val="en-AU"/>
              </w:rPr>
              <w:t xml:space="preserve"> </w:t>
            </w:r>
            <w:r w:rsidR="00B64F80" w:rsidRPr="00820898">
              <w:rPr>
                <w:lang w:val="en-AU"/>
              </w:rPr>
              <w:t>SMN2</w:t>
            </w:r>
            <w:r w:rsidRPr="00820898">
              <w:rPr>
                <w:lang w:val="en-AU"/>
              </w:rPr>
              <w:t xml:space="preserve"> copies</w:t>
            </w:r>
          </w:p>
        </w:tc>
        <w:tc>
          <w:tcPr>
            <w:tcW w:w="1618" w:type="dxa"/>
            <w:vAlign w:val="center"/>
          </w:tcPr>
          <w:p w14:paraId="2573CA89" w14:textId="496CCDAC" w:rsidR="0014093D" w:rsidRPr="00820898" w:rsidRDefault="0014093D" w:rsidP="003F238D">
            <w:pPr>
              <w:pStyle w:val="In-tableHeading"/>
              <w:keepLines/>
              <w:jc w:val="center"/>
              <w:rPr>
                <w:lang w:val="en-AU"/>
              </w:rPr>
            </w:pPr>
            <w:r w:rsidRPr="00820898">
              <w:rPr>
                <w:lang w:val="en-AU"/>
              </w:rPr>
              <w:t>1-2</w:t>
            </w:r>
            <w:r w:rsidR="0003678C">
              <w:rPr>
                <w:lang w:val="en-AU"/>
              </w:rPr>
              <w:t xml:space="preserve"> </w:t>
            </w:r>
            <w:r w:rsidR="00B64F80" w:rsidRPr="00820898">
              <w:rPr>
                <w:lang w:val="en-AU"/>
              </w:rPr>
              <w:t>SMN2</w:t>
            </w:r>
            <w:r w:rsidRPr="00820898">
              <w:rPr>
                <w:lang w:val="en-AU"/>
              </w:rPr>
              <w:t xml:space="preserve"> copies</w:t>
            </w:r>
          </w:p>
        </w:tc>
      </w:tr>
      <w:tr w:rsidR="0014093D" w:rsidRPr="00820898" w14:paraId="7DF25EE2" w14:textId="77777777" w:rsidTr="00EF68D9">
        <w:tc>
          <w:tcPr>
            <w:tcW w:w="2547" w:type="dxa"/>
          </w:tcPr>
          <w:p w14:paraId="0263041E" w14:textId="77777777" w:rsidR="0014093D" w:rsidRPr="00820898" w:rsidRDefault="0014093D" w:rsidP="003F238D">
            <w:pPr>
              <w:pStyle w:val="TableText0"/>
              <w:keepLines/>
            </w:pPr>
            <w:r w:rsidRPr="00820898">
              <w:t>Cost per dose</w:t>
            </w:r>
          </w:p>
        </w:tc>
        <w:tc>
          <w:tcPr>
            <w:tcW w:w="1617" w:type="dxa"/>
            <w:vAlign w:val="center"/>
          </w:tcPr>
          <w:p w14:paraId="2BA1AEFE" w14:textId="77777777" w:rsidR="0014093D" w:rsidRPr="00820898" w:rsidRDefault="0014093D" w:rsidP="003F238D">
            <w:pPr>
              <w:pStyle w:val="TableText0"/>
              <w:keepLines/>
              <w:jc w:val="center"/>
            </w:pPr>
            <w:r w:rsidRPr="00820898">
              <w:t>$2,527,773.87</w:t>
            </w:r>
          </w:p>
        </w:tc>
        <w:tc>
          <w:tcPr>
            <w:tcW w:w="1618" w:type="dxa"/>
            <w:vAlign w:val="center"/>
          </w:tcPr>
          <w:p w14:paraId="74C313AC" w14:textId="77777777" w:rsidR="0014093D" w:rsidRPr="00820898" w:rsidRDefault="0014093D" w:rsidP="003F238D">
            <w:pPr>
              <w:pStyle w:val="TableText0"/>
              <w:keepLines/>
              <w:jc w:val="center"/>
            </w:pPr>
            <w:r w:rsidRPr="00820898">
              <w:t>$2,527,773.87</w:t>
            </w:r>
          </w:p>
        </w:tc>
        <w:tc>
          <w:tcPr>
            <w:tcW w:w="1617" w:type="dxa"/>
          </w:tcPr>
          <w:p w14:paraId="7AD6B6AD" w14:textId="79097844" w:rsidR="0014093D" w:rsidRPr="00820898" w:rsidRDefault="0014093D" w:rsidP="003F238D">
            <w:pPr>
              <w:pStyle w:val="TableText0"/>
              <w:keepLines/>
              <w:jc w:val="center"/>
            </w:pPr>
            <w:r w:rsidRPr="00820898">
              <w:t>$</w:t>
            </w:r>
            <w:r w:rsidR="004E27E7" w:rsidRPr="004E27E7">
              <w:rPr>
                <w:color w:val="000000"/>
                <w:shd w:val="solid" w:color="000000" w:fill="000000"/>
                <w14:textFill>
                  <w14:solidFill>
                    <w14:srgbClr w14:val="000000">
                      <w14:alpha w14:val="100000"/>
                    </w14:srgbClr>
                  </w14:solidFill>
                </w14:textFill>
              </w:rPr>
              <w:t>|</w:t>
            </w:r>
          </w:p>
        </w:tc>
        <w:tc>
          <w:tcPr>
            <w:tcW w:w="1618" w:type="dxa"/>
          </w:tcPr>
          <w:p w14:paraId="1A2AFB2B" w14:textId="5F267727" w:rsidR="0014093D" w:rsidRPr="00820898" w:rsidRDefault="0014093D" w:rsidP="003F238D">
            <w:pPr>
              <w:pStyle w:val="TableText0"/>
              <w:keepLines/>
              <w:jc w:val="center"/>
            </w:pPr>
            <w:r w:rsidRPr="00820898">
              <w:t>$</w:t>
            </w:r>
            <w:r w:rsidR="004E27E7" w:rsidRPr="004E27E7">
              <w:rPr>
                <w:color w:val="000000"/>
                <w:shd w:val="solid" w:color="000000" w:fill="000000"/>
                <w14:textFill>
                  <w14:solidFill>
                    <w14:srgbClr w14:val="000000">
                      <w14:alpha w14:val="100000"/>
                    </w14:srgbClr>
                  </w14:solidFill>
                </w14:textFill>
              </w:rPr>
              <w:t>|</w:t>
            </w:r>
          </w:p>
        </w:tc>
      </w:tr>
      <w:tr w:rsidR="0014093D" w:rsidRPr="00820898" w14:paraId="42BF339D" w14:textId="77777777" w:rsidTr="00EF68D9">
        <w:tc>
          <w:tcPr>
            <w:tcW w:w="2547" w:type="dxa"/>
          </w:tcPr>
          <w:p w14:paraId="562F0221" w14:textId="77777777" w:rsidR="0014093D" w:rsidRPr="00820898" w:rsidRDefault="0014093D" w:rsidP="003F238D">
            <w:pPr>
              <w:pStyle w:val="TableText0"/>
              <w:keepLines/>
            </w:pPr>
            <w:r w:rsidRPr="00820898">
              <w:t>Total number of doses (lifetime)</w:t>
            </w:r>
          </w:p>
        </w:tc>
        <w:tc>
          <w:tcPr>
            <w:tcW w:w="1617" w:type="dxa"/>
            <w:vAlign w:val="center"/>
          </w:tcPr>
          <w:p w14:paraId="647199E8" w14:textId="77777777" w:rsidR="0014093D" w:rsidRPr="00820898" w:rsidRDefault="0014093D" w:rsidP="003F238D">
            <w:pPr>
              <w:pStyle w:val="TableText0"/>
              <w:keepLines/>
              <w:jc w:val="center"/>
            </w:pPr>
            <w:r w:rsidRPr="00820898">
              <w:t>1</w:t>
            </w:r>
          </w:p>
        </w:tc>
        <w:tc>
          <w:tcPr>
            <w:tcW w:w="1618" w:type="dxa"/>
            <w:vAlign w:val="center"/>
          </w:tcPr>
          <w:p w14:paraId="752A4506" w14:textId="77777777" w:rsidR="0014093D" w:rsidRPr="00820898" w:rsidRDefault="0014093D" w:rsidP="003F238D">
            <w:pPr>
              <w:pStyle w:val="TableText0"/>
              <w:keepLines/>
              <w:jc w:val="center"/>
            </w:pPr>
            <w:r w:rsidRPr="00820898">
              <w:t>1</w:t>
            </w:r>
          </w:p>
        </w:tc>
        <w:tc>
          <w:tcPr>
            <w:tcW w:w="1617" w:type="dxa"/>
            <w:vAlign w:val="center"/>
          </w:tcPr>
          <w:p w14:paraId="71A6FF06" w14:textId="77777777" w:rsidR="0014093D" w:rsidRPr="00820898" w:rsidRDefault="0014093D" w:rsidP="003F238D">
            <w:pPr>
              <w:pStyle w:val="TableText0"/>
              <w:keepLines/>
              <w:jc w:val="center"/>
            </w:pPr>
            <w:r w:rsidRPr="00820898">
              <w:t>1</w:t>
            </w:r>
          </w:p>
        </w:tc>
        <w:tc>
          <w:tcPr>
            <w:tcW w:w="1618" w:type="dxa"/>
            <w:vAlign w:val="center"/>
          </w:tcPr>
          <w:p w14:paraId="2E926F29" w14:textId="77777777" w:rsidR="0014093D" w:rsidRPr="00820898" w:rsidRDefault="0014093D" w:rsidP="003F238D">
            <w:pPr>
              <w:pStyle w:val="TableText0"/>
              <w:keepLines/>
              <w:jc w:val="center"/>
            </w:pPr>
            <w:r w:rsidRPr="00820898">
              <w:t>1</w:t>
            </w:r>
          </w:p>
        </w:tc>
      </w:tr>
      <w:tr w:rsidR="0014093D" w:rsidRPr="00820898" w14:paraId="7F8DD94A" w14:textId="77777777" w:rsidTr="00EF68D9">
        <w:tc>
          <w:tcPr>
            <w:tcW w:w="2547" w:type="dxa"/>
          </w:tcPr>
          <w:p w14:paraId="3C2BDEF5" w14:textId="77777777" w:rsidR="0014093D" w:rsidRPr="00820898" w:rsidRDefault="0014093D" w:rsidP="003F238D">
            <w:pPr>
              <w:pStyle w:val="TableText0"/>
              <w:keepLines/>
            </w:pPr>
            <w:r w:rsidRPr="00820898">
              <w:t>Total healthcare cost (per year)</w:t>
            </w:r>
          </w:p>
        </w:tc>
        <w:tc>
          <w:tcPr>
            <w:tcW w:w="1617" w:type="dxa"/>
            <w:vAlign w:val="center"/>
          </w:tcPr>
          <w:p w14:paraId="7A153D6F" w14:textId="77777777" w:rsidR="0014093D" w:rsidRPr="00820898" w:rsidRDefault="0014093D" w:rsidP="003F238D">
            <w:pPr>
              <w:pStyle w:val="TableText0"/>
              <w:keepLines/>
              <w:jc w:val="center"/>
            </w:pPr>
            <w:r w:rsidRPr="00820898">
              <w:t xml:space="preserve">$630.60 </w:t>
            </w:r>
            <w:r w:rsidRPr="00820898">
              <w:rPr>
                <w:vertAlign w:val="superscript"/>
              </w:rPr>
              <w:t>a</w:t>
            </w:r>
          </w:p>
        </w:tc>
        <w:tc>
          <w:tcPr>
            <w:tcW w:w="1618" w:type="dxa"/>
            <w:vAlign w:val="center"/>
          </w:tcPr>
          <w:p w14:paraId="1BE2C2C3" w14:textId="77777777" w:rsidR="0014093D" w:rsidRPr="00820898" w:rsidRDefault="0014093D" w:rsidP="003F238D">
            <w:pPr>
              <w:pStyle w:val="TableText0"/>
              <w:keepLines/>
              <w:jc w:val="center"/>
            </w:pPr>
            <w:r w:rsidRPr="00820898">
              <w:t xml:space="preserve">$630.60 </w:t>
            </w:r>
            <w:r w:rsidRPr="00820898">
              <w:rPr>
                <w:vertAlign w:val="superscript"/>
              </w:rPr>
              <w:t>a</w:t>
            </w:r>
          </w:p>
        </w:tc>
        <w:tc>
          <w:tcPr>
            <w:tcW w:w="1617" w:type="dxa"/>
            <w:vAlign w:val="center"/>
          </w:tcPr>
          <w:p w14:paraId="65567AFE" w14:textId="77777777" w:rsidR="0014093D" w:rsidRPr="00820898" w:rsidRDefault="0014093D" w:rsidP="003F238D">
            <w:pPr>
              <w:pStyle w:val="TableText0"/>
              <w:keepLines/>
              <w:jc w:val="center"/>
            </w:pPr>
            <w:r w:rsidRPr="00820898">
              <w:t xml:space="preserve">$630.60 </w:t>
            </w:r>
            <w:r w:rsidRPr="00820898">
              <w:rPr>
                <w:vertAlign w:val="superscript"/>
              </w:rPr>
              <w:t>a</w:t>
            </w:r>
          </w:p>
        </w:tc>
        <w:tc>
          <w:tcPr>
            <w:tcW w:w="1618" w:type="dxa"/>
            <w:vAlign w:val="center"/>
          </w:tcPr>
          <w:p w14:paraId="41B95F67" w14:textId="77777777" w:rsidR="0014093D" w:rsidRPr="00820898" w:rsidRDefault="0014093D" w:rsidP="003F238D">
            <w:pPr>
              <w:pStyle w:val="TableText0"/>
              <w:keepLines/>
              <w:jc w:val="center"/>
            </w:pPr>
            <w:r w:rsidRPr="00820898">
              <w:t xml:space="preserve">$630.60 </w:t>
            </w:r>
            <w:r w:rsidRPr="00820898">
              <w:rPr>
                <w:vertAlign w:val="superscript"/>
              </w:rPr>
              <w:t>a</w:t>
            </w:r>
          </w:p>
        </w:tc>
      </w:tr>
      <w:tr w:rsidR="0014093D" w:rsidRPr="00820898" w14:paraId="385285C5" w14:textId="77777777" w:rsidTr="00EF68D9">
        <w:tc>
          <w:tcPr>
            <w:tcW w:w="2547" w:type="dxa"/>
          </w:tcPr>
          <w:p w14:paraId="7FD5FB24" w14:textId="77777777" w:rsidR="0014093D" w:rsidRPr="00820898" w:rsidRDefault="0014093D" w:rsidP="003F238D">
            <w:pPr>
              <w:pStyle w:val="TableText0"/>
              <w:keepLines/>
            </w:pPr>
            <w:r w:rsidRPr="00820898">
              <w:t>Total cost over 2 years</w:t>
            </w:r>
          </w:p>
        </w:tc>
        <w:tc>
          <w:tcPr>
            <w:tcW w:w="1617" w:type="dxa"/>
            <w:vAlign w:val="center"/>
          </w:tcPr>
          <w:p w14:paraId="4F109FAB" w14:textId="77777777" w:rsidR="0014093D" w:rsidRPr="00820898" w:rsidRDefault="0014093D" w:rsidP="003F238D">
            <w:pPr>
              <w:pStyle w:val="TableText0"/>
              <w:keepLines/>
              <w:jc w:val="center"/>
            </w:pPr>
            <w:r w:rsidRPr="00820898">
              <w:t>$2,529,035.07</w:t>
            </w:r>
          </w:p>
        </w:tc>
        <w:tc>
          <w:tcPr>
            <w:tcW w:w="1618" w:type="dxa"/>
            <w:vAlign w:val="center"/>
          </w:tcPr>
          <w:p w14:paraId="4BCA4C3F" w14:textId="77777777" w:rsidR="0014093D" w:rsidRPr="00820898" w:rsidRDefault="0014093D" w:rsidP="003F238D">
            <w:pPr>
              <w:pStyle w:val="TableText0"/>
              <w:keepLines/>
              <w:jc w:val="center"/>
            </w:pPr>
            <w:r w:rsidRPr="00820898">
              <w:t>$2,529,035.07</w:t>
            </w:r>
          </w:p>
        </w:tc>
        <w:tc>
          <w:tcPr>
            <w:tcW w:w="1617" w:type="dxa"/>
          </w:tcPr>
          <w:p w14:paraId="2ADBE0A8" w14:textId="2A3FD7C2" w:rsidR="0014093D" w:rsidRPr="00820898" w:rsidRDefault="0014093D" w:rsidP="003F238D">
            <w:pPr>
              <w:pStyle w:val="TableText0"/>
              <w:keepLines/>
              <w:jc w:val="center"/>
            </w:pPr>
            <w:r w:rsidRPr="00820898">
              <w:t>$</w:t>
            </w:r>
            <w:r w:rsidR="004E27E7" w:rsidRPr="004E27E7">
              <w:rPr>
                <w:color w:val="000000"/>
                <w:shd w:val="solid" w:color="000000" w:fill="000000"/>
                <w14:textFill>
                  <w14:solidFill>
                    <w14:srgbClr w14:val="000000">
                      <w14:alpha w14:val="100000"/>
                    </w14:srgbClr>
                  </w14:solidFill>
                </w14:textFill>
              </w:rPr>
              <w:t>|</w:t>
            </w:r>
          </w:p>
        </w:tc>
        <w:tc>
          <w:tcPr>
            <w:tcW w:w="1618" w:type="dxa"/>
          </w:tcPr>
          <w:p w14:paraId="504669B8" w14:textId="3CD9FEC5" w:rsidR="0014093D" w:rsidRPr="00820898" w:rsidRDefault="0014093D" w:rsidP="003F238D">
            <w:pPr>
              <w:pStyle w:val="TableText0"/>
              <w:keepLines/>
              <w:jc w:val="center"/>
            </w:pPr>
            <w:r w:rsidRPr="00820898">
              <w:t>$</w:t>
            </w:r>
            <w:r w:rsidR="004E27E7" w:rsidRPr="004E27E7">
              <w:rPr>
                <w:color w:val="000000"/>
                <w:shd w:val="solid" w:color="000000" w:fill="000000"/>
                <w14:textFill>
                  <w14:solidFill>
                    <w14:srgbClr w14:val="000000">
                      <w14:alpha w14:val="100000"/>
                    </w14:srgbClr>
                  </w14:solidFill>
                </w14:textFill>
              </w:rPr>
              <w:t>|</w:t>
            </w:r>
          </w:p>
        </w:tc>
      </w:tr>
    </w:tbl>
    <w:p w14:paraId="50E2ACCF" w14:textId="77777777" w:rsidR="0014093D" w:rsidRPr="007740E4" w:rsidRDefault="0014093D" w:rsidP="003F238D">
      <w:pPr>
        <w:pStyle w:val="FooterTableFigure"/>
        <w:keepNext/>
        <w:keepLines/>
      </w:pPr>
      <w:r w:rsidRPr="007740E4">
        <w:t>Source: Table3.6, p135 of the resubmission.</w:t>
      </w:r>
    </w:p>
    <w:p w14:paraId="2C71FBC8" w14:textId="77777777" w:rsidR="0014093D" w:rsidRPr="007740E4" w:rsidRDefault="0014093D" w:rsidP="003F238D">
      <w:pPr>
        <w:pStyle w:val="FooterTableFigure"/>
        <w:keepNext/>
        <w:keepLines/>
      </w:pPr>
      <w:r w:rsidRPr="007740E4">
        <w:t>AEMP=approved ex-manufacturer price; ONA=onasemnogene abeparvovec; SMN= survival of motor neuron</w:t>
      </w:r>
    </w:p>
    <w:p w14:paraId="2BD4E3E6" w14:textId="32B64953" w:rsidR="0014093D" w:rsidRPr="007740E4" w:rsidRDefault="0014093D" w:rsidP="0014093D">
      <w:pPr>
        <w:pStyle w:val="FooterTableFigure"/>
      </w:pPr>
      <w:r w:rsidRPr="007740E4">
        <w:t>a Calculated by the resubmission</w:t>
      </w:r>
    </w:p>
    <w:p w14:paraId="2137C9E5" w14:textId="13B9E763" w:rsidR="0014093D" w:rsidRPr="009E501E" w:rsidRDefault="0014093D" w:rsidP="00CD76A4">
      <w:pPr>
        <w:pStyle w:val="3-BodyText"/>
        <w:numPr>
          <w:ilvl w:val="0"/>
          <w:numId w:val="0"/>
        </w:numPr>
        <w:ind w:left="720"/>
        <w:rPr>
          <w:b/>
          <w:bCs/>
        </w:rPr>
      </w:pPr>
    </w:p>
    <w:p w14:paraId="744919C6" w14:textId="77777777" w:rsidR="0014093D" w:rsidRPr="009E501E" w:rsidRDefault="0014093D" w:rsidP="0014093D">
      <w:pPr>
        <w:pStyle w:val="4-SubsectionHeading"/>
      </w:pPr>
      <w:bookmarkStart w:id="50" w:name="_Toc22897646"/>
      <w:bookmarkStart w:id="51" w:name="_Toc135210592"/>
      <w:r w:rsidRPr="007740E4">
        <w:t>Drug cost/patient/</w:t>
      </w:r>
      <w:bookmarkEnd w:id="50"/>
      <w:r w:rsidRPr="007740E4">
        <w:t>course</w:t>
      </w:r>
      <w:bookmarkEnd w:id="51"/>
    </w:p>
    <w:p w14:paraId="336EBAFD" w14:textId="2F31E693" w:rsidR="0014093D" w:rsidRPr="009E501E" w:rsidRDefault="0014093D" w:rsidP="0014093D">
      <w:pPr>
        <w:pStyle w:val="3-BodyText"/>
        <w:rPr>
          <w:b/>
        </w:rPr>
      </w:pPr>
      <w:bookmarkStart w:id="52" w:name="_Ref104805102"/>
      <w:r w:rsidRPr="009E501E">
        <w:t>The cost of ONA</w:t>
      </w:r>
      <w:r w:rsidR="007A1403">
        <w:t xml:space="preserve"> based on the effective price</w:t>
      </w:r>
      <w:r w:rsidR="00FD5BDD">
        <w:t xml:space="preserve"> (AEMP</w:t>
      </w:r>
      <w:r w:rsidR="00D21A76">
        <w:t>/DPMQ</w:t>
      </w:r>
      <w:r w:rsidR="00FD5BDD">
        <w:t>)</w:t>
      </w:r>
      <w:r w:rsidRPr="009E501E">
        <w:t xml:space="preserve"> is $</w:t>
      </w:r>
      <w:r w:rsidR="004E27E7" w:rsidRPr="003F238D">
        <w:rPr>
          <w:bCs/>
          <w:color w:val="000000"/>
          <w:w w:val="60"/>
          <w:shd w:val="solid" w:color="000000" w:fill="000000"/>
          <w:fitText w:val="467" w:id="-1167951614"/>
          <w14:textFill>
            <w14:solidFill>
              <w14:srgbClr w14:val="000000">
                <w14:alpha w14:val="100000"/>
              </w14:srgbClr>
            </w14:solidFill>
          </w14:textFill>
        </w:rPr>
        <w:t>|||  ||</w:t>
      </w:r>
      <w:r w:rsidR="004E27E7" w:rsidRPr="003F238D">
        <w:rPr>
          <w:bCs/>
          <w:color w:val="000000"/>
          <w:spacing w:val="3"/>
          <w:w w:val="60"/>
          <w:shd w:val="solid" w:color="000000" w:fill="000000"/>
          <w:fitText w:val="467" w:id="-1167951614"/>
          <w14:textFill>
            <w14:solidFill>
              <w14:srgbClr w14:val="000000">
                <w14:alpha w14:val="100000"/>
              </w14:srgbClr>
            </w14:solidFill>
          </w14:textFill>
        </w:rPr>
        <w:t>|</w:t>
      </w:r>
      <w:r w:rsidRPr="009E501E">
        <w:rPr>
          <w:bCs/>
        </w:rPr>
        <w:t xml:space="preserve"> per patient (administered only once in a lifetime). </w:t>
      </w:r>
    </w:p>
    <w:p w14:paraId="3A0851B4" w14:textId="130D630E" w:rsidR="0014093D" w:rsidRPr="007740E4" w:rsidRDefault="0014093D" w:rsidP="0014093D">
      <w:pPr>
        <w:pStyle w:val="Caption"/>
        <w:rPr>
          <w:rStyle w:val="CommentReference"/>
          <w:b/>
          <w:szCs w:val="24"/>
        </w:rPr>
      </w:pPr>
      <w:bookmarkStart w:id="53" w:name="_Ref134461296"/>
      <w:bookmarkEnd w:id="52"/>
      <w:r w:rsidRPr="007740E4">
        <w:t xml:space="preserve">Table </w:t>
      </w:r>
      <w:fldSimple w:instr=" SEQ Table \* ARABIC " w:fldLock="1">
        <w:r w:rsidR="0084520A">
          <w:rPr>
            <w:noProof/>
          </w:rPr>
          <w:t>12</w:t>
        </w:r>
      </w:fldSimple>
      <w:bookmarkEnd w:id="53"/>
      <w:r w:rsidRPr="007740E4">
        <w:t>:</w:t>
      </w:r>
      <w:r w:rsidRPr="007740E4">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Drug cost per patient for proposed and comparator drugs"/>
      </w:tblPr>
      <w:tblGrid>
        <w:gridCol w:w="1369"/>
        <w:gridCol w:w="1147"/>
        <w:gridCol w:w="1086"/>
        <w:gridCol w:w="1026"/>
        <w:gridCol w:w="2225"/>
        <w:gridCol w:w="2164"/>
      </w:tblGrid>
      <w:tr w:rsidR="0018127A" w:rsidRPr="00820898" w14:paraId="7C4FB4E2" w14:textId="77777777" w:rsidTr="00B00909">
        <w:trPr>
          <w:cantSplit/>
          <w:tblHeader/>
          <w:jc w:val="center"/>
        </w:trPr>
        <w:tc>
          <w:tcPr>
            <w:tcW w:w="759" w:type="pct"/>
            <w:shd w:val="clear" w:color="auto" w:fill="auto"/>
            <w:vAlign w:val="center"/>
          </w:tcPr>
          <w:p w14:paraId="6C333F67" w14:textId="77777777" w:rsidR="0018127A" w:rsidRPr="00820898" w:rsidRDefault="0018127A" w:rsidP="00EF68D9">
            <w:pPr>
              <w:pStyle w:val="In-tableHeading"/>
              <w:jc w:val="center"/>
              <w:rPr>
                <w:lang w:val="en-AU"/>
              </w:rPr>
            </w:pPr>
          </w:p>
        </w:tc>
        <w:tc>
          <w:tcPr>
            <w:tcW w:w="636" w:type="pct"/>
            <w:shd w:val="clear" w:color="auto" w:fill="auto"/>
            <w:vAlign w:val="center"/>
          </w:tcPr>
          <w:p w14:paraId="05144A88" w14:textId="30880C3F" w:rsidR="0018127A" w:rsidRPr="00820898" w:rsidRDefault="0018127A" w:rsidP="00EF68D9">
            <w:pPr>
              <w:pStyle w:val="In-tableHeading"/>
              <w:jc w:val="center"/>
              <w:rPr>
                <w:lang w:val="en-AU"/>
              </w:rPr>
            </w:pPr>
            <w:r w:rsidRPr="00820898">
              <w:rPr>
                <w:lang w:val="en-AU"/>
              </w:rPr>
              <w:t>ONA</w:t>
            </w:r>
          </w:p>
          <w:p w14:paraId="767BFD79" w14:textId="77777777" w:rsidR="0018127A" w:rsidRPr="00820898" w:rsidRDefault="0018127A" w:rsidP="00EF68D9">
            <w:pPr>
              <w:pStyle w:val="In-tableHeading"/>
              <w:jc w:val="center"/>
              <w:rPr>
                <w:lang w:val="en-AU"/>
              </w:rPr>
            </w:pPr>
            <w:r w:rsidRPr="00820898">
              <w:rPr>
                <w:lang w:val="en-AU"/>
              </w:rPr>
              <w:t>Trial dose and duration</w:t>
            </w:r>
          </w:p>
        </w:tc>
        <w:tc>
          <w:tcPr>
            <w:tcW w:w="602" w:type="pct"/>
            <w:shd w:val="clear" w:color="auto" w:fill="auto"/>
            <w:vAlign w:val="center"/>
          </w:tcPr>
          <w:p w14:paraId="0DB80265" w14:textId="218F287B" w:rsidR="0018127A" w:rsidRPr="00820898" w:rsidRDefault="0018127A" w:rsidP="00EF68D9">
            <w:pPr>
              <w:pStyle w:val="In-tableHeading"/>
              <w:jc w:val="center"/>
              <w:rPr>
                <w:lang w:val="en-AU"/>
              </w:rPr>
            </w:pPr>
            <w:r w:rsidRPr="00820898">
              <w:rPr>
                <w:lang w:val="en-AU"/>
              </w:rPr>
              <w:t>ONA</w:t>
            </w:r>
          </w:p>
          <w:p w14:paraId="6740A4D8" w14:textId="27487C7C" w:rsidR="0018127A" w:rsidRPr="00820898" w:rsidRDefault="0018127A" w:rsidP="00EF68D9">
            <w:pPr>
              <w:pStyle w:val="In-tableHeading"/>
              <w:jc w:val="center"/>
              <w:rPr>
                <w:lang w:val="en-AU"/>
              </w:rPr>
            </w:pPr>
            <w:r w:rsidRPr="00820898">
              <w:rPr>
                <w:lang w:val="en-AU"/>
              </w:rPr>
              <w:t>economics</w:t>
            </w:r>
          </w:p>
        </w:tc>
        <w:tc>
          <w:tcPr>
            <w:tcW w:w="569" w:type="pct"/>
            <w:shd w:val="clear" w:color="auto" w:fill="auto"/>
            <w:vAlign w:val="center"/>
          </w:tcPr>
          <w:p w14:paraId="3600EF9A" w14:textId="604A3064" w:rsidR="0018127A" w:rsidRPr="00820898" w:rsidRDefault="0018127A" w:rsidP="00EF68D9">
            <w:pPr>
              <w:pStyle w:val="In-tableHeading"/>
              <w:jc w:val="center"/>
              <w:rPr>
                <w:lang w:val="en-AU"/>
              </w:rPr>
            </w:pPr>
            <w:r w:rsidRPr="00820898">
              <w:rPr>
                <w:lang w:val="en-AU"/>
              </w:rPr>
              <w:t>ONA</w:t>
            </w:r>
          </w:p>
          <w:p w14:paraId="5CF4A775" w14:textId="77777777" w:rsidR="0018127A" w:rsidRPr="00820898" w:rsidRDefault="0018127A" w:rsidP="00EF68D9">
            <w:pPr>
              <w:pStyle w:val="In-tableHeading"/>
              <w:jc w:val="center"/>
              <w:rPr>
                <w:lang w:val="en-AU"/>
              </w:rPr>
            </w:pPr>
            <w:r w:rsidRPr="00820898">
              <w:rPr>
                <w:lang w:val="en-AU"/>
              </w:rPr>
              <w:t>Financial estimates</w:t>
            </w:r>
          </w:p>
        </w:tc>
        <w:tc>
          <w:tcPr>
            <w:tcW w:w="1234" w:type="pct"/>
            <w:shd w:val="clear" w:color="auto" w:fill="auto"/>
            <w:vAlign w:val="center"/>
          </w:tcPr>
          <w:p w14:paraId="30C91C68" w14:textId="113F3975" w:rsidR="0018127A" w:rsidRPr="00820898" w:rsidRDefault="0018127A" w:rsidP="00331EC5">
            <w:pPr>
              <w:pStyle w:val="In-tableHeading"/>
              <w:jc w:val="center"/>
              <w:rPr>
                <w:vertAlign w:val="superscript"/>
                <w:lang w:val="en-AU"/>
              </w:rPr>
            </w:pPr>
            <w:r w:rsidRPr="00820898">
              <w:rPr>
                <w:lang w:val="en-AU"/>
              </w:rPr>
              <w:t xml:space="preserve">Comparator </w:t>
            </w:r>
            <w:r w:rsidRPr="00820898">
              <w:rPr>
                <w:vertAlign w:val="superscript"/>
                <w:lang w:val="en-AU"/>
              </w:rPr>
              <w:t>a</w:t>
            </w:r>
          </w:p>
          <w:p w14:paraId="2E5380A6" w14:textId="77777777" w:rsidR="0018127A" w:rsidRPr="00820898" w:rsidRDefault="0018127A" w:rsidP="00331EC5">
            <w:pPr>
              <w:pStyle w:val="In-tableHeading"/>
              <w:jc w:val="center"/>
              <w:rPr>
                <w:lang w:val="en-AU"/>
              </w:rPr>
            </w:pPr>
            <w:r w:rsidRPr="00820898">
              <w:rPr>
                <w:lang w:val="en-AU"/>
              </w:rPr>
              <w:t>Trial dose and duration</w:t>
            </w:r>
          </w:p>
        </w:tc>
        <w:tc>
          <w:tcPr>
            <w:tcW w:w="1201" w:type="pct"/>
            <w:vAlign w:val="center"/>
          </w:tcPr>
          <w:p w14:paraId="241FB4B6" w14:textId="58536B1A" w:rsidR="0018127A" w:rsidRPr="00820898" w:rsidRDefault="0018127A" w:rsidP="00331EC5">
            <w:pPr>
              <w:pStyle w:val="In-tableHeading"/>
              <w:jc w:val="center"/>
              <w:rPr>
                <w:vertAlign w:val="superscript"/>
                <w:lang w:val="en-AU"/>
              </w:rPr>
            </w:pPr>
            <w:r w:rsidRPr="00820898">
              <w:rPr>
                <w:lang w:val="en-AU"/>
              </w:rPr>
              <w:t xml:space="preserve">Comparator </w:t>
            </w:r>
            <w:r w:rsidRPr="00820898">
              <w:rPr>
                <w:vertAlign w:val="superscript"/>
                <w:lang w:val="en-AU"/>
              </w:rPr>
              <w:t>a</w:t>
            </w:r>
          </w:p>
          <w:p w14:paraId="6F6477AA" w14:textId="77777777" w:rsidR="0018127A" w:rsidRPr="00820898" w:rsidRDefault="0018127A" w:rsidP="00331EC5">
            <w:pPr>
              <w:pStyle w:val="In-tableHeading"/>
              <w:jc w:val="center"/>
              <w:rPr>
                <w:lang w:val="en-AU"/>
              </w:rPr>
            </w:pPr>
            <w:r w:rsidRPr="00820898">
              <w:rPr>
                <w:lang w:val="en-AU"/>
              </w:rPr>
              <w:t>Financial estimates</w:t>
            </w:r>
          </w:p>
        </w:tc>
      </w:tr>
      <w:tr w:rsidR="0018127A" w:rsidRPr="00820898" w14:paraId="517B6CE9" w14:textId="77777777" w:rsidTr="00B00909">
        <w:trPr>
          <w:cantSplit/>
          <w:jc w:val="center"/>
        </w:trPr>
        <w:tc>
          <w:tcPr>
            <w:tcW w:w="759" w:type="pct"/>
            <w:shd w:val="clear" w:color="auto" w:fill="auto"/>
            <w:vAlign w:val="center"/>
          </w:tcPr>
          <w:p w14:paraId="18DB3352" w14:textId="77777777" w:rsidR="0018127A" w:rsidRPr="00820898" w:rsidRDefault="0018127A" w:rsidP="00EF68D9">
            <w:pPr>
              <w:pStyle w:val="TableText0"/>
            </w:pPr>
            <w:r w:rsidRPr="00820898">
              <w:t>Dose</w:t>
            </w:r>
          </w:p>
        </w:tc>
        <w:tc>
          <w:tcPr>
            <w:tcW w:w="1807" w:type="pct"/>
            <w:gridSpan w:val="3"/>
            <w:shd w:val="clear" w:color="auto" w:fill="auto"/>
            <w:vAlign w:val="center"/>
          </w:tcPr>
          <w:p w14:paraId="47343876" w14:textId="4AA35CD8" w:rsidR="0018127A" w:rsidRPr="00820898" w:rsidRDefault="0018127A" w:rsidP="00EF68D9">
            <w:pPr>
              <w:pStyle w:val="TableText0"/>
              <w:jc w:val="center"/>
            </w:pPr>
            <w:r w:rsidRPr="00820898">
              <w:rPr>
                <w:szCs w:val="20"/>
                <w:lang w:eastAsia="zh-CN"/>
              </w:rPr>
              <w:t>1.1x10</w:t>
            </w:r>
            <w:r w:rsidRPr="00820898">
              <w:rPr>
                <w:szCs w:val="20"/>
                <w:vertAlign w:val="superscript"/>
                <w:lang w:eastAsia="zh-CN"/>
              </w:rPr>
              <w:t xml:space="preserve">14 </w:t>
            </w:r>
            <w:r w:rsidRPr="00820898">
              <w:rPr>
                <w:szCs w:val="20"/>
                <w:lang w:eastAsia="zh-CN"/>
              </w:rPr>
              <w:t>vg/kg</w:t>
            </w:r>
          </w:p>
        </w:tc>
        <w:tc>
          <w:tcPr>
            <w:tcW w:w="1234" w:type="pct"/>
            <w:shd w:val="clear" w:color="auto" w:fill="auto"/>
            <w:vAlign w:val="center"/>
          </w:tcPr>
          <w:p w14:paraId="3117A52C" w14:textId="508C1C2F" w:rsidR="0018127A" w:rsidRPr="00820898" w:rsidRDefault="0018127A" w:rsidP="00EF68D9">
            <w:pPr>
              <w:pStyle w:val="TableText0"/>
              <w:jc w:val="center"/>
            </w:pPr>
            <w:r w:rsidRPr="00820898">
              <w:t xml:space="preserve">ONA: </w:t>
            </w:r>
            <w:r w:rsidRPr="00820898">
              <w:rPr>
                <w:szCs w:val="20"/>
                <w:lang w:eastAsia="zh-CN"/>
              </w:rPr>
              <w:t>1.1x10</w:t>
            </w:r>
            <w:r w:rsidRPr="00820898">
              <w:rPr>
                <w:szCs w:val="20"/>
                <w:vertAlign w:val="superscript"/>
                <w:lang w:eastAsia="zh-CN"/>
              </w:rPr>
              <w:t xml:space="preserve">14 </w:t>
            </w:r>
            <w:r w:rsidRPr="00820898">
              <w:rPr>
                <w:szCs w:val="20"/>
                <w:lang w:eastAsia="zh-CN"/>
              </w:rPr>
              <w:t>vg/kg</w:t>
            </w:r>
          </w:p>
          <w:p w14:paraId="6E3917C6" w14:textId="77777777" w:rsidR="0018127A" w:rsidRPr="00820898" w:rsidRDefault="0018127A" w:rsidP="00EF68D9">
            <w:pPr>
              <w:pStyle w:val="TableText0"/>
              <w:jc w:val="center"/>
            </w:pPr>
          </w:p>
          <w:p w14:paraId="4F82E641" w14:textId="64CD2DB2" w:rsidR="0018127A" w:rsidRPr="00820898" w:rsidRDefault="0018127A" w:rsidP="00EF68D9">
            <w:pPr>
              <w:pStyle w:val="TableText0"/>
              <w:jc w:val="center"/>
            </w:pPr>
            <w:r w:rsidRPr="00820898">
              <w:t xml:space="preserve">NUSI: 12mg at days 0, 14, 28 and 63, then every 4 months thereafter </w:t>
            </w:r>
          </w:p>
          <w:p w14:paraId="7682D9A2" w14:textId="77777777" w:rsidR="0018127A" w:rsidRPr="00820898" w:rsidRDefault="0018127A" w:rsidP="00EF68D9">
            <w:pPr>
              <w:pStyle w:val="TableText0"/>
              <w:jc w:val="center"/>
            </w:pPr>
          </w:p>
          <w:p w14:paraId="3966E0C8" w14:textId="3E765D82" w:rsidR="0018127A" w:rsidRPr="00820898" w:rsidRDefault="0018127A" w:rsidP="00EF68D9">
            <w:pPr>
              <w:pStyle w:val="TableText0"/>
              <w:jc w:val="center"/>
            </w:pPr>
            <w:r w:rsidRPr="00820898">
              <w:t>RIS: by age and weight to target exposure (maximum 5mg/day)</w:t>
            </w:r>
          </w:p>
        </w:tc>
        <w:tc>
          <w:tcPr>
            <w:tcW w:w="1201" w:type="pct"/>
            <w:vAlign w:val="center"/>
          </w:tcPr>
          <w:p w14:paraId="5B2BD474" w14:textId="77777777" w:rsidR="0018127A" w:rsidRPr="00820898" w:rsidRDefault="0018127A" w:rsidP="00F07C47">
            <w:pPr>
              <w:pStyle w:val="TableText0"/>
              <w:jc w:val="center"/>
              <w:rPr>
                <w:szCs w:val="20"/>
                <w:lang w:eastAsia="zh-CN"/>
              </w:rPr>
            </w:pPr>
            <w:r w:rsidRPr="00820898">
              <w:t xml:space="preserve">ONA: </w:t>
            </w:r>
            <w:r w:rsidRPr="00820898">
              <w:rPr>
                <w:szCs w:val="20"/>
                <w:lang w:eastAsia="zh-CN"/>
              </w:rPr>
              <w:t>1.1x10</w:t>
            </w:r>
            <w:r w:rsidRPr="00820898">
              <w:rPr>
                <w:szCs w:val="20"/>
                <w:vertAlign w:val="superscript"/>
                <w:lang w:eastAsia="zh-CN"/>
              </w:rPr>
              <w:t xml:space="preserve">14 </w:t>
            </w:r>
            <w:r w:rsidRPr="00820898">
              <w:rPr>
                <w:szCs w:val="20"/>
                <w:lang w:eastAsia="zh-CN"/>
              </w:rPr>
              <w:t>vg/kg</w:t>
            </w:r>
          </w:p>
          <w:p w14:paraId="76B70544" w14:textId="77777777" w:rsidR="0018127A" w:rsidRPr="00820898" w:rsidRDefault="0018127A" w:rsidP="00F07C47">
            <w:pPr>
              <w:pStyle w:val="TableText0"/>
              <w:jc w:val="center"/>
            </w:pPr>
          </w:p>
          <w:p w14:paraId="79D205E0" w14:textId="69866B3F" w:rsidR="0018127A" w:rsidRPr="00820898" w:rsidRDefault="0018127A" w:rsidP="00EF68D9">
            <w:pPr>
              <w:pStyle w:val="TableText0"/>
              <w:jc w:val="center"/>
            </w:pPr>
            <w:r w:rsidRPr="00820898">
              <w:t xml:space="preserve">NUSI: 12mg at days 0, 14, 28 and 63, then every 4 months thereafter </w:t>
            </w:r>
          </w:p>
          <w:p w14:paraId="7395CDA6" w14:textId="77777777" w:rsidR="0018127A" w:rsidRPr="00820898" w:rsidRDefault="0018127A" w:rsidP="00EF68D9">
            <w:pPr>
              <w:pStyle w:val="TableText0"/>
              <w:jc w:val="center"/>
            </w:pPr>
          </w:p>
          <w:p w14:paraId="09385757" w14:textId="15F842A2" w:rsidR="0018127A" w:rsidRPr="00820898" w:rsidRDefault="0018127A" w:rsidP="00EF68D9">
            <w:pPr>
              <w:pStyle w:val="TableText0"/>
              <w:jc w:val="center"/>
            </w:pPr>
            <w:r w:rsidRPr="00820898">
              <w:t>RIS: by age and weight to target exposure (maximum 5mg/day)</w:t>
            </w:r>
          </w:p>
        </w:tc>
      </w:tr>
      <w:tr w:rsidR="0018127A" w:rsidRPr="00820898" w14:paraId="4FB02785" w14:textId="77777777" w:rsidTr="00B00909">
        <w:trPr>
          <w:cantSplit/>
          <w:jc w:val="center"/>
        </w:trPr>
        <w:tc>
          <w:tcPr>
            <w:tcW w:w="759" w:type="pct"/>
            <w:shd w:val="clear" w:color="auto" w:fill="auto"/>
            <w:vAlign w:val="center"/>
          </w:tcPr>
          <w:p w14:paraId="070E0B5A" w14:textId="77777777" w:rsidR="0018127A" w:rsidRPr="00820898" w:rsidRDefault="0018127A" w:rsidP="00EF68D9">
            <w:pPr>
              <w:pStyle w:val="TableText0"/>
            </w:pPr>
            <w:r w:rsidRPr="00820898">
              <w:t>Duration</w:t>
            </w:r>
          </w:p>
        </w:tc>
        <w:tc>
          <w:tcPr>
            <w:tcW w:w="1807" w:type="pct"/>
            <w:gridSpan w:val="3"/>
            <w:shd w:val="clear" w:color="auto" w:fill="auto"/>
            <w:vAlign w:val="center"/>
          </w:tcPr>
          <w:p w14:paraId="7E418B6B" w14:textId="4414AE32" w:rsidR="0018127A" w:rsidRPr="00820898" w:rsidRDefault="0018127A" w:rsidP="00EF68D9">
            <w:pPr>
              <w:pStyle w:val="TableText0"/>
              <w:jc w:val="center"/>
            </w:pPr>
            <w:r w:rsidRPr="00820898">
              <w:t>Once-off injection</w:t>
            </w:r>
          </w:p>
        </w:tc>
        <w:tc>
          <w:tcPr>
            <w:tcW w:w="1234" w:type="pct"/>
            <w:shd w:val="clear" w:color="auto" w:fill="auto"/>
            <w:vAlign w:val="center"/>
          </w:tcPr>
          <w:p w14:paraId="338E9483" w14:textId="77777777" w:rsidR="0018127A" w:rsidRPr="00820898" w:rsidRDefault="0018127A" w:rsidP="00EF68D9">
            <w:pPr>
              <w:pStyle w:val="TableText0"/>
              <w:jc w:val="center"/>
            </w:pPr>
            <w:r w:rsidRPr="00820898">
              <w:t>On-going</w:t>
            </w:r>
          </w:p>
        </w:tc>
        <w:tc>
          <w:tcPr>
            <w:tcW w:w="1201" w:type="pct"/>
            <w:vAlign w:val="center"/>
          </w:tcPr>
          <w:p w14:paraId="720BF483" w14:textId="77777777" w:rsidR="0018127A" w:rsidRPr="00820898" w:rsidRDefault="0018127A" w:rsidP="00EF68D9">
            <w:pPr>
              <w:pStyle w:val="TableText0"/>
              <w:jc w:val="center"/>
            </w:pPr>
            <w:r w:rsidRPr="00820898">
              <w:t>6 years</w:t>
            </w:r>
          </w:p>
        </w:tc>
      </w:tr>
      <w:tr w:rsidR="0018127A" w:rsidRPr="00820898" w14:paraId="77D1F7B1" w14:textId="77777777" w:rsidTr="00B00909">
        <w:trPr>
          <w:cantSplit/>
          <w:jc w:val="center"/>
        </w:trPr>
        <w:tc>
          <w:tcPr>
            <w:tcW w:w="759" w:type="pct"/>
            <w:shd w:val="clear" w:color="auto" w:fill="auto"/>
            <w:vAlign w:val="center"/>
          </w:tcPr>
          <w:p w14:paraId="33E902BE" w14:textId="7945BD11" w:rsidR="0018127A" w:rsidRPr="00820898" w:rsidRDefault="0018127A" w:rsidP="00EF68D9">
            <w:pPr>
              <w:pStyle w:val="TableText0"/>
            </w:pPr>
            <w:r w:rsidRPr="00820898">
              <w:t>Cost</w:t>
            </w:r>
          </w:p>
        </w:tc>
        <w:tc>
          <w:tcPr>
            <w:tcW w:w="1807" w:type="pct"/>
            <w:gridSpan w:val="3"/>
            <w:shd w:val="clear" w:color="auto" w:fill="auto"/>
            <w:vAlign w:val="center"/>
          </w:tcPr>
          <w:p w14:paraId="4FAA658E" w14:textId="7B80F420" w:rsidR="0018127A" w:rsidRPr="00820898" w:rsidRDefault="0018127A" w:rsidP="00EF68D9">
            <w:pPr>
              <w:pStyle w:val="TableText0"/>
              <w:jc w:val="center"/>
            </w:pPr>
            <w:r w:rsidRPr="00820898">
              <w:t>$</w:t>
            </w:r>
            <w:r w:rsidR="004E27E7" w:rsidRPr="004E27E7">
              <w:rPr>
                <w:color w:val="000000"/>
                <w:shd w:val="solid" w:color="000000" w:fill="000000"/>
                <w14:textFill>
                  <w14:solidFill>
                    <w14:srgbClr w14:val="000000">
                      <w14:alpha w14:val="100000"/>
                    </w14:srgbClr>
                  </w14:solidFill>
                </w14:textFill>
              </w:rPr>
              <w:t>|</w:t>
            </w:r>
            <w:r w:rsidRPr="00820898">
              <w:t xml:space="preserve"> /patient</w:t>
            </w:r>
          </w:p>
        </w:tc>
        <w:tc>
          <w:tcPr>
            <w:tcW w:w="1234" w:type="pct"/>
            <w:shd w:val="clear" w:color="auto" w:fill="auto"/>
            <w:vAlign w:val="center"/>
          </w:tcPr>
          <w:p w14:paraId="5706E71B" w14:textId="276CC513" w:rsidR="0018127A" w:rsidRPr="00820898" w:rsidRDefault="0018127A" w:rsidP="00EF68D9">
            <w:pPr>
              <w:pStyle w:val="TableText0"/>
              <w:jc w:val="center"/>
            </w:pPr>
            <w:r w:rsidRPr="00820898">
              <w:t>-</w:t>
            </w:r>
          </w:p>
        </w:tc>
        <w:tc>
          <w:tcPr>
            <w:tcW w:w="1201" w:type="pct"/>
            <w:vAlign w:val="center"/>
          </w:tcPr>
          <w:p w14:paraId="05196C24" w14:textId="77777777" w:rsidR="0018127A" w:rsidRPr="00F44004" w:rsidRDefault="0018127A" w:rsidP="00EF68D9">
            <w:pPr>
              <w:pStyle w:val="TableText0"/>
              <w:jc w:val="center"/>
            </w:pPr>
            <w:r w:rsidRPr="00820898">
              <w:t xml:space="preserve">NUSI: </w:t>
            </w:r>
            <w:r w:rsidRPr="00F44004">
              <w:t>$74,096/dose</w:t>
            </w:r>
          </w:p>
          <w:p w14:paraId="37C76748" w14:textId="2753952F" w:rsidR="0018127A" w:rsidRPr="00820898" w:rsidRDefault="0018127A" w:rsidP="00EF68D9">
            <w:pPr>
              <w:pStyle w:val="TableText0"/>
              <w:jc w:val="center"/>
            </w:pPr>
            <w:r w:rsidRPr="00F44004">
              <w:t>RIS: $8,180.70/</w:t>
            </w:r>
            <w:r w:rsidRPr="00820898">
              <w:t>60mg</w:t>
            </w:r>
          </w:p>
        </w:tc>
      </w:tr>
      <w:tr w:rsidR="0018127A" w:rsidRPr="00820898" w14:paraId="01EC96C9" w14:textId="77777777" w:rsidTr="00B00909">
        <w:trPr>
          <w:cantSplit/>
          <w:jc w:val="center"/>
        </w:trPr>
        <w:tc>
          <w:tcPr>
            <w:tcW w:w="759" w:type="pct"/>
            <w:shd w:val="clear" w:color="auto" w:fill="auto"/>
            <w:vAlign w:val="center"/>
          </w:tcPr>
          <w:p w14:paraId="3D5B7E9A" w14:textId="389E986C" w:rsidR="0018127A" w:rsidRPr="00820898" w:rsidRDefault="0018127A" w:rsidP="00983050">
            <w:pPr>
              <w:pStyle w:val="TableText0"/>
            </w:pPr>
            <w:r w:rsidRPr="00820898">
              <w:t>Cost/patient (maintenance)</w:t>
            </w:r>
          </w:p>
        </w:tc>
        <w:tc>
          <w:tcPr>
            <w:tcW w:w="1807" w:type="pct"/>
            <w:gridSpan w:val="3"/>
            <w:shd w:val="clear" w:color="auto" w:fill="auto"/>
            <w:vAlign w:val="center"/>
          </w:tcPr>
          <w:p w14:paraId="7A14A492" w14:textId="25EB9CD9" w:rsidR="0018127A" w:rsidRPr="00820898" w:rsidRDefault="0018127A" w:rsidP="00EF68D9">
            <w:pPr>
              <w:pStyle w:val="TableText0"/>
              <w:jc w:val="center"/>
            </w:pPr>
            <w:r w:rsidRPr="00820898">
              <w:t>-</w:t>
            </w:r>
          </w:p>
        </w:tc>
        <w:tc>
          <w:tcPr>
            <w:tcW w:w="1234" w:type="pct"/>
            <w:shd w:val="clear" w:color="auto" w:fill="auto"/>
            <w:vAlign w:val="center"/>
          </w:tcPr>
          <w:p w14:paraId="3AB1F894" w14:textId="5789881A" w:rsidR="0018127A" w:rsidRPr="00820898" w:rsidRDefault="0018127A" w:rsidP="00EF68D9">
            <w:pPr>
              <w:pStyle w:val="TableText0"/>
              <w:jc w:val="center"/>
            </w:pPr>
            <w:r w:rsidRPr="00820898">
              <w:t>ONA: $</w:t>
            </w:r>
            <w:r w:rsidR="004E27E7" w:rsidRPr="004E27E7">
              <w:rPr>
                <w:rFonts w:hint="eastAsia"/>
                <w:color w:val="000000"/>
                <w:w w:val="22"/>
                <w:shd w:val="solid" w:color="000000" w:fill="000000"/>
                <w:fitText w:val="100" w:id="-1167951613"/>
                <w14:textFill>
                  <w14:solidFill>
                    <w14:srgbClr w14:val="000000">
                      <w14:alpha w14:val="100000"/>
                    </w14:srgbClr>
                  </w14:solidFill>
                </w14:textFill>
              </w:rPr>
              <w:t xml:space="preserve">　</w:t>
            </w:r>
            <w:r w:rsidR="004E27E7" w:rsidRPr="004E27E7">
              <w:rPr>
                <w:color w:val="000000"/>
                <w:w w:val="22"/>
                <w:shd w:val="solid" w:color="000000" w:fill="000000"/>
                <w:fitText w:val="100" w:id="-1167951613"/>
                <w14:textFill>
                  <w14:solidFill>
                    <w14:srgbClr w14:val="000000">
                      <w14:alpha w14:val="100000"/>
                    </w14:srgbClr>
                  </w14:solidFill>
                </w14:textFill>
              </w:rPr>
              <w:t>|</w:t>
            </w:r>
            <w:r w:rsidR="004E27E7" w:rsidRPr="004E27E7">
              <w:rPr>
                <w:rFonts w:hint="eastAsia"/>
                <w:color w:val="000000"/>
                <w:spacing w:val="3"/>
                <w:w w:val="22"/>
                <w:shd w:val="solid" w:color="000000" w:fill="000000"/>
                <w:fitText w:val="100" w:id="-1167951613"/>
                <w14:textFill>
                  <w14:solidFill>
                    <w14:srgbClr w14:val="000000">
                      <w14:alpha w14:val="100000"/>
                    </w14:srgbClr>
                  </w14:solidFill>
                </w14:textFill>
              </w:rPr>
              <w:t xml:space="preserve">　</w:t>
            </w:r>
            <w:r w:rsidRPr="00820898">
              <w:t xml:space="preserve"> (once off)</w:t>
            </w:r>
          </w:p>
          <w:p w14:paraId="11CAF1F3" w14:textId="0C878C20" w:rsidR="0018127A" w:rsidRPr="00F44004" w:rsidRDefault="0018127A" w:rsidP="00EF68D9">
            <w:pPr>
              <w:pStyle w:val="TableText0"/>
              <w:jc w:val="center"/>
              <w:rPr>
                <w:vertAlign w:val="superscript"/>
              </w:rPr>
            </w:pPr>
            <w:r w:rsidRPr="00820898">
              <w:t xml:space="preserve">NUSI: </w:t>
            </w:r>
            <w:r w:rsidRPr="00F44004">
              <w:t xml:space="preserve">$222,288/year </w:t>
            </w:r>
            <w:r w:rsidRPr="00F44004">
              <w:rPr>
                <w:vertAlign w:val="superscript"/>
              </w:rPr>
              <w:t>d</w:t>
            </w:r>
          </w:p>
          <w:p w14:paraId="04FA71F3" w14:textId="03720940" w:rsidR="0018127A" w:rsidRPr="00820898" w:rsidRDefault="0018127A" w:rsidP="00EF68D9">
            <w:pPr>
              <w:pStyle w:val="TableText0"/>
              <w:jc w:val="center"/>
              <w:rPr>
                <w:vertAlign w:val="superscript"/>
              </w:rPr>
            </w:pPr>
            <w:r w:rsidRPr="00F44004">
              <w:t>RIS: $249,000</w:t>
            </w:r>
            <w:r w:rsidRPr="00820898">
              <w:t xml:space="preserve">/year </w:t>
            </w:r>
            <w:r w:rsidRPr="00820898">
              <w:rPr>
                <w:vertAlign w:val="superscript"/>
              </w:rPr>
              <w:t>e</w:t>
            </w:r>
          </w:p>
        </w:tc>
        <w:tc>
          <w:tcPr>
            <w:tcW w:w="1201" w:type="pct"/>
            <w:vAlign w:val="center"/>
          </w:tcPr>
          <w:p w14:paraId="60B55D98" w14:textId="517A26CD" w:rsidR="0018127A" w:rsidRPr="00820898" w:rsidRDefault="0018127A" w:rsidP="00F07C47">
            <w:pPr>
              <w:pStyle w:val="TableText0"/>
              <w:jc w:val="center"/>
            </w:pPr>
            <w:r w:rsidRPr="00820898">
              <w:t>ONA: $</w:t>
            </w:r>
            <w:r w:rsidR="004E27E7" w:rsidRPr="008B23E3">
              <w:rPr>
                <w:rFonts w:hint="eastAsia"/>
                <w:color w:val="000000"/>
                <w:w w:val="30"/>
                <w:shd w:val="solid" w:color="000000" w:fill="000000"/>
                <w:fitText w:val="133" w:id="-1167951612"/>
                <w14:textFill>
                  <w14:solidFill>
                    <w14:srgbClr w14:val="000000">
                      <w14:alpha w14:val="100000"/>
                    </w14:srgbClr>
                  </w14:solidFill>
                </w14:textFill>
              </w:rPr>
              <w:t xml:space="preserve">　</w:t>
            </w:r>
            <w:r w:rsidR="004E27E7" w:rsidRPr="008B23E3">
              <w:rPr>
                <w:color w:val="000000"/>
                <w:w w:val="30"/>
                <w:shd w:val="solid" w:color="000000" w:fill="000000"/>
                <w:fitText w:val="133" w:id="-1167951612"/>
                <w14:textFill>
                  <w14:solidFill>
                    <w14:srgbClr w14:val="000000">
                      <w14:alpha w14:val="100000"/>
                    </w14:srgbClr>
                  </w14:solidFill>
                </w14:textFill>
              </w:rPr>
              <w:t>|</w:t>
            </w:r>
            <w:r w:rsidR="004E27E7" w:rsidRPr="008B23E3">
              <w:rPr>
                <w:rFonts w:hint="eastAsia"/>
                <w:color w:val="000000"/>
                <w:w w:val="30"/>
                <w:shd w:val="solid" w:color="000000" w:fill="000000"/>
                <w:fitText w:val="133" w:id="-1167951612"/>
                <w14:textFill>
                  <w14:solidFill>
                    <w14:srgbClr w14:val="000000">
                      <w14:alpha w14:val="100000"/>
                    </w14:srgbClr>
                  </w14:solidFill>
                </w14:textFill>
              </w:rPr>
              <w:t xml:space="preserve">　</w:t>
            </w:r>
            <w:r w:rsidRPr="00820898">
              <w:t xml:space="preserve"> (once off)</w:t>
            </w:r>
          </w:p>
          <w:p w14:paraId="6E81A119" w14:textId="3E83CD8D" w:rsidR="0018127A" w:rsidRPr="00F44004" w:rsidRDefault="0018127A" w:rsidP="004E7B6E">
            <w:pPr>
              <w:pStyle w:val="TableText0"/>
              <w:jc w:val="center"/>
              <w:rPr>
                <w:vertAlign w:val="superscript"/>
              </w:rPr>
            </w:pPr>
            <w:r w:rsidRPr="00820898">
              <w:t>NUSI</w:t>
            </w:r>
            <w:r w:rsidRPr="00F44004">
              <w:t xml:space="preserve">: $222,288/year </w:t>
            </w:r>
            <w:r w:rsidRPr="00F44004">
              <w:rPr>
                <w:vertAlign w:val="superscript"/>
              </w:rPr>
              <w:t>d</w:t>
            </w:r>
          </w:p>
          <w:p w14:paraId="62340D3C" w14:textId="01BC4F8D" w:rsidR="0018127A" w:rsidRPr="00820898" w:rsidRDefault="0018127A" w:rsidP="004E7B6E">
            <w:pPr>
              <w:pStyle w:val="TableText0"/>
              <w:jc w:val="center"/>
              <w:rPr>
                <w:vertAlign w:val="superscript"/>
              </w:rPr>
            </w:pPr>
            <w:r w:rsidRPr="00F44004">
              <w:t>RIS: $249,000</w:t>
            </w:r>
            <w:r w:rsidRPr="00820898">
              <w:t xml:space="preserve">/year </w:t>
            </w:r>
            <w:r w:rsidRPr="00820898">
              <w:rPr>
                <w:vertAlign w:val="superscript"/>
              </w:rPr>
              <w:t>e</w:t>
            </w:r>
          </w:p>
        </w:tc>
      </w:tr>
    </w:tbl>
    <w:p w14:paraId="48EB0B88" w14:textId="714EE423" w:rsidR="00FD4771" w:rsidRDefault="00307789" w:rsidP="00684783">
      <w:pPr>
        <w:pStyle w:val="TableFooter"/>
        <w:keepNext/>
        <w:keepLines/>
      </w:pPr>
      <w:r>
        <w:t xml:space="preserve">NUS = nusinersen; </w:t>
      </w:r>
      <w:r w:rsidR="00FD4771">
        <w:t>ONA = onasemnogene abeparvovec</w:t>
      </w:r>
      <w:r>
        <w:t>;</w:t>
      </w:r>
      <w:r w:rsidR="001E761C">
        <w:t xml:space="preserve"> PI = product information</w:t>
      </w:r>
      <w:r>
        <w:t>; RIS = risdiplam</w:t>
      </w:r>
    </w:p>
    <w:p w14:paraId="31FEAF78" w14:textId="5C9FE72E" w:rsidR="00AD1A19" w:rsidRPr="00AD1A19" w:rsidRDefault="00DF54BC" w:rsidP="00684783">
      <w:pPr>
        <w:pStyle w:val="TableFooter"/>
        <w:keepNext/>
        <w:keepLines/>
      </w:pPr>
      <w:r>
        <w:rPr>
          <w:vertAlign w:val="superscript"/>
        </w:rPr>
        <w:t xml:space="preserve">a </w:t>
      </w:r>
      <w:r w:rsidR="00AD1A19">
        <w:t xml:space="preserve">Comparators listed here are for symptomatic initiation which were used as offsets in financial estimates. </w:t>
      </w:r>
      <w:r w:rsidR="00307789">
        <w:t xml:space="preserve">The comparator nominated in the base case for ONA was ONA. </w:t>
      </w:r>
      <w:r w:rsidR="00F34104">
        <w:t xml:space="preserve">RIS was included as a near-market comparator in the cost minimisation approach. </w:t>
      </w:r>
    </w:p>
    <w:p w14:paraId="1A021EAB" w14:textId="75BAA766" w:rsidR="00DF54BC" w:rsidRPr="00DF54BC" w:rsidRDefault="00F07C47" w:rsidP="00684783">
      <w:pPr>
        <w:pStyle w:val="TableFooter"/>
        <w:keepNext/>
        <w:keepLines/>
      </w:pPr>
      <w:r>
        <w:rPr>
          <w:vertAlign w:val="superscript"/>
        </w:rPr>
        <w:t xml:space="preserve">b </w:t>
      </w:r>
      <w:r w:rsidR="00DF54BC">
        <w:t xml:space="preserve">0.2 mg/kg in 2 months and &lt;2 years of age, </w:t>
      </w:r>
      <w:r w:rsidR="00E458E1">
        <w:t>0.25 mg/kg in ≥2 years and &lt;20 k</w:t>
      </w:r>
      <w:r w:rsidR="00DF54BC">
        <w:t>g, 5mg in &gt;2 years and ≥20kg</w:t>
      </w:r>
      <w:r w:rsidR="00483313">
        <w:t xml:space="preserve">. WHO weight-for-age tables used to inform dosage over time. </w:t>
      </w:r>
      <w:r w:rsidR="00DF54BC">
        <w:t xml:space="preserve"> </w:t>
      </w:r>
    </w:p>
    <w:p w14:paraId="330B98C0" w14:textId="75FD801A" w:rsidR="004614AC" w:rsidRDefault="00F07C47" w:rsidP="00684783">
      <w:pPr>
        <w:pStyle w:val="TableFooter"/>
        <w:keepNext/>
        <w:keepLines/>
      </w:pPr>
      <w:r>
        <w:rPr>
          <w:vertAlign w:val="superscript"/>
        </w:rPr>
        <w:t>c</w:t>
      </w:r>
      <w:r w:rsidR="00657105">
        <w:t xml:space="preserve"> </w:t>
      </w:r>
      <w:r w:rsidR="004614AC">
        <w:t xml:space="preserve">RIS withdrew </w:t>
      </w:r>
      <w:r w:rsidR="00574C13">
        <w:t xml:space="preserve">the request </w:t>
      </w:r>
      <w:r w:rsidR="00EA4627">
        <w:t xml:space="preserve">for pre-symptomatic treatment in patients with 3 copies of </w:t>
      </w:r>
      <w:r w:rsidR="00EA4627" w:rsidRPr="00EA4627">
        <w:rPr>
          <w:i/>
          <w:iCs/>
        </w:rPr>
        <w:t>SMN2</w:t>
      </w:r>
      <w:r w:rsidR="00EA4627">
        <w:rPr>
          <w:i/>
          <w:iCs/>
        </w:rPr>
        <w:t xml:space="preserve"> </w:t>
      </w:r>
      <w:r w:rsidR="005963DC">
        <w:t xml:space="preserve">at </w:t>
      </w:r>
      <w:r w:rsidR="00386DF0">
        <w:t xml:space="preserve">the </w:t>
      </w:r>
      <w:r w:rsidR="005963DC">
        <w:t xml:space="preserve">March 2023 PBAC meeting </w:t>
      </w:r>
      <w:r w:rsidR="00EA4627" w:rsidRPr="00EA4627">
        <w:t>there</w:t>
      </w:r>
      <w:r w:rsidR="00EA4627">
        <w:t xml:space="preserve">fore the cost of RIS </w:t>
      </w:r>
      <w:r w:rsidR="00340C0F">
        <w:t xml:space="preserve">for </w:t>
      </w:r>
      <w:r w:rsidR="005963DC">
        <w:t xml:space="preserve">the pre-symptomatic </w:t>
      </w:r>
      <w:r w:rsidR="00340C0F">
        <w:t xml:space="preserve">treatment of patients 3 copies of </w:t>
      </w:r>
      <w:r w:rsidR="00340C0F">
        <w:rPr>
          <w:i/>
          <w:iCs/>
        </w:rPr>
        <w:t xml:space="preserve">SMN2 </w:t>
      </w:r>
      <w:r w:rsidR="00EA4627">
        <w:t>was unknown.</w:t>
      </w:r>
    </w:p>
    <w:p w14:paraId="1246ED7E" w14:textId="213F5E53" w:rsidR="004614AC" w:rsidRDefault="00F07C47" w:rsidP="00684783">
      <w:pPr>
        <w:pStyle w:val="TableFooter"/>
        <w:keepNext/>
        <w:keepLines/>
      </w:pPr>
      <w:r>
        <w:rPr>
          <w:vertAlign w:val="superscript"/>
        </w:rPr>
        <w:t xml:space="preserve">d </w:t>
      </w:r>
      <w:r w:rsidR="004614AC">
        <w:t xml:space="preserve">Assume 3 doses per year and no discontinuation. 5% discontinuation assumed in financial </w:t>
      </w:r>
      <w:r w:rsidR="0051672C">
        <w:t>estimates.</w:t>
      </w:r>
    </w:p>
    <w:p w14:paraId="52B0766C" w14:textId="108A23D7" w:rsidR="00DF54BC" w:rsidRDefault="00F07C47" w:rsidP="00684783">
      <w:pPr>
        <w:pStyle w:val="TableFooter"/>
        <w:keepNext/>
        <w:keepLines/>
      </w:pPr>
      <w:r>
        <w:rPr>
          <w:vertAlign w:val="superscript"/>
        </w:rPr>
        <w:t>e</w:t>
      </w:r>
      <w:r w:rsidR="004614AC">
        <w:rPr>
          <w:vertAlign w:val="superscript"/>
        </w:rPr>
        <w:t xml:space="preserve"> </w:t>
      </w:r>
      <w:r w:rsidR="00381C4F">
        <w:t>Assume 365.25 days, 5mg dose (12 doses per bottle)</w:t>
      </w:r>
      <w:r w:rsidR="004614AC">
        <w:t xml:space="preserve"> and no discontinuation, though 5% discontinuation assumed in financial estimates</w:t>
      </w:r>
    </w:p>
    <w:p w14:paraId="4ED65455" w14:textId="59E5CED3" w:rsidR="0014093D" w:rsidRPr="007740E4" w:rsidRDefault="0014093D" w:rsidP="00684783">
      <w:pPr>
        <w:pStyle w:val="TableFooter"/>
        <w:keepNext/>
        <w:keepLines/>
      </w:pPr>
      <w:r w:rsidRPr="007740E4">
        <w:t xml:space="preserve">Source: </w:t>
      </w:r>
      <w:r w:rsidR="00684783" w:rsidRPr="007740E4">
        <w:t xml:space="preserve">Table 1.15, </w:t>
      </w:r>
      <w:r w:rsidR="00684783">
        <w:t>p56</w:t>
      </w:r>
      <w:r w:rsidR="004C66CC">
        <w:t>, Table 4.22, p152</w:t>
      </w:r>
      <w:r w:rsidR="00684783" w:rsidRPr="007740E4">
        <w:t xml:space="preserve"> </w:t>
      </w:r>
      <w:r w:rsidR="004E7B6E">
        <w:t xml:space="preserve">and Table 4.26, p155 </w:t>
      </w:r>
      <w:r w:rsidR="00684783" w:rsidRPr="007740E4">
        <w:t>of the resubmission.</w:t>
      </w:r>
    </w:p>
    <w:p w14:paraId="0F6E2343" w14:textId="77777777" w:rsidR="0014093D" w:rsidRPr="007740E4" w:rsidRDefault="0014093D" w:rsidP="0014093D">
      <w:pPr>
        <w:pStyle w:val="4-SubsectionHeading"/>
      </w:pPr>
      <w:bookmarkStart w:id="54" w:name="_Toc22897647"/>
      <w:bookmarkStart w:id="55" w:name="_Toc135210593"/>
      <w:r w:rsidRPr="007740E4">
        <w:t>Estimated PBS usage &amp; financial implications</w:t>
      </w:r>
      <w:bookmarkEnd w:id="54"/>
      <w:bookmarkEnd w:id="55"/>
    </w:p>
    <w:p w14:paraId="0F4B87C7" w14:textId="5266A51F" w:rsidR="0014093D" w:rsidRPr="007740E4" w:rsidRDefault="0014093D" w:rsidP="0014093D">
      <w:pPr>
        <w:pStyle w:val="3-BodyText"/>
      </w:pPr>
      <w:r w:rsidRPr="007740E4">
        <w:t xml:space="preserve">This </w:t>
      </w:r>
      <w:r w:rsidR="00A64CA1" w:rsidRPr="0067528F">
        <w:t>re</w:t>
      </w:r>
      <w:r w:rsidRPr="0067528F">
        <w:t xml:space="preserve">submission </w:t>
      </w:r>
      <w:r w:rsidR="006E1712" w:rsidRPr="0067528F">
        <w:t>w</w:t>
      </w:r>
      <w:r w:rsidR="006E1712">
        <w:t>as</w:t>
      </w:r>
      <w:r w:rsidR="006E1712" w:rsidRPr="0067528F">
        <w:t xml:space="preserve"> </w:t>
      </w:r>
      <w:r w:rsidRPr="0067528F">
        <w:t>not considered</w:t>
      </w:r>
      <w:r w:rsidRPr="007740E4">
        <w:t xml:space="preserve"> by DUSC. The resubmission utilised an epidemiological approach to estimate the financial impact of listing ONA for the pre-symptomatic treatment of SMA patients with 3 </w:t>
      </w:r>
      <w:r w:rsidR="00B64F80" w:rsidRPr="007740E4">
        <w:rPr>
          <w:i/>
        </w:rPr>
        <w:t>SMN2</w:t>
      </w:r>
      <w:r w:rsidRPr="007740E4">
        <w:t xml:space="preserve"> copies on the PBS.</w:t>
      </w:r>
    </w:p>
    <w:p w14:paraId="7FE726E0" w14:textId="71338AA1" w:rsidR="0037024F" w:rsidRPr="00B57050" w:rsidRDefault="0014093D" w:rsidP="00942FFB">
      <w:pPr>
        <w:pStyle w:val="3-BodyText"/>
      </w:pPr>
      <w:r w:rsidRPr="007740E4">
        <w:t xml:space="preserve">The data sources, parameters and assumptions used to estimate the financial impact are summarised in </w:t>
      </w:r>
      <w:r w:rsidRPr="007740E4">
        <w:fldChar w:fldCharType="begin" w:fldLock="1"/>
      </w:r>
      <w:r w:rsidRPr="007740E4">
        <w:instrText xml:space="preserve"> REF _Ref104805262 \h </w:instrText>
      </w:r>
      <w:r w:rsidRPr="007740E4">
        <w:fldChar w:fldCharType="separate"/>
      </w:r>
      <w:r w:rsidR="007866DB" w:rsidRPr="007740E4">
        <w:t xml:space="preserve">Table </w:t>
      </w:r>
      <w:r w:rsidR="007866DB">
        <w:rPr>
          <w:noProof/>
        </w:rPr>
        <w:t>13</w:t>
      </w:r>
      <w:r w:rsidRPr="007740E4">
        <w:fldChar w:fldCharType="end"/>
      </w:r>
      <w:r w:rsidRPr="007740E4">
        <w:t>. The estimated expected treatments that would be substituted for by ONA (</w:t>
      </w:r>
      <w:r w:rsidR="0012360A">
        <w:t xml:space="preserve">symptomatic initiation of </w:t>
      </w:r>
      <w:r w:rsidRPr="007740E4">
        <w:t>NUSI, RIS and ONA) was based on SMA phenotype and age of symptom onset (see</w:t>
      </w:r>
      <w:r w:rsidR="006F4D79">
        <w:t xml:space="preserve"> </w:t>
      </w:r>
      <w:r w:rsidR="006F4D79">
        <w:fldChar w:fldCharType="begin" w:fldLock="1"/>
      </w:r>
      <w:r w:rsidR="006F4D79">
        <w:instrText xml:space="preserve"> REF _Ref135211358 \h </w:instrText>
      </w:r>
      <w:r w:rsidR="006F4D79">
        <w:fldChar w:fldCharType="separate"/>
      </w:r>
      <w:r w:rsidR="00B00909" w:rsidRPr="007740E4">
        <w:t xml:space="preserve">Table </w:t>
      </w:r>
      <w:r w:rsidR="00B00909">
        <w:rPr>
          <w:noProof/>
        </w:rPr>
        <w:t>14</w:t>
      </w:r>
      <w:r w:rsidR="006F4D79">
        <w:fldChar w:fldCharType="end"/>
      </w:r>
      <w:r w:rsidR="006F4D79">
        <w:t>)</w:t>
      </w:r>
      <w:r w:rsidRPr="007740E4">
        <w:t>.</w:t>
      </w:r>
    </w:p>
    <w:p w14:paraId="45D7384F" w14:textId="422EF792" w:rsidR="0014093D" w:rsidRPr="007740E4" w:rsidRDefault="0014093D" w:rsidP="00B57050">
      <w:pPr>
        <w:pStyle w:val="Caption"/>
        <w:rPr>
          <w:rStyle w:val="CommentReference"/>
          <w:b/>
          <w:szCs w:val="24"/>
        </w:rPr>
      </w:pPr>
      <w:bookmarkStart w:id="56" w:name="_Ref104805262"/>
      <w:r w:rsidRPr="007740E4">
        <w:t xml:space="preserve">Table </w:t>
      </w:r>
      <w:fldSimple w:instr=" SEQ Table \* ARABIC " w:fldLock="1">
        <w:r w:rsidR="0084520A">
          <w:rPr>
            <w:noProof/>
          </w:rPr>
          <w:t>13</w:t>
        </w:r>
      </w:fldSimple>
      <w:bookmarkEnd w:id="56"/>
      <w:r w:rsidRPr="007740E4">
        <w:t>:</w:t>
      </w:r>
      <w:r w:rsidRPr="007740E4">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3: Key inputs for financial estimates"/>
      </w:tblPr>
      <w:tblGrid>
        <w:gridCol w:w="1413"/>
        <w:gridCol w:w="3685"/>
        <w:gridCol w:w="4082"/>
      </w:tblGrid>
      <w:tr w:rsidR="0014093D" w:rsidRPr="00820898" w14:paraId="593227BB" w14:textId="77777777" w:rsidTr="005636DC">
        <w:trPr>
          <w:cantSplit/>
          <w:tblHeader/>
        </w:trPr>
        <w:tc>
          <w:tcPr>
            <w:tcW w:w="1413" w:type="dxa"/>
            <w:vAlign w:val="center"/>
          </w:tcPr>
          <w:p w14:paraId="6C980EFB" w14:textId="77777777" w:rsidR="0014093D" w:rsidRPr="00820898" w:rsidRDefault="0014093D" w:rsidP="00B57050">
            <w:pPr>
              <w:pStyle w:val="In-tableHeading"/>
              <w:keepLines/>
              <w:jc w:val="center"/>
              <w:rPr>
                <w:lang w:val="en-AU"/>
              </w:rPr>
            </w:pPr>
            <w:r w:rsidRPr="00820898">
              <w:rPr>
                <w:lang w:val="en-AU"/>
              </w:rPr>
              <w:t>Data</w:t>
            </w:r>
          </w:p>
        </w:tc>
        <w:tc>
          <w:tcPr>
            <w:tcW w:w="3685" w:type="dxa"/>
            <w:vAlign w:val="center"/>
          </w:tcPr>
          <w:p w14:paraId="20839CAF" w14:textId="77777777" w:rsidR="0014093D" w:rsidRPr="00820898" w:rsidRDefault="0014093D" w:rsidP="00B57050">
            <w:pPr>
              <w:pStyle w:val="In-tableHeading"/>
              <w:keepLines/>
              <w:jc w:val="center"/>
              <w:rPr>
                <w:lang w:val="en-AU"/>
              </w:rPr>
            </w:pPr>
            <w:r w:rsidRPr="00820898">
              <w:rPr>
                <w:lang w:val="en-AU"/>
              </w:rPr>
              <w:t>Value and source</w:t>
            </w:r>
          </w:p>
        </w:tc>
        <w:tc>
          <w:tcPr>
            <w:tcW w:w="4082" w:type="dxa"/>
            <w:vAlign w:val="center"/>
          </w:tcPr>
          <w:p w14:paraId="741EB5D2" w14:textId="77777777" w:rsidR="0014093D" w:rsidRPr="00820898" w:rsidRDefault="0014093D" w:rsidP="00B57050">
            <w:pPr>
              <w:pStyle w:val="In-tableHeading"/>
              <w:keepLines/>
              <w:jc w:val="center"/>
              <w:rPr>
                <w:lang w:val="en-AU"/>
              </w:rPr>
            </w:pPr>
            <w:r w:rsidRPr="00820898">
              <w:rPr>
                <w:lang w:val="en-AU"/>
              </w:rPr>
              <w:t>Comment</w:t>
            </w:r>
          </w:p>
        </w:tc>
      </w:tr>
      <w:tr w:rsidR="0014093D" w:rsidRPr="00820898" w14:paraId="368D6E75" w14:textId="77777777" w:rsidTr="00EF68D9">
        <w:trPr>
          <w:cantSplit/>
        </w:trPr>
        <w:tc>
          <w:tcPr>
            <w:tcW w:w="9180" w:type="dxa"/>
            <w:gridSpan w:val="3"/>
            <w:vAlign w:val="center"/>
          </w:tcPr>
          <w:p w14:paraId="742B273E" w14:textId="77777777" w:rsidR="0014093D" w:rsidRPr="00820898" w:rsidRDefault="0014093D" w:rsidP="00B57050">
            <w:pPr>
              <w:pStyle w:val="In-tableHeading"/>
              <w:keepLines/>
              <w:rPr>
                <w:lang w:val="en-AU"/>
              </w:rPr>
            </w:pPr>
            <w:r w:rsidRPr="00820898">
              <w:rPr>
                <w:lang w:val="en-AU"/>
              </w:rPr>
              <w:t>Eligible population</w:t>
            </w:r>
          </w:p>
        </w:tc>
      </w:tr>
      <w:tr w:rsidR="0014093D" w:rsidRPr="00820898" w14:paraId="7A41B2CB" w14:textId="77777777" w:rsidTr="005636DC">
        <w:trPr>
          <w:cantSplit/>
        </w:trPr>
        <w:tc>
          <w:tcPr>
            <w:tcW w:w="1413" w:type="dxa"/>
            <w:vAlign w:val="center"/>
          </w:tcPr>
          <w:p w14:paraId="6AD35EEF" w14:textId="77777777" w:rsidR="0014093D" w:rsidRPr="00820898" w:rsidRDefault="0014093D" w:rsidP="00B57050">
            <w:pPr>
              <w:pStyle w:val="TableText0"/>
              <w:keepLines/>
            </w:pPr>
            <w:r w:rsidRPr="00820898">
              <w:t>Number of babies born with SMA each year</w:t>
            </w:r>
          </w:p>
        </w:tc>
        <w:tc>
          <w:tcPr>
            <w:tcW w:w="3685" w:type="dxa"/>
            <w:vAlign w:val="center"/>
          </w:tcPr>
          <w:p w14:paraId="49EDEE42" w14:textId="77777777" w:rsidR="0014093D" w:rsidRPr="00820898" w:rsidRDefault="0014093D" w:rsidP="00B57050">
            <w:pPr>
              <w:pStyle w:val="TableText0"/>
              <w:keepLines/>
            </w:pPr>
            <w:r w:rsidRPr="00820898">
              <w:t>1 in 10,000 live births</w:t>
            </w:r>
          </w:p>
          <w:p w14:paraId="47DA487F" w14:textId="77777777" w:rsidR="0014093D" w:rsidRPr="00820898" w:rsidRDefault="0014093D" w:rsidP="00B57050">
            <w:pPr>
              <w:pStyle w:val="TableText0"/>
              <w:keepLines/>
            </w:pPr>
            <w:r w:rsidRPr="00820898">
              <w:t xml:space="preserve">Source: SMA Australia </w:t>
            </w:r>
          </w:p>
        </w:tc>
        <w:tc>
          <w:tcPr>
            <w:tcW w:w="4082" w:type="dxa"/>
            <w:vAlign w:val="center"/>
          </w:tcPr>
          <w:p w14:paraId="1C1C06E8" w14:textId="77777777" w:rsidR="0014093D" w:rsidRPr="00820898" w:rsidRDefault="0014093D" w:rsidP="00B57050">
            <w:pPr>
              <w:pStyle w:val="TableText0"/>
              <w:keepLines/>
            </w:pPr>
            <w:r w:rsidRPr="00820898">
              <w:t xml:space="preserve">The incidence rate may be slightly overestimated. An incidence of 0.866 in 10,000 live births was reported from the state-wide pilot NBS program in NSW/ACT where 9 newborns with SMA were identified out of 103,903 newborns screened (Kariyawasam 2020). </w:t>
            </w:r>
          </w:p>
        </w:tc>
      </w:tr>
      <w:tr w:rsidR="0014093D" w:rsidRPr="00820898" w14:paraId="096796D6" w14:textId="77777777" w:rsidTr="005636DC">
        <w:trPr>
          <w:cantSplit/>
        </w:trPr>
        <w:tc>
          <w:tcPr>
            <w:tcW w:w="1413" w:type="dxa"/>
            <w:vAlign w:val="center"/>
          </w:tcPr>
          <w:p w14:paraId="4574FEA5" w14:textId="77777777" w:rsidR="0014093D" w:rsidRPr="00820898" w:rsidRDefault="0014093D" w:rsidP="00EF68D9">
            <w:pPr>
              <w:pStyle w:val="TableText0"/>
              <w:keepNext w:val="0"/>
            </w:pPr>
            <w:r w:rsidRPr="00820898">
              <w:t>Distribution of SMA phenotypes</w:t>
            </w:r>
          </w:p>
        </w:tc>
        <w:tc>
          <w:tcPr>
            <w:tcW w:w="3685" w:type="dxa"/>
            <w:vAlign w:val="center"/>
          </w:tcPr>
          <w:p w14:paraId="3459E52C" w14:textId="77777777" w:rsidR="0014093D" w:rsidRPr="00820898" w:rsidRDefault="0014093D" w:rsidP="00EF68D9">
            <w:pPr>
              <w:pStyle w:val="TableText0"/>
              <w:keepNext w:val="0"/>
            </w:pPr>
            <w:r w:rsidRPr="00820898">
              <w:t>Type I: 50.1%</w:t>
            </w:r>
          </w:p>
          <w:p w14:paraId="77B98BAB" w14:textId="77777777" w:rsidR="0014093D" w:rsidRPr="00820898" w:rsidRDefault="0014093D" w:rsidP="00EF68D9">
            <w:pPr>
              <w:pStyle w:val="TableText0"/>
              <w:keepNext w:val="0"/>
            </w:pPr>
            <w:r w:rsidRPr="00820898">
              <w:t>Type II: 29.3%</w:t>
            </w:r>
          </w:p>
          <w:p w14:paraId="2430124A" w14:textId="77777777" w:rsidR="0014093D" w:rsidRPr="00820898" w:rsidRDefault="0014093D" w:rsidP="00EF68D9">
            <w:pPr>
              <w:pStyle w:val="TableText0"/>
              <w:keepNext w:val="0"/>
            </w:pPr>
            <w:r w:rsidRPr="00820898">
              <w:t>Type III: 20.5%</w:t>
            </w:r>
          </w:p>
          <w:p w14:paraId="633A5B66" w14:textId="20B3CFD7" w:rsidR="0014093D" w:rsidRPr="00820898" w:rsidRDefault="0014093D" w:rsidP="00EF68D9">
            <w:pPr>
              <w:pStyle w:val="TableText0"/>
              <w:keepNext w:val="0"/>
              <w:jc w:val="both"/>
            </w:pPr>
            <w:r w:rsidRPr="00820898">
              <w:t xml:space="preserve">Source: Based on a study that analysed 375 SMA patients for their </w:t>
            </w:r>
            <w:r w:rsidR="00EA2BFF" w:rsidRPr="00EA2BFF">
              <w:rPr>
                <w:i/>
              </w:rPr>
              <w:t>SMN2</w:t>
            </w:r>
            <w:r w:rsidRPr="00820898">
              <w:t xml:space="preserve"> copy number (Feldkotter 2002). The resubmission claimed these SMA phenotype data were used in a prior submission recommended by PBAC (Figure 1, </w:t>
            </w:r>
            <w:r w:rsidR="006E1712">
              <w:t>ONA</w:t>
            </w:r>
            <w:r w:rsidRPr="00820898">
              <w:t xml:space="preserve"> </w:t>
            </w:r>
            <w:r w:rsidR="00D862B0" w:rsidRPr="00820898">
              <w:t>PSD</w:t>
            </w:r>
            <w:r w:rsidRPr="00820898">
              <w:t>, November 2020 PBAC Meeting with May 2021 Addendum and September 2021 Addendum). This appeared to be used to inform the population and disease, rather than financial estimates.</w:t>
            </w:r>
          </w:p>
        </w:tc>
        <w:tc>
          <w:tcPr>
            <w:tcW w:w="4082" w:type="dxa"/>
            <w:vAlign w:val="center"/>
          </w:tcPr>
          <w:p w14:paraId="50D152F0" w14:textId="5DEE7E2E" w:rsidR="0014093D" w:rsidRPr="00820898" w:rsidRDefault="0014093D" w:rsidP="00EF68D9">
            <w:pPr>
              <w:pStyle w:val="TableText0"/>
              <w:keepNext w:val="0"/>
            </w:pPr>
            <w:r w:rsidRPr="00820898">
              <w:t xml:space="preserve">Inappropriately does not account for SMA Type IV, and patients with 3 </w:t>
            </w:r>
            <w:r w:rsidR="00EA2BFF" w:rsidRPr="00EA2BFF">
              <w:rPr>
                <w:i/>
              </w:rPr>
              <w:t>SMN2</w:t>
            </w:r>
            <w:r w:rsidRPr="00820898">
              <w:t xml:space="preserve"> copies could have this phenotype. The estimates for Type I w</w:t>
            </w:r>
            <w:r w:rsidR="00B00909">
              <w:t>ere</w:t>
            </w:r>
            <w:r w:rsidRPr="00820898">
              <w:t xml:space="preserve"> previously assumed to be 60% based on an estimate by SMA Australia (Table 15, </w:t>
            </w:r>
            <w:r w:rsidR="00C825D9">
              <w:t>ONA</w:t>
            </w:r>
            <w:r w:rsidRPr="00820898">
              <w:t xml:space="preserve"> </w:t>
            </w:r>
            <w:r w:rsidR="00D862B0" w:rsidRPr="00820898">
              <w:t>PSD</w:t>
            </w:r>
            <w:r w:rsidRPr="00820898">
              <w:t xml:space="preserve">, November 2020 PBAC meeting). The resubmission erroneously assumed that there will be 30% Type II (for a total of 100.7% across all three SMA types) in the base case. This was corrected during evaluation. </w:t>
            </w:r>
            <w:r w:rsidR="006D7CE7">
              <w:t>S</w:t>
            </w:r>
            <w:r w:rsidR="006D7CE7" w:rsidRPr="00820898">
              <w:t>ensitivity analyses</w:t>
            </w:r>
            <w:r w:rsidR="006D7CE7">
              <w:t xml:space="preserve"> increasing the number of Type I patients to 60% increased the offsets and decreased the net cost of listing by approximately 20%</w:t>
            </w:r>
            <w:r w:rsidR="006D7CE7" w:rsidRPr="00820898">
              <w:t>.</w:t>
            </w:r>
          </w:p>
        </w:tc>
      </w:tr>
      <w:tr w:rsidR="0014093D" w:rsidRPr="00820898" w14:paraId="4F593A5C" w14:textId="77777777" w:rsidTr="005636DC">
        <w:trPr>
          <w:cantSplit/>
        </w:trPr>
        <w:tc>
          <w:tcPr>
            <w:tcW w:w="1413" w:type="dxa"/>
            <w:vAlign w:val="center"/>
          </w:tcPr>
          <w:p w14:paraId="66123474" w14:textId="1D4AB859" w:rsidR="0014093D" w:rsidRPr="00820898" w:rsidRDefault="0014093D" w:rsidP="00EF68D9">
            <w:pPr>
              <w:pStyle w:val="TableText0"/>
              <w:keepNext w:val="0"/>
            </w:pPr>
            <w:r w:rsidRPr="00820898">
              <w:t xml:space="preserve">Proportion of each SMA Type who have 3 copies of </w:t>
            </w:r>
            <w:r w:rsidR="00EA2BFF" w:rsidRPr="00EA2BFF">
              <w:rPr>
                <w:i/>
              </w:rPr>
              <w:t>SMN2</w:t>
            </w:r>
            <w:r w:rsidRPr="00820898">
              <w:t xml:space="preserve"> gene</w:t>
            </w:r>
          </w:p>
        </w:tc>
        <w:tc>
          <w:tcPr>
            <w:tcW w:w="3685" w:type="dxa"/>
            <w:vAlign w:val="center"/>
          </w:tcPr>
          <w:p w14:paraId="6373467E" w14:textId="77777777" w:rsidR="0014093D" w:rsidRPr="00820898" w:rsidRDefault="0014093D" w:rsidP="00EF68D9">
            <w:pPr>
              <w:pStyle w:val="TableText0"/>
              <w:keepNext w:val="0"/>
            </w:pPr>
            <w:r w:rsidRPr="00820898">
              <w:t>Type I: 20%</w:t>
            </w:r>
          </w:p>
          <w:p w14:paraId="58642F61" w14:textId="77777777" w:rsidR="0014093D" w:rsidRPr="00820898" w:rsidRDefault="0014093D" w:rsidP="00EF68D9">
            <w:pPr>
              <w:pStyle w:val="TableText0"/>
              <w:keepNext w:val="0"/>
            </w:pPr>
            <w:r w:rsidRPr="00820898">
              <w:t>Type II: 82%</w:t>
            </w:r>
          </w:p>
          <w:p w14:paraId="167A93C0" w14:textId="77777777" w:rsidR="0014093D" w:rsidRPr="00820898" w:rsidRDefault="0014093D" w:rsidP="00EF68D9">
            <w:pPr>
              <w:pStyle w:val="TableText0"/>
              <w:keepNext w:val="0"/>
            </w:pPr>
            <w:r w:rsidRPr="00820898">
              <w:t>Type III: 50%</w:t>
            </w:r>
          </w:p>
          <w:p w14:paraId="7782FBB9" w14:textId="77777777" w:rsidR="0014093D" w:rsidRPr="00820898" w:rsidRDefault="0014093D" w:rsidP="00EF68D9">
            <w:pPr>
              <w:pStyle w:val="TableText0"/>
              <w:keepNext w:val="0"/>
            </w:pPr>
            <w:r w:rsidRPr="00820898">
              <w:t xml:space="preserve">Source: As above, (Feldkotter 2002). </w:t>
            </w:r>
          </w:p>
        </w:tc>
        <w:tc>
          <w:tcPr>
            <w:tcW w:w="4082" w:type="dxa"/>
            <w:vAlign w:val="center"/>
          </w:tcPr>
          <w:p w14:paraId="76FFD347" w14:textId="13E469AF" w:rsidR="0014093D" w:rsidRPr="00820898" w:rsidRDefault="0014093D" w:rsidP="00EF68D9">
            <w:pPr>
              <w:pStyle w:val="TableText0"/>
              <w:keepNext w:val="0"/>
            </w:pPr>
            <w:r w:rsidRPr="00820898">
              <w:t>This w</w:t>
            </w:r>
            <w:r w:rsidR="004611C9" w:rsidRPr="00820898">
              <w:t>as</w:t>
            </w:r>
            <w:r w:rsidRPr="00820898">
              <w:t xml:space="preserve"> similar to previously observed figures (Type I: 20%; Type II: 78%; Type III: 49%). </w:t>
            </w:r>
          </w:p>
        </w:tc>
      </w:tr>
      <w:tr w:rsidR="0014093D" w:rsidRPr="00820898" w14:paraId="2F62EB82" w14:textId="77777777" w:rsidTr="005636DC">
        <w:trPr>
          <w:cantSplit/>
        </w:trPr>
        <w:tc>
          <w:tcPr>
            <w:tcW w:w="1413" w:type="dxa"/>
            <w:vAlign w:val="center"/>
          </w:tcPr>
          <w:p w14:paraId="2D20C718" w14:textId="77777777" w:rsidR="0014093D" w:rsidRPr="00820898" w:rsidRDefault="0014093D" w:rsidP="00EF68D9">
            <w:pPr>
              <w:pStyle w:val="TableText0"/>
              <w:keepNext w:val="0"/>
            </w:pPr>
            <w:r w:rsidRPr="00820898">
              <w:t>Distribution of Type 3 sub-phenotypes</w:t>
            </w:r>
          </w:p>
        </w:tc>
        <w:tc>
          <w:tcPr>
            <w:tcW w:w="3685" w:type="dxa"/>
            <w:vAlign w:val="center"/>
          </w:tcPr>
          <w:p w14:paraId="5D82BE3B" w14:textId="77777777" w:rsidR="0014093D" w:rsidRPr="00820898" w:rsidRDefault="0014093D" w:rsidP="00EF68D9">
            <w:pPr>
              <w:pStyle w:val="TableText0"/>
              <w:keepNext w:val="0"/>
            </w:pPr>
            <w:r w:rsidRPr="00820898">
              <w:t>Type IIIa: 75% of Type 3</w:t>
            </w:r>
          </w:p>
          <w:p w14:paraId="7BC8C774" w14:textId="77777777" w:rsidR="0014093D" w:rsidRPr="00820898" w:rsidRDefault="0014093D" w:rsidP="00EF68D9">
            <w:pPr>
              <w:pStyle w:val="TableText0"/>
              <w:keepNext w:val="0"/>
            </w:pPr>
            <w:r w:rsidRPr="00820898">
              <w:t>Type IIIb: 25% of Type 3</w:t>
            </w:r>
          </w:p>
          <w:p w14:paraId="6098AE2A" w14:textId="77777777" w:rsidR="0014093D" w:rsidRPr="00820898" w:rsidRDefault="0014093D" w:rsidP="00EF68D9">
            <w:pPr>
              <w:pStyle w:val="TableText0"/>
              <w:keepNext w:val="0"/>
            </w:pPr>
            <w:r w:rsidRPr="00820898">
              <w:t xml:space="preserve">Source: Data from a cross-sectional study of patients with SMA in the Netherlands (N=180) (Wadman 2018). </w:t>
            </w:r>
          </w:p>
        </w:tc>
        <w:tc>
          <w:tcPr>
            <w:tcW w:w="4082" w:type="dxa"/>
            <w:vAlign w:val="center"/>
          </w:tcPr>
          <w:p w14:paraId="5C5E795E" w14:textId="54E91DA7" w:rsidR="0014093D" w:rsidRPr="00820898" w:rsidRDefault="0003678C" w:rsidP="00EF68D9">
            <w:pPr>
              <w:pStyle w:val="TableText0"/>
              <w:keepNext w:val="0"/>
            </w:pPr>
            <w:r>
              <w:t>Based on a</w:t>
            </w:r>
            <w:r w:rsidR="0014093D" w:rsidRPr="00820898">
              <w:t xml:space="preserve"> small sample size</w:t>
            </w:r>
            <w:r>
              <w:t>.</w:t>
            </w:r>
            <w:r w:rsidR="0014093D" w:rsidRPr="00820898">
              <w:t xml:space="preserve"> Out of the 24 Type III patients with 3</w:t>
            </w:r>
            <w:r w:rsidR="00C825D9">
              <w:t xml:space="preserve"> </w:t>
            </w:r>
            <w:r w:rsidR="00B64F80" w:rsidRPr="00C825D9">
              <w:rPr>
                <w:i/>
                <w:iCs/>
              </w:rPr>
              <w:t>SMN2</w:t>
            </w:r>
            <w:r w:rsidR="0014093D" w:rsidRPr="00820898">
              <w:t xml:space="preserve"> copies, 18 (75%) had Type IIIa and 6 (25%) had IIIb SMA. </w:t>
            </w:r>
          </w:p>
        </w:tc>
      </w:tr>
      <w:tr w:rsidR="0014093D" w:rsidRPr="00820898" w14:paraId="513A1D01" w14:textId="77777777" w:rsidTr="00EF68D9">
        <w:trPr>
          <w:cantSplit/>
        </w:trPr>
        <w:tc>
          <w:tcPr>
            <w:tcW w:w="9180" w:type="dxa"/>
            <w:gridSpan w:val="3"/>
            <w:vAlign w:val="center"/>
          </w:tcPr>
          <w:p w14:paraId="00F1A456" w14:textId="77777777" w:rsidR="0014093D" w:rsidRPr="00820898" w:rsidRDefault="0014093D" w:rsidP="00EF68D9">
            <w:pPr>
              <w:pStyle w:val="TableText0"/>
              <w:keepNext w:val="0"/>
              <w:rPr>
                <w:b/>
              </w:rPr>
            </w:pPr>
            <w:r w:rsidRPr="00820898">
              <w:rPr>
                <w:b/>
              </w:rPr>
              <w:t>Treatment utilisation</w:t>
            </w:r>
          </w:p>
        </w:tc>
      </w:tr>
      <w:tr w:rsidR="0014093D" w:rsidRPr="00820898" w14:paraId="4026BC7E" w14:textId="77777777" w:rsidTr="005636DC">
        <w:trPr>
          <w:cantSplit/>
        </w:trPr>
        <w:tc>
          <w:tcPr>
            <w:tcW w:w="1413" w:type="dxa"/>
            <w:vAlign w:val="center"/>
          </w:tcPr>
          <w:p w14:paraId="3D779E2F" w14:textId="77777777" w:rsidR="0014093D" w:rsidRPr="00820898" w:rsidRDefault="0014093D" w:rsidP="00EF68D9">
            <w:pPr>
              <w:pStyle w:val="TableText0"/>
              <w:keepNext w:val="0"/>
            </w:pPr>
            <w:r w:rsidRPr="00820898">
              <w:t>Treatment uptake rate</w:t>
            </w:r>
          </w:p>
        </w:tc>
        <w:tc>
          <w:tcPr>
            <w:tcW w:w="3685" w:type="dxa"/>
            <w:vAlign w:val="center"/>
          </w:tcPr>
          <w:p w14:paraId="30FC48D1" w14:textId="77777777" w:rsidR="0014093D" w:rsidRPr="00820898" w:rsidRDefault="0014093D" w:rsidP="00EF68D9">
            <w:pPr>
              <w:pStyle w:val="TableText0"/>
              <w:keepNext w:val="0"/>
            </w:pPr>
            <w:r w:rsidRPr="00820898">
              <w:t>95%</w:t>
            </w:r>
          </w:p>
          <w:p w14:paraId="5982484D" w14:textId="55CCF68C" w:rsidR="0014093D" w:rsidRPr="00820898" w:rsidRDefault="0014093D" w:rsidP="00EF68D9">
            <w:pPr>
              <w:pStyle w:val="TableText0"/>
              <w:keepNext w:val="0"/>
            </w:pPr>
            <w:r w:rsidRPr="00820898">
              <w:t xml:space="preserve">Source: </w:t>
            </w:r>
            <w:r w:rsidR="00F12778" w:rsidRPr="00820898">
              <w:t xml:space="preserve">Assumption. </w:t>
            </w:r>
          </w:p>
        </w:tc>
        <w:tc>
          <w:tcPr>
            <w:tcW w:w="4082" w:type="dxa"/>
            <w:vAlign w:val="center"/>
          </w:tcPr>
          <w:p w14:paraId="761C8BA9" w14:textId="331B2A75" w:rsidR="0014093D" w:rsidRPr="00820898" w:rsidRDefault="0003678C" w:rsidP="00EF68D9">
            <w:pPr>
              <w:pStyle w:val="TableText0"/>
              <w:keepNext w:val="0"/>
            </w:pPr>
            <w:r w:rsidRPr="00820898">
              <w:t xml:space="preserve">In response to the suggestion that the previous rate of 90% was an underestimate of treatment uptake, was increased to 95% (Table 15, </w:t>
            </w:r>
            <w:r>
              <w:t xml:space="preserve">ONA </w:t>
            </w:r>
            <w:r w:rsidRPr="00820898">
              <w:t>PSD, November 2022 PBAC meeting).</w:t>
            </w:r>
          </w:p>
        </w:tc>
      </w:tr>
      <w:tr w:rsidR="0014093D" w:rsidRPr="00820898" w14:paraId="7B4D7BB2" w14:textId="77777777" w:rsidTr="005636DC">
        <w:trPr>
          <w:cantSplit/>
        </w:trPr>
        <w:tc>
          <w:tcPr>
            <w:tcW w:w="1413" w:type="dxa"/>
            <w:vAlign w:val="center"/>
          </w:tcPr>
          <w:p w14:paraId="291A0F68" w14:textId="77777777" w:rsidR="0014093D" w:rsidRPr="00820898" w:rsidRDefault="0014093D" w:rsidP="00EF68D9">
            <w:pPr>
              <w:pStyle w:val="TableText0"/>
              <w:keepNext w:val="0"/>
            </w:pPr>
            <w:r w:rsidRPr="00820898">
              <w:t>Treatment discontinuation rate</w:t>
            </w:r>
          </w:p>
        </w:tc>
        <w:tc>
          <w:tcPr>
            <w:tcW w:w="3685" w:type="dxa"/>
            <w:vAlign w:val="center"/>
          </w:tcPr>
          <w:p w14:paraId="67CDD641" w14:textId="77777777" w:rsidR="0014093D" w:rsidRPr="00820898" w:rsidRDefault="0014093D" w:rsidP="00EF68D9">
            <w:pPr>
              <w:pStyle w:val="TableText0"/>
              <w:keepNext w:val="0"/>
            </w:pPr>
            <w:r w:rsidRPr="00820898">
              <w:t>5%</w:t>
            </w:r>
          </w:p>
          <w:p w14:paraId="5EA174C5" w14:textId="4E539089" w:rsidR="0014093D" w:rsidRPr="00820898" w:rsidRDefault="0014093D" w:rsidP="00EF68D9">
            <w:pPr>
              <w:pStyle w:val="TableText0"/>
              <w:keepNext w:val="0"/>
            </w:pPr>
            <w:r w:rsidRPr="00820898">
              <w:t xml:space="preserve">Source: </w:t>
            </w:r>
            <w:r w:rsidR="00350E4A" w:rsidRPr="00820898">
              <w:t xml:space="preserve">Assumption </w:t>
            </w:r>
            <w:r w:rsidRPr="00820898">
              <w:t xml:space="preserve">The resubmission claimed this was in response to the view that 0% treatment discontinuation was not a reasonable assumption for this population, therefore a </w:t>
            </w:r>
            <w:r w:rsidR="004E27E7" w:rsidRPr="005C00E6">
              <w:rPr>
                <w:color w:val="000000"/>
                <w:spacing w:val="50"/>
                <w:shd w:val="solid" w:color="000000" w:fill="000000"/>
                <w:fitText w:val="322" w:id="-1167951611"/>
                <w14:textFill>
                  <w14:solidFill>
                    <w14:srgbClr w14:val="000000">
                      <w14:alpha w14:val="100000"/>
                    </w14:srgbClr>
                  </w14:solidFill>
                </w14:textFill>
              </w:rPr>
              <w:t>|||</w:t>
            </w:r>
            <w:r w:rsidR="004E27E7" w:rsidRPr="005C00E6">
              <w:rPr>
                <w:color w:val="000000"/>
                <w:spacing w:val="2"/>
                <w:shd w:val="solid" w:color="000000" w:fill="000000"/>
                <w:fitText w:val="322" w:id="-1167951611"/>
                <w14:textFill>
                  <w14:solidFill>
                    <w14:srgbClr w14:val="000000">
                      <w14:alpha w14:val="100000"/>
                    </w14:srgbClr>
                  </w14:solidFill>
                </w14:textFill>
              </w:rPr>
              <w:t>|</w:t>
            </w:r>
            <w:r w:rsidRPr="00820898">
              <w:t xml:space="preserve">% discontinuation rate after the first year of treatment was applied </w:t>
            </w:r>
            <w:r w:rsidR="00350E4A" w:rsidRPr="00820898">
              <w:t xml:space="preserve">for </w:t>
            </w:r>
            <w:r w:rsidR="00613157" w:rsidRPr="00820898">
              <w:t xml:space="preserve">symptomatic treatment with NUSI and RIS </w:t>
            </w:r>
            <w:r w:rsidRPr="00820898">
              <w:t xml:space="preserve">(paragraph 6.74, </w:t>
            </w:r>
            <w:r w:rsidR="00C825D9">
              <w:t>ONA</w:t>
            </w:r>
            <w:r w:rsidRPr="00820898">
              <w:t xml:space="preserve"> </w:t>
            </w:r>
            <w:r w:rsidR="00D862B0" w:rsidRPr="00820898">
              <w:t>PSD</w:t>
            </w:r>
            <w:r w:rsidRPr="00820898">
              <w:t>, November 2022 PBAC meeting).</w:t>
            </w:r>
          </w:p>
        </w:tc>
        <w:tc>
          <w:tcPr>
            <w:tcW w:w="4082" w:type="dxa"/>
            <w:vAlign w:val="center"/>
          </w:tcPr>
          <w:p w14:paraId="73099EC0" w14:textId="77777777" w:rsidR="0014093D" w:rsidRPr="00820898" w:rsidRDefault="0014093D" w:rsidP="00EF68D9">
            <w:pPr>
              <w:pStyle w:val="TableText0"/>
              <w:keepNext w:val="0"/>
            </w:pPr>
            <w:r w:rsidRPr="00820898">
              <w:t xml:space="preserve">While patients may discontinue treatment, this potentially underestimated the cost offset as it did not account for treatment switching. </w:t>
            </w:r>
          </w:p>
          <w:p w14:paraId="531C2F40" w14:textId="63168237" w:rsidR="0014093D" w:rsidRPr="00820898" w:rsidRDefault="0014093D" w:rsidP="00EF68D9">
            <w:pPr>
              <w:pStyle w:val="TableText0"/>
              <w:keepNext w:val="0"/>
            </w:pPr>
            <w:r w:rsidRPr="00820898">
              <w:t xml:space="preserve">In consideration of the previous submission, it was noted that “in clinical studies patients did discontinue treatment with nusinersen and in practice patients could discontinue nusinersen and switch to risdiplam treatment” (paragraph 6.74, </w:t>
            </w:r>
            <w:r w:rsidR="00C825D9">
              <w:t xml:space="preserve">ONA </w:t>
            </w:r>
            <w:r w:rsidR="00D862B0" w:rsidRPr="00820898">
              <w:t>PSD</w:t>
            </w:r>
            <w:r w:rsidRPr="00820898">
              <w:t xml:space="preserve">, November 2022 PBAC meeting). </w:t>
            </w:r>
          </w:p>
        </w:tc>
      </w:tr>
      <w:tr w:rsidR="0014093D" w:rsidRPr="00820898" w14:paraId="2190EA55" w14:textId="77777777" w:rsidTr="00EF68D9">
        <w:trPr>
          <w:cantSplit/>
        </w:trPr>
        <w:tc>
          <w:tcPr>
            <w:tcW w:w="9180" w:type="dxa"/>
            <w:gridSpan w:val="3"/>
            <w:vAlign w:val="center"/>
          </w:tcPr>
          <w:p w14:paraId="668F4683" w14:textId="77777777" w:rsidR="0014093D" w:rsidRPr="00820898" w:rsidRDefault="0014093D" w:rsidP="00EF68D9">
            <w:pPr>
              <w:pStyle w:val="TableText0"/>
              <w:keepNext w:val="0"/>
              <w:rPr>
                <w:b/>
              </w:rPr>
            </w:pPr>
            <w:r w:rsidRPr="00820898">
              <w:rPr>
                <w:b/>
              </w:rPr>
              <w:t>Costs</w:t>
            </w:r>
          </w:p>
        </w:tc>
      </w:tr>
      <w:tr w:rsidR="00AD6AFE" w:rsidRPr="00820898" w14:paraId="67BEA13D" w14:textId="77777777" w:rsidTr="005636DC">
        <w:trPr>
          <w:cantSplit/>
        </w:trPr>
        <w:tc>
          <w:tcPr>
            <w:tcW w:w="1413" w:type="dxa"/>
            <w:vAlign w:val="center"/>
          </w:tcPr>
          <w:p w14:paraId="3642A251" w14:textId="77777777" w:rsidR="00AD6AFE" w:rsidRPr="00820898" w:rsidRDefault="00AD6AFE" w:rsidP="00EF68D9">
            <w:pPr>
              <w:pStyle w:val="TableText0"/>
              <w:keepNext w:val="0"/>
            </w:pPr>
            <w:r w:rsidRPr="00820898">
              <w:t>Drug costs</w:t>
            </w:r>
          </w:p>
        </w:tc>
        <w:tc>
          <w:tcPr>
            <w:tcW w:w="3685" w:type="dxa"/>
            <w:vAlign w:val="center"/>
          </w:tcPr>
          <w:p w14:paraId="7D58C76D" w14:textId="15565600" w:rsidR="00AD6AFE" w:rsidRPr="00F44004" w:rsidRDefault="00AD6AFE" w:rsidP="00EF68D9">
            <w:pPr>
              <w:rPr>
                <w:rFonts w:ascii="Arial Narrow" w:hAnsi="Arial Narrow"/>
                <w:bCs/>
                <w:sz w:val="20"/>
                <w:szCs w:val="20"/>
              </w:rPr>
            </w:pPr>
            <w:r w:rsidRPr="00820898">
              <w:rPr>
                <w:rFonts w:ascii="Arial Narrow" w:hAnsi="Arial Narrow"/>
                <w:bCs/>
                <w:sz w:val="20"/>
                <w:szCs w:val="20"/>
              </w:rPr>
              <w:t xml:space="preserve">As per </w:t>
            </w:r>
            <w:r w:rsidRPr="00820898">
              <w:rPr>
                <w:rFonts w:ascii="Arial Narrow" w:hAnsi="Arial Narrow"/>
                <w:bCs/>
                <w:sz w:val="20"/>
                <w:szCs w:val="20"/>
              </w:rPr>
              <w:fldChar w:fldCharType="begin" w:fldLock="1"/>
            </w:r>
            <w:r w:rsidRPr="00820898">
              <w:rPr>
                <w:rFonts w:ascii="Arial Narrow" w:hAnsi="Arial Narrow"/>
                <w:bCs/>
                <w:sz w:val="20"/>
                <w:szCs w:val="20"/>
              </w:rPr>
              <w:instrText xml:space="preserve"> REF _Ref134461296 \h  \* MERGEFORMAT </w:instrText>
            </w:r>
            <w:r w:rsidRPr="00820898">
              <w:rPr>
                <w:rFonts w:ascii="Arial Narrow" w:hAnsi="Arial Narrow"/>
                <w:bCs/>
                <w:sz w:val="20"/>
                <w:szCs w:val="20"/>
              </w:rPr>
            </w:r>
            <w:r w:rsidRPr="00820898">
              <w:rPr>
                <w:rFonts w:ascii="Arial Narrow" w:hAnsi="Arial Narrow"/>
                <w:bCs/>
                <w:sz w:val="20"/>
                <w:szCs w:val="20"/>
              </w:rPr>
              <w:fldChar w:fldCharType="separate"/>
            </w:r>
            <w:r w:rsidR="00B00909" w:rsidRPr="00B00909">
              <w:rPr>
                <w:rFonts w:ascii="Arial Narrow" w:hAnsi="Arial Narrow"/>
                <w:bCs/>
                <w:sz w:val="20"/>
                <w:szCs w:val="20"/>
              </w:rPr>
              <w:t>Table 12</w:t>
            </w:r>
            <w:r w:rsidRPr="00820898">
              <w:rPr>
                <w:rFonts w:ascii="Arial Narrow" w:hAnsi="Arial Narrow"/>
                <w:bCs/>
                <w:sz w:val="20"/>
                <w:szCs w:val="20"/>
              </w:rPr>
              <w:fldChar w:fldCharType="end"/>
            </w:r>
            <w:r w:rsidRPr="00820898">
              <w:rPr>
                <w:rFonts w:ascii="Arial Narrow" w:hAnsi="Arial Narrow"/>
                <w:bCs/>
                <w:sz w:val="20"/>
                <w:szCs w:val="20"/>
              </w:rPr>
              <w:t xml:space="preserve"> for ONA, RIS and NUSI.</w:t>
            </w:r>
            <w:r w:rsidR="009C2499" w:rsidRPr="00820898">
              <w:rPr>
                <w:rFonts w:ascii="Arial Narrow" w:hAnsi="Arial Narrow"/>
                <w:bCs/>
                <w:sz w:val="20"/>
                <w:szCs w:val="20"/>
              </w:rPr>
              <w:t xml:space="preserve"> Effective price for RIS and NUSI based on an </w:t>
            </w:r>
            <w:r w:rsidR="009C2499" w:rsidRPr="00F44004">
              <w:rPr>
                <w:rFonts w:ascii="Arial Narrow" w:hAnsi="Arial Narrow"/>
                <w:bCs/>
                <w:sz w:val="20"/>
                <w:szCs w:val="20"/>
              </w:rPr>
              <w:t>estimated 32.46% discount from published price.</w:t>
            </w:r>
          </w:p>
          <w:p w14:paraId="47EC63FE" w14:textId="77777777" w:rsidR="009C2499" w:rsidRPr="00F44004" w:rsidRDefault="009C2499" w:rsidP="00EF68D9">
            <w:pPr>
              <w:rPr>
                <w:rFonts w:ascii="Arial Narrow" w:hAnsi="Arial Narrow"/>
                <w:bCs/>
                <w:sz w:val="20"/>
                <w:szCs w:val="20"/>
              </w:rPr>
            </w:pPr>
          </w:p>
          <w:p w14:paraId="3559C835" w14:textId="1388437A" w:rsidR="00AD6AFE" w:rsidRPr="00820898" w:rsidRDefault="00AD6AFE" w:rsidP="00EF68D9">
            <w:pPr>
              <w:rPr>
                <w:rFonts w:ascii="Arial Narrow" w:hAnsi="Arial Narrow"/>
                <w:bCs/>
                <w:sz w:val="20"/>
                <w:szCs w:val="20"/>
              </w:rPr>
            </w:pPr>
            <w:r w:rsidRPr="00F44004">
              <w:rPr>
                <w:rFonts w:ascii="Arial Narrow" w:hAnsi="Arial Narrow"/>
                <w:bCs/>
                <w:sz w:val="20"/>
                <w:szCs w:val="20"/>
              </w:rPr>
              <w:t>$19.34 for Prednisolone (2 units per ONA treatment)</w:t>
            </w:r>
          </w:p>
        </w:tc>
        <w:tc>
          <w:tcPr>
            <w:tcW w:w="4082" w:type="dxa"/>
            <w:vAlign w:val="center"/>
          </w:tcPr>
          <w:p w14:paraId="00E8EF78" w14:textId="0337738A" w:rsidR="004F47FD" w:rsidRDefault="004F47FD" w:rsidP="009C2499">
            <w:pPr>
              <w:pStyle w:val="TableText0"/>
              <w:keepNext w:val="0"/>
            </w:pPr>
          </w:p>
          <w:p w14:paraId="0158174E" w14:textId="2B82C3B8" w:rsidR="004F47FD" w:rsidRDefault="004F47FD" w:rsidP="009C2499">
            <w:pPr>
              <w:pStyle w:val="TableText0"/>
              <w:keepNext w:val="0"/>
            </w:pPr>
          </w:p>
          <w:p w14:paraId="529B33C5" w14:textId="271DDE34" w:rsidR="004F47FD" w:rsidRDefault="004F47FD" w:rsidP="009C2499">
            <w:pPr>
              <w:pStyle w:val="TableText0"/>
              <w:keepNext w:val="0"/>
            </w:pPr>
          </w:p>
          <w:p w14:paraId="3FE23394" w14:textId="77777777" w:rsidR="004F47FD" w:rsidRPr="00820898" w:rsidRDefault="004F47FD" w:rsidP="009C2499">
            <w:pPr>
              <w:pStyle w:val="TableText0"/>
              <w:keepNext w:val="0"/>
            </w:pPr>
          </w:p>
          <w:p w14:paraId="5B85C2B7" w14:textId="77777777" w:rsidR="009C2499" w:rsidRPr="00820898" w:rsidRDefault="009C2499" w:rsidP="009C2499">
            <w:pPr>
              <w:pStyle w:val="TableText0"/>
              <w:keepNext w:val="0"/>
            </w:pPr>
          </w:p>
          <w:p w14:paraId="5062575E" w14:textId="351E6839" w:rsidR="00AD6AFE" w:rsidRPr="00820898" w:rsidRDefault="009C2499" w:rsidP="009C2499">
            <w:pPr>
              <w:pStyle w:val="TableText0"/>
              <w:keepNext w:val="0"/>
            </w:pPr>
            <w:r w:rsidRPr="00820898">
              <w:t>The DPMQ of prednisolone was $18.53 at the time of evaluation.</w:t>
            </w:r>
          </w:p>
        </w:tc>
      </w:tr>
      <w:tr w:rsidR="0014093D" w:rsidRPr="00820898" w14:paraId="5622B7EB" w14:textId="77777777" w:rsidTr="005636DC">
        <w:trPr>
          <w:cantSplit/>
        </w:trPr>
        <w:tc>
          <w:tcPr>
            <w:tcW w:w="1413" w:type="dxa"/>
            <w:vAlign w:val="center"/>
          </w:tcPr>
          <w:p w14:paraId="4F7A7115" w14:textId="77777777" w:rsidR="0014093D" w:rsidRPr="00820898" w:rsidRDefault="0014093D" w:rsidP="00EF68D9">
            <w:pPr>
              <w:pStyle w:val="TableText0"/>
              <w:keepNext w:val="0"/>
              <w:rPr>
                <w:highlight w:val="yellow"/>
              </w:rPr>
            </w:pPr>
            <w:r w:rsidRPr="00820898">
              <w:t>MBS costs</w:t>
            </w:r>
          </w:p>
        </w:tc>
        <w:tc>
          <w:tcPr>
            <w:tcW w:w="3685" w:type="dxa"/>
            <w:vAlign w:val="center"/>
          </w:tcPr>
          <w:tbl>
            <w:tblPr>
              <w:tblStyle w:val="TableGrid"/>
              <w:tblW w:w="0" w:type="auto"/>
              <w:tblLayout w:type="fixed"/>
              <w:tblLook w:val="04A0" w:firstRow="1" w:lastRow="0" w:firstColumn="1" w:lastColumn="0" w:noHBand="0" w:noVBand="1"/>
            </w:tblPr>
            <w:tblGrid>
              <w:gridCol w:w="2015"/>
              <w:gridCol w:w="709"/>
              <w:gridCol w:w="850"/>
              <w:gridCol w:w="878"/>
            </w:tblGrid>
            <w:tr w:rsidR="0014093D" w:rsidRPr="00820898" w14:paraId="63C235D7" w14:textId="77777777" w:rsidTr="00EF68D9">
              <w:tc>
                <w:tcPr>
                  <w:tcW w:w="2015" w:type="dxa"/>
                </w:tcPr>
                <w:p w14:paraId="275100EE"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Service</w:t>
                  </w:r>
                </w:p>
              </w:tc>
              <w:tc>
                <w:tcPr>
                  <w:tcW w:w="709" w:type="dxa"/>
                </w:tcPr>
                <w:p w14:paraId="699D7D2E"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MBS item</w:t>
                  </w:r>
                </w:p>
              </w:tc>
              <w:tc>
                <w:tcPr>
                  <w:tcW w:w="850" w:type="dxa"/>
                </w:tcPr>
                <w:p w14:paraId="59D83BEE"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MBS cost</w:t>
                  </w:r>
                </w:p>
              </w:tc>
              <w:tc>
                <w:tcPr>
                  <w:tcW w:w="878" w:type="dxa"/>
                </w:tcPr>
                <w:p w14:paraId="577FFAB7"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No. services</w:t>
                  </w:r>
                </w:p>
              </w:tc>
            </w:tr>
            <w:tr w:rsidR="0014093D" w:rsidRPr="00820898" w14:paraId="6CBB282D" w14:textId="77777777" w:rsidTr="00EF68D9">
              <w:tc>
                <w:tcPr>
                  <w:tcW w:w="4452" w:type="dxa"/>
                  <w:gridSpan w:val="4"/>
                  <w:tcBorders>
                    <w:bottom w:val="single" w:sz="4" w:space="0" w:color="auto"/>
                  </w:tcBorders>
                </w:tcPr>
                <w:p w14:paraId="2C986082"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ONA</w:t>
                  </w:r>
                </w:p>
              </w:tc>
            </w:tr>
            <w:tr w:rsidR="0014093D" w:rsidRPr="00820898" w14:paraId="46163E3E" w14:textId="77777777" w:rsidTr="00EF68D9">
              <w:tc>
                <w:tcPr>
                  <w:tcW w:w="2015" w:type="dxa"/>
                  <w:tcBorders>
                    <w:bottom w:val="single" w:sz="4" w:space="0" w:color="auto"/>
                  </w:tcBorders>
                </w:tcPr>
                <w:p w14:paraId="63013517"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 xml:space="preserve">Pre-treatment consultation </w:t>
                  </w:r>
                </w:p>
              </w:tc>
              <w:tc>
                <w:tcPr>
                  <w:tcW w:w="709" w:type="dxa"/>
                  <w:tcBorders>
                    <w:bottom w:val="single" w:sz="4" w:space="0" w:color="auto"/>
                  </w:tcBorders>
                  <w:vAlign w:val="center"/>
                </w:tcPr>
                <w:p w14:paraId="405E9F2D"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104</w:t>
                  </w:r>
                </w:p>
              </w:tc>
              <w:tc>
                <w:tcPr>
                  <w:tcW w:w="850" w:type="dxa"/>
                  <w:tcBorders>
                    <w:bottom w:val="single" w:sz="4" w:space="0" w:color="auto"/>
                  </w:tcBorders>
                  <w:vAlign w:val="center"/>
                </w:tcPr>
                <w:p w14:paraId="090D69CD"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$91.80</w:t>
                  </w:r>
                </w:p>
              </w:tc>
              <w:tc>
                <w:tcPr>
                  <w:tcW w:w="878" w:type="dxa"/>
                  <w:tcBorders>
                    <w:bottom w:val="single" w:sz="4" w:space="0" w:color="auto"/>
                  </w:tcBorders>
                  <w:vAlign w:val="center"/>
                </w:tcPr>
                <w:p w14:paraId="62A098E4"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w:t>
                  </w:r>
                </w:p>
              </w:tc>
            </w:tr>
            <w:tr w:rsidR="0014093D" w:rsidRPr="00820898" w14:paraId="2C201038" w14:textId="77777777" w:rsidTr="00EF68D9">
              <w:tc>
                <w:tcPr>
                  <w:tcW w:w="2015" w:type="dxa"/>
                  <w:tcBorders>
                    <w:top w:val="single" w:sz="4" w:space="0" w:color="auto"/>
                    <w:bottom w:val="single" w:sz="4" w:space="0" w:color="auto"/>
                  </w:tcBorders>
                </w:tcPr>
                <w:p w14:paraId="5E5E9B13"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Intravenous administration (1 hr)</w:t>
                  </w:r>
                </w:p>
              </w:tc>
              <w:tc>
                <w:tcPr>
                  <w:tcW w:w="709" w:type="dxa"/>
                  <w:tcBorders>
                    <w:top w:val="single" w:sz="4" w:space="0" w:color="auto"/>
                    <w:bottom w:val="single" w:sz="4" w:space="0" w:color="auto"/>
                  </w:tcBorders>
                  <w:vAlign w:val="center"/>
                </w:tcPr>
                <w:p w14:paraId="6E701DD6"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14245</w:t>
                  </w:r>
                </w:p>
              </w:tc>
              <w:tc>
                <w:tcPr>
                  <w:tcW w:w="850" w:type="dxa"/>
                  <w:tcBorders>
                    <w:top w:val="single" w:sz="4" w:space="0" w:color="auto"/>
                    <w:bottom w:val="single" w:sz="4" w:space="0" w:color="auto"/>
                  </w:tcBorders>
                  <w:vAlign w:val="center"/>
                </w:tcPr>
                <w:p w14:paraId="5E359732"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$103.55</w:t>
                  </w:r>
                </w:p>
              </w:tc>
              <w:tc>
                <w:tcPr>
                  <w:tcW w:w="878" w:type="dxa"/>
                  <w:tcBorders>
                    <w:top w:val="single" w:sz="4" w:space="0" w:color="auto"/>
                    <w:bottom w:val="single" w:sz="4" w:space="0" w:color="auto"/>
                  </w:tcBorders>
                  <w:vAlign w:val="center"/>
                </w:tcPr>
                <w:p w14:paraId="48F64E20"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w:t>
                  </w:r>
                </w:p>
              </w:tc>
            </w:tr>
            <w:tr w:rsidR="0014093D" w:rsidRPr="00820898" w14:paraId="2C2B8B42" w14:textId="77777777" w:rsidTr="00EF68D9">
              <w:tc>
                <w:tcPr>
                  <w:tcW w:w="2015" w:type="dxa"/>
                  <w:tcBorders>
                    <w:top w:val="single" w:sz="4" w:space="0" w:color="auto"/>
                    <w:bottom w:val="single" w:sz="4" w:space="0" w:color="auto"/>
                  </w:tcBorders>
                </w:tcPr>
                <w:p w14:paraId="651B1214"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Post-treatment follow-up consultation: first year</w:t>
                  </w:r>
                </w:p>
              </w:tc>
              <w:tc>
                <w:tcPr>
                  <w:tcW w:w="709" w:type="dxa"/>
                  <w:tcBorders>
                    <w:top w:val="single" w:sz="4" w:space="0" w:color="auto"/>
                    <w:bottom w:val="single" w:sz="4" w:space="0" w:color="auto"/>
                  </w:tcBorders>
                  <w:vAlign w:val="center"/>
                </w:tcPr>
                <w:p w14:paraId="5A916C05"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104</w:t>
                  </w:r>
                </w:p>
              </w:tc>
              <w:tc>
                <w:tcPr>
                  <w:tcW w:w="850" w:type="dxa"/>
                  <w:tcBorders>
                    <w:top w:val="single" w:sz="4" w:space="0" w:color="auto"/>
                    <w:bottom w:val="single" w:sz="4" w:space="0" w:color="auto"/>
                  </w:tcBorders>
                  <w:vAlign w:val="center"/>
                </w:tcPr>
                <w:p w14:paraId="17E9E518"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$91.80</w:t>
                  </w:r>
                </w:p>
              </w:tc>
              <w:tc>
                <w:tcPr>
                  <w:tcW w:w="878" w:type="dxa"/>
                  <w:tcBorders>
                    <w:top w:val="single" w:sz="4" w:space="0" w:color="auto"/>
                    <w:bottom w:val="single" w:sz="4" w:space="0" w:color="auto"/>
                  </w:tcBorders>
                  <w:vAlign w:val="center"/>
                </w:tcPr>
                <w:p w14:paraId="03068511"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w:t>
                  </w:r>
                </w:p>
              </w:tc>
            </w:tr>
            <w:tr w:rsidR="0014093D" w:rsidRPr="00820898" w14:paraId="102EE099" w14:textId="77777777" w:rsidTr="00EF68D9">
              <w:tc>
                <w:tcPr>
                  <w:tcW w:w="2015" w:type="dxa"/>
                  <w:tcBorders>
                    <w:top w:val="single" w:sz="4" w:space="0" w:color="auto"/>
                    <w:bottom w:val="single" w:sz="4" w:space="0" w:color="auto"/>
                  </w:tcBorders>
                </w:tcPr>
                <w:p w14:paraId="1D8A31A8"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Liver Function Test</w:t>
                  </w:r>
                </w:p>
              </w:tc>
              <w:tc>
                <w:tcPr>
                  <w:tcW w:w="709" w:type="dxa"/>
                  <w:tcBorders>
                    <w:top w:val="single" w:sz="4" w:space="0" w:color="auto"/>
                    <w:bottom w:val="single" w:sz="4" w:space="0" w:color="auto"/>
                  </w:tcBorders>
                  <w:vAlign w:val="center"/>
                </w:tcPr>
                <w:p w14:paraId="599FB9DE"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66512</w:t>
                  </w:r>
                </w:p>
              </w:tc>
              <w:tc>
                <w:tcPr>
                  <w:tcW w:w="850" w:type="dxa"/>
                  <w:tcBorders>
                    <w:top w:val="single" w:sz="4" w:space="0" w:color="auto"/>
                    <w:bottom w:val="single" w:sz="4" w:space="0" w:color="auto"/>
                  </w:tcBorders>
                  <w:vAlign w:val="center"/>
                </w:tcPr>
                <w:p w14:paraId="5FAA708F"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$17.70</w:t>
                  </w:r>
                </w:p>
              </w:tc>
              <w:tc>
                <w:tcPr>
                  <w:tcW w:w="878" w:type="dxa"/>
                  <w:tcBorders>
                    <w:top w:val="single" w:sz="4" w:space="0" w:color="auto"/>
                    <w:bottom w:val="single" w:sz="4" w:space="0" w:color="auto"/>
                  </w:tcBorders>
                  <w:vAlign w:val="center"/>
                </w:tcPr>
                <w:p w14:paraId="28AD01E8"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8</w:t>
                  </w:r>
                </w:p>
              </w:tc>
            </w:tr>
            <w:tr w:rsidR="0014093D" w:rsidRPr="00820898" w14:paraId="383519B7" w14:textId="77777777" w:rsidTr="00EF68D9">
              <w:tc>
                <w:tcPr>
                  <w:tcW w:w="2015" w:type="dxa"/>
                  <w:tcBorders>
                    <w:top w:val="single" w:sz="4" w:space="0" w:color="auto"/>
                    <w:bottom w:val="single" w:sz="4" w:space="0" w:color="auto"/>
                  </w:tcBorders>
                </w:tcPr>
                <w:p w14:paraId="716B13B6"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Cardiac Troponin Test</w:t>
                  </w:r>
                </w:p>
              </w:tc>
              <w:tc>
                <w:tcPr>
                  <w:tcW w:w="709" w:type="dxa"/>
                  <w:tcBorders>
                    <w:top w:val="single" w:sz="4" w:space="0" w:color="auto"/>
                    <w:bottom w:val="single" w:sz="4" w:space="0" w:color="auto"/>
                  </w:tcBorders>
                  <w:vAlign w:val="center"/>
                </w:tcPr>
                <w:p w14:paraId="33E02DEC"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66518</w:t>
                  </w:r>
                </w:p>
              </w:tc>
              <w:tc>
                <w:tcPr>
                  <w:tcW w:w="850" w:type="dxa"/>
                  <w:tcBorders>
                    <w:top w:val="single" w:sz="4" w:space="0" w:color="auto"/>
                    <w:bottom w:val="single" w:sz="4" w:space="0" w:color="auto"/>
                  </w:tcBorders>
                  <w:vAlign w:val="center"/>
                </w:tcPr>
                <w:p w14:paraId="3A4E7380"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$20.05</w:t>
                  </w:r>
                </w:p>
              </w:tc>
              <w:tc>
                <w:tcPr>
                  <w:tcW w:w="878" w:type="dxa"/>
                  <w:tcBorders>
                    <w:top w:val="single" w:sz="4" w:space="0" w:color="auto"/>
                    <w:bottom w:val="single" w:sz="4" w:space="0" w:color="auto"/>
                  </w:tcBorders>
                  <w:vAlign w:val="center"/>
                </w:tcPr>
                <w:p w14:paraId="6EB1DB40"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w:t>
                  </w:r>
                </w:p>
              </w:tc>
            </w:tr>
            <w:tr w:rsidR="0014093D" w:rsidRPr="00820898" w14:paraId="78610789" w14:textId="77777777" w:rsidTr="00EF68D9">
              <w:tc>
                <w:tcPr>
                  <w:tcW w:w="2015" w:type="dxa"/>
                  <w:tcBorders>
                    <w:top w:val="single" w:sz="4" w:space="0" w:color="auto"/>
                    <w:bottom w:val="single" w:sz="4" w:space="0" w:color="auto"/>
                  </w:tcBorders>
                </w:tcPr>
                <w:p w14:paraId="682857DF"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Full Blood Count Test</w:t>
                  </w:r>
                </w:p>
              </w:tc>
              <w:tc>
                <w:tcPr>
                  <w:tcW w:w="709" w:type="dxa"/>
                  <w:tcBorders>
                    <w:top w:val="single" w:sz="4" w:space="0" w:color="auto"/>
                    <w:bottom w:val="single" w:sz="4" w:space="0" w:color="auto"/>
                  </w:tcBorders>
                  <w:vAlign w:val="center"/>
                </w:tcPr>
                <w:p w14:paraId="6EBFF068"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65070</w:t>
                  </w:r>
                </w:p>
              </w:tc>
              <w:tc>
                <w:tcPr>
                  <w:tcW w:w="850" w:type="dxa"/>
                  <w:tcBorders>
                    <w:top w:val="single" w:sz="4" w:space="0" w:color="auto"/>
                    <w:bottom w:val="single" w:sz="4" w:space="0" w:color="auto"/>
                  </w:tcBorders>
                  <w:vAlign w:val="center"/>
                </w:tcPr>
                <w:p w14:paraId="5476C349"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$16.95</w:t>
                  </w:r>
                </w:p>
              </w:tc>
              <w:tc>
                <w:tcPr>
                  <w:tcW w:w="878" w:type="dxa"/>
                  <w:tcBorders>
                    <w:top w:val="single" w:sz="4" w:space="0" w:color="auto"/>
                    <w:bottom w:val="single" w:sz="4" w:space="0" w:color="auto"/>
                  </w:tcBorders>
                  <w:vAlign w:val="center"/>
                </w:tcPr>
                <w:p w14:paraId="6B2EAAF2"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8</w:t>
                  </w:r>
                </w:p>
              </w:tc>
            </w:tr>
            <w:tr w:rsidR="0014093D" w:rsidRPr="00820898" w14:paraId="46359CF1" w14:textId="77777777" w:rsidTr="00EF68D9">
              <w:tc>
                <w:tcPr>
                  <w:tcW w:w="2015" w:type="dxa"/>
                  <w:tcBorders>
                    <w:top w:val="single" w:sz="4" w:space="0" w:color="auto"/>
                    <w:bottom w:val="single" w:sz="4" w:space="0" w:color="auto"/>
                  </w:tcBorders>
                </w:tcPr>
                <w:p w14:paraId="3D6B1C43"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Creatinine Test</w:t>
                  </w:r>
                </w:p>
              </w:tc>
              <w:tc>
                <w:tcPr>
                  <w:tcW w:w="709" w:type="dxa"/>
                  <w:tcBorders>
                    <w:top w:val="single" w:sz="4" w:space="0" w:color="auto"/>
                    <w:bottom w:val="single" w:sz="4" w:space="0" w:color="auto"/>
                  </w:tcBorders>
                  <w:vAlign w:val="center"/>
                </w:tcPr>
                <w:p w14:paraId="51281C2B"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66500</w:t>
                  </w:r>
                </w:p>
              </w:tc>
              <w:tc>
                <w:tcPr>
                  <w:tcW w:w="850" w:type="dxa"/>
                  <w:tcBorders>
                    <w:top w:val="single" w:sz="4" w:space="0" w:color="auto"/>
                    <w:bottom w:val="single" w:sz="4" w:space="0" w:color="auto"/>
                  </w:tcBorders>
                  <w:vAlign w:val="center"/>
                </w:tcPr>
                <w:p w14:paraId="0ACD71B2"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$9.70</w:t>
                  </w:r>
                </w:p>
              </w:tc>
              <w:tc>
                <w:tcPr>
                  <w:tcW w:w="878" w:type="dxa"/>
                  <w:tcBorders>
                    <w:top w:val="single" w:sz="4" w:space="0" w:color="auto"/>
                    <w:bottom w:val="single" w:sz="4" w:space="0" w:color="auto"/>
                  </w:tcBorders>
                  <w:vAlign w:val="center"/>
                </w:tcPr>
                <w:p w14:paraId="068F6580"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w:t>
                  </w:r>
                </w:p>
              </w:tc>
            </w:tr>
            <w:tr w:rsidR="0014093D" w:rsidRPr="00820898" w14:paraId="5882889F" w14:textId="77777777" w:rsidTr="00EF68D9">
              <w:tc>
                <w:tcPr>
                  <w:tcW w:w="4452" w:type="dxa"/>
                  <w:gridSpan w:val="4"/>
                  <w:tcBorders>
                    <w:top w:val="single" w:sz="4" w:space="0" w:color="auto"/>
                  </w:tcBorders>
                </w:tcPr>
                <w:p w14:paraId="11D2A14C" w14:textId="77777777" w:rsidR="0014093D" w:rsidRPr="00820898" w:rsidRDefault="0014093D" w:rsidP="00EF68D9">
                  <w:pPr>
                    <w:rPr>
                      <w:rFonts w:ascii="Arial Narrow" w:hAnsi="Arial Narrow"/>
                      <w:b/>
                      <w:sz w:val="20"/>
                      <w:szCs w:val="20"/>
                    </w:rPr>
                  </w:pPr>
                  <w:r w:rsidRPr="00820898">
                    <w:rPr>
                      <w:rFonts w:ascii="Arial Narrow" w:hAnsi="Arial Narrow"/>
                      <w:b/>
                      <w:sz w:val="20"/>
                      <w:szCs w:val="20"/>
                    </w:rPr>
                    <w:t>NUSI</w:t>
                  </w:r>
                </w:p>
              </w:tc>
            </w:tr>
            <w:tr w:rsidR="0014093D" w:rsidRPr="00820898" w14:paraId="2AD538B0" w14:textId="77777777" w:rsidTr="00EF68D9">
              <w:tc>
                <w:tcPr>
                  <w:tcW w:w="2015" w:type="dxa"/>
                  <w:tcBorders>
                    <w:top w:val="nil"/>
                    <w:bottom w:val="single" w:sz="4" w:space="0" w:color="auto"/>
                  </w:tcBorders>
                </w:tcPr>
                <w:p w14:paraId="22C01574" w14:textId="77777777" w:rsidR="0014093D" w:rsidRPr="00820898" w:rsidRDefault="0014093D" w:rsidP="00EF68D9">
                  <w:pPr>
                    <w:jc w:val="left"/>
                    <w:rPr>
                      <w:rFonts w:ascii="Arial Narrow" w:hAnsi="Arial Narrow"/>
                      <w:sz w:val="20"/>
                      <w:szCs w:val="20"/>
                    </w:rPr>
                  </w:pPr>
                  <w:r w:rsidRPr="00820898">
                    <w:rPr>
                      <w:rFonts w:ascii="Arial Narrow" w:hAnsi="Arial Narrow"/>
                      <w:sz w:val="20"/>
                      <w:szCs w:val="20"/>
                    </w:rPr>
                    <w:t>Intrathecal infusion (2 hrs: 1hr + 15 mins x 4) – per episode of treatment incl. anaesthetic if needed</w:t>
                  </w:r>
                </w:p>
              </w:tc>
              <w:tc>
                <w:tcPr>
                  <w:tcW w:w="709" w:type="dxa"/>
                  <w:tcBorders>
                    <w:top w:val="nil"/>
                    <w:bottom w:val="single" w:sz="4" w:space="0" w:color="auto"/>
                  </w:tcBorders>
                  <w:vAlign w:val="center"/>
                </w:tcPr>
                <w:p w14:paraId="3E03C6E0"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18216 + 4 x 18219</w:t>
                  </w:r>
                </w:p>
              </w:tc>
              <w:tc>
                <w:tcPr>
                  <w:tcW w:w="850" w:type="dxa"/>
                  <w:tcBorders>
                    <w:top w:val="nil"/>
                    <w:bottom w:val="single" w:sz="4" w:space="0" w:color="auto"/>
                  </w:tcBorders>
                  <w:vAlign w:val="center"/>
                </w:tcPr>
                <w:p w14:paraId="31F16102"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$281.15</w:t>
                  </w:r>
                </w:p>
              </w:tc>
              <w:tc>
                <w:tcPr>
                  <w:tcW w:w="878" w:type="dxa"/>
                  <w:vAlign w:val="center"/>
                </w:tcPr>
                <w:p w14:paraId="14235735" w14:textId="77777777" w:rsidR="0014093D" w:rsidRPr="00820898" w:rsidRDefault="0014093D" w:rsidP="00EF68D9">
                  <w:pPr>
                    <w:jc w:val="center"/>
                    <w:rPr>
                      <w:rFonts w:ascii="Arial Narrow" w:hAnsi="Arial Narrow"/>
                      <w:sz w:val="20"/>
                      <w:szCs w:val="20"/>
                    </w:rPr>
                  </w:pPr>
                  <w:r w:rsidRPr="00820898">
                    <w:rPr>
                      <w:rFonts w:ascii="Arial Narrow" w:hAnsi="Arial Narrow"/>
                      <w:sz w:val="20"/>
                      <w:szCs w:val="20"/>
                    </w:rPr>
                    <w:t>1+4</w:t>
                  </w:r>
                </w:p>
              </w:tc>
            </w:tr>
          </w:tbl>
          <w:p w14:paraId="50EC86C3" w14:textId="77777777" w:rsidR="0014093D" w:rsidRPr="00820898" w:rsidRDefault="0014093D" w:rsidP="00EF68D9">
            <w:pPr>
              <w:pStyle w:val="TableText0"/>
              <w:keepNext w:val="0"/>
            </w:pPr>
          </w:p>
        </w:tc>
        <w:tc>
          <w:tcPr>
            <w:tcW w:w="4082" w:type="dxa"/>
            <w:vAlign w:val="center"/>
          </w:tcPr>
          <w:p w14:paraId="1CFAC3FA" w14:textId="77777777" w:rsidR="0014093D" w:rsidRPr="00820898" w:rsidRDefault="0014093D" w:rsidP="00EF68D9">
            <w:pPr>
              <w:pStyle w:val="TableText0"/>
              <w:keepNext w:val="0"/>
            </w:pPr>
            <w:r w:rsidRPr="00820898">
              <w:t xml:space="preserve">MBS items used were reasonable and the 80% MBS benefit was correctly applied. It was noted that these were also used by the previous submission. However, post treatment follow up with a specialist visit for NUSI or RIS were not considered by the resubmission, which may slightly overestimate the financial impact of ONA. The use of MBS item 104 was consistent with MBS item used in the resubmission’s economic evaluation. </w:t>
            </w:r>
          </w:p>
          <w:p w14:paraId="5B3D1F31" w14:textId="77777777" w:rsidR="0014093D" w:rsidRPr="00820898" w:rsidRDefault="0014093D" w:rsidP="00EF68D9">
            <w:pPr>
              <w:pStyle w:val="TableText0"/>
              <w:keepNext w:val="0"/>
            </w:pPr>
          </w:p>
          <w:p w14:paraId="52E27EAE" w14:textId="524CD86D" w:rsidR="0014093D" w:rsidRPr="00820898" w:rsidRDefault="0014093D" w:rsidP="00EF68D9">
            <w:pPr>
              <w:pStyle w:val="TableText0"/>
              <w:keepNext w:val="0"/>
            </w:pPr>
            <w:r w:rsidRPr="00820898">
              <w:t xml:space="preserve">The MBS cost offsets specific to ONA treatment </w:t>
            </w:r>
            <w:r w:rsidR="00C825D9" w:rsidRPr="00820898">
              <w:t>w</w:t>
            </w:r>
            <w:r w:rsidR="00C825D9">
              <w:t>ere</w:t>
            </w:r>
            <w:r w:rsidR="00C825D9" w:rsidRPr="00820898">
              <w:t xml:space="preserve"> </w:t>
            </w:r>
            <w:r w:rsidRPr="00820898">
              <w:t xml:space="preserve">incorrectly calculated based on the total SMA Type I patients (rather than the 90% of Type I patients who were estimated to be treated with ONA) by the resubmission which slightly overestimated the cost offsets. </w:t>
            </w:r>
          </w:p>
        </w:tc>
      </w:tr>
    </w:tbl>
    <w:p w14:paraId="78C920D3" w14:textId="77777777" w:rsidR="0014093D" w:rsidRPr="007740E4" w:rsidRDefault="0014093D" w:rsidP="00C825D9">
      <w:pPr>
        <w:pStyle w:val="FooterTableFigure"/>
        <w:jc w:val="left"/>
      </w:pPr>
      <w:r w:rsidRPr="007740E4">
        <w:t>Source: Tables 4.1, 4.8. 4.17, 4.22, 4.26, 4.43, 4.45, pp139, 140, 144, 148, 152, 155, p168 and p170 of the resubmission.</w:t>
      </w:r>
    </w:p>
    <w:p w14:paraId="466A3D51" w14:textId="4B434B55" w:rsidR="006325CB" w:rsidRDefault="0014093D" w:rsidP="00C825D9">
      <w:pPr>
        <w:pStyle w:val="FooterTableFigure"/>
        <w:jc w:val="left"/>
      </w:pPr>
      <w:r w:rsidRPr="007740E4">
        <w:t>AAV9=adeno-associated virus serotype 9; DPMQ = dispensed price for maximum quantity; IV=intravenous; hr=hour, NBS = newborn bloodspot screening; SMA = spinal muscular atrophy; DPMQ=dispensed price of maximum quantity; MBS=Medicare Benefits Schedule; NUSI</w:t>
      </w:r>
      <w:r w:rsidR="00C825D9">
        <w:t>=</w:t>
      </w:r>
      <w:r w:rsidRPr="007740E4">
        <w:t>nusinersen, ONA=onasemnogene abeparvovec; RIS=risdiplam; SMN= survival of motor neuron</w:t>
      </w:r>
      <w:r w:rsidRPr="007740E4">
        <w:rPr>
          <w:i/>
        </w:rPr>
        <w:t>;</w:t>
      </w:r>
      <w:r w:rsidRPr="007740E4">
        <w:t xml:space="preserve"> yr=year</w:t>
      </w:r>
      <w:bookmarkStart w:id="57" w:name="_Ref134285334"/>
    </w:p>
    <w:p w14:paraId="4DD118C0" w14:textId="036D1B81" w:rsidR="0014093D" w:rsidRPr="007740E4" w:rsidRDefault="0014093D" w:rsidP="00B57050">
      <w:pPr>
        <w:pStyle w:val="Caption"/>
        <w:rPr>
          <w:rStyle w:val="CommentReference"/>
          <w:b/>
          <w:szCs w:val="24"/>
        </w:rPr>
      </w:pPr>
      <w:bookmarkStart w:id="58" w:name="_Ref135211358"/>
      <w:r w:rsidRPr="007740E4">
        <w:t xml:space="preserve">Table </w:t>
      </w:r>
      <w:fldSimple w:instr=" SEQ Table \* ARABIC " w:fldLock="1">
        <w:r w:rsidR="0084520A">
          <w:rPr>
            <w:noProof/>
          </w:rPr>
          <w:t>14</w:t>
        </w:r>
      </w:fldSimple>
      <w:bookmarkEnd w:id="57"/>
      <w:bookmarkEnd w:id="58"/>
      <w:r w:rsidRPr="007740E4">
        <w:rPr>
          <w:rStyle w:val="CommentReference"/>
          <w:b/>
          <w:szCs w:val="24"/>
        </w:rPr>
        <w:t xml:space="preserve">: Parameter values applied to calculate the patients expected to receive NUSI, RIS and ONA in the absence of the proposed listing </w:t>
      </w:r>
    </w:p>
    <w:tbl>
      <w:tblPr>
        <w:tblStyle w:val="TableGrid"/>
        <w:tblW w:w="0" w:type="auto"/>
        <w:tblLook w:val="04A0" w:firstRow="1" w:lastRow="0" w:firstColumn="1" w:lastColumn="0" w:noHBand="0" w:noVBand="1"/>
        <w:tblCaption w:val="Table 14: Parameter values applied to calculate the patients expected to receive NUSI, RIS and ONA in the absence of the proposed listing "/>
      </w:tblPr>
      <w:tblGrid>
        <w:gridCol w:w="2122"/>
        <w:gridCol w:w="1484"/>
        <w:gridCol w:w="1803"/>
        <w:gridCol w:w="1804"/>
        <w:gridCol w:w="1804"/>
      </w:tblGrid>
      <w:tr w:rsidR="0014093D" w:rsidRPr="007740E4" w14:paraId="268720D6" w14:textId="77777777" w:rsidTr="001E694D">
        <w:tc>
          <w:tcPr>
            <w:tcW w:w="2122" w:type="dxa"/>
            <w:vAlign w:val="center"/>
          </w:tcPr>
          <w:p w14:paraId="69AF67B2" w14:textId="77777777" w:rsidR="0014093D" w:rsidRPr="007740E4" w:rsidRDefault="0014093D" w:rsidP="00B57050">
            <w:pPr>
              <w:keepNext/>
              <w:keepLines/>
              <w:jc w:val="left"/>
              <w:rPr>
                <w:rFonts w:ascii="Arial Narrow" w:hAnsi="Arial Narrow"/>
                <w:sz w:val="20"/>
                <w:szCs w:val="20"/>
              </w:rPr>
            </w:pPr>
          </w:p>
        </w:tc>
        <w:tc>
          <w:tcPr>
            <w:tcW w:w="1484" w:type="dxa"/>
          </w:tcPr>
          <w:p w14:paraId="092A11BA" w14:textId="77777777" w:rsidR="0014093D" w:rsidRPr="007740E4" w:rsidRDefault="0014093D" w:rsidP="00B57050">
            <w:pPr>
              <w:keepNext/>
              <w:keepLines/>
              <w:jc w:val="center"/>
              <w:rPr>
                <w:rFonts w:ascii="Arial Narrow" w:hAnsi="Arial Narrow"/>
                <w:b/>
                <w:sz w:val="20"/>
                <w:szCs w:val="20"/>
              </w:rPr>
            </w:pPr>
            <w:r w:rsidRPr="007740E4">
              <w:rPr>
                <w:rFonts w:ascii="Arial Narrow" w:hAnsi="Arial Narrow"/>
                <w:b/>
                <w:sz w:val="20"/>
                <w:szCs w:val="20"/>
              </w:rPr>
              <w:t>Type I</w:t>
            </w:r>
          </w:p>
        </w:tc>
        <w:tc>
          <w:tcPr>
            <w:tcW w:w="1803" w:type="dxa"/>
          </w:tcPr>
          <w:p w14:paraId="2DF6BBED" w14:textId="77777777" w:rsidR="0014093D" w:rsidRPr="007740E4" w:rsidRDefault="0014093D" w:rsidP="00B57050">
            <w:pPr>
              <w:keepNext/>
              <w:keepLines/>
              <w:jc w:val="center"/>
              <w:rPr>
                <w:rFonts w:ascii="Arial Narrow" w:hAnsi="Arial Narrow"/>
                <w:b/>
                <w:sz w:val="20"/>
                <w:szCs w:val="20"/>
              </w:rPr>
            </w:pPr>
            <w:r w:rsidRPr="007740E4">
              <w:rPr>
                <w:rFonts w:ascii="Arial Narrow" w:hAnsi="Arial Narrow"/>
                <w:b/>
                <w:sz w:val="20"/>
                <w:szCs w:val="20"/>
              </w:rPr>
              <w:t>Type II</w:t>
            </w:r>
          </w:p>
        </w:tc>
        <w:tc>
          <w:tcPr>
            <w:tcW w:w="1804" w:type="dxa"/>
          </w:tcPr>
          <w:p w14:paraId="6D944524" w14:textId="77777777" w:rsidR="0014093D" w:rsidRPr="007740E4" w:rsidRDefault="0014093D" w:rsidP="00B57050">
            <w:pPr>
              <w:keepNext/>
              <w:keepLines/>
              <w:jc w:val="center"/>
              <w:rPr>
                <w:rFonts w:ascii="Arial Narrow" w:hAnsi="Arial Narrow"/>
                <w:b/>
                <w:sz w:val="20"/>
                <w:szCs w:val="20"/>
              </w:rPr>
            </w:pPr>
            <w:r w:rsidRPr="007740E4">
              <w:rPr>
                <w:rFonts w:ascii="Arial Narrow" w:hAnsi="Arial Narrow"/>
                <w:b/>
                <w:sz w:val="20"/>
                <w:szCs w:val="20"/>
              </w:rPr>
              <w:t>Type IIIa</w:t>
            </w:r>
          </w:p>
        </w:tc>
        <w:tc>
          <w:tcPr>
            <w:tcW w:w="1804" w:type="dxa"/>
          </w:tcPr>
          <w:p w14:paraId="6C2D724F" w14:textId="77777777" w:rsidR="0014093D" w:rsidRPr="007740E4" w:rsidRDefault="0014093D" w:rsidP="00B57050">
            <w:pPr>
              <w:keepNext/>
              <w:keepLines/>
              <w:jc w:val="center"/>
              <w:rPr>
                <w:rFonts w:ascii="Arial Narrow" w:hAnsi="Arial Narrow"/>
                <w:b/>
                <w:sz w:val="20"/>
                <w:szCs w:val="20"/>
              </w:rPr>
            </w:pPr>
            <w:r w:rsidRPr="007740E4">
              <w:rPr>
                <w:rFonts w:ascii="Arial Narrow" w:hAnsi="Arial Narrow"/>
                <w:b/>
                <w:sz w:val="20"/>
                <w:szCs w:val="20"/>
              </w:rPr>
              <w:t>Type IIIb</w:t>
            </w:r>
          </w:p>
        </w:tc>
      </w:tr>
      <w:tr w:rsidR="0014093D" w:rsidRPr="007740E4" w14:paraId="24F167C6" w14:textId="77777777" w:rsidTr="001E694D">
        <w:tc>
          <w:tcPr>
            <w:tcW w:w="2122" w:type="dxa"/>
            <w:vAlign w:val="center"/>
          </w:tcPr>
          <w:p w14:paraId="29036705" w14:textId="77777777" w:rsidR="0014093D" w:rsidRPr="007740E4" w:rsidRDefault="0014093D" w:rsidP="00B57050">
            <w:pPr>
              <w:keepNext/>
              <w:keepLines/>
              <w:jc w:val="left"/>
              <w:rPr>
                <w:rFonts w:ascii="Arial Narrow" w:hAnsi="Arial Narrow"/>
                <w:sz w:val="20"/>
                <w:szCs w:val="20"/>
              </w:rPr>
            </w:pPr>
            <w:r w:rsidRPr="007740E4">
              <w:rPr>
                <w:rFonts w:ascii="Arial Narrow" w:hAnsi="Arial Narrow"/>
                <w:sz w:val="20"/>
                <w:szCs w:val="20"/>
              </w:rPr>
              <w:t>Age at symptom onset</w:t>
            </w:r>
          </w:p>
        </w:tc>
        <w:tc>
          <w:tcPr>
            <w:tcW w:w="1484" w:type="dxa"/>
          </w:tcPr>
          <w:p w14:paraId="0293E3EA"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0-6 months</w:t>
            </w:r>
          </w:p>
        </w:tc>
        <w:tc>
          <w:tcPr>
            <w:tcW w:w="1803" w:type="dxa"/>
          </w:tcPr>
          <w:p w14:paraId="7E9B4B37"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&gt;6-18 months</w:t>
            </w:r>
          </w:p>
        </w:tc>
        <w:tc>
          <w:tcPr>
            <w:tcW w:w="1804" w:type="dxa"/>
          </w:tcPr>
          <w:p w14:paraId="26A17A91"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&gt;18-36 months</w:t>
            </w:r>
          </w:p>
        </w:tc>
        <w:tc>
          <w:tcPr>
            <w:tcW w:w="1804" w:type="dxa"/>
          </w:tcPr>
          <w:p w14:paraId="1BE7C15A"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&gt;36 months</w:t>
            </w:r>
          </w:p>
        </w:tc>
      </w:tr>
      <w:tr w:rsidR="0014093D" w:rsidRPr="007740E4" w14:paraId="2BB9C874" w14:textId="77777777" w:rsidTr="001E694D">
        <w:tc>
          <w:tcPr>
            <w:tcW w:w="2122" w:type="dxa"/>
            <w:vAlign w:val="center"/>
          </w:tcPr>
          <w:p w14:paraId="5C26D4BE" w14:textId="77777777" w:rsidR="0014093D" w:rsidRPr="007740E4" w:rsidRDefault="0014093D" w:rsidP="00B57050">
            <w:pPr>
              <w:keepNext/>
              <w:keepLines/>
              <w:jc w:val="left"/>
              <w:rPr>
                <w:rFonts w:ascii="Arial Narrow" w:hAnsi="Arial Narrow"/>
                <w:sz w:val="20"/>
                <w:szCs w:val="20"/>
              </w:rPr>
            </w:pPr>
            <w:r w:rsidRPr="007740E4">
              <w:rPr>
                <w:rFonts w:ascii="Arial Narrow" w:hAnsi="Arial Narrow"/>
                <w:sz w:val="20"/>
                <w:szCs w:val="20"/>
              </w:rPr>
              <w:t xml:space="preserve">Initiation of treatment </w:t>
            </w:r>
          </w:p>
        </w:tc>
        <w:tc>
          <w:tcPr>
            <w:tcW w:w="1484" w:type="dxa"/>
          </w:tcPr>
          <w:p w14:paraId="58BC779B"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First year of life</w:t>
            </w:r>
          </w:p>
        </w:tc>
        <w:tc>
          <w:tcPr>
            <w:tcW w:w="1803" w:type="dxa"/>
          </w:tcPr>
          <w:p w14:paraId="51455571"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Second year of life</w:t>
            </w:r>
          </w:p>
        </w:tc>
        <w:tc>
          <w:tcPr>
            <w:tcW w:w="1804" w:type="dxa"/>
          </w:tcPr>
          <w:p w14:paraId="6BEBAB9C"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Third year of life</w:t>
            </w:r>
          </w:p>
        </w:tc>
        <w:tc>
          <w:tcPr>
            <w:tcW w:w="1804" w:type="dxa"/>
          </w:tcPr>
          <w:p w14:paraId="4B237E86"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Sixth year of life</w:t>
            </w:r>
          </w:p>
        </w:tc>
      </w:tr>
      <w:tr w:rsidR="005152E0" w:rsidRPr="005636DC" w14:paraId="2560A41D" w14:textId="77777777" w:rsidTr="001E694D">
        <w:tc>
          <w:tcPr>
            <w:tcW w:w="2122" w:type="dxa"/>
            <w:vAlign w:val="center"/>
          </w:tcPr>
          <w:p w14:paraId="37160FCF" w14:textId="611E5B5E" w:rsidR="005152E0" w:rsidRPr="005636DC" w:rsidRDefault="005152E0" w:rsidP="00B57050">
            <w:pPr>
              <w:keepNext/>
              <w:keepLines/>
              <w:jc w:val="left"/>
              <w:rPr>
                <w:rFonts w:ascii="Arial Narrow" w:hAnsi="Arial Narrow"/>
                <w:sz w:val="20"/>
                <w:szCs w:val="20"/>
              </w:rPr>
            </w:pPr>
            <w:r w:rsidRPr="005636DC">
              <w:rPr>
                <w:rFonts w:ascii="Arial Narrow" w:hAnsi="Arial Narrow"/>
                <w:sz w:val="20"/>
                <w:szCs w:val="20"/>
              </w:rPr>
              <w:t xml:space="preserve">Proportion of patients over 6 years </w:t>
            </w:r>
            <w:r w:rsidRPr="005636DC">
              <w:rPr>
                <w:rFonts w:ascii="Arial Narrow" w:hAnsi="Arial Narrow"/>
                <w:sz w:val="20"/>
                <w:szCs w:val="20"/>
                <w:vertAlign w:val="superscript"/>
              </w:rPr>
              <w:t>a</w:t>
            </w:r>
          </w:p>
        </w:tc>
        <w:tc>
          <w:tcPr>
            <w:tcW w:w="1484" w:type="dxa"/>
          </w:tcPr>
          <w:p w14:paraId="64695076" w14:textId="7109AE06" w:rsidR="005152E0" w:rsidRPr="005636DC" w:rsidRDefault="005152E0" w:rsidP="00B57050">
            <w:pPr>
              <w:keepNext/>
              <w:keepLines/>
              <w:jc w:val="center"/>
              <w:rPr>
                <w:rFonts w:ascii="Arial Narrow" w:hAnsi="Arial Narrow"/>
                <w:sz w:val="20"/>
                <w:szCs w:val="20"/>
              </w:rPr>
            </w:pPr>
            <w:r w:rsidRPr="005636DC">
              <w:rPr>
                <w:rFonts w:ascii="Arial Narrow" w:hAnsi="Arial Narrow"/>
                <w:sz w:val="20"/>
                <w:szCs w:val="20"/>
              </w:rPr>
              <w:t>20/87 (23%)</w:t>
            </w:r>
          </w:p>
        </w:tc>
        <w:tc>
          <w:tcPr>
            <w:tcW w:w="1803" w:type="dxa"/>
          </w:tcPr>
          <w:p w14:paraId="3740BE05" w14:textId="2BC86E0A" w:rsidR="005152E0" w:rsidRPr="005636DC" w:rsidRDefault="005152E0" w:rsidP="00B57050">
            <w:pPr>
              <w:keepNext/>
              <w:keepLines/>
              <w:jc w:val="center"/>
              <w:rPr>
                <w:rFonts w:ascii="Arial Narrow" w:hAnsi="Arial Narrow"/>
                <w:sz w:val="20"/>
                <w:szCs w:val="20"/>
              </w:rPr>
            </w:pPr>
            <w:r w:rsidRPr="005636DC">
              <w:rPr>
                <w:rFonts w:ascii="Arial Narrow" w:hAnsi="Arial Narrow"/>
                <w:sz w:val="20"/>
                <w:szCs w:val="20"/>
              </w:rPr>
              <w:t>47/87 (54%)</w:t>
            </w:r>
          </w:p>
        </w:tc>
        <w:tc>
          <w:tcPr>
            <w:tcW w:w="1804" w:type="dxa"/>
          </w:tcPr>
          <w:p w14:paraId="49C6A905" w14:textId="5D12E4CA" w:rsidR="005152E0" w:rsidRPr="005636DC" w:rsidRDefault="005152E0" w:rsidP="00B57050">
            <w:pPr>
              <w:keepNext/>
              <w:keepLines/>
              <w:jc w:val="center"/>
              <w:rPr>
                <w:rFonts w:ascii="Arial Narrow" w:hAnsi="Arial Narrow"/>
                <w:sz w:val="20"/>
                <w:szCs w:val="20"/>
              </w:rPr>
            </w:pPr>
            <w:r w:rsidRPr="005636DC">
              <w:rPr>
                <w:rFonts w:ascii="Arial Narrow" w:hAnsi="Arial Narrow"/>
                <w:sz w:val="20"/>
                <w:szCs w:val="20"/>
              </w:rPr>
              <w:t>15/87 (17%)</w:t>
            </w:r>
          </w:p>
        </w:tc>
        <w:tc>
          <w:tcPr>
            <w:tcW w:w="1804" w:type="dxa"/>
          </w:tcPr>
          <w:p w14:paraId="654F1189" w14:textId="7F73315E" w:rsidR="005152E0" w:rsidRPr="005636DC" w:rsidRDefault="005152E0" w:rsidP="00B57050">
            <w:pPr>
              <w:keepNext/>
              <w:keepLines/>
              <w:jc w:val="center"/>
              <w:rPr>
                <w:rFonts w:ascii="Arial Narrow" w:hAnsi="Arial Narrow"/>
                <w:sz w:val="20"/>
                <w:szCs w:val="20"/>
              </w:rPr>
            </w:pPr>
            <w:r w:rsidRPr="005636DC">
              <w:rPr>
                <w:rFonts w:ascii="Arial Narrow" w:hAnsi="Arial Narrow"/>
                <w:sz w:val="20"/>
                <w:szCs w:val="20"/>
              </w:rPr>
              <w:t>5/87 (6%)</w:t>
            </w:r>
          </w:p>
        </w:tc>
      </w:tr>
      <w:tr w:rsidR="0014093D" w:rsidRPr="007740E4" w14:paraId="15F5E312" w14:textId="77777777" w:rsidTr="001E694D">
        <w:tc>
          <w:tcPr>
            <w:tcW w:w="2122" w:type="dxa"/>
            <w:tcBorders>
              <w:bottom w:val="single" w:sz="4" w:space="0" w:color="auto"/>
            </w:tcBorders>
            <w:vAlign w:val="center"/>
          </w:tcPr>
          <w:p w14:paraId="114BC197" w14:textId="1E8DB8B0" w:rsidR="0014093D" w:rsidRPr="007740E4" w:rsidRDefault="0014093D" w:rsidP="00B57050">
            <w:pPr>
              <w:keepNext/>
              <w:keepLines/>
              <w:jc w:val="left"/>
              <w:rPr>
                <w:rFonts w:ascii="Arial Narrow" w:hAnsi="Arial Narrow"/>
                <w:sz w:val="20"/>
                <w:szCs w:val="20"/>
              </w:rPr>
            </w:pPr>
            <w:r w:rsidRPr="007740E4">
              <w:rPr>
                <w:rFonts w:ascii="Arial Narrow" w:hAnsi="Arial Narrow"/>
                <w:sz w:val="20"/>
                <w:szCs w:val="20"/>
              </w:rPr>
              <w:t xml:space="preserve">Market share (analysis performed by Sponsor) </w:t>
            </w:r>
            <w:r w:rsidR="005152E0">
              <w:rPr>
                <w:rFonts w:ascii="Arial Narrow" w:hAnsi="Arial Narrow"/>
                <w:sz w:val="20"/>
                <w:szCs w:val="20"/>
                <w:vertAlign w:val="superscript"/>
              </w:rPr>
              <w:t>b</w:t>
            </w:r>
          </w:p>
        </w:tc>
        <w:tc>
          <w:tcPr>
            <w:tcW w:w="1484" w:type="dxa"/>
            <w:tcBorders>
              <w:bottom w:val="single" w:sz="4" w:space="0" w:color="auto"/>
            </w:tcBorders>
          </w:tcPr>
          <w:p w14:paraId="224E8138"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ONA: 90%</w:t>
            </w:r>
          </w:p>
          <w:p w14:paraId="38C00022"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NUSI: 9%</w:t>
            </w:r>
          </w:p>
          <w:p w14:paraId="38D1FA6F"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RIS: 1%</w:t>
            </w:r>
          </w:p>
        </w:tc>
        <w:tc>
          <w:tcPr>
            <w:tcW w:w="1803" w:type="dxa"/>
            <w:tcBorders>
              <w:bottom w:val="single" w:sz="4" w:space="0" w:color="auto"/>
            </w:tcBorders>
          </w:tcPr>
          <w:p w14:paraId="6A81453F"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ONA: 0%</w:t>
            </w:r>
          </w:p>
          <w:p w14:paraId="7C4A6251"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NUSI: 86%</w:t>
            </w:r>
          </w:p>
          <w:p w14:paraId="4CAAB4DC"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RIS: 14%</w:t>
            </w:r>
          </w:p>
        </w:tc>
        <w:tc>
          <w:tcPr>
            <w:tcW w:w="1804" w:type="dxa"/>
            <w:tcBorders>
              <w:bottom w:val="single" w:sz="4" w:space="0" w:color="auto"/>
            </w:tcBorders>
          </w:tcPr>
          <w:p w14:paraId="4BE94A71"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ONA: 0%</w:t>
            </w:r>
          </w:p>
          <w:p w14:paraId="4FD9A7D1"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NUSI: 86%</w:t>
            </w:r>
          </w:p>
          <w:p w14:paraId="6C07E3CD"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RIS: 14%</w:t>
            </w:r>
          </w:p>
        </w:tc>
        <w:tc>
          <w:tcPr>
            <w:tcW w:w="1804" w:type="dxa"/>
            <w:tcBorders>
              <w:bottom w:val="single" w:sz="4" w:space="0" w:color="auto"/>
            </w:tcBorders>
          </w:tcPr>
          <w:p w14:paraId="05BB1860"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ONA: 0%</w:t>
            </w:r>
          </w:p>
          <w:p w14:paraId="75A2D9BD"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NUSI: 86%</w:t>
            </w:r>
          </w:p>
          <w:p w14:paraId="038810B7" w14:textId="77777777" w:rsidR="0014093D" w:rsidRPr="007740E4" w:rsidRDefault="0014093D" w:rsidP="00B57050">
            <w:pPr>
              <w:keepNext/>
              <w:keepLines/>
              <w:jc w:val="center"/>
              <w:rPr>
                <w:rFonts w:ascii="Arial Narrow" w:hAnsi="Arial Narrow"/>
                <w:sz w:val="20"/>
                <w:szCs w:val="20"/>
              </w:rPr>
            </w:pPr>
            <w:r w:rsidRPr="007740E4">
              <w:rPr>
                <w:rFonts w:ascii="Arial Narrow" w:hAnsi="Arial Narrow"/>
                <w:sz w:val="20"/>
                <w:szCs w:val="20"/>
              </w:rPr>
              <w:t>RIS: 14%</w:t>
            </w:r>
          </w:p>
        </w:tc>
      </w:tr>
    </w:tbl>
    <w:p w14:paraId="1514F1EC" w14:textId="321E7518" w:rsidR="0014093D" w:rsidRPr="005636DC" w:rsidRDefault="0014093D" w:rsidP="00B57050">
      <w:pPr>
        <w:pStyle w:val="FooterTableFigure"/>
        <w:keepNext/>
        <w:keepLines/>
      </w:pPr>
      <w:r w:rsidRPr="007740E4">
        <w:t>Source: Table 4.11&amp;4.14, pp152&amp;154 of the resubmission</w:t>
      </w:r>
      <w:r w:rsidR="005152E0">
        <w:t xml:space="preserve">, </w:t>
      </w:r>
      <w:r w:rsidR="005152E0" w:rsidRPr="005636DC">
        <w:t>and calculated for ESC advice from financial estimates worksheet</w:t>
      </w:r>
      <w:r w:rsidRPr="005636DC">
        <w:t xml:space="preserve">. </w:t>
      </w:r>
    </w:p>
    <w:p w14:paraId="5F91B00B" w14:textId="3105BA4C" w:rsidR="0014093D" w:rsidRPr="007740E4" w:rsidRDefault="0014093D" w:rsidP="00B57050">
      <w:pPr>
        <w:pStyle w:val="FooterTableFigure"/>
        <w:keepNext/>
        <w:keepLines/>
      </w:pPr>
      <w:r w:rsidRPr="007740E4">
        <w:t xml:space="preserve">NUSI=nusinersen; ONA=onasemnogene abeparvovec; RIS= risdiplam </w:t>
      </w:r>
    </w:p>
    <w:p w14:paraId="4BD73A38" w14:textId="30D311B2" w:rsidR="005152E0" w:rsidRPr="005636DC" w:rsidRDefault="0014093D" w:rsidP="00B57050">
      <w:pPr>
        <w:pStyle w:val="FooterTableFigure"/>
        <w:keepNext/>
        <w:keepLines/>
      </w:pPr>
      <w:r w:rsidRPr="005636DC">
        <w:t xml:space="preserve">a </w:t>
      </w:r>
      <w:r w:rsidR="005152E0" w:rsidRPr="005636DC">
        <w:t xml:space="preserve">Numbers differ from table 15 due to </w:t>
      </w:r>
      <w:r w:rsidR="0051672C" w:rsidRPr="005636DC">
        <w:t>rounding.</w:t>
      </w:r>
    </w:p>
    <w:p w14:paraId="731B7082" w14:textId="4E9A8618" w:rsidR="0014093D" w:rsidRPr="007740E4" w:rsidRDefault="005152E0" w:rsidP="00B57050">
      <w:pPr>
        <w:pStyle w:val="FooterTableFigure"/>
        <w:keepNext/>
        <w:keepLines/>
      </w:pPr>
      <w:r>
        <w:t xml:space="preserve">b </w:t>
      </w:r>
      <w:r w:rsidR="0014093D" w:rsidRPr="007740E4">
        <w:t xml:space="preserve">This analysis was not provided as part of the resubmission. </w:t>
      </w:r>
    </w:p>
    <w:p w14:paraId="7EB8153F" w14:textId="41A29286" w:rsidR="0014093D" w:rsidRPr="007740E4" w:rsidRDefault="0014093D" w:rsidP="0014093D">
      <w:pPr>
        <w:pStyle w:val="3-BodyText"/>
      </w:pPr>
      <w:r w:rsidRPr="007740E4">
        <w:fldChar w:fldCharType="begin" w:fldLock="1"/>
      </w:r>
      <w:r w:rsidRPr="007740E4">
        <w:instrText xml:space="preserve"> REF _Ref134292870 \h </w:instrText>
      </w:r>
      <w:r w:rsidRPr="007740E4">
        <w:fldChar w:fldCharType="separate"/>
      </w:r>
      <w:r w:rsidR="007866DB" w:rsidRPr="007740E4">
        <w:t xml:space="preserve">Table </w:t>
      </w:r>
      <w:r w:rsidR="007866DB">
        <w:rPr>
          <w:noProof/>
        </w:rPr>
        <w:t>15</w:t>
      </w:r>
      <w:r w:rsidRPr="007740E4">
        <w:fldChar w:fldCharType="end"/>
      </w:r>
      <w:r w:rsidRPr="007740E4">
        <w:t xml:space="preserve"> presents the estimated net financial implications for the proposed listing of ONA for the pre-symptomatic treatment of SMA patients with 3</w:t>
      </w:r>
      <w:r w:rsidR="00267CA3">
        <w:t xml:space="preserve"> </w:t>
      </w:r>
      <w:r w:rsidR="00B64F80" w:rsidRPr="007740E4">
        <w:rPr>
          <w:i/>
        </w:rPr>
        <w:t>SMN2</w:t>
      </w:r>
      <w:r w:rsidRPr="007740E4">
        <w:t xml:space="preserve"> copies over the first 6 years.</w:t>
      </w:r>
    </w:p>
    <w:p w14:paraId="771412FC" w14:textId="0010DD3A" w:rsidR="0014093D" w:rsidRPr="007740E4" w:rsidRDefault="0014093D" w:rsidP="00861BE4">
      <w:pPr>
        <w:pStyle w:val="Caption"/>
        <w:rPr>
          <w:rStyle w:val="CommentReference"/>
          <w:b/>
          <w:szCs w:val="24"/>
        </w:rPr>
      </w:pPr>
      <w:bookmarkStart w:id="59" w:name="_Ref134292870"/>
      <w:r w:rsidRPr="007740E4">
        <w:t xml:space="preserve">Table </w:t>
      </w:r>
      <w:fldSimple w:instr=" SEQ Table \* ARABIC " w:fldLock="1">
        <w:r w:rsidR="0084520A">
          <w:rPr>
            <w:noProof/>
          </w:rPr>
          <w:t>15</w:t>
        </w:r>
      </w:fldSimple>
      <w:bookmarkEnd w:id="59"/>
      <w:r w:rsidRPr="007740E4">
        <w:t>:</w:t>
      </w:r>
      <w:r w:rsidRPr="007740E4">
        <w:rPr>
          <w:rStyle w:val="CommentReference"/>
          <w:b/>
          <w:szCs w:val="24"/>
        </w:rPr>
        <w:t xml:space="preserve"> Estimated use and financial implications</w:t>
      </w:r>
      <w:r w:rsidR="00C825D9">
        <w:rPr>
          <w:rStyle w:val="CommentReference"/>
          <w:b/>
          <w:szCs w:val="24"/>
        </w:rPr>
        <w:t xml:space="preserve"> (correct</w:t>
      </w:r>
      <w:r w:rsidR="00CE23BC">
        <w:rPr>
          <w:rStyle w:val="CommentReference"/>
          <w:b/>
          <w:szCs w:val="24"/>
        </w:rPr>
        <w:t>ed during evaluation)</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Estimated use and financial implications (corrected during evaluation)"/>
      </w:tblPr>
      <w:tblGrid>
        <w:gridCol w:w="2515"/>
        <w:gridCol w:w="1200"/>
        <w:gridCol w:w="1080"/>
        <w:gridCol w:w="1153"/>
        <w:gridCol w:w="1116"/>
        <w:gridCol w:w="1115"/>
        <w:gridCol w:w="1185"/>
        <w:gridCol w:w="11"/>
      </w:tblGrid>
      <w:tr w:rsidR="0014093D" w:rsidRPr="00820898" w14:paraId="3E6BBF8B" w14:textId="77777777" w:rsidTr="00F44004">
        <w:trPr>
          <w:gridAfter w:val="1"/>
          <w:wAfter w:w="11" w:type="dxa"/>
          <w:tblHeader/>
        </w:trPr>
        <w:tc>
          <w:tcPr>
            <w:tcW w:w="2515" w:type="dxa"/>
            <w:shd w:val="clear" w:color="auto" w:fill="auto"/>
            <w:vAlign w:val="center"/>
          </w:tcPr>
          <w:p w14:paraId="58294C8D" w14:textId="77777777" w:rsidR="0014093D" w:rsidRPr="00820898" w:rsidRDefault="0014093D" w:rsidP="00861BE4">
            <w:pPr>
              <w:pStyle w:val="Tabletext"/>
              <w:keepNext/>
              <w:keepLines/>
              <w:rPr>
                <w:rStyle w:val="CommentReference"/>
                <w:b w:val="0"/>
                <w:szCs w:val="20"/>
              </w:rPr>
            </w:pPr>
          </w:p>
        </w:tc>
        <w:tc>
          <w:tcPr>
            <w:tcW w:w="1200" w:type="dxa"/>
            <w:shd w:val="clear" w:color="auto" w:fill="auto"/>
            <w:vAlign w:val="center"/>
          </w:tcPr>
          <w:p w14:paraId="436A9291"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1</w:t>
            </w:r>
          </w:p>
        </w:tc>
        <w:tc>
          <w:tcPr>
            <w:tcW w:w="1080" w:type="dxa"/>
            <w:shd w:val="clear" w:color="auto" w:fill="auto"/>
            <w:vAlign w:val="center"/>
          </w:tcPr>
          <w:p w14:paraId="6A859A3E"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2</w:t>
            </w:r>
          </w:p>
        </w:tc>
        <w:tc>
          <w:tcPr>
            <w:tcW w:w="1153" w:type="dxa"/>
            <w:shd w:val="clear" w:color="auto" w:fill="auto"/>
            <w:vAlign w:val="center"/>
          </w:tcPr>
          <w:p w14:paraId="227B2700"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3</w:t>
            </w:r>
          </w:p>
        </w:tc>
        <w:tc>
          <w:tcPr>
            <w:tcW w:w="1116" w:type="dxa"/>
            <w:shd w:val="clear" w:color="auto" w:fill="auto"/>
            <w:vAlign w:val="center"/>
          </w:tcPr>
          <w:p w14:paraId="6993E2BF"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4</w:t>
            </w:r>
          </w:p>
        </w:tc>
        <w:tc>
          <w:tcPr>
            <w:tcW w:w="1115" w:type="dxa"/>
            <w:shd w:val="clear" w:color="auto" w:fill="auto"/>
            <w:vAlign w:val="center"/>
          </w:tcPr>
          <w:p w14:paraId="696E989E"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5</w:t>
            </w:r>
          </w:p>
        </w:tc>
        <w:tc>
          <w:tcPr>
            <w:tcW w:w="1185" w:type="dxa"/>
            <w:shd w:val="clear" w:color="auto" w:fill="auto"/>
            <w:vAlign w:val="center"/>
          </w:tcPr>
          <w:p w14:paraId="52E1E06E" w14:textId="77777777" w:rsidR="0014093D" w:rsidRPr="00820898" w:rsidRDefault="0014093D" w:rsidP="00861BE4">
            <w:pPr>
              <w:pStyle w:val="Tabletext"/>
              <w:keepNext/>
              <w:keepLines/>
              <w:jc w:val="center"/>
              <w:rPr>
                <w:rStyle w:val="CommentReference"/>
                <w:szCs w:val="20"/>
              </w:rPr>
            </w:pPr>
            <w:r w:rsidRPr="00820898">
              <w:rPr>
                <w:rStyle w:val="CommentReference"/>
                <w:szCs w:val="20"/>
              </w:rPr>
              <w:t>Year 6</w:t>
            </w:r>
          </w:p>
        </w:tc>
      </w:tr>
      <w:tr w:rsidR="0014093D" w:rsidRPr="00820898" w14:paraId="0253699F" w14:textId="77777777" w:rsidTr="00F44004">
        <w:tc>
          <w:tcPr>
            <w:tcW w:w="9375" w:type="dxa"/>
            <w:gridSpan w:val="8"/>
            <w:shd w:val="clear" w:color="auto" w:fill="auto"/>
            <w:vAlign w:val="center"/>
          </w:tcPr>
          <w:p w14:paraId="469FFA55" w14:textId="5F872F13" w:rsidR="0014093D" w:rsidRPr="00820898" w:rsidRDefault="0014093D" w:rsidP="00861BE4">
            <w:pPr>
              <w:pStyle w:val="Tabletext"/>
              <w:keepNext/>
              <w:keepLines/>
              <w:rPr>
                <w:rStyle w:val="CommentReference"/>
                <w:szCs w:val="20"/>
              </w:rPr>
            </w:pPr>
            <w:r w:rsidRPr="00820898">
              <w:rPr>
                <w:rStyle w:val="CommentReference"/>
                <w:szCs w:val="20"/>
              </w:rPr>
              <w:t>Estimation of use and financial impact of the proposed medicine (PBS)</w:t>
            </w:r>
          </w:p>
        </w:tc>
      </w:tr>
      <w:tr w:rsidR="0014093D" w:rsidRPr="00820898" w14:paraId="6BCFE211" w14:textId="77777777" w:rsidTr="00F44004">
        <w:trPr>
          <w:gridAfter w:val="1"/>
          <w:wAfter w:w="11" w:type="dxa"/>
        </w:trPr>
        <w:tc>
          <w:tcPr>
            <w:tcW w:w="2515" w:type="dxa"/>
            <w:shd w:val="clear" w:color="auto" w:fill="auto"/>
            <w:vAlign w:val="center"/>
          </w:tcPr>
          <w:p w14:paraId="5507AAF6" w14:textId="77777777" w:rsidR="0014093D" w:rsidRPr="00820898" w:rsidRDefault="0014093D" w:rsidP="00861BE4">
            <w:pPr>
              <w:pStyle w:val="Tabletext"/>
              <w:keepNext/>
              <w:keepLines/>
              <w:rPr>
                <w:szCs w:val="20"/>
              </w:rPr>
            </w:pPr>
            <w:r w:rsidRPr="00820898">
              <w:rPr>
                <w:szCs w:val="20"/>
              </w:rPr>
              <w:t>Incidence of SMA</w:t>
            </w:r>
          </w:p>
        </w:tc>
        <w:tc>
          <w:tcPr>
            <w:tcW w:w="1200" w:type="dxa"/>
            <w:shd w:val="clear" w:color="auto" w:fill="auto"/>
            <w:vAlign w:val="center"/>
          </w:tcPr>
          <w:p w14:paraId="22369409" w14:textId="305A357F"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0"/>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0"/>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22D9E0A2" w14:textId="06FC2C3C"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9"/>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9"/>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9"/>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1B8B65A5" w14:textId="063B2114"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8"/>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8"/>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8"/>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4DC726A9" w14:textId="6D1BF9E1"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7"/>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7"/>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7"/>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6C22F251" w14:textId="21CC64F1"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6"/>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13B6EDDD" w14:textId="1E504BAD"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5"/>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5"/>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5DFFFF8F" w14:textId="77777777" w:rsidTr="00F44004">
        <w:trPr>
          <w:gridAfter w:val="1"/>
          <w:wAfter w:w="11" w:type="dxa"/>
        </w:trPr>
        <w:tc>
          <w:tcPr>
            <w:tcW w:w="2515" w:type="dxa"/>
            <w:shd w:val="clear" w:color="auto" w:fill="auto"/>
            <w:vAlign w:val="center"/>
          </w:tcPr>
          <w:p w14:paraId="21209B84" w14:textId="70E1145F" w:rsidR="0014093D" w:rsidRPr="00820898" w:rsidRDefault="0014093D" w:rsidP="00861BE4">
            <w:pPr>
              <w:pStyle w:val="Tabletext"/>
              <w:keepNext/>
              <w:keepLines/>
              <w:rPr>
                <w:szCs w:val="20"/>
              </w:rPr>
            </w:pPr>
            <w:r w:rsidRPr="00820898">
              <w:rPr>
                <w:szCs w:val="20"/>
              </w:rPr>
              <w:t>Eligible</w:t>
            </w:r>
            <w:r w:rsidR="00860ABD" w:rsidRPr="00820898">
              <w:rPr>
                <w:szCs w:val="20"/>
              </w:rPr>
              <w:t>^ Type I p</w:t>
            </w:r>
            <w:r w:rsidRPr="00820898">
              <w:rPr>
                <w:szCs w:val="20"/>
              </w:rPr>
              <w:t>ts who elect trt</w:t>
            </w:r>
          </w:p>
        </w:tc>
        <w:tc>
          <w:tcPr>
            <w:tcW w:w="1200" w:type="dxa"/>
            <w:shd w:val="clear" w:color="auto" w:fill="auto"/>
            <w:vAlign w:val="center"/>
          </w:tcPr>
          <w:p w14:paraId="7AFADBCF" w14:textId="6DC20CD4"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04CF91A2" w14:textId="12FBE6C9"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3"/>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3"/>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2A12AA07" w14:textId="6804266A"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2"/>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2"/>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29118E89" w14:textId="1DDCCE88"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1"/>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1"/>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1"/>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2195D5E5" w14:textId="1EEB06B8"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0"/>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0C3B678B" w14:textId="27299311"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6"/>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6"/>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1D8C790F" w14:textId="77777777" w:rsidTr="00F44004">
        <w:trPr>
          <w:gridAfter w:val="1"/>
          <w:wAfter w:w="11" w:type="dxa"/>
        </w:trPr>
        <w:tc>
          <w:tcPr>
            <w:tcW w:w="2515" w:type="dxa"/>
            <w:shd w:val="clear" w:color="auto" w:fill="auto"/>
            <w:vAlign w:val="center"/>
          </w:tcPr>
          <w:p w14:paraId="40FBF667" w14:textId="6FADD052" w:rsidR="0014093D" w:rsidRPr="00820898" w:rsidRDefault="0014093D" w:rsidP="00861BE4">
            <w:pPr>
              <w:pStyle w:val="Tabletext"/>
              <w:keepNext/>
              <w:keepLines/>
              <w:rPr>
                <w:szCs w:val="20"/>
              </w:rPr>
            </w:pPr>
            <w:r w:rsidRPr="00820898">
              <w:rPr>
                <w:szCs w:val="20"/>
              </w:rPr>
              <w:t>Eligible</w:t>
            </w:r>
            <w:r w:rsidR="00860ABD" w:rsidRPr="00820898">
              <w:rPr>
                <w:szCs w:val="20"/>
              </w:rPr>
              <w:t>^ Type II p</w:t>
            </w:r>
            <w:r w:rsidRPr="00820898">
              <w:rPr>
                <w:szCs w:val="20"/>
              </w:rPr>
              <w:t xml:space="preserve">ts who elect trt </w:t>
            </w:r>
          </w:p>
        </w:tc>
        <w:tc>
          <w:tcPr>
            <w:tcW w:w="1200" w:type="dxa"/>
            <w:shd w:val="clear" w:color="auto" w:fill="auto"/>
            <w:vAlign w:val="center"/>
          </w:tcPr>
          <w:p w14:paraId="1D28A503" w14:textId="66941D43"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5"/>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5"/>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3B4F2487" w14:textId="11DED11C"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4"/>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4"/>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663930F9" w14:textId="344F9A97"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13"/>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13"/>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1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3B18A9CF" w14:textId="0DE3BE59"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12"/>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12"/>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1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3C372C83" w14:textId="47ACC717"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1"/>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1"/>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1"/>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2BB36DEA" w14:textId="4B5021E3"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0"/>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0"/>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7BD88502" w14:textId="77777777" w:rsidTr="00F44004">
        <w:trPr>
          <w:gridAfter w:val="1"/>
          <w:wAfter w:w="11" w:type="dxa"/>
        </w:trPr>
        <w:tc>
          <w:tcPr>
            <w:tcW w:w="2515" w:type="dxa"/>
            <w:shd w:val="clear" w:color="auto" w:fill="auto"/>
            <w:vAlign w:val="center"/>
          </w:tcPr>
          <w:p w14:paraId="310D0021" w14:textId="5CB46675" w:rsidR="0014093D" w:rsidRPr="00820898" w:rsidRDefault="00860ABD" w:rsidP="00861BE4">
            <w:pPr>
              <w:pStyle w:val="Tabletext"/>
              <w:keepNext/>
              <w:keepLines/>
              <w:rPr>
                <w:szCs w:val="20"/>
              </w:rPr>
            </w:pPr>
            <w:r w:rsidRPr="00820898">
              <w:rPr>
                <w:szCs w:val="20"/>
              </w:rPr>
              <w:t>Eligible^ Type IIIa p</w:t>
            </w:r>
            <w:r w:rsidR="0014093D" w:rsidRPr="00820898">
              <w:rPr>
                <w:szCs w:val="20"/>
              </w:rPr>
              <w:t>ts who elect trt</w:t>
            </w:r>
          </w:p>
        </w:tc>
        <w:tc>
          <w:tcPr>
            <w:tcW w:w="1200" w:type="dxa"/>
            <w:shd w:val="clear" w:color="auto" w:fill="auto"/>
            <w:vAlign w:val="center"/>
          </w:tcPr>
          <w:p w14:paraId="5ACAB6FF" w14:textId="70DDD743"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9"/>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9"/>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9"/>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2DDB39A4" w14:textId="1685D059"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8"/>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8"/>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8"/>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4E3F1CB9" w14:textId="2D3A5E34"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7"/>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7"/>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7"/>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663DBE5F" w14:textId="06E7A599"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6"/>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69BD2231" w14:textId="020E4701"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5"/>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5"/>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17D5B048" w14:textId="2E3BD542"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505BF88A" w14:textId="77777777" w:rsidTr="00F44004">
        <w:trPr>
          <w:gridAfter w:val="1"/>
          <w:wAfter w:w="11" w:type="dxa"/>
        </w:trPr>
        <w:tc>
          <w:tcPr>
            <w:tcW w:w="2515" w:type="dxa"/>
            <w:shd w:val="clear" w:color="auto" w:fill="auto"/>
            <w:vAlign w:val="center"/>
          </w:tcPr>
          <w:p w14:paraId="3C73892D" w14:textId="50A716A3" w:rsidR="0014093D" w:rsidRPr="00820898" w:rsidRDefault="00860ABD" w:rsidP="00861BE4">
            <w:pPr>
              <w:pStyle w:val="Tabletext"/>
              <w:keepNext/>
              <w:keepLines/>
              <w:rPr>
                <w:szCs w:val="20"/>
              </w:rPr>
            </w:pPr>
            <w:r w:rsidRPr="00820898">
              <w:rPr>
                <w:szCs w:val="20"/>
              </w:rPr>
              <w:t>Eligible^ Type IIIb p</w:t>
            </w:r>
            <w:r w:rsidR="0014093D" w:rsidRPr="00820898">
              <w:rPr>
                <w:szCs w:val="20"/>
              </w:rPr>
              <w:t>ts who elect trt</w:t>
            </w:r>
          </w:p>
        </w:tc>
        <w:tc>
          <w:tcPr>
            <w:tcW w:w="1200" w:type="dxa"/>
            <w:shd w:val="clear" w:color="auto" w:fill="auto"/>
            <w:vAlign w:val="center"/>
          </w:tcPr>
          <w:p w14:paraId="3762491B" w14:textId="4CA76FDA"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3"/>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3"/>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509B6EC5" w14:textId="47C63D25"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2"/>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2"/>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75F54CDC" w14:textId="035F2523"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1"/>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1"/>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1"/>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5E929732" w14:textId="4F6E9610"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0"/>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38BF3BFF" w14:textId="465236F4"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6"/>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1B6D6F85" w14:textId="24DD065A"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5"/>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5"/>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4F29FC42" w14:textId="77777777" w:rsidTr="00F44004">
        <w:trPr>
          <w:gridAfter w:val="1"/>
          <w:wAfter w:w="11" w:type="dxa"/>
        </w:trPr>
        <w:tc>
          <w:tcPr>
            <w:tcW w:w="2515" w:type="dxa"/>
            <w:shd w:val="clear" w:color="auto" w:fill="auto"/>
            <w:vAlign w:val="center"/>
          </w:tcPr>
          <w:p w14:paraId="735A9AF3" w14:textId="77777777" w:rsidR="0014093D" w:rsidRPr="00820898" w:rsidRDefault="0014093D" w:rsidP="00861BE4">
            <w:pPr>
              <w:pStyle w:val="Tabletext"/>
              <w:keepNext/>
              <w:keepLines/>
              <w:rPr>
                <w:szCs w:val="20"/>
              </w:rPr>
            </w:pPr>
            <w:r w:rsidRPr="00820898">
              <w:rPr>
                <w:szCs w:val="20"/>
              </w:rPr>
              <w:t>Total patients treated with ONA</w:t>
            </w:r>
          </w:p>
        </w:tc>
        <w:tc>
          <w:tcPr>
            <w:tcW w:w="1200" w:type="dxa"/>
            <w:shd w:val="clear" w:color="auto" w:fill="auto"/>
            <w:vAlign w:val="center"/>
          </w:tcPr>
          <w:p w14:paraId="75F74DCA" w14:textId="0A36AF4C"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2B7045C8" w14:textId="17647028"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3"/>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3"/>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0D31C5D4" w14:textId="1FD55966"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12"/>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12"/>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1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497F0405" w14:textId="19632C8C"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11"/>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11"/>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11"/>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28CA21E3" w14:textId="26063DDD"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0"/>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6D82D4C8" w14:textId="684FA4FA"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9"/>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9"/>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9"/>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4014A090" w14:textId="77777777" w:rsidTr="00F44004">
        <w:trPr>
          <w:gridAfter w:val="1"/>
          <w:wAfter w:w="11" w:type="dxa"/>
        </w:trPr>
        <w:tc>
          <w:tcPr>
            <w:tcW w:w="2515" w:type="dxa"/>
            <w:shd w:val="clear" w:color="auto" w:fill="auto"/>
            <w:vAlign w:val="center"/>
          </w:tcPr>
          <w:p w14:paraId="18BF56B5" w14:textId="77777777" w:rsidR="0014093D" w:rsidRPr="00820898" w:rsidRDefault="0014093D" w:rsidP="00861BE4">
            <w:pPr>
              <w:pStyle w:val="Tabletext"/>
              <w:keepNext/>
              <w:keepLines/>
              <w:rPr>
                <w:szCs w:val="20"/>
              </w:rPr>
            </w:pPr>
            <w:r w:rsidRPr="00820898">
              <w:rPr>
                <w:szCs w:val="20"/>
              </w:rPr>
              <w:t>Total number of scripts</w:t>
            </w:r>
          </w:p>
        </w:tc>
        <w:tc>
          <w:tcPr>
            <w:tcW w:w="1200" w:type="dxa"/>
            <w:shd w:val="clear" w:color="auto" w:fill="auto"/>
            <w:vAlign w:val="center"/>
          </w:tcPr>
          <w:p w14:paraId="7F6E125A" w14:textId="4DE3DF73"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8"/>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8"/>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8"/>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shd w:val="clear" w:color="auto" w:fill="auto"/>
            <w:vAlign w:val="center"/>
          </w:tcPr>
          <w:p w14:paraId="3CC2F42B" w14:textId="5E80C45E"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7"/>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7"/>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7"/>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shd w:val="clear" w:color="auto" w:fill="auto"/>
            <w:vAlign w:val="center"/>
          </w:tcPr>
          <w:p w14:paraId="1E1DD7A3" w14:textId="2BD12F3C"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6"/>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6"/>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shd w:val="clear" w:color="auto" w:fill="auto"/>
            <w:vAlign w:val="center"/>
          </w:tcPr>
          <w:p w14:paraId="79E63CA9" w14:textId="0A795762"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5"/>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5"/>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shd w:val="clear" w:color="auto" w:fill="auto"/>
            <w:vAlign w:val="center"/>
          </w:tcPr>
          <w:p w14:paraId="10B2254B" w14:textId="3199B3C7"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4"/>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4"/>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shd w:val="clear" w:color="auto" w:fill="auto"/>
            <w:vAlign w:val="center"/>
          </w:tcPr>
          <w:p w14:paraId="1D4D7881" w14:textId="2452DBCB"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3"/>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3"/>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3C8FDC1B" w14:textId="77777777" w:rsidTr="00F44004">
        <w:trPr>
          <w:gridAfter w:val="1"/>
          <w:wAfter w:w="11" w:type="dxa"/>
        </w:trPr>
        <w:tc>
          <w:tcPr>
            <w:tcW w:w="2515" w:type="dxa"/>
            <w:shd w:val="clear" w:color="auto" w:fill="auto"/>
            <w:vAlign w:val="center"/>
          </w:tcPr>
          <w:p w14:paraId="72609AE3" w14:textId="77777777" w:rsidR="0014093D" w:rsidRPr="00820898" w:rsidRDefault="0014093D" w:rsidP="00861BE4">
            <w:pPr>
              <w:pStyle w:val="Tabletext"/>
              <w:keepNext/>
              <w:keepLines/>
              <w:rPr>
                <w:szCs w:val="20"/>
              </w:rPr>
            </w:pPr>
            <w:r w:rsidRPr="00820898">
              <w:rPr>
                <w:szCs w:val="20"/>
              </w:rPr>
              <w:t>Total PBS cost less co-pay (eff)</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F22E9DA" w14:textId="6B603188"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2"/>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2"/>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2"/>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797245E8" w14:textId="71B29520"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1"/>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1"/>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1"/>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c>
          <w:tcPr>
            <w:tcW w:w="1153" w:type="dxa"/>
            <w:tcBorders>
              <w:top w:val="single" w:sz="4" w:space="0" w:color="auto"/>
              <w:left w:val="nil"/>
              <w:bottom w:val="single" w:sz="4" w:space="0" w:color="auto"/>
              <w:right w:val="single" w:sz="4" w:space="0" w:color="auto"/>
            </w:tcBorders>
            <w:shd w:val="clear" w:color="auto" w:fill="auto"/>
            <w:vAlign w:val="center"/>
          </w:tcPr>
          <w:p w14:paraId="2FF0BCE9" w14:textId="0B1D1EC8"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0"/>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0"/>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0"/>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c>
          <w:tcPr>
            <w:tcW w:w="1116" w:type="dxa"/>
            <w:tcBorders>
              <w:top w:val="single" w:sz="4" w:space="0" w:color="auto"/>
              <w:left w:val="nil"/>
              <w:bottom w:val="single" w:sz="4" w:space="0" w:color="auto"/>
              <w:right w:val="single" w:sz="4" w:space="0" w:color="auto"/>
            </w:tcBorders>
            <w:shd w:val="clear" w:color="auto" w:fill="auto"/>
            <w:vAlign w:val="center"/>
          </w:tcPr>
          <w:p w14:paraId="418BF236" w14:textId="0297BCDB"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1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16"/>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16"/>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c>
          <w:tcPr>
            <w:tcW w:w="1115" w:type="dxa"/>
            <w:tcBorders>
              <w:top w:val="single" w:sz="4" w:space="0" w:color="auto"/>
              <w:left w:val="nil"/>
              <w:bottom w:val="single" w:sz="4" w:space="0" w:color="auto"/>
              <w:right w:val="single" w:sz="4" w:space="0" w:color="auto"/>
            </w:tcBorders>
            <w:shd w:val="clear" w:color="auto" w:fill="auto"/>
            <w:vAlign w:val="center"/>
          </w:tcPr>
          <w:p w14:paraId="30D7EAF8" w14:textId="122CBD30"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5"/>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5"/>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5"/>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c>
          <w:tcPr>
            <w:tcW w:w="1185" w:type="dxa"/>
            <w:tcBorders>
              <w:top w:val="single" w:sz="4" w:space="0" w:color="auto"/>
              <w:left w:val="nil"/>
              <w:bottom w:val="single" w:sz="4" w:space="0" w:color="auto"/>
              <w:right w:val="single" w:sz="4" w:space="0" w:color="auto"/>
            </w:tcBorders>
            <w:shd w:val="clear" w:color="auto" w:fill="auto"/>
            <w:vAlign w:val="center"/>
          </w:tcPr>
          <w:p w14:paraId="665DEE67" w14:textId="6E2C68E0"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1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4"/>
                <w14:textFill>
                  <w14:solidFill>
                    <w14:srgbClr w14:val="000000">
                      <w14:alpha w14:val="100000"/>
                    </w14:srgbClr>
                  </w14:solidFill>
                </w14:textFill>
              </w:rPr>
              <w:t xml:space="preserve">　</w:t>
            </w:r>
            <w:r w:rsidR="00DB04EF">
              <w:rPr>
                <w:rFonts w:ascii="Arial Narrow" w:hAnsi="Arial Narrow"/>
                <w:sz w:val="20"/>
                <w:szCs w:val="20"/>
                <w:vertAlign w:val="superscript"/>
              </w:rPr>
              <w:t>5</w:t>
            </w:r>
          </w:p>
        </w:tc>
      </w:tr>
      <w:tr w:rsidR="0014093D" w:rsidRPr="00820898" w14:paraId="5708B199" w14:textId="77777777" w:rsidTr="00F44004">
        <w:tc>
          <w:tcPr>
            <w:tcW w:w="9375" w:type="dxa"/>
            <w:gridSpan w:val="8"/>
            <w:shd w:val="clear" w:color="auto" w:fill="auto"/>
            <w:vAlign w:val="center"/>
          </w:tcPr>
          <w:p w14:paraId="75FBC6DB" w14:textId="4503722E" w:rsidR="0014093D" w:rsidRPr="00820898" w:rsidRDefault="0014093D" w:rsidP="00861BE4">
            <w:pPr>
              <w:pStyle w:val="Tabletext"/>
              <w:keepNext/>
              <w:keepLines/>
              <w:rPr>
                <w:rStyle w:val="CommentReference"/>
                <w:szCs w:val="20"/>
              </w:rPr>
            </w:pPr>
            <w:r w:rsidRPr="00820898">
              <w:rPr>
                <w:rStyle w:val="CommentReference"/>
                <w:szCs w:val="20"/>
              </w:rPr>
              <w:t>Estimation of changes in use and financial impact of other medicines (PBS)</w:t>
            </w:r>
          </w:p>
        </w:tc>
      </w:tr>
      <w:tr w:rsidR="0014093D" w:rsidRPr="00820898" w14:paraId="5BF30228" w14:textId="77777777" w:rsidTr="00F44004">
        <w:trPr>
          <w:gridAfter w:val="1"/>
          <w:wAfter w:w="11" w:type="dxa"/>
        </w:trPr>
        <w:tc>
          <w:tcPr>
            <w:tcW w:w="2515" w:type="dxa"/>
            <w:shd w:val="clear" w:color="auto" w:fill="auto"/>
          </w:tcPr>
          <w:p w14:paraId="0392261C" w14:textId="77777777" w:rsidR="0014093D" w:rsidRPr="00820898" w:rsidRDefault="0014093D" w:rsidP="00861BE4">
            <w:pPr>
              <w:pStyle w:val="Tabletext"/>
              <w:keepNext/>
              <w:keepLines/>
              <w:rPr>
                <w:szCs w:val="20"/>
              </w:rPr>
            </w:pPr>
            <w:r w:rsidRPr="00820898">
              <w:rPr>
                <w:szCs w:val="20"/>
              </w:rPr>
              <w:t>Total initiating patients (first year)</w:t>
            </w:r>
          </w:p>
        </w:tc>
        <w:tc>
          <w:tcPr>
            <w:tcW w:w="1200" w:type="dxa"/>
            <w:tcBorders>
              <w:top w:val="single" w:sz="4" w:space="0" w:color="auto"/>
              <w:bottom w:val="single" w:sz="4" w:space="0" w:color="auto"/>
            </w:tcBorders>
            <w:vAlign w:val="center"/>
          </w:tcPr>
          <w:p w14:paraId="18CCA663" w14:textId="09B985EE" w:rsidR="0014093D" w:rsidRPr="006E3644" w:rsidRDefault="004E27E7" w:rsidP="00861BE4">
            <w:pPr>
              <w:keepNext/>
              <w:jc w:val="center"/>
              <w:rPr>
                <w:rFonts w:ascii="Arial Narrow" w:hAnsi="Arial Narrow"/>
                <w:sz w:val="20"/>
                <w:szCs w:val="20"/>
                <w:highlight w:val="lightGray"/>
                <w:vertAlign w:val="superscript"/>
              </w:rPr>
            </w:pPr>
            <w:r w:rsidRPr="005C18A1">
              <w:rPr>
                <w:rFonts w:ascii="Arial Narrow" w:hAnsi="Arial Narrow" w:hint="eastAsia"/>
                <w:color w:val="000000"/>
                <w:w w:val="15"/>
                <w:sz w:val="20"/>
                <w:szCs w:val="20"/>
                <w:shd w:val="solid" w:color="000000" w:fill="000000"/>
                <w:fitText w:val="11" w:id="-1167951613"/>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13"/>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1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tcBorders>
              <w:top w:val="single" w:sz="4" w:space="0" w:color="auto"/>
              <w:bottom w:val="single" w:sz="4" w:space="0" w:color="auto"/>
            </w:tcBorders>
            <w:vAlign w:val="center"/>
          </w:tcPr>
          <w:p w14:paraId="7E17EFDD" w14:textId="304378EF"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12"/>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12"/>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1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tcBorders>
              <w:top w:val="single" w:sz="4" w:space="0" w:color="auto"/>
              <w:bottom w:val="single" w:sz="4" w:space="0" w:color="auto"/>
            </w:tcBorders>
            <w:vAlign w:val="center"/>
          </w:tcPr>
          <w:p w14:paraId="7759F18F" w14:textId="71F59F84"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11"/>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11"/>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11"/>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tcBorders>
              <w:top w:val="single" w:sz="4" w:space="0" w:color="auto"/>
              <w:bottom w:val="single" w:sz="4" w:space="0" w:color="auto"/>
            </w:tcBorders>
            <w:vAlign w:val="center"/>
          </w:tcPr>
          <w:p w14:paraId="5094F9F4" w14:textId="235D7814"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1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10"/>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10"/>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tcBorders>
              <w:top w:val="single" w:sz="4" w:space="0" w:color="auto"/>
              <w:bottom w:val="single" w:sz="4" w:space="0" w:color="auto"/>
            </w:tcBorders>
            <w:vAlign w:val="center"/>
          </w:tcPr>
          <w:p w14:paraId="7E45DAFB" w14:textId="1ED9B821"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9"/>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9"/>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9"/>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tcBorders>
              <w:top w:val="single" w:sz="4" w:space="0" w:color="auto"/>
              <w:bottom w:val="single" w:sz="4" w:space="0" w:color="auto"/>
            </w:tcBorders>
            <w:vAlign w:val="center"/>
          </w:tcPr>
          <w:p w14:paraId="58EECB1D" w14:textId="57A6FB03"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8"/>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8"/>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8"/>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1926A484" w14:textId="77777777" w:rsidTr="00F44004">
        <w:trPr>
          <w:gridAfter w:val="1"/>
          <w:wAfter w:w="11" w:type="dxa"/>
        </w:trPr>
        <w:tc>
          <w:tcPr>
            <w:tcW w:w="2515" w:type="dxa"/>
            <w:shd w:val="clear" w:color="auto" w:fill="auto"/>
          </w:tcPr>
          <w:p w14:paraId="14A6A495" w14:textId="77777777" w:rsidR="0014093D" w:rsidRPr="00820898" w:rsidRDefault="0014093D" w:rsidP="00861BE4">
            <w:pPr>
              <w:pStyle w:val="Tabletext"/>
              <w:keepNext/>
              <w:keepLines/>
              <w:rPr>
                <w:szCs w:val="20"/>
              </w:rPr>
            </w:pPr>
            <w:r w:rsidRPr="00820898">
              <w:rPr>
                <w:szCs w:val="20"/>
              </w:rPr>
              <w:t>Total continuing patients (second yr+)</w:t>
            </w:r>
          </w:p>
        </w:tc>
        <w:tc>
          <w:tcPr>
            <w:tcW w:w="1200" w:type="dxa"/>
            <w:tcBorders>
              <w:top w:val="single" w:sz="4" w:space="0" w:color="auto"/>
              <w:bottom w:val="single" w:sz="4" w:space="0" w:color="auto"/>
            </w:tcBorders>
            <w:vAlign w:val="center"/>
          </w:tcPr>
          <w:p w14:paraId="580498C2" w14:textId="2357AC66"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7"/>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7"/>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7"/>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080" w:type="dxa"/>
            <w:tcBorders>
              <w:top w:val="single" w:sz="4" w:space="0" w:color="auto"/>
              <w:bottom w:val="single" w:sz="4" w:space="0" w:color="auto"/>
            </w:tcBorders>
            <w:vAlign w:val="center"/>
          </w:tcPr>
          <w:p w14:paraId="43651FE5" w14:textId="79C62E9B"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6"/>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6"/>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53" w:type="dxa"/>
            <w:tcBorders>
              <w:top w:val="single" w:sz="4" w:space="0" w:color="auto"/>
              <w:bottom w:val="single" w:sz="4" w:space="0" w:color="auto"/>
            </w:tcBorders>
            <w:vAlign w:val="center"/>
          </w:tcPr>
          <w:p w14:paraId="198570BB" w14:textId="5329223A" w:rsidR="0014093D" w:rsidRPr="006E3644" w:rsidRDefault="004E27E7" w:rsidP="00861BE4">
            <w:pPr>
              <w:keepNext/>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605"/>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605"/>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605"/>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6" w:type="dxa"/>
            <w:tcBorders>
              <w:top w:val="single" w:sz="4" w:space="0" w:color="auto"/>
              <w:bottom w:val="single" w:sz="4" w:space="0" w:color="auto"/>
            </w:tcBorders>
            <w:vAlign w:val="center"/>
          </w:tcPr>
          <w:p w14:paraId="2F4275EC" w14:textId="14846CA8"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604"/>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604"/>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604"/>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15" w:type="dxa"/>
            <w:tcBorders>
              <w:top w:val="single" w:sz="4" w:space="0" w:color="auto"/>
              <w:bottom w:val="single" w:sz="4" w:space="0" w:color="auto"/>
            </w:tcBorders>
            <w:vAlign w:val="center"/>
          </w:tcPr>
          <w:p w14:paraId="23B2BD39" w14:textId="1EF55713" w:rsidR="0014093D" w:rsidRPr="006E3644" w:rsidRDefault="004E27E7" w:rsidP="00861BE4">
            <w:pPr>
              <w:keepNext/>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603"/>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603"/>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603"/>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c>
          <w:tcPr>
            <w:tcW w:w="1185" w:type="dxa"/>
            <w:tcBorders>
              <w:top w:val="single" w:sz="4" w:space="0" w:color="auto"/>
              <w:bottom w:val="single" w:sz="4" w:space="0" w:color="auto"/>
            </w:tcBorders>
            <w:vAlign w:val="center"/>
          </w:tcPr>
          <w:p w14:paraId="1B11E90F" w14:textId="7F4ECF5D" w:rsidR="0014093D" w:rsidRPr="006E3644" w:rsidRDefault="004E27E7" w:rsidP="00861BE4">
            <w:pPr>
              <w:keepNext/>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602"/>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602"/>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602"/>
                <w14:textFill>
                  <w14:solidFill>
                    <w14:srgbClr w14:val="000000">
                      <w14:alpha w14:val="100000"/>
                    </w14:srgbClr>
                  </w14:solidFill>
                </w14:textFill>
              </w:rPr>
              <w:t xml:space="preserve">　</w:t>
            </w:r>
            <w:r w:rsidR="006E3644" w:rsidRPr="006E3644">
              <w:rPr>
                <w:rFonts w:ascii="Arial Narrow" w:hAnsi="Arial Narrow"/>
                <w:sz w:val="20"/>
                <w:szCs w:val="20"/>
                <w:vertAlign w:val="superscript"/>
              </w:rPr>
              <w:t>1</w:t>
            </w:r>
          </w:p>
        </w:tc>
      </w:tr>
      <w:tr w:rsidR="0014093D" w:rsidRPr="00820898" w14:paraId="6C544C96" w14:textId="77777777" w:rsidTr="00F44004">
        <w:tc>
          <w:tcPr>
            <w:tcW w:w="9375" w:type="dxa"/>
            <w:gridSpan w:val="8"/>
            <w:shd w:val="clear" w:color="auto" w:fill="auto"/>
          </w:tcPr>
          <w:p w14:paraId="7A821B0A" w14:textId="7A1DCED3" w:rsidR="0014093D" w:rsidRPr="00820898" w:rsidRDefault="0014093D" w:rsidP="00EF68D9">
            <w:pPr>
              <w:pStyle w:val="Tabletext"/>
              <w:keepLines/>
              <w:rPr>
                <w:rFonts w:cs="Arial"/>
                <w:bCs/>
                <w:szCs w:val="20"/>
              </w:rPr>
            </w:pPr>
            <w:r w:rsidRPr="00820898">
              <w:rPr>
                <w:szCs w:val="20"/>
              </w:rPr>
              <w:t xml:space="preserve">Changes in number of scripts </w:t>
            </w:r>
          </w:p>
        </w:tc>
      </w:tr>
      <w:tr w:rsidR="0014093D" w:rsidRPr="00820898" w14:paraId="25EBF4D3" w14:textId="77777777" w:rsidTr="00F44004">
        <w:trPr>
          <w:gridAfter w:val="1"/>
          <w:wAfter w:w="11" w:type="dxa"/>
        </w:trPr>
        <w:tc>
          <w:tcPr>
            <w:tcW w:w="2515" w:type="dxa"/>
            <w:shd w:val="clear" w:color="auto" w:fill="auto"/>
          </w:tcPr>
          <w:p w14:paraId="790AFD5E" w14:textId="77777777" w:rsidR="0014093D" w:rsidRPr="00820898" w:rsidRDefault="0014093D" w:rsidP="00EF68D9">
            <w:pPr>
              <w:pStyle w:val="Tabletext"/>
              <w:keepLines/>
              <w:rPr>
                <w:szCs w:val="20"/>
              </w:rPr>
            </w:pPr>
            <w:r w:rsidRPr="00820898">
              <w:rPr>
                <w:szCs w:val="20"/>
              </w:rPr>
              <w:t>Nusinersen</w:t>
            </w:r>
          </w:p>
        </w:tc>
        <w:tc>
          <w:tcPr>
            <w:tcW w:w="1200" w:type="dxa"/>
            <w:shd w:val="clear" w:color="auto" w:fill="auto"/>
            <w:vAlign w:val="center"/>
          </w:tcPr>
          <w:p w14:paraId="35A6E820" w14:textId="3498B9ED"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01"/>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01"/>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01"/>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080" w:type="dxa"/>
            <w:shd w:val="clear" w:color="auto" w:fill="auto"/>
            <w:vAlign w:val="center"/>
          </w:tcPr>
          <w:p w14:paraId="5F23D988" w14:textId="7FBA5315" w:rsidR="0014093D" w:rsidRPr="006E3644" w:rsidRDefault="004E27E7" w:rsidP="00EF68D9">
            <w:pPr>
              <w:pStyle w:val="Tabletext"/>
              <w:keepLines/>
              <w:jc w:val="center"/>
              <w:rPr>
                <w:szCs w:val="20"/>
                <w:highlight w:val="lightGray"/>
              </w:rPr>
            </w:pPr>
            <w:r w:rsidRPr="005C00E6">
              <w:rPr>
                <w:rFonts w:cs="Arial" w:hint="eastAsia"/>
                <w:bCs/>
                <w:color w:val="000000"/>
                <w:spacing w:val="6"/>
                <w:w w:val="15"/>
                <w:szCs w:val="20"/>
                <w:shd w:val="solid" w:color="000000" w:fill="000000"/>
                <w:fitText w:val="78" w:id="-1167951600"/>
                <w14:textFill>
                  <w14:solidFill>
                    <w14:srgbClr w14:val="000000">
                      <w14:alpha w14:val="100000"/>
                    </w14:srgbClr>
                  </w14:solidFill>
                </w14:textFill>
              </w:rPr>
              <w:t xml:space="preserve">　</w:t>
            </w:r>
            <w:r w:rsidRPr="005C00E6">
              <w:rPr>
                <w:rFonts w:cs="Arial"/>
                <w:bCs/>
                <w:color w:val="000000"/>
                <w:spacing w:val="6"/>
                <w:w w:val="15"/>
                <w:szCs w:val="20"/>
                <w:shd w:val="solid" w:color="000000" w:fill="000000"/>
                <w:fitText w:val="78" w:id="-1167951600"/>
                <w14:textFill>
                  <w14:solidFill>
                    <w14:srgbClr w14:val="000000">
                      <w14:alpha w14:val="100000"/>
                    </w14:srgbClr>
                  </w14:solidFill>
                </w14:textFill>
              </w:rPr>
              <w:t>|</w:t>
            </w:r>
            <w:r w:rsidRPr="005C00E6">
              <w:rPr>
                <w:rFonts w:cs="Arial" w:hint="eastAsia"/>
                <w:bCs/>
                <w:color w:val="000000"/>
                <w:spacing w:val="1"/>
                <w:w w:val="15"/>
                <w:szCs w:val="20"/>
                <w:shd w:val="solid" w:color="000000" w:fill="000000"/>
                <w:fitText w:val="78" w:id="-1167951600"/>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153" w:type="dxa"/>
            <w:shd w:val="clear" w:color="auto" w:fill="auto"/>
            <w:vAlign w:val="center"/>
          </w:tcPr>
          <w:p w14:paraId="7D5D224D" w14:textId="0A5B5F0B"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16"/>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16"/>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16"/>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116" w:type="dxa"/>
            <w:shd w:val="clear" w:color="auto" w:fill="auto"/>
            <w:vAlign w:val="center"/>
          </w:tcPr>
          <w:p w14:paraId="78F9D363" w14:textId="15C12A29"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15"/>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15"/>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15"/>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5" w:type="dxa"/>
            <w:shd w:val="clear" w:color="auto" w:fill="auto"/>
            <w:vAlign w:val="center"/>
          </w:tcPr>
          <w:p w14:paraId="232F8111" w14:textId="7A515217"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14"/>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4"/>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4"/>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85" w:type="dxa"/>
            <w:shd w:val="clear" w:color="auto" w:fill="auto"/>
            <w:vAlign w:val="center"/>
          </w:tcPr>
          <w:p w14:paraId="707725A4" w14:textId="5B0A26BF"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44" w:id="-1167951613"/>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44" w:id="-1167951613"/>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44" w:id="-1167951613"/>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r>
      <w:tr w:rsidR="0014093D" w:rsidRPr="00820898" w14:paraId="1DDEAD1E" w14:textId="77777777" w:rsidTr="00F44004">
        <w:trPr>
          <w:gridAfter w:val="1"/>
          <w:wAfter w:w="11" w:type="dxa"/>
        </w:trPr>
        <w:tc>
          <w:tcPr>
            <w:tcW w:w="2515" w:type="dxa"/>
            <w:shd w:val="clear" w:color="auto" w:fill="auto"/>
          </w:tcPr>
          <w:p w14:paraId="681BFA06" w14:textId="44704969" w:rsidR="0014093D" w:rsidRPr="00820898" w:rsidRDefault="005E7538" w:rsidP="00EF68D9">
            <w:pPr>
              <w:pStyle w:val="Tabletext"/>
              <w:keepLines/>
              <w:rPr>
                <w:szCs w:val="20"/>
              </w:rPr>
            </w:pPr>
            <w:r w:rsidRPr="00820898">
              <w:rPr>
                <w:szCs w:val="20"/>
              </w:rPr>
              <w:t>Risdiplam</w:t>
            </w:r>
            <w:r w:rsidR="0014093D" w:rsidRPr="00820898">
              <w:rPr>
                <w:szCs w:val="20"/>
              </w:rPr>
              <w:t xml:space="preserve"> </w:t>
            </w:r>
          </w:p>
        </w:tc>
        <w:tc>
          <w:tcPr>
            <w:tcW w:w="1200" w:type="dxa"/>
            <w:shd w:val="clear" w:color="auto" w:fill="auto"/>
            <w:vAlign w:val="center"/>
          </w:tcPr>
          <w:p w14:paraId="14539AF0" w14:textId="39C71B73"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12"/>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12"/>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12"/>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080" w:type="dxa"/>
            <w:shd w:val="clear" w:color="auto" w:fill="auto"/>
            <w:vAlign w:val="center"/>
          </w:tcPr>
          <w:p w14:paraId="666BAC19" w14:textId="27C49F21"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11"/>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1"/>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1"/>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53" w:type="dxa"/>
            <w:shd w:val="clear" w:color="auto" w:fill="auto"/>
            <w:vAlign w:val="center"/>
          </w:tcPr>
          <w:p w14:paraId="4BB61CCA" w14:textId="3135E205"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4" w:id="-1167951610"/>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10"/>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10"/>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6" w:type="dxa"/>
            <w:shd w:val="clear" w:color="auto" w:fill="auto"/>
            <w:vAlign w:val="center"/>
          </w:tcPr>
          <w:p w14:paraId="247B45D4" w14:textId="52A83F5F"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09"/>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09"/>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09"/>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5" w:type="dxa"/>
            <w:shd w:val="clear" w:color="auto" w:fill="auto"/>
            <w:vAlign w:val="center"/>
          </w:tcPr>
          <w:p w14:paraId="2832A4B1" w14:textId="1D640257" w:rsidR="0014093D" w:rsidRPr="006E3644" w:rsidRDefault="004E27E7" w:rsidP="00EF68D9">
            <w:pPr>
              <w:pStyle w:val="Tabletext"/>
              <w:keepLines/>
              <w:jc w:val="center"/>
              <w:rPr>
                <w:szCs w:val="20"/>
                <w:highlight w:val="lightGray"/>
              </w:rPr>
            </w:pPr>
            <w:r w:rsidRPr="005C00E6">
              <w:rPr>
                <w:rFonts w:cs="Arial" w:hint="eastAsia"/>
                <w:bCs/>
                <w:color w:val="000000"/>
                <w:spacing w:val="5"/>
                <w:w w:val="15"/>
                <w:szCs w:val="20"/>
                <w:shd w:val="solid" w:color="000000" w:fill="000000"/>
                <w:fitText w:val="77" w:id="-1167951608"/>
                <w14:textFill>
                  <w14:solidFill>
                    <w14:srgbClr w14:val="000000">
                      <w14:alpha w14:val="100000"/>
                    </w14:srgbClr>
                  </w14:solidFill>
                </w14:textFill>
              </w:rPr>
              <w:t xml:space="preserve">　</w:t>
            </w:r>
            <w:r w:rsidRPr="005C00E6">
              <w:rPr>
                <w:rFonts w:cs="Arial"/>
                <w:bCs/>
                <w:color w:val="000000"/>
                <w:spacing w:val="5"/>
                <w:w w:val="15"/>
                <w:szCs w:val="20"/>
                <w:shd w:val="solid" w:color="000000" w:fill="000000"/>
                <w:fitText w:val="77" w:id="-1167951608"/>
                <w14:textFill>
                  <w14:solidFill>
                    <w14:srgbClr w14:val="000000">
                      <w14:alpha w14:val="100000"/>
                    </w14:srgbClr>
                  </w14:solidFill>
                </w14:textFill>
              </w:rPr>
              <w:t>|</w:t>
            </w:r>
            <w:r w:rsidRPr="005C00E6">
              <w:rPr>
                <w:rFonts w:cs="Arial" w:hint="eastAsia"/>
                <w:bCs/>
                <w:color w:val="000000"/>
                <w:spacing w:val="2"/>
                <w:w w:val="15"/>
                <w:szCs w:val="20"/>
                <w:shd w:val="solid" w:color="000000" w:fill="000000"/>
                <w:fitText w:val="77" w:id="-1167951608"/>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185" w:type="dxa"/>
            <w:shd w:val="clear" w:color="auto" w:fill="auto"/>
            <w:vAlign w:val="center"/>
          </w:tcPr>
          <w:p w14:paraId="39E4E980" w14:textId="0F327036"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44" w:id="-1167951607"/>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44" w:id="-1167951607"/>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44" w:id="-1167951607"/>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r>
      <w:tr w:rsidR="0014093D" w:rsidRPr="00820898" w14:paraId="0F61C508" w14:textId="77777777" w:rsidTr="00F44004">
        <w:trPr>
          <w:gridAfter w:val="1"/>
          <w:wAfter w:w="11" w:type="dxa"/>
        </w:trPr>
        <w:tc>
          <w:tcPr>
            <w:tcW w:w="2515" w:type="dxa"/>
            <w:shd w:val="clear" w:color="auto" w:fill="auto"/>
          </w:tcPr>
          <w:p w14:paraId="02A414AB" w14:textId="77777777" w:rsidR="0014093D" w:rsidRPr="00820898" w:rsidRDefault="0014093D" w:rsidP="00EF68D9">
            <w:pPr>
              <w:pStyle w:val="Tabletext"/>
              <w:keepLines/>
              <w:rPr>
                <w:szCs w:val="20"/>
              </w:rPr>
            </w:pPr>
            <w:r w:rsidRPr="00820898">
              <w:rPr>
                <w:szCs w:val="20"/>
              </w:rPr>
              <w:t>ONA</w:t>
            </w:r>
          </w:p>
        </w:tc>
        <w:tc>
          <w:tcPr>
            <w:tcW w:w="1200" w:type="dxa"/>
            <w:shd w:val="clear" w:color="auto" w:fill="auto"/>
            <w:vAlign w:val="center"/>
          </w:tcPr>
          <w:p w14:paraId="6BB9A382" w14:textId="43D82839" w:rsidR="0014093D" w:rsidRPr="006E3644" w:rsidRDefault="004E27E7" w:rsidP="00EF68D9">
            <w:pPr>
              <w:pStyle w:val="Tabletext"/>
              <w:keepLines/>
              <w:jc w:val="center"/>
              <w:rPr>
                <w:szCs w:val="20"/>
                <w:highlight w:val="lightGray"/>
              </w:rPr>
            </w:pPr>
            <w:r w:rsidRPr="005C18A1">
              <w:rPr>
                <w:rFonts w:cs="Arial" w:hint="eastAsia"/>
                <w:color w:val="000000"/>
                <w:w w:val="15"/>
                <w:szCs w:val="20"/>
                <w:shd w:val="solid" w:color="000000" w:fill="000000"/>
                <w:fitText w:val="11" w:id="-1167951606"/>
                <w14:textFill>
                  <w14:solidFill>
                    <w14:srgbClr w14:val="000000">
                      <w14:alpha w14:val="100000"/>
                    </w14:srgbClr>
                  </w14:solidFill>
                </w14:textFill>
              </w:rPr>
              <w:t xml:space="preserve">　</w:t>
            </w:r>
            <w:r w:rsidRPr="005C18A1">
              <w:rPr>
                <w:rFonts w:cs="Arial"/>
                <w:color w:val="000000"/>
                <w:w w:val="15"/>
                <w:szCs w:val="20"/>
                <w:shd w:val="solid" w:color="000000" w:fill="000000"/>
                <w:fitText w:val="11" w:id="-1167951606"/>
                <w14:textFill>
                  <w14:solidFill>
                    <w14:srgbClr w14:val="000000">
                      <w14:alpha w14:val="100000"/>
                    </w14:srgbClr>
                  </w14:solidFill>
                </w14:textFill>
              </w:rPr>
              <w:t>|</w:t>
            </w:r>
            <w:r w:rsidRPr="005C18A1">
              <w:rPr>
                <w:rFonts w:cs="Arial" w:hint="eastAsia"/>
                <w:color w:val="000000"/>
                <w:spacing w:val="-54"/>
                <w:w w:val="15"/>
                <w:szCs w:val="20"/>
                <w:shd w:val="solid" w:color="000000" w:fill="000000"/>
                <w:fitText w:val="11" w:id="-1167951606"/>
                <w14:textFill>
                  <w14:solidFill>
                    <w14:srgbClr w14:val="000000">
                      <w14:alpha w14:val="100000"/>
                    </w14:srgbClr>
                  </w14:solidFill>
                </w14:textFill>
              </w:rPr>
              <w:t xml:space="preserve">　</w:t>
            </w:r>
            <w:r w:rsidR="006E3644">
              <w:rPr>
                <w:szCs w:val="20"/>
                <w:vertAlign w:val="superscript"/>
              </w:rPr>
              <w:t>1</w:t>
            </w:r>
            <w:r w:rsidRPr="004E27E7">
              <w:rPr>
                <w:rFonts w:cs="Arial"/>
                <w:szCs w:val="20"/>
              </w:rPr>
              <w:t xml:space="preserve"> </w:t>
            </w:r>
          </w:p>
        </w:tc>
        <w:tc>
          <w:tcPr>
            <w:tcW w:w="1080" w:type="dxa"/>
            <w:shd w:val="clear" w:color="auto" w:fill="auto"/>
            <w:vAlign w:val="center"/>
          </w:tcPr>
          <w:p w14:paraId="4BC2A5B1" w14:textId="795F33F6" w:rsidR="0014093D" w:rsidRPr="006E3644" w:rsidRDefault="004E27E7" w:rsidP="00EF68D9">
            <w:pPr>
              <w:pStyle w:val="Tabletext"/>
              <w:keepLines/>
              <w:jc w:val="center"/>
              <w:rPr>
                <w:szCs w:val="20"/>
                <w:highlight w:val="lightGray"/>
              </w:rPr>
            </w:pPr>
            <w:r w:rsidRPr="005C00E6">
              <w:rPr>
                <w:rFonts w:cs="Arial" w:hint="eastAsia"/>
                <w:color w:val="000000"/>
                <w:spacing w:val="6"/>
                <w:w w:val="15"/>
                <w:szCs w:val="20"/>
                <w:shd w:val="solid" w:color="000000" w:fill="000000"/>
                <w:fitText w:val="78" w:id="-1167951605"/>
                <w14:textFill>
                  <w14:solidFill>
                    <w14:srgbClr w14:val="000000">
                      <w14:alpha w14:val="100000"/>
                    </w14:srgbClr>
                  </w14:solidFill>
                </w14:textFill>
              </w:rPr>
              <w:t xml:space="preserve">　</w:t>
            </w:r>
            <w:r w:rsidRPr="005C00E6">
              <w:rPr>
                <w:rFonts w:cs="Arial"/>
                <w:color w:val="000000"/>
                <w:spacing w:val="6"/>
                <w:w w:val="15"/>
                <w:szCs w:val="20"/>
                <w:shd w:val="solid" w:color="000000" w:fill="000000"/>
                <w:fitText w:val="78" w:id="-1167951605"/>
                <w14:textFill>
                  <w14:solidFill>
                    <w14:srgbClr w14:val="000000">
                      <w14:alpha w14:val="100000"/>
                    </w14:srgbClr>
                  </w14:solidFill>
                </w14:textFill>
              </w:rPr>
              <w:t>|</w:t>
            </w:r>
            <w:r w:rsidRPr="005C00E6">
              <w:rPr>
                <w:rFonts w:cs="Arial" w:hint="eastAsia"/>
                <w:color w:val="000000"/>
                <w:spacing w:val="1"/>
                <w:w w:val="15"/>
                <w:szCs w:val="20"/>
                <w:shd w:val="solid" w:color="000000" w:fill="000000"/>
                <w:fitText w:val="78" w:id="-1167951605"/>
                <w14:textFill>
                  <w14:solidFill>
                    <w14:srgbClr w14:val="000000">
                      <w14:alpha w14:val="100000"/>
                    </w14:srgbClr>
                  </w14:solidFill>
                </w14:textFill>
              </w:rPr>
              <w:t xml:space="preserve">　</w:t>
            </w:r>
            <w:r w:rsidRPr="004E27E7">
              <w:rPr>
                <w:rFonts w:cs="Arial"/>
                <w:szCs w:val="20"/>
              </w:rPr>
              <w:t xml:space="preserve"> </w:t>
            </w:r>
            <w:r w:rsidR="006E3644">
              <w:rPr>
                <w:szCs w:val="20"/>
                <w:vertAlign w:val="superscript"/>
              </w:rPr>
              <w:t>1</w:t>
            </w:r>
          </w:p>
        </w:tc>
        <w:tc>
          <w:tcPr>
            <w:tcW w:w="1153" w:type="dxa"/>
            <w:shd w:val="clear" w:color="auto" w:fill="auto"/>
            <w:vAlign w:val="center"/>
          </w:tcPr>
          <w:p w14:paraId="055B64A0" w14:textId="07AC8428" w:rsidR="0014093D" w:rsidRPr="006E3644" w:rsidRDefault="004E27E7" w:rsidP="00EF68D9">
            <w:pPr>
              <w:pStyle w:val="Tabletext"/>
              <w:keepLines/>
              <w:jc w:val="center"/>
              <w:rPr>
                <w:szCs w:val="20"/>
                <w:highlight w:val="lightGray"/>
              </w:rPr>
            </w:pPr>
            <w:r w:rsidRPr="005C00E6">
              <w:rPr>
                <w:rFonts w:cs="Arial" w:hint="eastAsia"/>
                <w:color w:val="000000"/>
                <w:w w:val="15"/>
                <w:szCs w:val="20"/>
                <w:shd w:val="solid" w:color="000000" w:fill="000000"/>
                <w:fitText w:val="56" w:id="-1167951604"/>
                <w14:textFill>
                  <w14:solidFill>
                    <w14:srgbClr w14:val="000000">
                      <w14:alpha w14:val="100000"/>
                    </w14:srgbClr>
                  </w14:solidFill>
                </w14:textFill>
              </w:rPr>
              <w:t xml:space="preserve">　</w:t>
            </w:r>
            <w:r w:rsidRPr="005C00E6">
              <w:rPr>
                <w:rFonts w:cs="Arial"/>
                <w:color w:val="000000"/>
                <w:w w:val="15"/>
                <w:szCs w:val="20"/>
                <w:shd w:val="solid" w:color="000000" w:fill="000000"/>
                <w:fitText w:val="56" w:id="-1167951604"/>
                <w14:textFill>
                  <w14:solidFill>
                    <w14:srgbClr w14:val="000000">
                      <w14:alpha w14:val="100000"/>
                    </w14:srgbClr>
                  </w14:solidFill>
                </w14:textFill>
              </w:rPr>
              <w:t>|</w:t>
            </w:r>
            <w:r w:rsidRPr="005C00E6">
              <w:rPr>
                <w:rFonts w:cs="Arial" w:hint="eastAsia"/>
                <w:color w:val="000000"/>
                <w:spacing w:val="-9"/>
                <w:w w:val="15"/>
                <w:szCs w:val="20"/>
                <w:shd w:val="solid" w:color="000000" w:fill="000000"/>
                <w:fitText w:val="56" w:id="-1167951604"/>
                <w14:textFill>
                  <w14:solidFill>
                    <w14:srgbClr w14:val="000000">
                      <w14:alpha w14:val="100000"/>
                    </w14:srgbClr>
                  </w14:solidFill>
                </w14:textFill>
              </w:rPr>
              <w:t xml:space="preserve">　</w:t>
            </w:r>
            <w:r w:rsidRPr="004E27E7">
              <w:rPr>
                <w:rFonts w:cs="Arial"/>
                <w:szCs w:val="20"/>
              </w:rPr>
              <w:t xml:space="preserve"> </w:t>
            </w:r>
            <w:r w:rsidR="006E3644">
              <w:rPr>
                <w:szCs w:val="20"/>
                <w:vertAlign w:val="superscript"/>
              </w:rPr>
              <w:t>1</w:t>
            </w:r>
          </w:p>
        </w:tc>
        <w:tc>
          <w:tcPr>
            <w:tcW w:w="1116" w:type="dxa"/>
            <w:shd w:val="clear" w:color="auto" w:fill="auto"/>
            <w:vAlign w:val="center"/>
          </w:tcPr>
          <w:p w14:paraId="1E300221" w14:textId="57F9243E" w:rsidR="0014093D" w:rsidRPr="006E3644" w:rsidRDefault="004E27E7" w:rsidP="00EF68D9">
            <w:pPr>
              <w:pStyle w:val="Tabletext"/>
              <w:keepLines/>
              <w:jc w:val="center"/>
              <w:rPr>
                <w:szCs w:val="20"/>
                <w:highlight w:val="lightGray"/>
              </w:rPr>
            </w:pPr>
            <w:r w:rsidRPr="005C00E6">
              <w:rPr>
                <w:rFonts w:cs="Arial" w:hint="eastAsia"/>
                <w:color w:val="000000"/>
                <w:spacing w:val="6"/>
                <w:w w:val="15"/>
                <w:szCs w:val="20"/>
                <w:shd w:val="solid" w:color="000000" w:fill="000000"/>
                <w:fitText w:val="78" w:id="-1167951603"/>
                <w14:textFill>
                  <w14:solidFill>
                    <w14:srgbClr w14:val="000000">
                      <w14:alpha w14:val="100000"/>
                    </w14:srgbClr>
                  </w14:solidFill>
                </w14:textFill>
              </w:rPr>
              <w:t xml:space="preserve">　</w:t>
            </w:r>
            <w:r w:rsidRPr="005C00E6">
              <w:rPr>
                <w:rFonts w:cs="Arial"/>
                <w:color w:val="000000"/>
                <w:spacing w:val="6"/>
                <w:w w:val="15"/>
                <w:szCs w:val="20"/>
                <w:shd w:val="solid" w:color="000000" w:fill="000000"/>
                <w:fitText w:val="78" w:id="-1167951603"/>
                <w14:textFill>
                  <w14:solidFill>
                    <w14:srgbClr w14:val="000000">
                      <w14:alpha w14:val="100000"/>
                    </w14:srgbClr>
                  </w14:solidFill>
                </w14:textFill>
              </w:rPr>
              <w:t>|</w:t>
            </w:r>
            <w:r w:rsidRPr="005C00E6">
              <w:rPr>
                <w:rFonts w:cs="Arial" w:hint="eastAsia"/>
                <w:color w:val="000000"/>
                <w:spacing w:val="1"/>
                <w:w w:val="15"/>
                <w:szCs w:val="20"/>
                <w:shd w:val="solid" w:color="000000" w:fill="000000"/>
                <w:fitText w:val="78" w:id="-1167951603"/>
                <w14:textFill>
                  <w14:solidFill>
                    <w14:srgbClr w14:val="000000">
                      <w14:alpha w14:val="100000"/>
                    </w14:srgbClr>
                  </w14:solidFill>
                </w14:textFill>
              </w:rPr>
              <w:t xml:space="preserve">　</w:t>
            </w:r>
            <w:r w:rsidRPr="004E27E7">
              <w:rPr>
                <w:rFonts w:cs="Arial"/>
                <w:szCs w:val="20"/>
              </w:rPr>
              <w:t xml:space="preserve"> </w:t>
            </w:r>
            <w:r w:rsidR="006E3644">
              <w:rPr>
                <w:szCs w:val="20"/>
                <w:vertAlign w:val="superscript"/>
              </w:rPr>
              <w:t>1</w:t>
            </w:r>
          </w:p>
        </w:tc>
        <w:tc>
          <w:tcPr>
            <w:tcW w:w="1115" w:type="dxa"/>
            <w:shd w:val="clear" w:color="auto" w:fill="auto"/>
            <w:vAlign w:val="center"/>
          </w:tcPr>
          <w:p w14:paraId="32CE61B7" w14:textId="0D734219" w:rsidR="0014093D" w:rsidRPr="006E3644" w:rsidRDefault="004E27E7" w:rsidP="00EF68D9">
            <w:pPr>
              <w:pStyle w:val="Tabletext"/>
              <w:keepLines/>
              <w:jc w:val="center"/>
              <w:rPr>
                <w:szCs w:val="20"/>
                <w:highlight w:val="lightGray"/>
              </w:rPr>
            </w:pPr>
            <w:r w:rsidRPr="005C00E6">
              <w:rPr>
                <w:rFonts w:cs="Arial" w:hint="eastAsia"/>
                <w:color w:val="000000"/>
                <w:spacing w:val="5"/>
                <w:w w:val="15"/>
                <w:szCs w:val="20"/>
                <w:shd w:val="solid" w:color="000000" w:fill="000000"/>
                <w:fitText w:val="77" w:id="-1167951602"/>
                <w14:textFill>
                  <w14:solidFill>
                    <w14:srgbClr w14:val="000000">
                      <w14:alpha w14:val="100000"/>
                    </w14:srgbClr>
                  </w14:solidFill>
                </w14:textFill>
              </w:rPr>
              <w:t xml:space="preserve">　</w:t>
            </w:r>
            <w:r w:rsidRPr="005C00E6">
              <w:rPr>
                <w:rFonts w:cs="Arial"/>
                <w:color w:val="000000"/>
                <w:spacing w:val="5"/>
                <w:w w:val="15"/>
                <w:szCs w:val="20"/>
                <w:shd w:val="solid" w:color="000000" w:fill="000000"/>
                <w:fitText w:val="77" w:id="-1167951602"/>
                <w14:textFill>
                  <w14:solidFill>
                    <w14:srgbClr w14:val="000000">
                      <w14:alpha w14:val="100000"/>
                    </w14:srgbClr>
                  </w14:solidFill>
                </w14:textFill>
              </w:rPr>
              <w:t>|</w:t>
            </w:r>
            <w:r w:rsidRPr="005C00E6">
              <w:rPr>
                <w:rFonts w:cs="Arial" w:hint="eastAsia"/>
                <w:color w:val="000000"/>
                <w:spacing w:val="2"/>
                <w:w w:val="15"/>
                <w:szCs w:val="20"/>
                <w:shd w:val="solid" w:color="000000" w:fill="000000"/>
                <w:fitText w:val="77" w:id="-1167951602"/>
                <w14:textFill>
                  <w14:solidFill>
                    <w14:srgbClr w14:val="000000">
                      <w14:alpha w14:val="100000"/>
                    </w14:srgbClr>
                  </w14:solidFill>
                </w14:textFill>
              </w:rPr>
              <w:t xml:space="preserve">　</w:t>
            </w:r>
            <w:r w:rsidRPr="004E27E7">
              <w:rPr>
                <w:rFonts w:cs="Arial"/>
                <w:szCs w:val="20"/>
              </w:rPr>
              <w:t xml:space="preserve"> </w:t>
            </w:r>
            <w:r w:rsidR="006E3644">
              <w:rPr>
                <w:szCs w:val="20"/>
                <w:vertAlign w:val="superscript"/>
              </w:rPr>
              <w:t>1</w:t>
            </w:r>
          </w:p>
        </w:tc>
        <w:tc>
          <w:tcPr>
            <w:tcW w:w="1185" w:type="dxa"/>
            <w:shd w:val="clear" w:color="auto" w:fill="auto"/>
            <w:vAlign w:val="center"/>
          </w:tcPr>
          <w:p w14:paraId="32876606" w14:textId="13114FFC" w:rsidR="0014093D" w:rsidRPr="006E3644" w:rsidRDefault="004E27E7" w:rsidP="00EF68D9">
            <w:pPr>
              <w:pStyle w:val="Tabletext"/>
              <w:keepLines/>
              <w:jc w:val="center"/>
              <w:rPr>
                <w:szCs w:val="20"/>
                <w:highlight w:val="lightGray"/>
              </w:rPr>
            </w:pPr>
            <w:r w:rsidRPr="008B23E3">
              <w:rPr>
                <w:rFonts w:cs="Arial" w:hint="eastAsia"/>
                <w:color w:val="000000"/>
                <w:w w:val="15"/>
                <w:szCs w:val="20"/>
                <w:shd w:val="solid" w:color="000000" w:fill="000000"/>
                <w:fitText w:val="44" w:id="-1167951601"/>
                <w14:textFill>
                  <w14:solidFill>
                    <w14:srgbClr w14:val="000000">
                      <w14:alpha w14:val="100000"/>
                    </w14:srgbClr>
                  </w14:solidFill>
                </w14:textFill>
              </w:rPr>
              <w:t xml:space="preserve">　</w:t>
            </w:r>
            <w:r w:rsidRPr="008B23E3">
              <w:rPr>
                <w:rFonts w:cs="Arial"/>
                <w:color w:val="000000"/>
                <w:w w:val="15"/>
                <w:szCs w:val="20"/>
                <w:shd w:val="solid" w:color="000000" w:fill="000000"/>
                <w:fitText w:val="44" w:id="-1167951601"/>
                <w14:textFill>
                  <w14:solidFill>
                    <w14:srgbClr w14:val="000000">
                      <w14:alpha w14:val="100000"/>
                    </w14:srgbClr>
                  </w14:solidFill>
                </w14:textFill>
              </w:rPr>
              <w:t>|</w:t>
            </w:r>
            <w:r w:rsidRPr="008B23E3">
              <w:rPr>
                <w:rFonts w:cs="Arial" w:hint="eastAsia"/>
                <w:color w:val="000000"/>
                <w:spacing w:val="-50"/>
                <w:w w:val="15"/>
                <w:szCs w:val="20"/>
                <w:shd w:val="solid" w:color="000000" w:fill="000000"/>
                <w:fitText w:val="44" w:id="-1167951601"/>
                <w14:textFill>
                  <w14:solidFill>
                    <w14:srgbClr w14:val="000000">
                      <w14:alpha w14:val="100000"/>
                    </w14:srgbClr>
                  </w14:solidFill>
                </w14:textFill>
              </w:rPr>
              <w:t xml:space="preserve">　</w:t>
            </w:r>
            <w:r w:rsidRPr="004E27E7">
              <w:rPr>
                <w:rFonts w:cs="Arial"/>
                <w:szCs w:val="20"/>
              </w:rPr>
              <w:t xml:space="preserve"> </w:t>
            </w:r>
            <w:r w:rsidR="006E3644">
              <w:rPr>
                <w:szCs w:val="20"/>
                <w:vertAlign w:val="superscript"/>
              </w:rPr>
              <w:t>1</w:t>
            </w:r>
          </w:p>
        </w:tc>
      </w:tr>
      <w:tr w:rsidR="0014093D" w:rsidRPr="00820898" w14:paraId="6F92D5D4" w14:textId="77777777" w:rsidTr="00F44004">
        <w:trPr>
          <w:gridAfter w:val="1"/>
          <w:wAfter w:w="11" w:type="dxa"/>
        </w:trPr>
        <w:tc>
          <w:tcPr>
            <w:tcW w:w="2515" w:type="dxa"/>
            <w:shd w:val="clear" w:color="auto" w:fill="auto"/>
          </w:tcPr>
          <w:p w14:paraId="34D07702" w14:textId="77777777" w:rsidR="0014093D" w:rsidRPr="00820898" w:rsidRDefault="0014093D" w:rsidP="00EF68D9">
            <w:pPr>
              <w:pStyle w:val="Tabletext"/>
              <w:keepLines/>
              <w:rPr>
                <w:szCs w:val="20"/>
              </w:rPr>
            </w:pPr>
            <w:r w:rsidRPr="00820898">
              <w:rPr>
                <w:szCs w:val="20"/>
              </w:rPr>
              <w:t>Prednisolone</w:t>
            </w:r>
          </w:p>
        </w:tc>
        <w:tc>
          <w:tcPr>
            <w:tcW w:w="1200" w:type="dxa"/>
            <w:shd w:val="clear" w:color="auto" w:fill="auto"/>
            <w:vAlign w:val="center"/>
          </w:tcPr>
          <w:p w14:paraId="3C725CEC" w14:textId="2097FB21"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3" w:id="-1167951600"/>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3" w:id="-1167951600"/>
                <w14:textFill>
                  <w14:solidFill>
                    <w14:srgbClr w14:val="000000">
                      <w14:alpha w14:val="100000"/>
                    </w14:srgbClr>
                  </w14:solidFill>
                </w14:textFill>
              </w:rPr>
              <w:t>|</w:t>
            </w:r>
            <w:r w:rsidRPr="008B23E3">
              <w:rPr>
                <w:rFonts w:cs="Arial" w:hint="eastAsia"/>
                <w:bCs/>
                <w:color w:val="000000"/>
                <w:spacing w:val="-66"/>
                <w:w w:val="15"/>
                <w:szCs w:val="20"/>
                <w:shd w:val="solid" w:color="000000" w:fill="000000"/>
                <w:fitText w:val="33" w:id="-1167951600"/>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080" w:type="dxa"/>
            <w:shd w:val="clear" w:color="auto" w:fill="auto"/>
            <w:vAlign w:val="center"/>
          </w:tcPr>
          <w:p w14:paraId="0A63915F" w14:textId="5D832422"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16"/>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6"/>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6"/>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53" w:type="dxa"/>
            <w:shd w:val="clear" w:color="auto" w:fill="auto"/>
            <w:vAlign w:val="center"/>
          </w:tcPr>
          <w:p w14:paraId="28CC8F81" w14:textId="2C857DD1"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4" w:id="-1167951615"/>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15"/>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15"/>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6" w:type="dxa"/>
            <w:shd w:val="clear" w:color="auto" w:fill="auto"/>
            <w:vAlign w:val="center"/>
          </w:tcPr>
          <w:p w14:paraId="4AA9FEDC" w14:textId="383FD9D3" w:rsidR="0014093D" w:rsidRPr="006E3644" w:rsidRDefault="004E27E7" w:rsidP="00EF68D9">
            <w:pPr>
              <w:pStyle w:val="Tabletext"/>
              <w:keepLines/>
              <w:jc w:val="center"/>
              <w:rPr>
                <w:szCs w:val="20"/>
                <w:highlight w:val="lightGray"/>
              </w:rPr>
            </w:pPr>
            <w:r w:rsidRPr="005C00E6">
              <w:rPr>
                <w:rFonts w:cs="Arial" w:hint="eastAsia"/>
                <w:bCs/>
                <w:color w:val="000000"/>
                <w:spacing w:val="6"/>
                <w:w w:val="15"/>
                <w:szCs w:val="20"/>
                <w:shd w:val="solid" w:color="000000" w:fill="000000"/>
                <w:fitText w:val="78" w:id="-1167951614"/>
                <w14:textFill>
                  <w14:solidFill>
                    <w14:srgbClr w14:val="000000">
                      <w14:alpha w14:val="100000"/>
                    </w14:srgbClr>
                  </w14:solidFill>
                </w14:textFill>
              </w:rPr>
              <w:t xml:space="preserve">　</w:t>
            </w:r>
            <w:r w:rsidRPr="005C00E6">
              <w:rPr>
                <w:rFonts w:cs="Arial"/>
                <w:bCs/>
                <w:color w:val="000000"/>
                <w:spacing w:val="6"/>
                <w:w w:val="15"/>
                <w:szCs w:val="20"/>
                <w:shd w:val="solid" w:color="000000" w:fill="000000"/>
                <w:fitText w:val="78" w:id="-1167951614"/>
                <w14:textFill>
                  <w14:solidFill>
                    <w14:srgbClr w14:val="000000">
                      <w14:alpha w14:val="100000"/>
                    </w14:srgbClr>
                  </w14:solidFill>
                </w14:textFill>
              </w:rPr>
              <w:t>|</w:t>
            </w:r>
            <w:r w:rsidRPr="005C00E6">
              <w:rPr>
                <w:rFonts w:cs="Arial" w:hint="eastAsia"/>
                <w:bCs/>
                <w:color w:val="000000"/>
                <w:spacing w:val="1"/>
                <w:w w:val="15"/>
                <w:szCs w:val="20"/>
                <w:shd w:val="solid" w:color="000000" w:fill="000000"/>
                <w:fitText w:val="78" w:id="-1167951614"/>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115" w:type="dxa"/>
            <w:shd w:val="clear" w:color="auto" w:fill="auto"/>
            <w:vAlign w:val="center"/>
          </w:tcPr>
          <w:p w14:paraId="76A32432" w14:textId="354D80E5" w:rsidR="0014093D" w:rsidRPr="006E3644" w:rsidRDefault="004E27E7" w:rsidP="00EF68D9">
            <w:pPr>
              <w:pStyle w:val="Tabletext"/>
              <w:keepLines/>
              <w:jc w:val="center"/>
              <w:rPr>
                <w:szCs w:val="20"/>
                <w:highlight w:val="lightGray"/>
              </w:rPr>
            </w:pPr>
            <w:r w:rsidRPr="005C00E6">
              <w:rPr>
                <w:rFonts w:cs="Arial" w:hint="eastAsia"/>
                <w:bCs/>
                <w:color w:val="000000"/>
                <w:spacing w:val="5"/>
                <w:w w:val="15"/>
                <w:szCs w:val="20"/>
                <w:shd w:val="solid" w:color="000000" w:fill="000000"/>
                <w:fitText w:val="77" w:id="-1167951613"/>
                <w14:textFill>
                  <w14:solidFill>
                    <w14:srgbClr w14:val="000000">
                      <w14:alpha w14:val="100000"/>
                    </w14:srgbClr>
                  </w14:solidFill>
                </w14:textFill>
              </w:rPr>
              <w:t xml:space="preserve">　</w:t>
            </w:r>
            <w:r w:rsidRPr="005C00E6">
              <w:rPr>
                <w:rFonts w:cs="Arial"/>
                <w:bCs/>
                <w:color w:val="000000"/>
                <w:spacing w:val="5"/>
                <w:w w:val="15"/>
                <w:szCs w:val="20"/>
                <w:shd w:val="solid" w:color="000000" w:fill="000000"/>
                <w:fitText w:val="77" w:id="-1167951613"/>
                <w14:textFill>
                  <w14:solidFill>
                    <w14:srgbClr w14:val="000000">
                      <w14:alpha w14:val="100000"/>
                    </w14:srgbClr>
                  </w14:solidFill>
                </w14:textFill>
              </w:rPr>
              <w:t>|</w:t>
            </w:r>
            <w:r w:rsidRPr="005C00E6">
              <w:rPr>
                <w:rFonts w:cs="Arial" w:hint="eastAsia"/>
                <w:bCs/>
                <w:color w:val="000000"/>
                <w:spacing w:val="2"/>
                <w:w w:val="15"/>
                <w:szCs w:val="20"/>
                <w:shd w:val="solid" w:color="000000" w:fill="000000"/>
                <w:fitText w:val="77" w:id="-1167951613"/>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185" w:type="dxa"/>
            <w:shd w:val="clear" w:color="auto" w:fill="auto"/>
            <w:vAlign w:val="center"/>
          </w:tcPr>
          <w:p w14:paraId="6BB0900B" w14:textId="5051EB7E"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44" w:id="-1167951612"/>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44" w:id="-1167951612"/>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44" w:id="-1167951612"/>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r>
      <w:tr w:rsidR="0014093D" w:rsidRPr="00820898" w14:paraId="0E258642" w14:textId="77777777" w:rsidTr="00F44004">
        <w:trPr>
          <w:gridAfter w:val="1"/>
          <w:wAfter w:w="11" w:type="dxa"/>
        </w:trPr>
        <w:tc>
          <w:tcPr>
            <w:tcW w:w="2515" w:type="dxa"/>
            <w:shd w:val="clear" w:color="auto" w:fill="auto"/>
          </w:tcPr>
          <w:p w14:paraId="6F220C24" w14:textId="77777777" w:rsidR="0014093D" w:rsidRPr="00820898" w:rsidRDefault="0014093D" w:rsidP="00EF68D9">
            <w:pPr>
              <w:pStyle w:val="Tabletext"/>
              <w:keepLines/>
              <w:rPr>
                <w:szCs w:val="20"/>
              </w:rPr>
            </w:pPr>
            <w:r w:rsidRPr="00820898">
              <w:rPr>
                <w:szCs w:val="20"/>
              </w:rPr>
              <w:t xml:space="preserve">Total </w:t>
            </w:r>
          </w:p>
        </w:tc>
        <w:tc>
          <w:tcPr>
            <w:tcW w:w="1200" w:type="dxa"/>
            <w:shd w:val="clear" w:color="auto" w:fill="auto"/>
            <w:vAlign w:val="center"/>
          </w:tcPr>
          <w:p w14:paraId="0838B11A" w14:textId="433A0435" w:rsidR="0014093D" w:rsidRPr="006E3644" w:rsidRDefault="004E27E7" w:rsidP="00EF68D9">
            <w:pPr>
              <w:pStyle w:val="Tabletext"/>
              <w:keepLines/>
              <w:jc w:val="center"/>
              <w:rPr>
                <w:rFonts w:cs="Arial"/>
                <w:bCs/>
                <w:szCs w:val="20"/>
                <w:highlight w:val="lightGray"/>
              </w:rPr>
            </w:pPr>
            <w:r w:rsidRPr="008B23E3">
              <w:rPr>
                <w:rFonts w:cs="Arial" w:hint="eastAsia"/>
                <w:bCs/>
                <w:color w:val="000000"/>
                <w:w w:val="15"/>
                <w:szCs w:val="20"/>
                <w:shd w:val="solid" w:color="000000" w:fill="000000"/>
                <w:fitText w:val="33" w:id="-1167951611"/>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3" w:id="-1167951611"/>
                <w14:textFill>
                  <w14:solidFill>
                    <w14:srgbClr w14:val="000000">
                      <w14:alpha w14:val="100000"/>
                    </w14:srgbClr>
                  </w14:solidFill>
                </w14:textFill>
              </w:rPr>
              <w:t>|</w:t>
            </w:r>
            <w:r w:rsidRPr="008B23E3">
              <w:rPr>
                <w:rFonts w:cs="Arial" w:hint="eastAsia"/>
                <w:bCs/>
                <w:color w:val="000000"/>
                <w:spacing w:val="-66"/>
                <w:w w:val="15"/>
                <w:szCs w:val="20"/>
                <w:shd w:val="solid" w:color="000000" w:fill="000000"/>
                <w:fitText w:val="33" w:id="-1167951611"/>
                <w14:textFill>
                  <w14:solidFill>
                    <w14:srgbClr w14:val="000000">
                      <w14:alpha w14:val="100000"/>
                    </w14:srgbClr>
                  </w14:solidFill>
                </w14:textFill>
              </w:rPr>
              <w:t xml:space="preserve">　</w:t>
            </w:r>
            <w:r w:rsidRPr="004E27E7">
              <w:rPr>
                <w:rFonts w:cs="Arial"/>
                <w:bCs/>
                <w:szCs w:val="20"/>
              </w:rPr>
              <w:t xml:space="preserve"> </w:t>
            </w:r>
            <w:r w:rsidR="006E3644">
              <w:rPr>
                <w:szCs w:val="20"/>
                <w:vertAlign w:val="superscript"/>
              </w:rPr>
              <w:t>1</w:t>
            </w:r>
          </w:p>
        </w:tc>
        <w:tc>
          <w:tcPr>
            <w:tcW w:w="1080" w:type="dxa"/>
            <w:shd w:val="clear" w:color="auto" w:fill="auto"/>
            <w:vAlign w:val="center"/>
          </w:tcPr>
          <w:p w14:paraId="01EED4D7" w14:textId="73EA88ED" w:rsidR="0014093D" w:rsidRPr="006E3644" w:rsidRDefault="004E27E7" w:rsidP="00EF68D9">
            <w:pPr>
              <w:pStyle w:val="Tabletext"/>
              <w:keepLines/>
              <w:jc w:val="center"/>
              <w:rPr>
                <w:rFonts w:cs="Arial"/>
                <w:bCs/>
                <w:szCs w:val="20"/>
                <w:highlight w:val="lightGray"/>
              </w:rPr>
            </w:pPr>
            <w:r w:rsidRPr="005C00E6">
              <w:rPr>
                <w:rFonts w:cs="Arial" w:hint="eastAsia"/>
                <w:bCs/>
                <w:color w:val="000000"/>
                <w:w w:val="15"/>
                <w:szCs w:val="20"/>
                <w:shd w:val="solid" w:color="000000" w:fill="000000"/>
                <w:fitText w:val="55" w:id="-1167951610"/>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0"/>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0"/>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53" w:type="dxa"/>
            <w:shd w:val="clear" w:color="auto" w:fill="auto"/>
            <w:vAlign w:val="center"/>
          </w:tcPr>
          <w:p w14:paraId="4267FDE5" w14:textId="5695E7FF" w:rsidR="0014093D" w:rsidRPr="006E3644" w:rsidRDefault="004E27E7" w:rsidP="00EF68D9">
            <w:pPr>
              <w:pStyle w:val="Tabletext"/>
              <w:keepLines/>
              <w:jc w:val="center"/>
              <w:rPr>
                <w:rFonts w:cs="Arial"/>
                <w:bCs/>
                <w:szCs w:val="20"/>
                <w:highlight w:val="lightGray"/>
              </w:rPr>
            </w:pPr>
            <w:r w:rsidRPr="008B23E3">
              <w:rPr>
                <w:rFonts w:cs="Arial" w:hint="eastAsia"/>
                <w:bCs/>
                <w:color w:val="000000"/>
                <w:w w:val="15"/>
                <w:szCs w:val="20"/>
                <w:shd w:val="solid" w:color="000000" w:fill="000000"/>
                <w:fitText w:val="34" w:id="-1167951609"/>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09"/>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09"/>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6" w:type="dxa"/>
            <w:shd w:val="clear" w:color="auto" w:fill="auto"/>
            <w:vAlign w:val="center"/>
          </w:tcPr>
          <w:p w14:paraId="2A84001A" w14:textId="2E6F6E45" w:rsidR="0014093D" w:rsidRPr="006E3644" w:rsidRDefault="004E27E7" w:rsidP="00EF68D9">
            <w:pPr>
              <w:pStyle w:val="Tabletext"/>
              <w:keepLines/>
              <w:jc w:val="center"/>
              <w:rPr>
                <w:rFonts w:cs="Arial"/>
                <w:bCs/>
                <w:szCs w:val="20"/>
                <w:highlight w:val="lightGray"/>
              </w:rPr>
            </w:pPr>
            <w:r w:rsidRPr="005C00E6">
              <w:rPr>
                <w:rFonts w:cs="Arial" w:hint="eastAsia"/>
                <w:bCs/>
                <w:color w:val="000000"/>
                <w:w w:val="15"/>
                <w:szCs w:val="20"/>
                <w:shd w:val="solid" w:color="000000" w:fill="000000"/>
                <w:fitText w:val="56" w:id="-1167951608"/>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08"/>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08"/>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15" w:type="dxa"/>
            <w:shd w:val="clear" w:color="auto" w:fill="auto"/>
            <w:vAlign w:val="center"/>
          </w:tcPr>
          <w:p w14:paraId="2504C1FC" w14:textId="5593AC7F" w:rsidR="0014093D" w:rsidRPr="006E3644" w:rsidRDefault="004E27E7" w:rsidP="00EF68D9">
            <w:pPr>
              <w:pStyle w:val="Tabletext"/>
              <w:keepLines/>
              <w:jc w:val="center"/>
              <w:rPr>
                <w:rFonts w:cs="Arial"/>
                <w:bCs/>
                <w:szCs w:val="20"/>
                <w:highlight w:val="lightGray"/>
              </w:rPr>
            </w:pPr>
            <w:r w:rsidRPr="005C00E6">
              <w:rPr>
                <w:rFonts w:cs="Arial" w:hint="eastAsia"/>
                <w:bCs/>
                <w:color w:val="000000"/>
                <w:w w:val="15"/>
                <w:szCs w:val="20"/>
                <w:shd w:val="solid" w:color="000000" w:fill="000000"/>
                <w:fitText w:val="55" w:id="-1167951607"/>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07"/>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07"/>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c>
          <w:tcPr>
            <w:tcW w:w="1185" w:type="dxa"/>
            <w:shd w:val="clear" w:color="auto" w:fill="auto"/>
            <w:vAlign w:val="center"/>
          </w:tcPr>
          <w:p w14:paraId="4292A089" w14:textId="4C9CB3FE" w:rsidR="0014093D" w:rsidRPr="006E3644" w:rsidRDefault="004E27E7" w:rsidP="00EF68D9">
            <w:pPr>
              <w:pStyle w:val="Tabletext"/>
              <w:keepLines/>
              <w:jc w:val="center"/>
              <w:rPr>
                <w:rFonts w:cs="Arial"/>
                <w:bCs/>
                <w:szCs w:val="20"/>
                <w:highlight w:val="lightGray"/>
              </w:rPr>
            </w:pPr>
            <w:r w:rsidRPr="005C18A1">
              <w:rPr>
                <w:rFonts w:cs="Arial" w:hint="eastAsia"/>
                <w:bCs/>
                <w:color w:val="000000"/>
                <w:w w:val="15"/>
                <w:szCs w:val="20"/>
                <w:shd w:val="solid" w:color="000000" w:fill="000000"/>
                <w:fitText w:val="11" w:id="-1167951606"/>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06"/>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06"/>
                <w14:textFill>
                  <w14:solidFill>
                    <w14:srgbClr w14:val="000000">
                      <w14:alpha w14:val="100000"/>
                    </w14:srgbClr>
                  </w14:solidFill>
                </w14:textFill>
              </w:rPr>
              <w:t xml:space="preserve">　</w:t>
            </w:r>
            <w:r w:rsidR="006E3644">
              <w:rPr>
                <w:szCs w:val="20"/>
                <w:vertAlign w:val="superscript"/>
              </w:rPr>
              <w:t>1</w:t>
            </w:r>
            <w:r w:rsidRPr="004E27E7">
              <w:rPr>
                <w:rFonts w:cs="Arial"/>
                <w:bCs/>
                <w:szCs w:val="20"/>
              </w:rPr>
              <w:t xml:space="preserve"> </w:t>
            </w:r>
          </w:p>
        </w:tc>
      </w:tr>
      <w:tr w:rsidR="0014093D" w:rsidRPr="00820898" w14:paraId="16692195" w14:textId="77777777" w:rsidTr="00F44004">
        <w:tc>
          <w:tcPr>
            <w:tcW w:w="9375" w:type="dxa"/>
            <w:gridSpan w:val="8"/>
            <w:shd w:val="clear" w:color="auto" w:fill="auto"/>
          </w:tcPr>
          <w:p w14:paraId="509C4753" w14:textId="77777777" w:rsidR="0014093D" w:rsidRPr="00820898" w:rsidRDefault="0014093D" w:rsidP="00EF68D9">
            <w:pPr>
              <w:pStyle w:val="Tabletext"/>
              <w:keepLines/>
              <w:rPr>
                <w:szCs w:val="20"/>
              </w:rPr>
            </w:pPr>
            <w:r w:rsidRPr="00820898">
              <w:rPr>
                <w:szCs w:val="20"/>
              </w:rPr>
              <w:t>PBS cost less co-pay (eff)</w:t>
            </w:r>
          </w:p>
        </w:tc>
      </w:tr>
      <w:tr w:rsidR="0014093D" w:rsidRPr="00820898" w14:paraId="21FE6F1E" w14:textId="77777777" w:rsidTr="00F44004">
        <w:trPr>
          <w:gridAfter w:val="1"/>
          <w:wAfter w:w="11" w:type="dxa"/>
        </w:trPr>
        <w:tc>
          <w:tcPr>
            <w:tcW w:w="2515" w:type="dxa"/>
            <w:shd w:val="clear" w:color="auto" w:fill="auto"/>
          </w:tcPr>
          <w:p w14:paraId="5A3A1038" w14:textId="7DC36A16" w:rsidR="0014093D" w:rsidRPr="00820898" w:rsidRDefault="0014093D" w:rsidP="00EF68D9">
            <w:pPr>
              <w:pStyle w:val="Tabletext"/>
              <w:keepLines/>
              <w:rPr>
                <w:szCs w:val="20"/>
              </w:rPr>
            </w:pPr>
            <w:r w:rsidRPr="00820898">
              <w:rPr>
                <w:szCs w:val="20"/>
              </w:rPr>
              <w:t xml:space="preserve">Nusinersen </w:t>
            </w:r>
            <w:r w:rsidR="00CE23BC">
              <w:rPr>
                <w:szCs w:val="20"/>
                <w:vertAlign w:val="superscript"/>
              </w:rPr>
              <w:t>c</w:t>
            </w:r>
            <w:r w:rsidR="004E27E7">
              <w:rPr>
                <w:szCs w:val="20"/>
              </w:rPr>
              <w:t>($)</w:t>
            </w:r>
          </w:p>
        </w:tc>
        <w:tc>
          <w:tcPr>
            <w:tcW w:w="1200" w:type="dxa"/>
            <w:shd w:val="clear" w:color="auto" w:fill="auto"/>
            <w:vAlign w:val="center"/>
          </w:tcPr>
          <w:p w14:paraId="008D0BF0" w14:textId="1B0C5B76"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05"/>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05"/>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05"/>
                <w14:textFill>
                  <w14:solidFill>
                    <w14:srgbClr w14:val="000000">
                      <w14:alpha w14:val="100000"/>
                    </w14:srgbClr>
                  </w14:solidFill>
                </w14:textFill>
              </w:rPr>
              <w:t xml:space="preserve">　</w:t>
            </w:r>
            <w:r w:rsidR="006E3644">
              <w:rPr>
                <w:szCs w:val="20"/>
                <w:vertAlign w:val="superscript"/>
              </w:rPr>
              <w:t>2</w:t>
            </w:r>
          </w:p>
        </w:tc>
        <w:tc>
          <w:tcPr>
            <w:tcW w:w="1080" w:type="dxa"/>
            <w:shd w:val="clear" w:color="auto" w:fill="auto"/>
            <w:vAlign w:val="center"/>
          </w:tcPr>
          <w:p w14:paraId="3E0FB6A0" w14:textId="79B30607"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04"/>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04"/>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04"/>
                <w14:textFill>
                  <w14:solidFill>
                    <w14:srgbClr w14:val="000000">
                      <w14:alpha w14:val="100000"/>
                    </w14:srgbClr>
                  </w14:solidFill>
                </w14:textFill>
              </w:rPr>
              <w:t xml:space="preserve">　</w:t>
            </w:r>
            <w:r w:rsidR="006E3644">
              <w:rPr>
                <w:szCs w:val="20"/>
                <w:vertAlign w:val="superscript"/>
              </w:rPr>
              <w:t>2</w:t>
            </w:r>
          </w:p>
        </w:tc>
        <w:tc>
          <w:tcPr>
            <w:tcW w:w="1153" w:type="dxa"/>
            <w:shd w:val="clear" w:color="auto" w:fill="auto"/>
            <w:vAlign w:val="center"/>
          </w:tcPr>
          <w:p w14:paraId="7BDDFA0E" w14:textId="5FDDF810"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4" w:id="-1167951603"/>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03"/>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03"/>
                <w14:textFill>
                  <w14:solidFill>
                    <w14:srgbClr w14:val="000000">
                      <w14:alpha w14:val="100000"/>
                    </w14:srgbClr>
                  </w14:solidFill>
                </w14:textFill>
              </w:rPr>
              <w:t xml:space="preserve">　</w:t>
            </w:r>
            <w:r w:rsidR="006E3644">
              <w:rPr>
                <w:szCs w:val="20"/>
                <w:vertAlign w:val="superscript"/>
              </w:rPr>
              <w:t>2</w:t>
            </w:r>
          </w:p>
        </w:tc>
        <w:tc>
          <w:tcPr>
            <w:tcW w:w="1116" w:type="dxa"/>
            <w:shd w:val="clear" w:color="auto" w:fill="auto"/>
            <w:vAlign w:val="center"/>
          </w:tcPr>
          <w:p w14:paraId="0DCEDFE7" w14:textId="22B9CE17"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02"/>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02"/>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02"/>
                <w14:textFill>
                  <w14:solidFill>
                    <w14:srgbClr w14:val="000000">
                      <w14:alpha w14:val="100000"/>
                    </w14:srgbClr>
                  </w14:solidFill>
                </w14:textFill>
              </w:rPr>
              <w:t xml:space="preserve">　</w:t>
            </w:r>
            <w:r w:rsidR="006E3644">
              <w:rPr>
                <w:szCs w:val="20"/>
                <w:vertAlign w:val="superscript"/>
              </w:rPr>
              <w:t>2</w:t>
            </w:r>
          </w:p>
        </w:tc>
        <w:tc>
          <w:tcPr>
            <w:tcW w:w="1115" w:type="dxa"/>
            <w:shd w:val="clear" w:color="auto" w:fill="auto"/>
            <w:vAlign w:val="center"/>
          </w:tcPr>
          <w:p w14:paraId="54705B49" w14:textId="7FA2097C"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01"/>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01"/>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01"/>
                <w14:textFill>
                  <w14:solidFill>
                    <w14:srgbClr w14:val="000000">
                      <w14:alpha w14:val="100000"/>
                    </w14:srgbClr>
                  </w14:solidFill>
                </w14:textFill>
              </w:rPr>
              <w:t xml:space="preserve">　</w:t>
            </w:r>
            <w:r w:rsidR="006E3644">
              <w:rPr>
                <w:szCs w:val="20"/>
                <w:vertAlign w:val="superscript"/>
              </w:rPr>
              <w:t>2</w:t>
            </w:r>
          </w:p>
        </w:tc>
        <w:tc>
          <w:tcPr>
            <w:tcW w:w="1185" w:type="dxa"/>
            <w:shd w:val="clear" w:color="auto" w:fill="auto"/>
            <w:vAlign w:val="center"/>
          </w:tcPr>
          <w:p w14:paraId="756AEC76" w14:textId="5C673904"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00"/>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00"/>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00"/>
                <w14:textFill>
                  <w14:solidFill>
                    <w14:srgbClr w14:val="000000">
                      <w14:alpha w14:val="100000"/>
                    </w14:srgbClr>
                  </w14:solidFill>
                </w14:textFill>
              </w:rPr>
              <w:t xml:space="preserve">　</w:t>
            </w:r>
            <w:r w:rsidR="006E3644">
              <w:rPr>
                <w:szCs w:val="20"/>
                <w:vertAlign w:val="superscript"/>
              </w:rPr>
              <w:t>2</w:t>
            </w:r>
          </w:p>
        </w:tc>
      </w:tr>
      <w:tr w:rsidR="0014093D" w:rsidRPr="00820898" w14:paraId="55E6113B" w14:textId="77777777" w:rsidTr="00F44004">
        <w:trPr>
          <w:gridAfter w:val="1"/>
          <w:wAfter w:w="11" w:type="dxa"/>
        </w:trPr>
        <w:tc>
          <w:tcPr>
            <w:tcW w:w="2515" w:type="dxa"/>
            <w:shd w:val="clear" w:color="auto" w:fill="auto"/>
          </w:tcPr>
          <w:p w14:paraId="38F99C4E" w14:textId="4CC9BAA3" w:rsidR="0014093D" w:rsidRPr="00820898" w:rsidRDefault="005E7538" w:rsidP="00EF68D9">
            <w:pPr>
              <w:pStyle w:val="Tabletext"/>
              <w:keepLines/>
              <w:rPr>
                <w:szCs w:val="20"/>
              </w:rPr>
            </w:pPr>
            <w:r w:rsidRPr="00820898">
              <w:rPr>
                <w:szCs w:val="20"/>
              </w:rPr>
              <w:t>Risdiplam</w:t>
            </w:r>
            <w:r w:rsidR="0014093D" w:rsidRPr="00820898">
              <w:rPr>
                <w:szCs w:val="20"/>
              </w:rPr>
              <w:t xml:space="preserve"> </w:t>
            </w:r>
            <w:r w:rsidR="00CE23BC">
              <w:rPr>
                <w:szCs w:val="20"/>
                <w:vertAlign w:val="superscript"/>
              </w:rPr>
              <w:t>c</w:t>
            </w:r>
            <w:r w:rsidR="004E27E7">
              <w:rPr>
                <w:szCs w:val="20"/>
              </w:rPr>
              <w:t>($)</w:t>
            </w:r>
          </w:p>
        </w:tc>
        <w:tc>
          <w:tcPr>
            <w:tcW w:w="1200" w:type="dxa"/>
            <w:shd w:val="clear" w:color="auto" w:fill="auto"/>
            <w:vAlign w:val="center"/>
          </w:tcPr>
          <w:p w14:paraId="5AEE1DF9" w14:textId="68181537"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16"/>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16"/>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16"/>
                <w14:textFill>
                  <w14:solidFill>
                    <w14:srgbClr w14:val="000000">
                      <w14:alpha w14:val="100000"/>
                    </w14:srgbClr>
                  </w14:solidFill>
                </w14:textFill>
              </w:rPr>
              <w:t xml:space="preserve">　</w:t>
            </w:r>
            <w:r w:rsidR="006E3644">
              <w:rPr>
                <w:szCs w:val="20"/>
                <w:vertAlign w:val="superscript"/>
              </w:rPr>
              <w:t>2</w:t>
            </w:r>
          </w:p>
        </w:tc>
        <w:tc>
          <w:tcPr>
            <w:tcW w:w="1080" w:type="dxa"/>
            <w:shd w:val="clear" w:color="auto" w:fill="auto"/>
            <w:vAlign w:val="center"/>
          </w:tcPr>
          <w:p w14:paraId="7C00B7CA" w14:textId="789C90C6"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15"/>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5"/>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5"/>
                <w14:textFill>
                  <w14:solidFill>
                    <w14:srgbClr w14:val="000000">
                      <w14:alpha w14:val="100000"/>
                    </w14:srgbClr>
                  </w14:solidFill>
                </w14:textFill>
              </w:rPr>
              <w:t xml:space="preserve">　</w:t>
            </w:r>
            <w:r w:rsidR="006E3644">
              <w:rPr>
                <w:szCs w:val="20"/>
                <w:vertAlign w:val="superscript"/>
              </w:rPr>
              <w:t>2</w:t>
            </w:r>
          </w:p>
        </w:tc>
        <w:tc>
          <w:tcPr>
            <w:tcW w:w="1153" w:type="dxa"/>
            <w:shd w:val="clear" w:color="auto" w:fill="auto"/>
            <w:vAlign w:val="center"/>
          </w:tcPr>
          <w:p w14:paraId="4297B486" w14:textId="3365C91E"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4" w:id="-1167951614"/>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14"/>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14"/>
                <w14:textFill>
                  <w14:solidFill>
                    <w14:srgbClr w14:val="000000">
                      <w14:alpha w14:val="100000"/>
                    </w14:srgbClr>
                  </w14:solidFill>
                </w14:textFill>
              </w:rPr>
              <w:t xml:space="preserve">　</w:t>
            </w:r>
            <w:r w:rsidR="006E3644">
              <w:rPr>
                <w:szCs w:val="20"/>
                <w:vertAlign w:val="superscript"/>
              </w:rPr>
              <w:t>2</w:t>
            </w:r>
          </w:p>
        </w:tc>
        <w:tc>
          <w:tcPr>
            <w:tcW w:w="1116" w:type="dxa"/>
            <w:shd w:val="clear" w:color="auto" w:fill="auto"/>
            <w:vAlign w:val="center"/>
          </w:tcPr>
          <w:p w14:paraId="50F54122" w14:textId="69996043"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13"/>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13"/>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13"/>
                <w14:textFill>
                  <w14:solidFill>
                    <w14:srgbClr w14:val="000000">
                      <w14:alpha w14:val="100000"/>
                    </w14:srgbClr>
                  </w14:solidFill>
                </w14:textFill>
              </w:rPr>
              <w:t xml:space="preserve">　</w:t>
            </w:r>
            <w:r w:rsidR="006E3644">
              <w:rPr>
                <w:szCs w:val="20"/>
                <w:vertAlign w:val="superscript"/>
              </w:rPr>
              <w:t>2</w:t>
            </w:r>
          </w:p>
        </w:tc>
        <w:tc>
          <w:tcPr>
            <w:tcW w:w="1115" w:type="dxa"/>
            <w:shd w:val="clear" w:color="auto" w:fill="auto"/>
            <w:vAlign w:val="center"/>
          </w:tcPr>
          <w:p w14:paraId="6BD0A7FD" w14:textId="6E31C93C"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12"/>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12"/>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12"/>
                <w14:textFill>
                  <w14:solidFill>
                    <w14:srgbClr w14:val="000000">
                      <w14:alpha w14:val="100000"/>
                    </w14:srgbClr>
                  </w14:solidFill>
                </w14:textFill>
              </w:rPr>
              <w:t xml:space="preserve">　</w:t>
            </w:r>
            <w:r w:rsidR="006E3644">
              <w:rPr>
                <w:szCs w:val="20"/>
                <w:vertAlign w:val="superscript"/>
              </w:rPr>
              <w:t>2</w:t>
            </w:r>
          </w:p>
        </w:tc>
        <w:tc>
          <w:tcPr>
            <w:tcW w:w="1185" w:type="dxa"/>
            <w:shd w:val="clear" w:color="auto" w:fill="auto"/>
            <w:vAlign w:val="center"/>
          </w:tcPr>
          <w:p w14:paraId="3EC991AB" w14:textId="0FA1C039"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11"/>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11"/>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11"/>
                <w14:textFill>
                  <w14:solidFill>
                    <w14:srgbClr w14:val="000000">
                      <w14:alpha w14:val="100000"/>
                    </w14:srgbClr>
                  </w14:solidFill>
                </w14:textFill>
              </w:rPr>
              <w:t xml:space="preserve">　</w:t>
            </w:r>
            <w:r w:rsidR="006E3644">
              <w:rPr>
                <w:szCs w:val="20"/>
                <w:vertAlign w:val="superscript"/>
              </w:rPr>
              <w:t>2</w:t>
            </w:r>
          </w:p>
        </w:tc>
      </w:tr>
      <w:tr w:rsidR="0014093D" w:rsidRPr="00820898" w14:paraId="2958C6AC" w14:textId="77777777" w:rsidTr="00F44004">
        <w:trPr>
          <w:gridAfter w:val="1"/>
          <w:wAfter w:w="11" w:type="dxa"/>
        </w:trPr>
        <w:tc>
          <w:tcPr>
            <w:tcW w:w="2515" w:type="dxa"/>
            <w:shd w:val="clear" w:color="auto" w:fill="auto"/>
          </w:tcPr>
          <w:p w14:paraId="762FE28A" w14:textId="7209E7BD" w:rsidR="0014093D" w:rsidRPr="00820898" w:rsidRDefault="0014093D" w:rsidP="00EF68D9">
            <w:pPr>
              <w:pStyle w:val="Tabletext"/>
              <w:keepLines/>
              <w:rPr>
                <w:szCs w:val="20"/>
              </w:rPr>
            </w:pPr>
            <w:r w:rsidRPr="00820898">
              <w:rPr>
                <w:szCs w:val="20"/>
              </w:rPr>
              <w:t xml:space="preserve">ONA </w:t>
            </w:r>
            <w:r w:rsidR="00CE23BC">
              <w:rPr>
                <w:szCs w:val="20"/>
                <w:vertAlign w:val="superscript"/>
              </w:rPr>
              <w:t>b</w:t>
            </w:r>
            <w:r w:rsidR="004E27E7">
              <w:rPr>
                <w:szCs w:val="20"/>
              </w:rPr>
              <w:t>($)</w:t>
            </w:r>
          </w:p>
        </w:tc>
        <w:tc>
          <w:tcPr>
            <w:tcW w:w="1200" w:type="dxa"/>
            <w:tcBorders>
              <w:bottom w:val="single" w:sz="4" w:space="0" w:color="auto"/>
            </w:tcBorders>
            <w:shd w:val="clear" w:color="auto" w:fill="auto"/>
            <w:vAlign w:val="center"/>
          </w:tcPr>
          <w:p w14:paraId="2612CDBB" w14:textId="79678044"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10"/>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10"/>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10"/>
                <w14:textFill>
                  <w14:solidFill>
                    <w14:srgbClr w14:val="000000">
                      <w14:alpha w14:val="100000"/>
                    </w14:srgbClr>
                  </w14:solidFill>
                </w14:textFill>
              </w:rPr>
              <w:t xml:space="preserve">　</w:t>
            </w:r>
            <w:r w:rsidR="006E3644">
              <w:rPr>
                <w:szCs w:val="20"/>
                <w:vertAlign w:val="superscript"/>
              </w:rPr>
              <w:t>2</w:t>
            </w:r>
          </w:p>
        </w:tc>
        <w:tc>
          <w:tcPr>
            <w:tcW w:w="1080" w:type="dxa"/>
            <w:tcBorders>
              <w:bottom w:val="single" w:sz="4" w:space="0" w:color="auto"/>
            </w:tcBorders>
            <w:shd w:val="clear" w:color="auto" w:fill="auto"/>
            <w:vAlign w:val="center"/>
          </w:tcPr>
          <w:p w14:paraId="3A6B53AE" w14:textId="496E6335"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09"/>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09"/>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09"/>
                <w14:textFill>
                  <w14:solidFill>
                    <w14:srgbClr w14:val="000000">
                      <w14:alpha w14:val="100000"/>
                    </w14:srgbClr>
                  </w14:solidFill>
                </w14:textFill>
              </w:rPr>
              <w:t xml:space="preserve">　</w:t>
            </w:r>
            <w:r w:rsidR="006E3644">
              <w:rPr>
                <w:szCs w:val="20"/>
                <w:vertAlign w:val="superscript"/>
              </w:rPr>
              <w:t>2</w:t>
            </w:r>
          </w:p>
        </w:tc>
        <w:tc>
          <w:tcPr>
            <w:tcW w:w="1153" w:type="dxa"/>
            <w:tcBorders>
              <w:bottom w:val="single" w:sz="4" w:space="0" w:color="auto"/>
            </w:tcBorders>
            <w:shd w:val="clear" w:color="auto" w:fill="auto"/>
            <w:vAlign w:val="center"/>
          </w:tcPr>
          <w:p w14:paraId="4275FE65" w14:textId="6FB3095F" w:rsidR="0014093D" w:rsidRPr="006E3644" w:rsidRDefault="004E27E7" w:rsidP="00EF68D9">
            <w:pPr>
              <w:pStyle w:val="Tabletext"/>
              <w:keepLines/>
              <w:jc w:val="center"/>
              <w:rPr>
                <w:szCs w:val="20"/>
                <w:highlight w:val="lightGray"/>
              </w:rPr>
            </w:pPr>
            <w:r w:rsidRPr="008B23E3">
              <w:rPr>
                <w:rFonts w:cs="Arial" w:hint="eastAsia"/>
                <w:bCs/>
                <w:color w:val="000000"/>
                <w:w w:val="15"/>
                <w:szCs w:val="20"/>
                <w:shd w:val="solid" w:color="000000" w:fill="000000"/>
                <w:fitText w:val="34" w:id="-1167951608"/>
                <w14:textFill>
                  <w14:solidFill>
                    <w14:srgbClr w14:val="000000">
                      <w14:alpha w14:val="100000"/>
                    </w14:srgbClr>
                  </w14:solidFill>
                </w14:textFill>
              </w:rPr>
              <w:t xml:space="preserve">　</w:t>
            </w:r>
            <w:r w:rsidRPr="008B23E3">
              <w:rPr>
                <w:rFonts w:cs="Arial"/>
                <w:bCs/>
                <w:color w:val="000000"/>
                <w:w w:val="15"/>
                <w:szCs w:val="20"/>
                <w:shd w:val="solid" w:color="000000" w:fill="000000"/>
                <w:fitText w:val="34" w:id="-1167951608"/>
                <w14:textFill>
                  <w14:solidFill>
                    <w14:srgbClr w14:val="000000">
                      <w14:alpha w14:val="100000"/>
                    </w14:srgbClr>
                  </w14:solidFill>
                </w14:textFill>
              </w:rPr>
              <w:t>|</w:t>
            </w:r>
            <w:r w:rsidRPr="008B23E3">
              <w:rPr>
                <w:rFonts w:cs="Arial" w:hint="eastAsia"/>
                <w:bCs/>
                <w:color w:val="000000"/>
                <w:spacing w:val="-50"/>
                <w:w w:val="15"/>
                <w:szCs w:val="20"/>
                <w:shd w:val="solid" w:color="000000" w:fill="000000"/>
                <w:fitText w:val="34" w:id="-1167951608"/>
                <w14:textFill>
                  <w14:solidFill>
                    <w14:srgbClr w14:val="000000">
                      <w14:alpha w14:val="100000"/>
                    </w14:srgbClr>
                  </w14:solidFill>
                </w14:textFill>
              </w:rPr>
              <w:t xml:space="preserve">　</w:t>
            </w:r>
            <w:r w:rsidR="006E3644">
              <w:rPr>
                <w:szCs w:val="20"/>
                <w:vertAlign w:val="superscript"/>
              </w:rPr>
              <w:t>2</w:t>
            </w:r>
          </w:p>
        </w:tc>
        <w:tc>
          <w:tcPr>
            <w:tcW w:w="1116" w:type="dxa"/>
            <w:tcBorders>
              <w:bottom w:val="single" w:sz="4" w:space="0" w:color="auto"/>
            </w:tcBorders>
            <w:shd w:val="clear" w:color="auto" w:fill="auto"/>
            <w:vAlign w:val="center"/>
          </w:tcPr>
          <w:p w14:paraId="43AD4DC5" w14:textId="4DE1AFF2"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6" w:id="-1167951607"/>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6" w:id="-1167951607"/>
                <w14:textFill>
                  <w14:solidFill>
                    <w14:srgbClr w14:val="000000">
                      <w14:alpha w14:val="100000"/>
                    </w14:srgbClr>
                  </w14:solidFill>
                </w14:textFill>
              </w:rPr>
              <w:t>|</w:t>
            </w:r>
            <w:r w:rsidRPr="005C00E6">
              <w:rPr>
                <w:rFonts w:cs="Arial" w:hint="eastAsia"/>
                <w:bCs/>
                <w:color w:val="000000"/>
                <w:spacing w:val="-9"/>
                <w:w w:val="15"/>
                <w:szCs w:val="20"/>
                <w:shd w:val="solid" w:color="000000" w:fill="000000"/>
                <w:fitText w:val="56" w:id="-1167951607"/>
                <w14:textFill>
                  <w14:solidFill>
                    <w14:srgbClr w14:val="000000">
                      <w14:alpha w14:val="100000"/>
                    </w14:srgbClr>
                  </w14:solidFill>
                </w14:textFill>
              </w:rPr>
              <w:t xml:space="preserve">　</w:t>
            </w:r>
            <w:r w:rsidR="006E3644">
              <w:rPr>
                <w:szCs w:val="20"/>
                <w:vertAlign w:val="superscript"/>
              </w:rPr>
              <w:t>2</w:t>
            </w:r>
          </w:p>
        </w:tc>
        <w:tc>
          <w:tcPr>
            <w:tcW w:w="1115" w:type="dxa"/>
            <w:tcBorders>
              <w:bottom w:val="single" w:sz="4" w:space="0" w:color="auto"/>
            </w:tcBorders>
            <w:shd w:val="clear" w:color="auto" w:fill="auto"/>
            <w:vAlign w:val="center"/>
          </w:tcPr>
          <w:p w14:paraId="6A8D59AD" w14:textId="1267443E" w:rsidR="0014093D" w:rsidRPr="006E3644" w:rsidRDefault="004E27E7" w:rsidP="00EF68D9">
            <w:pPr>
              <w:pStyle w:val="Tabletext"/>
              <w:keepLines/>
              <w:jc w:val="center"/>
              <w:rPr>
                <w:szCs w:val="20"/>
                <w:highlight w:val="lightGray"/>
              </w:rPr>
            </w:pPr>
            <w:r w:rsidRPr="005C00E6">
              <w:rPr>
                <w:rFonts w:cs="Arial" w:hint="eastAsia"/>
                <w:bCs/>
                <w:color w:val="000000"/>
                <w:w w:val="15"/>
                <w:szCs w:val="20"/>
                <w:shd w:val="solid" w:color="000000" w:fill="000000"/>
                <w:fitText w:val="55" w:id="-1167951606"/>
                <w14:textFill>
                  <w14:solidFill>
                    <w14:srgbClr w14:val="000000">
                      <w14:alpha w14:val="100000"/>
                    </w14:srgbClr>
                  </w14:solidFill>
                </w14:textFill>
              </w:rPr>
              <w:t xml:space="preserve">　</w:t>
            </w:r>
            <w:r w:rsidRPr="005C00E6">
              <w:rPr>
                <w:rFonts w:cs="Arial"/>
                <w:bCs/>
                <w:color w:val="000000"/>
                <w:w w:val="15"/>
                <w:szCs w:val="20"/>
                <w:shd w:val="solid" w:color="000000" w:fill="000000"/>
                <w:fitText w:val="55" w:id="-1167951606"/>
                <w14:textFill>
                  <w14:solidFill>
                    <w14:srgbClr w14:val="000000">
                      <w14:alpha w14:val="100000"/>
                    </w14:srgbClr>
                  </w14:solidFill>
                </w14:textFill>
              </w:rPr>
              <w:t>|</w:t>
            </w:r>
            <w:r w:rsidRPr="005C00E6">
              <w:rPr>
                <w:rFonts w:cs="Arial" w:hint="eastAsia"/>
                <w:bCs/>
                <w:color w:val="000000"/>
                <w:spacing w:val="-10"/>
                <w:w w:val="15"/>
                <w:szCs w:val="20"/>
                <w:shd w:val="solid" w:color="000000" w:fill="000000"/>
                <w:fitText w:val="55" w:id="-1167951606"/>
                <w14:textFill>
                  <w14:solidFill>
                    <w14:srgbClr w14:val="000000">
                      <w14:alpha w14:val="100000"/>
                    </w14:srgbClr>
                  </w14:solidFill>
                </w14:textFill>
              </w:rPr>
              <w:t xml:space="preserve">　</w:t>
            </w:r>
            <w:r w:rsidR="006E3644">
              <w:rPr>
                <w:szCs w:val="20"/>
                <w:vertAlign w:val="superscript"/>
              </w:rPr>
              <w:t>2</w:t>
            </w:r>
          </w:p>
        </w:tc>
        <w:tc>
          <w:tcPr>
            <w:tcW w:w="1185" w:type="dxa"/>
            <w:tcBorders>
              <w:bottom w:val="single" w:sz="4" w:space="0" w:color="auto"/>
            </w:tcBorders>
            <w:shd w:val="clear" w:color="auto" w:fill="auto"/>
            <w:vAlign w:val="center"/>
          </w:tcPr>
          <w:p w14:paraId="4BB63D41" w14:textId="08D36585" w:rsidR="0014093D" w:rsidRPr="006E3644" w:rsidRDefault="004E27E7" w:rsidP="00EF68D9">
            <w:pPr>
              <w:pStyle w:val="Tabletext"/>
              <w:keepLines/>
              <w:jc w:val="center"/>
              <w:rPr>
                <w:szCs w:val="20"/>
                <w:highlight w:val="lightGray"/>
              </w:rPr>
            </w:pPr>
            <w:r w:rsidRPr="005C18A1">
              <w:rPr>
                <w:rFonts w:cs="Arial" w:hint="eastAsia"/>
                <w:bCs/>
                <w:color w:val="000000"/>
                <w:w w:val="15"/>
                <w:szCs w:val="20"/>
                <w:shd w:val="solid" w:color="000000" w:fill="000000"/>
                <w:fitText w:val="11" w:id="-1167951605"/>
                <w14:textFill>
                  <w14:solidFill>
                    <w14:srgbClr w14:val="000000">
                      <w14:alpha w14:val="100000"/>
                    </w14:srgbClr>
                  </w14:solidFill>
                </w14:textFill>
              </w:rPr>
              <w:t xml:space="preserve">　</w:t>
            </w:r>
            <w:r w:rsidRPr="005C18A1">
              <w:rPr>
                <w:rFonts w:cs="Arial"/>
                <w:bCs/>
                <w:color w:val="000000"/>
                <w:w w:val="15"/>
                <w:szCs w:val="20"/>
                <w:shd w:val="solid" w:color="000000" w:fill="000000"/>
                <w:fitText w:val="11" w:id="-1167951605"/>
                <w14:textFill>
                  <w14:solidFill>
                    <w14:srgbClr w14:val="000000">
                      <w14:alpha w14:val="100000"/>
                    </w14:srgbClr>
                  </w14:solidFill>
                </w14:textFill>
              </w:rPr>
              <w:t>|</w:t>
            </w:r>
            <w:r w:rsidRPr="005C18A1">
              <w:rPr>
                <w:rFonts w:cs="Arial" w:hint="eastAsia"/>
                <w:bCs/>
                <w:color w:val="000000"/>
                <w:spacing w:val="-54"/>
                <w:w w:val="15"/>
                <w:szCs w:val="20"/>
                <w:shd w:val="solid" w:color="000000" w:fill="000000"/>
                <w:fitText w:val="11" w:id="-1167951605"/>
                <w14:textFill>
                  <w14:solidFill>
                    <w14:srgbClr w14:val="000000">
                      <w14:alpha w14:val="100000"/>
                    </w14:srgbClr>
                  </w14:solidFill>
                </w14:textFill>
              </w:rPr>
              <w:t xml:space="preserve">　</w:t>
            </w:r>
            <w:r w:rsidR="006E3644">
              <w:rPr>
                <w:szCs w:val="20"/>
                <w:vertAlign w:val="superscript"/>
              </w:rPr>
              <w:t>2</w:t>
            </w:r>
          </w:p>
        </w:tc>
      </w:tr>
      <w:tr w:rsidR="0014093D" w:rsidRPr="00820898" w14:paraId="325105F8" w14:textId="77777777" w:rsidTr="00F44004">
        <w:trPr>
          <w:gridAfter w:val="1"/>
          <w:wAfter w:w="11" w:type="dxa"/>
        </w:trPr>
        <w:tc>
          <w:tcPr>
            <w:tcW w:w="2515" w:type="dxa"/>
            <w:shd w:val="clear" w:color="auto" w:fill="auto"/>
          </w:tcPr>
          <w:p w14:paraId="4DCA8914" w14:textId="010C266A" w:rsidR="0014093D" w:rsidRPr="00820898" w:rsidRDefault="0014093D" w:rsidP="00EF68D9">
            <w:pPr>
              <w:pStyle w:val="Tabletext"/>
              <w:keepLines/>
              <w:rPr>
                <w:szCs w:val="20"/>
              </w:rPr>
            </w:pPr>
            <w:r w:rsidRPr="00820898">
              <w:rPr>
                <w:szCs w:val="20"/>
              </w:rPr>
              <w:t xml:space="preserve">Prednisolone </w:t>
            </w:r>
            <w:r w:rsidR="00CE23BC">
              <w:rPr>
                <w:szCs w:val="20"/>
                <w:vertAlign w:val="superscript"/>
              </w:rPr>
              <w:t>a</w:t>
            </w:r>
            <w:r w:rsidR="004E27E7">
              <w:rPr>
                <w:szCs w:val="20"/>
              </w:rPr>
              <w:t>($)</w:t>
            </w:r>
          </w:p>
        </w:tc>
        <w:tc>
          <w:tcPr>
            <w:tcW w:w="1200" w:type="dxa"/>
            <w:tcBorders>
              <w:top w:val="single" w:sz="4" w:space="0" w:color="auto"/>
              <w:left w:val="nil"/>
              <w:bottom w:val="single" w:sz="4" w:space="0" w:color="auto"/>
              <w:right w:val="single" w:sz="4" w:space="0" w:color="auto"/>
            </w:tcBorders>
            <w:shd w:val="clear" w:color="auto" w:fill="auto"/>
            <w:vAlign w:val="center"/>
          </w:tcPr>
          <w:p w14:paraId="6DF9A0E0" w14:textId="6515F784"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60"/>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60"/>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60"/>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9D9EB3" w14:textId="657CF185"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9"/>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9"/>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9"/>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5DDED1A" w14:textId="2EF2A69D" w:rsidR="0014093D" w:rsidRPr="006E3644" w:rsidRDefault="004E27E7" w:rsidP="00EF68D9">
            <w:pPr>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358"/>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358"/>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358"/>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DDDE181" w14:textId="1CD980DC"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357"/>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357"/>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357"/>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420CA4A" w14:textId="07C48BAF"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6"/>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6"/>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8FD23BE" w14:textId="5C441207"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55"/>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55"/>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55"/>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r>
      <w:tr w:rsidR="0014093D" w:rsidRPr="00820898" w14:paraId="34971321" w14:textId="77777777" w:rsidTr="00F44004">
        <w:trPr>
          <w:gridAfter w:val="1"/>
          <w:wAfter w:w="11" w:type="dxa"/>
        </w:trPr>
        <w:tc>
          <w:tcPr>
            <w:tcW w:w="2515" w:type="dxa"/>
            <w:shd w:val="clear" w:color="auto" w:fill="auto"/>
            <w:vAlign w:val="center"/>
          </w:tcPr>
          <w:p w14:paraId="695EBBAE" w14:textId="6CDECE2B" w:rsidR="0014093D" w:rsidRPr="00820898" w:rsidRDefault="0014093D" w:rsidP="00EF68D9">
            <w:pPr>
              <w:pStyle w:val="Tabletext"/>
              <w:keepLines/>
              <w:rPr>
                <w:szCs w:val="20"/>
              </w:rPr>
            </w:pPr>
            <w:r w:rsidRPr="00820898">
              <w:rPr>
                <w:szCs w:val="20"/>
              </w:rPr>
              <w:t>Total (eff)</w:t>
            </w:r>
            <w:r w:rsidR="004E27E7">
              <w:rPr>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252F213" w14:textId="3E6DE808"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5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5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54"/>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tcPr>
          <w:p w14:paraId="731DCA5F" w14:textId="5EBDA2AF"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3"/>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3"/>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3"/>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c>
          <w:tcPr>
            <w:tcW w:w="1153" w:type="dxa"/>
            <w:tcBorders>
              <w:top w:val="single" w:sz="4" w:space="0" w:color="auto"/>
              <w:left w:val="nil"/>
              <w:bottom w:val="single" w:sz="4" w:space="0" w:color="auto"/>
              <w:right w:val="single" w:sz="4" w:space="0" w:color="auto"/>
            </w:tcBorders>
            <w:shd w:val="clear" w:color="auto" w:fill="auto"/>
            <w:vAlign w:val="center"/>
          </w:tcPr>
          <w:p w14:paraId="58E987EF" w14:textId="3079C1C6" w:rsidR="0014093D" w:rsidRPr="006E3644" w:rsidRDefault="004E27E7" w:rsidP="00EF68D9">
            <w:pPr>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352"/>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352"/>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352"/>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c>
          <w:tcPr>
            <w:tcW w:w="1116" w:type="dxa"/>
            <w:tcBorders>
              <w:top w:val="single" w:sz="4" w:space="0" w:color="auto"/>
              <w:left w:val="nil"/>
              <w:bottom w:val="single" w:sz="4" w:space="0" w:color="auto"/>
              <w:right w:val="single" w:sz="4" w:space="0" w:color="auto"/>
            </w:tcBorders>
            <w:shd w:val="clear" w:color="auto" w:fill="auto"/>
            <w:vAlign w:val="center"/>
          </w:tcPr>
          <w:p w14:paraId="1210CB8C" w14:textId="3C960083"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351"/>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351"/>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351"/>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c>
          <w:tcPr>
            <w:tcW w:w="1115" w:type="dxa"/>
            <w:tcBorders>
              <w:top w:val="single" w:sz="4" w:space="0" w:color="auto"/>
              <w:left w:val="nil"/>
              <w:bottom w:val="single" w:sz="4" w:space="0" w:color="auto"/>
              <w:right w:val="single" w:sz="4" w:space="0" w:color="auto"/>
            </w:tcBorders>
            <w:shd w:val="clear" w:color="auto" w:fill="auto"/>
            <w:vAlign w:val="center"/>
          </w:tcPr>
          <w:p w14:paraId="295D66AB" w14:textId="1C4ABF6D"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0"/>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0"/>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c>
          <w:tcPr>
            <w:tcW w:w="1185" w:type="dxa"/>
            <w:tcBorders>
              <w:top w:val="single" w:sz="4" w:space="0" w:color="auto"/>
              <w:left w:val="nil"/>
              <w:bottom w:val="single" w:sz="4" w:space="0" w:color="auto"/>
              <w:right w:val="single" w:sz="4" w:space="0" w:color="auto"/>
            </w:tcBorders>
            <w:shd w:val="clear" w:color="auto" w:fill="auto"/>
            <w:vAlign w:val="center"/>
          </w:tcPr>
          <w:p w14:paraId="7F38796C" w14:textId="28C4F2B5"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49"/>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49"/>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49"/>
                <w14:textFill>
                  <w14:solidFill>
                    <w14:srgbClr w14:val="000000">
                      <w14:alpha w14:val="100000"/>
                    </w14:srgbClr>
                  </w14:solidFill>
                </w14:textFill>
              </w:rPr>
              <w:t xml:space="preserve">　</w:t>
            </w:r>
            <w:r w:rsidR="006E3644" w:rsidRPr="00F44004">
              <w:rPr>
                <w:rFonts w:ascii="Arial Narrow" w:hAnsi="Arial Narrow"/>
                <w:sz w:val="20"/>
                <w:szCs w:val="16"/>
                <w:vertAlign w:val="superscript"/>
              </w:rPr>
              <w:t>2</w:t>
            </w:r>
          </w:p>
        </w:tc>
      </w:tr>
      <w:tr w:rsidR="0014093D" w:rsidRPr="00820898" w14:paraId="146D4C12" w14:textId="77777777" w:rsidTr="00F44004">
        <w:tc>
          <w:tcPr>
            <w:tcW w:w="9375" w:type="dxa"/>
            <w:gridSpan w:val="8"/>
            <w:shd w:val="clear" w:color="auto" w:fill="auto"/>
            <w:vAlign w:val="center"/>
          </w:tcPr>
          <w:p w14:paraId="22C5AC3C" w14:textId="3F9486BB" w:rsidR="0014093D" w:rsidRPr="00820898" w:rsidRDefault="0014093D" w:rsidP="00EF68D9">
            <w:pPr>
              <w:pStyle w:val="Tabletext"/>
              <w:keepLines/>
              <w:rPr>
                <w:rStyle w:val="CommentReference"/>
                <w:szCs w:val="20"/>
              </w:rPr>
            </w:pPr>
            <w:r w:rsidRPr="00820898">
              <w:rPr>
                <w:rStyle w:val="CommentReference"/>
                <w:szCs w:val="20"/>
              </w:rPr>
              <w:t>Estimated financial implications for the PBS</w:t>
            </w:r>
          </w:p>
        </w:tc>
      </w:tr>
      <w:tr w:rsidR="0014093D" w:rsidRPr="00820898" w14:paraId="3FFADCC3" w14:textId="77777777" w:rsidTr="00F44004">
        <w:trPr>
          <w:gridAfter w:val="1"/>
          <w:wAfter w:w="11" w:type="dxa"/>
        </w:trPr>
        <w:tc>
          <w:tcPr>
            <w:tcW w:w="2515" w:type="dxa"/>
            <w:shd w:val="clear" w:color="auto" w:fill="auto"/>
            <w:vAlign w:val="center"/>
          </w:tcPr>
          <w:p w14:paraId="400C12F3" w14:textId="56EE905B" w:rsidR="0014093D" w:rsidRPr="00820898" w:rsidRDefault="0014093D" w:rsidP="00EF68D9">
            <w:pPr>
              <w:pStyle w:val="Tabletext"/>
              <w:keepLines/>
              <w:rPr>
                <w:szCs w:val="20"/>
              </w:rPr>
            </w:pPr>
            <w:r w:rsidRPr="00820898">
              <w:rPr>
                <w:szCs w:val="20"/>
              </w:rPr>
              <w:t>Net cost to PBS (eff)</w:t>
            </w:r>
            <w:r w:rsidR="004E27E7">
              <w:rPr>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2A3FC7E6" w14:textId="7B8DA5DE"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48"/>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48"/>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48"/>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E4914D" w14:textId="69CD8478"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47"/>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47"/>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47"/>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AA73381" w14:textId="02F86DFD" w:rsidR="0014093D" w:rsidRPr="006E3644" w:rsidRDefault="004E27E7" w:rsidP="00EF68D9">
            <w:pPr>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346"/>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346"/>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346"/>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B6FB182" w14:textId="604EA6E7"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345"/>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345"/>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345"/>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6F9934E" w14:textId="1AC1111E"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44"/>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44"/>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44"/>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F94F152" w14:textId="4AC392D4"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60"/>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60"/>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60"/>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r>
      <w:tr w:rsidR="0014093D" w:rsidRPr="00820898" w14:paraId="4B30B9E2" w14:textId="77777777" w:rsidTr="00F44004">
        <w:tc>
          <w:tcPr>
            <w:tcW w:w="9375" w:type="dxa"/>
            <w:gridSpan w:val="8"/>
            <w:shd w:val="clear" w:color="auto" w:fill="auto"/>
            <w:vAlign w:val="center"/>
          </w:tcPr>
          <w:p w14:paraId="15F3F5FD" w14:textId="324B959A" w:rsidR="0014093D" w:rsidRPr="00820898" w:rsidRDefault="0014093D" w:rsidP="00EF68D9">
            <w:pPr>
              <w:pStyle w:val="Tabletext"/>
              <w:keepLines/>
              <w:rPr>
                <w:rStyle w:val="CommentReference"/>
                <w:szCs w:val="20"/>
              </w:rPr>
            </w:pPr>
            <w:r w:rsidRPr="00820898">
              <w:rPr>
                <w:rStyle w:val="CommentReference"/>
                <w:szCs w:val="20"/>
              </w:rPr>
              <w:t>Estimated financial implications for the health budget</w:t>
            </w:r>
          </w:p>
        </w:tc>
      </w:tr>
      <w:tr w:rsidR="0014093D" w:rsidRPr="00820898" w14:paraId="3E7B2FDC" w14:textId="77777777" w:rsidTr="00F44004">
        <w:trPr>
          <w:gridAfter w:val="1"/>
          <w:wAfter w:w="11" w:type="dxa"/>
        </w:trPr>
        <w:tc>
          <w:tcPr>
            <w:tcW w:w="2515" w:type="dxa"/>
            <w:shd w:val="clear" w:color="auto" w:fill="auto"/>
            <w:vAlign w:val="center"/>
          </w:tcPr>
          <w:p w14:paraId="2757FE2D" w14:textId="1924E8B3" w:rsidR="0014093D" w:rsidRPr="00820898" w:rsidRDefault="0014093D" w:rsidP="00EF68D9">
            <w:pPr>
              <w:pStyle w:val="Tabletext"/>
              <w:keepLines/>
              <w:rPr>
                <w:szCs w:val="20"/>
              </w:rPr>
            </w:pPr>
            <w:r w:rsidRPr="00820898">
              <w:rPr>
                <w:szCs w:val="20"/>
              </w:rPr>
              <w:t xml:space="preserve">Net MBS costs </w:t>
            </w:r>
            <w:r w:rsidR="004E27E7">
              <w:rPr>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5BECD7A" w14:textId="593DEF72"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59"/>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59"/>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59"/>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DDA5F3" w14:textId="2DF243D6"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8"/>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8"/>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8"/>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53" w:type="dxa"/>
            <w:tcBorders>
              <w:top w:val="single" w:sz="4" w:space="0" w:color="auto"/>
              <w:left w:val="nil"/>
              <w:bottom w:val="single" w:sz="4" w:space="0" w:color="auto"/>
              <w:right w:val="single" w:sz="4" w:space="0" w:color="auto"/>
            </w:tcBorders>
            <w:shd w:val="clear" w:color="auto" w:fill="auto"/>
            <w:vAlign w:val="center"/>
          </w:tcPr>
          <w:p w14:paraId="59343304" w14:textId="1D33E3BA" w:rsidR="0014093D" w:rsidRPr="006E3644" w:rsidRDefault="004E27E7" w:rsidP="00EF68D9">
            <w:pPr>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45" w:id="-1167951357"/>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45" w:id="-1167951357"/>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45" w:id="-1167951357"/>
                <w14:textFill>
                  <w14:solidFill>
                    <w14:srgbClr w14:val="000000">
                      <w14:alpha w14:val="100000"/>
                    </w14:srgbClr>
                  </w14:solidFill>
                </w14:textFill>
              </w:rPr>
              <w:t xml:space="preserve">　</w:t>
            </w:r>
            <w:r w:rsidR="00CF66C4">
              <w:rPr>
                <w:szCs w:val="20"/>
                <w:vertAlign w:val="superscript"/>
              </w:rPr>
              <w:t>2</w:t>
            </w:r>
          </w:p>
        </w:tc>
        <w:tc>
          <w:tcPr>
            <w:tcW w:w="1116" w:type="dxa"/>
            <w:tcBorders>
              <w:top w:val="single" w:sz="4" w:space="0" w:color="auto"/>
              <w:left w:val="nil"/>
              <w:bottom w:val="single" w:sz="4" w:space="0" w:color="auto"/>
              <w:right w:val="single" w:sz="4" w:space="0" w:color="auto"/>
            </w:tcBorders>
            <w:shd w:val="clear" w:color="auto" w:fill="auto"/>
            <w:vAlign w:val="center"/>
          </w:tcPr>
          <w:p w14:paraId="42961531" w14:textId="7FEEF152"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356"/>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356"/>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356"/>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2</w:t>
            </w:r>
          </w:p>
        </w:tc>
        <w:tc>
          <w:tcPr>
            <w:tcW w:w="1115" w:type="dxa"/>
            <w:tcBorders>
              <w:top w:val="single" w:sz="4" w:space="0" w:color="auto"/>
              <w:left w:val="nil"/>
              <w:bottom w:val="single" w:sz="4" w:space="0" w:color="auto"/>
              <w:right w:val="single" w:sz="4" w:space="0" w:color="auto"/>
            </w:tcBorders>
            <w:shd w:val="clear" w:color="auto" w:fill="auto"/>
            <w:vAlign w:val="center"/>
          </w:tcPr>
          <w:p w14:paraId="12B7D27E" w14:textId="64AF91F0"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5"/>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5"/>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5"/>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2</w:t>
            </w:r>
          </w:p>
        </w:tc>
        <w:tc>
          <w:tcPr>
            <w:tcW w:w="1185" w:type="dxa"/>
            <w:tcBorders>
              <w:top w:val="single" w:sz="4" w:space="0" w:color="auto"/>
              <w:left w:val="nil"/>
              <w:bottom w:val="single" w:sz="4" w:space="0" w:color="auto"/>
              <w:right w:val="single" w:sz="4" w:space="0" w:color="auto"/>
            </w:tcBorders>
            <w:shd w:val="clear" w:color="auto" w:fill="auto"/>
            <w:vAlign w:val="center"/>
          </w:tcPr>
          <w:p w14:paraId="3112EF83" w14:textId="2FF379E8"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54"/>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54"/>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54"/>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2</w:t>
            </w:r>
          </w:p>
        </w:tc>
      </w:tr>
      <w:tr w:rsidR="0014093D" w:rsidRPr="00820898" w14:paraId="093FFA4C" w14:textId="77777777" w:rsidTr="00F44004">
        <w:trPr>
          <w:gridAfter w:val="1"/>
          <w:wAfter w:w="11" w:type="dxa"/>
        </w:trPr>
        <w:tc>
          <w:tcPr>
            <w:tcW w:w="2515" w:type="dxa"/>
            <w:shd w:val="clear" w:color="auto" w:fill="auto"/>
            <w:vAlign w:val="center"/>
          </w:tcPr>
          <w:p w14:paraId="16E7D867" w14:textId="6CA4B0E5" w:rsidR="0014093D" w:rsidRPr="00820898" w:rsidRDefault="0014093D" w:rsidP="00EF68D9">
            <w:pPr>
              <w:pStyle w:val="Tabletext"/>
              <w:keepLines/>
              <w:rPr>
                <w:szCs w:val="20"/>
              </w:rPr>
            </w:pPr>
            <w:r w:rsidRPr="00820898">
              <w:rPr>
                <w:szCs w:val="20"/>
              </w:rPr>
              <w:t>Net cost to Govt health budget (eff)</w:t>
            </w:r>
            <w:r w:rsidR="004E27E7">
              <w:rPr>
                <w:szCs w:val="20"/>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576593D9" w14:textId="23E576D7"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53"/>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53"/>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53"/>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E5E104" w14:textId="099D51A4"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52"/>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52"/>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52"/>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3F659F5" w14:textId="14FB3436" w:rsidR="0014093D" w:rsidRPr="006E3644" w:rsidRDefault="004E27E7" w:rsidP="00EF68D9">
            <w:pPr>
              <w:jc w:val="center"/>
              <w:rPr>
                <w:rFonts w:ascii="Arial Narrow" w:hAnsi="Arial Narrow"/>
                <w:sz w:val="20"/>
                <w:szCs w:val="20"/>
                <w:highlight w:val="lightGray"/>
              </w:rPr>
            </w:pPr>
            <w:r w:rsidRPr="008B23E3">
              <w:rPr>
                <w:rFonts w:ascii="Arial Narrow" w:hAnsi="Arial Narrow" w:hint="eastAsia"/>
                <w:color w:val="000000"/>
                <w:w w:val="15"/>
                <w:sz w:val="20"/>
                <w:szCs w:val="20"/>
                <w:shd w:val="solid" w:color="000000" w:fill="000000"/>
                <w:fitText w:val="34" w:id="-1167951351"/>
                <w14:textFill>
                  <w14:solidFill>
                    <w14:srgbClr w14:val="000000">
                      <w14:alpha w14:val="100000"/>
                    </w14:srgbClr>
                  </w14:solidFill>
                </w14:textFill>
              </w:rPr>
              <w:t xml:space="preserve">　</w:t>
            </w:r>
            <w:r w:rsidRPr="008B23E3">
              <w:rPr>
                <w:rFonts w:ascii="Arial Narrow" w:hAnsi="Arial Narrow"/>
                <w:color w:val="000000"/>
                <w:w w:val="15"/>
                <w:sz w:val="20"/>
                <w:szCs w:val="20"/>
                <w:shd w:val="solid" w:color="000000" w:fill="000000"/>
                <w:fitText w:val="34" w:id="-1167951351"/>
                <w14:textFill>
                  <w14:solidFill>
                    <w14:srgbClr w14:val="000000">
                      <w14:alpha w14:val="100000"/>
                    </w14:srgbClr>
                  </w14:solidFill>
                </w14:textFill>
              </w:rPr>
              <w:t>|</w:t>
            </w:r>
            <w:r w:rsidRPr="008B23E3">
              <w:rPr>
                <w:rFonts w:ascii="Arial Narrow" w:hAnsi="Arial Narrow" w:hint="eastAsia"/>
                <w:color w:val="000000"/>
                <w:spacing w:val="-50"/>
                <w:w w:val="15"/>
                <w:sz w:val="20"/>
                <w:szCs w:val="20"/>
                <w:shd w:val="solid" w:color="000000" w:fill="000000"/>
                <w:fitText w:val="34" w:id="-1167951351"/>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CE5B717" w14:textId="294CB127"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6" w:id="-1167951350"/>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6" w:id="-1167951350"/>
                <w14:textFill>
                  <w14:solidFill>
                    <w14:srgbClr w14:val="000000">
                      <w14:alpha w14:val="100000"/>
                    </w14:srgbClr>
                  </w14:solidFill>
                </w14:textFill>
              </w:rPr>
              <w:t>|</w:t>
            </w:r>
            <w:r w:rsidRPr="005C00E6">
              <w:rPr>
                <w:rFonts w:ascii="Arial Narrow" w:hAnsi="Arial Narrow" w:hint="eastAsia"/>
                <w:color w:val="000000"/>
                <w:spacing w:val="-9"/>
                <w:w w:val="15"/>
                <w:sz w:val="20"/>
                <w:szCs w:val="20"/>
                <w:shd w:val="solid" w:color="000000" w:fill="000000"/>
                <w:fitText w:val="56" w:id="-1167951350"/>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3ADB1D7" w14:textId="462C2A16" w:rsidR="0014093D" w:rsidRPr="006E3644" w:rsidRDefault="004E27E7" w:rsidP="00EF68D9">
            <w:pPr>
              <w:jc w:val="center"/>
              <w:rPr>
                <w:rFonts w:ascii="Arial Narrow" w:hAnsi="Arial Narrow"/>
                <w:sz w:val="20"/>
                <w:szCs w:val="20"/>
                <w:highlight w:val="lightGray"/>
              </w:rPr>
            </w:pPr>
            <w:r w:rsidRPr="005C00E6">
              <w:rPr>
                <w:rFonts w:ascii="Arial Narrow" w:hAnsi="Arial Narrow" w:hint="eastAsia"/>
                <w:color w:val="000000"/>
                <w:w w:val="15"/>
                <w:sz w:val="20"/>
                <w:szCs w:val="20"/>
                <w:shd w:val="solid" w:color="000000" w:fill="000000"/>
                <w:fitText w:val="55" w:id="-1167951349"/>
                <w14:textFill>
                  <w14:solidFill>
                    <w14:srgbClr w14:val="000000">
                      <w14:alpha w14:val="100000"/>
                    </w14:srgbClr>
                  </w14:solidFill>
                </w14:textFill>
              </w:rPr>
              <w:t xml:space="preserve">　</w:t>
            </w:r>
            <w:r w:rsidRPr="005C00E6">
              <w:rPr>
                <w:rFonts w:ascii="Arial Narrow" w:hAnsi="Arial Narrow"/>
                <w:color w:val="000000"/>
                <w:w w:val="15"/>
                <w:sz w:val="20"/>
                <w:szCs w:val="20"/>
                <w:shd w:val="solid" w:color="000000" w:fill="000000"/>
                <w:fitText w:val="55" w:id="-1167951349"/>
                <w14:textFill>
                  <w14:solidFill>
                    <w14:srgbClr w14:val="000000">
                      <w14:alpha w14:val="100000"/>
                    </w14:srgbClr>
                  </w14:solidFill>
                </w14:textFill>
              </w:rPr>
              <w:t>|</w:t>
            </w:r>
            <w:r w:rsidRPr="005C00E6">
              <w:rPr>
                <w:rFonts w:ascii="Arial Narrow" w:hAnsi="Arial Narrow" w:hint="eastAsia"/>
                <w:color w:val="000000"/>
                <w:spacing w:val="-10"/>
                <w:w w:val="15"/>
                <w:sz w:val="20"/>
                <w:szCs w:val="20"/>
                <w:shd w:val="solid" w:color="000000" w:fill="000000"/>
                <w:fitText w:val="55" w:id="-1167951349"/>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98C5FB2" w14:textId="3A7BCBBC" w:rsidR="0014093D" w:rsidRPr="006E3644" w:rsidRDefault="004E27E7" w:rsidP="00EF68D9">
            <w:pPr>
              <w:jc w:val="center"/>
              <w:rPr>
                <w:rFonts w:ascii="Arial Narrow" w:hAnsi="Arial Narrow"/>
                <w:sz w:val="20"/>
                <w:szCs w:val="20"/>
                <w:highlight w:val="lightGray"/>
              </w:rPr>
            </w:pPr>
            <w:r w:rsidRPr="005C18A1">
              <w:rPr>
                <w:rFonts w:ascii="Arial Narrow" w:hAnsi="Arial Narrow" w:hint="eastAsia"/>
                <w:color w:val="000000"/>
                <w:w w:val="15"/>
                <w:sz w:val="20"/>
                <w:szCs w:val="20"/>
                <w:shd w:val="solid" w:color="000000" w:fill="000000"/>
                <w:fitText w:val="11" w:id="-1167951348"/>
                <w14:textFill>
                  <w14:solidFill>
                    <w14:srgbClr w14:val="000000">
                      <w14:alpha w14:val="100000"/>
                    </w14:srgbClr>
                  </w14:solidFill>
                </w14:textFill>
              </w:rPr>
              <w:t xml:space="preserve">　</w:t>
            </w:r>
            <w:r w:rsidRPr="005C18A1">
              <w:rPr>
                <w:rFonts w:ascii="Arial Narrow" w:hAnsi="Arial Narrow"/>
                <w:color w:val="000000"/>
                <w:w w:val="15"/>
                <w:sz w:val="20"/>
                <w:szCs w:val="20"/>
                <w:shd w:val="solid" w:color="000000" w:fill="000000"/>
                <w:fitText w:val="11" w:id="-1167951348"/>
                <w14:textFill>
                  <w14:solidFill>
                    <w14:srgbClr w14:val="000000">
                      <w14:alpha w14:val="100000"/>
                    </w14:srgbClr>
                  </w14:solidFill>
                </w14:textFill>
              </w:rPr>
              <w:t>|</w:t>
            </w:r>
            <w:r w:rsidRPr="005C18A1">
              <w:rPr>
                <w:rFonts w:ascii="Arial Narrow" w:hAnsi="Arial Narrow" w:hint="eastAsia"/>
                <w:color w:val="000000"/>
                <w:spacing w:val="-54"/>
                <w:w w:val="15"/>
                <w:sz w:val="20"/>
                <w:szCs w:val="20"/>
                <w:shd w:val="solid" w:color="000000" w:fill="000000"/>
                <w:fitText w:val="11" w:id="-1167951348"/>
                <w14:textFill>
                  <w14:solidFill>
                    <w14:srgbClr w14:val="000000">
                      <w14:alpha w14:val="100000"/>
                    </w14:srgbClr>
                  </w14:solidFill>
                </w14:textFill>
              </w:rPr>
              <w:t xml:space="preserve">　</w:t>
            </w:r>
            <w:r w:rsidR="00CF66C4" w:rsidRPr="00F44004">
              <w:rPr>
                <w:rFonts w:ascii="Arial Narrow" w:hAnsi="Arial Narrow"/>
                <w:sz w:val="20"/>
                <w:szCs w:val="16"/>
                <w:vertAlign w:val="superscript"/>
              </w:rPr>
              <w:t>3</w:t>
            </w:r>
          </w:p>
        </w:tc>
      </w:tr>
    </w:tbl>
    <w:p w14:paraId="7671E5C9" w14:textId="77777777" w:rsidR="0014093D" w:rsidRPr="007740E4" w:rsidRDefault="0014093D" w:rsidP="00C825D9">
      <w:pPr>
        <w:pStyle w:val="FooterTableFigure"/>
        <w:jc w:val="left"/>
      </w:pPr>
      <w:r w:rsidRPr="007740E4">
        <w:t>Source: Tables 4.2-4.7, 4.9-4.10, 4.12-4.13, 4.15-4.16, 4.18-4.21, 4.23-4.25, 4.27-4.42, 4.46-4.48, pp142-144, 146-149, 151, 153, 155,157-161, 163, 165, 167, 170-171 of the resubmission.</w:t>
      </w:r>
    </w:p>
    <w:p w14:paraId="0A89485C" w14:textId="7DAF5524" w:rsidR="0014093D" w:rsidRPr="007740E4" w:rsidRDefault="0014093D" w:rsidP="00C825D9">
      <w:pPr>
        <w:pStyle w:val="FooterTableFigure"/>
        <w:jc w:val="left"/>
      </w:pPr>
      <w:r w:rsidRPr="007740E4">
        <w:t xml:space="preserve">eff=effective; govt=government; SMA = spinal muscular atrophy; MBS=Medicare Benefits Schedule; NUSI=nusinersen, ONA=onasemnogene abeparvovec; PBS=Pharmaceutical Benefits Scheme; </w:t>
      </w:r>
      <w:r w:rsidR="00860ABD">
        <w:t>pts=patients</w:t>
      </w:r>
      <w:r w:rsidR="00D21A76">
        <w:t xml:space="preserve">; </w:t>
      </w:r>
      <w:r w:rsidRPr="007740E4">
        <w:t>RIS=risdiplam; SMN= survival of motor neuron; trt = treatment</w:t>
      </w:r>
    </w:p>
    <w:p w14:paraId="69BBD7ED" w14:textId="03875528" w:rsidR="00860ABD" w:rsidRDefault="00860ABD" w:rsidP="00C825D9">
      <w:pPr>
        <w:pStyle w:val="FooterTableFigure"/>
        <w:jc w:val="left"/>
      </w:pPr>
      <w:r>
        <w:t xml:space="preserve">^ Patients who had 3 copies of </w:t>
      </w:r>
      <w:r w:rsidRPr="00860ABD">
        <w:rPr>
          <w:i/>
        </w:rPr>
        <w:t>SMN2</w:t>
      </w:r>
      <w:r>
        <w:rPr>
          <w:i/>
        </w:rPr>
        <w:t xml:space="preserve"> </w:t>
      </w:r>
      <w:r>
        <w:t>and had eligible AAV9 status (patients identified as AAV9+ were not eligible)</w:t>
      </w:r>
      <w:r w:rsidR="001E7C9C">
        <w:t>.</w:t>
      </w:r>
      <w:r>
        <w:t xml:space="preserve">  </w:t>
      </w:r>
    </w:p>
    <w:p w14:paraId="1EC34335" w14:textId="4E2D821E" w:rsidR="0014093D" w:rsidRPr="007740E4" w:rsidRDefault="00CE23BC" w:rsidP="00C825D9">
      <w:pPr>
        <w:pStyle w:val="FooterTableFigure"/>
        <w:jc w:val="left"/>
      </w:pPr>
      <w:r>
        <w:t>a</w:t>
      </w:r>
      <w:r w:rsidRPr="007740E4">
        <w:t xml:space="preserve"> </w:t>
      </w:r>
      <w:r w:rsidR="0014093D" w:rsidRPr="007740E4">
        <w:t xml:space="preserve">The price of prednisolone used by the resubmission ($19.34) was higher than the price on the PBS ($18.53) at time of evaluation. A co-payment of $15.48 was also used even though it was assumed that 100% of patients treated with pre-symptomatic ONA were general patients, in which case patients would pay the full amount for prednisolone as it is under the co-payment threshold of $30. This was not corrected during the evaluation due to the minor impact. </w:t>
      </w:r>
    </w:p>
    <w:p w14:paraId="43F606E5" w14:textId="290AABAD" w:rsidR="0014093D" w:rsidRPr="007740E4" w:rsidRDefault="00CE23BC" w:rsidP="004F47FD">
      <w:pPr>
        <w:pStyle w:val="FooterTableFigure"/>
        <w:spacing w:after="0"/>
        <w:jc w:val="left"/>
      </w:pPr>
      <w:r>
        <w:t>b</w:t>
      </w:r>
      <w:r w:rsidRPr="007740E4">
        <w:t xml:space="preserve"> </w:t>
      </w:r>
      <w:r w:rsidR="0014093D" w:rsidRPr="007740E4">
        <w:t xml:space="preserve">A co-payment of $15.48 was used instead of $30. This would overestimate the financial impact of listing </w:t>
      </w:r>
      <w:r w:rsidR="00861BE4" w:rsidRPr="007740E4">
        <w:t>ONA but</w:t>
      </w:r>
      <w:r w:rsidR="0014093D" w:rsidRPr="007740E4">
        <w:t xml:space="preserve"> was not corrected during the evaluation due to the minor impact. </w:t>
      </w:r>
    </w:p>
    <w:p w14:paraId="50735356" w14:textId="5211556A" w:rsidR="0014093D" w:rsidRPr="00F44004" w:rsidRDefault="00CE23BC" w:rsidP="00861BE4">
      <w:pPr>
        <w:rPr>
          <w:rFonts w:ascii="Arial Narrow" w:hAnsi="Arial Narrow"/>
          <w:snapToGrid w:val="0"/>
          <w:sz w:val="18"/>
          <w:szCs w:val="22"/>
        </w:rPr>
      </w:pPr>
      <w:r w:rsidRPr="004F47FD">
        <w:rPr>
          <w:rFonts w:ascii="Arial Narrow" w:hAnsi="Arial Narrow"/>
          <w:snapToGrid w:val="0"/>
          <w:sz w:val="18"/>
          <w:szCs w:val="22"/>
        </w:rPr>
        <w:t xml:space="preserve">c </w:t>
      </w:r>
      <w:r w:rsidR="0014093D" w:rsidRPr="004F47FD">
        <w:rPr>
          <w:rFonts w:ascii="Arial Narrow" w:hAnsi="Arial Narrow"/>
          <w:snapToGrid w:val="0"/>
          <w:sz w:val="18"/>
          <w:szCs w:val="22"/>
        </w:rPr>
        <w:t>The resubmission assumed the effective price of NUSI and RIS</w:t>
      </w:r>
      <w:r w:rsidR="004F47FD" w:rsidRPr="004F47FD">
        <w:rPr>
          <w:rFonts w:ascii="Arial Narrow" w:hAnsi="Arial Narrow"/>
          <w:snapToGrid w:val="0"/>
          <w:sz w:val="18"/>
          <w:szCs w:val="22"/>
        </w:rPr>
        <w:t xml:space="preserve"> was </w:t>
      </w:r>
      <w:r w:rsidR="004F47FD">
        <w:rPr>
          <w:rFonts w:ascii="Arial Narrow" w:hAnsi="Arial Narrow"/>
          <w:snapToGrid w:val="0"/>
          <w:sz w:val="18"/>
          <w:szCs w:val="22"/>
        </w:rPr>
        <w:t xml:space="preserve">a </w:t>
      </w:r>
      <w:r w:rsidR="004F47FD" w:rsidRPr="00F44004">
        <w:rPr>
          <w:rFonts w:ascii="Arial Narrow" w:hAnsi="Arial Narrow"/>
          <w:snapToGrid w:val="0"/>
          <w:sz w:val="18"/>
          <w:szCs w:val="22"/>
        </w:rPr>
        <w:t>32.46% discount from published price.</w:t>
      </w:r>
    </w:p>
    <w:p w14:paraId="61155223" w14:textId="77777777" w:rsidR="001E1C8C" w:rsidRPr="00F44004" w:rsidRDefault="001E1C8C" w:rsidP="001E1C8C">
      <w:pPr>
        <w:rPr>
          <w:rFonts w:ascii="Arial Narrow" w:hAnsi="Arial Narrow"/>
          <w:i/>
          <w:sz w:val="18"/>
          <w:szCs w:val="18"/>
        </w:rPr>
      </w:pPr>
      <w:r w:rsidRPr="00F44004">
        <w:rPr>
          <w:rFonts w:ascii="Arial Narrow" w:hAnsi="Arial Narrow"/>
          <w:i/>
          <w:sz w:val="18"/>
          <w:szCs w:val="18"/>
        </w:rPr>
        <w:t xml:space="preserve">The redacted values correspond to the following ranges: </w:t>
      </w:r>
    </w:p>
    <w:p w14:paraId="09FD03C0" w14:textId="6838475C" w:rsidR="001E1C8C" w:rsidRPr="00F44004" w:rsidRDefault="001E1C8C" w:rsidP="001E1C8C">
      <w:pPr>
        <w:rPr>
          <w:rFonts w:ascii="Arial Narrow" w:hAnsi="Arial Narrow"/>
          <w:i/>
          <w:sz w:val="18"/>
          <w:szCs w:val="18"/>
        </w:rPr>
      </w:pPr>
      <w:r w:rsidRPr="00F44004">
        <w:rPr>
          <w:rFonts w:ascii="Arial Narrow" w:hAnsi="Arial Narrow"/>
          <w:i/>
          <w:sz w:val="18"/>
          <w:szCs w:val="18"/>
          <w:vertAlign w:val="superscript"/>
        </w:rPr>
        <w:t>1</w:t>
      </w:r>
      <w:r w:rsidRPr="00F44004">
        <w:rPr>
          <w:rFonts w:ascii="Arial Narrow" w:hAnsi="Arial Narrow"/>
          <w:i/>
          <w:sz w:val="18"/>
          <w:szCs w:val="18"/>
        </w:rPr>
        <w:t xml:space="preserve"> </w:t>
      </w:r>
      <w:r w:rsidR="006E3644" w:rsidRPr="00F44004">
        <w:rPr>
          <w:rFonts w:ascii="Arial Narrow" w:hAnsi="Arial Narrow"/>
          <w:i/>
          <w:sz w:val="18"/>
          <w:szCs w:val="18"/>
        </w:rPr>
        <w:t>&lt;500</w:t>
      </w:r>
    </w:p>
    <w:p w14:paraId="4A8599F7" w14:textId="06E50B60" w:rsidR="001E1C8C" w:rsidRPr="00F44004" w:rsidRDefault="001E1C8C" w:rsidP="001E1C8C">
      <w:pPr>
        <w:rPr>
          <w:rFonts w:ascii="Arial Narrow" w:hAnsi="Arial Narrow"/>
          <w:i/>
          <w:sz w:val="18"/>
          <w:szCs w:val="18"/>
        </w:rPr>
      </w:pPr>
      <w:r w:rsidRPr="00F44004">
        <w:rPr>
          <w:rFonts w:ascii="Arial Narrow" w:hAnsi="Arial Narrow"/>
          <w:i/>
          <w:sz w:val="18"/>
          <w:szCs w:val="18"/>
          <w:vertAlign w:val="superscript"/>
        </w:rPr>
        <w:t>2</w:t>
      </w:r>
      <w:r w:rsidRPr="00F44004">
        <w:rPr>
          <w:rFonts w:ascii="Arial Narrow" w:hAnsi="Arial Narrow"/>
          <w:i/>
          <w:sz w:val="18"/>
          <w:szCs w:val="18"/>
        </w:rPr>
        <w:t xml:space="preserve"> </w:t>
      </w:r>
      <w:r w:rsidR="00CF66C4" w:rsidRPr="00F44004">
        <w:rPr>
          <w:rFonts w:ascii="Arial Narrow" w:hAnsi="Arial Narrow"/>
          <w:i/>
          <w:sz w:val="18"/>
          <w:szCs w:val="18"/>
        </w:rPr>
        <w:t>net cost saving</w:t>
      </w:r>
    </w:p>
    <w:p w14:paraId="027081EF" w14:textId="493D92AF" w:rsidR="001E1C8C" w:rsidRPr="00F44004" w:rsidRDefault="001E1C8C" w:rsidP="001E1C8C">
      <w:pPr>
        <w:rPr>
          <w:rFonts w:ascii="Arial Narrow" w:hAnsi="Arial Narrow"/>
          <w:i/>
          <w:sz w:val="18"/>
          <w:szCs w:val="18"/>
        </w:rPr>
      </w:pPr>
      <w:r w:rsidRPr="00F44004">
        <w:rPr>
          <w:rFonts w:ascii="Arial Narrow" w:hAnsi="Arial Narrow"/>
          <w:i/>
          <w:sz w:val="18"/>
          <w:szCs w:val="18"/>
          <w:vertAlign w:val="superscript"/>
        </w:rPr>
        <w:t>3</w:t>
      </w:r>
      <w:r w:rsidRPr="00F44004">
        <w:rPr>
          <w:rFonts w:ascii="Arial Narrow" w:hAnsi="Arial Narrow"/>
          <w:i/>
          <w:sz w:val="18"/>
          <w:szCs w:val="18"/>
        </w:rPr>
        <w:t xml:space="preserve"> </w:t>
      </w:r>
      <w:r w:rsidR="00CF66C4" w:rsidRPr="00F44004">
        <w:rPr>
          <w:rFonts w:ascii="Arial Narrow" w:hAnsi="Arial Narrow"/>
          <w:i/>
          <w:sz w:val="18"/>
          <w:szCs w:val="18"/>
        </w:rPr>
        <w:t>$0 to &lt; $10 million</w:t>
      </w:r>
    </w:p>
    <w:p w14:paraId="31356233" w14:textId="50105B29" w:rsidR="001E1C8C" w:rsidRPr="00F44004" w:rsidRDefault="001E1C8C" w:rsidP="001E1C8C">
      <w:pPr>
        <w:rPr>
          <w:rFonts w:ascii="Arial Narrow" w:hAnsi="Arial Narrow"/>
          <w:i/>
          <w:sz w:val="18"/>
          <w:szCs w:val="18"/>
        </w:rPr>
      </w:pPr>
      <w:r w:rsidRPr="00F44004">
        <w:rPr>
          <w:rFonts w:ascii="Arial Narrow" w:hAnsi="Arial Narrow"/>
          <w:i/>
          <w:sz w:val="18"/>
          <w:szCs w:val="18"/>
          <w:vertAlign w:val="superscript"/>
        </w:rPr>
        <w:t>4</w:t>
      </w:r>
      <w:r w:rsidRPr="00F44004">
        <w:rPr>
          <w:rFonts w:ascii="Arial Narrow" w:hAnsi="Arial Narrow"/>
          <w:i/>
          <w:sz w:val="18"/>
          <w:szCs w:val="18"/>
        </w:rPr>
        <w:t xml:space="preserve"> </w:t>
      </w:r>
      <w:r w:rsidR="00CF66C4" w:rsidRPr="00F44004">
        <w:rPr>
          <w:rFonts w:ascii="Arial Narrow" w:hAnsi="Arial Narrow"/>
          <w:i/>
          <w:sz w:val="18"/>
          <w:szCs w:val="18"/>
        </w:rPr>
        <w:t>$10 million to &lt; $20 million</w:t>
      </w:r>
    </w:p>
    <w:p w14:paraId="2653D906" w14:textId="7166DFB2" w:rsidR="001E1C8C" w:rsidRPr="00F44004" w:rsidRDefault="001E1C8C" w:rsidP="003F238D">
      <w:pPr>
        <w:spacing w:after="120"/>
        <w:rPr>
          <w:rFonts w:ascii="Arial Narrow" w:hAnsi="Arial Narrow"/>
          <w:i/>
          <w:sz w:val="18"/>
          <w:szCs w:val="18"/>
        </w:rPr>
      </w:pPr>
      <w:r w:rsidRPr="00F44004">
        <w:rPr>
          <w:rFonts w:ascii="Arial Narrow" w:hAnsi="Arial Narrow"/>
          <w:i/>
          <w:sz w:val="18"/>
          <w:szCs w:val="18"/>
          <w:vertAlign w:val="superscript"/>
        </w:rPr>
        <w:t>5</w:t>
      </w:r>
      <w:r w:rsidRPr="00F44004">
        <w:rPr>
          <w:rFonts w:ascii="Arial Narrow" w:hAnsi="Arial Narrow"/>
          <w:i/>
          <w:sz w:val="18"/>
          <w:szCs w:val="18"/>
        </w:rPr>
        <w:t xml:space="preserve"> </w:t>
      </w:r>
      <w:r w:rsidR="00DB04EF" w:rsidRPr="00F44004">
        <w:rPr>
          <w:rFonts w:ascii="Arial Narrow" w:hAnsi="Arial Narrow"/>
          <w:i/>
          <w:sz w:val="18"/>
          <w:szCs w:val="18"/>
        </w:rPr>
        <w:t>$20 million to &lt; $30 million</w:t>
      </w:r>
    </w:p>
    <w:p w14:paraId="0130EC78" w14:textId="186422B6" w:rsidR="0014093D" w:rsidRDefault="0014093D" w:rsidP="00D2137F">
      <w:pPr>
        <w:pStyle w:val="3-BodyText"/>
      </w:pPr>
      <w:r w:rsidRPr="00F44004">
        <w:rPr>
          <w:iCs/>
        </w:rPr>
        <w:t>The estimated</w:t>
      </w:r>
      <w:r w:rsidRPr="00F44004">
        <w:t xml:space="preserve"> net cost to the government budget of listing ONA on the PBS/RPBS at the proposed effective price was $</w:t>
      </w:r>
      <w:r w:rsidR="00F44004" w:rsidRPr="00F44004">
        <w:t>10 million to &lt; $20</w:t>
      </w:r>
      <w:r w:rsidRPr="00F44004">
        <w:t xml:space="preserve"> million in Year 1, decreasing to $</w:t>
      </w:r>
      <w:r w:rsidR="00F44004" w:rsidRPr="00F44004">
        <w:t>0</w:t>
      </w:r>
      <w:r w:rsidR="003F238D">
        <w:t> </w:t>
      </w:r>
      <w:r w:rsidR="00F44004" w:rsidRPr="00F44004">
        <w:t>to</w:t>
      </w:r>
      <w:r w:rsidR="003F238D">
        <w:t> </w:t>
      </w:r>
      <w:r w:rsidR="00F44004" w:rsidRPr="00F44004">
        <w:t>&lt;</w:t>
      </w:r>
      <w:r w:rsidR="003F238D">
        <w:t> </w:t>
      </w:r>
      <w:r w:rsidR="00F44004" w:rsidRPr="00F44004">
        <w:t>$10</w:t>
      </w:r>
      <w:r w:rsidR="003F238D">
        <w:t> </w:t>
      </w:r>
      <w:r w:rsidRPr="00F44004">
        <w:t>million in Year 6. The total cost over the six-year period was $</w:t>
      </w:r>
      <w:r w:rsidR="00F44004" w:rsidRPr="00F44004">
        <w:t>70 million</w:t>
      </w:r>
      <w:r w:rsidR="003F238D">
        <w:t> </w:t>
      </w:r>
      <w:r w:rsidR="00F44004" w:rsidRPr="00F44004">
        <w:t>to &lt;</w:t>
      </w:r>
      <w:r w:rsidR="003F238D">
        <w:t> </w:t>
      </w:r>
      <w:r w:rsidR="00F44004" w:rsidRPr="00F44004">
        <w:t>$80</w:t>
      </w:r>
      <w:r w:rsidRPr="00F44004">
        <w:t xml:space="preserve"> million. </w:t>
      </w:r>
      <w:r w:rsidR="00D2137F" w:rsidRPr="00F44004">
        <w:t xml:space="preserve">The decline over time was consistent with the difference in </w:t>
      </w:r>
      <w:r w:rsidR="007B262F" w:rsidRPr="00F44004">
        <w:t xml:space="preserve">number of doses, as ONA was assumed to be a once off treatment (with no subsequent DMT) whereas NUSI and RIS are </w:t>
      </w:r>
      <w:r w:rsidR="009C73E8" w:rsidRPr="00F44004">
        <w:t>life-long therapies</w:t>
      </w:r>
      <w:r w:rsidR="009C73E8" w:rsidRPr="00820898">
        <w:t xml:space="preserve"> (with a 5% discontinuation rate assumed). </w:t>
      </w:r>
    </w:p>
    <w:p w14:paraId="72563E5D" w14:textId="13358CF0" w:rsidR="006B6D9E" w:rsidRPr="0047331C" w:rsidRDefault="006B6D9E" w:rsidP="00D2137F">
      <w:pPr>
        <w:pStyle w:val="3-BodyText"/>
      </w:pPr>
      <w:r w:rsidRPr="0047331C">
        <w:t xml:space="preserve">The ESC </w:t>
      </w:r>
      <w:r w:rsidR="0017687E" w:rsidRPr="0047331C">
        <w:t>recalled</w:t>
      </w:r>
      <w:r w:rsidRPr="0047331C">
        <w:t xml:space="preserve"> that </w:t>
      </w:r>
      <w:r w:rsidR="005152E0" w:rsidRPr="0047331C">
        <w:t>an 11</w:t>
      </w:r>
      <w:r w:rsidR="0017687E" w:rsidRPr="0047331C">
        <w:t>-</w:t>
      </w:r>
      <w:r w:rsidR="005152E0" w:rsidRPr="0047331C">
        <w:t xml:space="preserve">year time horizon was used for the cost-minimisation calculations for ONA for patients with 1-2 copies </w:t>
      </w:r>
      <w:r w:rsidR="00484DEE" w:rsidRPr="00484DEE">
        <w:rPr>
          <w:i/>
        </w:rPr>
        <w:t>SMN2</w:t>
      </w:r>
      <w:r w:rsidR="005152E0" w:rsidRPr="0047331C">
        <w:t xml:space="preserve">. </w:t>
      </w:r>
      <w:r w:rsidR="0017687E" w:rsidRPr="0047331C">
        <w:t>The ESC</w:t>
      </w:r>
      <w:r w:rsidR="005152E0" w:rsidRPr="0047331C">
        <w:t xml:space="preserve"> considered that the time before ONA would be cost neutral in patients with 3 copies </w:t>
      </w:r>
      <w:r w:rsidR="00484DEE" w:rsidRPr="00484DEE">
        <w:rPr>
          <w:i/>
        </w:rPr>
        <w:t>SMN2</w:t>
      </w:r>
      <w:r w:rsidR="005152E0" w:rsidRPr="0047331C">
        <w:t xml:space="preserve"> would be likely to be longer than for patients with 1-2 copies </w:t>
      </w:r>
      <w:r w:rsidR="00484DEE" w:rsidRPr="00484DEE">
        <w:rPr>
          <w:i/>
        </w:rPr>
        <w:t>SMN2</w:t>
      </w:r>
      <w:r w:rsidR="0017687E" w:rsidRPr="0047331C">
        <w:t>, as patients would begin treatment at a later timepoint</w:t>
      </w:r>
      <w:r w:rsidR="005152E0" w:rsidRPr="0047331C">
        <w:t>. Assuming th</w:t>
      </w:r>
      <w:r w:rsidR="0017687E" w:rsidRPr="0047331C">
        <w:t xml:space="preserve">e initiation of treatment timepoints and proportion of patients in each SMA type in </w:t>
      </w:r>
      <w:r w:rsidR="0017687E" w:rsidRPr="0047331C">
        <w:fldChar w:fldCharType="begin" w:fldLock="1"/>
      </w:r>
      <w:r w:rsidR="0017687E" w:rsidRPr="0047331C">
        <w:instrText xml:space="preserve"> REF _Ref135211358 \h  \* MERGEFORMAT </w:instrText>
      </w:r>
      <w:r w:rsidR="0017687E" w:rsidRPr="0047331C">
        <w:fldChar w:fldCharType="separate"/>
      </w:r>
      <w:r w:rsidR="0017687E" w:rsidRPr="0047331C">
        <w:t xml:space="preserve">Table </w:t>
      </w:r>
      <w:r w:rsidR="0017687E" w:rsidRPr="0047331C">
        <w:rPr>
          <w:noProof/>
        </w:rPr>
        <w:t>14</w:t>
      </w:r>
      <w:r w:rsidR="0017687E" w:rsidRPr="0047331C">
        <w:fldChar w:fldCharType="end"/>
      </w:r>
      <w:r w:rsidR="0017687E" w:rsidRPr="0047331C">
        <w:t xml:space="preserve">, on average it would take 12.2 years before ONA was cost-neutral in the 3 </w:t>
      </w:r>
      <w:r w:rsidR="00484DEE" w:rsidRPr="00484DEE">
        <w:rPr>
          <w:i/>
        </w:rPr>
        <w:t>SMN2</w:t>
      </w:r>
      <w:r w:rsidR="0017687E" w:rsidRPr="0047331C">
        <w:t xml:space="preserve"> copies population. </w:t>
      </w:r>
    </w:p>
    <w:p w14:paraId="4CEC696C" w14:textId="256E508B" w:rsidR="0014093D" w:rsidRPr="00820898" w:rsidRDefault="0014093D" w:rsidP="0014093D">
      <w:pPr>
        <w:pStyle w:val="3-BodyText"/>
      </w:pPr>
      <w:bookmarkStart w:id="60" w:name="_Ref134463418"/>
      <w:r w:rsidRPr="00820898">
        <w:t>There were some uncertainties with regards to the financial estimates:</w:t>
      </w:r>
      <w:bookmarkEnd w:id="60"/>
      <w:r w:rsidRPr="00820898">
        <w:t xml:space="preserve"> </w:t>
      </w:r>
    </w:p>
    <w:p w14:paraId="2495260F" w14:textId="59C16B68" w:rsidR="0014093D" w:rsidRPr="0047331C" w:rsidRDefault="0014093D" w:rsidP="00CC1FDE">
      <w:pPr>
        <w:pStyle w:val="Bulletpoints"/>
        <w:widowControl w:val="0"/>
        <w:numPr>
          <w:ilvl w:val="0"/>
          <w:numId w:val="7"/>
        </w:numPr>
        <w:ind w:left="1134" w:hanging="425"/>
        <w:contextualSpacing w:val="0"/>
      </w:pPr>
      <w:r w:rsidRPr="00820898">
        <w:t xml:space="preserve">Should any patient with 3 copies of </w:t>
      </w:r>
      <w:r w:rsidR="00B64F80" w:rsidRPr="00CE23BC">
        <w:rPr>
          <w:i/>
          <w:iCs/>
        </w:rPr>
        <w:t>SMN2</w:t>
      </w:r>
      <w:r w:rsidRPr="00CE23BC">
        <w:rPr>
          <w:i/>
          <w:iCs/>
        </w:rPr>
        <w:t xml:space="preserve"> </w:t>
      </w:r>
      <w:r w:rsidRPr="00820898">
        <w:t>who would have developed Type IV SMA be treated pre</w:t>
      </w:r>
      <w:r w:rsidRPr="00820898">
        <w:noBreakHyphen/>
        <w:t>symptomatically with ONA</w:t>
      </w:r>
      <w:r w:rsidR="00960B61" w:rsidRPr="00820898">
        <w:t xml:space="preserve"> (assumed to be 0% in the resubmission)</w:t>
      </w:r>
      <w:r w:rsidRPr="00820898">
        <w:t>, the financial estimates would be underestimated as there would be no cost offsets associated with these patients (as patients with Type IV SMA are currently not eligible for any DMT treatment)</w:t>
      </w:r>
      <w:r w:rsidR="00CE23BC">
        <w:t xml:space="preserve">. </w:t>
      </w:r>
      <w:r w:rsidR="00CE23BC" w:rsidRPr="0047331C">
        <w:t>The PSCR</w:t>
      </w:r>
      <w:r w:rsidR="00EA2BFF" w:rsidRPr="0047331C">
        <w:t xml:space="preserve"> </w:t>
      </w:r>
      <w:r w:rsidR="00CE23BC" w:rsidRPr="0047331C">
        <w:t xml:space="preserve">noted that the </w:t>
      </w:r>
      <w:r w:rsidR="00EA2BFF" w:rsidRPr="0047331C">
        <w:t>proportion</w:t>
      </w:r>
      <w:r w:rsidR="00CE23BC" w:rsidRPr="0047331C">
        <w:t xml:space="preserve"> of patients with </w:t>
      </w:r>
      <w:r w:rsidR="00EA2BFF" w:rsidRPr="0047331C">
        <w:t xml:space="preserve">Type 4 SMA and 3 copies </w:t>
      </w:r>
      <w:r w:rsidR="00484DEE" w:rsidRPr="00484DEE">
        <w:rPr>
          <w:i/>
        </w:rPr>
        <w:t>SMN2</w:t>
      </w:r>
      <w:r w:rsidR="00EA2BFF" w:rsidRPr="0047331C">
        <w:t xml:space="preserve"> is very small (~0.2% of SMA patients)</w:t>
      </w:r>
      <w:r w:rsidRPr="0047331C">
        <w:t>;</w:t>
      </w:r>
    </w:p>
    <w:p w14:paraId="08E1D9E1" w14:textId="38E8EFE4" w:rsidR="0014093D" w:rsidRPr="0047331C" w:rsidRDefault="0014093D" w:rsidP="00CC1FDE">
      <w:pPr>
        <w:pStyle w:val="Bulletpoints"/>
        <w:widowControl w:val="0"/>
        <w:numPr>
          <w:ilvl w:val="0"/>
          <w:numId w:val="7"/>
        </w:numPr>
        <w:ind w:left="1134" w:hanging="425"/>
        <w:contextualSpacing w:val="0"/>
      </w:pPr>
      <w:r w:rsidRPr="00820898">
        <w:t xml:space="preserve">Potential </w:t>
      </w:r>
      <w:r w:rsidR="00CE23BC" w:rsidRPr="00820898">
        <w:t>underestimat</w:t>
      </w:r>
      <w:r w:rsidR="00CE23BC">
        <w:t>ion of</w:t>
      </w:r>
      <w:r w:rsidR="00CE23BC" w:rsidRPr="00820898">
        <w:t xml:space="preserve"> </w:t>
      </w:r>
      <w:r w:rsidRPr="00820898">
        <w:t>the costs by not considering the prevalent population, thereby potentially underestimating the number of eligible patients</w:t>
      </w:r>
      <w:r w:rsidR="00304CF7" w:rsidRPr="00820898">
        <w:t xml:space="preserve"> in year 1</w:t>
      </w:r>
      <w:r w:rsidR="00CE23BC">
        <w:t xml:space="preserve">. </w:t>
      </w:r>
      <w:r w:rsidR="00CE23BC" w:rsidRPr="0047331C">
        <w:t>The PSCR considered this would be less than 5 additional patients in year 1</w:t>
      </w:r>
      <w:r w:rsidRPr="0047331C">
        <w:t>;</w:t>
      </w:r>
    </w:p>
    <w:p w14:paraId="5B704AB4" w14:textId="5F289C99" w:rsidR="0014093D" w:rsidRPr="00820898" w:rsidRDefault="0014093D" w:rsidP="00CC1FDE">
      <w:pPr>
        <w:pStyle w:val="Bulletpoints"/>
        <w:widowControl w:val="0"/>
        <w:numPr>
          <w:ilvl w:val="0"/>
          <w:numId w:val="7"/>
        </w:numPr>
        <w:ind w:left="1134" w:hanging="425"/>
        <w:contextualSpacing w:val="0"/>
      </w:pPr>
      <w:r w:rsidRPr="00820898">
        <w:t>Uncertainty around</w:t>
      </w:r>
      <w:r w:rsidR="00CE23BC">
        <w:t xml:space="preserve"> the</w:t>
      </w:r>
      <w:r w:rsidRPr="00820898">
        <w:t xml:space="preserve"> proportion of patient</w:t>
      </w:r>
      <w:r w:rsidR="00304CF7" w:rsidRPr="00820898">
        <w:t>s</w:t>
      </w:r>
      <w:r w:rsidRPr="00820898">
        <w:t xml:space="preserve"> with 3 copies of </w:t>
      </w:r>
      <w:r w:rsidR="00B64F80" w:rsidRPr="00CE23BC">
        <w:rPr>
          <w:i/>
          <w:iCs/>
        </w:rPr>
        <w:t>SMN2</w:t>
      </w:r>
      <w:r w:rsidRPr="00CE23BC">
        <w:rPr>
          <w:i/>
          <w:iCs/>
        </w:rPr>
        <w:t xml:space="preserve"> </w:t>
      </w:r>
      <w:r w:rsidRPr="00820898">
        <w:t>in each SMA type, and the distribution of SMA</w:t>
      </w:r>
      <w:r w:rsidR="00CE23BC">
        <w:t xml:space="preserve"> type</w:t>
      </w:r>
      <w:r w:rsidRPr="00820898">
        <w:t xml:space="preserve">; </w:t>
      </w:r>
    </w:p>
    <w:p w14:paraId="7DEEBD8B" w14:textId="6C426818" w:rsidR="0014093D" w:rsidRPr="0047331C" w:rsidRDefault="0014093D" w:rsidP="00CC1FDE">
      <w:pPr>
        <w:pStyle w:val="Bulletpoints"/>
        <w:widowControl w:val="0"/>
        <w:numPr>
          <w:ilvl w:val="0"/>
          <w:numId w:val="7"/>
        </w:numPr>
        <w:ind w:left="1134" w:hanging="425"/>
        <w:contextualSpacing w:val="0"/>
      </w:pPr>
      <w:r w:rsidRPr="00820898">
        <w:t>The assumption of 100% coverage for NBS for SMA, although it is not clear when this would be fully implemented Australia-wide</w:t>
      </w:r>
      <w:r w:rsidR="00EA2BFF">
        <w:t xml:space="preserve">. </w:t>
      </w:r>
      <w:r w:rsidR="00EA2BFF" w:rsidRPr="0047331C">
        <w:t>The PSCR considered the impact of any delays to expected timelines is likely to be small</w:t>
      </w:r>
      <w:r w:rsidRPr="0047331C">
        <w:t>;</w:t>
      </w:r>
    </w:p>
    <w:p w14:paraId="4AEA7BC0" w14:textId="77777777" w:rsidR="0014093D" w:rsidRPr="00820898" w:rsidRDefault="0014093D" w:rsidP="00CC1FDE">
      <w:pPr>
        <w:pStyle w:val="Bulletpoints"/>
        <w:widowControl w:val="0"/>
        <w:numPr>
          <w:ilvl w:val="0"/>
          <w:numId w:val="7"/>
        </w:numPr>
        <w:ind w:left="1134" w:hanging="425"/>
        <w:contextualSpacing w:val="0"/>
      </w:pPr>
      <w:r w:rsidRPr="00820898">
        <w:t>The use of a higher incidence than observed in the state-wide pilot NBS program in NSW/ACT (Kariyawasam 2020); and</w:t>
      </w:r>
    </w:p>
    <w:p w14:paraId="209A5124" w14:textId="77777777" w:rsidR="0014093D" w:rsidRPr="00820898" w:rsidRDefault="0014093D" w:rsidP="00CC1FDE">
      <w:pPr>
        <w:pStyle w:val="Bulletpoints"/>
        <w:widowControl w:val="0"/>
        <w:numPr>
          <w:ilvl w:val="0"/>
          <w:numId w:val="7"/>
        </w:numPr>
        <w:ind w:left="1134" w:hanging="425"/>
      </w:pPr>
      <w:r w:rsidRPr="00820898">
        <w:t xml:space="preserve">Assuming treatment discontinuation for NUSI/RIS while not accounting for treatment switching. </w:t>
      </w:r>
    </w:p>
    <w:p w14:paraId="5B278421" w14:textId="5B47DB6A" w:rsidR="0014093D" w:rsidRPr="00820898" w:rsidRDefault="0014093D" w:rsidP="0014093D">
      <w:pPr>
        <w:pStyle w:val="3-BodyText"/>
        <w:rPr>
          <w:iCs/>
        </w:rPr>
      </w:pPr>
      <w:r w:rsidRPr="00820898">
        <w:rPr>
          <w:iCs/>
        </w:rPr>
        <w:t xml:space="preserve">Overall, the net cost of listing ONA for the proposed population was uncertain and </w:t>
      </w:r>
      <w:r w:rsidR="00EA2BFF">
        <w:rPr>
          <w:iCs/>
        </w:rPr>
        <w:t>is</w:t>
      </w:r>
      <w:r w:rsidR="00EA2BFF" w:rsidRPr="00820898">
        <w:rPr>
          <w:iCs/>
        </w:rPr>
        <w:t xml:space="preserve"> </w:t>
      </w:r>
      <w:r w:rsidRPr="00820898">
        <w:rPr>
          <w:iCs/>
        </w:rPr>
        <w:t>dependent on the duration being considered (which affects the amount of cost offsets)</w:t>
      </w:r>
      <w:r w:rsidR="00960B61" w:rsidRPr="00820898">
        <w:rPr>
          <w:iCs/>
        </w:rPr>
        <w:t xml:space="preserve"> as well as assumptions around SMA </w:t>
      </w:r>
      <w:r w:rsidR="0029054F" w:rsidRPr="00820898">
        <w:rPr>
          <w:iCs/>
        </w:rPr>
        <w:t xml:space="preserve">incidence and the expected phenotypes of patients with 3 copies of </w:t>
      </w:r>
      <w:r w:rsidR="0029054F" w:rsidRPr="00EA2BFF">
        <w:rPr>
          <w:i/>
        </w:rPr>
        <w:t>SMN2</w:t>
      </w:r>
      <w:r w:rsidRPr="00820898">
        <w:rPr>
          <w:iCs/>
        </w:rPr>
        <w:t xml:space="preserve">. </w:t>
      </w:r>
      <w:r w:rsidR="002A311B" w:rsidRPr="00820898">
        <w:rPr>
          <w:iCs/>
        </w:rPr>
        <w:t>T</w:t>
      </w:r>
      <w:r w:rsidRPr="00820898">
        <w:rPr>
          <w:iCs/>
        </w:rPr>
        <w:t>he introduction of reproductive genetic carrier screening to assist family planning decisions may affect the expected incidence of SMA</w:t>
      </w:r>
      <w:r w:rsidR="00EA2BFF">
        <w:rPr>
          <w:iCs/>
        </w:rPr>
        <w:t xml:space="preserve"> in the longer term</w:t>
      </w:r>
      <w:r w:rsidRPr="00820898">
        <w:rPr>
          <w:iCs/>
        </w:rPr>
        <w:t>.</w:t>
      </w:r>
    </w:p>
    <w:p w14:paraId="1604CCB8" w14:textId="6F011EA1" w:rsidR="0014093D" w:rsidRPr="00EA2BFF" w:rsidRDefault="0014093D" w:rsidP="0014093D">
      <w:pPr>
        <w:pStyle w:val="3-BodyText"/>
        <w:rPr>
          <w:iCs/>
        </w:rPr>
      </w:pPr>
      <w:r w:rsidRPr="00820898">
        <w:rPr>
          <w:iCs/>
        </w:rPr>
        <w:t xml:space="preserve">Inappropriately the resubmission did not include the results of any sensitivity analyses around the financial estimates. </w:t>
      </w:r>
      <w:r w:rsidR="006D7CE7">
        <w:rPr>
          <w:iCs/>
        </w:rPr>
        <w:t>The financial estimates were most sensitive to the d</w:t>
      </w:r>
      <w:r w:rsidR="006D7CE7" w:rsidRPr="00820898">
        <w:t>istribution of SMA phenotypes</w:t>
      </w:r>
      <w:r w:rsidR="006D7CE7">
        <w:t xml:space="preserve"> assumed for the estimates (see </w:t>
      </w:r>
      <w:r w:rsidR="006D7CE7">
        <w:fldChar w:fldCharType="begin" w:fldLock="1"/>
      </w:r>
      <w:r w:rsidR="006D7CE7">
        <w:instrText xml:space="preserve"> REF _Ref104805262 \h </w:instrText>
      </w:r>
      <w:r w:rsidR="006D7CE7">
        <w:fldChar w:fldCharType="separate"/>
      </w:r>
      <w:r w:rsidR="006D7CE7" w:rsidRPr="007740E4">
        <w:t xml:space="preserve">Table </w:t>
      </w:r>
      <w:r w:rsidR="006D7CE7">
        <w:rPr>
          <w:noProof/>
        </w:rPr>
        <w:t>13</w:t>
      </w:r>
      <w:r w:rsidR="006D7CE7">
        <w:fldChar w:fldCharType="end"/>
      </w:r>
      <w:r w:rsidR="006D7CE7">
        <w:t>).</w:t>
      </w:r>
    </w:p>
    <w:p w14:paraId="512E6371" w14:textId="77777777" w:rsidR="0014093D" w:rsidRPr="007740E4" w:rsidRDefault="0014093D" w:rsidP="0014093D">
      <w:pPr>
        <w:pStyle w:val="4-SubsectionHeading"/>
      </w:pPr>
      <w:bookmarkStart w:id="61" w:name="_Toc22897648"/>
      <w:bookmarkStart w:id="62" w:name="_Toc135210594"/>
      <w:r w:rsidRPr="007740E4">
        <w:t>Quality Use of Medicines</w:t>
      </w:r>
      <w:bookmarkEnd w:id="61"/>
      <w:bookmarkEnd w:id="62"/>
    </w:p>
    <w:p w14:paraId="7BA9D385" w14:textId="57AC8640" w:rsidR="0014093D" w:rsidRPr="007740E4" w:rsidRDefault="0014093D" w:rsidP="0014093D">
      <w:pPr>
        <w:pStyle w:val="3-BodyText"/>
        <w:rPr>
          <w:i/>
        </w:rPr>
      </w:pPr>
      <w:r w:rsidRPr="007740E4">
        <w:t xml:space="preserve">The previous commentary noted access issues for ONA including few centres where gene therapy is offered which may require patients to travel interstate to access ONA, and delays to NBS screening rollout may limit accessibility to ONA, as patients will not be eligible for ONA if identified after 9 months of age. In response, the resubmission noted that ONA will be available in the same number of states as NUSI (NSW, QLD, WA, VIC and SA). Further, the resubmission maintained the issues regarding the availability of NBS will </w:t>
      </w:r>
      <w:r w:rsidR="00260D1A" w:rsidRPr="007740E4">
        <w:t>be resolved</w:t>
      </w:r>
      <w:r w:rsidRPr="007740E4">
        <w:t xml:space="preserve"> by the end of July 2023 with the roll-out of NBS across Australia being complete</w:t>
      </w:r>
      <w:r w:rsidRPr="007740E4">
        <w:rPr>
          <w:i/>
        </w:rPr>
        <w:t xml:space="preserve">. </w:t>
      </w:r>
    </w:p>
    <w:p w14:paraId="3D247D9E" w14:textId="77777777" w:rsidR="0014093D" w:rsidRPr="007740E4" w:rsidRDefault="0014093D" w:rsidP="0014093D">
      <w:pPr>
        <w:pStyle w:val="4-SubsectionHeading"/>
      </w:pPr>
      <w:bookmarkStart w:id="63" w:name="_Toc22897649"/>
      <w:bookmarkStart w:id="64" w:name="_Toc135210595"/>
      <w:r w:rsidRPr="007740E4">
        <w:t>Financial Management – Risk Sharing Arrangements</w:t>
      </w:r>
      <w:bookmarkEnd w:id="63"/>
      <w:bookmarkEnd w:id="64"/>
    </w:p>
    <w:p w14:paraId="699F4DE6" w14:textId="7D11C51B" w:rsidR="0047331C" w:rsidRPr="0047331C" w:rsidRDefault="0014093D" w:rsidP="0047331C">
      <w:pPr>
        <w:pStyle w:val="3-BodyText"/>
      </w:pPr>
      <w:r w:rsidRPr="007740E4">
        <w:t xml:space="preserve">The </w:t>
      </w:r>
      <w:r w:rsidRPr="00146E4E">
        <w:t xml:space="preserve">resubmission proposed that the current outcomes-based RSA for ONA for SMA Type I and pre-symptomatic patients with 1 or 2 copies of the </w:t>
      </w:r>
      <w:r w:rsidR="00484DEE" w:rsidRPr="00484DEE">
        <w:rPr>
          <w:i/>
        </w:rPr>
        <w:t>SMN2</w:t>
      </w:r>
      <w:r w:rsidRPr="00146E4E">
        <w:t xml:space="preserve"> gene will apply to the proposed 3 </w:t>
      </w:r>
      <w:r w:rsidR="00484DEE" w:rsidRPr="00484DEE">
        <w:rPr>
          <w:i/>
        </w:rPr>
        <w:t>SMN2</w:t>
      </w:r>
      <w:r w:rsidRPr="00146E4E">
        <w:t xml:space="preserve"> population, whereby a full refund is provided to the Commonwealth to compensate if patients die within 2 years of treatment, or a refund equivalent to the difference between ONA and RIS or NUSI for Years 2-5</w:t>
      </w:r>
      <w:r w:rsidRPr="00820898">
        <w:t>. This remained unchanged from the previous submission.</w:t>
      </w:r>
      <w:r w:rsidRPr="00146E4E">
        <w:t xml:space="preserve"> </w:t>
      </w:r>
      <w:r w:rsidR="00FE23FF">
        <w:t xml:space="preserve">The PBAC considered, </w:t>
      </w:r>
      <w:r w:rsidR="00260D1A">
        <w:t>gi</w:t>
      </w:r>
      <w:r w:rsidR="00FE23FF">
        <w:rPr>
          <w:lang w:val="en-GB"/>
        </w:rPr>
        <w:t>ven the low number of expected deaths during the deed period, loss of motor milestones is the better measure of treatment failure for this population.</w:t>
      </w:r>
    </w:p>
    <w:p w14:paraId="1D7E0941" w14:textId="1F7C62D3" w:rsidR="0047331C" w:rsidRPr="00C33D30" w:rsidRDefault="0047331C" w:rsidP="0047331C">
      <w:pPr>
        <w:ind w:firstLine="709"/>
        <w:rPr>
          <w:rFonts w:asciiTheme="minorHAnsi" w:hAnsiTheme="minorHAnsi"/>
          <w:i/>
        </w:rPr>
      </w:pPr>
      <w:r w:rsidRPr="00C33D30">
        <w:rPr>
          <w:rFonts w:asciiTheme="minorHAnsi" w:hAnsiTheme="minorHAnsi"/>
          <w:i/>
        </w:rPr>
        <w:t>For more detail on PBAC’s view, see section 7 PBAC outcome.</w:t>
      </w:r>
    </w:p>
    <w:p w14:paraId="0058F6E4" w14:textId="77777777" w:rsidR="00084274" w:rsidRPr="0090150D" w:rsidRDefault="00084274" w:rsidP="00084274">
      <w:pPr>
        <w:pStyle w:val="2-SectionHeading"/>
        <w:numPr>
          <w:ilvl w:val="0"/>
          <w:numId w:val="1"/>
        </w:numPr>
      </w:pPr>
      <w:bookmarkStart w:id="65" w:name="_Hlk76381249"/>
      <w:bookmarkStart w:id="66" w:name="_Hlk76377955"/>
      <w:r w:rsidRPr="0090150D">
        <w:t>PBAC Outcome</w:t>
      </w:r>
    </w:p>
    <w:p w14:paraId="73B07790" w14:textId="562C50C0" w:rsidR="005636DC" w:rsidRDefault="005636DC" w:rsidP="005636DC">
      <w:pPr>
        <w:pStyle w:val="3-BodyText"/>
        <w:rPr>
          <w:rFonts w:ascii="Calibri" w:hAnsi="Calibri" w:cs="Calibri"/>
          <w:sz w:val="22"/>
          <w:szCs w:val="22"/>
        </w:rPr>
      </w:pPr>
      <w:r>
        <w:t xml:space="preserve">The PBAC recommended the amendment to the current listing of </w:t>
      </w:r>
      <w:r w:rsidR="004C2C6D">
        <w:t>ONA</w:t>
      </w:r>
      <w:r>
        <w:t xml:space="preserve"> to include the pre-symptomatic treatment in patients aged up to 9 months, genetically diagnosed SMA, who have </w:t>
      </w:r>
      <w:r w:rsidR="002032BA">
        <w:t xml:space="preserve">a </w:t>
      </w:r>
      <w:r>
        <w:rPr>
          <w:i/>
          <w:iCs/>
        </w:rPr>
        <w:t>SMN2</w:t>
      </w:r>
      <w:r>
        <w:t xml:space="preserve"> gene copy number of 3. The PBAC considered that pre-symptomatic treatment with </w:t>
      </w:r>
      <w:r w:rsidR="004C2C6D">
        <w:t>ONA</w:t>
      </w:r>
      <w:r>
        <w:t xml:space="preserve"> in patients with 3 copies of </w:t>
      </w:r>
      <w:r>
        <w:rPr>
          <w:i/>
          <w:iCs/>
        </w:rPr>
        <w:t>SMN2</w:t>
      </w:r>
      <w:r>
        <w:t xml:space="preserve"> would provide an additional benefit for some patients compared with initiation of treatment upon development of symptoms. The PBAC noted there was remaining uncertainty regarding the cost-effectiveness of pre-symptomatic treatment with </w:t>
      </w:r>
      <w:r w:rsidR="004C2C6D">
        <w:t>ONA</w:t>
      </w:r>
      <w:r>
        <w:t xml:space="preserve"> in patients with 3 copies of </w:t>
      </w:r>
      <w:r>
        <w:rPr>
          <w:i/>
          <w:iCs/>
        </w:rPr>
        <w:t>SMN2</w:t>
      </w:r>
      <w:r>
        <w:t xml:space="preserve"> due to the uncertain magnitude of incremental benefit compared to symptomatic treatment. </w:t>
      </w:r>
      <w:r w:rsidR="004C2C6D" w:rsidRPr="007C3FC9">
        <w:rPr>
          <w:lang w:val="en-GB" w:eastAsia="en-US"/>
        </w:rPr>
        <w:t>However, the PBAC was satisfied that extension of the current listing would be adequately cost-effective</w:t>
      </w:r>
      <w:r w:rsidR="004C2C6D">
        <w:rPr>
          <w:lang w:val="en-GB" w:eastAsia="en-US"/>
        </w:rPr>
        <w:t xml:space="preserve"> with a price reduction for use in the proposed population</w:t>
      </w:r>
      <w:r w:rsidR="004C2C6D" w:rsidRPr="007C3FC9">
        <w:rPr>
          <w:lang w:val="en-GB" w:eastAsia="en-US"/>
        </w:rPr>
        <w:t>.</w:t>
      </w:r>
    </w:p>
    <w:p w14:paraId="3150B366" w14:textId="162C7C5D" w:rsidR="003B1D83" w:rsidRDefault="003B1D83" w:rsidP="003B1D83">
      <w:pPr>
        <w:pStyle w:val="3-BodyText"/>
      </w:pPr>
      <w:r w:rsidRPr="00361189">
        <w:t xml:space="preserve">The PBAC acknowledged that the current requirement for symptoms to develop prior to accessing subsidised treatment </w:t>
      </w:r>
      <w:r>
        <w:t xml:space="preserve">for SMA </w:t>
      </w:r>
      <w:r w:rsidRPr="00361189">
        <w:t xml:space="preserve">could have a significant burden on the families of infants genetically diagnosed with </w:t>
      </w:r>
      <w:r>
        <w:t xml:space="preserve">3 copies of </w:t>
      </w:r>
      <w:r w:rsidRPr="00E726AE">
        <w:rPr>
          <w:i/>
          <w:iCs/>
        </w:rPr>
        <w:t>SMN2</w:t>
      </w:r>
      <w:r w:rsidRPr="00361189">
        <w:t xml:space="preserve">. </w:t>
      </w:r>
      <w:r>
        <w:t>The PBAC also acknowledged there was a need for equitable access to treatment for all infants genetically diagnosed with SMA, noting that NBS programs will soon be introduced across Australia.</w:t>
      </w:r>
    </w:p>
    <w:p w14:paraId="4AE94484" w14:textId="1BCD3335" w:rsidR="003B1D83" w:rsidRPr="002E5B49" w:rsidRDefault="003B1D83" w:rsidP="003B1D83">
      <w:pPr>
        <w:pStyle w:val="3-BodyText"/>
        <w:widowControl w:val="0"/>
        <w:rPr>
          <w:lang w:val="en-GB" w:eastAsia="en-US"/>
        </w:rPr>
      </w:pPr>
      <w:r>
        <w:t xml:space="preserve">The PBAC noted the trajectory of the disease for individuals with 3 copies of </w:t>
      </w:r>
      <w:r w:rsidRPr="002E5B49">
        <w:rPr>
          <w:i/>
          <w:iCs/>
        </w:rPr>
        <w:t>SMN2</w:t>
      </w:r>
      <w:r>
        <w:t xml:space="preserve"> in the absence of treatment is uncertain, and that a small proportion would achieve normal milestones in the absence of treatment.</w:t>
      </w:r>
      <w:r>
        <w:rPr>
          <w:rFonts w:cstheme="minorHAnsi"/>
        </w:rPr>
        <w:t xml:space="preserve"> </w:t>
      </w:r>
      <w:r w:rsidRPr="002E5B49">
        <w:rPr>
          <w:rFonts w:cstheme="minorHAnsi"/>
        </w:rPr>
        <w:t xml:space="preserve">The PBAC noted that while the spectrum of disease for patients with 3 copies of </w:t>
      </w:r>
      <w:r w:rsidRPr="002E5B49">
        <w:rPr>
          <w:rFonts w:cstheme="minorHAnsi"/>
          <w:i/>
          <w:iCs/>
        </w:rPr>
        <w:t>SMN2</w:t>
      </w:r>
      <w:r w:rsidRPr="002E5B49">
        <w:rPr>
          <w:rFonts w:cstheme="minorHAnsi"/>
        </w:rPr>
        <w:t xml:space="preserve"> is heterogenous and not as severe as for patients with 2 copies of </w:t>
      </w:r>
      <w:r w:rsidRPr="002E5B49">
        <w:rPr>
          <w:rFonts w:cstheme="minorHAnsi"/>
          <w:i/>
          <w:iCs/>
        </w:rPr>
        <w:t>SMN2</w:t>
      </w:r>
      <w:r w:rsidRPr="002E5B49">
        <w:rPr>
          <w:rFonts w:cstheme="minorHAnsi"/>
        </w:rPr>
        <w:t xml:space="preserve">, that it is both biologically plausible and likely, that if patients are treated with </w:t>
      </w:r>
      <w:r w:rsidR="002032BA">
        <w:rPr>
          <w:rFonts w:cstheme="minorHAnsi"/>
        </w:rPr>
        <w:t>ONA</w:t>
      </w:r>
      <w:r w:rsidR="002032BA" w:rsidRPr="002E5B49">
        <w:rPr>
          <w:rFonts w:cstheme="minorHAnsi"/>
        </w:rPr>
        <w:t xml:space="preserve"> </w:t>
      </w:r>
      <w:r w:rsidRPr="002E5B49">
        <w:rPr>
          <w:rFonts w:cstheme="minorHAnsi"/>
        </w:rPr>
        <w:t xml:space="preserve">earlier </w:t>
      </w:r>
      <w:r w:rsidR="00861BE4">
        <w:rPr>
          <w:rFonts w:cstheme="minorHAnsi"/>
        </w:rPr>
        <w:t>the</w:t>
      </w:r>
      <w:r w:rsidRPr="002E5B49">
        <w:rPr>
          <w:rFonts w:cstheme="minorHAnsi"/>
        </w:rPr>
        <w:t xml:space="preserve"> loss of motor neurons will be reduced</w:t>
      </w:r>
      <w:r>
        <w:rPr>
          <w:rFonts w:cstheme="minorHAnsi"/>
        </w:rPr>
        <w:t xml:space="preserve"> and a higher level of motor function may be maintained</w:t>
      </w:r>
      <w:r w:rsidRPr="002E5B49">
        <w:rPr>
          <w:rFonts w:cstheme="minorHAnsi"/>
        </w:rPr>
        <w:t xml:space="preserve">. </w:t>
      </w:r>
    </w:p>
    <w:p w14:paraId="1FB27CE3" w14:textId="3891C5CC" w:rsidR="003560B2" w:rsidRDefault="003B1D83" w:rsidP="003B1D83">
      <w:pPr>
        <w:pStyle w:val="3-BodyText"/>
      </w:pPr>
      <w:r w:rsidRPr="003B1D83">
        <w:t xml:space="preserve">The resubmission nominated </w:t>
      </w:r>
      <w:r>
        <w:t xml:space="preserve">treatment with </w:t>
      </w:r>
      <w:r w:rsidRPr="003B1D83">
        <w:t>ONA</w:t>
      </w:r>
      <w:r>
        <w:t xml:space="preserve"> in </w:t>
      </w:r>
      <w:r w:rsidRPr="003B1D83">
        <w:t>patients with 1</w:t>
      </w:r>
      <w:r>
        <w:noBreakHyphen/>
      </w:r>
      <w:r w:rsidRPr="003B1D83">
        <w:t xml:space="preserve">2 copies of the </w:t>
      </w:r>
      <w:r w:rsidRPr="003B1D83">
        <w:rPr>
          <w:i/>
          <w:iCs/>
        </w:rPr>
        <w:t>SMN2</w:t>
      </w:r>
      <w:r w:rsidRPr="003B1D83">
        <w:t xml:space="preserve"> gene as the main comparator</w:t>
      </w:r>
      <w:r>
        <w:t xml:space="preserve">. </w:t>
      </w:r>
      <w:r w:rsidR="00D10F46">
        <w:t>The PBAC considered that u</w:t>
      </w:r>
      <w:r w:rsidRPr="003B1D83">
        <w:t xml:space="preserve">sual care or watchful waiting and treat as symptoms appear </w:t>
      </w:r>
      <w:r w:rsidR="00D10F46">
        <w:t>remained the relevant comparator as previously</w:t>
      </w:r>
      <w:r w:rsidRPr="003B1D83">
        <w:t xml:space="preserve"> accepted by the PBAC. </w:t>
      </w:r>
      <w:r w:rsidR="004C2C6D">
        <w:t xml:space="preserve">The PBAC noted that, while the resubmission had nominated both </w:t>
      </w:r>
      <w:r w:rsidR="004C2C6D" w:rsidRPr="00271560">
        <w:rPr>
          <w:snapToGrid/>
        </w:rPr>
        <w:t xml:space="preserve">risdiplam and </w:t>
      </w:r>
      <w:r w:rsidR="004C2C6D">
        <w:rPr>
          <w:snapToGrid/>
        </w:rPr>
        <w:t>nusinersen</w:t>
      </w:r>
      <w:r w:rsidR="004C2C6D" w:rsidRPr="00271560">
        <w:rPr>
          <w:snapToGrid/>
        </w:rPr>
        <w:t xml:space="preserve"> as near market comparators</w:t>
      </w:r>
      <w:r w:rsidR="004C2C6D">
        <w:rPr>
          <w:i/>
          <w:iCs/>
          <w:snapToGrid/>
        </w:rPr>
        <w:t xml:space="preserve">, </w:t>
      </w:r>
      <w:r w:rsidR="004C2C6D">
        <w:t xml:space="preserve">at the time of PBAC consideration neither of these treatments were PBS listed for patients diagnosed with 3 copies of </w:t>
      </w:r>
      <w:r w:rsidR="004C2C6D" w:rsidRPr="00ED1544">
        <w:rPr>
          <w:i/>
          <w:iCs/>
        </w:rPr>
        <w:t>SMN2</w:t>
      </w:r>
      <w:r w:rsidR="004C2C6D">
        <w:t xml:space="preserve"> prior to the onset of symptoms.</w:t>
      </w:r>
    </w:p>
    <w:p w14:paraId="2770828F" w14:textId="7F3C99CD" w:rsidR="00D81A57" w:rsidRDefault="004C2C6D" w:rsidP="0045292D">
      <w:pPr>
        <w:pStyle w:val="3-BodyText"/>
      </w:pPr>
      <w:r w:rsidRPr="00D81A57">
        <w:t xml:space="preserve">The PBAC noted that the resubmission was based on small, single arm clinical studies, the majority of which have previously been considered by the PBAC. </w:t>
      </w:r>
      <w:r>
        <w:t xml:space="preserve">A comparison of developmental milestones achieved between patients with 3 copies of </w:t>
      </w:r>
      <w:r w:rsidRPr="00D81A57">
        <w:rPr>
          <w:i/>
          <w:iCs/>
        </w:rPr>
        <w:t>SMN2</w:t>
      </w:r>
      <w:r>
        <w:t xml:space="preserve"> and patients with 2 copies of </w:t>
      </w:r>
      <w:r w:rsidRPr="00D81A57">
        <w:rPr>
          <w:i/>
          <w:iCs/>
        </w:rPr>
        <w:t>SMN2</w:t>
      </w:r>
      <w:r>
        <w:t xml:space="preserve"> treated pre-symptomatically with ONA from the SPR1NT study</w:t>
      </w:r>
      <w:r w:rsidR="00D81A57">
        <w:t xml:space="preserve"> was presented. Although naïve comparisons of the absolute developmental outcomes in SPR1NT appeared to suggest that more patients with 3 copies of </w:t>
      </w:r>
      <w:r w:rsidR="00D81A57" w:rsidRPr="00D81A57">
        <w:rPr>
          <w:i/>
          <w:iCs/>
        </w:rPr>
        <w:t>SMN2</w:t>
      </w:r>
      <w:r w:rsidR="00D81A57">
        <w:t xml:space="preserve"> treated with ONA pre</w:t>
      </w:r>
      <w:r w:rsidR="00D81A57">
        <w:noBreakHyphen/>
        <w:t xml:space="preserve">symptomatically achieved developmental milestones within the normal timeframe compared to patients with 2 copies of </w:t>
      </w:r>
      <w:r w:rsidR="00D81A57" w:rsidRPr="00D81A57">
        <w:rPr>
          <w:i/>
          <w:iCs/>
        </w:rPr>
        <w:t>SMN2,</w:t>
      </w:r>
      <w:r w:rsidR="00D81A57">
        <w:t xml:space="preserve"> this was likely confounded by the differences in baseline attainment of milestones and the natural course of the disease between patients with 2 and 3 </w:t>
      </w:r>
      <w:r w:rsidR="00D81A57" w:rsidRPr="00D81A57">
        <w:rPr>
          <w:i/>
          <w:iCs/>
        </w:rPr>
        <w:t>SMN2</w:t>
      </w:r>
      <w:r w:rsidR="00D81A57">
        <w:t xml:space="preserve"> copies. The PBAC considered that no conclusion could be drawn with regards to the magnitude of incremental benefit for pre</w:t>
      </w:r>
      <w:r w:rsidR="00D81A57">
        <w:noBreakHyphen/>
        <w:t xml:space="preserve">symptomatic ONA treatment compared to symptomatic initiation of treatment in either patients with 3 copies of </w:t>
      </w:r>
      <w:r w:rsidR="00D81A57" w:rsidRPr="00D81A57">
        <w:rPr>
          <w:i/>
          <w:iCs/>
        </w:rPr>
        <w:t>SMN2</w:t>
      </w:r>
      <w:r w:rsidR="00D81A57">
        <w:t xml:space="preserve"> or in patients with 2 copies of </w:t>
      </w:r>
      <w:r w:rsidR="00D81A57" w:rsidRPr="00D81A57">
        <w:rPr>
          <w:i/>
          <w:iCs/>
        </w:rPr>
        <w:t>SMN2</w:t>
      </w:r>
      <w:r w:rsidR="00D81A57">
        <w:t xml:space="preserve">. </w:t>
      </w:r>
    </w:p>
    <w:p w14:paraId="52E5492E" w14:textId="71783BEF" w:rsidR="00793E1C" w:rsidRPr="00793E1C" w:rsidRDefault="00793E1C" w:rsidP="00793E1C">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On balance, t</w:t>
      </w:r>
      <w:r w:rsidRPr="00106AA4">
        <w:rPr>
          <w:rFonts w:asciiTheme="minorHAnsi" w:hAnsiTheme="minorHAnsi"/>
          <w:snapToGrid w:val="0"/>
          <w:lang w:val="en-GB" w:eastAsia="en-US"/>
        </w:rPr>
        <w:t xml:space="preserve">he PBAC </w:t>
      </w:r>
      <w:r>
        <w:rPr>
          <w:rFonts w:asciiTheme="minorHAnsi" w:hAnsiTheme="minorHAnsi"/>
          <w:snapToGrid w:val="0"/>
          <w:lang w:val="en-GB" w:eastAsia="en-US"/>
        </w:rPr>
        <w:t>wa</w:t>
      </w:r>
      <w:r w:rsidRPr="00106AA4">
        <w:rPr>
          <w:rFonts w:asciiTheme="minorHAnsi" w:hAnsiTheme="minorHAnsi"/>
          <w:snapToGrid w:val="0"/>
          <w:lang w:val="en-GB" w:eastAsia="en-US"/>
        </w:rPr>
        <w:t xml:space="preserve">s satisfied that </w:t>
      </w:r>
      <w:r>
        <w:rPr>
          <w:rFonts w:asciiTheme="minorHAnsi" w:hAnsiTheme="minorHAnsi"/>
          <w:snapToGrid w:val="0"/>
          <w:lang w:val="en-GB" w:eastAsia="en-US"/>
        </w:rPr>
        <w:t>ONA</w:t>
      </w:r>
      <w:r w:rsidRPr="00106AA4">
        <w:rPr>
          <w:rFonts w:asciiTheme="minorHAnsi" w:hAnsiTheme="minorHAnsi"/>
          <w:snapToGrid w:val="0"/>
          <w:lang w:val="en-GB" w:eastAsia="en-US"/>
        </w:rPr>
        <w:t xml:space="preserve"> </w:t>
      </w:r>
      <w:r>
        <w:rPr>
          <w:rFonts w:asciiTheme="minorHAnsi" w:hAnsiTheme="minorHAnsi"/>
          <w:snapToGrid w:val="0"/>
          <w:lang w:val="en-GB" w:eastAsia="en-US"/>
        </w:rPr>
        <w:t xml:space="preserve">initiated pre-symptomatically for patients with 3 copies of </w:t>
      </w:r>
      <w:r w:rsidRPr="00FC1525">
        <w:rPr>
          <w:rFonts w:asciiTheme="minorHAnsi" w:hAnsiTheme="minorHAnsi"/>
          <w:i/>
          <w:iCs/>
          <w:snapToGrid w:val="0"/>
          <w:lang w:val="en-GB" w:eastAsia="en-US"/>
        </w:rPr>
        <w:t>SMN2</w:t>
      </w:r>
      <w:r>
        <w:rPr>
          <w:rFonts w:asciiTheme="minorHAnsi" w:hAnsiTheme="minorHAnsi"/>
          <w:snapToGrid w:val="0"/>
          <w:lang w:val="en-GB" w:eastAsia="en-US"/>
        </w:rPr>
        <w:t xml:space="preserve"> was likely to provide </w:t>
      </w:r>
      <w:r w:rsidRPr="00106AA4">
        <w:rPr>
          <w:rFonts w:asciiTheme="minorHAnsi" w:hAnsiTheme="minorHAnsi"/>
          <w:snapToGrid w:val="0"/>
          <w:lang w:val="en-GB" w:eastAsia="en-US"/>
        </w:rPr>
        <w:t>a significant improvement in efficacy over</w:t>
      </w:r>
      <w:r>
        <w:rPr>
          <w:rFonts w:asciiTheme="minorHAnsi" w:hAnsiTheme="minorHAnsi"/>
          <w:snapToGrid w:val="0"/>
          <w:lang w:val="en-GB" w:eastAsia="en-US"/>
        </w:rPr>
        <w:t xml:space="preserve"> initiation of treatment (ONA, nusinersen or risdiplam) in patients once</w:t>
      </w:r>
      <w:r w:rsidRPr="00106AA4">
        <w:rPr>
          <w:rFonts w:asciiTheme="minorHAnsi" w:hAnsiTheme="minorHAnsi"/>
          <w:snapToGrid w:val="0"/>
          <w:lang w:val="en-GB" w:eastAsia="en-US"/>
        </w:rPr>
        <w:t xml:space="preserve"> </w:t>
      </w:r>
      <w:r>
        <w:rPr>
          <w:rFonts w:asciiTheme="minorHAnsi" w:hAnsiTheme="minorHAnsi"/>
          <w:snapToGrid w:val="0"/>
          <w:lang w:val="en-GB" w:eastAsia="en-US"/>
        </w:rPr>
        <w:t xml:space="preserve">symptomatic. The PBAC considered that while some patients with 3 copies of </w:t>
      </w:r>
      <w:r w:rsidRPr="004363D1">
        <w:rPr>
          <w:rFonts w:asciiTheme="minorHAnsi" w:hAnsiTheme="minorHAnsi"/>
          <w:i/>
          <w:iCs/>
          <w:snapToGrid w:val="0"/>
          <w:lang w:val="en-GB" w:eastAsia="en-US"/>
        </w:rPr>
        <w:t xml:space="preserve">SMN2 </w:t>
      </w:r>
      <w:r>
        <w:rPr>
          <w:rFonts w:asciiTheme="minorHAnsi" w:hAnsiTheme="minorHAnsi"/>
          <w:snapToGrid w:val="0"/>
          <w:lang w:val="en-GB" w:eastAsia="en-US"/>
        </w:rPr>
        <w:t xml:space="preserve">would not develop symptoms until years after birth, </w:t>
      </w:r>
      <w:r w:rsidR="00B601DA">
        <w:rPr>
          <w:rFonts w:asciiTheme="minorHAnsi" w:hAnsiTheme="minorHAnsi"/>
          <w:snapToGrid w:val="0"/>
          <w:lang w:val="en-GB" w:eastAsia="en-US"/>
        </w:rPr>
        <w:t xml:space="preserve">and their disease would be less severe on average, </w:t>
      </w:r>
      <w:r>
        <w:rPr>
          <w:rFonts w:asciiTheme="minorHAnsi" w:hAnsiTheme="minorHAnsi"/>
          <w:snapToGrid w:val="0"/>
          <w:lang w:val="en-GB" w:eastAsia="en-US"/>
        </w:rPr>
        <w:t>the estimated benefit of early intervention for patients treated pre-symptomatically compared to patients treated symptomatically outweighed the negative impact of treating the small proportion of patients who would not have developed symptoms.</w:t>
      </w:r>
    </w:p>
    <w:p w14:paraId="2473809C" w14:textId="75094EBF" w:rsidR="00CC1FDE" w:rsidRPr="00CC1FDE" w:rsidRDefault="00CC1FDE" w:rsidP="004C2C6D">
      <w:pPr>
        <w:pStyle w:val="3-BodyText"/>
      </w:pPr>
      <w:r>
        <w:rPr>
          <w:lang w:val="en-GB"/>
        </w:rPr>
        <w:t xml:space="preserve">The PBAC recalled it had previously considered that </w:t>
      </w:r>
      <w:r w:rsidRPr="00D11718">
        <w:rPr>
          <w:szCs w:val="20"/>
        </w:rPr>
        <w:t>the claim of non-inferior comparative safety for</w:t>
      </w:r>
      <w:r>
        <w:rPr>
          <w:szCs w:val="20"/>
        </w:rPr>
        <w:t xml:space="preserve"> pre-symptomatic treatment with</w:t>
      </w:r>
      <w:r w:rsidRPr="00D11718">
        <w:rPr>
          <w:szCs w:val="20"/>
        </w:rPr>
        <w:t xml:space="preserve"> ONA compared with </w:t>
      </w:r>
      <w:r>
        <w:rPr>
          <w:szCs w:val="20"/>
        </w:rPr>
        <w:t>watchful waiting was not reasonable, where some patients (albeit a small proportion) may not require symptomatic treatment with DMTs (para 7.7, ONA PSD, November 2022 PBAC meeting)</w:t>
      </w:r>
      <w:r w:rsidRPr="00D11718">
        <w:rPr>
          <w:szCs w:val="20"/>
        </w:rPr>
        <w:t>.</w:t>
      </w:r>
      <w:r>
        <w:rPr>
          <w:szCs w:val="20"/>
        </w:rPr>
        <w:t xml:space="preserve"> </w:t>
      </w:r>
    </w:p>
    <w:p w14:paraId="770C8BD8" w14:textId="24B30AED" w:rsidR="002D484C" w:rsidRPr="0047331C" w:rsidRDefault="004C2C6D" w:rsidP="002D484C">
      <w:pPr>
        <w:pStyle w:val="3-BodyText"/>
        <w:rPr>
          <w:snapToGrid/>
        </w:rPr>
      </w:pPr>
      <w:r w:rsidRPr="004C2C6D">
        <w:rPr>
          <w:lang w:val="en-GB"/>
        </w:rPr>
        <w:t>The PBAC recalled it previously considered that given the limitations of the evidence</w:t>
      </w:r>
      <w:r w:rsidR="00CC1FDE">
        <w:rPr>
          <w:lang w:val="en-GB"/>
        </w:rPr>
        <w:t xml:space="preserve"> and the unsuitability of the economic model presented, </w:t>
      </w:r>
      <w:r w:rsidRPr="004C2C6D">
        <w:rPr>
          <w:lang w:val="en-GB"/>
        </w:rPr>
        <w:t xml:space="preserve">a comparison between the cost and clinical benefits for treating patients with 1-2 copies of </w:t>
      </w:r>
      <w:r w:rsidR="00484DEE" w:rsidRPr="00484DEE">
        <w:rPr>
          <w:i/>
          <w:lang w:val="en-GB"/>
        </w:rPr>
        <w:t>SMN2</w:t>
      </w:r>
      <w:r w:rsidRPr="004C2C6D">
        <w:rPr>
          <w:lang w:val="en-GB"/>
        </w:rPr>
        <w:t xml:space="preserve"> with ONA (as currently subsidised</w:t>
      </w:r>
      <w:r>
        <w:rPr>
          <w:iCs/>
        </w:rPr>
        <w:t>) and patients with 3 copies (proposed) would be more informative for establishing the cost</w:t>
      </w:r>
      <w:r>
        <w:rPr>
          <w:iCs/>
        </w:rPr>
        <w:noBreakHyphen/>
        <w:t>effectiveness in the expanded population</w:t>
      </w:r>
      <w:r w:rsidR="002D484C">
        <w:rPr>
          <w:iCs/>
        </w:rPr>
        <w:t>,</w:t>
      </w:r>
      <w:r>
        <w:rPr>
          <w:iCs/>
        </w:rPr>
        <w:t xml:space="preserve"> </w:t>
      </w:r>
      <w:r w:rsidR="00CC1FDE">
        <w:rPr>
          <w:iCs/>
        </w:rPr>
        <w:t xml:space="preserve">and the smaller clinical benefit for patients with 3 </w:t>
      </w:r>
      <w:r w:rsidR="00CC1FDE" w:rsidRPr="0084553A">
        <w:rPr>
          <w:i/>
        </w:rPr>
        <w:t>SNM2</w:t>
      </w:r>
      <w:r w:rsidR="00CC1FDE">
        <w:rPr>
          <w:iCs/>
        </w:rPr>
        <w:t xml:space="preserve"> copies (as per para </w:t>
      </w:r>
      <w:r w:rsidR="00CC1FDE">
        <w:rPr>
          <w:iCs/>
        </w:rPr>
        <w:fldChar w:fldCharType="begin" w:fldLock="1"/>
      </w:r>
      <w:r w:rsidR="00CC1FDE">
        <w:rPr>
          <w:iCs/>
        </w:rPr>
        <w:instrText xml:space="preserve"> REF _Ref120881516 \r \h </w:instrText>
      </w:r>
      <w:r w:rsidR="00CC1FDE">
        <w:rPr>
          <w:iCs/>
        </w:rPr>
      </w:r>
      <w:r w:rsidR="00CC1FDE">
        <w:rPr>
          <w:iCs/>
        </w:rPr>
        <w:fldChar w:fldCharType="separate"/>
      </w:r>
      <w:r w:rsidR="00CC1FDE">
        <w:rPr>
          <w:iCs/>
        </w:rPr>
        <w:t>7.6</w:t>
      </w:r>
      <w:r w:rsidR="00CC1FDE">
        <w:rPr>
          <w:iCs/>
        </w:rPr>
        <w:fldChar w:fldCharType="end"/>
      </w:r>
      <w:r w:rsidR="00CC1FDE">
        <w:rPr>
          <w:iCs/>
        </w:rPr>
        <w:t>) would require</w:t>
      </w:r>
      <w:r w:rsidR="00CC1FDE">
        <w:t xml:space="preserve"> the price of ONA to be lower than for the current listing for it to be similarly cost-effective</w:t>
      </w:r>
      <w:r w:rsidR="00CC1FDE" w:rsidRPr="00CC1FDE">
        <w:rPr>
          <w:iCs/>
        </w:rPr>
        <w:t xml:space="preserve"> </w:t>
      </w:r>
      <w:r w:rsidR="00CC1FDE">
        <w:rPr>
          <w:iCs/>
        </w:rPr>
        <w:t>(para 7.10 ONA PSD, November 2022 PBAC meeting).</w:t>
      </w:r>
      <w:r w:rsidR="002D484C">
        <w:rPr>
          <w:iCs/>
        </w:rPr>
        <w:t xml:space="preserve"> </w:t>
      </w:r>
      <w:r w:rsidR="002D484C">
        <w:t>T</w:t>
      </w:r>
      <w:r w:rsidR="002D484C" w:rsidRPr="0047331C">
        <w:t xml:space="preserve">he </w:t>
      </w:r>
      <w:r w:rsidR="002D484C">
        <w:t>PBAC noted the re</w:t>
      </w:r>
      <w:r w:rsidR="002D484C" w:rsidRPr="0047331C">
        <w:t xml:space="preserve">submission for ONA made no attempt at quantifying the costs or modelling the benefits of pre-symptomatic treatment of patients with 3 copies </w:t>
      </w:r>
      <w:r w:rsidR="00484DEE" w:rsidRPr="00484DEE">
        <w:rPr>
          <w:i/>
        </w:rPr>
        <w:t>SMN2</w:t>
      </w:r>
      <w:r w:rsidR="002D484C" w:rsidRPr="0047331C">
        <w:t>, but instead started from the assumption that the value was comparable</w:t>
      </w:r>
      <w:r w:rsidR="00793E1C">
        <w:t xml:space="preserve">, presenting a cost-minimisation approach with ONA for patients with 1-2 copies </w:t>
      </w:r>
      <w:r w:rsidR="00793E1C" w:rsidRPr="00793E1C">
        <w:rPr>
          <w:i/>
          <w:iCs/>
        </w:rPr>
        <w:t>SMN2</w:t>
      </w:r>
      <w:r w:rsidR="00793E1C">
        <w:t xml:space="preserve">. </w:t>
      </w:r>
    </w:p>
    <w:p w14:paraId="64953FEC" w14:textId="068B5BC2" w:rsidR="00B557D5" w:rsidRPr="00BF6C0B" w:rsidRDefault="00B557D5" w:rsidP="00B557D5">
      <w:pPr>
        <w:widowControl w:val="0"/>
        <w:numPr>
          <w:ilvl w:val="1"/>
          <w:numId w:val="1"/>
        </w:numPr>
        <w:spacing w:after="120"/>
        <w:rPr>
          <w:rFonts w:asciiTheme="minorHAnsi" w:hAnsiTheme="minorHAnsi"/>
          <w:snapToGrid w:val="0"/>
          <w:lang w:val="en-GB" w:eastAsia="en-US"/>
        </w:rPr>
      </w:pPr>
      <w:r w:rsidRPr="00650CC4">
        <w:rPr>
          <w:rFonts w:asciiTheme="minorHAnsi" w:hAnsiTheme="minorHAnsi"/>
          <w:snapToGrid w:val="0"/>
          <w:lang w:val="en-GB" w:eastAsia="en-US"/>
        </w:rPr>
        <w:t xml:space="preserve">The PBAC noted the requested price for this listing was the same as the price for pre-symptomatic patients with 1-2 copies of </w:t>
      </w:r>
      <w:r w:rsidRPr="00650CC4">
        <w:rPr>
          <w:rFonts w:asciiTheme="minorHAnsi" w:hAnsiTheme="minorHAnsi"/>
          <w:i/>
          <w:iCs/>
          <w:snapToGrid w:val="0"/>
          <w:lang w:val="en-GB" w:eastAsia="en-US"/>
        </w:rPr>
        <w:t>SMN2</w:t>
      </w:r>
      <w:r w:rsidRPr="00650CC4">
        <w:rPr>
          <w:rFonts w:asciiTheme="minorHAnsi" w:hAnsiTheme="minorHAnsi"/>
          <w:snapToGrid w:val="0"/>
          <w:lang w:val="en-GB" w:eastAsia="en-US"/>
        </w:rPr>
        <w:t xml:space="preserve">. </w:t>
      </w:r>
      <w:r>
        <w:rPr>
          <w:rFonts w:asciiTheme="minorHAnsi" w:hAnsiTheme="minorHAnsi"/>
          <w:snapToGrid w:val="0"/>
          <w:lang w:val="en-GB" w:eastAsia="en-US"/>
        </w:rPr>
        <w:t xml:space="preserve">The PBAC recalled it previously advised at its November 2022 PBAC meeting that a lower price for pre-symptomatic treatment for a patient with 3 copies of </w:t>
      </w:r>
      <w:r w:rsidRPr="00696A78">
        <w:rPr>
          <w:rFonts w:asciiTheme="minorHAnsi" w:hAnsiTheme="minorHAnsi"/>
          <w:i/>
          <w:iCs/>
          <w:snapToGrid w:val="0"/>
          <w:lang w:val="en-GB" w:eastAsia="en-US"/>
        </w:rPr>
        <w:t>SMN2</w:t>
      </w:r>
      <w:r>
        <w:rPr>
          <w:rFonts w:asciiTheme="minorHAnsi" w:hAnsiTheme="minorHAnsi"/>
          <w:snapToGrid w:val="0"/>
          <w:lang w:val="en-GB" w:eastAsia="en-US"/>
        </w:rPr>
        <w:t xml:space="preserve"> would be required to ensure similar cost-effectiveness to that of treating patients with 1-2 copies. The PBAC considered that a price reduction of </w:t>
      </w:r>
      <w:r w:rsidRPr="00F44004">
        <w:rPr>
          <w:rFonts w:asciiTheme="minorHAnsi" w:hAnsiTheme="minorHAnsi"/>
          <w:snapToGrid w:val="0"/>
          <w:lang w:val="en-GB" w:eastAsia="en-US"/>
        </w:rPr>
        <w:t>around 10% would</w:t>
      </w:r>
      <w:r>
        <w:rPr>
          <w:rFonts w:asciiTheme="minorHAnsi" w:hAnsiTheme="minorHAnsi"/>
          <w:snapToGrid w:val="0"/>
          <w:lang w:val="en-GB" w:eastAsia="en-US"/>
        </w:rPr>
        <w:t xml:space="preserve"> </w:t>
      </w:r>
      <w:r w:rsidR="00B601DA">
        <w:rPr>
          <w:rFonts w:asciiTheme="minorHAnsi" w:hAnsiTheme="minorHAnsi"/>
          <w:snapToGrid w:val="0"/>
          <w:lang w:val="en-GB" w:eastAsia="en-US"/>
        </w:rPr>
        <w:t xml:space="preserve">be appropriate in this context for the population with pre-symptomatic SMA with 3 copies </w:t>
      </w:r>
      <w:r w:rsidR="00B601DA" w:rsidRPr="009700C1">
        <w:rPr>
          <w:rFonts w:asciiTheme="minorHAnsi" w:hAnsiTheme="minorHAnsi"/>
          <w:i/>
          <w:iCs/>
          <w:snapToGrid w:val="0"/>
          <w:lang w:val="en-GB" w:eastAsia="en-US"/>
        </w:rPr>
        <w:t>SMN2</w:t>
      </w:r>
      <w:r>
        <w:rPr>
          <w:rFonts w:asciiTheme="minorHAnsi" w:hAnsiTheme="minorHAnsi"/>
          <w:snapToGrid w:val="0"/>
          <w:lang w:val="en-GB" w:eastAsia="en-US"/>
        </w:rPr>
        <w:t>.</w:t>
      </w:r>
      <w:r w:rsidR="008B63F6">
        <w:rPr>
          <w:rFonts w:asciiTheme="minorHAnsi" w:hAnsiTheme="minorHAnsi"/>
          <w:snapToGrid w:val="0"/>
          <w:lang w:val="en-GB" w:eastAsia="en-US"/>
        </w:rPr>
        <w:t xml:space="preserve"> </w:t>
      </w:r>
      <w:r w:rsidR="008B63F6">
        <w:t>The PBAC considered t</w:t>
      </w:r>
      <w:r w:rsidR="008B63F6" w:rsidRPr="00146E4E">
        <w:t xml:space="preserve">he current outcomes-based RSA for ONA for SMA Type I and pre-symptomatic patients with 1 or 2 copies of the </w:t>
      </w:r>
      <w:r w:rsidR="008B63F6" w:rsidRPr="00484DEE">
        <w:rPr>
          <w:i/>
        </w:rPr>
        <w:t>SMN2</w:t>
      </w:r>
      <w:r w:rsidR="008B63F6" w:rsidRPr="00146E4E">
        <w:t xml:space="preserve"> gene </w:t>
      </w:r>
      <w:r w:rsidR="008B63F6">
        <w:t>should also</w:t>
      </w:r>
      <w:r w:rsidR="008B63F6" w:rsidRPr="00146E4E">
        <w:t xml:space="preserve"> apply to the proposed 3 </w:t>
      </w:r>
      <w:r w:rsidR="00B12F6C">
        <w:t xml:space="preserve">copies </w:t>
      </w:r>
      <w:r w:rsidR="008B63F6" w:rsidRPr="00484DEE">
        <w:rPr>
          <w:i/>
        </w:rPr>
        <w:t>SMN2</w:t>
      </w:r>
      <w:r w:rsidR="008B63F6" w:rsidRPr="00146E4E">
        <w:t xml:space="preserve"> population</w:t>
      </w:r>
      <w:r w:rsidR="008B63F6">
        <w:t>.</w:t>
      </w:r>
    </w:p>
    <w:p w14:paraId="67EA9E96" w14:textId="6049D639" w:rsidR="00BF6C0B" w:rsidRPr="00BF6C0B" w:rsidRDefault="00BF6C0B" w:rsidP="00BF6C0B">
      <w:pPr>
        <w:widowControl w:val="0"/>
        <w:numPr>
          <w:ilvl w:val="1"/>
          <w:numId w:val="1"/>
        </w:numPr>
        <w:spacing w:after="120"/>
        <w:rPr>
          <w:rFonts w:asciiTheme="minorHAnsi" w:hAnsiTheme="minorHAnsi"/>
          <w:snapToGrid w:val="0"/>
          <w:lang w:val="en-GB" w:eastAsia="en-US"/>
        </w:rPr>
      </w:pPr>
      <w:r w:rsidRPr="00BF6C0B">
        <w:rPr>
          <w:rFonts w:asciiTheme="minorHAnsi" w:hAnsiTheme="minorHAnsi"/>
          <w:snapToGrid w:val="0"/>
          <w:lang w:val="en-GB" w:eastAsia="en-US"/>
        </w:rPr>
        <w:t xml:space="preserve">The PBAC noted that a submission for nusinersen in patients with 3 copies </w:t>
      </w:r>
      <w:r w:rsidRPr="00FE23FF">
        <w:rPr>
          <w:rFonts w:asciiTheme="minorHAnsi" w:hAnsiTheme="minorHAnsi"/>
          <w:i/>
          <w:iCs/>
          <w:snapToGrid w:val="0"/>
          <w:lang w:val="en-GB" w:eastAsia="en-US"/>
        </w:rPr>
        <w:t>SMN2</w:t>
      </w:r>
      <w:r w:rsidRPr="00BF6C0B">
        <w:rPr>
          <w:rFonts w:asciiTheme="minorHAnsi" w:hAnsiTheme="minorHAnsi"/>
          <w:snapToGrid w:val="0"/>
          <w:lang w:val="en-GB" w:eastAsia="en-US"/>
        </w:rPr>
        <w:t xml:space="preserve"> was considered at the </w:t>
      </w:r>
      <w:r w:rsidR="00FE23FF">
        <w:rPr>
          <w:rFonts w:asciiTheme="minorHAnsi" w:hAnsiTheme="minorHAnsi"/>
          <w:snapToGrid w:val="0"/>
          <w:lang w:val="en-GB" w:eastAsia="en-US"/>
        </w:rPr>
        <w:t>July 2023 PBAC</w:t>
      </w:r>
      <w:r w:rsidRPr="00BF6C0B">
        <w:rPr>
          <w:rFonts w:asciiTheme="minorHAnsi" w:hAnsiTheme="minorHAnsi"/>
          <w:snapToGrid w:val="0"/>
          <w:lang w:val="en-GB" w:eastAsia="en-US"/>
        </w:rPr>
        <w:t xml:space="preserve"> meeting</w:t>
      </w:r>
      <w:r w:rsidR="00FE23FF">
        <w:t xml:space="preserve"> and advised that in the event that nusinersen is recommended and proceeds to PBS listing in this patient population the dose relativities for the current listings for pre-symptomatic patients with 1-2 copies </w:t>
      </w:r>
      <w:r w:rsidR="00FE23FF">
        <w:rPr>
          <w:i/>
          <w:iCs/>
        </w:rPr>
        <w:t>SMN2</w:t>
      </w:r>
      <w:r w:rsidR="00FE23FF">
        <w:t xml:space="preserve"> should apply to listings for patients with 3 copies </w:t>
      </w:r>
      <w:r w:rsidR="00FE23FF" w:rsidRPr="00525387">
        <w:rPr>
          <w:i/>
          <w:iCs/>
        </w:rPr>
        <w:t>SMN2</w:t>
      </w:r>
      <w:r w:rsidR="00FE23FF">
        <w:rPr>
          <w:i/>
          <w:iCs/>
        </w:rPr>
        <w:t>.</w:t>
      </w:r>
    </w:p>
    <w:p w14:paraId="3190A935" w14:textId="4AA04F76" w:rsidR="00814DA8" w:rsidRPr="00D20708" w:rsidRDefault="00D90915" w:rsidP="00B83A4F">
      <w:pPr>
        <w:widowControl w:val="0"/>
        <w:numPr>
          <w:ilvl w:val="1"/>
          <w:numId w:val="1"/>
        </w:numPr>
        <w:spacing w:after="120"/>
        <w:rPr>
          <w:rFonts w:asciiTheme="minorHAnsi" w:hAnsiTheme="minorHAnsi"/>
          <w:snapToGrid w:val="0"/>
        </w:rPr>
      </w:pPr>
      <w:r w:rsidRPr="00F34324">
        <w:rPr>
          <w:rFonts w:asciiTheme="minorHAnsi" w:hAnsiTheme="minorHAnsi"/>
          <w:snapToGrid w:val="0"/>
          <w:lang w:val="en-GB" w:eastAsia="en-US"/>
        </w:rPr>
        <w:t xml:space="preserve">The PBAC noted the resubmission had taken an epidemiological approach to estimate use of </w:t>
      </w:r>
      <w:r>
        <w:rPr>
          <w:rFonts w:asciiTheme="minorHAnsi" w:hAnsiTheme="minorHAnsi"/>
          <w:snapToGrid w:val="0"/>
          <w:lang w:val="en-GB" w:eastAsia="en-US"/>
        </w:rPr>
        <w:t>ONA</w:t>
      </w:r>
      <w:r w:rsidRPr="00F34324">
        <w:rPr>
          <w:rFonts w:asciiTheme="minorHAnsi" w:hAnsiTheme="minorHAnsi"/>
          <w:snapToGrid w:val="0"/>
          <w:lang w:val="en-GB" w:eastAsia="en-US"/>
        </w:rPr>
        <w:t xml:space="preserve"> and considered that the approach was generally reasonable</w:t>
      </w:r>
      <w:r>
        <w:rPr>
          <w:rFonts w:asciiTheme="minorHAnsi" w:hAnsiTheme="minorHAnsi"/>
          <w:snapToGrid w:val="0"/>
          <w:lang w:val="en-GB" w:eastAsia="en-US"/>
        </w:rPr>
        <w:t>.</w:t>
      </w:r>
      <w:r w:rsidRPr="00F34324">
        <w:rPr>
          <w:rFonts w:asciiTheme="minorHAnsi" w:hAnsiTheme="minorHAnsi"/>
          <w:snapToGrid w:val="0"/>
          <w:lang w:val="en-GB" w:eastAsia="en-US"/>
        </w:rPr>
        <w:t xml:space="preserve"> </w:t>
      </w:r>
      <w:r>
        <w:rPr>
          <w:rFonts w:asciiTheme="minorHAnsi" w:hAnsiTheme="minorHAnsi"/>
          <w:snapToGrid w:val="0"/>
          <w:lang w:val="en-GB" w:eastAsia="en-US"/>
        </w:rPr>
        <w:t xml:space="preserve">The PBAC noted </w:t>
      </w:r>
      <w:r w:rsidRPr="00F34324">
        <w:rPr>
          <w:rFonts w:asciiTheme="minorHAnsi" w:hAnsiTheme="minorHAnsi"/>
          <w:snapToGrid w:val="0"/>
          <w:lang w:val="en-GB" w:eastAsia="en-US"/>
        </w:rPr>
        <w:t>patients with SMA Type IV</w:t>
      </w:r>
      <w:r>
        <w:rPr>
          <w:rFonts w:asciiTheme="minorHAnsi" w:hAnsiTheme="minorHAnsi"/>
          <w:snapToGrid w:val="0"/>
          <w:lang w:val="en-GB" w:eastAsia="en-US"/>
        </w:rPr>
        <w:t xml:space="preserve"> had not been accounted for</w:t>
      </w:r>
      <w:r w:rsidRPr="00F34324">
        <w:rPr>
          <w:rFonts w:asciiTheme="minorHAnsi" w:hAnsiTheme="minorHAnsi"/>
          <w:snapToGrid w:val="0"/>
          <w:lang w:val="en-GB" w:eastAsia="en-US"/>
        </w:rPr>
        <w:t xml:space="preserve"> in the distribution of patients with 3 copies of </w:t>
      </w:r>
      <w:r w:rsidRPr="00F34324">
        <w:rPr>
          <w:rFonts w:asciiTheme="minorHAnsi" w:hAnsiTheme="minorHAnsi"/>
          <w:i/>
          <w:iCs/>
          <w:snapToGrid w:val="0"/>
          <w:lang w:val="en-GB" w:eastAsia="en-US"/>
        </w:rPr>
        <w:t>SMN2</w:t>
      </w:r>
      <w:r>
        <w:rPr>
          <w:rFonts w:asciiTheme="minorHAnsi" w:hAnsiTheme="minorHAnsi"/>
          <w:i/>
          <w:iCs/>
          <w:snapToGrid w:val="0"/>
          <w:lang w:val="en-GB" w:eastAsia="en-US"/>
        </w:rPr>
        <w:t xml:space="preserve">, </w:t>
      </w:r>
      <w:r w:rsidRPr="005403CC">
        <w:rPr>
          <w:rFonts w:asciiTheme="minorHAnsi" w:hAnsiTheme="minorHAnsi"/>
          <w:snapToGrid w:val="0"/>
          <w:lang w:val="en-GB" w:eastAsia="en-US"/>
        </w:rPr>
        <w:t>however considered</w:t>
      </w:r>
      <w:r>
        <w:rPr>
          <w:rFonts w:asciiTheme="minorHAnsi" w:hAnsiTheme="minorHAnsi"/>
          <w:snapToGrid w:val="0"/>
          <w:lang w:val="en-GB" w:eastAsia="en-US"/>
        </w:rPr>
        <w:t xml:space="preserve"> this to be reasonable, noting</w:t>
      </w:r>
      <w:r w:rsidRPr="00F34324">
        <w:rPr>
          <w:rFonts w:asciiTheme="minorHAnsi" w:hAnsiTheme="minorHAnsi"/>
          <w:snapToGrid w:val="0"/>
          <w:lang w:val="en-GB" w:eastAsia="en-US"/>
        </w:rPr>
        <w:t xml:space="preserve"> this would be expected to be </w:t>
      </w:r>
      <w:r w:rsidR="000C3B32">
        <w:rPr>
          <w:rFonts w:asciiTheme="minorHAnsi" w:hAnsiTheme="minorHAnsi"/>
          <w:snapToGrid w:val="0"/>
          <w:lang w:val="en-GB" w:eastAsia="en-US"/>
        </w:rPr>
        <w:t xml:space="preserve">no more than one </w:t>
      </w:r>
      <w:r w:rsidR="000C3B32" w:rsidRPr="00F44004">
        <w:rPr>
          <w:rFonts w:asciiTheme="minorHAnsi" w:hAnsiTheme="minorHAnsi"/>
          <w:snapToGrid w:val="0"/>
          <w:lang w:val="en-GB" w:eastAsia="en-US"/>
        </w:rPr>
        <w:t>patient across the 6 years of forward estimates</w:t>
      </w:r>
      <w:r w:rsidRPr="00F44004">
        <w:rPr>
          <w:rFonts w:asciiTheme="minorHAnsi" w:hAnsiTheme="minorHAnsi"/>
          <w:snapToGrid w:val="0"/>
          <w:lang w:val="en-GB" w:eastAsia="en-US"/>
        </w:rPr>
        <w:t>. The PBAC noted the cost over 6 years was estimated to be $</w:t>
      </w:r>
      <w:r w:rsidR="00F44004" w:rsidRPr="00F44004">
        <w:rPr>
          <w:rFonts w:asciiTheme="minorHAnsi" w:hAnsiTheme="minorHAnsi"/>
          <w:snapToGrid w:val="0"/>
          <w:lang w:val="en-GB" w:eastAsia="en-US"/>
        </w:rPr>
        <w:t>70 million to &lt; $80</w:t>
      </w:r>
      <w:r w:rsidRPr="00F44004">
        <w:rPr>
          <w:rFonts w:asciiTheme="minorHAnsi" w:hAnsiTheme="minorHAnsi"/>
          <w:snapToGrid w:val="0"/>
          <w:lang w:val="en-GB" w:eastAsia="en-US"/>
        </w:rPr>
        <w:t xml:space="preserve"> million, </w:t>
      </w:r>
      <w:r w:rsidR="000C3B32" w:rsidRPr="00F44004">
        <w:rPr>
          <w:rFonts w:asciiTheme="minorHAnsi" w:hAnsiTheme="minorHAnsi"/>
          <w:snapToGrid w:val="0"/>
          <w:lang w:val="en-GB" w:eastAsia="en-US"/>
        </w:rPr>
        <w:t xml:space="preserve">assuming an effective price for RIS and ONA that is a 32.46% less than the published price. </w:t>
      </w:r>
      <w:r w:rsidR="000C3B32" w:rsidRPr="00F44004">
        <w:t xml:space="preserve">The PBAC noted that the cost of treatment with ONA is borne up front, </w:t>
      </w:r>
      <w:r w:rsidR="00D20708" w:rsidRPr="00F44004">
        <w:t xml:space="preserve">but for patients treated in year 1, offsets from nusinersen and risdiplam would be expected to continue beyond the 6 years of the forward estimates. The PBAC considered that overall, the additional cost of expanding the listing to patients with 3 copies </w:t>
      </w:r>
      <w:r w:rsidR="00D20708" w:rsidRPr="00F44004">
        <w:rPr>
          <w:i/>
          <w:iCs/>
        </w:rPr>
        <w:t xml:space="preserve">SMN2 </w:t>
      </w:r>
      <w:r w:rsidR="00D20708" w:rsidRPr="00F44004">
        <w:t>would largely be limited to the cost of earlier initiation</w:t>
      </w:r>
      <w:r w:rsidR="00D20708" w:rsidRPr="00D20708">
        <w:t xml:space="preserve"> of SMA treatment</w:t>
      </w:r>
      <w:r w:rsidR="00D20708">
        <w:t>.</w:t>
      </w:r>
    </w:p>
    <w:p w14:paraId="2169216D" w14:textId="1BA82554" w:rsidR="00084274" w:rsidRPr="00D20708" w:rsidRDefault="00084274" w:rsidP="00B83A4F">
      <w:pPr>
        <w:widowControl w:val="0"/>
        <w:numPr>
          <w:ilvl w:val="1"/>
          <w:numId w:val="1"/>
        </w:numPr>
        <w:spacing w:after="120"/>
        <w:rPr>
          <w:rFonts w:asciiTheme="minorHAnsi" w:hAnsiTheme="minorHAnsi"/>
          <w:lang w:val="en-GB" w:eastAsia="en-US"/>
        </w:rPr>
      </w:pPr>
      <w:r w:rsidRPr="00D20708">
        <w:rPr>
          <w:rFonts w:asciiTheme="minorHAnsi" w:hAnsiTheme="minorHAnsi"/>
          <w:lang w:val="en-GB" w:eastAsia="en-US"/>
        </w:rPr>
        <w:t xml:space="preserve">The PBAC found that the criteria prescribed by the National Health (Pharmaceuticals and Vaccines – Cost Recovery) Regulations 2022 for Pricing Pathway A were not met. </w:t>
      </w:r>
      <w:r w:rsidR="00861BE4" w:rsidRPr="00D20708">
        <w:rPr>
          <w:rFonts w:asciiTheme="minorHAnsi" w:hAnsiTheme="minorHAnsi"/>
          <w:lang w:val="en-GB" w:eastAsia="en-US"/>
        </w:rPr>
        <w:t>Specifically,</w:t>
      </w:r>
      <w:r w:rsidRPr="00D20708">
        <w:rPr>
          <w:rFonts w:asciiTheme="minorHAnsi" w:hAnsiTheme="minorHAnsi"/>
          <w:lang w:val="en-GB" w:eastAsia="en-US"/>
        </w:rPr>
        <w:t xml:space="preserve"> the PBAC found that in the circumstances of its recommendation for </w:t>
      </w:r>
      <w:r w:rsidR="00A4558F">
        <w:rPr>
          <w:lang w:val="en-GB" w:eastAsia="en-US"/>
        </w:rPr>
        <w:t>ONA</w:t>
      </w:r>
      <w:r w:rsidRPr="00D20708">
        <w:rPr>
          <w:rFonts w:asciiTheme="minorHAnsi" w:hAnsiTheme="minorHAnsi"/>
          <w:lang w:val="en-GB" w:eastAsia="en-US"/>
        </w:rPr>
        <w:t>:</w:t>
      </w:r>
    </w:p>
    <w:p w14:paraId="3C4FB346" w14:textId="296EEBC3" w:rsidR="00084274" w:rsidRPr="00763DFB" w:rsidRDefault="00A4558F" w:rsidP="003F238D">
      <w:pPr>
        <w:widowControl w:val="0"/>
        <w:numPr>
          <w:ilvl w:val="1"/>
          <w:numId w:val="18"/>
        </w:numPr>
        <w:spacing w:after="120"/>
        <w:ind w:left="1134"/>
        <w:rPr>
          <w:rFonts w:asciiTheme="minorHAnsi" w:hAnsiTheme="minorHAnsi" w:cstheme="minorHAnsi"/>
          <w:lang w:val="en-GB"/>
        </w:rPr>
      </w:pPr>
      <w:r>
        <w:t>Based on the available evidence the magnitude of benefit of initiating treatment with ONA pre-symptomatically was not able to be quantified, and therefore the criterion of having a substantial and clinically relevant improvement in efficacy compared to symptomatic initiation of SMA treatment was not met</w:t>
      </w:r>
      <w:r w:rsidR="00084274" w:rsidRPr="00763DFB">
        <w:rPr>
          <w:rFonts w:asciiTheme="minorHAnsi" w:hAnsiTheme="minorHAnsi" w:cstheme="minorHAnsi"/>
          <w:lang w:val="en-GB"/>
        </w:rPr>
        <w:t>;</w:t>
      </w:r>
    </w:p>
    <w:p w14:paraId="7F57F5A3" w14:textId="77777777" w:rsidR="00A4558F" w:rsidRPr="00B1054A" w:rsidRDefault="00A4558F" w:rsidP="003F238D">
      <w:pPr>
        <w:pStyle w:val="3-BodyText"/>
        <w:numPr>
          <w:ilvl w:val="1"/>
          <w:numId w:val="18"/>
        </w:numPr>
        <w:ind w:left="1134"/>
      </w:pPr>
      <w:r w:rsidRPr="00B1054A">
        <w:t xml:space="preserve">The treatment is </w:t>
      </w:r>
      <w:r>
        <w:t>not expected</w:t>
      </w:r>
      <w:r w:rsidRPr="00B1054A">
        <w:t xml:space="preserve"> to address a high and urgent unmet clinical need; and </w:t>
      </w:r>
    </w:p>
    <w:p w14:paraId="6C77735C" w14:textId="77777777" w:rsidR="00A4558F" w:rsidRPr="004B33CB" w:rsidRDefault="00A4558F" w:rsidP="003F238D">
      <w:pPr>
        <w:pStyle w:val="3-BodyText"/>
        <w:numPr>
          <w:ilvl w:val="1"/>
          <w:numId w:val="18"/>
        </w:numPr>
        <w:ind w:left="1134"/>
      </w:pPr>
      <w:r w:rsidRPr="00B1054A">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14:paraId="1C14F03B" w14:textId="25433D52" w:rsidR="00A4558F" w:rsidRPr="00915266" w:rsidRDefault="00084274" w:rsidP="00A4558F">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PBAC noted that this submission is not eligible for an Independent Review</w:t>
      </w:r>
      <w:r w:rsidR="00A4558F">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4447A2A6" w14:textId="23234B85" w:rsidR="00084274" w:rsidRPr="00525B39" w:rsidRDefault="00084274" w:rsidP="00A4558F">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p>
    <w:p w14:paraId="6D2CED44" w14:textId="593977D4" w:rsidR="00084274" w:rsidRPr="00915266" w:rsidRDefault="00084274" w:rsidP="00915266">
      <w:pPr>
        <w:rPr>
          <w:rFonts w:asciiTheme="minorHAnsi" w:hAnsiTheme="minorHAnsi"/>
          <w:bCs/>
          <w:snapToGrid w:val="0"/>
          <w:lang w:val="en-GB"/>
        </w:rPr>
      </w:pPr>
      <w:r w:rsidRPr="00525B39">
        <w:rPr>
          <w:rFonts w:asciiTheme="minorHAnsi" w:hAnsiTheme="minorHAnsi"/>
          <w:bCs/>
          <w:snapToGrid w:val="0"/>
          <w:lang w:val="en-GB"/>
        </w:rPr>
        <w:t>Recommended</w:t>
      </w:r>
    </w:p>
    <w:bookmarkEnd w:id="65"/>
    <w:p w14:paraId="3DE24B84" w14:textId="77777777" w:rsidR="00084274" w:rsidRPr="00084274" w:rsidRDefault="00084274" w:rsidP="00084274">
      <w:pPr>
        <w:pStyle w:val="2-SectionHeading"/>
        <w:numPr>
          <w:ilvl w:val="0"/>
          <w:numId w:val="1"/>
        </w:numPr>
      </w:pPr>
      <w:r w:rsidRPr="00084274">
        <w:t>Recommended listing</w:t>
      </w:r>
    </w:p>
    <w:p w14:paraId="7FD43C0B" w14:textId="0798C94B" w:rsidR="00A4558F" w:rsidRPr="003F238D" w:rsidRDefault="00705A22" w:rsidP="003F238D">
      <w:pPr>
        <w:widowControl w:val="0"/>
        <w:numPr>
          <w:ilvl w:val="1"/>
          <w:numId w:val="1"/>
        </w:numPr>
        <w:spacing w:after="120"/>
        <w:rPr>
          <w:rFonts w:asciiTheme="minorHAnsi" w:hAnsiTheme="minorHAnsi"/>
          <w:bCs/>
          <w:snapToGrid w:val="0"/>
          <w:lang w:val="en-GB"/>
        </w:rPr>
      </w:pPr>
      <w:bookmarkStart w:id="67" w:name="_Hlk76377978"/>
      <w:bookmarkStart w:id="68" w:name="_Toc135210597"/>
      <w:bookmarkEnd w:id="66"/>
      <w:r>
        <w:rPr>
          <w:rFonts w:asciiTheme="minorHAnsi" w:hAnsiTheme="minorHAnsi"/>
          <w:bCs/>
          <w:snapToGrid w:val="0"/>
          <w:lang w:val="en-GB"/>
        </w:rPr>
        <w:t>Restriction to be finalised.</w:t>
      </w:r>
    </w:p>
    <w:p w14:paraId="4B0FC6C9" w14:textId="22BBBC8B" w:rsidR="00FC2565" w:rsidRDefault="00FC2565" w:rsidP="00FC2565">
      <w:pPr>
        <w:pStyle w:val="2-SectionHeading"/>
        <w:numPr>
          <w:ilvl w:val="0"/>
          <w:numId w:val="1"/>
        </w:numPr>
        <w:rPr>
          <w:bCs/>
          <w:lang w:val="en-GB"/>
        </w:rPr>
      </w:pPr>
      <w:r w:rsidRPr="00C07617">
        <w:t>Context for Decision</w:t>
      </w:r>
    </w:p>
    <w:p w14:paraId="3749E596" w14:textId="77777777" w:rsidR="00FC2565" w:rsidRPr="007129F2" w:rsidRDefault="00FC2565" w:rsidP="002719D8">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8F979CB" w14:textId="1EB3D3E0" w:rsidR="00FC2565" w:rsidRPr="00C07617" w:rsidRDefault="00FC2565" w:rsidP="00FC2565">
      <w:pPr>
        <w:pStyle w:val="2-SectionHeading"/>
        <w:numPr>
          <w:ilvl w:val="0"/>
          <w:numId w:val="1"/>
        </w:numPr>
        <w:rPr>
          <w:b w:val="0"/>
        </w:rPr>
      </w:pPr>
      <w:r>
        <w:t>Sponsor’s Comment</w:t>
      </w:r>
    </w:p>
    <w:p w14:paraId="7F8AB047" w14:textId="0B6EE5FE" w:rsidR="001B0226" w:rsidRPr="003F238D" w:rsidRDefault="00FC2565" w:rsidP="003F238D">
      <w:pPr>
        <w:spacing w:after="120"/>
        <w:ind w:left="426" w:firstLine="294"/>
        <w:rPr>
          <w:rFonts w:asciiTheme="minorHAnsi" w:hAnsiTheme="minorHAnsi"/>
          <w:bCs/>
        </w:rPr>
      </w:pPr>
      <w:r w:rsidRPr="00C07617">
        <w:rPr>
          <w:rFonts w:asciiTheme="minorHAnsi" w:hAnsiTheme="minorHAnsi"/>
          <w:bCs/>
        </w:rPr>
        <w:t>The sponsor had no comment.</w:t>
      </w:r>
      <w:bookmarkEnd w:id="67"/>
      <w:bookmarkEnd w:id="68"/>
    </w:p>
    <w:sectPr w:rsidR="001B0226" w:rsidRPr="003F238D" w:rsidSect="0067698D">
      <w:headerReference w:type="default" r:id="rId13"/>
      <w:footerReference w:type="defaul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783" w14:textId="77777777" w:rsidR="00944D34" w:rsidRDefault="00944D34" w:rsidP="00124A51">
      <w:r>
        <w:separator/>
      </w:r>
    </w:p>
    <w:p w14:paraId="2A7DE6E1" w14:textId="77777777" w:rsidR="00944D34" w:rsidRDefault="00944D34"/>
  </w:endnote>
  <w:endnote w:type="continuationSeparator" w:id="0">
    <w:p w14:paraId="4D862A96" w14:textId="77777777" w:rsidR="00944D34" w:rsidRDefault="00944D34" w:rsidP="00124A51">
      <w:r>
        <w:continuationSeparator/>
      </w:r>
    </w:p>
    <w:p w14:paraId="2F1C8CF7" w14:textId="77777777" w:rsidR="00944D34" w:rsidRDefault="00944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2E3959" w:rsidRDefault="002E3959" w:rsidP="00753B29">
    <w:pPr>
      <w:pStyle w:val="Footer"/>
      <w:jc w:val="center"/>
    </w:pPr>
  </w:p>
  <w:p w14:paraId="37484CD3" w14:textId="74E2AC50" w:rsidR="002E3959" w:rsidRPr="007C1CD9" w:rsidRDefault="005C18A1" w:rsidP="00753B29">
    <w:pPr>
      <w:pStyle w:val="Footer"/>
      <w:jc w:val="center"/>
    </w:pPr>
    <w:sdt>
      <w:sdtPr>
        <w:id w:val="1036156457"/>
        <w:docPartObj>
          <w:docPartGallery w:val="Page Numbers (Bottom of Page)"/>
          <w:docPartUnique/>
        </w:docPartObj>
      </w:sdtPr>
      <w:sdtEndPr>
        <w:rPr>
          <w:noProof/>
        </w:rPr>
      </w:sdtEndPr>
      <w:sdtContent>
        <w:r w:rsidR="002E3959" w:rsidRPr="0047331C">
          <w:rPr>
            <w:b/>
            <w:bCs/>
          </w:rPr>
          <w:fldChar w:fldCharType="begin"/>
        </w:r>
        <w:r w:rsidR="002E3959" w:rsidRPr="0047331C">
          <w:rPr>
            <w:b/>
            <w:bCs/>
          </w:rPr>
          <w:instrText xml:space="preserve"> PAGE   \* MERGEFORMAT </w:instrText>
        </w:r>
        <w:r w:rsidR="002E3959" w:rsidRPr="0047331C">
          <w:rPr>
            <w:b/>
            <w:bCs/>
          </w:rPr>
          <w:fldChar w:fldCharType="separate"/>
        </w:r>
        <w:r w:rsidR="00C61280" w:rsidRPr="0047331C">
          <w:rPr>
            <w:b/>
            <w:bCs/>
            <w:noProof/>
          </w:rPr>
          <w:t>12</w:t>
        </w:r>
        <w:r w:rsidR="002E3959" w:rsidRPr="0047331C">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10F9" w14:textId="77777777" w:rsidR="00944D34" w:rsidRDefault="00944D34" w:rsidP="00124A51">
      <w:r>
        <w:separator/>
      </w:r>
    </w:p>
    <w:p w14:paraId="5FE3D222" w14:textId="77777777" w:rsidR="00944D34" w:rsidRDefault="00944D34"/>
  </w:footnote>
  <w:footnote w:type="continuationSeparator" w:id="0">
    <w:p w14:paraId="46E47926" w14:textId="77777777" w:rsidR="00944D34" w:rsidRDefault="00944D34" w:rsidP="00124A51">
      <w:r>
        <w:continuationSeparator/>
      </w:r>
    </w:p>
    <w:p w14:paraId="46089267" w14:textId="77777777" w:rsidR="00944D34" w:rsidRDefault="00944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65DBAADB" w:rsidR="002E3959" w:rsidRPr="00195452" w:rsidRDefault="002A7E48" w:rsidP="00D822E2">
    <w:pPr>
      <w:pStyle w:val="Header"/>
      <w:rPr>
        <w:rFonts w:asciiTheme="minorHAnsi" w:hAnsiTheme="minorHAnsi"/>
        <w:i/>
        <w:color w:val="808080"/>
      </w:rPr>
    </w:pPr>
    <w:r>
      <w:rPr>
        <w:rFonts w:asciiTheme="minorHAnsi" w:hAnsiTheme="minorHAnsi"/>
        <w:i/>
        <w:color w:val="808080"/>
      </w:rPr>
      <w:t>Public Summary Document</w:t>
    </w:r>
    <w:r w:rsidR="003560B2">
      <w:rPr>
        <w:rFonts w:asciiTheme="minorHAnsi" w:hAnsiTheme="minorHAnsi"/>
        <w:i/>
        <w:color w:val="808080"/>
      </w:rPr>
      <w:t xml:space="preserve"> </w:t>
    </w:r>
    <w:r w:rsidR="0047331C">
      <w:rPr>
        <w:rFonts w:asciiTheme="minorHAnsi" w:hAnsiTheme="minorHAnsi"/>
        <w:i/>
        <w:color w:val="808080"/>
      </w:rPr>
      <w:t xml:space="preserve">– </w:t>
    </w:r>
    <w:r w:rsidR="002E3959">
      <w:rPr>
        <w:rFonts w:asciiTheme="minorHAnsi" w:hAnsiTheme="minorHAnsi"/>
        <w:i/>
        <w:color w:val="808080"/>
      </w:rPr>
      <w:t>July</w:t>
    </w:r>
    <w:r w:rsidR="0047331C">
      <w:rPr>
        <w:rFonts w:asciiTheme="minorHAnsi" w:hAnsiTheme="minorHAnsi"/>
        <w:i/>
        <w:color w:val="808080"/>
      </w:rPr>
      <w:t xml:space="preserve"> </w:t>
    </w:r>
    <w:r w:rsidR="002E3959">
      <w:rPr>
        <w:rFonts w:asciiTheme="minorHAnsi" w:hAnsiTheme="minorHAnsi"/>
        <w:i/>
        <w:color w:val="808080"/>
      </w:rPr>
      <w:t xml:space="preserve">2023 </w:t>
    </w:r>
    <w:r w:rsidR="002E3959" w:rsidRPr="00195452">
      <w:rPr>
        <w:rFonts w:asciiTheme="minorHAnsi" w:hAnsiTheme="minorHAnsi"/>
        <w:i/>
        <w:color w:val="808080"/>
      </w:rPr>
      <w:t>PBAC Meeting</w:t>
    </w:r>
  </w:p>
  <w:p w14:paraId="03AF943B" w14:textId="77777777" w:rsidR="002E3959" w:rsidRPr="008C7ECB" w:rsidRDefault="002E3959" w:rsidP="00271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4A1C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E40BFC"/>
    <w:multiLevelType w:val="hybridMultilevel"/>
    <w:tmpl w:val="23C24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8E0F98"/>
    <w:multiLevelType w:val="hybridMultilevel"/>
    <w:tmpl w:val="1D48BA3E"/>
    <w:lvl w:ilvl="0" w:tplc="442EE946">
      <w:start w:val="1"/>
      <w:numFmt w:val="decimal"/>
      <w:lvlText w:val="%1."/>
      <w:lvlJc w:val="left"/>
      <w:pPr>
        <w:ind w:left="720"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3E756E"/>
    <w:multiLevelType w:val="hybridMultilevel"/>
    <w:tmpl w:val="C31CBE92"/>
    <w:lvl w:ilvl="0" w:tplc="0C09001B">
      <w:start w:val="1"/>
      <w:numFmt w:val="lowerRoman"/>
      <w:lvlText w:val="%1."/>
      <w:lvlJc w:val="righ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8" w15:restartNumberingAfterBreak="0">
    <w:nsid w:val="42376C72"/>
    <w:multiLevelType w:val="hybridMultilevel"/>
    <w:tmpl w:val="6956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9CB4510A"/>
    <w:lvl w:ilvl="0" w:tplc="04090001">
      <w:start w:val="1"/>
      <w:numFmt w:val="bullet"/>
      <w:pStyle w:val="ListParagraph"/>
      <w:lvlText w:val=""/>
      <w:lvlJc w:val="left"/>
      <w:pPr>
        <w:ind w:left="720" w:hanging="360"/>
      </w:pPr>
      <w:rPr>
        <w:rFonts w:ascii="Symbol" w:hAnsi="Symbol" w:hint="default"/>
      </w:rPr>
    </w:lvl>
    <w:lvl w:ilvl="1" w:tplc="558080B2">
      <w:numFmt w:val="bullet"/>
      <w:lvlText w:val="•"/>
      <w:lvlJc w:val="left"/>
      <w:pPr>
        <w:ind w:left="1800" w:hanging="72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3045337"/>
    <w:multiLevelType w:val="multilevel"/>
    <w:tmpl w:val="A5288BE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98088202">
    <w:abstractNumId w:val="17"/>
  </w:num>
  <w:num w:numId="2" w16cid:durableId="367339591">
    <w:abstractNumId w:val="9"/>
  </w:num>
  <w:num w:numId="3" w16cid:durableId="500045067">
    <w:abstractNumId w:val="0"/>
  </w:num>
  <w:num w:numId="4" w16cid:durableId="1927302196">
    <w:abstractNumId w:val="17"/>
  </w:num>
  <w:num w:numId="5" w16cid:durableId="231504076">
    <w:abstractNumId w:val="8"/>
  </w:num>
  <w:num w:numId="6" w16cid:durableId="901873275">
    <w:abstractNumId w:val="14"/>
  </w:num>
  <w:num w:numId="7" w16cid:durableId="1107238888">
    <w:abstractNumId w:val="2"/>
  </w:num>
  <w:num w:numId="8" w16cid:durableId="790132715">
    <w:abstractNumId w:val="13"/>
  </w:num>
  <w:num w:numId="9" w16cid:durableId="1926306318">
    <w:abstractNumId w:val="7"/>
  </w:num>
  <w:num w:numId="10" w16cid:durableId="1162964380">
    <w:abstractNumId w:val="4"/>
  </w:num>
  <w:num w:numId="11" w16cid:durableId="1422291575">
    <w:abstractNumId w:val="15"/>
  </w:num>
  <w:num w:numId="12" w16cid:durableId="555899385">
    <w:abstractNumId w:val="11"/>
  </w:num>
  <w:num w:numId="13" w16cid:durableId="915242699">
    <w:abstractNumId w:val="3"/>
  </w:num>
  <w:num w:numId="14" w16cid:durableId="1539774577">
    <w:abstractNumId w:val="1"/>
  </w:num>
  <w:num w:numId="15" w16cid:durableId="1573271431">
    <w:abstractNumId w:val="6"/>
  </w:num>
  <w:num w:numId="16" w16cid:durableId="1745563117">
    <w:abstractNumId w:val="5"/>
  </w:num>
  <w:num w:numId="17" w16cid:durableId="74399006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497146">
    <w:abstractNumId w:val="16"/>
  </w:num>
  <w:num w:numId="19" w16cid:durableId="16810098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5042748">
    <w:abstractNumId w:val="17"/>
  </w:num>
  <w:num w:numId="21" w16cid:durableId="752318380">
    <w:abstractNumId w:val="10"/>
  </w:num>
  <w:num w:numId="22" w16cid:durableId="205603154">
    <w:abstractNumId w:val="17"/>
  </w:num>
  <w:num w:numId="23" w16cid:durableId="10805233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26E"/>
    <w:rsid w:val="000004BE"/>
    <w:rsid w:val="00000790"/>
    <w:rsid w:val="000008FB"/>
    <w:rsid w:val="00000B8C"/>
    <w:rsid w:val="00000D4B"/>
    <w:rsid w:val="0000110B"/>
    <w:rsid w:val="00001253"/>
    <w:rsid w:val="000018D5"/>
    <w:rsid w:val="00002430"/>
    <w:rsid w:val="00002934"/>
    <w:rsid w:val="00003499"/>
    <w:rsid w:val="0000353C"/>
    <w:rsid w:val="000039B7"/>
    <w:rsid w:val="00004B51"/>
    <w:rsid w:val="000056B9"/>
    <w:rsid w:val="00005907"/>
    <w:rsid w:val="0000639A"/>
    <w:rsid w:val="00006924"/>
    <w:rsid w:val="000101A4"/>
    <w:rsid w:val="00010F4D"/>
    <w:rsid w:val="000119DC"/>
    <w:rsid w:val="00011B67"/>
    <w:rsid w:val="00012E16"/>
    <w:rsid w:val="00013247"/>
    <w:rsid w:val="00013E1E"/>
    <w:rsid w:val="000146DC"/>
    <w:rsid w:val="00015171"/>
    <w:rsid w:val="00015844"/>
    <w:rsid w:val="00015886"/>
    <w:rsid w:val="000162EF"/>
    <w:rsid w:val="0001690C"/>
    <w:rsid w:val="0002016C"/>
    <w:rsid w:val="0002026E"/>
    <w:rsid w:val="000207C9"/>
    <w:rsid w:val="00021537"/>
    <w:rsid w:val="00021927"/>
    <w:rsid w:val="0002225F"/>
    <w:rsid w:val="00023763"/>
    <w:rsid w:val="000239A3"/>
    <w:rsid w:val="00024CAC"/>
    <w:rsid w:val="00024EB5"/>
    <w:rsid w:val="000264A2"/>
    <w:rsid w:val="000274B8"/>
    <w:rsid w:val="00027892"/>
    <w:rsid w:val="00030175"/>
    <w:rsid w:val="00030E66"/>
    <w:rsid w:val="0003108B"/>
    <w:rsid w:val="000324DF"/>
    <w:rsid w:val="0003362A"/>
    <w:rsid w:val="000337F3"/>
    <w:rsid w:val="00033863"/>
    <w:rsid w:val="00033D0A"/>
    <w:rsid w:val="00034F3B"/>
    <w:rsid w:val="00035046"/>
    <w:rsid w:val="0003510B"/>
    <w:rsid w:val="00035BC0"/>
    <w:rsid w:val="00035DC0"/>
    <w:rsid w:val="0003678C"/>
    <w:rsid w:val="00036829"/>
    <w:rsid w:val="0003717E"/>
    <w:rsid w:val="00037BA5"/>
    <w:rsid w:val="00037DB1"/>
    <w:rsid w:val="00037F36"/>
    <w:rsid w:val="000400C4"/>
    <w:rsid w:val="000404D1"/>
    <w:rsid w:val="00040895"/>
    <w:rsid w:val="0004091C"/>
    <w:rsid w:val="000410A0"/>
    <w:rsid w:val="00041A5F"/>
    <w:rsid w:val="00041EBF"/>
    <w:rsid w:val="000420B6"/>
    <w:rsid w:val="00042A23"/>
    <w:rsid w:val="000435EE"/>
    <w:rsid w:val="00043988"/>
    <w:rsid w:val="00043C37"/>
    <w:rsid w:val="00044149"/>
    <w:rsid w:val="000449D0"/>
    <w:rsid w:val="00045017"/>
    <w:rsid w:val="0004579F"/>
    <w:rsid w:val="00045809"/>
    <w:rsid w:val="00045A2B"/>
    <w:rsid w:val="0004698F"/>
    <w:rsid w:val="00046A34"/>
    <w:rsid w:val="00046D64"/>
    <w:rsid w:val="0004768D"/>
    <w:rsid w:val="000508C2"/>
    <w:rsid w:val="00050E69"/>
    <w:rsid w:val="00052D7E"/>
    <w:rsid w:val="00052EA7"/>
    <w:rsid w:val="0005323C"/>
    <w:rsid w:val="0005349F"/>
    <w:rsid w:val="000539D0"/>
    <w:rsid w:val="00054621"/>
    <w:rsid w:val="000546D7"/>
    <w:rsid w:val="00054A8D"/>
    <w:rsid w:val="00054EA1"/>
    <w:rsid w:val="00055325"/>
    <w:rsid w:val="00056729"/>
    <w:rsid w:val="00056A08"/>
    <w:rsid w:val="00056ECF"/>
    <w:rsid w:val="00057BC6"/>
    <w:rsid w:val="00057DC8"/>
    <w:rsid w:val="00057E34"/>
    <w:rsid w:val="000604DF"/>
    <w:rsid w:val="00060F91"/>
    <w:rsid w:val="0006135D"/>
    <w:rsid w:val="00061D63"/>
    <w:rsid w:val="000622E6"/>
    <w:rsid w:val="0006340B"/>
    <w:rsid w:val="00063DF6"/>
    <w:rsid w:val="00064FCC"/>
    <w:rsid w:val="000653B5"/>
    <w:rsid w:val="000661C7"/>
    <w:rsid w:val="00066360"/>
    <w:rsid w:val="000663CD"/>
    <w:rsid w:val="00066AF8"/>
    <w:rsid w:val="00066D27"/>
    <w:rsid w:val="00066DFC"/>
    <w:rsid w:val="000674DF"/>
    <w:rsid w:val="000704AD"/>
    <w:rsid w:val="00070BBB"/>
    <w:rsid w:val="000711AC"/>
    <w:rsid w:val="00071248"/>
    <w:rsid w:val="000720B9"/>
    <w:rsid w:val="00072544"/>
    <w:rsid w:val="000727C0"/>
    <w:rsid w:val="000737F7"/>
    <w:rsid w:val="00073FB6"/>
    <w:rsid w:val="00075519"/>
    <w:rsid w:val="0007672F"/>
    <w:rsid w:val="00076B54"/>
    <w:rsid w:val="0007726D"/>
    <w:rsid w:val="0007732D"/>
    <w:rsid w:val="0007741F"/>
    <w:rsid w:val="000774F0"/>
    <w:rsid w:val="0008087B"/>
    <w:rsid w:val="00080909"/>
    <w:rsid w:val="00080A88"/>
    <w:rsid w:val="000812CA"/>
    <w:rsid w:val="00081A7A"/>
    <w:rsid w:val="00081E63"/>
    <w:rsid w:val="0008258D"/>
    <w:rsid w:val="00082927"/>
    <w:rsid w:val="00082DD2"/>
    <w:rsid w:val="0008345C"/>
    <w:rsid w:val="00083E99"/>
    <w:rsid w:val="00084274"/>
    <w:rsid w:val="0008435A"/>
    <w:rsid w:val="000844BD"/>
    <w:rsid w:val="00084F91"/>
    <w:rsid w:val="00084FA8"/>
    <w:rsid w:val="000853D0"/>
    <w:rsid w:val="000856C5"/>
    <w:rsid w:val="00085C31"/>
    <w:rsid w:val="000866C8"/>
    <w:rsid w:val="00086B2B"/>
    <w:rsid w:val="00086B43"/>
    <w:rsid w:val="00087ABB"/>
    <w:rsid w:val="00087E57"/>
    <w:rsid w:val="000902D9"/>
    <w:rsid w:val="00090C7E"/>
    <w:rsid w:val="00090C9D"/>
    <w:rsid w:val="000911AC"/>
    <w:rsid w:val="00091BE0"/>
    <w:rsid w:val="00092600"/>
    <w:rsid w:val="0009262B"/>
    <w:rsid w:val="000931CC"/>
    <w:rsid w:val="00093310"/>
    <w:rsid w:val="00094436"/>
    <w:rsid w:val="0009445C"/>
    <w:rsid w:val="0009471F"/>
    <w:rsid w:val="00094B18"/>
    <w:rsid w:val="00095200"/>
    <w:rsid w:val="0009538A"/>
    <w:rsid w:val="00095FE5"/>
    <w:rsid w:val="00096284"/>
    <w:rsid w:val="000A0EE3"/>
    <w:rsid w:val="000A1023"/>
    <w:rsid w:val="000A1BC0"/>
    <w:rsid w:val="000A2F9E"/>
    <w:rsid w:val="000A3010"/>
    <w:rsid w:val="000A3200"/>
    <w:rsid w:val="000A3265"/>
    <w:rsid w:val="000A3E47"/>
    <w:rsid w:val="000A4506"/>
    <w:rsid w:val="000A4D2B"/>
    <w:rsid w:val="000A5144"/>
    <w:rsid w:val="000A522B"/>
    <w:rsid w:val="000A5502"/>
    <w:rsid w:val="000A5535"/>
    <w:rsid w:val="000A6039"/>
    <w:rsid w:val="000A653D"/>
    <w:rsid w:val="000A6DB4"/>
    <w:rsid w:val="000A73C7"/>
    <w:rsid w:val="000A7453"/>
    <w:rsid w:val="000A7D08"/>
    <w:rsid w:val="000B0121"/>
    <w:rsid w:val="000B0670"/>
    <w:rsid w:val="000B09BA"/>
    <w:rsid w:val="000B0DDD"/>
    <w:rsid w:val="000B0E75"/>
    <w:rsid w:val="000B1BCB"/>
    <w:rsid w:val="000B233B"/>
    <w:rsid w:val="000B2DCB"/>
    <w:rsid w:val="000B33A1"/>
    <w:rsid w:val="000B3454"/>
    <w:rsid w:val="000B3DBA"/>
    <w:rsid w:val="000B47BB"/>
    <w:rsid w:val="000B47FB"/>
    <w:rsid w:val="000B4985"/>
    <w:rsid w:val="000B5CE0"/>
    <w:rsid w:val="000B638C"/>
    <w:rsid w:val="000B6AE4"/>
    <w:rsid w:val="000B6CAC"/>
    <w:rsid w:val="000B7612"/>
    <w:rsid w:val="000B78AE"/>
    <w:rsid w:val="000C094D"/>
    <w:rsid w:val="000C1158"/>
    <w:rsid w:val="000C27DB"/>
    <w:rsid w:val="000C2FE7"/>
    <w:rsid w:val="000C3018"/>
    <w:rsid w:val="000C3B32"/>
    <w:rsid w:val="000C3DF9"/>
    <w:rsid w:val="000C445A"/>
    <w:rsid w:val="000C4CF2"/>
    <w:rsid w:val="000C4E97"/>
    <w:rsid w:val="000C50E0"/>
    <w:rsid w:val="000C51DB"/>
    <w:rsid w:val="000C58D9"/>
    <w:rsid w:val="000C5A00"/>
    <w:rsid w:val="000C60F7"/>
    <w:rsid w:val="000C6212"/>
    <w:rsid w:val="000C6713"/>
    <w:rsid w:val="000C67ED"/>
    <w:rsid w:val="000C6CAF"/>
    <w:rsid w:val="000C73F4"/>
    <w:rsid w:val="000C76B5"/>
    <w:rsid w:val="000C77CE"/>
    <w:rsid w:val="000C7A0E"/>
    <w:rsid w:val="000C7EEF"/>
    <w:rsid w:val="000D05AD"/>
    <w:rsid w:val="000D05B0"/>
    <w:rsid w:val="000D1BFC"/>
    <w:rsid w:val="000D1C07"/>
    <w:rsid w:val="000D1D5D"/>
    <w:rsid w:val="000D1F3D"/>
    <w:rsid w:val="000D281A"/>
    <w:rsid w:val="000D2848"/>
    <w:rsid w:val="000D326A"/>
    <w:rsid w:val="000D3813"/>
    <w:rsid w:val="000D3E00"/>
    <w:rsid w:val="000D51FB"/>
    <w:rsid w:val="000D5A43"/>
    <w:rsid w:val="000D5E72"/>
    <w:rsid w:val="000D72F4"/>
    <w:rsid w:val="000D7C26"/>
    <w:rsid w:val="000D7CBC"/>
    <w:rsid w:val="000E0640"/>
    <w:rsid w:val="000E0749"/>
    <w:rsid w:val="000E09FC"/>
    <w:rsid w:val="000E0CBA"/>
    <w:rsid w:val="000E135D"/>
    <w:rsid w:val="000E278A"/>
    <w:rsid w:val="000E2CB0"/>
    <w:rsid w:val="000E3246"/>
    <w:rsid w:val="000E589A"/>
    <w:rsid w:val="000E593F"/>
    <w:rsid w:val="000E6CDE"/>
    <w:rsid w:val="000E6EC1"/>
    <w:rsid w:val="000F00BA"/>
    <w:rsid w:val="000F037F"/>
    <w:rsid w:val="000F04EB"/>
    <w:rsid w:val="000F0A66"/>
    <w:rsid w:val="000F0BAB"/>
    <w:rsid w:val="000F0CA8"/>
    <w:rsid w:val="000F1D02"/>
    <w:rsid w:val="000F20C2"/>
    <w:rsid w:val="000F316A"/>
    <w:rsid w:val="000F3BE5"/>
    <w:rsid w:val="000F3C74"/>
    <w:rsid w:val="000F4019"/>
    <w:rsid w:val="000F448F"/>
    <w:rsid w:val="000F4562"/>
    <w:rsid w:val="000F4BB8"/>
    <w:rsid w:val="000F4FA9"/>
    <w:rsid w:val="000F53FB"/>
    <w:rsid w:val="000F56E8"/>
    <w:rsid w:val="000F58F6"/>
    <w:rsid w:val="000F67C6"/>
    <w:rsid w:val="000F70D4"/>
    <w:rsid w:val="000F7127"/>
    <w:rsid w:val="000F7B54"/>
    <w:rsid w:val="001000B3"/>
    <w:rsid w:val="0010083A"/>
    <w:rsid w:val="00100F64"/>
    <w:rsid w:val="00100F8A"/>
    <w:rsid w:val="001012BE"/>
    <w:rsid w:val="00101420"/>
    <w:rsid w:val="00101627"/>
    <w:rsid w:val="0010167D"/>
    <w:rsid w:val="001023AB"/>
    <w:rsid w:val="00102C93"/>
    <w:rsid w:val="001036FD"/>
    <w:rsid w:val="00103B58"/>
    <w:rsid w:val="0010452E"/>
    <w:rsid w:val="00105846"/>
    <w:rsid w:val="00105AE2"/>
    <w:rsid w:val="001060C6"/>
    <w:rsid w:val="001062F0"/>
    <w:rsid w:val="00106883"/>
    <w:rsid w:val="0010697A"/>
    <w:rsid w:val="001069BC"/>
    <w:rsid w:val="00106B80"/>
    <w:rsid w:val="0010792C"/>
    <w:rsid w:val="00107B8F"/>
    <w:rsid w:val="0011032E"/>
    <w:rsid w:val="001109AB"/>
    <w:rsid w:val="00111E37"/>
    <w:rsid w:val="00111E6E"/>
    <w:rsid w:val="0011348B"/>
    <w:rsid w:val="0011407F"/>
    <w:rsid w:val="00114CA0"/>
    <w:rsid w:val="00114FD1"/>
    <w:rsid w:val="00115982"/>
    <w:rsid w:val="0011648F"/>
    <w:rsid w:val="00116C53"/>
    <w:rsid w:val="001170C0"/>
    <w:rsid w:val="0011729A"/>
    <w:rsid w:val="00117FE7"/>
    <w:rsid w:val="00120AF9"/>
    <w:rsid w:val="00120CF8"/>
    <w:rsid w:val="00121602"/>
    <w:rsid w:val="00121799"/>
    <w:rsid w:val="001220AF"/>
    <w:rsid w:val="001221E4"/>
    <w:rsid w:val="001222FC"/>
    <w:rsid w:val="0012360A"/>
    <w:rsid w:val="00123902"/>
    <w:rsid w:val="0012450B"/>
    <w:rsid w:val="00124A51"/>
    <w:rsid w:val="00124D14"/>
    <w:rsid w:val="00124D45"/>
    <w:rsid w:val="00124E8C"/>
    <w:rsid w:val="00125F70"/>
    <w:rsid w:val="00126621"/>
    <w:rsid w:val="00126B1D"/>
    <w:rsid w:val="00126E69"/>
    <w:rsid w:val="00127073"/>
    <w:rsid w:val="001301E9"/>
    <w:rsid w:val="00130387"/>
    <w:rsid w:val="00131D82"/>
    <w:rsid w:val="00132368"/>
    <w:rsid w:val="00132B22"/>
    <w:rsid w:val="0013311D"/>
    <w:rsid w:val="00133176"/>
    <w:rsid w:val="00133982"/>
    <w:rsid w:val="00133D36"/>
    <w:rsid w:val="0013479F"/>
    <w:rsid w:val="0013560E"/>
    <w:rsid w:val="00135A65"/>
    <w:rsid w:val="00135E2B"/>
    <w:rsid w:val="001363D2"/>
    <w:rsid w:val="001375C8"/>
    <w:rsid w:val="00137645"/>
    <w:rsid w:val="00137B8D"/>
    <w:rsid w:val="0014015A"/>
    <w:rsid w:val="0014093D"/>
    <w:rsid w:val="00140AD8"/>
    <w:rsid w:val="00140E99"/>
    <w:rsid w:val="00141479"/>
    <w:rsid w:val="0014158F"/>
    <w:rsid w:val="00142EE8"/>
    <w:rsid w:val="0014313B"/>
    <w:rsid w:val="00143F67"/>
    <w:rsid w:val="00145234"/>
    <w:rsid w:val="00145540"/>
    <w:rsid w:val="001456B0"/>
    <w:rsid w:val="00145ECD"/>
    <w:rsid w:val="00146E4E"/>
    <w:rsid w:val="00150176"/>
    <w:rsid w:val="0015122B"/>
    <w:rsid w:val="001517DF"/>
    <w:rsid w:val="00151E69"/>
    <w:rsid w:val="00154211"/>
    <w:rsid w:val="00154383"/>
    <w:rsid w:val="001547AB"/>
    <w:rsid w:val="00154BB0"/>
    <w:rsid w:val="00154D0D"/>
    <w:rsid w:val="00155811"/>
    <w:rsid w:val="00155898"/>
    <w:rsid w:val="0015591F"/>
    <w:rsid w:val="0015618B"/>
    <w:rsid w:val="00156AA8"/>
    <w:rsid w:val="00156F8F"/>
    <w:rsid w:val="00157130"/>
    <w:rsid w:val="001576B1"/>
    <w:rsid w:val="00157C67"/>
    <w:rsid w:val="00157D61"/>
    <w:rsid w:val="00160084"/>
    <w:rsid w:val="0016047B"/>
    <w:rsid w:val="00160A4C"/>
    <w:rsid w:val="001611C9"/>
    <w:rsid w:val="00162277"/>
    <w:rsid w:val="001626C8"/>
    <w:rsid w:val="00162913"/>
    <w:rsid w:val="00163EFF"/>
    <w:rsid w:val="00163F66"/>
    <w:rsid w:val="0016478E"/>
    <w:rsid w:val="00165EC4"/>
    <w:rsid w:val="001661FB"/>
    <w:rsid w:val="00166436"/>
    <w:rsid w:val="00166F05"/>
    <w:rsid w:val="00167167"/>
    <w:rsid w:val="001671A0"/>
    <w:rsid w:val="00167429"/>
    <w:rsid w:val="0016767F"/>
    <w:rsid w:val="00167842"/>
    <w:rsid w:val="00170BD9"/>
    <w:rsid w:val="00170DE4"/>
    <w:rsid w:val="0017137B"/>
    <w:rsid w:val="00171425"/>
    <w:rsid w:val="0017183E"/>
    <w:rsid w:val="0017220C"/>
    <w:rsid w:val="00172644"/>
    <w:rsid w:val="001731A7"/>
    <w:rsid w:val="00173565"/>
    <w:rsid w:val="00173B07"/>
    <w:rsid w:val="001751FA"/>
    <w:rsid w:val="00175F7E"/>
    <w:rsid w:val="00175FC8"/>
    <w:rsid w:val="0017687E"/>
    <w:rsid w:val="00176D9B"/>
    <w:rsid w:val="00177187"/>
    <w:rsid w:val="00177846"/>
    <w:rsid w:val="00177893"/>
    <w:rsid w:val="00177B39"/>
    <w:rsid w:val="00180739"/>
    <w:rsid w:val="00180AEF"/>
    <w:rsid w:val="00180F5A"/>
    <w:rsid w:val="001810B5"/>
    <w:rsid w:val="0018127A"/>
    <w:rsid w:val="00181351"/>
    <w:rsid w:val="00181C10"/>
    <w:rsid w:val="00181D9C"/>
    <w:rsid w:val="00181E41"/>
    <w:rsid w:val="001837FF"/>
    <w:rsid w:val="00183F62"/>
    <w:rsid w:val="00184B0E"/>
    <w:rsid w:val="00184DA7"/>
    <w:rsid w:val="001859D3"/>
    <w:rsid w:val="00185AD7"/>
    <w:rsid w:val="00185C36"/>
    <w:rsid w:val="00186E53"/>
    <w:rsid w:val="00186F98"/>
    <w:rsid w:val="0018752F"/>
    <w:rsid w:val="001876B4"/>
    <w:rsid w:val="00191BDB"/>
    <w:rsid w:val="00192D7C"/>
    <w:rsid w:val="00193838"/>
    <w:rsid w:val="001938C0"/>
    <w:rsid w:val="00193CA6"/>
    <w:rsid w:val="00193E3F"/>
    <w:rsid w:val="00194AD8"/>
    <w:rsid w:val="00195092"/>
    <w:rsid w:val="00195222"/>
    <w:rsid w:val="00195452"/>
    <w:rsid w:val="00195AED"/>
    <w:rsid w:val="00196B43"/>
    <w:rsid w:val="001972D0"/>
    <w:rsid w:val="00197441"/>
    <w:rsid w:val="001975D8"/>
    <w:rsid w:val="00197C80"/>
    <w:rsid w:val="001A00A2"/>
    <w:rsid w:val="001A10FB"/>
    <w:rsid w:val="001A178E"/>
    <w:rsid w:val="001A1E70"/>
    <w:rsid w:val="001A221C"/>
    <w:rsid w:val="001A2FA3"/>
    <w:rsid w:val="001A3600"/>
    <w:rsid w:val="001A3C44"/>
    <w:rsid w:val="001A3FB1"/>
    <w:rsid w:val="001A43FA"/>
    <w:rsid w:val="001A47C5"/>
    <w:rsid w:val="001A59FB"/>
    <w:rsid w:val="001A5E9E"/>
    <w:rsid w:val="001A62D8"/>
    <w:rsid w:val="001A6354"/>
    <w:rsid w:val="001A6366"/>
    <w:rsid w:val="001A7443"/>
    <w:rsid w:val="001A7AE8"/>
    <w:rsid w:val="001A7D12"/>
    <w:rsid w:val="001B0226"/>
    <w:rsid w:val="001B0BCA"/>
    <w:rsid w:val="001B1369"/>
    <w:rsid w:val="001B193F"/>
    <w:rsid w:val="001B204E"/>
    <w:rsid w:val="001B22F2"/>
    <w:rsid w:val="001B2372"/>
    <w:rsid w:val="001B30FC"/>
    <w:rsid w:val="001B3443"/>
    <w:rsid w:val="001B375F"/>
    <w:rsid w:val="001B4D20"/>
    <w:rsid w:val="001B4E72"/>
    <w:rsid w:val="001B5F8E"/>
    <w:rsid w:val="001B65C5"/>
    <w:rsid w:val="001B7C25"/>
    <w:rsid w:val="001B7F84"/>
    <w:rsid w:val="001C03F0"/>
    <w:rsid w:val="001C04AC"/>
    <w:rsid w:val="001C04AD"/>
    <w:rsid w:val="001C2A9B"/>
    <w:rsid w:val="001C2FDE"/>
    <w:rsid w:val="001C33A4"/>
    <w:rsid w:val="001C3C47"/>
    <w:rsid w:val="001C3DD6"/>
    <w:rsid w:val="001C3EA1"/>
    <w:rsid w:val="001C4299"/>
    <w:rsid w:val="001C4874"/>
    <w:rsid w:val="001C4923"/>
    <w:rsid w:val="001C5F94"/>
    <w:rsid w:val="001C66F1"/>
    <w:rsid w:val="001C6E66"/>
    <w:rsid w:val="001C7F11"/>
    <w:rsid w:val="001D00FA"/>
    <w:rsid w:val="001D0670"/>
    <w:rsid w:val="001D1100"/>
    <w:rsid w:val="001D1391"/>
    <w:rsid w:val="001D1676"/>
    <w:rsid w:val="001D19B0"/>
    <w:rsid w:val="001D1F2E"/>
    <w:rsid w:val="001D2257"/>
    <w:rsid w:val="001D25D7"/>
    <w:rsid w:val="001D2610"/>
    <w:rsid w:val="001D2ED7"/>
    <w:rsid w:val="001D3676"/>
    <w:rsid w:val="001D38B2"/>
    <w:rsid w:val="001D4666"/>
    <w:rsid w:val="001D4E6A"/>
    <w:rsid w:val="001D50B2"/>
    <w:rsid w:val="001D5308"/>
    <w:rsid w:val="001D5503"/>
    <w:rsid w:val="001D628F"/>
    <w:rsid w:val="001D71F4"/>
    <w:rsid w:val="001D733E"/>
    <w:rsid w:val="001D756B"/>
    <w:rsid w:val="001D7645"/>
    <w:rsid w:val="001E03D3"/>
    <w:rsid w:val="001E0990"/>
    <w:rsid w:val="001E12AC"/>
    <w:rsid w:val="001E178F"/>
    <w:rsid w:val="001E189C"/>
    <w:rsid w:val="001E1B82"/>
    <w:rsid w:val="001E1C8C"/>
    <w:rsid w:val="001E1D40"/>
    <w:rsid w:val="001E1E86"/>
    <w:rsid w:val="001E238E"/>
    <w:rsid w:val="001E2483"/>
    <w:rsid w:val="001E2B1E"/>
    <w:rsid w:val="001E2CFF"/>
    <w:rsid w:val="001E2F24"/>
    <w:rsid w:val="001E305B"/>
    <w:rsid w:val="001E30D4"/>
    <w:rsid w:val="001E34DF"/>
    <w:rsid w:val="001E381B"/>
    <w:rsid w:val="001E52EB"/>
    <w:rsid w:val="001E5755"/>
    <w:rsid w:val="001E61D2"/>
    <w:rsid w:val="001E63A2"/>
    <w:rsid w:val="001E68B3"/>
    <w:rsid w:val="001E694D"/>
    <w:rsid w:val="001E6A72"/>
    <w:rsid w:val="001E6C92"/>
    <w:rsid w:val="001E740C"/>
    <w:rsid w:val="001E761C"/>
    <w:rsid w:val="001E7C9C"/>
    <w:rsid w:val="001F0362"/>
    <w:rsid w:val="001F1235"/>
    <w:rsid w:val="001F19A5"/>
    <w:rsid w:val="001F1CB3"/>
    <w:rsid w:val="001F1F90"/>
    <w:rsid w:val="001F24CD"/>
    <w:rsid w:val="001F2DF1"/>
    <w:rsid w:val="001F38B5"/>
    <w:rsid w:val="001F39CC"/>
    <w:rsid w:val="001F4081"/>
    <w:rsid w:val="001F4B67"/>
    <w:rsid w:val="001F4B94"/>
    <w:rsid w:val="001F4D11"/>
    <w:rsid w:val="001F4E7D"/>
    <w:rsid w:val="001F57AB"/>
    <w:rsid w:val="001F5DDE"/>
    <w:rsid w:val="001F6046"/>
    <w:rsid w:val="001F61A4"/>
    <w:rsid w:val="001F7361"/>
    <w:rsid w:val="001F799A"/>
    <w:rsid w:val="00200AC2"/>
    <w:rsid w:val="00200E3A"/>
    <w:rsid w:val="002011B0"/>
    <w:rsid w:val="00201276"/>
    <w:rsid w:val="002012F4"/>
    <w:rsid w:val="002021D5"/>
    <w:rsid w:val="00202945"/>
    <w:rsid w:val="00203181"/>
    <w:rsid w:val="002032BA"/>
    <w:rsid w:val="00203783"/>
    <w:rsid w:val="0020385F"/>
    <w:rsid w:val="00203A85"/>
    <w:rsid w:val="002045DA"/>
    <w:rsid w:val="0020473F"/>
    <w:rsid w:val="0020516F"/>
    <w:rsid w:val="00205382"/>
    <w:rsid w:val="0020556B"/>
    <w:rsid w:val="00205C34"/>
    <w:rsid w:val="002068A0"/>
    <w:rsid w:val="00206954"/>
    <w:rsid w:val="00206974"/>
    <w:rsid w:val="00207021"/>
    <w:rsid w:val="002071A8"/>
    <w:rsid w:val="0020732F"/>
    <w:rsid w:val="002079B5"/>
    <w:rsid w:val="00207D00"/>
    <w:rsid w:val="00207F34"/>
    <w:rsid w:val="0021013D"/>
    <w:rsid w:val="002105C1"/>
    <w:rsid w:val="00211310"/>
    <w:rsid w:val="002116FD"/>
    <w:rsid w:val="00212243"/>
    <w:rsid w:val="002129DA"/>
    <w:rsid w:val="00212BF8"/>
    <w:rsid w:val="00213DD7"/>
    <w:rsid w:val="00213EF5"/>
    <w:rsid w:val="00214995"/>
    <w:rsid w:val="00215718"/>
    <w:rsid w:val="00216BF5"/>
    <w:rsid w:val="002173E8"/>
    <w:rsid w:val="0021787C"/>
    <w:rsid w:val="00217EEF"/>
    <w:rsid w:val="00220C7D"/>
    <w:rsid w:val="00221DB3"/>
    <w:rsid w:val="00222D33"/>
    <w:rsid w:val="00222EB9"/>
    <w:rsid w:val="00223B49"/>
    <w:rsid w:val="00223D20"/>
    <w:rsid w:val="00223D5A"/>
    <w:rsid w:val="0022406F"/>
    <w:rsid w:val="0022469F"/>
    <w:rsid w:val="00224DD4"/>
    <w:rsid w:val="0022504C"/>
    <w:rsid w:val="00225D46"/>
    <w:rsid w:val="0022687F"/>
    <w:rsid w:val="00226D19"/>
    <w:rsid w:val="002275BB"/>
    <w:rsid w:val="002278A0"/>
    <w:rsid w:val="00230959"/>
    <w:rsid w:val="002309CC"/>
    <w:rsid w:val="00231012"/>
    <w:rsid w:val="002311AF"/>
    <w:rsid w:val="00231259"/>
    <w:rsid w:val="00231406"/>
    <w:rsid w:val="00231BA9"/>
    <w:rsid w:val="0023209F"/>
    <w:rsid w:val="002333D1"/>
    <w:rsid w:val="00233AC3"/>
    <w:rsid w:val="00233B5F"/>
    <w:rsid w:val="00233C01"/>
    <w:rsid w:val="0023413C"/>
    <w:rsid w:val="002342AE"/>
    <w:rsid w:val="002342D4"/>
    <w:rsid w:val="002346F0"/>
    <w:rsid w:val="00234AD5"/>
    <w:rsid w:val="00234B73"/>
    <w:rsid w:val="002358E4"/>
    <w:rsid w:val="0023629D"/>
    <w:rsid w:val="002367CF"/>
    <w:rsid w:val="00237255"/>
    <w:rsid w:val="002375C0"/>
    <w:rsid w:val="00237839"/>
    <w:rsid w:val="0024013C"/>
    <w:rsid w:val="00240C19"/>
    <w:rsid w:val="00241223"/>
    <w:rsid w:val="002424AF"/>
    <w:rsid w:val="00242D0F"/>
    <w:rsid w:val="002439AE"/>
    <w:rsid w:val="002439DC"/>
    <w:rsid w:val="00243B8E"/>
    <w:rsid w:val="002441D2"/>
    <w:rsid w:val="00244B4E"/>
    <w:rsid w:val="00244DC8"/>
    <w:rsid w:val="00245296"/>
    <w:rsid w:val="002452F7"/>
    <w:rsid w:val="002458BA"/>
    <w:rsid w:val="00245AE6"/>
    <w:rsid w:val="00245CE9"/>
    <w:rsid w:val="0024636C"/>
    <w:rsid w:val="002474D0"/>
    <w:rsid w:val="00247925"/>
    <w:rsid w:val="002505DB"/>
    <w:rsid w:val="00251006"/>
    <w:rsid w:val="0025246D"/>
    <w:rsid w:val="002524D5"/>
    <w:rsid w:val="002524D8"/>
    <w:rsid w:val="0025391B"/>
    <w:rsid w:val="00253B1D"/>
    <w:rsid w:val="0025409B"/>
    <w:rsid w:val="00254C6D"/>
    <w:rsid w:val="00254DCF"/>
    <w:rsid w:val="0025534B"/>
    <w:rsid w:val="00255457"/>
    <w:rsid w:val="00255BB7"/>
    <w:rsid w:val="00255D27"/>
    <w:rsid w:val="00256B06"/>
    <w:rsid w:val="00256B62"/>
    <w:rsid w:val="00257541"/>
    <w:rsid w:val="00257562"/>
    <w:rsid w:val="00257A39"/>
    <w:rsid w:val="00257AC4"/>
    <w:rsid w:val="00257BBE"/>
    <w:rsid w:val="00257F80"/>
    <w:rsid w:val="00260338"/>
    <w:rsid w:val="00260483"/>
    <w:rsid w:val="00260D1A"/>
    <w:rsid w:val="00261B32"/>
    <w:rsid w:val="00261EEF"/>
    <w:rsid w:val="002627D5"/>
    <w:rsid w:val="002628D3"/>
    <w:rsid w:val="00262A1A"/>
    <w:rsid w:val="00262A87"/>
    <w:rsid w:val="00262C3D"/>
    <w:rsid w:val="00263D6B"/>
    <w:rsid w:val="00263DFB"/>
    <w:rsid w:val="00264786"/>
    <w:rsid w:val="002648E2"/>
    <w:rsid w:val="00264D26"/>
    <w:rsid w:val="002658C2"/>
    <w:rsid w:val="00265A85"/>
    <w:rsid w:val="002665F8"/>
    <w:rsid w:val="00267642"/>
    <w:rsid w:val="00267AEA"/>
    <w:rsid w:val="00267CA3"/>
    <w:rsid w:val="00270002"/>
    <w:rsid w:val="002700E6"/>
    <w:rsid w:val="00270257"/>
    <w:rsid w:val="002713C1"/>
    <w:rsid w:val="00271680"/>
    <w:rsid w:val="002719D8"/>
    <w:rsid w:val="00271B9D"/>
    <w:rsid w:val="00272932"/>
    <w:rsid w:val="0027294B"/>
    <w:rsid w:val="00273B87"/>
    <w:rsid w:val="00273EB4"/>
    <w:rsid w:val="00274651"/>
    <w:rsid w:val="00274682"/>
    <w:rsid w:val="00274A62"/>
    <w:rsid w:val="00274D75"/>
    <w:rsid w:val="00275158"/>
    <w:rsid w:val="002754B4"/>
    <w:rsid w:val="00275913"/>
    <w:rsid w:val="00275B75"/>
    <w:rsid w:val="00275C5A"/>
    <w:rsid w:val="00276171"/>
    <w:rsid w:val="002763B3"/>
    <w:rsid w:val="002772F7"/>
    <w:rsid w:val="002774E5"/>
    <w:rsid w:val="00277F70"/>
    <w:rsid w:val="002805D8"/>
    <w:rsid w:val="00281014"/>
    <w:rsid w:val="00281ECD"/>
    <w:rsid w:val="002820CB"/>
    <w:rsid w:val="00282831"/>
    <w:rsid w:val="002828B6"/>
    <w:rsid w:val="002828BB"/>
    <w:rsid w:val="00282916"/>
    <w:rsid w:val="00284BF4"/>
    <w:rsid w:val="00284C99"/>
    <w:rsid w:val="002850B0"/>
    <w:rsid w:val="00285983"/>
    <w:rsid w:val="00285BCE"/>
    <w:rsid w:val="0028609D"/>
    <w:rsid w:val="0028665D"/>
    <w:rsid w:val="00287FAA"/>
    <w:rsid w:val="0029054F"/>
    <w:rsid w:val="00290B12"/>
    <w:rsid w:val="00291AE7"/>
    <w:rsid w:val="00292039"/>
    <w:rsid w:val="00293296"/>
    <w:rsid w:val="002942E7"/>
    <w:rsid w:val="0029458C"/>
    <w:rsid w:val="0029460F"/>
    <w:rsid w:val="002948AB"/>
    <w:rsid w:val="00295A03"/>
    <w:rsid w:val="002962E8"/>
    <w:rsid w:val="00297063"/>
    <w:rsid w:val="0029719A"/>
    <w:rsid w:val="00297AAA"/>
    <w:rsid w:val="00297C98"/>
    <w:rsid w:val="002A02ED"/>
    <w:rsid w:val="002A0586"/>
    <w:rsid w:val="002A06DC"/>
    <w:rsid w:val="002A14AB"/>
    <w:rsid w:val="002A2630"/>
    <w:rsid w:val="002A2ADE"/>
    <w:rsid w:val="002A2F50"/>
    <w:rsid w:val="002A3058"/>
    <w:rsid w:val="002A311B"/>
    <w:rsid w:val="002A4026"/>
    <w:rsid w:val="002A5D52"/>
    <w:rsid w:val="002A7943"/>
    <w:rsid w:val="002A7DDF"/>
    <w:rsid w:val="002A7E48"/>
    <w:rsid w:val="002B05A1"/>
    <w:rsid w:val="002B09A4"/>
    <w:rsid w:val="002B1C1F"/>
    <w:rsid w:val="002B310C"/>
    <w:rsid w:val="002B3EA5"/>
    <w:rsid w:val="002B432F"/>
    <w:rsid w:val="002B492F"/>
    <w:rsid w:val="002B514F"/>
    <w:rsid w:val="002B5878"/>
    <w:rsid w:val="002B5E14"/>
    <w:rsid w:val="002B62B3"/>
    <w:rsid w:val="002B6754"/>
    <w:rsid w:val="002B6A09"/>
    <w:rsid w:val="002B6CCE"/>
    <w:rsid w:val="002C04F9"/>
    <w:rsid w:val="002C05D1"/>
    <w:rsid w:val="002C161E"/>
    <w:rsid w:val="002C2510"/>
    <w:rsid w:val="002C2775"/>
    <w:rsid w:val="002C27C1"/>
    <w:rsid w:val="002C36E3"/>
    <w:rsid w:val="002C5099"/>
    <w:rsid w:val="002C522D"/>
    <w:rsid w:val="002C53B1"/>
    <w:rsid w:val="002C5539"/>
    <w:rsid w:val="002C56C9"/>
    <w:rsid w:val="002C5889"/>
    <w:rsid w:val="002C5A53"/>
    <w:rsid w:val="002C60E9"/>
    <w:rsid w:val="002C66D7"/>
    <w:rsid w:val="002C71A4"/>
    <w:rsid w:val="002C71CE"/>
    <w:rsid w:val="002C76D5"/>
    <w:rsid w:val="002C7BB0"/>
    <w:rsid w:val="002D007C"/>
    <w:rsid w:val="002D08F8"/>
    <w:rsid w:val="002D3FB3"/>
    <w:rsid w:val="002D42D2"/>
    <w:rsid w:val="002D484C"/>
    <w:rsid w:val="002D4C77"/>
    <w:rsid w:val="002D577C"/>
    <w:rsid w:val="002D632E"/>
    <w:rsid w:val="002D66F9"/>
    <w:rsid w:val="002D6B49"/>
    <w:rsid w:val="002D6BC6"/>
    <w:rsid w:val="002D6DF3"/>
    <w:rsid w:val="002D7832"/>
    <w:rsid w:val="002E1071"/>
    <w:rsid w:val="002E110F"/>
    <w:rsid w:val="002E15B9"/>
    <w:rsid w:val="002E1660"/>
    <w:rsid w:val="002E17B8"/>
    <w:rsid w:val="002E1861"/>
    <w:rsid w:val="002E1F75"/>
    <w:rsid w:val="002E2158"/>
    <w:rsid w:val="002E2C55"/>
    <w:rsid w:val="002E2D04"/>
    <w:rsid w:val="002E3743"/>
    <w:rsid w:val="002E3852"/>
    <w:rsid w:val="002E3959"/>
    <w:rsid w:val="002E3BA1"/>
    <w:rsid w:val="002E3BD1"/>
    <w:rsid w:val="002E4F02"/>
    <w:rsid w:val="002E5358"/>
    <w:rsid w:val="002E5A15"/>
    <w:rsid w:val="002E6174"/>
    <w:rsid w:val="002E6C14"/>
    <w:rsid w:val="002E7722"/>
    <w:rsid w:val="002E7D3C"/>
    <w:rsid w:val="002F07BA"/>
    <w:rsid w:val="002F0DA9"/>
    <w:rsid w:val="002F1014"/>
    <w:rsid w:val="002F1496"/>
    <w:rsid w:val="002F15E6"/>
    <w:rsid w:val="002F180E"/>
    <w:rsid w:val="002F1E3B"/>
    <w:rsid w:val="002F2C2D"/>
    <w:rsid w:val="002F2E8C"/>
    <w:rsid w:val="002F3E05"/>
    <w:rsid w:val="002F563D"/>
    <w:rsid w:val="002F57A1"/>
    <w:rsid w:val="002F615E"/>
    <w:rsid w:val="002F643C"/>
    <w:rsid w:val="002F69FC"/>
    <w:rsid w:val="002F7024"/>
    <w:rsid w:val="002F71C0"/>
    <w:rsid w:val="002F726B"/>
    <w:rsid w:val="002F74F1"/>
    <w:rsid w:val="002F7879"/>
    <w:rsid w:val="002F79D9"/>
    <w:rsid w:val="002F7A7E"/>
    <w:rsid w:val="002F7EFF"/>
    <w:rsid w:val="0030097E"/>
    <w:rsid w:val="00300BAE"/>
    <w:rsid w:val="00301017"/>
    <w:rsid w:val="0030155F"/>
    <w:rsid w:val="00301951"/>
    <w:rsid w:val="003037BD"/>
    <w:rsid w:val="00304CF7"/>
    <w:rsid w:val="00304F76"/>
    <w:rsid w:val="0030509A"/>
    <w:rsid w:val="0030587B"/>
    <w:rsid w:val="00305DB5"/>
    <w:rsid w:val="00306B01"/>
    <w:rsid w:val="00306D98"/>
    <w:rsid w:val="00307781"/>
    <w:rsid w:val="00307789"/>
    <w:rsid w:val="0030786C"/>
    <w:rsid w:val="0031031A"/>
    <w:rsid w:val="00310981"/>
    <w:rsid w:val="00310E8D"/>
    <w:rsid w:val="00311AE6"/>
    <w:rsid w:val="00311D9B"/>
    <w:rsid w:val="003121F9"/>
    <w:rsid w:val="003124D9"/>
    <w:rsid w:val="00312594"/>
    <w:rsid w:val="0031274A"/>
    <w:rsid w:val="00312F02"/>
    <w:rsid w:val="003131B4"/>
    <w:rsid w:val="00315498"/>
    <w:rsid w:val="00316474"/>
    <w:rsid w:val="00316AF4"/>
    <w:rsid w:val="00316F2E"/>
    <w:rsid w:val="0032072A"/>
    <w:rsid w:val="00320739"/>
    <w:rsid w:val="00320887"/>
    <w:rsid w:val="00320968"/>
    <w:rsid w:val="00320EE6"/>
    <w:rsid w:val="00322107"/>
    <w:rsid w:val="00322355"/>
    <w:rsid w:val="00322846"/>
    <w:rsid w:val="00323F34"/>
    <w:rsid w:val="00324586"/>
    <w:rsid w:val="0032467E"/>
    <w:rsid w:val="00326C41"/>
    <w:rsid w:val="00326DA7"/>
    <w:rsid w:val="003270E4"/>
    <w:rsid w:val="00327306"/>
    <w:rsid w:val="003275EE"/>
    <w:rsid w:val="00327689"/>
    <w:rsid w:val="003302E6"/>
    <w:rsid w:val="00330DAA"/>
    <w:rsid w:val="00330F5C"/>
    <w:rsid w:val="003311A9"/>
    <w:rsid w:val="0033190C"/>
    <w:rsid w:val="00331EC5"/>
    <w:rsid w:val="0033204D"/>
    <w:rsid w:val="003322F7"/>
    <w:rsid w:val="003323F6"/>
    <w:rsid w:val="003326A8"/>
    <w:rsid w:val="00332E84"/>
    <w:rsid w:val="003331EB"/>
    <w:rsid w:val="00333207"/>
    <w:rsid w:val="0033402A"/>
    <w:rsid w:val="00334464"/>
    <w:rsid w:val="00334518"/>
    <w:rsid w:val="00334564"/>
    <w:rsid w:val="00334DF2"/>
    <w:rsid w:val="0033554B"/>
    <w:rsid w:val="003357D8"/>
    <w:rsid w:val="003363CB"/>
    <w:rsid w:val="0033661D"/>
    <w:rsid w:val="003366C9"/>
    <w:rsid w:val="0033698A"/>
    <w:rsid w:val="003371B0"/>
    <w:rsid w:val="00340261"/>
    <w:rsid w:val="00340530"/>
    <w:rsid w:val="00340589"/>
    <w:rsid w:val="0034064A"/>
    <w:rsid w:val="00340ADC"/>
    <w:rsid w:val="00340C0F"/>
    <w:rsid w:val="00340DF1"/>
    <w:rsid w:val="003419EF"/>
    <w:rsid w:val="003423A5"/>
    <w:rsid w:val="00342741"/>
    <w:rsid w:val="003434EF"/>
    <w:rsid w:val="00343A27"/>
    <w:rsid w:val="00343EC3"/>
    <w:rsid w:val="00343F84"/>
    <w:rsid w:val="0034400A"/>
    <w:rsid w:val="003441B6"/>
    <w:rsid w:val="00344BCC"/>
    <w:rsid w:val="00344C3C"/>
    <w:rsid w:val="00345D8D"/>
    <w:rsid w:val="00347322"/>
    <w:rsid w:val="0034757D"/>
    <w:rsid w:val="00350E4A"/>
    <w:rsid w:val="0035124F"/>
    <w:rsid w:val="003517F9"/>
    <w:rsid w:val="00351A53"/>
    <w:rsid w:val="00351BA9"/>
    <w:rsid w:val="00352606"/>
    <w:rsid w:val="00352C94"/>
    <w:rsid w:val="00352F30"/>
    <w:rsid w:val="0035416C"/>
    <w:rsid w:val="00354704"/>
    <w:rsid w:val="00354F0C"/>
    <w:rsid w:val="00354F64"/>
    <w:rsid w:val="00354FD7"/>
    <w:rsid w:val="003560B2"/>
    <w:rsid w:val="0035620E"/>
    <w:rsid w:val="0035660B"/>
    <w:rsid w:val="003575BE"/>
    <w:rsid w:val="00357E5C"/>
    <w:rsid w:val="00357EB7"/>
    <w:rsid w:val="00357FE1"/>
    <w:rsid w:val="00360345"/>
    <w:rsid w:val="00361238"/>
    <w:rsid w:val="00361679"/>
    <w:rsid w:val="00361A05"/>
    <w:rsid w:val="00361BB3"/>
    <w:rsid w:val="0036221E"/>
    <w:rsid w:val="003624C4"/>
    <w:rsid w:val="00363150"/>
    <w:rsid w:val="003633E5"/>
    <w:rsid w:val="0036360A"/>
    <w:rsid w:val="00363698"/>
    <w:rsid w:val="00363B00"/>
    <w:rsid w:val="00363CBD"/>
    <w:rsid w:val="003644C8"/>
    <w:rsid w:val="00364E3B"/>
    <w:rsid w:val="003654AC"/>
    <w:rsid w:val="00365A42"/>
    <w:rsid w:val="00365B06"/>
    <w:rsid w:val="003660DA"/>
    <w:rsid w:val="00366458"/>
    <w:rsid w:val="00367573"/>
    <w:rsid w:val="0037024F"/>
    <w:rsid w:val="003703BB"/>
    <w:rsid w:val="003709BF"/>
    <w:rsid w:val="003710CF"/>
    <w:rsid w:val="0037186F"/>
    <w:rsid w:val="00373260"/>
    <w:rsid w:val="0037358A"/>
    <w:rsid w:val="00373773"/>
    <w:rsid w:val="00374B91"/>
    <w:rsid w:val="003750F6"/>
    <w:rsid w:val="0037518D"/>
    <w:rsid w:val="00375981"/>
    <w:rsid w:val="00375B5B"/>
    <w:rsid w:val="003760FC"/>
    <w:rsid w:val="0037629F"/>
    <w:rsid w:val="00376A4F"/>
    <w:rsid w:val="00377E8F"/>
    <w:rsid w:val="003815B5"/>
    <w:rsid w:val="00381707"/>
    <w:rsid w:val="00381C4F"/>
    <w:rsid w:val="00381DC3"/>
    <w:rsid w:val="003828AE"/>
    <w:rsid w:val="0038365C"/>
    <w:rsid w:val="0038369B"/>
    <w:rsid w:val="0038381D"/>
    <w:rsid w:val="00383B78"/>
    <w:rsid w:val="00383F3D"/>
    <w:rsid w:val="00384BAF"/>
    <w:rsid w:val="003851B3"/>
    <w:rsid w:val="00385349"/>
    <w:rsid w:val="00385A7D"/>
    <w:rsid w:val="00385A9D"/>
    <w:rsid w:val="00385ABC"/>
    <w:rsid w:val="00386DF0"/>
    <w:rsid w:val="00387121"/>
    <w:rsid w:val="00387798"/>
    <w:rsid w:val="00387AF3"/>
    <w:rsid w:val="003902B1"/>
    <w:rsid w:val="00390390"/>
    <w:rsid w:val="0039104B"/>
    <w:rsid w:val="003910DB"/>
    <w:rsid w:val="0039179C"/>
    <w:rsid w:val="003932B5"/>
    <w:rsid w:val="00393530"/>
    <w:rsid w:val="00394132"/>
    <w:rsid w:val="00394977"/>
    <w:rsid w:val="00396896"/>
    <w:rsid w:val="00396FD0"/>
    <w:rsid w:val="003A0918"/>
    <w:rsid w:val="003A1545"/>
    <w:rsid w:val="003A1A7A"/>
    <w:rsid w:val="003A2392"/>
    <w:rsid w:val="003A2831"/>
    <w:rsid w:val="003A3208"/>
    <w:rsid w:val="003A328E"/>
    <w:rsid w:val="003A3CB6"/>
    <w:rsid w:val="003A3ED1"/>
    <w:rsid w:val="003A3F90"/>
    <w:rsid w:val="003A44DB"/>
    <w:rsid w:val="003A48B3"/>
    <w:rsid w:val="003A4C14"/>
    <w:rsid w:val="003A4CEA"/>
    <w:rsid w:val="003A5607"/>
    <w:rsid w:val="003A639A"/>
    <w:rsid w:val="003B0180"/>
    <w:rsid w:val="003B0D89"/>
    <w:rsid w:val="003B1456"/>
    <w:rsid w:val="003B1D83"/>
    <w:rsid w:val="003B37C7"/>
    <w:rsid w:val="003B3971"/>
    <w:rsid w:val="003B3EA7"/>
    <w:rsid w:val="003B43AD"/>
    <w:rsid w:val="003B55D1"/>
    <w:rsid w:val="003B585E"/>
    <w:rsid w:val="003B5B61"/>
    <w:rsid w:val="003B608F"/>
    <w:rsid w:val="003B7544"/>
    <w:rsid w:val="003B758E"/>
    <w:rsid w:val="003C03DC"/>
    <w:rsid w:val="003C04DD"/>
    <w:rsid w:val="003C15DD"/>
    <w:rsid w:val="003C1654"/>
    <w:rsid w:val="003C17A7"/>
    <w:rsid w:val="003C2E08"/>
    <w:rsid w:val="003C31A6"/>
    <w:rsid w:val="003C5542"/>
    <w:rsid w:val="003C5C09"/>
    <w:rsid w:val="003C6685"/>
    <w:rsid w:val="003C67F9"/>
    <w:rsid w:val="003C6D80"/>
    <w:rsid w:val="003C6FE1"/>
    <w:rsid w:val="003C7413"/>
    <w:rsid w:val="003C74C1"/>
    <w:rsid w:val="003C7C15"/>
    <w:rsid w:val="003C7D19"/>
    <w:rsid w:val="003C7D2F"/>
    <w:rsid w:val="003D0C5A"/>
    <w:rsid w:val="003D0E30"/>
    <w:rsid w:val="003D1613"/>
    <w:rsid w:val="003D1828"/>
    <w:rsid w:val="003D1DE4"/>
    <w:rsid w:val="003D1E9A"/>
    <w:rsid w:val="003D2422"/>
    <w:rsid w:val="003D27DC"/>
    <w:rsid w:val="003D39A1"/>
    <w:rsid w:val="003D39CB"/>
    <w:rsid w:val="003D3FBF"/>
    <w:rsid w:val="003D44F0"/>
    <w:rsid w:val="003D4A30"/>
    <w:rsid w:val="003D51E7"/>
    <w:rsid w:val="003D6594"/>
    <w:rsid w:val="003D6781"/>
    <w:rsid w:val="003D709E"/>
    <w:rsid w:val="003D7452"/>
    <w:rsid w:val="003D79BB"/>
    <w:rsid w:val="003D7C98"/>
    <w:rsid w:val="003D7D9D"/>
    <w:rsid w:val="003E03AB"/>
    <w:rsid w:val="003E0543"/>
    <w:rsid w:val="003E09E8"/>
    <w:rsid w:val="003E5603"/>
    <w:rsid w:val="003E578D"/>
    <w:rsid w:val="003E5A58"/>
    <w:rsid w:val="003E5AC6"/>
    <w:rsid w:val="003E749E"/>
    <w:rsid w:val="003E7BAB"/>
    <w:rsid w:val="003F0544"/>
    <w:rsid w:val="003F0B34"/>
    <w:rsid w:val="003F0D1E"/>
    <w:rsid w:val="003F0EC7"/>
    <w:rsid w:val="003F1549"/>
    <w:rsid w:val="003F238D"/>
    <w:rsid w:val="003F349D"/>
    <w:rsid w:val="003F3DB5"/>
    <w:rsid w:val="003F3E8C"/>
    <w:rsid w:val="003F3F06"/>
    <w:rsid w:val="003F4156"/>
    <w:rsid w:val="003F41D9"/>
    <w:rsid w:val="003F4335"/>
    <w:rsid w:val="003F5ADF"/>
    <w:rsid w:val="003F5ED1"/>
    <w:rsid w:val="003F619E"/>
    <w:rsid w:val="003F63F8"/>
    <w:rsid w:val="003F7C63"/>
    <w:rsid w:val="003F7F99"/>
    <w:rsid w:val="00400594"/>
    <w:rsid w:val="00400A0C"/>
    <w:rsid w:val="00400B29"/>
    <w:rsid w:val="00400CC7"/>
    <w:rsid w:val="00401F0B"/>
    <w:rsid w:val="00401F93"/>
    <w:rsid w:val="00402776"/>
    <w:rsid w:val="00402812"/>
    <w:rsid w:val="00403573"/>
    <w:rsid w:val="00403E39"/>
    <w:rsid w:val="00403F37"/>
    <w:rsid w:val="00404A22"/>
    <w:rsid w:val="0040504B"/>
    <w:rsid w:val="00405321"/>
    <w:rsid w:val="004059F4"/>
    <w:rsid w:val="00405A98"/>
    <w:rsid w:val="00406EF8"/>
    <w:rsid w:val="004076F5"/>
    <w:rsid w:val="00407FE5"/>
    <w:rsid w:val="004101B0"/>
    <w:rsid w:val="00410326"/>
    <w:rsid w:val="00410361"/>
    <w:rsid w:val="00410708"/>
    <w:rsid w:val="0041072C"/>
    <w:rsid w:val="00410EC7"/>
    <w:rsid w:val="00411B39"/>
    <w:rsid w:val="00411BE8"/>
    <w:rsid w:val="00412100"/>
    <w:rsid w:val="004127A7"/>
    <w:rsid w:val="004129E1"/>
    <w:rsid w:val="00413A1E"/>
    <w:rsid w:val="00413AD2"/>
    <w:rsid w:val="00414283"/>
    <w:rsid w:val="00414476"/>
    <w:rsid w:val="00414C2E"/>
    <w:rsid w:val="00414C4E"/>
    <w:rsid w:val="004151CF"/>
    <w:rsid w:val="004158AE"/>
    <w:rsid w:val="00416016"/>
    <w:rsid w:val="00416364"/>
    <w:rsid w:val="00416671"/>
    <w:rsid w:val="00416BD5"/>
    <w:rsid w:val="0041706A"/>
    <w:rsid w:val="0041768C"/>
    <w:rsid w:val="00417991"/>
    <w:rsid w:val="00417E16"/>
    <w:rsid w:val="00417E6A"/>
    <w:rsid w:val="0042047F"/>
    <w:rsid w:val="0042082C"/>
    <w:rsid w:val="0042099C"/>
    <w:rsid w:val="00420AA6"/>
    <w:rsid w:val="00420B9F"/>
    <w:rsid w:val="0042192C"/>
    <w:rsid w:val="00421C46"/>
    <w:rsid w:val="00421E59"/>
    <w:rsid w:val="00422079"/>
    <w:rsid w:val="00422260"/>
    <w:rsid w:val="004227BC"/>
    <w:rsid w:val="00422972"/>
    <w:rsid w:val="004229FC"/>
    <w:rsid w:val="00422AFC"/>
    <w:rsid w:val="00423314"/>
    <w:rsid w:val="0042351A"/>
    <w:rsid w:val="0042413F"/>
    <w:rsid w:val="004256CD"/>
    <w:rsid w:val="004260BD"/>
    <w:rsid w:val="004267B7"/>
    <w:rsid w:val="00426D4B"/>
    <w:rsid w:val="004278C2"/>
    <w:rsid w:val="004305E3"/>
    <w:rsid w:val="004307CC"/>
    <w:rsid w:val="0043113F"/>
    <w:rsid w:val="004319F8"/>
    <w:rsid w:val="00431D55"/>
    <w:rsid w:val="00431E55"/>
    <w:rsid w:val="004321F6"/>
    <w:rsid w:val="00432B0B"/>
    <w:rsid w:val="00432C9C"/>
    <w:rsid w:val="00433044"/>
    <w:rsid w:val="0043322F"/>
    <w:rsid w:val="00433340"/>
    <w:rsid w:val="00434088"/>
    <w:rsid w:val="004342C5"/>
    <w:rsid w:val="00436DAE"/>
    <w:rsid w:val="004370A5"/>
    <w:rsid w:val="004375B9"/>
    <w:rsid w:val="004404AE"/>
    <w:rsid w:val="00440B42"/>
    <w:rsid w:val="004413F7"/>
    <w:rsid w:val="00442756"/>
    <w:rsid w:val="00442844"/>
    <w:rsid w:val="004428D0"/>
    <w:rsid w:val="00442CBF"/>
    <w:rsid w:val="00442D66"/>
    <w:rsid w:val="00443654"/>
    <w:rsid w:val="00443BFE"/>
    <w:rsid w:val="00444185"/>
    <w:rsid w:val="004443A7"/>
    <w:rsid w:val="0044442C"/>
    <w:rsid w:val="004445C4"/>
    <w:rsid w:val="00444803"/>
    <w:rsid w:val="00444BE6"/>
    <w:rsid w:val="00444FCB"/>
    <w:rsid w:val="00445650"/>
    <w:rsid w:val="00445941"/>
    <w:rsid w:val="0044644C"/>
    <w:rsid w:val="004464EB"/>
    <w:rsid w:val="004474D5"/>
    <w:rsid w:val="0044771D"/>
    <w:rsid w:val="00447D26"/>
    <w:rsid w:val="00447DFC"/>
    <w:rsid w:val="00450CC7"/>
    <w:rsid w:val="00450D30"/>
    <w:rsid w:val="004512DB"/>
    <w:rsid w:val="00453896"/>
    <w:rsid w:val="004541E6"/>
    <w:rsid w:val="004541FB"/>
    <w:rsid w:val="00454283"/>
    <w:rsid w:val="004544C4"/>
    <w:rsid w:val="004547C2"/>
    <w:rsid w:val="00454972"/>
    <w:rsid w:val="00454997"/>
    <w:rsid w:val="00454D6B"/>
    <w:rsid w:val="00455D45"/>
    <w:rsid w:val="00455D94"/>
    <w:rsid w:val="00456AF7"/>
    <w:rsid w:val="004576B4"/>
    <w:rsid w:val="00457942"/>
    <w:rsid w:val="00460226"/>
    <w:rsid w:val="004611C9"/>
    <w:rsid w:val="004614AC"/>
    <w:rsid w:val="004635EF"/>
    <w:rsid w:val="00463917"/>
    <w:rsid w:val="00464029"/>
    <w:rsid w:val="00464595"/>
    <w:rsid w:val="004651DC"/>
    <w:rsid w:val="0046523B"/>
    <w:rsid w:val="004653F9"/>
    <w:rsid w:val="004658B5"/>
    <w:rsid w:val="0046726F"/>
    <w:rsid w:val="0046727E"/>
    <w:rsid w:val="0047069F"/>
    <w:rsid w:val="00470F25"/>
    <w:rsid w:val="004718B1"/>
    <w:rsid w:val="00471BDE"/>
    <w:rsid w:val="00471C02"/>
    <w:rsid w:val="00471EA5"/>
    <w:rsid w:val="00472A71"/>
    <w:rsid w:val="00472A79"/>
    <w:rsid w:val="0047331C"/>
    <w:rsid w:val="00473F19"/>
    <w:rsid w:val="004740F4"/>
    <w:rsid w:val="00474510"/>
    <w:rsid w:val="00474FD3"/>
    <w:rsid w:val="0047559E"/>
    <w:rsid w:val="00475ADB"/>
    <w:rsid w:val="00475B62"/>
    <w:rsid w:val="00475E22"/>
    <w:rsid w:val="0047661E"/>
    <w:rsid w:val="00477052"/>
    <w:rsid w:val="00477BAB"/>
    <w:rsid w:val="00477BCE"/>
    <w:rsid w:val="0048029C"/>
    <w:rsid w:val="0048088E"/>
    <w:rsid w:val="00480F2B"/>
    <w:rsid w:val="004814F1"/>
    <w:rsid w:val="00482223"/>
    <w:rsid w:val="00482720"/>
    <w:rsid w:val="00482C5B"/>
    <w:rsid w:val="00483270"/>
    <w:rsid w:val="00483313"/>
    <w:rsid w:val="004833FF"/>
    <w:rsid w:val="004835E7"/>
    <w:rsid w:val="00484272"/>
    <w:rsid w:val="00484DEE"/>
    <w:rsid w:val="004859E1"/>
    <w:rsid w:val="00486119"/>
    <w:rsid w:val="00486432"/>
    <w:rsid w:val="004867E2"/>
    <w:rsid w:val="00486872"/>
    <w:rsid w:val="00486AF8"/>
    <w:rsid w:val="00487219"/>
    <w:rsid w:val="00490B17"/>
    <w:rsid w:val="00490BDF"/>
    <w:rsid w:val="00491366"/>
    <w:rsid w:val="00491B3A"/>
    <w:rsid w:val="00492B17"/>
    <w:rsid w:val="00492CFD"/>
    <w:rsid w:val="004938B2"/>
    <w:rsid w:val="00494207"/>
    <w:rsid w:val="004949FE"/>
    <w:rsid w:val="00494DD5"/>
    <w:rsid w:val="004952CE"/>
    <w:rsid w:val="00495869"/>
    <w:rsid w:val="0049607F"/>
    <w:rsid w:val="004962D2"/>
    <w:rsid w:val="004963F5"/>
    <w:rsid w:val="004974E2"/>
    <w:rsid w:val="00497C07"/>
    <w:rsid w:val="004A0DA1"/>
    <w:rsid w:val="004A10BF"/>
    <w:rsid w:val="004A13D6"/>
    <w:rsid w:val="004A2D00"/>
    <w:rsid w:val="004A36CE"/>
    <w:rsid w:val="004A3D9E"/>
    <w:rsid w:val="004A40ED"/>
    <w:rsid w:val="004A42D4"/>
    <w:rsid w:val="004A47AF"/>
    <w:rsid w:val="004A52E9"/>
    <w:rsid w:val="004A5481"/>
    <w:rsid w:val="004A5835"/>
    <w:rsid w:val="004A5BAA"/>
    <w:rsid w:val="004A6040"/>
    <w:rsid w:val="004A6597"/>
    <w:rsid w:val="004A6B80"/>
    <w:rsid w:val="004A752C"/>
    <w:rsid w:val="004A7848"/>
    <w:rsid w:val="004A78B5"/>
    <w:rsid w:val="004A793B"/>
    <w:rsid w:val="004A795C"/>
    <w:rsid w:val="004B04EC"/>
    <w:rsid w:val="004B0B8A"/>
    <w:rsid w:val="004B0D4D"/>
    <w:rsid w:val="004B1CB4"/>
    <w:rsid w:val="004B27E0"/>
    <w:rsid w:val="004B2F18"/>
    <w:rsid w:val="004B388B"/>
    <w:rsid w:val="004B3C43"/>
    <w:rsid w:val="004B3DDB"/>
    <w:rsid w:val="004B42C9"/>
    <w:rsid w:val="004B44FD"/>
    <w:rsid w:val="004B478D"/>
    <w:rsid w:val="004B5CFC"/>
    <w:rsid w:val="004B60D7"/>
    <w:rsid w:val="004B6548"/>
    <w:rsid w:val="004B6B56"/>
    <w:rsid w:val="004B6EFA"/>
    <w:rsid w:val="004B6F79"/>
    <w:rsid w:val="004B743E"/>
    <w:rsid w:val="004B774D"/>
    <w:rsid w:val="004C0748"/>
    <w:rsid w:val="004C0853"/>
    <w:rsid w:val="004C0859"/>
    <w:rsid w:val="004C1A53"/>
    <w:rsid w:val="004C219F"/>
    <w:rsid w:val="004C2AC2"/>
    <w:rsid w:val="004C2C6D"/>
    <w:rsid w:val="004C49B0"/>
    <w:rsid w:val="004C4AED"/>
    <w:rsid w:val="004C5F01"/>
    <w:rsid w:val="004C66CC"/>
    <w:rsid w:val="004C66FE"/>
    <w:rsid w:val="004C758E"/>
    <w:rsid w:val="004C78D0"/>
    <w:rsid w:val="004C7A3A"/>
    <w:rsid w:val="004C7CE0"/>
    <w:rsid w:val="004D004C"/>
    <w:rsid w:val="004D02DB"/>
    <w:rsid w:val="004D0A37"/>
    <w:rsid w:val="004D0CC2"/>
    <w:rsid w:val="004D1913"/>
    <w:rsid w:val="004D1AC9"/>
    <w:rsid w:val="004D2C2D"/>
    <w:rsid w:val="004D32A7"/>
    <w:rsid w:val="004D3714"/>
    <w:rsid w:val="004D3DF1"/>
    <w:rsid w:val="004D4072"/>
    <w:rsid w:val="004D44EF"/>
    <w:rsid w:val="004D45A9"/>
    <w:rsid w:val="004D4EC2"/>
    <w:rsid w:val="004D69B5"/>
    <w:rsid w:val="004D7227"/>
    <w:rsid w:val="004D796B"/>
    <w:rsid w:val="004D7AFF"/>
    <w:rsid w:val="004D7B5E"/>
    <w:rsid w:val="004D7EC7"/>
    <w:rsid w:val="004E0C19"/>
    <w:rsid w:val="004E0E7F"/>
    <w:rsid w:val="004E0EB8"/>
    <w:rsid w:val="004E18E9"/>
    <w:rsid w:val="004E22E3"/>
    <w:rsid w:val="004E2448"/>
    <w:rsid w:val="004E27E7"/>
    <w:rsid w:val="004E2ADC"/>
    <w:rsid w:val="004E3C2E"/>
    <w:rsid w:val="004E43B2"/>
    <w:rsid w:val="004E456C"/>
    <w:rsid w:val="004E5184"/>
    <w:rsid w:val="004E5AD4"/>
    <w:rsid w:val="004E6357"/>
    <w:rsid w:val="004E71C2"/>
    <w:rsid w:val="004E79C8"/>
    <w:rsid w:val="004E7B6E"/>
    <w:rsid w:val="004E7C7C"/>
    <w:rsid w:val="004F0265"/>
    <w:rsid w:val="004F1D02"/>
    <w:rsid w:val="004F2679"/>
    <w:rsid w:val="004F2F21"/>
    <w:rsid w:val="004F3342"/>
    <w:rsid w:val="004F3A9B"/>
    <w:rsid w:val="004F3DE5"/>
    <w:rsid w:val="004F47FD"/>
    <w:rsid w:val="004F47FF"/>
    <w:rsid w:val="004F4AAB"/>
    <w:rsid w:val="004F55A1"/>
    <w:rsid w:val="004F5DB5"/>
    <w:rsid w:val="004F5EA9"/>
    <w:rsid w:val="004F6913"/>
    <w:rsid w:val="004F7865"/>
    <w:rsid w:val="004F7DB9"/>
    <w:rsid w:val="00500412"/>
    <w:rsid w:val="005005CA"/>
    <w:rsid w:val="005013B4"/>
    <w:rsid w:val="005014A2"/>
    <w:rsid w:val="0050174E"/>
    <w:rsid w:val="00501854"/>
    <w:rsid w:val="00501A6D"/>
    <w:rsid w:val="0050219B"/>
    <w:rsid w:val="00503109"/>
    <w:rsid w:val="00503B6A"/>
    <w:rsid w:val="00503F17"/>
    <w:rsid w:val="00503F3A"/>
    <w:rsid w:val="005040E7"/>
    <w:rsid w:val="005057C2"/>
    <w:rsid w:val="00505DDE"/>
    <w:rsid w:val="00506928"/>
    <w:rsid w:val="005071DD"/>
    <w:rsid w:val="005074B7"/>
    <w:rsid w:val="005077EF"/>
    <w:rsid w:val="005105F4"/>
    <w:rsid w:val="00511583"/>
    <w:rsid w:val="00511AD5"/>
    <w:rsid w:val="00511D9D"/>
    <w:rsid w:val="00511DC7"/>
    <w:rsid w:val="00512095"/>
    <w:rsid w:val="005121E0"/>
    <w:rsid w:val="005123C4"/>
    <w:rsid w:val="00513F0A"/>
    <w:rsid w:val="005142C5"/>
    <w:rsid w:val="0051501B"/>
    <w:rsid w:val="005152B5"/>
    <w:rsid w:val="005152E0"/>
    <w:rsid w:val="0051538D"/>
    <w:rsid w:val="0051551A"/>
    <w:rsid w:val="00515886"/>
    <w:rsid w:val="0051672C"/>
    <w:rsid w:val="005173CA"/>
    <w:rsid w:val="00517C1C"/>
    <w:rsid w:val="005203F2"/>
    <w:rsid w:val="00520B44"/>
    <w:rsid w:val="005211B3"/>
    <w:rsid w:val="0052123C"/>
    <w:rsid w:val="00521319"/>
    <w:rsid w:val="00521FD2"/>
    <w:rsid w:val="0052241C"/>
    <w:rsid w:val="00522BC8"/>
    <w:rsid w:val="00523C28"/>
    <w:rsid w:val="00524AD6"/>
    <w:rsid w:val="00525F30"/>
    <w:rsid w:val="0052756D"/>
    <w:rsid w:val="005276B0"/>
    <w:rsid w:val="0052782D"/>
    <w:rsid w:val="00527912"/>
    <w:rsid w:val="0053176B"/>
    <w:rsid w:val="005341B3"/>
    <w:rsid w:val="00534975"/>
    <w:rsid w:val="00535414"/>
    <w:rsid w:val="00535D6E"/>
    <w:rsid w:val="00536365"/>
    <w:rsid w:val="005368FB"/>
    <w:rsid w:val="00536990"/>
    <w:rsid w:val="00536B60"/>
    <w:rsid w:val="00536F42"/>
    <w:rsid w:val="00536FEA"/>
    <w:rsid w:val="00537182"/>
    <w:rsid w:val="005400A8"/>
    <w:rsid w:val="00540237"/>
    <w:rsid w:val="005403D3"/>
    <w:rsid w:val="00540515"/>
    <w:rsid w:val="00540976"/>
    <w:rsid w:val="00540BE0"/>
    <w:rsid w:val="0054116C"/>
    <w:rsid w:val="00541EDD"/>
    <w:rsid w:val="00542743"/>
    <w:rsid w:val="00542C2D"/>
    <w:rsid w:val="00542FC8"/>
    <w:rsid w:val="0054365D"/>
    <w:rsid w:val="00544407"/>
    <w:rsid w:val="00546F01"/>
    <w:rsid w:val="005470D9"/>
    <w:rsid w:val="00547857"/>
    <w:rsid w:val="005478BD"/>
    <w:rsid w:val="005479E3"/>
    <w:rsid w:val="005507A1"/>
    <w:rsid w:val="005513E3"/>
    <w:rsid w:val="00551985"/>
    <w:rsid w:val="00552BD3"/>
    <w:rsid w:val="005532A0"/>
    <w:rsid w:val="00553F07"/>
    <w:rsid w:val="005547BC"/>
    <w:rsid w:val="00554AEF"/>
    <w:rsid w:val="005550BE"/>
    <w:rsid w:val="00555109"/>
    <w:rsid w:val="0055687D"/>
    <w:rsid w:val="00556B35"/>
    <w:rsid w:val="0055741A"/>
    <w:rsid w:val="00557750"/>
    <w:rsid w:val="005605B3"/>
    <w:rsid w:val="00560759"/>
    <w:rsid w:val="005611B7"/>
    <w:rsid w:val="00561565"/>
    <w:rsid w:val="005618D4"/>
    <w:rsid w:val="00561A49"/>
    <w:rsid w:val="00562D2E"/>
    <w:rsid w:val="00562FAB"/>
    <w:rsid w:val="0056343A"/>
    <w:rsid w:val="005636DC"/>
    <w:rsid w:val="0056467F"/>
    <w:rsid w:val="00564867"/>
    <w:rsid w:val="00564DC7"/>
    <w:rsid w:val="00565436"/>
    <w:rsid w:val="00565C79"/>
    <w:rsid w:val="00565DF0"/>
    <w:rsid w:val="00565F68"/>
    <w:rsid w:val="0056614E"/>
    <w:rsid w:val="005665F8"/>
    <w:rsid w:val="0056696F"/>
    <w:rsid w:val="0056723D"/>
    <w:rsid w:val="005701D1"/>
    <w:rsid w:val="00570659"/>
    <w:rsid w:val="0057081C"/>
    <w:rsid w:val="00570A44"/>
    <w:rsid w:val="0057109E"/>
    <w:rsid w:val="00572269"/>
    <w:rsid w:val="005722D6"/>
    <w:rsid w:val="0057244A"/>
    <w:rsid w:val="00572B50"/>
    <w:rsid w:val="00572F26"/>
    <w:rsid w:val="00573671"/>
    <w:rsid w:val="005747CF"/>
    <w:rsid w:val="00574849"/>
    <w:rsid w:val="00574898"/>
    <w:rsid w:val="00574C13"/>
    <w:rsid w:val="005750C5"/>
    <w:rsid w:val="005752DE"/>
    <w:rsid w:val="00575742"/>
    <w:rsid w:val="00575D60"/>
    <w:rsid w:val="00575D8D"/>
    <w:rsid w:val="0057613E"/>
    <w:rsid w:val="005763D4"/>
    <w:rsid w:val="00576972"/>
    <w:rsid w:val="00576C8D"/>
    <w:rsid w:val="00577248"/>
    <w:rsid w:val="005777E9"/>
    <w:rsid w:val="00577B9C"/>
    <w:rsid w:val="005805D8"/>
    <w:rsid w:val="00581779"/>
    <w:rsid w:val="00581787"/>
    <w:rsid w:val="00582EC8"/>
    <w:rsid w:val="00583699"/>
    <w:rsid w:val="005837D8"/>
    <w:rsid w:val="005848E1"/>
    <w:rsid w:val="00585CDD"/>
    <w:rsid w:val="005868A1"/>
    <w:rsid w:val="00587058"/>
    <w:rsid w:val="00587ABE"/>
    <w:rsid w:val="00591957"/>
    <w:rsid w:val="00591C79"/>
    <w:rsid w:val="00592025"/>
    <w:rsid w:val="0059323A"/>
    <w:rsid w:val="0059364D"/>
    <w:rsid w:val="005939B5"/>
    <w:rsid w:val="00593A84"/>
    <w:rsid w:val="0059420F"/>
    <w:rsid w:val="00594CA9"/>
    <w:rsid w:val="00594F56"/>
    <w:rsid w:val="005951FC"/>
    <w:rsid w:val="005952C1"/>
    <w:rsid w:val="005953E5"/>
    <w:rsid w:val="00595929"/>
    <w:rsid w:val="005963DC"/>
    <w:rsid w:val="005969F7"/>
    <w:rsid w:val="00596BC3"/>
    <w:rsid w:val="00597946"/>
    <w:rsid w:val="00597BF9"/>
    <w:rsid w:val="005A05E6"/>
    <w:rsid w:val="005A0C11"/>
    <w:rsid w:val="005A1C8F"/>
    <w:rsid w:val="005A1C98"/>
    <w:rsid w:val="005A1F7F"/>
    <w:rsid w:val="005A2C97"/>
    <w:rsid w:val="005A2E52"/>
    <w:rsid w:val="005A309A"/>
    <w:rsid w:val="005A373D"/>
    <w:rsid w:val="005A457E"/>
    <w:rsid w:val="005A4720"/>
    <w:rsid w:val="005A500B"/>
    <w:rsid w:val="005A53A6"/>
    <w:rsid w:val="005A5E83"/>
    <w:rsid w:val="005A5EC2"/>
    <w:rsid w:val="005A5FE2"/>
    <w:rsid w:val="005A7120"/>
    <w:rsid w:val="005A7350"/>
    <w:rsid w:val="005A73D5"/>
    <w:rsid w:val="005A7EB3"/>
    <w:rsid w:val="005B04F8"/>
    <w:rsid w:val="005B0B58"/>
    <w:rsid w:val="005B0F44"/>
    <w:rsid w:val="005B16C1"/>
    <w:rsid w:val="005B2853"/>
    <w:rsid w:val="005B3BDC"/>
    <w:rsid w:val="005B4419"/>
    <w:rsid w:val="005B4E53"/>
    <w:rsid w:val="005B50CA"/>
    <w:rsid w:val="005B5514"/>
    <w:rsid w:val="005B5857"/>
    <w:rsid w:val="005B5D33"/>
    <w:rsid w:val="005B6938"/>
    <w:rsid w:val="005B6CB1"/>
    <w:rsid w:val="005B72EF"/>
    <w:rsid w:val="005C00E6"/>
    <w:rsid w:val="005C02F8"/>
    <w:rsid w:val="005C1328"/>
    <w:rsid w:val="005C14AB"/>
    <w:rsid w:val="005C16AF"/>
    <w:rsid w:val="005C1761"/>
    <w:rsid w:val="005C17E5"/>
    <w:rsid w:val="005C18A1"/>
    <w:rsid w:val="005C19C4"/>
    <w:rsid w:val="005C1B83"/>
    <w:rsid w:val="005C25FF"/>
    <w:rsid w:val="005C27A1"/>
    <w:rsid w:val="005C29D5"/>
    <w:rsid w:val="005C2D55"/>
    <w:rsid w:val="005C346B"/>
    <w:rsid w:val="005C4016"/>
    <w:rsid w:val="005C4979"/>
    <w:rsid w:val="005C597F"/>
    <w:rsid w:val="005C5ABC"/>
    <w:rsid w:val="005C5B18"/>
    <w:rsid w:val="005C6FD5"/>
    <w:rsid w:val="005D044D"/>
    <w:rsid w:val="005D0ABD"/>
    <w:rsid w:val="005D1165"/>
    <w:rsid w:val="005D1272"/>
    <w:rsid w:val="005D127A"/>
    <w:rsid w:val="005D166A"/>
    <w:rsid w:val="005D18AD"/>
    <w:rsid w:val="005D26B4"/>
    <w:rsid w:val="005D2FD3"/>
    <w:rsid w:val="005D3663"/>
    <w:rsid w:val="005D395A"/>
    <w:rsid w:val="005D3C4B"/>
    <w:rsid w:val="005D583E"/>
    <w:rsid w:val="005D6672"/>
    <w:rsid w:val="005D73DB"/>
    <w:rsid w:val="005D76FB"/>
    <w:rsid w:val="005E02F2"/>
    <w:rsid w:val="005E0EFD"/>
    <w:rsid w:val="005E1246"/>
    <w:rsid w:val="005E1995"/>
    <w:rsid w:val="005E1BCA"/>
    <w:rsid w:val="005E4667"/>
    <w:rsid w:val="005E48A9"/>
    <w:rsid w:val="005E4AC0"/>
    <w:rsid w:val="005E53FA"/>
    <w:rsid w:val="005E64D3"/>
    <w:rsid w:val="005E6C0D"/>
    <w:rsid w:val="005E6CBC"/>
    <w:rsid w:val="005E72FF"/>
    <w:rsid w:val="005E73C0"/>
    <w:rsid w:val="005E74DD"/>
    <w:rsid w:val="005E7538"/>
    <w:rsid w:val="005F07ED"/>
    <w:rsid w:val="005F2572"/>
    <w:rsid w:val="005F2706"/>
    <w:rsid w:val="005F384F"/>
    <w:rsid w:val="005F483D"/>
    <w:rsid w:val="005F56C1"/>
    <w:rsid w:val="005F5A8E"/>
    <w:rsid w:val="005F6190"/>
    <w:rsid w:val="005F6A8F"/>
    <w:rsid w:val="005F6BB7"/>
    <w:rsid w:val="005F6CFA"/>
    <w:rsid w:val="005F7342"/>
    <w:rsid w:val="005F7588"/>
    <w:rsid w:val="005F7829"/>
    <w:rsid w:val="005F799B"/>
    <w:rsid w:val="005F7DA7"/>
    <w:rsid w:val="00601651"/>
    <w:rsid w:val="00601BFF"/>
    <w:rsid w:val="006020A3"/>
    <w:rsid w:val="006022C9"/>
    <w:rsid w:val="00602F3C"/>
    <w:rsid w:val="00602F57"/>
    <w:rsid w:val="006033BB"/>
    <w:rsid w:val="00603DB9"/>
    <w:rsid w:val="00603E5B"/>
    <w:rsid w:val="00604A56"/>
    <w:rsid w:val="00604C71"/>
    <w:rsid w:val="00605A41"/>
    <w:rsid w:val="00606740"/>
    <w:rsid w:val="00606A03"/>
    <w:rsid w:val="00606B98"/>
    <w:rsid w:val="00606FBA"/>
    <w:rsid w:val="00607669"/>
    <w:rsid w:val="006076F4"/>
    <w:rsid w:val="00607727"/>
    <w:rsid w:val="00607AFD"/>
    <w:rsid w:val="00607EEF"/>
    <w:rsid w:val="0061117B"/>
    <w:rsid w:val="00611537"/>
    <w:rsid w:val="006115CC"/>
    <w:rsid w:val="00611661"/>
    <w:rsid w:val="0061175C"/>
    <w:rsid w:val="00611841"/>
    <w:rsid w:val="00611B12"/>
    <w:rsid w:val="00612099"/>
    <w:rsid w:val="00612F97"/>
    <w:rsid w:val="00613157"/>
    <w:rsid w:val="0061345D"/>
    <w:rsid w:val="006134FC"/>
    <w:rsid w:val="006141D4"/>
    <w:rsid w:val="0061434C"/>
    <w:rsid w:val="0061549B"/>
    <w:rsid w:val="00615AC2"/>
    <w:rsid w:val="00616760"/>
    <w:rsid w:val="00616802"/>
    <w:rsid w:val="00616C2F"/>
    <w:rsid w:val="00616CA2"/>
    <w:rsid w:val="006175BA"/>
    <w:rsid w:val="00617E12"/>
    <w:rsid w:val="006207BF"/>
    <w:rsid w:val="00620935"/>
    <w:rsid w:val="00620C25"/>
    <w:rsid w:val="00621032"/>
    <w:rsid w:val="00621283"/>
    <w:rsid w:val="00621477"/>
    <w:rsid w:val="006214F9"/>
    <w:rsid w:val="00621ADA"/>
    <w:rsid w:val="006235BC"/>
    <w:rsid w:val="00623F7B"/>
    <w:rsid w:val="006240F1"/>
    <w:rsid w:val="006242A3"/>
    <w:rsid w:val="006249B8"/>
    <w:rsid w:val="00624B5C"/>
    <w:rsid w:val="00624BD4"/>
    <w:rsid w:val="00624D9E"/>
    <w:rsid w:val="00625212"/>
    <w:rsid w:val="006255DF"/>
    <w:rsid w:val="00625864"/>
    <w:rsid w:val="006261CC"/>
    <w:rsid w:val="00627045"/>
    <w:rsid w:val="00627839"/>
    <w:rsid w:val="0063006B"/>
    <w:rsid w:val="006300BC"/>
    <w:rsid w:val="00630214"/>
    <w:rsid w:val="006304C9"/>
    <w:rsid w:val="00630FA2"/>
    <w:rsid w:val="0063158F"/>
    <w:rsid w:val="00631D6B"/>
    <w:rsid w:val="00632183"/>
    <w:rsid w:val="006325CB"/>
    <w:rsid w:val="00632BCC"/>
    <w:rsid w:val="006330A1"/>
    <w:rsid w:val="0063479F"/>
    <w:rsid w:val="00634E7A"/>
    <w:rsid w:val="006351B7"/>
    <w:rsid w:val="006353F0"/>
    <w:rsid w:val="006357B5"/>
    <w:rsid w:val="00635BC4"/>
    <w:rsid w:val="006364A1"/>
    <w:rsid w:val="0063678E"/>
    <w:rsid w:val="00636C2F"/>
    <w:rsid w:val="00637BFD"/>
    <w:rsid w:val="00637C5C"/>
    <w:rsid w:val="00640A44"/>
    <w:rsid w:val="00640CB5"/>
    <w:rsid w:val="00640DD0"/>
    <w:rsid w:val="00641C4E"/>
    <w:rsid w:val="00641EB1"/>
    <w:rsid w:val="00641FB3"/>
    <w:rsid w:val="00642174"/>
    <w:rsid w:val="0064243F"/>
    <w:rsid w:val="00643667"/>
    <w:rsid w:val="0064434C"/>
    <w:rsid w:val="006451C7"/>
    <w:rsid w:val="00645801"/>
    <w:rsid w:val="006465C2"/>
    <w:rsid w:val="00646618"/>
    <w:rsid w:val="00646CBE"/>
    <w:rsid w:val="006471CC"/>
    <w:rsid w:val="006472FE"/>
    <w:rsid w:val="0064740C"/>
    <w:rsid w:val="00647976"/>
    <w:rsid w:val="00647A29"/>
    <w:rsid w:val="00647D74"/>
    <w:rsid w:val="0065079F"/>
    <w:rsid w:val="006509B0"/>
    <w:rsid w:val="00650D1E"/>
    <w:rsid w:val="00652A28"/>
    <w:rsid w:val="0065379F"/>
    <w:rsid w:val="00653AE7"/>
    <w:rsid w:val="00653D0F"/>
    <w:rsid w:val="00655837"/>
    <w:rsid w:val="00656188"/>
    <w:rsid w:val="0065689C"/>
    <w:rsid w:val="00656FE9"/>
    <w:rsid w:val="00657008"/>
    <w:rsid w:val="00657105"/>
    <w:rsid w:val="0065715A"/>
    <w:rsid w:val="006574EF"/>
    <w:rsid w:val="006576FA"/>
    <w:rsid w:val="006577FE"/>
    <w:rsid w:val="0065784B"/>
    <w:rsid w:val="00657B1F"/>
    <w:rsid w:val="006605DA"/>
    <w:rsid w:val="00660795"/>
    <w:rsid w:val="00660C7F"/>
    <w:rsid w:val="00660F35"/>
    <w:rsid w:val="006610F1"/>
    <w:rsid w:val="00661C6B"/>
    <w:rsid w:val="006620C1"/>
    <w:rsid w:val="00662128"/>
    <w:rsid w:val="00662999"/>
    <w:rsid w:val="00662D3E"/>
    <w:rsid w:val="006640C9"/>
    <w:rsid w:val="0066453B"/>
    <w:rsid w:val="00664D61"/>
    <w:rsid w:val="00664E4A"/>
    <w:rsid w:val="0066536E"/>
    <w:rsid w:val="006657EE"/>
    <w:rsid w:val="00665CD4"/>
    <w:rsid w:val="00666323"/>
    <w:rsid w:val="00666455"/>
    <w:rsid w:val="0066649E"/>
    <w:rsid w:val="00667AD3"/>
    <w:rsid w:val="00667BE3"/>
    <w:rsid w:val="00671004"/>
    <w:rsid w:val="006725F2"/>
    <w:rsid w:val="00672646"/>
    <w:rsid w:val="00673434"/>
    <w:rsid w:val="00673D30"/>
    <w:rsid w:val="00673DB7"/>
    <w:rsid w:val="00674A86"/>
    <w:rsid w:val="00674E42"/>
    <w:rsid w:val="0067528F"/>
    <w:rsid w:val="006754D3"/>
    <w:rsid w:val="00675E42"/>
    <w:rsid w:val="00676563"/>
    <w:rsid w:val="0067698D"/>
    <w:rsid w:val="00677159"/>
    <w:rsid w:val="00677FC4"/>
    <w:rsid w:val="00680FFE"/>
    <w:rsid w:val="006813F8"/>
    <w:rsid w:val="00681532"/>
    <w:rsid w:val="0068186C"/>
    <w:rsid w:val="00682112"/>
    <w:rsid w:val="0068255D"/>
    <w:rsid w:val="00682BA6"/>
    <w:rsid w:val="00682CC8"/>
    <w:rsid w:val="00684750"/>
    <w:rsid w:val="00684783"/>
    <w:rsid w:val="006852BB"/>
    <w:rsid w:val="006854BA"/>
    <w:rsid w:val="00686833"/>
    <w:rsid w:val="00686957"/>
    <w:rsid w:val="006872BA"/>
    <w:rsid w:val="0068780E"/>
    <w:rsid w:val="00687D0F"/>
    <w:rsid w:val="0069022A"/>
    <w:rsid w:val="00690795"/>
    <w:rsid w:val="00691413"/>
    <w:rsid w:val="00691648"/>
    <w:rsid w:val="006917D7"/>
    <w:rsid w:val="0069218D"/>
    <w:rsid w:val="0069293B"/>
    <w:rsid w:val="006932BF"/>
    <w:rsid w:val="00693608"/>
    <w:rsid w:val="00693C46"/>
    <w:rsid w:val="0069434C"/>
    <w:rsid w:val="0069443A"/>
    <w:rsid w:val="006945B7"/>
    <w:rsid w:val="00694F44"/>
    <w:rsid w:val="00695A87"/>
    <w:rsid w:val="00695C26"/>
    <w:rsid w:val="0069621D"/>
    <w:rsid w:val="0069622A"/>
    <w:rsid w:val="00696972"/>
    <w:rsid w:val="00696EF9"/>
    <w:rsid w:val="00696F51"/>
    <w:rsid w:val="006975DB"/>
    <w:rsid w:val="006979A5"/>
    <w:rsid w:val="006A016F"/>
    <w:rsid w:val="006A0BF1"/>
    <w:rsid w:val="006A0CE0"/>
    <w:rsid w:val="006A0DF7"/>
    <w:rsid w:val="006A106E"/>
    <w:rsid w:val="006A1D98"/>
    <w:rsid w:val="006A2381"/>
    <w:rsid w:val="006A2F57"/>
    <w:rsid w:val="006A3182"/>
    <w:rsid w:val="006A31D8"/>
    <w:rsid w:val="006A3A3E"/>
    <w:rsid w:val="006A4321"/>
    <w:rsid w:val="006A43D9"/>
    <w:rsid w:val="006A4717"/>
    <w:rsid w:val="006A6587"/>
    <w:rsid w:val="006A6608"/>
    <w:rsid w:val="006A6888"/>
    <w:rsid w:val="006A6A7D"/>
    <w:rsid w:val="006A6B99"/>
    <w:rsid w:val="006A7C86"/>
    <w:rsid w:val="006A7E5F"/>
    <w:rsid w:val="006B0C52"/>
    <w:rsid w:val="006B2527"/>
    <w:rsid w:val="006B261B"/>
    <w:rsid w:val="006B2C90"/>
    <w:rsid w:val="006B35E6"/>
    <w:rsid w:val="006B3E7C"/>
    <w:rsid w:val="006B4294"/>
    <w:rsid w:val="006B465A"/>
    <w:rsid w:val="006B4758"/>
    <w:rsid w:val="006B5512"/>
    <w:rsid w:val="006B5A7B"/>
    <w:rsid w:val="006B5DE3"/>
    <w:rsid w:val="006B63E4"/>
    <w:rsid w:val="006B6D9E"/>
    <w:rsid w:val="006B6DD0"/>
    <w:rsid w:val="006B74F5"/>
    <w:rsid w:val="006C0399"/>
    <w:rsid w:val="006C04CD"/>
    <w:rsid w:val="006C0BCB"/>
    <w:rsid w:val="006C1C82"/>
    <w:rsid w:val="006C2A8E"/>
    <w:rsid w:val="006C3255"/>
    <w:rsid w:val="006C35C9"/>
    <w:rsid w:val="006C3AC2"/>
    <w:rsid w:val="006C3F26"/>
    <w:rsid w:val="006C3FC4"/>
    <w:rsid w:val="006C4CBE"/>
    <w:rsid w:val="006C5D07"/>
    <w:rsid w:val="006C6D76"/>
    <w:rsid w:val="006C76AB"/>
    <w:rsid w:val="006D0338"/>
    <w:rsid w:val="006D0395"/>
    <w:rsid w:val="006D0625"/>
    <w:rsid w:val="006D09E5"/>
    <w:rsid w:val="006D0C6F"/>
    <w:rsid w:val="006D0D17"/>
    <w:rsid w:val="006D0FCB"/>
    <w:rsid w:val="006D12C9"/>
    <w:rsid w:val="006D3623"/>
    <w:rsid w:val="006D3C7D"/>
    <w:rsid w:val="006D3CB7"/>
    <w:rsid w:val="006D3F83"/>
    <w:rsid w:val="006D42A9"/>
    <w:rsid w:val="006D4659"/>
    <w:rsid w:val="006D468F"/>
    <w:rsid w:val="006D504A"/>
    <w:rsid w:val="006D5085"/>
    <w:rsid w:val="006D5D5F"/>
    <w:rsid w:val="006D6471"/>
    <w:rsid w:val="006D65DD"/>
    <w:rsid w:val="006D667C"/>
    <w:rsid w:val="006D68FB"/>
    <w:rsid w:val="006D6D8D"/>
    <w:rsid w:val="006D741D"/>
    <w:rsid w:val="006D74F4"/>
    <w:rsid w:val="006D7939"/>
    <w:rsid w:val="006D7CE7"/>
    <w:rsid w:val="006E01DF"/>
    <w:rsid w:val="006E02EE"/>
    <w:rsid w:val="006E0E45"/>
    <w:rsid w:val="006E1463"/>
    <w:rsid w:val="006E1712"/>
    <w:rsid w:val="006E18D3"/>
    <w:rsid w:val="006E2868"/>
    <w:rsid w:val="006E3644"/>
    <w:rsid w:val="006E4028"/>
    <w:rsid w:val="006E4561"/>
    <w:rsid w:val="006E525D"/>
    <w:rsid w:val="006E5A2F"/>
    <w:rsid w:val="006E63E5"/>
    <w:rsid w:val="006E683F"/>
    <w:rsid w:val="006E68F2"/>
    <w:rsid w:val="006E6C97"/>
    <w:rsid w:val="006E6DC9"/>
    <w:rsid w:val="006E70BF"/>
    <w:rsid w:val="006E75DC"/>
    <w:rsid w:val="006E772A"/>
    <w:rsid w:val="006E7B0E"/>
    <w:rsid w:val="006E7EFC"/>
    <w:rsid w:val="006F0520"/>
    <w:rsid w:val="006F0BC0"/>
    <w:rsid w:val="006F26B5"/>
    <w:rsid w:val="006F306C"/>
    <w:rsid w:val="006F3B9F"/>
    <w:rsid w:val="006F4D79"/>
    <w:rsid w:val="006F52E8"/>
    <w:rsid w:val="006F63A5"/>
    <w:rsid w:val="006F68D5"/>
    <w:rsid w:val="006F6CA1"/>
    <w:rsid w:val="006F6DEB"/>
    <w:rsid w:val="006F7BBF"/>
    <w:rsid w:val="007006F0"/>
    <w:rsid w:val="00700985"/>
    <w:rsid w:val="0070111C"/>
    <w:rsid w:val="0070142B"/>
    <w:rsid w:val="0070276E"/>
    <w:rsid w:val="00702883"/>
    <w:rsid w:val="00702F8F"/>
    <w:rsid w:val="007032E3"/>
    <w:rsid w:val="00703B5F"/>
    <w:rsid w:val="00703ED7"/>
    <w:rsid w:val="00704D8D"/>
    <w:rsid w:val="00705A22"/>
    <w:rsid w:val="00706872"/>
    <w:rsid w:val="007071A1"/>
    <w:rsid w:val="007071C3"/>
    <w:rsid w:val="0070734B"/>
    <w:rsid w:val="007074F6"/>
    <w:rsid w:val="0070790E"/>
    <w:rsid w:val="007079FC"/>
    <w:rsid w:val="00707EF0"/>
    <w:rsid w:val="007115D5"/>
    <w:rsid w:val="00711A36"/>
    <w:rsid w:val="0071241C"/>
    <w:rsid w:val="007125D3"/>
    <w:rsid w:val="0071321E"/>
    <w:rsid w:val="0071376A"/>
    <w:rsid w:val="00714442"/>
    <w:rsid w:val="00714C26"/>
    <w:rsid w:val="0071529C"/>
    <w:rsid w:val="00715616"/>
    <w:rsid w:val="007170DA"/>
    <w:rsid w:val="007172AD"/>
    <w:rsid w:val="00717546"/>
    <w:rsid w:val="00717775"/>
    <w:rsid w:val="0072024B"/>
    <w:rsid w:val="00720801"/>
    <w:rsid w:val="00721143"/>
    <w:rsid w:val="007218F5"/>
    <w:rsid w:val="00721DB8"/>
    <w:rsid w:val="00722B1B"/>
    <w:rsid w:val="007237E8"/>
    <w:rsid w:val="00723988"/>
    <w:rsid w:val="00723BC2"/>
    <w:rsid w:val="00723E94"/>
    <w:rsid w:val="00723F87"/>
    <w:rsid w:val="00724024"/>
    <w:rsid w:val="0072416F"/>
    <w:rsid w:val="00724341"/>
    <w:rsid w:val="007244D3"/>
    <w:rsid w:val="00724514"/>
    <w:rsid w:val="00724FE1"/>
    <w:rsid w:val="00725147"/>
    <w:rsid w:val="00725EA5"/>
    <w:rsid w:val="0072659B"/>
    <w:rsid w:val="00727C94"/>
    <w:rsid w:val="007302C5"/>
    <w:rsid w:val="0073133C"/>
    <w:rsid w:val="007313D3"/>
    <w:rsid w:val="00731B0A"/>
    <w:rsid w:val="00731EAE"/>
    <w:rsid w:val="00733073"/>
    <w:rsid w:val="00733635"/>
    <w:rsid w:val="007347AD"/>
    <w:rsid w:val="00735033"/>
    <w:rsid w:val="00735328"/>
    <w:rsid w:val="00735835"/>
    <w:rsid w:val="0073685B"/>
    <w:rsid w:val="00737A8C"/>
    <w:rsid w:val="00737EF4"/>
    <w:rsid w:val="00740252"/>
    <w:rsid w:val="00741226"/>
    <w:rsid w:val="00742491"/>
    <w:rsid w:val="007438B3"/>
    <w:rsid w:val="007439EF"/>
    <w:rsid w:val="00743F0F"/>
    <w:rsid w:val="007449BF"/>
    <w:rsid w:val="007457EB"/>
    <w:rsid w:val="00745A51"/>
    <w:rsid w:val="00745D77"/>
    <w:rsid w:val="007463FE"/>
    <w:rsid w:val="00746BC0"/>
    <w:rsid w:val="00747229"/>
    <w:rsid w:val="007502D9"/>
    <w:rsid w:val="00750709"/>
    <w:rsid w:val="007510B4"/>
    <w:rsid w:val="00751ACC"/>
    <w:rsid w:val="00751E61"/>
    <w:rsid w:val="00752142"/>
    <w:rsid w:val="007523A1"/>
    <w:rsid w:val="007523F9"/>
    <w:rsid w:val="00752720"/>
    <w:rsid w:val="00752AE3"/>
    <w:rsid w:val="007531BD"/>
    <w:rsid w:val="00753294"/>
    <w:rsid w:val="0075357E"/>
    <w:rsid w:val="00753B29"/>
    <w:rsid w:val="007540FD"/>
    <w:rsid w:val="00756083"/>
    <w:rsid w:val="00756452"/>
    <w:rsid w:val="00756471"/>
    <w:rsid w:val="0075653B"/>
    <w:rsid w:val="00756A08"/>
    <w:rsid w:val="007573E8"/>
    <w:rsid w:val="00757493"/>
    <w:rsid w:val="007578BE"/>
    <w:rsid w:val="00760272"/>
    <w:rsid w:val="00760C4E"/>
    <w:rsid w:val="00760F9E"/>
    <w:rsid w:val="007616E6"/>
    <w:rsid w:val="00761EF5"/>
    <w:rsid w:val="007627BE"/>
    <w:rsid w:val="00763D40"/>
    <w:rsid w:val="007647DA"/>
    <w:rsid w:val="00764F03"/>
    <w:rsid w:val="0076510B"/>
    <w:rsid w:val="00765AE2"/>
    <w:rsid w:val="00765B1A"/>
    <w:rsid w:val="00765B5E"/>
    <w:rsid w:val="00765D6A"/>
    <w:rsid w:val="00765DC1"/>
    <w:rsid w:val="007661C4"/>
    <w:rsid w:val="00766310"/>
    <w:rsid w:val="00766EF7"/>
    <w:rsid w:val="0076703C"/>
    <w:rsid w:val="00767903"/>
    <w:rsid w:val="00767958"/>
    <w:rsid w:val="00767E42"/>
    <w:rsid w:val="00770714"/>
    <w:rsid w:val="0077166D"/>
    <w:rsid w:val="007717F3"/>
    <w:rsid w:val="00771BF4"/>
    <w:rsid w:val="007740E4"/>
    <w:rsid w:val="00774415"/>
    <w:rsid w:val="00774713"/>
    <w:rsid w:val="00775679"/>
    <w:rsid w:val="00775859"/>
    <w:rsid w:val="00776581"/>
    <w:rsid w:val="00777335"/>
    <w:rsid w:val="00777B68"/>
    <w:rsid w:val="007804FF"/>
    <w:rsid w:val="007812D7"/>
    <w:rsid w:val="00781D86"/>
    <w:rsid w:val="007820B4"/>
    <w:rsid w:val="0078231B"/>
    <w:rsid w:val="0078404C"/>
    <w:rsid w:val="007843F2"/>
    <w:rsid w:val="007846FA"/>
    <w:rsid w:val="0078548A"/>
    <w:rsid w:val="00785A9F"/>
    <w:rsid w:val="007865C8"/>
    <w:rsid w:val="007866DB"/>
    <w:rsid w:val="00786F8C"/>
    <w:rsid w:val="00787B2E"/>
    <w:rsid w:val="00787CB2"/>
    <w:rsid w:val="00790535"/>
    <w:rsid w:val="007906B0"/>
    <w:rsid w:val="007908AF"/>
    <w:rsid w:val="00790E25"/>
    <w:rsid w:val="00791316"/>
    <w:rsid w:val="00791D5C"/>
    <w:rsid w:val="007925DF"/>
    <w:rsid w:val="00792626"/>
    <w:rsid w:val="0079306B"/>
    <w:rsid w:val="007934C2"/>
    <w:rsid w:val="00793E1C"/>
    <w:rsid w:val="00794D6F"/>
    <w:rsid w:val="00795C2E"/>
    <w:rsid w:val="00795FFF"/>
    <w:rsid w:val="0079669F"/>
    <w:rsid w:val="00797DD8"/>
    <w:rsid w:val="00797F7D"/>
    <w:rsid w:val="007A008E"/>
    <w:rsid w:val="007A08AA"/>
    <w:rsid w:val="007A0A12"/>
    <w:rsid w:val="007A0F04"/>
    <w:rsid w:val="007A132D"/>
    <w:rsid w:val="007A1345"/>
    <w:rsid w:val="007A1403"/>
    <w:rsid w:val="007A1455"/>
    <w:rsid w:val="007A15F1"/>
    <w:rsid w:val="007A16D4"/>
    <w:rsid w:val="007A1FD0"/>
    <w:rsid w:val="007A2DDB"/>
    <w:rsid w:val="007A4141"/>
    <w:rsid w:val="007A46E7"/>
    <w:rsid w:val="007A4994"/>
    <w:rsid w:val="007A4F7F"/>
    <w:rsid w:val="007A5D0B"/>
    <w:rsid w:val="007A70BA"/>
    <w:rsid w:val="007A7406"/>
    <w:rsid w:val="007B054D"/>
    <w:rsid w:val="007B0686"/>
    <w:rsid w:val="007B0D26"/>
    <w:rsid w:val="007B0D68"/>
    <w:rsid w:val="007B20F3"/>
    <w:rsid w:val="007B2421"/>
    <w:rsid w:val="007B251D"/>
    <w:rsid w:val="007B262F"/>
    <w:rsid w:val="007B28B1"/>
    <w:rsid w:val="007B3533"/>
    <w:rsid w:val="007B363C"/>
    <w:rsid w:val="007B372E"/>
    <w:rsid w:val="007B3785"/>
    <w:rsid w:val="007B4A2F"/>
    <w:rsid w:val="007B4DBF"/>
    <w:rsid w:val="007B4DC7"/>
    <w:rsid w:val="007B4F58"/>
    <w:rsid w:val="007B528D"/>
    <w:rsid w:val="007B63CA"/>
    <w:rsid w:val="007B6627"/>
    <w:rsid w:val="007B6B55"/>
    <w:rsid w:val="007B77D1"/>
    <w:rsid w:val="007B77FC"/>
    <w:rsid w:val="007C07C7"/>
    <w:rsid w:val="007C07EF"/>
    <w:rsid w:val="007C1CD9"/>
    <w:rsid w:val="007C32EF"/>
    <w:rsid w:val="007C3585"/>
    <w:rsid w:val="007C361D"/>
    <w:rsid w:val="007C442E"/>
    <w:rsid w:val="007C447B"/>
    <w:rsid w:val="007C49CC"/>
    <w:rsid w:val="007C4B84"/>
    <w:rsid w:val="007C5962"/>
    <w:rsid w:val="007C5FA2"/>
    <w:rsid w:val="007C6E5C"/>
    <w:rsid w:val="007C70FF"/>
    <w:rsid w:val="007C7C25"/>
    <w:rsid w:val="007D004F"/>
    <w:rsid w:val="007D035F"/>
    <w:rsid w:val="007D06B2"/>
    <w:rsid w:val="007D0B38"/>
    <w:rsid w:val="007D191D"/>
    <w:rsid w:val="007D1EB5"/>
    <w:rsid w:val="007D22E6"/>
    <w:rsid w:val="007D2656"/>
    <w:rsid w:val="007D28CC"/>
    <w:rsid w:val="007D49CE"/>
    <w:rsid w:val="007D4C3F"/>
    <w:rsid w:val="007D4ED3"/>
    <w:rsid w:val="007D5162"/>
    <w:rsid w:val="007D5440"/>
    <w:rsid w:val="007D5550"/>
    <w:rsid w:val="007D5A34"/>
    <w:rsid w:val="007D6966"/>
    <w:rsid w:val="007D69EB"/>
    <w:rsid w:val="007D6ABF"/>
    <w:rsid w:val="007D7185"/>
    <w:rsid w:val="007D747C"/>
    <w:rsid w:val="007D7A64"/>
    <w:rsid w:val="007E0096"/>
    <w:rsid w:val="007E05ED"/>
    <w:rsid w:val="007E128F"/>
    <w:rsid w:val="007E13EC"/>
    <w:rsid w:val="007E16FA"/>
    <w:rsid w:val="007E1713"/>
    <w:rsid w:val="007E1860"/>
    <w:rsid w:val="007E1B77"/>
    <w:rsid w:val="007E2A5F"/>
    <w:rsid w:val="007E448F"/>
    <w:rsid w:val="007E4828"/>
    <w:rsid w:val="007E4897"/>
    <w:rsid w:val="007E54ED"/>
    <w:rsid w:val="007E5CF5"/>
    <w:rsid w:val="007F06D2"/>
    <w:rsid w:val="007F1017"/>
    <w:rsid w:val="007F125F"/>
    <w:rsid w:val="007F173C"/>
    <w:rsid w:val="007F1919"/>
    <w:rsid w:val="007F2A3D"/>
    <w:rsid w:val="007F32E7"/>
    <w:rsid w:val="007F4513"/>
    <w:rsid w:val="007F4A3F"/>
    <w:rsid w:val="007F4A61"/>
    <w:rsid w:val="007F5255"/>
    <w:rsid w:val="007F5690"/>
    <w:rsid w:val="007F56CC"/>
    <w:rsid w:val="007F61C2"/>
    <w:rsid w:val="007F67FD"/>
    <w:rsid w:val="007F6C83"/>
    <w:rsid w:val="007F765B"/>
    <w:rsid w:val="007F79C7"/>
    <w:rsid w:val="0080025D"/>
    <w:rsid w:val="008002C6"/>
    <w:rsid w:val="0080101F"/>
    <w:rsid w:val="008013B1"/>
    <w:rsid w:val="00801F8D"/>
    <w:rsid w:val="00802C97"/>
    <w:rsid w:val="00802DCD"/>
    <w:rsid w:val="008032AD"/>
    <w:rsid w:val="0080490D"/>
    <w:rsid w:val="00805142"/>
    <w:rsid w:val="008055C4"/>
    <w:rsid w:val="00805AE2"/>
    <w:rsid w:val="00805D3F"/>
    <w:rsid w:val="00805E8C"/>
    <w:rsid w:val="00805FCE"/>
    <w:rsid w:val="008063A1"/>
    <w:rsid w:val="00806F6A"/>
    <w:rsid w:val="0080774A"/>
    <w:rsid w:val="00807A8B"/>
    <w:rsid w:val="00807C8D"/>
    <w:rsid w:val="008100A3"/>
    <w:rsid w:val="00810A1B"/>
    <w:rsid w:val="00811383"/>
    <w:rsid w:val="0081140A"/>
    <w:rsid w:val="008116BD"/>
    <w:rsid w:val="008120FF"/>
    <w:rsid w:val="00812149"/>
    <w:rsid w:val="0081286D"/>
    <w:rsid w:val="00812BDC"/>
    <w:rsid w:val="00812CAC"/>
    <w:rsid w:val="00813672"/>
    <w:rsid w:val="0081369C"/>
    <w:rsid w:val="00813CC0"/>
    <w:rsid w:val="00813F7C"/>
    <w:rsid w:val="00814DA8"/>
    <w:rsid w:val="0081522F"/>
    <w:rsid w:val="00815B38"/>
    <w:rsid w:val="00816361"/>
    <w:rsid w:val="008166EF"/>
    <w:rsid w:val="00816CAD"/>
    <w:rsid w:val="00816D59"/>
    <w:rsid w:val="00816E9B"/>
    <w:rsid w:val="00816FEF"/>
    <w:rsid w:val="00817562"/>
    <w:rsid w:val="00817883"/>
    <w:rsid w:val="0081791C"/>
    <w:rsid w:val="00820408"/>
    <w:rsid w:val="00820898"/>
    <w:rsid w:val="008208C2"/>
    <w:rsid w:val="00820A8C"/>
    <w:rsid w:val="00821100"/>
    <w:rsid w:val="008215FB"/>
    <w:rsid w:val="0082184E"/>
    <w:rsid w:val="00821951"/>
    <w:rsid w:val="008220CC"/>
    <w:rsid w:val="00822FFD"/>
    <w:rsid w:val="00823174"/>
    <w:rsid w:val="00823183"/>
    <w:rsid w:val="0082391D"/>
    <w:rsid w:val="00823CFB"/>
    <w:rsid w:val="00825465"/>
    <w:rsid w:val="00825751"/>
    <w:rsid w:val="008264EB"/>
    <w:rsid w:val="008268CE"/>
    <w:rsid w:val="008274EF"/>
    <w:rsid w:val="008275BA"/>
    <w:rsid w:val="00827C23"/>
    <w:rsid w:val="00827C5E"/>
    <w:rsid w:val="00827DCF"/>
    <w:rsid w:val="008301D7"/>
    <w:rsid w:val="00831722"/>
    <w:rsid w:val="00831C8B"/>
    <w:rsid w:val="0083287B"/>
    <w:rsid w:val="00833237"/>
    <w:rsid w:val="00833B05"/>
    <w:rsid w:val="00833CB3"/>
    <w:rsid w:val="00834A21"/>
    <w:rsid w:val="00834CBE"/>
    <w:rsid w:val="00834CF6"/>
    <w:rsid w:val="00834FDC"/>
    <w:rsid w:val="00835B59"/>
    <w:rsid w:val="008362B4"/>
    <w:rsid w:val="008364F5"/>
    <w:rsid w:val="00837A6A"/>
    <w:rsid w:val="0084076A"/>
    <w:rsid w:val="00840CA2"/>
    <w:rsid w:val="00842709"/>
    <w:rsid w:val="00842A3C"/>
    <w:rsid w:val="0084374F"/>
    <w:rsid w:val="00843A9C"/>
    <w:rsid w:val="00844184"/>
    <w:rsid w:val="00844894"/>
    <w:rsid w:val="00844A22"/>
    <w:rsid w:val="0084520A"/>
    <w:rsid w:val="00846268"/>
    <w:rsid w:val="008472B1"/>
    <w:rsid w:val="00847703"/>
    <w:rsid w:val="00847DF5"/>
    <w:rsid w:val="00850527"/>
    <w:rsid w:val="00850814"/>
    <w:rsid w:val="00850852"/>
    <w:rsid w:val="00850BF0"/>
    <w:rsid w:val="00851333"/>
    <w:rsid w:val="00851906"/>
    <w:rsid w:val="00852FF4"/>
    <w:rsid w:val="0085309D"/>
    <w:rsid w:val="008546E4"/>
    <w:rsid w:val="008547C8"/>
    <w:rsid w:val="00854F5A"/>
    <w:rsid w:val="00856121"/>
    <w:rsid w:val="00856897"/>
    <w:rsid w:val="00856AE4"/>
    <w:rsid w:val="00856E9A"/>
    <w:rsid w:val="008571DC"/>
    <w:rsid w:val="0086075D"/>
    <w:rsid w:val="00860792"/>
    <w:rsid w:val="00860ABD"/>
    <w:rsid w:val="00861027"/>
    <w:rsid w:val="00861BE4"/>
    <w:rsid w:val="008620DC"/>
    <w:rsid w:val="00862502"/>
    <w:rsid w:val="00862944"/>
    <w:rsid w:val="00862CC1"/>
    <w:rsid w:val="00863521"/>
    <w:rsid w:val="0086390A"/>
    <w:rsid w:val="008642A7"/>
    <w:rsid w:val="0086474F"/>
    <w:rsid w:val="008660D4"/>
    <w:rsid w:val="0086720B"/>
    <w:rsid w:val="00870D32"/>
    <w:rsid w:val="008713D9"/>
    <w:rsid w:val="00871FA9"/>
    <w:rsid w:val="008720D9"/>
    <w:rsid w:val="008724FD"/>
    <w:rsid w:val="008728E9"/>
    <w:rsid w:val="00873330"/>
    <w:rsid w:val="00873DC2"/>
    <w:rsid w:val="008756AB"/>
    <w:rsid w:val="0087653A"/>
    <w:rsid w:val="00876681"/>
    <w:rsid w:val="008773A3"/>
    <w:rsid w:val="0087740B"/>
    <w:rsid w:val="008803D5"/>
    <w:rsid w:val="00880DA7"/>
    <w:rsid w:val="0088145F"/>
    <w:rsid w:val="0088166A"/>
    <w:rsid w:val="00882255"/>
    <w:rsid w:val="00882874"/>
    <w:rsid w:val="00882E3C"/>
    <w:rsid w:val="00882FC2"/>
    <w:rsid w:val="0088308A"/>
    <w:rsid w:val="00883787"/>
    <w:rsid w:val="00883A04"/>
    <w:rsid w:val="0088406A"/>
    <w:rsid w:val="008845C4"/>
    <w:rsid w:val="00884F12"/>
    <w:rsid w:val="008855E4"/>
    <w:rsid w:val="008861FF"/>
    <w:rsid w:val="008868A4"/>
    <w:rsid w:val="00886CD2"/>
    <w:rsid w:val="008870DE"/>
    <w:rsid w:val="0089007A"/>
    <w:rsid w:val="00890743"/>
    <w:rsid w:val="0089147C"/>
    <w:rsid w:val="00891A19"/>
    <w:rsid w:val="00891E6F"/>
    <w:rsid w:val="0089275D"/>
    <w:rsid w:val="00892996"/>
    <w:rsid w:val="00892A36"/>
    <w:rsid w:val="00892AEB"/>
    <w:rsid w:val="00893144"/>
    <w:rsid w:val="00893239"/>
    <w:rsid w:val="008937E4"/>
    <w:rsid w:val="00893AC5"/>
    <w:rsid w:val="00893C0C"/>
    <w:rsid w:val="008940DB"/>
    <w:rsid w:val="00894489"/>
    <w:rsid w:val="00894CD6"/>
    <w:rsid w:val="00895A6D"/>
    <w:rsid w:val="00895E06"/>
    <w:rsid w:val="008963A5"/>
    <w:rsid w:val="00896549"/>
    <w:rsid w:val="00896D5D"/>
    <w:rsid w:val="008972D2"/>
    <w:rsid w:val="00897546"/>
    <w:rsid w:val="0089760B"/>
    <w:rsid w:val="008A0F23"/>
    <w:rsid w:val="008A2777"/>
    <w:rsid w:val="008A3158"/>
    <w:rsid w:val="008A3211"/>
    <w:rsid w:val="008A3363"/>
    <w:rsid w:val="008A3371"/>
    <w:rsid w:val="008A39D3"/>
    <w:rsid w:val="008A3C3E"/>
    <w:rsid w:val="008A3CDE"/>
    <w:rsid w:val="008A3DF4"/>
    <w:rsid w:val="008A4346"/>
    <w:rsid w:val="008A4C82"/>
    <w:rsid w:val="008A4F0C"/>
    <w:rsid w:val="008A641B"/>
    <w:rsid w:val="008A6D83"/>
    <w:rsid w:val="008A79DE"/>
    <w:rsid w:val="008A7CAC"/>
    <w:rsid w:val="008A7DA0"/>
    <w:rsid w:val="008B042C"/>
    <w:rsid w:val="008B0929"/>
    <w:rsid w:val="008B0B3C"/>
    <w:rsid w:val="008B0FB2"/>
    <w:rsid w:val="008B15D2"/>
    <w:rsid w:val="008B1757"/>
    <w:rsid w:val="008B1C33"/>
    <w:rsid w:val="008B23E3"/>
    <w:rsid w:val="008B38AD"/>
    <w:rsid w:val="008B411E"/>
    <w:rsid w:val="008B4B6F"/>
    <w:rsid w:val="008B57ED"/>
    <w:rsid w:val="008B6124"/>
    <w:rsid w:val="008B63F6"/>
    <w:rsid w:val="008B6699"/>
    <w:rsid w:val="008B6845"/>
    <w:rsid w:val="008B6ACE"/>
    <w:rsid w:val="008B7851"/>
    <w:rsid w:val="008B7992"/>
    <w:rsid w:val="008B7C41"/>
    <w:rsid w:val="008B7D7E"/>
    <w:rsid w:val="008C0AD8"/>
    <w:rsid w:val="008C10C8"/>
    <w:rsid w:val="008C2817"/>
    <w:rsid w:val="008C2FB3"/>
    <w:rsid w:val="008C3611"/>
    <w:rsid w:val="008C39DD"/>
    <w:rsid w:val="008C3B32"/>
    <w:rsid w:val="008C4153"/>
    <w:rsid w:val="008C4410"/>
    <w:rsid w:val="008C5610"/>
    <w:rsid w:val="008C5739"/>
    <w:rsid w:val="008C7282"/>
    <w:rsid w:val="008C7A41"/>
    <w:rsid w:val="008C7ECB"/>
    <w:rsid w:val="008C7EDB"/>
    <w:rsid w:val="008D08BD"/>
    <w:rsid w:val="008D2BDC"/>
    <w:rsid w:val="008D3112"/>
    <w:rsid w:val="008D36C9"/>
    <w:rsid w:val="008D3B86"/>
    <w:rsid w:val="008D3CFD"/>
    <w:rsid w:val="008D43FD"/>
    <w:rsid w:val="008D4755"/>
    <w:rsid w:val="008D4C3D"/>
    <w:rsid w:val="008D62F9"/>
    <w:rsid w:val="008D636E"/>
    <w:rsid w:val="008D6EFB"/>
    <w:rsid w:val="008D743C"/>
    <w:rsid w:val="008D77A4"/>
    <w:rsid w:val="008D7990"/>
    <w:rsid w:val="008E0D3C"/>
    <w:rsid w:val="008E15AD"/>
    <w:rsid w:val="008E1B9E"/>
    <w:rsid w:val="008E219D"/>
    <w:rsid w:val="008E4B98"/>
    <w:rsid w:val="008E50CA"/>
    <w:rsid w:val="008E55AB"/>
    <w:rsid w:val="008E577D"/>
    <w:rsid w:val="008E5FC6"/>
    <w:rsid w:val="008E652C"/>
    <w:rsid w:val="008E6E9E"/>
    <w:rsid w:val="008E77B1"/>
    <w:rsid w:val="008E7844"/>
    <w:rsid w:val="008F120A"/>
    <w:rsid w:val="008F153D"/>
    <w:rsid w:val="008F27E0"/>
    <w:rsid w:val="008F2F16"/>
    <w:rsid w:val="008F3793"/>
    <w:rsid w:val="008F3AC8"/>
    <w:rsid w:val="008F4176"/>
    <w:rsid w:val="008F418C"/>
    <w:rsid w:val="008F48EB"/>
    <w:rsid w:val="008F497B"/>
    <w:rsid w:val="008F4B3C"/>
    <w:rsid w:val="008F4F0B"/>
    <w:rsid w:val="008F5798"/>
    <w:rsid w:val="008F5D59"/>
    <w:rsid w:val="008F65CB"/>
    <w:rsid w:val="008F66B5"/>
    <w:rsid w:val="008F673E"/>
    <w:rsid w:val="008F6E7A"/>
    <w:rsid w:val="008F7C82"/>
    <w:rsid w:val="009002E6"/>
    <w:rsid w:val="00900524"/>
    <w:rsid w:val="00900B9E"/>
    <w:rsid w:val="00900F5B"/>
    <w:rsid w:val="009017C2"/>
    <w:rsid w:val="00901E26"/>
    <w:rsid w:val="009021F0"/>
    <w:rsid w:val="00902A8A"/>
    <w:rsid w:val="00903973"/>
    <w:rsid w:val="00903A93"/>
    <w:rsid w:val="009046C4"/>
    <w:rsid w:val="00904AEF"/>
    <w:rsid w:val="00904FD5"/>
    <w:rsid w:val="009062A5"/>
    <w:rsid w:val="0090710E"/>
    <w:rsid w:val="00907699"/>
    <w:rsid w:val="00910E99"/>
    <w:rsid w:val="00910FA7"/>
    <w:rsid w:val="00911272"/>
    <w:rsid w:val="00911339"/>
    <w:rsid w:val="0091133E"/>
    <w:rsid w:val="00911880"/>
    <w:rsid w:val="00911A46"/>
    <w:rsid w:val="0091245C"/>
    <w:rsid w:val="00912EF5"/>
    <w:rsid w:val="00913088"/>
    <w:rsid w:val="0091355B"/>
    <w:rsid w:val="009135D6"/>
    <w:rsid w:val="009135FF"/>
    <w:rsid w:val="00914C29"/>
    <w:rsid w:val="00914C77"/>
    <w:rsid w:val="00915266"/>
    <w:rsid w:val="009164BC"/>
    <w:rsid w:val="00916667"/>
    <w:rsid w:val="009169F0"/>
    <w:rsid w:val="009173EA"/>
    <w:rsid w:val="009202FA"/>
    <w:rsid w:val="00920569"/>
    <w:rsid w:val="00920993"/>
    <w:rsid w:val="009212B9"/>
    <w:rsid w:val="00921ACB"/>
    <w:rsid w:val="00922042"/>
    <w:rsid w:val="00922655"/>
    <w:rsid w:val="0092369B"/>
    <w:rsid w:val="009238CE"/>
    <w:rsid w:val="00924A9B"/>
    <w:rsid w:val="009251A7"/>
    <w:rsid w:val="00925380"/>
    <w:rsid w:val="009277DA"/>
    <w:rsid w:val="00927988"/>
    <w:rsid w:val="00930018"/>
    <w:rsid w:val="009317AF"/>
    <w:rsid w:val="00931FC7"/>
    <w:rsid w:val="00933735"/>
    <w:rsid w:val="00934988"/>
    <w:rsid w:val="00934CF0"/>
    <w:rsid w:val="0093627E"/>
    <w:rsid w:val="009363AD"/>
    <w:rsid w:val="009363E1"/>
    <w:rsid w:val="00937089"/>
    <w:rsid w:val="0093708E"/>
    <w:rsid w:val="009376BD"/>
    <w:rsid w:val="00937730"/>
    <w:rsid w:val="00937FF9"/>
    <w:rsid w:val="00941004"/>
    <w:rsid w:val="00941540"/>
    <w:rsid w:val="009417A2"/>
    <w:rsid w:val="00941CCD"/>
    <w:rsid w:val="00941F9D"/>
    <w:rsid w:val="00942553"/>
    <w:rsid w:val="00942E48"/>
    <w:rsid w:val="00942FB3"/>
    <w:rsid w:val="00943D2E"/>
    <w:rsid w:val="009446F7"/>
    <w:rsid w:val="00944B2D"/>
    <w:rsid w:val="00944D34"/>
    <w:rsid w:val="00944F8A"/>
    <w:rsid w:val="009455DB"/>
    <w:rsid w:val="00945A9F"/>
    <w:rsid w:val="00946C40"/>
    <w:rsid w:val="009471E2"/>
    <w:rsid w:val="00947E7C"/>
    <w:rsid w:val="009504A3"/>
    <w:rsid w:val="00950681"/>
    <w:rsid w:val="00950DE7"/>
    <w:rsid w:val="00950E2B"/>
    <w:rsid w:val="009510A2"/>
    <w:rsid w:val="00953257"/>
    <w:rsid w:val="009532CF"/>
    <w:rsid w:val="009544C7"/>
    <w:rsid w:val="0095474C"/>
    <w:rsid w:val="00954A3D"/>
    <w:rsid w:val="00956AF4"/>
    <w:rsid w:val="00956F59"/>
    <w:rsid w:val="00957D43"/>
    <w:rsid w:val="00957D92"/>
    <w:rsid w:val="00957F58"/>
    <w:rsid w:val="0096010A"/>
    <w:rsid w:val="009603B6"/>
    <w:rsid w:val="00960B61"/>
    <w:rsid w:val="0096136E"/>
    <w:rsid w:val="009620A2"/>
    <w:rsid w:val="0096228F"/>
    <w:rsid w:val="0096266B"/>
    <w:rsid w:val="00962CB9"/>
    <w:rsid w:val="0096332D"/>
    <w:rsid w:val="00963764"/>
    <w:rsid w:val="00964312"/>
    <w:rsid w:val="00965B8A"/>
    <w:rsid w:val="00966F29"/>
    <w:rsid w:val="0096722A"/>
    <w:rsid w:val="009673F3"/>
    <w:rsid w:val="0096773E"/>
    <w:rsid w:val="0097071F"/>
    <w:rsid w:val="0097099D"/>
    <w:rsid w:val="00970D06"/>
    <w:rsid w:val="00970D31"/>
    <w:rsid w:val="009717AC"/>
    <w:rsid w:val="00971841"/>
    <w:rsid w:val="00972245"/>
    <w:rsid w:val="009724F3"/>
    <w:rsid w:val="00973080"/>
    <w:rsid w:val="00974424"/>
    <w:rsid w:val="009751C1"/>
    <w:rsid w:val="00975752"/>
    <w:rsid w:val="00975878"/>
    <w:rsid w:val="0097717D"/>
    <w:rsid w:val="0097730E"/>
    <w:rsid w:val="00977599"/>
    <w:rsid w:val="00977DDE"/>
    <w:rsid w:val="0098000C"/>
    <w:rsid w:val="0098090E"/>
    <w:rsid w:val="00980970"/>
    <w:rsid w:val="009809DB"/>
    <w:rsid w:val="009811F1"/>
    <w:rsid w:val="00983050"/>
    <w:rsid w:val="00983D9D"/>
    <w:rsid w:val="00983E57"/>
    <w:rsid w:val="00984C59"/>
    <w:rsid w:val="00984C9F"/>
    <w:rsid w:val="009852EA"/>
    <w:rsid w:val="009853AE"/>
    <w:rsid w:val="00985534"/>
    <w:rsid w:val="00985582"/>
    <w:rsid w:val="00985DE2"/>
    <w:rsid w:val="0098675D"/>
    <w:rsid w:val="00987BA4"/>
    <w:rsid w:val="00991DB5"/>
    <w:rsid w:val="009926E0"/>
    <w:rsid w:val="009935DC"/>
    <w:rsid w:val="00993A39"/>
    <w:rsid w:val="00994269"/>
    <w:rsid w:val="0099451E"/>
    <w:rsid w:val="00996B1A"/>
    <w:rsid w:val="00996F25"/>
    <w:rsid w:val="00997653"/>
    <w:rsid w:val="00997D4D"/>
    <w:rsid w:val="009A05AA"/>
    <w:rsid w:val="009A0697"/>
    <w:rsid w:val="009A18F6"/>
    <w:rsid w:val="009A1F17"/>
    <w:rsid w:val="009A24F4"/>
    <w:rsid w:val="009A2DCC"/>
    <w:rsid w:val="009A39E7"/>
    <w:rsid w:val="009A3D0F"/>
    <w:rsid w:val="009A40B6"/>
    <w:rsid w:val="009A4D3A"/>
    <w:rsid w:val="009A4EFB"/>
    <w:rsid w:val="009A5ABC"/>
    <w:rsid w:val="009A6682"/>
    <w:rsid w:val="009A68A0"/>
    <w:rsid w:val="009A6BA1"/>
    <w:rsid w:val="009A75AB"/>
    <w:rsid w:val="009A7965"/>
    <w:rsid w:val="009A7F10"/>
    <w:rsid w:val="009B0D9A"/>
    <w:rsid w:val="009B0E1F"/>
    <w:rsid w:val="009B1152"/>
    <w:rsid w:val="009B2132"/>
    <w:rsid w:val="009B2DA4"/>
    <w:rsid w:val="009B31F9"/>
    <w:rsid w:val="009B3E26"/>
    <w:rsid w:val="009B5C32"/>
    <w:rsid w:val="009B5D89"/>
    <w:rsid w:val="009B604F"/>
    <w:rsid w:val="009B6FBE"/>
    <w:rsid w:val="009B79A7"/>
    <w:rsid w:val="009B79CC"/>
    <w:rsid w:val="009B7A75"/>
    <w:rsid w:val="009C0662"/>
    <w:rsid w:val="009C1271"/>
    <w:rsid w:val="009C2008"/>
    <w:rsid w:val="009C22A0"/>
    <w:rsid w:val="009C2499"/>
    <w:rsid w:val="009C2BD2"/>
    <w:rsid w:val="009C3706"/>
    <w:rsid w:val="009C3A3A"/>
    <w:rsid w:val="009C5E64"/>
    <w:rsid w:val="009C6428"/>
    <w:rsid w:val="009C6456"/>
    <w:rsid w:val="009C6620"/>
    <w:rsid w:val="009C6CEA"/>
    <w:rsid w:val="009C73E8"/>
    <w:rsid w:val="009C7B85"/>
    <w:rsid w:val="009C7FA2"/>
    <w:rsid w:val="009D0254"/>
    <w:rsid w:val="009D03F0"/>
    <w:rsid w:val="009D06EC"/>
    <w:rsid w:val="009D0AEA"/>
    <w:rsid w:val="009D1A64"/>
    <w:rsid w:val="009D1B98"/>
    <w:rsid w:val="009D2045"/>
    <w:rsid w:val="009D2516"/>
    <w:rsid w:val="009D3842"/>
    <w:rsid w:val="009D3E87"/>
    <w:rsid w:val="009D4BC0"/>
    <w:rsid w:val="009D5014"/>
    <w:rsid w:val="009D5B91"/>
    <w:rsid w:val="009D6718"/>
    <w:rsid w:val="009D6872"/>
    <w:rsid w:val="009D6D38"/>
    <w:rsid w:val="009D7689"/>
    <w:rsid w:val="009D792E"/>
    <w:rsid w:val="009E0642"/>
    <w:rsid w:val="009E0C08"/>
    <w:rsid w:val="009E0DFE"/>
    <w:rsid w:val="009E18A8"/>
    <w:rsid w:val="009E2BC0"/>
    <w:rsid w:val="009E2C14"/>
    <w:rsid w:val="009E2CC0"/>
    <w:rsid w:val="009E3041"/>
    <w:rsid w:val="009E31F6"/>
    <w:rsid w:val="009E35D1"/>
    <w:rsid w:val="009E3798"/>
    <w:rsid w:val="009E4397"/>
    <w:rsid w:val="009E4635"/>
    <w:rsid w:val="009E4C07"/>
    <w:rsid w:val="009E501E"/>
    <w:rsid w:val="009E777F"/>
    <w:rsid w:val="009E7A56"/>
    <w:rsid w:val="009E7D10"/>
    <w:rsid w:val="009F0910"/>
    <w:rsid w:val="009F0A33"/>
    <w:rsid w:val="009F1563"/>
    <w:rsid w:val="009F16D6"/>
    <w:rsid w:val="009F3267"/>
    <w:rsid w:val="009F33FD"/>
    <w:rsid w:val="009F3886"/>
    <w:rsid w:val="009F450A"/>
    <w:rsid w:val="009F55AE"/>
    <w:rsid w:val="009F6120"/>
    <w:rsid w:val="009F638A"/>
    <w:rsid w:val="009F66DE"/>
    <w:rsid w:val="009F7766"/>
    <w:rsid w:val="009F7EA9"/>
    <w:rsid w:val="00A000FC"/>
    <w:rsid w:val="00A00BA8"/>
    <w:rsid w:val="00A00D76"/>
    <w:rsid w:val="00A00E5D"/>
    <w:rsid w:val="00A01184"/>
    <w:rsid w:val="00A01449"/>
    <w:rsid w:val="00A016A7"/>
    <w:rsid w:val="00A0301C"/>
    <w:rsid w:val="00A032B4"/>
    <w:rsid w:val="00A037C2"/>
    <w:rsid w:val="00A03801"/>
    <w:rsid w:val="00A03D43"/>
    <w:rsid w:val="00A04380"/>
    <w:rsid w:val="00A0439A"/>
    <w:rsid w:val="00A04589"/>
    <w:rsid w:val="00A04786"/>
    <w:rsid w:val="00A04F84"/>
    <w:rsid w:val="00A05472"/>
    <w:rsid w:val="00A059BA"/>
    <w:rsid w:val="00A05C32"/>
    <w:rsid w:val="00A0601B"/>
    <w:rsid w:val="00A0653F"/>
    <w:rsid w:val="00A068FF"/>
    <w:rsid w:val="00A06CC9"/>
    <w:rsid w:val="00A10856"/>
    <w:rsid w:val="00A10CC7"/>
    <w:rsid w:val="00A1182D"/>
    <w:rsid w:val="00A11AEF"/>
    <w:rsid w:val="00A11CD0"/>
    <w:rsid w:val="00A11E04"/>
    <w:rsid w:val="00A12213"/>
    <w:rsid w:val="00A12FE0"/>
    <w:rsid w:val="00A12FF6"/>
    <w:rsid w:val="00A13948"/>
    <w:rsid w:val="00A1555B"/>
    <w:rsid w:val="00A155C5"/>
    <w:rsid w:val="00A16381"/>
    <w:rsid w:val="00A16AD8"/>
    <w:rsid w:val="00A20218"/>
    <w:rsid w:val="00A2021E"/>
    <w:rsid w:val="00A20AC0"/>
    <w:rsid w:val="00A20F53"/>
    <w:rsid w:val="00A20FD4"/>
    <w:rsid w:val="00A20FE4"/>
    <w:rsid w:val="00A2165D"/>
    <w:rsid w:val="00A21C95"/>
    <w:rsid w:val="00A21CF3"/>
    <w:rsid w:val="00A21F84"/>
    <w:rsid w:val="00A22A16"/>
    <w:rsid w:val="00A22B30"/>
    <w:rsid w:val="00A22FE9"/>
    <w:rsid w:val="00A230FA"/>
    <w:rsid w:val="00A23865"/>
    <w:rsid w:val="00A23E1A"/>
    <w:rsid w:val="00A24813"/>
    <w:rsid w:val="00A26733"/>
    <w:rsid w:val="00A26FAF"/>
    <w:rsid w:val="00A27229"/>
    <w:rsid w:val="00A2727B"/>
    <w:rsid w:val="00A279E2"/>
    <w:rsid w:val="00A27AEC"/>
    <w:rsid w:val="00A308BE"/>
    <w:rsid w:val="00A30B8A"/>
    <w:rsid w:val="00A313FB"/>
    <w:rsid w:val="00A31964"/>
    <w:rsid w:val="00A320DB"/>
    <w:rsid w:val="00A323B8"/>
    <w:rsid w:val="00A32F68"/>
    <w:rsid w:val="00A33434"/>
    <w:rsid w:val="00A338CA"/>
    <w:rsid w:val="00A344E0"/>
    <w:rsid w:val="00A35D16"/>
    <w:rsid w:val="00A36170"/>
    <w:rsid w:val="00A36F1D"/>
    <w:rsid w:val="00A3792B"/>
    <w:rsid w:val="00A37BCD"/>
    <w:rsid w:val="00A37CB1"/>
    <w:rsid w:val="00A40A40"/>
    <w:rsid w:val="00A40BE0"/>
    <w:rsid w:val="00A41689"/>
    <w:rsid w:val="00A418C8"/>
    <w:rsid w:val="00A42592"/>
    <w:rsid w:val="00A42E1C"/>
    <w:rsid w:val="00A42ECB"/>
    <w:rsid w:val="00A42F1D"/>
    <w:rsid w:val="00A431DB"/>
    <w:rsid w:val="00A435B6"/>
    <w:rsid w:val="00A4374E"/>
    <w:rsid w:val="00A43C59"/>
    <w:rsid w:val="00A44A4E"/>
    <w:rsid w:val="00A44DB5"/>
    <w:rsid w:val="00A4558F"/>
    <w:rsid w:val="00A45DED"/>
    <w:rsid w:val="00A464F0"/>
    <w:rsid w:val="00A4658D"/>
    <w:rsid w:val="00A469BC"/>
    <w:rsid w:val="00A46B62"/>
    <w:rsid w:val="00A47228"/>
    <w:rsid w:val="00A47468"/>
    <w:rsid w:val="00A47AF8"/>
    <w:rsid w:val="00A504BA"/>
    <w:rsid w:val="00A50ECD"/>
    <w:rsid w:val="00A518F3"/>
    <w:rsid w:val="00A5218B"/>
    <w:rsid w:val="00A52566"/>
    <w:rsid w:val="00A52729"/>
    <w:rsid w:val="00A53675"/>
    <w:rsid w:val="00A5431E"/>
    <w:rsid w:val="00A5498B"/>
    <w:rsid w:val="00A54DDE"/>
    <w:rsid w:val="00A54F59"/>
    <w:rsid w:val="00A55583"/>
    <w:rsid w:val="00A564D7"/>
    <w:rsid w:val="00A56B6A"/>
    <w:rsid w:val="00A570AE"/>
    <w:rsid w:val="00A57167"/>
    <w:rsid w:val="00A572A3"/>
    <w:rsid w:val="00A578DC"/>
    <w:rsid w:val="00A6015D"/>
    <w:rsid w:val="00A6098C"/>
    <w:rsid w:val="00A62B85"/>
    <w:rsid w:val="00A63BB2"/>
    <w:rsid w:val="00A640E2"/>
    <w:rsid w:val="00A64B60"/>
    <w:rsid w:val="00A64CA1"/>
    <w:rsid w:val="00A64D65"/>
    <w:rsid w:val="00A64FDB"/>
    <w:rsid w:val="00A65724"/>
    <w:rsid w:val="00A65858"/>
    <w:rsid w:val="00A65C7C"/>
    <w:rsid w:val="00A65EDD"/>
    <w:rsid w:val="00A668CC"/>
    <w:rsid w:val="00A66D66"/>
    <w:rsid w:val="00A6725B"/>
    <w:rsid w:val="00A6731F"/>
    <w:rsid w:val="00A67A5A"/>
    <w:rsid w:val="00A70605"/>
    <w:rsid w:val="00A7097E"/>
    <w:rsid w:val="00A71267"/>
    <w:rsid w:val="00A71941"/>
    <w:rsid w:val="00A71B72"/>
    <w:rsid w:val="00A73134"/>
    <w:rsid w:val="00A73557"/>
    <w:rsid w:val="00A7365A"/>
    <w:rsid w:val="00A74C07"/>
    <w:rsid w:val="00A74CEF"/>
    <w:rsid w:val="00A76001"/>
    <w:rsid w:val="00A76750"/>
    <w:rsid w:val="00A7676C"/>
    <w:rsid w:val="00A776EF"/>
    <w:rsid w:val="00A777B2"/>
    <w:rsid w:val="00A77C07"/>
    <w:rsid w:val="00A77CE7"/>
    <w:rsid w:val="00A80C89"/>
    <w:rsid w:val="00A811F6"/>
    <w:rsid w:val="00A81837"/>
    <w:rsid w:val="00A819F4"/>
    <w:rsid w:val="00A820CB"/>
    <w:rsid w:val="00A825D4"/>
    <w:rsid w:val="00A828F6"/>
    <w:rsid w:val="00A82B73"/>
    <w:rsid w:val="00A83536"/>
    <w:rsid w:val="00A843FC"/>
    <w:rsid w:val="00A852F1"/>
    <w:rsid w:val="00A85BD3"/>
    <w:rsid w:val="00A865FA"/>
    <w:rsid w:val="00A86720"/>
    <w:rsid w:val="00A86E8B"/>
    <w:rsid w:val="00A87164"/>
    <w:rsid w:val="00A8792C"/>
    <w:rsid w:val="00A91080"/>
    <w:rsid w:val="00A913CD"/>
    <w:rsid w:val="00A918D9"/>
    <w:rsid w:val="00A91EA2"/>
    <w:rsid w:val="00A92CC8"/>
    <w:rsid w:val="00A93072"/>
    <w:rsid w:val="00A938BD"/>
    <w:rsid w:val="00A93953"/>
    <w:rsid w:val="00A959D8"/>
    <w:rsid w:val="00A96557"/>
    <w:rsid w:val="00A97CD7"/>
    <w:rsid w:val="00AA09BF"/>
    <w:rsid w:val="00AA0BF8"/>
    <w:rsid w:val="00AA113D"/>
    <w:rsid w:val="00AA1C3F"/>
    <w:rsid w:val="00AA1F50"/>
    <w:rsid w:val="00AA2344"/>
    <w:rsid w:val="00AA3200"/>
    <w:rsid w:val="00AA4B13"/>
    <w:rsid w:val="00AA4E83"/>
    <w:rsid w:val="00AA6BD5"/>
    <w:rsid w:val="00AA6BD8"/>
    <w:rsid w:val="00AA6C7D"/>
    <w:rsid w:val="00AA7383"/>
    <w:rsid w:val="00AA7553"/>
    <w:rsid w:val="00AA75BE"/>
    <w:rsid w:val="00AA7A17"/>
    <w:rsid w:val="00AA7FD6"/>
    <w:rsid w:val="00AB042A"/>
    <w:rsid w:val="00AB05B0"/>
    <w:rsid w:val="00AB11AD"/>
    <w:rsid w:val="00AB19EF"/>
    <w:rsid w:val="00AB2495"/>
    <w:rsid w:val="00AB2818"/>
    <w:rsid w:val="00AB2823"/>
    <w:rsid w:val="00AB2966"/>
    <w:rsid w:val="00AB2D34"/>
    <w:rsid w:val="00AB3430"/>
    <w:rsid w:val="00AB37B9"/>
    <w:rsid w:val="00AB45BB"/>
    <w:rsid w:val="00AB476F"/>
    <w:rsid w:val="00AB4AD1"/>
    <w:rsid w:val="00AB4DE4"/>
    <w:rsid w:val="00AB552D"/>
    <w:rsid w:val="00AB5E07"/>
    <w:rsid w:val="00AB72B9"/>
    <w:rsid w:val="00AB780C"/>
    <w:rsid w:val="00AB7A82"/>
    <w:rsid w:val="00AB7CFA"/>
    <w:rsid w:val="00AB7E5E"/>
    <w:rsid w:val="00AC07BD"/>
    <w:rsid w:val="00AC2354"/>
    <w:rsid w:val="00AC47BF"/>
    <w:rsid w:val="00AC4B5F"/>
    <w:rsid w:val="00AC4F6C"/>
    <w:rsid w:val="00AC54AB"/>
    <w:rsid w:val="00AC5B42"/>
    <w:rsid w:val="00AC5B48"/>
    <w:rsid w:val="00AC6328"/>
    <w:rsid w:val="00AC6B05"/>
    <w:rsid w:val="00AC787B"/>
    <w:rsid w:val="00AC79EA"/>
    <w:rsid w:val="00AD1450"/>
    <w:rsid w:val="00AD15E8"/>
    <w:rsid w:val="00AD1A19"/>
    <w:rsid w:val="00AD356D"/>
    <w:rsid w:val="00AD41E4"/>
    <w:rsid w:val="00AD6502"/>
    <w:rsid w:val="00AD680F"/>
    <w:rsid w:val="00AD6AFE"/>
    <w:rsid w:val="00AE0695"/>
    <w:rsid w:val="00AE19A0"/>
    <w:rsid w:val="00AE218E"/>
    <w:rsid w:val="00AE2484"/>
    <w:rsid w:val="00AE25EB"/>
    <w:rsid w:val="00AE354B"/>
    <w:rsid w:val="00AE3E7E"/>
    <w:rsid w:val="00AE4385"/>
    <w:rsid w:val="00AE4767"/>
    <w:rsid w:val="00AE4C5F"/>
    <w:rsid w:val="00AE606C"/>
    <w:rsid w:val="00AE711E"/>
    <w:rsid w:val="00AE7AA2"/>
    <w:rsid w:val="00AE7E53"/>
    <w:rsid w:val="00AF090D"/>
    <w:rsid w:val="00AF1315"/>
    <w:rsid w:val="00AF14FB"/>
    <w:rsid w:val="00AF16E5"/>
    <w:rsid w:val="00AF19BF"/>
    <w:rsid w:val="00AF1B2D"/>
    <w:rsid w:val="00AF1BC8"/>
    <w:rsid w:val="00AF2DC3"/>
    <w:rsid w:val="00AF35F3"/>
    <w:rsid w:val="00AF45BE"/>
    <w:rsid w:val="00AF4D82"/>
    <w:rsid w:val="00AF5607"/>
    <w:rsid w:val="00AF5866"/>
    <w:rsid w:val="00AF5978"/>
    <w:rsid w:val="00AF64F6"/>
    <w:rsid w:val="00AF6561"/>
    <w:rsid w:val="00AF6706"/>
    <w:rsid w:val="00AF6D83"/>
    <w:rsid w:val="00B00709"/>
    <w:rsid w:val="00B00909"/>
    <w:rsid w:val="00B00C1B"/>
    <w:rsid w:val="00B0103B"/>
    <w:rsid w:val="00B011AF"/>
    <w:rsid w:val="00B01D4B"/>
    <w:rsid w:val="00B01E0C"/>
    <w:rsid w:val="00B0286A"/>
    <w:rsid w:val="00B033E5"/>
    <w:rsid w:val="00B03874"/>
    <w:rsid w:val="00B03A63"/>
    <w:rsid w:val="00B041CB"/>
    <w:rsid w:val="00B04D47"/>
    <w:rsid w:val="00B05DC9"/>
    <w:rsid w:val="00B063E9"/>
    <w:rsid w:val="00B06F12"/>
    <w:rsid w:val="00B07C13"/>
    <w:rsid w:val="00B10C60"/>
    <w:rsid w:val="00B11035"/>
    <w:rsid w:val="00B11CFD"/>
    <w:rsid w:val="00B12705"/>
    <w:rsid w:val="00B12824"/>
    <w:rsid w:val="00B129A4"/>
    <w:rsid w:val="00B12F0F"/>
    <w:rsid w:val="00B12F6C"/>
    <w:rsid w:val="00B142DE"/>
    <w:rsid w:val="00B14D3D"/>
    <w:rsid w:val="00B14F1F"/>
    <w:rsid w:val="00B17116"/>
    <w:rsid w:val="00B17694"/>
    <w:rsid w:val="00B201A4"/>
    <w:rsid w:val="00B201D1"/>
    <w:rsid w:val="00B20B88"/>
    <w:rsid w:val="00B213A6"/>
    <w:rsid w:val="00B218C5"/>
    <w:rsid w:val="00B21999"/>
    <w:rsid w:val="00B21CCF"/>
    <w:rsid w:val="00B22074"/>
    <w:rsid w:val="00B221A1"/>
    <w:rsid w:val="00B22C70"/>
    <w:rsid w:val="00B235B0"/>
    <w:rsid w:val="00B24DF6"/>
    <w:rsid w:val="00B2543E"/>
    <w:rsid w:val="00B25519"/>
    <w:rsid w:val="00B26258"/>
    <w:rsid w:val="00B2745C"/>
    <w:rsid w:val="00B27529"/>
    <w:rsid w:val="00B27A61"/>
    <w:rsid w:val="00B27C10"/>
    <w:rsid w:val="00B303C3"/>
    <w:rsid w:val="00B3142A"/>
    <w:rsid w:val="00B31B72"/>
    <w:rsid w:val="00B32773"/>
    <w:rsid w:val="00B32984"/>
    <w:rsid w:val="00B32BEE"/>
    <w:rsid w:val="00B33374"/>
    <w:rsid w:val="00B334A4"/>
    <w:rsid w:val="00B3361B"/>
    <w:rsid w:val="00B33C08"/>
    <w:rsid w:val="00B341E7"/>
    <w:rsid w:val="00B3430B"/>
    <w:rsid w:val="00B34FE2"/>
    <w:rsid w:val="00B35166"/>
    <w:rsid w:val="00B352BF"/>
    <w:rsid w:val="00B357D8"/>
    <w:rsid w:val="00B360F4"/>
    <w:rsid w:val="00B36870"/>
    <w:rsid w:val="00B36962"/>
    <w:rsid w:val="00B36A00"/>
    <w:rsid w:val="00B36C61"/>
    <w:rsid w:val="00B36D94"/>
    <w:rsid w:val="00B36F32"/>
    <w:rsid w:val="00B373DD"/>
    <w:rsid w:val="00B3741A"/>
    <w:rsid w:val="00B3792B"/>
    <w:rsid w:val="00B37BFC"/>
    <w:rsid w:val="00B4013D"/>
    <w:rsid w:val="00B40358"/>
    <w:rsid w:val="00B41576"/>
    <w:rsid w:val="00B41614"/>
    <w:rsid w:val="00B41F5E"/>
    <w:rsid w:val="00B42851"/>
    <w:rsid w:val="00B42F80"/>
    <w:rsid w:val="00B43477"/>
    <w:rsid w:val="00B435CB"/>
    <w:rsid w:val="00B43826"/>
    <w:rsid w:val="00B43C67"/>
    <w:rsid w:val="00B44168"/>
    <w:rsid w:val="00B44A06"/>
    <w:rsid w:val="00B44FFE"/>
    <w:rsid w:val="00B465EC"/>
    <w:rsid w:val="00B4715B"/>
    <w:rsid w:val="00B475CB"/>
    <w:rsid w:val="00B50077"/>
    <w:rsid w:val="00B505C8"/>
    <w:rsid w:val="00B508E0"/>
    <w:rsid w:val="00B50DB8"/>
    <w:rsid w:val="00B50F32"/>
    <w:rsid w:val="00B517EC"/>
    <w:rsid w:val="00B51B42"/>
    <w:rsid w:val="00B51E89"/>
    <w:rsid w:val="00B52A16"/>
    <w:rsid w:val="00B534DA"/>
    <w:rsid w:val="00B53654"/>
    <w:rsid w:val="00B53905"/>
    <w:rsid w:val="00B54095"/>
    <w:rsid w:val="00B545D7"/>
    <w:rsid w:val="00B546DB"/>
    <w:rsid w:val="00B54B5B"/>
    <w:rsid w:val="00B54DA7"/>
    <w:rsid w:val="00B5553F"/>
    <w:rsid w:val="00B5562E"/>
    <w:rsid w:val="00B557D5"/>
    <w:rsid w:val="00B55851"/>
    <w:rsid w:val="00B55862"/>
    <w:rsid w:val="00B55866"/>
    <w:rsid w:val="00B55D65"/>
    <w:rsid w:val="00B561B7"/>
    <w:rsid w:val="00B56305"/>
    <w:rsid w:val="00B57000"/>
    <w:rsid w:val="00B57050"/>
    <w:rsid w:val="00B5747E"/>
    <w:rsid w:val="00B601DA"/>
    <w:rsid w:val="00B60939"/>
    <w:rsid w:val="00B60AFD"/>
    <w:rsid w:val="00B60CAE"/>
    <w:rsid w:val="00B60F98"/>
    <w:rsid w:val="00B620A9"/>
    <w:rsid w:val="00B62715"/>
    <w:rsid w:val="00B62E06"/>
    <w:rsid w:val="00B647FB"/>
    <w:rsid w:val="00B64F80"/>
    <w:rsid w:val="00B65611"/>
    <w:rsid w:val="00B65938"/>
    <w:rsid w:val="00B675FA"/>
    <w:rsid w:val="00B67D98"/>
    <w:rsid w:val="00B70281"/>
    <w:rsid w:val="00B70E8E"/>
    <w:rsid w:val="00B71044"/>
    <w:rsid w:val="00B71130"/>
    <w:rsid w:val="00B72412"/>
    <w:rsid w:val="00B7298C"/>
    <w:rsid w:val="00B72B8E"/>
    <w:rsid w:val="00B73CBB"/>
    <w:rsid w:val="00B74A44"/>
    <w:rsid w:val="00B75371"/>
    <w:rsid w:val="00B75683"/>
    <w:rsid w:val="00B766FB"/>
    <w:rsid w:val="00B76C92"/>
    <w:rsid w:val="00B77C18"/>
    <w:rsid w:val="00B80EFD"/>
    <w:rsid w:val="00B81432"/>
    <w:rsid w:val="00B816D1"/>
    <w:rsid w:val="00B81854"/>
    <w:rsid w:val="00B818A4"/>
    <w:rsid w:val="00B81BAE"/>
    <w:rsid w:val="00B81DC9"/>
    <w:rsid w:val="00B82907"/>
    <w:rsid w:val="00B83739"/>
    <w:rsid w:val="00B83A4F"/>
    <w:rsid w:val="00B84117"/>
    <w:rsid w:val="00B858F0"/>
    <w:rsid w:val="00B85AA2"/>
    <w:rsid w:val="00B8649C"/>
    <w:rsid w:val="00B8695D"/>
    <w:rsid w:val="00B875DC"/>
    <w:rsid w:val="00B8793C"/>
    <w:rsid w:val="00B87F0A"/>
    <w:rsid w:val="00B87F20"/>
    <w:rsid w:val="00B90452"/>
    <w:rsid w:val="00B92761"/>
    <w:rsid w:val="00B9288F"/>
    <w:rsid w:val="00B92A41"/>
    <w:rsid w:val="00B92D0B"/>
    <w:rsid w:val="00B93227"/>
    <w:rsid w:val="00B94264"/>
    <w:rsid w:val="00B94945"/>
    <w:rsid w:val="00B94DD6"/>
    <w:rsid w:val="00B9548A"/>
    <w:rsid w:val="00B96742"/>
    <w:rsid w:val="00B96A5C"/>
    <w:rsid w:val="00B978DD"/>
    <w:rsid w:val="00B97B58"/>
    <w:rsid w:val="00B97EAA"/>
    <w:rsid w:val="00BA11CF"/>
    <w:rsid w:val="00BA15BE"/>
    <w:rsid w:val="00BA2A53"/>
    <w:rsid w:val="00BA3030"/>
    <w:rsid w:val="00BA322D"/>
    <w:rsid w:val="00BA3813"/>
    <w:rsid w:val="00BA441B"/>
    <w:rsid w:val="00BA48D2"/>
    <w:rsid w:val="00BA5F3B"/>
    <w:rsid w:val="00BA60FF"/>
    <w:rsid w:val="00BA63FA"/>
    <w:rsid w:val="00BA6D93"/>
    <w:rsid w:val="00BB00B3"/>
    <w:rsid w:val="00BB07B6"/>
    <w:rsid w:val="00BB0A81"/>
    <w:rsid w:val="00BB0AA9"/>
    <w:rsid w:val="00BB0BDD"/>
    <w:rsid w:val="00BB0C0D"/>
    <w:rsid w:val="00BB0FD3"/>
    <w:rsid w:val="00BB11FD"/>
    <w:rsid w:val="00BB15E4"/>
    <w:rsid w:val="00BB176C"/>
    <w:rsid w:val="00BB19F9"/>
    <w:rsid w:val="00BB2247"/>
    <w:rsid w:val="00BB2A73"/>
    <w:rsid w:val="00BB2AE3"/>
    <w:rsid w:val="00BB3A45"/>
    <w:rsid w:val="00BB42A0"/>
    <w:rsid w:val="00BB44F9"/>
    <w:rsid w:val="00BB47F1"/>
    <w:rsid w:val="00BB4ACC"/>
    <w:rsid w:val="00BB5783"/>
    <w:rsid w:val="00BB631C"/>
    <w:rsid w:val="00BB703E"/>
    <w:rsid w:val="00BB732D"/>
    <w:rsid w:val="00BB7405"/>
    <w:rsid w:val="00BB7A70"/>
    <w:rsid w:val="00BC02B2"/>
    <w:rsid w:val="00BC059E"/>
    <w:rsid w:val="00BC0AB6"/>
    <w:rsid w:val="00BC1EE2"/>
    <w:rsid w:val="00BC2857"/>
    <w:rsid w:val="00BC316E"/>
    <w:rsid w:val="00BC3631"/>
    <w:rsid w:val="00BC3C22"/>
    <w:rsid w:val="00BC484B"/>
    <w:rsid w:val="00BC4934"/>
    <w:rsid w:val="00BC51CA"/>
    <w:rsid w:val="00BC5882"/>
    <w:rsid w:val="00BC58C7"/>
    <w:rsid w:val="00BC591F"/>
    <w:rsid w:val="00BC5D7A"/>
    <w:rsid w:val="00BC6108"/>
    <w:rsid w:val="00BC7A99"/>
    <w:rsid w:val="00BC7B08"/>
    <w:rsid w:val="00BC7D6D"/>
    <w:rsid w:val="00BD1D28"/>
    <w:rsid w:val="00BD1E13"/>
    <w:rsid w:val="00BD2108"/>
    <w:rsid w:val="00BD3096"/>
    <w:rsid w:val="00BD30BC"/>
    <w:rsid w:val="00BD3FA3"/>
    <w:rsid w:val="00BD5B67"/>
    <w:rsid w:val="00BD68A3"/>
    <w:rsid w:val="00BD6938"/>
    <w:rsid w:val="00BD6CF3"/>
    <w:rsid w:val="00BD6E9B"/>
    <w:rsid w:val="00BD6EA6"/>
    <w:rsid w:val="00BD6EC5"/>
    <w:rsid w:val="00BD73A8"/>
    <w:rsid w:val="00BD778F"/>
    <w:rsid w:val="00BD7F72"/>
    <w:rsid w:val="00BE00A0"/>
    <w:rsid w:val="00BE0ECA"/>
    <w:rsid w:val="00BE2069"/>
    <w:rsid w:val="00BE2180"/>
    <w:rsid w:val="00BE21F2"/>
    <w:rsid w:val="00BE385B"/>
    <w:rsid w:val="00BE4275"/>
    <w:rsid w:val="00BE4BBF"/>
    <w:rsid w:val="00BE6AE5"/>
    <w:rsid w:val="00BE78FB"/>
    <w:rsid w:val="00BF039B"/>
    <w:rsid w:val="00BF06AE"/>
    <w:rsid w:val="00BF0764"/>
    <w:rsid w:val="00BF0D9A"/>
    <w:rsid w:val="00BF0F95"/>
    <w:rsid w:val="00BF1BC8"/>
    <w:rsid w:val="00BF2433"/>
    <w:rsid w:val="00BF256C"/>
    <w:rsid w:val="00BF2887"/>
    <w:rsid w:val="00BF2E6E"/>
    <w:rsid w:val="00BF310B"/>
    <w:rsid w:val="00BF3205"/>
    <w:rsid w:val="00BF48A8"/>
    <w:rsid w:val="00BF4BA9"/>
    <w:rsid w:val="00BF5917"/>
    <w:rsid w:val="00BF6199"/>
    <w:rsid w:val="00BF61C9"/>
    <w:rsid w:val="00BF623C"/>
    <w:rsid w:val="00BF6C0B"/>
    <w:rsid w:val="00BF6C94"/>
    <w:rsid w:val="00BF6E5F"/>
    <w:rsid w:val="00BF79B6"/>
    <w:rsid w:val="00C0012A"/>
    <w:rsid w:val="00C00424"/>
    <w:rsid w:val="00C008BF"/>
    <w:rsid w:val="00C0092F"/>
    <w:rsid w:val="00C00BB0"/>
    <w:rsid w:val="00C00CA0"/>
    <w:rsid w:val="00C00F88"/>
    <w:rsid w:val="00C0154E"/>
    <w:rsid w:val="00C03629"/>
    <w:rsid w:val="00C0430C"/>
    <w:rsid w:val="00C0461B"/>
    <w:rsid w:val="00C047E0"/>
    <w:rsid w:val="00C04DB3"/>
    <w:rsid w:val="00C0572E"/>
    <w:rsid w:val="00C05DA7"/>
    <w:rsid w:val="00C0640D"/>
    <w:rsid w:val="00C0667B"/>
    <w:rsid w:val="00C06D14"/>
    <w:rsid w:val="00C07147"/>
    <w:rsid w:val="00C0742E"/>
    <w:rsid w:val="00C07529"/>
    <w:rsid w:val="00C1071F"/>
    <w:rsid w:val="00C10965"/>
    <w:rsid w:val="00C11164"/>
    <w:rsid w:val="00C1179F"/>
    <w:rsid w:val="00C12419"/>
    <w:rsid w:val="00C127B9"/>
    <w:rsid w:val="00C128FA"/>
    <w:rsid w:val="00C12BA5"/>
    <w:rsid w:val="00C12C14"/>
    <w:rsid w:val="00C14398"/>
    <w:rsid w:val="00C14A60"/>
    <w:rsid w:val="00C14E88"/>
    <w:rsid w:val="00C14F3F"/>
    <w:rsid w:val="00C15DFD"/>
    <w:rsid w:val="00C15F04"/>
    <w:rsid w:val="00C16A96"/>
    <w:rsid w:val="00C179B3"/>
    <w:rsid w:val="00C17E3F"/>
    <w:rsid w:val="00C200AA"/>
    <w:rsid w:val="00C211E2"/>
    <w:rsid w:val="00C21493"/>
    <w:rsid w:val="00C21E31"/>
    <w:rsid w:val="00C22277"/>
    <w:rsid w:val="00C22867"/>
    <w:rsid w:val="00C22B9D"/>
    <w:rsid w:val="00C231D5"/>
    <w:rsid w:val="00C233B3"/>
    <w:rsid w:val="00C23506"/>
    <w:rsid w:val="00C237ED"/>
    <w:rsid w:val="00C24632"/>
    <w:rsid w:val="00C24719"/>
    <w:rsid w:val="00C25418"/>
    <w:rsid w:val="00C25D9C"/>
    <w:rsid w:val="00C25FDD"/>
    <w:rsid w:val="00C26145"/>
    <w:rsid w:val="00C26E3C"/>
    <w:rsid w:val="00C275CC"/>
    <w:rsid w:val="00C2771A"/>
    <w:rsid w:val="00C2778B"/>
    <w:rsid w:val="00C279A5"/>
    <w:rsid w:val="00C27D77"/>
    <w:rsid w:val="00C30240"/>
    <w:rsid w:val="00C31649"/>
    <w:rsid w:val="00C32399"/>
    <w:rsid w:val="00C32E77"/>
    <w:rsid w:val="00C3434C"/>
    <w:rsid w:val="00C35E0F"/>
    <w:rsid w:val="00C368F5"/>
    <w:rsid w:val="00C3692E"/>
    <w:rsid w:val="00C375B3"/>
    <w:rsid w:val="00C40385"/>
    <w:rsid w:val="00C403DB"/>
    <w:rsid w:val="00C40EE1"/>
    <w:rsid w:val="00C41736"/>
    <w:rsid w:val="00C41768"/>
    <w:rsid w:val="00C41966"/>
    <w:rsid w:val="00C435FF"/>
    <w:rsid w:val="00C441CB"/>
    <w:rsid w:val="00C44247"/>
    <w:rsid w:val="00C44597"/>
    <w:rsid w:val="00C47484"/>
    <w:rsid w:val="00C475AA"/>
    <w:rsid w:val="00C47C36"/>
    <w:rsid w:val="00C47DFB"/>
    <w:rsid w:val="00C47FD2"/>
    <w:rsid w:val="00C50CCB"/>
    <w:rsid w:val="00C513FA"/>
    <w:rsid w:val="00C527C7"/>
    <w:rsid w:val="00C52899"/>
    <w:rsid w:val="00C52D8B"/>
    <w:rsid w:val="00C53224"/>
    <w:rsid w:val="00C53C98"/>
    <w:rsid w:val="00C53FE3"/>
    <w:rsid w:val="00C540FA"/>
    <w:rsid w:val="00C543E4"/>
    <w:rsid w:val="00C5499A"/>
    <w:rsid w:val="00C551E1"/>
    <w:rsid w:val="00C55221"/>
    <w:rsid w:val="00C56F5F"/>
    <w:rsid w:val="00C56FCF"/>
    <w:rsid w:val="00C578B8"/>
    <w:rsid w:val="00C57B6C"/>
    <w:rsid w:val="00C6119F"/>
    <w:rsid w:val="00C61280"/>
    <w:rsid w:val="00C614EC"/>
    <w:rsid w:val="00C61889"/>
    <w:rsid w:val="00C61A59"/>
    <w:rsid w:val="00C6211F"/>
    <w:rsid w:val="00C624FD"/>
    <w:rsid w:val="00C6265C"/>
    <w:rsid w:val="00C628A6"/>
    <w:rsid w:val="00C628CC"/>
    <w:rsid w:val="00C63AF7"/>
    <w:rsid w:val="00C64344"/>
    <w:rsid w:val="00C65108"/>
    <w:rsid w:val="00C65576"/>
    <w:rsid w:val="00C66165"/>
    <w:rsid w:val="00C661BF"/>
    <w:rsid w:val="00C66DD9"/>
    <w:rsid w:val="00C6713C"/>
    <w:rsid w:val="00C679C4"/>
    <w:rsid w:val="00C67B60"/>
    <w:rsid w:val="00C67BE8"/>
    <w:rsid w:val="00C67C25"/>
    <w:rsid w:val="00C7060A"/>
    <w:rsid w:val="00C70833"/>
    <w:rsid w:val="00C708EC"/>
    <w:rsid w:val="00C7151A"/>
    <w:rsid w:val="00C717E3"/>
    <w:rsid w:val="00C71F60"/>
    <w:rsid w:val="00C72241"/>
    <w:rsid w:val="00C7258A"/>
    <w:rsid w:val="00C73BDC"/>
    <w:rsid w:val="00C74135"/>
    <w:rsid w:val="00C749B4"/>
    <w:rsid w:val="00C750C8"/>
    <w:rsid w:val="00C7560F"/>
    <w:rsid w:val="00C76FBB"/>
    <w:rsid w:val="00C77584"/>
    <w:rsid w:val="00C806FF"/>
    <w:rsid w:val="00C80A0E"/>
    <w:rsid w:val="00C80A63"/>
    <w:rsid w:val="00C81233"/>
    <w:rsid w:val="00C8213F"/>
    <w:rsid w:val="00C825D9"/>
    <w:rsid w:val="00C82C8F"/>
    <w:rsid w:val="00C8303F"/>
    <w:rsid w:val="00C8491B"/>
    <w:rsid w:val="00C8507D"/>
    <w:rsid w:val="00C85154"/>
    <w:rsid w:val="00C85A70"/>
    <w:rsid w:val="00C85ACF"/>
    <w:rsid w:val="00C85F92"/>
    <w:rsid w:val="00C8797A"/>
    <w:rsid w:val="00C87E58"/>
    <w:rsid w:val="00C900B8"/>
    <w:rsid w:val="00C90197"/>
    <w:rsid w:val="00C901B6"/>
    <w:rsid w:val="00C90C71"/>
    <w:rsid w:val="00C90D01"/>
    <w:rsid w:val="00C91B43"/>
    <w:rsid w:val="00C91FD1"/>
    <w:rsid w:val="00C923FA"/>
    <w:rsid w:val="00C9276E"/>
    <w:rsid w:val="00C931CF"/>
    <w:rsid w:val="00C93369"/>
    <w:rsid w:val="00C93399"/>
    <w:rsid w:val="00C933B3"/>
    <w:rsid w:val="00C938CF"/>
    <w:rsid w:val="00C94053"/>
    <w:rsid w:val="00C940CB"/>
    <w:rsid w:val="00C941BD"/>
    <w:rsid w:val="00C94F26"/>
    <w:rsid w:val="00C961AF"/>
    <w:rsid w:val="00C9624D"/>
    <w:rsid w:val="00C962EE"/>
    <w:rsid w:val="00C96505"/>
    <w:rsid w:val="00C96615"/>
    <w:rsid w:val="00C969DA"/>
    <w:rsid w:val="00C96CC9"/>
    <w:rsid w:val="00C9709D"/>
    <w:rsid w:val="00C97274"/>
    <w:rsid w:val="00CA0426"/>
    <w:rsid w:val="00CA068D"/>
    <w:rsid w:val="00CA0D2B"/>
    <w:rsid w:val="00CA1FB0"/>
    <w:rsid w:val="00CA2342"/>
    <w:rsid w:val="00CA2C77"/>
    <w:rsid w:val="00CA444F"/>
    <w:rsid w:val="00CA465F"/>
    <w:rsid w:val="00CA5245"/>
    <w:rsid w:val="00CA6033"/>
    <w:rsid w:val="00CA71F4"/>
    <w:rsid w:val="00CA7A46"/>
    <w:rsid w:val="00CA7B09"/>
    <w:rsid w:val="00CB0A8D"/>
    <w:rsid w:val="00CB128E"/>
    <w:rsid w:val="00CB12A5"/>
    <w:rsid w:val="00CB13A6"/>
    <w:rsid w:val="00CB1CAC"/>
    <w:rsid w:val="00CB2F2A"/>
    <w:rsid w:val="00CB37DA"/>
    <w:rsid w:val="00CB3B1D"/>
    <w:rsid w:val="00CB4511"/>
    <w:rsid w:val="00CB4DF4"/>
    <w:rsid w:val="00CB4F36"/>
    <w:rsid w:val="00CB5B1A"/>
    <w:rsid w:val="00CB5EEC"/>
    <w:rsid w:val="00CB6702"/>
    <w:rsid w:val="00CB6B22"/>
    <w:rsid w:val="00CB6B8D"/>
    <w:rsid w:val="00CB6BBF"/>
    <w:rsid w:val="00CB6E14"/>
    <w:rsid w:val="00CB7BD7"/>
    <w:rsid w:val="00CB7C24"/>
    <w:rsid w:val="00CB7CEE"/>
    <w:rsid w:val="00CB7EFB"/>
    <w:rsid w:val="00CB7F5F"/>
    <w:rsid w:val="00CC028B"/>
    <w:rsid w:val="00CC0C2D"/>
    <w:rsid w:val="00CC105B"/>
    <w:rsid w:val="00CC155F"/>
    <w:rsid w:val="00CC1B39"/>
    <w:rsid w:val="00CC1BFA"/>
    <w:rsid w:val="00CC1FDE"/>
    <w:rsid w:val="00CC28AC"/>
    <w:rsid w:val="00CC2E9F"/>
    <w:rsid w:val="00CC2F54"/>
    <w:rsid w:val="00CC35EA"/>
    <w:rsid w:val="00CC3848"/>
    <w:rsid w:val="00CC3DDB"/>
    <w:rsid w:val="00CC3FAC"/>
    <w:rsid w:val="00CC4583"/>
    <w:rsid w:val="00CC4DB3"/>
    <w:rsid w:val="00CC5388"/>
    <w:rsid w:val="00CC5F84"/>
    <w:rsid w:val="00CC62A4"/>
    <w:rsid w:val="00CC6D5E"/>
    <w:rsid w:val="00CD0031"/>
    <w:rsid w:val="00CD0200"/>
    <w:rsid w:val="00CD0792"/>
    <w:rsid w:val="00CD0958"/>
    <w:rsid w:val="00CD1E8F"/>
    <w:rsid w:val="00CD2358"/>
    <w:rsid w:val="00CD2D43"/>
    <w:rsid w:val="00CD382D"/>
    <w:rsid w:val="00CD3F77"/>
    <w:rsid w:val="00CD4519"/>
    <w:rsid w:val="00CD4831"/>
    <w:rsid w:val="00CD4984"/>
    <w:rsid w:val="00CD5B89"/>
    <w:rsid w:val="00CD5DFD"/>
    <w:rsid w:val="00CD5F75"/>
    <w:rsid w:val="00CD6029"/>
    <w:rsid w:val="00CD6ADC"/>
    <w:rsid w:val="00CD6C5D"/>
    <w:rsid w:val="00CD7193"/>
    <w:rsid w:val="00CD741F"/>
    <w:rsid w:val="00CD76A4"/>
    <w:rsid w:val="00CE1257"/>
    <w:rsid w:val="00CE194E"/>
    <w:rsid w:val="00CE20FF"/>
    <w:rsid w:val="00CE23BC"/>
    <w:rsid w:val="00CE38C8"/>
    <w:rsid w:val="00CE40EB"/>
    <w:rsid w:val="00CE5238"/>
    <w:rsid w:val="00CE524F"/>
    <w:rsid w:val="00CE54B4"/>
    <w:rsid w:val="00CE58CC"/>
    <w:rsid w:val="00CE60A5"/>
    <w:rsid w:val="00CE6274"/>
    <w:rsid w:val="00CE62A8"/>
    <w:rsid w:val="00CE6E36"/>
    <w:rsid w:val="00CE75DD"/>
    <w:rsid w:val="00CE77B6"/>
    <w:rsid w:val="00CE7D0A"/>
    <w:rsid w:val="00CF15D4"/>
    <w:rsid w:val="00CF1999"/>
    <w:rsid w:val="00CF1D30"/>
    <w:rsid w:val="00CF2160"/>
    <w:rsid w:val="00CF2293"/>
    <w:rsid w:val="00CF2659"/>
    <w:rsid w:val="00CF2B8D"/>
    <w:rsid w:val="00CF2DFB"/>
    <w:rsid w:val="00CF383D"/>
    <w:rsid w:val="00CF3A1B"/>
    <w:rsid w:val="00CF3C03"/>
    <w:rsid w:val="00CF4520"/>
    <w:rsid w:val="00CF456B"/>
    <w:rsid w:val="00CF5A22"/>
    <w:rsid w:val="00CF66C4"/>
    <w:rsid w:val="00CF6928"/>
    <w:rsid w:val="00CF735A"/>
    <w:rsid w:val="00CF76E8"/>
    <w:rsid w:val="00CF79D8"/>
    <w:rsid w:val="00D002DC"/>
    <w:rsid w:val="00D006E8"/>
    <w:rsid w:val="00D0087B"/>
    <w:rsid w:val="00D00F18"/>
    <w:rsid w:val="00D01CF0"/>
    <w:rsid w:val="00D0215B"/>
    <w:rsid w:val="00D0262E"/>
    <w:rsid w:val="00D02A36"/>
    <w:rsid w:val="00D03679"/>
    <w:rsid w:val="00D03C1B"/>
    <w:rsid w:val="00D03F53"/>
    <w:rsid w:val="00D05049"/>
    <w:rsid w:val="00D055E1"/>
    <w:rsid w:val="00D05965"/>
    <w:rsid w:val="00D05A03"/>
    <w:rsid w:val="00D05E3D"/>
    <w:rsid w:val="00D06139"/>
    <w:rsid w:val="00D10066"/>
    <w:rsid w:val="00D10F46"/>
    <w:rsid w:val="00D110BD"/>
    <w:rsid w:val="00D1150A"/>
    <w:rsid w:val="00D12E4A"/>
    <w:rsid w:val="00D133AC"/>
    <w:rsid w:val="00D133BB"/>
    <w:rsid w:val="00D13675"/>
    <w:rsid w:val="00D141E1"/>
    <w:rsid w:val="00D14A5E"/>
    <w:rsid w:val="00D15314"/>
    <w:rsid w:val="00D15B48"/>
    <w:rsid w:val="00D160F4"/>
    <w:rsid w:val="00D1681E"/>
    <w:rsid w:val="00D168B0"/>
    <w:rsid w:val="00D179E0"/>
    <w:rsid w:val="00D17D6C"/>
    <w:rsid w:val="00D201FB"/>
    <w:rsid w:val="00D20708"/>
    <w:rsid w:val="00D210A1"/>
    <w:rsid w:val="00D2137F"/>
    <w:rsid w:val="00D214F2"/>
    <w:rsid w:val="00D2155B"/>
    <w:rsid w:val="00D21674"/>
    <w:rsid w:val="00D21748"/>
    <w:rsid w:val="00D21856"/>
    <w:rsid w:val="00D21A65"/>
    <w:rsid w:val="00D21A76"/>
    <w:rsid w:val="00D22242"/>
    <w:rsid w:val="00D22617"/>
    <w:rsid w:val="00D23CB1"/>
    <w:rsid w:val="00D23D11"/>
    <w:rsid w:val="00D242CA"/>
    <w:rsid w:val="00D244B6"/>
    <w:rsid w:val="00D24533"/>
    <w:rsid w:val="00D24CA2"/>
    <w:rsid w:val="00D24D12"/>
    <w:rsid w:val="00D2629C"/>
    <w:rsid w:val="00D26698"/>
    <w:rsid w:val="00D26A4A"/>
    <w:rsid w:val="00D27228"/>
    <w:rsid w:val="00D2754D"/>
    <w:rsid w:val="00D27579"/>
    <w:rsid w:val="00D27B27"/>
    <w:rsid w:val="00D27EFA"/>
    <w:rsid w:val="00D3059F"/>
    <w:rsid w:val="00D30BED"/>
    <w:rsid w:val="00D30D5B"/>
    <w:rsid w:val="00D3141C"/>
    <w:rsid w:val="00D31C88"/>
    <w:rsid w:val="00D326CE"/>
    <w:rsid w:val="00D3285B"/>
    <w:rsid w:val="00D32A56"/>
    <w:rsid w:val="00D336E6"/>
    <w:rsid w:val="00D33879"/>
    <w:rsid w:val="00D338E1"/>
    <w:rsid w:val="00D33BE9"/>
    <w:rsid w:val="00D33F93"/>
    <w:rsid w:val="00D34B5C"/>
    <w:rsid w:val="00D3507C"/>
    <w:rsid w:val="00D35322"/>
    <w:rsid w:val="00D3557A"/>
    <w:rsid w:val="00D357FF"/>
    <w:rsid w:val="00D36B8A"/>
    <w:rsid w:val="00D37052"/>
    <w:rsid w:val="00D37261"/>
    <w:rsid w:val="00D37295"/>
    <w:rsid w:val="00D3761F"/>
    <w:rsid w:val="00D37761"/>
    <w:rsid w:val="00D37D8B"/>
    <w:rsid w:val="00D40255"/>
    <w:rsid w:val="00D41B2F"/>
    <w:rsid w:val="00D41B58"/>
    <w:rsid w:val="00D41DB5"/>
    <w:rsid w:val="00D424C7"/>
    <w:rsid w:val="00D42772"/>
    <w:rsid w:val="00D42A11"/>
    <w:rsid w:val="00D42CD0"/>
    <w:rsid w:val="00D42F1E"/>
    <w:rsid w:val="00D43B2A"/>
    <w:rsid w:val="00D43B4E"/>
    <w:rsid w:val="00D43CF1"/>
    <w:rsid w:val="00D43D83"/>
    <w:rsid w:val="00D43FB7"/>
    <w:rsid w:val="00D44EE6"/>
    <w:rsid w:val="00D45457"/>
    <w:rsid w:val="00D45864"/>
    <w:rsid w:val="00D45872"/>
    <w:rsid w:val="00D45A7F"/>
    <w:rsid w:val="00D46079"/>
    <w:rsid w:val="00D47575"/>
    <w:rsid w:val="00D51C0E"/>
    <w:rsid w:val="00D5243B"/>
    <w:rsid w:val="00D532A8"/>
    <w:rsid w:val="00D533EC"/>
    <w:rsid w:val="00D549E8"/>
    <w:rsid w:val="00D55431"/>
    <w:rsid w:val="00D555FA"/>
    <w:rsid w:val="00D5665A"/>
    <w:rsid w:val="00D56A95"/>
    <w:rsid w:val="00D6076E"/>
    <w:rsid w:val="00D60F9D"/>
    <w:rsid w:val="00D61AB8"/>
    <w:rsid w:val="00D623C9"/>
    <w:rsid w:val="00D624C8"/>
    <w:rsid w:val="00D626A6"/>
    <w:rsid w:val="00D62BA6"/>
    <w:rsid w:val="00D633D0"/>
    <w:rsid w:val="00D6434C"/>
    <w:rsid w:val="00D65377"/>
    <w:rsid w:val="00D66156"/>
    <w:rsid w:val="00D66483"/>
    <w:rsid w:val="00D66505"/>
    <w:rsid w:val="00D67726"/>
    <w:rsid w:val="00D67E19"/>
    <w:rsid w:val="00D70F16"/>
    <w:rsid w:val="00D72617"/>
    <w:rsid w:val="00D72F57"/>
    <w:rsid w:val="00D7307D"/>
    <w:rsid w:val="00D737AE"/>
    <w:rsid w:val="00D74EB6"/>
    <w:rsid w:val="00D74F29"/>
    <w:rsid w:val="00D75A8B"/>
    <w:rsid w:val="00D76A44"/>
    <w:rsid w:val="00D76DFD"/>
    <w:rsid w:val="00D770AF"/>
    <w:rsid w:val="00D77688"/>
    <w:rsid w:val="00D806CC"/>
    <w:rsid w:val="00D808E5"/>
    <w:rsid w:val="00D8155E"/>
    <w:rsid w:val="00D815EF"/>
    <w:rsid w:val="00D81949"/>
    <w:rsid w:val="00D81A57"/>
    <w:rsid w:val="00D81F26"/>
    <w:rsid w:val="00D81F76"/>
    <w:rsid w:val="00D822E2"/>
    <w:rsid w:val="00D823C2"/>
    <w:rsid w:val="00D843F2"/>
    <w:rsid w:val="00D848C4"/>
    <w:rsid w:val="00D84BE6"/>
    <w:rsid w:val="00D86231"/>
    <w:rsid w:val="00D862B0"/>
    <w:rsid w:val="00D87128"/>
    <w:rsid w:val="00D87C00"/>
    <w:rsid w:val="00D9014A"/>
    <w:rsid w:val="00D9027B"/>
    <w:rsid w:val="00D906C8"/>
    <w:rsid w:val="00D90915"/>
    <w:rsid w:val="00D909BC"/>
    <w:rsid w:val="00D912AB"/>
    <w:rsid w:val="00D91643"/>
    <w:rsid w:val="00D917BC"/>
    <w:rsid w:val="00D91923"/>
    <w:rsid w:val="00D92AFD"/>
    <w:rsid w:val="00D92B0B"/>
    <w:rsid w:val="00D93753"/>
    <w:rsid w:val="00D94CD2"/>
    <w:rsid w:val="00D95938"/>
    <w:rsid w:val="00D95F2D"/>
    <w:rsid w:val="00D97097"/>
    <w:rsid w:val="00D97F6A"/>
    <w:rsid w:val="00DA1076"/>
    <w:rsid w:val="00DA174E"/>
    <w:rsid w:val="00DA199F"/>
    <w:rsid w:val="00DA1B99"/>
    <w:rsid w:val="00DA3167"/>
    <w:rsid w:val="00DA4211"/>
    <w:rsid w:val="00DA4DC3"/>
    <w:rsid w:val="00DA5DA4"/>
    <w:rsid w:val="00DA5FD9"/>
    <w:rsid w:val="00DA71E0"/>
    <w:rsid w:val="00DA73B1"/>
    <w:rsid w:val="00DA77A5"/>
    <w:rsid w:val="00DA7A30"/>
    <w:rsid w:val="00DB04EF"/>
    <w:rsid w:val="00DB0C0E"/>
    <w:rsid w:val="00DB0E29"/>
    <w:rsid w:val="00DB0E36"/>
    <w:rsid w:val="00DB1419"/>
    <w:rsid w:val="00DB3183"/>
    <w:rsid w:val="00DB3DBF"/>
    <w:rsid w:val="00DB3FDF"/>
    <w:rsid w:val="00DB484F"/>
    <w:rsid w:val="00DB52EC"/>
    <w:rsid w:val="00DB60B6"/>
    <w:rsid w:val="00DC04F6"/>
    <w:rsid w:val="00DC0690"/>
    <w:rsid w:val="00DC1D65"/>
    <w:rsid w:val="00DC2204"/>
    <w:rsid w:val="00DC26F0"/>
    <w:rsid w:val="00DC2C90"/>
    <w:rsid w:val="00DC2DF4"/>
    <w:rsid w:val="00DC3C57"/>
    <w:rsid w:val="00DC5143"/>
    <w:rsid w:val="00DC5501"/>
    <w:rsid w:val="00DC5DE4"/>
    <w:rsid w:val="00DC6BBE"/>
    <w:rsid w:val="00DC7154"/>
    <w:rsid w:val="00DC7B85"/>
    <w:rsid w:val="00DC7E8A"/>
    <w:rsid w:val="00DC7FF7"/>
    <w:rsid w:val="00DD0844"/>
    <w:rsid w:val="00DD0F78"/>
    <w:rsid w:val="00DD10B3"/>
    <w:rsid w:val="00DD2530"/>
    <w:rsid w:val="00DD273C"/>
    <w:rsid w:val="00DD305D"/>
    <w:rsid w:val="00DD35FC"/>
    <w:rsid w:val="00DD3F28"/>
    <w:rsid w:val="00DD4446"/>
    <w:rsid w:val="00DD4537"/>
    <w:rsid w:val="00DD4E15"/>
    <w:rsid w:val="00DD747E"/>
    <w:rsid w:val="00DD75A6"/>
    <w:rsid w:val="00DD777A"/>
    <w:rsid w:val="00DD7ADB"/>
    <w:rsid w:val="00DD7E21"/>
    <w:rsid w:val="00DE0407"/>
    <w:rsid w:val="00DE0435"/>
    <w:rsid w:val="00DE0DA3"/>
    <w:rsid w:val="00DE108D"/>
    <w:rsid w:val="00DE10B9"/>
    <w:rsid w:val="00DE2304"/>
    <w:rsid w:val="00DE3138"/>
    <w:rsid w:val="00DE37F8"/>
    <w:rsid w:val="00DE3981"/>
    <w:rsid w:val="00DE3F6B"/>
    <w:rsid w:val="00DE4201"/>
    <w:rsid w:val="00DE4273"/>
    <w:rsid w:val="00DE4E6D"/>
    <w:rsid w:val="00DE4FCB"/>
    <w:rsid w:val="00DE5A57"/>
    <w:rsid w:val="00DE5D07"/>
    <w:rsid w:val="00DE6317"/>
    <w:rsid w:val="00DE72A7"/>
    <w:rsid w:val="00DE7832"/>
    <w:rsid w:val="00DE7D68"/>
    <w:rsid w:val="00DF1185"/>
    <w:rsid w:val="00DF1565"/>
    <w:rsid w:val="00DF18FC"/>
    <w:rsid w:val="00DF228C"/>
    <w:rsid w:val="00DF3174"/>
    <w:rsid w:val="00DF356F"/>
    <w:rsid w:val="00DF3B8E"/>
    <w:rsid w:val="00DF3E24"/>
    <w:rsid w:val="00DF45B2"/>
    <w:rsid w:val="00DF4A4A"/>
    <w:rsid w:val="00DF545A"/>
    <w:rsid w:val="00DF54BC"/>
    <w:rsid w:val="00DF5B92"/>
    <w:rsid w:val="00DF5D2B"/>
    <w:rsid w:val="00DF6341"/>
    <w:rsid w:val="00DF6526"/>
    <w:rsid w:val="00DF6933"/>
    <w:rsid w:val="00DF6EDE"/>
    <w:rsid w:val="00E00925"/>
    <w:rsid w:val="00E00E8E"/>
    <w:rsid w:val="00E02584"/>
    <w:rsid w:val="00E02747"/>
    <w:rsid w:val="00E02F9E"/>
    <w:rsid w:val="00E04039"/>
    <w:rsid w:val="00E048D6"/>
    <w:rsid w:val="00E05237"/>
    <w:rsid w:val="00E055C3"/>
    <w:rsid w:val="00E05630"/>
    <w:rsid w:val="00E05BA5"/>
    <w:rsid w:val="00E05E27"/>
    <w:rsid w:val="00E0642D"/>
    <w:rsid w:val="00E06644"/>
    <w:rsid w:val="00E06CF9"/>
    <w:rsid w:val="00E06DBB"/>
    <w:rsid w:val="00E10149"/>
    <w:rsid w:val="00E10BD6"/>
    <w:rsid w:val="00E11340"/>
    <w:rsid w:val="00E122A1"/>
    <w:rsid w:val="00E12DF5"/>
    <w:rsid w:val="00E12F24"/>
    <w:rsid w:val="00E13BB9"/>
    <w:rsid w:val="00E141C3"/>
    <w:rsid w:val="00E1430C"/>
    <w:rsid w:val="00E148EA"/>
    <w:rsid w:val="00E14A45"/>
    <w:rsid w:val="00E14B60"/>
    <w:rsid w:val="00E14E1D"/>
    <w:rsid w:val="00E16372"/>
    <w:rsid w:val="00E16AD8"/>
    <w:rsid w:val="00E16C64"/>
    <w:rsid w:val="00E17540"/>
    <w:rsid w:val="00E17B74"/>
    <w:rsid w:val="00E17FFA"/>
    <w:rsid w:val="00E20146"/>
    <w:rsid w:val="00E20E4D"/>
    <w:rsid w:val="00E20ED6"/>
    <w:rsid w:val="00E2121B"/>
    <w:rsid w:val="00E21358"/>
    <w:rsid w:val="00E21DD7"/>
    <w:rsid w:val="00E2249B"/>
    <w:rsid w:val="00E226B9"/>
    <w:rsid w:val="00E22A0D"/>
    <w:rsid w:val="00E23342"/>
    <w:rsid w:val="00E237E7"/>
    <w:rsid w:val="00E24108"/>
    <w:rsid w:val="00E244F6"/>
    <w:rsid w:val="00E2489A"/>
    <w:rsid w:val="00E248F9"/>
    <w:rsid w:val="00E2540A"/>
    <w:rsid w:val="00E25642"/>
    <w:rsid w:val="00E258DB"/>
    <w:rsid w:val="00E25985"/>
    <w:rsid w:val="00E26816"/>
    <w:rsid w:val="00E27654"/>
    <w:rsid w:val="00E2771E"/>
    <w:rsid w:val="00E277D0"/>
    <w:rsid w:val="00E27BE3"/>
    <w:rsid w:val="00E303B6"/>
    <w:rsid w:val="00E308B5"/>
    <w:rsid w:val="00E311EF"/>
    <w:rsid w:val="00E320A7"/>
    <w:rsid w:val="00E32180"/>
    <w:rsid w:val="00E32343"/>
    <w:rsid w:val="00E32B0C"/>
    <w:rsid w:val="00E335DD"/>
    <w:rsid w:val="00E341B8"/>
    <w:rsid w:val="00E344F2"/>
    <w:rsid w:val="00E347B5"/>
    <w:rsid w:val="00E34948"/>
    <w:rsid w:val="00E35791"/>
    <w:rsid w:val="00E36AA8"/>
    <w:rsid w:val="00E37569"/>
    <w:rsid w:val="00E401B2"/>
    <w:rsid w:val="00E40FF2"/>
    <w:rsid w:val="00E4183D"/>
    <w:rsid w:val="00E41A20"/>
    <w:rsid w:val="00E41E30"/>
    <w:rsid w:val="00E42730"/>
    <w:rsid w:val="00E42F73"/>
    <w:rsid w:val="00E4323E"/>
    <w:rsid w:val="00E435AE"/>
    <w:rsid w:val="00E43CDF"/>
    <w:rsid w:val="00E43D70"/>
    <w:rsid w:val="00E4428C"/>
    <w:rsid w:val="00E44465"/>
    <w:rsid w:val="00E44698"/>
    <w:rsid w:val="00E446C3"/>
    <w:rsid w:val="00E4475E"/>
    <w:rsid w:val="00E44B49"/>
    <w:rsid w:val="00E458E1"/>
    <w:rsid w:val="00E45C9E"/>
    <w:rsid w:val="00E46551"/>
    <w:rsid w:val="00E465E8"/>
    <w:rsid w:val="00E466F3"/>
    <w:rsid w:val="00E47581"/>
    <w:rsid w:val="00E4770A"/>
    <w:rsid w:val="00E47B2C"/>
    <w:rsid w:val="00E47C08"/>
    <w:rsid w:val="00E47D02"/>
    <w:rsid w:val="00E507EE"/>
    <w:rsid w:val="00E5147F"/>
    <w:rsid w:val="00E51560"/>
    <w:rsid w:val="00E5163D"/>
    <w:rsid w:val="00E51821"/>
    <w:rsid w:val="00E52762"/>
    <w:rsid w:val="00E52C7D"/>
    <w:rsid w:val="00E53DCC"/>
    <w:rsid w:val="00E53E9D"/>
    <w:rsid w:val="00E53F93"/>
    <w:rsid w:val="00E53FC8"/>
    <w:rsid w:val="00E5414B"/>
    <w:rsid w:val="00E54347"/>
    <w:rsid w:val="00E5458D"/>
    <w:rsid w:val="00E5471F"/>
    <w:rsid w:val="00E55424"/>
    <w:rsid w:val="00E55915"/>
    <w:rsid w:val="00E55929"/>
    <w:rsid w:val="00E55BB5"/>
    <w:rsid w:val="00E56135"/>
    <w:rsid w:val="00E56699"/>
    <w:rsid w:val="00E567C3"/>
    <w:rsid w:val="00E56B58"/>
    <w:rsid w:val="00E56E8E"/>
    <w:rsid w:val="00E60B54"/>
    <w:rsid w:val="00E611DF"/>
    <w:rsid w:val="00E635AE"/>
    <w:rsid w:val="00E6383B"/>
    <w:rsid w:val="00E6590C"/>
    <w:rsid w:val="00E65AAD"/>
    <w:rsid w:val="00E65E79"/>
    <w:rsid w:val="00E65EF9"/>
    <w:rsid w:val="00E65F47"/>
    <w:rsid w:val="00E65F4E"/>
    <w:rsid w:val="00E66926"/>
    <w:rsid w:val="00E66A2B"/>
    <w:rsid w:val="00E66BA2"/>
    <w:rsid w:val="00E67380"/>
    <w:rsid w:val="00E67416"/>
    <w:rsid w:val="00E67AE1"/>
    <w:rsid w:val="00E67E70"/>
    <w:rsid w:val="00E701D8"/>
    <w:rsid w:val="00E70455"/>
    <w:rsid w:val="00E7058E"/>
    <w:rsid w:val="00E70BF2"/>
    <w:rsid w:val="00E7157B"/>
    <w:rsid w:val="00E717A8"/>
    <w:rsid w:val="00E718B6"/>
    <w:rsid w:val="00E723BA"/>
    <w:rsid w:val="00E72664"/>
    <w:rsid w:val="00E72903"/>
    <w:rsid w:val="00E73581"/>
    <w:rsid w:val="00E73C53"/>
    <w:rsid w:val="00E7426A"/>
    <w:rsid w:val="00E74304"/>
    <w:rsid w:val="00E7531A"/>
    <w:rsid w:val="00E75E1C"/>
    <w:rsid w:val="00E76690"/>
    <w:rsid w:val="00E76F77"/>
    <w:rsid w:val="00E770A1"/>
    <w:rsid w:val="00E77FD8"/>
    <w:rsid w:val="00E800ED"/>
    <w:rsid w:val="00E8035E"/>
    <w:rsid w:val="00E80365"/>
    <w:rsid w:val="00E806A0"/>
    <w:rsid w:val="00E80969"/>
    <w:rsid w:val="00E80A8A"/>
    <w:rsid w:val="00E81277"/>
    <w:rsid w:val="00E812A1"/>
    <w:rsid w:val="00E81E74"/>
    <w:rsid w:val="00E8277B"/>
    <w:rsid w:val="00E82936"/>
    <w:rsid w:val="00E82A1B"/>
    <w:rsid w:val="00E82DDD"/>
    <w:rsid w:val="00E82EF0"/>
    <w:rsid w:val="00E833F7"/>
    <w:rsid w:val="00E83508"/>
    <w:rsid w:val="00E83BDF"/>
    <w:rsid w:val="00E85D7A"/>
    <w:rsid w:val="00E86C5C"/>
    <w:rsid w:val="00E86F2E"/>
    <w:rsid w:val="00E86FCC"/>
    <w:rsid w:val="00E877A9"/>
    <w:rsid w:val="00E87A1D"/>
    <w:rsid w:val="00E87ADA"/>
    <w:rsid w:val="00E9094A"/>
    <w:rsid w:val="00E91D35"/>
    <w:rsid w:val="00E91DC3"/>
    <w:rsid w:val="00E924A8"/>
    <w:rsid w:val="00E926A5"/>
    <w:rsid w:val="00E92D58"/>
    <w:rsid w:val="00E933B1"/>
    <w:rsid w:val="00E94327"/>
    <w:rsid w:val="00E9448A"/>
    <w:rsid w:val="00E94752"/>
    <w:rsid w:val="00E94B76"/>
    <w:rsid w:val="00E95AF8"/>
    <w:rsid w:val="00E962C0"/>
    <w:rsid w:val="00E962CC"/>
    <w:rsid w:val="00E96A4B"/>
    <w:rsid w:val="00E96EA5"/>
    <w:rsid w:val="00EA1230"/>
    <w:rsid w:val="00EA17B6"/>
    <w:rsid w:val="00EA17C3"/>
    <w:rsid w:val="00EA19E4"/>
    <w:rsid w:val="00EA232B"/>
    <w:rsid w:val="00EA28A9"/>
    <w:rsid w:val="00EA2BFF"/>
    <w:rsid w:val="00EA2CAA"/>
    <w:rsid w:val="00EA2F93"/>
    <w:rsid w:val="00EA3864"/>
    <w:rsid w:val="00EA41E8"/>
    <w:rsid w:val="00EA43D2"/>
    <w:rsid w:val="00EA45FF"/>
    <w:rsid w:val="00EA4627"/>
    <w:rsid w:val="00EA4EEF"/>
    <w:rsid w:val="00EA6F53"/>
    <w:rsid w:val="00EA6F96"/>
    <w:rsid w:val="00EA7ED4"/>
    <w:rsid w:val="00EA7F1C"/>
    <w:rsid w:val="00EB1241"/>
    <w:rsid w:val="00EB15B6"/>
    <w:rsid w:val="00EB2546"/>
    <w:rsid w:val="00EB345A"/>
    <w:rsid w:val="00EB37F8"/>
    <w:rsid w:val="00EB395A"/>
    <w:rsid w:val="00EB3BB3"/>
    <w:rsid w:val="00EB3D06"/>
    <w:rsid w:val="00EB4916"/>
    <w:rsid w:val="00EB4BAE"/>
    <w:rsid w:val="00EB4E5E"/>
    <w:rsid w:val="00EB4F35"/>
    <w:rsid w:val="00EB52B5"/>
    <w:rsid w:val="00EB5819"/>
    <w:rsid w:val="00EB591B"/>
    <w:rsid w:val="00EB659F"/>
    <w:rsid w:val="00EC00C9"/>
    <w:rsid w:val="00EC0147"/>
    <w:rsid w:val="00EC02FB"/>
    <w:rsid w:val="00EC0B50"/>
    <w:rsid w:val="00EC0C8F"/>
    <w:rsid w:val="00EC0DD9"/>
    <w:rsid w:val="00EC2649"/>
    <w:rsid w:val="00EC31ED"/>
    <w:rsid w:val="00EC456B"/>
    <w:rsid w:val="00EC48DA"/>
    <w:rsid w:val="00EC4991"/>
    <w:rsid w:val="00EC4DBC"/>
    <w:rsid w:val="00EC51CD"/>
    <w:rsid w:val="00EC5234"/>
    <w:rsid w:val="00EC5836"/>
    <w:rsid w:val="00EC58D5"/>
    <w:rsid w:val="00EC63DF"/>
    <w:rsid w:val="00EC688C"/>
    <w:rsid w:val="00EC6F28"/>
    <w:rsid w:val="00ED0A65"/>
    <w:rsid w:val="00ED11BA"/>
    <w:rsid w:val="00ED12E3"/>
    <w:rsid w:val="00ED12FB"/>
    <w:rsid w:val="00ED1983"/>
    <w:rsid w:val="00ED23BB"/>
    <w:rsid w:val="00ED307C"/>
    <w:rsid w:val="00ED3138"/>
    <w:rsid w:val="00ED3331"/>
    <w:rsid w:val="00ED33DB"/>
    <w:rsid w:val="00ED3EFE"/>
    <w:rsid w:val="00ED4B04"/>
    <w:rsid w:val="00ED4D24"/>
    <w:rsid w:val="00ED57EA"/>
    <w:rsid w:val="00ED5BD4"/>
    <w:rsid w:val="00ED7723"/>
    <w:rsid w:val="00ED77D6"/>
    <w:rsid w:val="00EE03B6"/>
    <w:rsid w:val="00EE07D3"/>
    <w:rsid w:val="00EE1996"/>
    <w:rsid w:val="00EE1C01"/>
    <w:rsid w:val="00EE1DBE"/>
    <w:rsid w:val="00EE2184"/>
    <w:rsid w:val="00EE22AF"/>
    <w:rsid w:val="00EE22B1"/>
    <w:rsid w:val="00EE362B"/>
    <w:rsid w:val="00EE3959"/>
    <w:rsid w:val="00EE5B92"/>
    <w:rsid w:val="00EE6998"/>
    <w:rsid w:val="00EE6AFA"/>
    <w:rsid w:val="00EE75F8"/>
    <w:rsid w:val="00EE78A0"/>
    <w:rsid w:val="00EE7BBC"/>
    <w:rsid w:val="00EE7C4A"/>
    <w:rsid w:val="00EF0171"/>
    <w:rsid w:val="00EF0BF9"/>
    <w:rsid w:val="00EF11BB"/>
    <w:rsid w:val="00EF13CE"/>
    <w:rsid w:val="00EF169C"/>
    <w:rsid w:val="00EF1ACF"/>
    <w:rsid w:val="00EF1B25"/>
    <w:rsid w:val="00EF1DA0"/>
    <w:rsid w:val="00EF286F"/>
    <w:rsid w:val="00EF3BD2"/>
    <w:rsid w:val="00EF4279"/>
    <w:rsid w:val="00EF4747"/>
    <w:rsid w:val="00EF4BF8"/>
    <w:rsid w:val="00EF68D9"/>
    <w:rsid w:val="00F015E8"/>
    <w:rsid w:val="00F02253"/>
    <w:rsid w:val="00F02898"/>
    <w:rsid w:val="00F02FA9"/>
    <w:rsid w:val="00F03135"/>
    <w:rsid w:val="00F03C2E"/>
    <w:rsid w:val="00F042E1"/>
    <w:rsid w:val="00F04A66"/>
    <w:rsid w:val="00F04B4B"/>
    <w:rsid w:val="00F04CFE"/>
    <w:rsid w:val="00F0516C"/>
    <w:rsid w:val="00F05C1D"/>
    <w:rsid w:val="00F05EB1"/>
    <w:rsid w:val="00F066F2"/>
    <w:rsid w:val="00F067A2"/>
    <w:rsid w:val="00F06C8A"/>
    <w:rsid w:val="00F06F77"/>
    <w:rsid w:val="00F07922"/>
    <w:rsid w:val="00F07B9E"/>
    <w:rsid w:val="00F07C47"/>
    <w:rsid w:val="00F10461"/>
    <w:rsid w:val="00F1051D"/>
    <w:rsid w:val="00F108E7"/>
    <w:rsid w:val="00F10B8F"/>
    <w:rsid w:val="00F10D42"/>
    <w:rsid w:val="00F11121"/>
    <w:rsid w:val="00F1116F"/>
    <w:rsid w:val="00F122B1"/>
    <w:rsid w:val="00F1263A"/>
    <w:rsid w:val="00F12778"/>
    <w:rsid w:val="00F139C5"/>
    <w:rsid w:val="00F15B77"/>
    <w:rsid w:val="00F16702"/>
    <w:rsid w:val="00F17575"/>
    <w:rsid w:val="00F2089E"/>
    <w:rsid w:val="00F20F3D"/>
    <w:rsid w:val="00F21236"/>
    <w:rsid w:val="00F22429"/>
    <w:rsid w:val="00F224FE"/>
    <w:rsid w:val="00F2263A"/>
    <w:rsid w:val="00F22A3F"/>
    <w:rsid w:val="00F23E33"/>
    <w:rsid w:val="00F2464B"/>
    <w:rsid w:val="00F24837"/>
    <w:rsid w:val="00F24E09"/>
    <w:rsid w:val="00F25193"/>
    <w:rsid w:val="00F2575F"/>
    <w:rsid w:val="00F25934"/>
    <w:rsid w:val="00F25E82"/>
    <w:rsid w:val="00F25EC8"/>
    <w:rsid w:val="00F2651B"/>
    <w:rsid w:val="00F27565"/>
    <w:rsid w:val="00F27B0C"/>
    <w:rsid w:val="00F3010C"/>
    <w:rsid w:val="00F310D4"/>
    <w:rsid w:val="00F31C1E"/>
    <w:rsid w:val="00F31D5A"/>
    <w:rsid w:val="00F31E0B"/>
    <w:rsid w:val="00F32C02"/>
    <w:rsid w:val="00F32F89"/>
    <w:rsid w:val="00F3313F"/>
    <w:rsid w:val="00F33885"/>
    <w:rsid w:val="00F33975"/>
    <w:rsid w:val="00F33AA7"/>
    <w:rsid w:val="00F33DE9"/>
    <w:rsid w:val="00F34104"/>
    <w:rsid w:val="00F34736"/>
    <w:rsid w:val="00F351EE"/>
    <w:rsid w:val="00F3555B"/>
    <w:rsid w:val="00F35E6D"/>
    <w:rsid w:val="00F3619A"/>
    <w:rsid w:val="00F3658A"/>
    <w:rsid w:val="00F36879"/>
    <w:rsid w:val="00F368CD"/>
    <w:rsid w:val="00F40AAA"/>
    <w:rsid w:val="00F40BA7"/>
    <w:rsid w:val="00F40F9D"/>
    <w:rsid w:val="00F41789"/>
    <w:rsid w:val="00F417D2"/>
    <w:rsid w:val="00F41ABE"/>
    <w:rsid w:val="00F41ACD"/>
    <w:rsid w:val="00F428BE"/>
    <w:rsid w:val="00F43AE7"/>
    <w:rsid w:val="00F44004"/>
    <w:rsid w:val="00F4418B"/>
    <w:rsid w:val="00F4465A"/>
    <w:rsid w:val="00F44BAA"/>
    <w:rsid w:val="00F459F2"/>
    <w:rsid w:val="00F46CB6"/>
    <w:rsid w:val="00F4756D"/>
    <w:rsid w:val="00F47DE8"/>
    <w:rsid w:val="00F506D8"/>
    <w:rsid w:val="00F528C1"/>
    <w:rsid w:val="00F530E7"/>
    <w:rsid w:val="00F540CB"/>
    <w:rsid w:val="00F5416C"/>
    <w:rsid w:val="00F542C1"/>
    <w:rsid w:val="00F550E3"/>
    <w:rsid w:val="00F55CDA"/>
    <w:rsid w:val="00F55E73"/>
    <w:rsid w:val="00F55EDA"/>
    <w:rsid w:val="00F563CB"/>
    <w:rsid w:val="00F565E3"/>
    <w:rsid w:val="00F56AB0"/>
    <w:rsid w:val="00F56C80"/>
    <w:rsid w:val="00F60092"/>
    <w:rsid w:val="00F6065D"/>
    <w:rsid w:val="00F60D3B"/>
    <w:rsid w:val="00F612EF"/>
    <w:rsid w:val="00F61C18"/>
    <w:rsid w:val="00F61ED6"/>
    <w:rsid w:val="00F6357E"/>
    <w:rsid w:val="00F64260"/>
    <w:rsid w:val="00F658E9"/>
    <w:rsid w:val="00F65CD1"/>
    <w:rsid w:val="00F65E36"/>
    <w:rsid w:val="00F65F4B"/>
    <w:rsid w:val="00F66201"/>
    <w:rsid w:val="00F675B3"/>
    <w:rsid w:val="00F67A69"/>
    <w:rsid w:val="00F67B51"/>
    <w:rsid w:val="00F708F8"/>
    <w:rsid w:val="00F70BFF"/>
    <w:rsid w:val="00F70C9D"/>
    <w:rsid w:val="00F71038"/>
    <w:rsid w:val="00F7116D"/>
    <w:rsid w:val="00F722D8"/>
    <w:rsid w:val="00F73E08"/>
    <w:rsid w:val="00F74668"/>
    <w:rsid w:val="00F7479E"/>
    <w:rsid w:val="00F74CD9"/>
    <w:rsid w:val="00F74F17"/>
    <w:rsid w:val="00F77717"/>
    <w:rsid w:val="00F779D6"/>
    <w:rsid w:val="00F80A7B"/>
    <w:rsid w:val="00F80E5D"/>
    <w:rsid w:val="00F811B4"/>
    <w:rsid w:val="00F81534"/>
    <w:rsid w:val="00F8178C"/>
    <w:rsid w:val="00F817EE"/>
    <w:rsid w:val="00F81E78"/>
    <w:rsid w:val="00F82DAD"/>
    <w:rsid w:val="00F8333C"/>
    <w:rsid w:val="00F83622"/>
    <w:rsid w:val="00F83916"/>
    <w:rsid w:val="00F83B12"/>
    <w:rsid w:val="00F83B50"/>
    <w:rsid w:val="00F84625"/>
    <w:rsid w:val="00F851CE"/>
    <w:rsid w:val="00F8573C"/>
    <w:rsid w:val="00F90877"/>
    <w:rsid w:val="00F91219"/>
    <w:rsid w:val="00F9190F"/>
    <w:rsid w:val="00F91C58"/>
    <w:rsid w:val="00F92444"/>
    <w:rsid w:val="00F9393E"/>
    <w:rsid w:val="00F94477"/>
    <w:rsid w:val="00F95739"/>
    <w:rsid w:val="00F95E0E"/>
    <w:rsid w:val="00F96CA1"/>
    <w:rsid w:val="00F96FD0"/>
    <w:rsid w:val="00F973F8"/>
    <w:rsid w:val="00F97950"/>
    <w:rsid w:val="00F97A22"/>
    <w:rsid w:val="00F97A78"/>
    <w:rsid w:val="00FA0B20"/>
    <w:rsid w:val="00FA0DA9"/>
    <w:rsid w:val="00FA0EB6"/>
    <w:rsid w:val="00FA141F"/>
    <w:rsid w:val="00FA196D"/>
    <w:rsid w:val="00FA1A7D"/>
    <w:rsid w:val="00FA24E7"/>
    <w:rsid w:val="00FA2675"/>
    <w:rsid w:val="00FA2EF8"/>
    <w:rsid w:val="00FA2FE2"/>
    <w:rsid w:val="00FA30DF"/>
    <w:rsid w:val="00FA32CB"/>
    <w:rsid w:val="00FA3325"/>
    <w:rsid w:val="00FA5501"/>
    <w:rsid w:val="00FA5A8F"/>
    <w:rsid w:val="00FA5C34"/>
    <w:rsid w:val="00FA5EE6"/>
    <w:rsid w:val="00FA69D8"/>
    <w:rsid w:val="00FA70DC"/>
    <w:rsid w:val="00FA7956"/>
    <w:rsid w:val="00FB0824"/>
    <w:rsid w:val="00FB1A4D"/>
    <w:rsid w:val="00FB206B"/>
    <w:rsid w:val="00FB2D3D"/>
    <w:rsid w:val="00FB2FCB"/>
    <w:rsid w:val="00FB4A69"/>
    <w:rsid w:val="00FB4BE1"/>
    <w:rsid w:val="00FB4C9C"/>
    <w:rsid w:val="00FB4D9C"/>
    <w:rsid w:val="00FB4E37"/>
    <w:rsid w:val="00FB5113"/>
    <w:rsid w:val="00FB55BB"/>
    <w:rsid w:val="00FB57B6"/>
    <w:rsid w:val="00FB673B"/>
    <w:rsid w:val="00FB6773"/>
    <w:rsid w:val="00FB6898"/>
    <w:rsid w:val="00FB7C55"/>
    <w:rsid w:val="00FB7F0D"/>
    <w:rsid w:val="00FC09C8"/>
    <w:rsid w:val="00FC0A6A"/>
    <w:rsid w:val="00FC0DD4"/>
    <w:rsid w:val="00FC1074"/>
    <w:rsid w:val="00FC1884"/>
    <w:rsid w:val="00FC2565"/>
    <w:rsid w:val="00FC2DFD"/>
    <w:rsid w:val="00FC2FF6"/>
    <w:rsid w:val="00FC344D"/>
    <w:rsid w:val="00FC3614"/>
    <w:rsid w:val="00FC371D"/>
    <w:rsid w:val="00FC39E0"/>
    <w:rsid w:val="00FC3AFC"/>
    <w:rsid w:val="00FC4CF6"/>
    <w:rsid w:val="00FC4F26"/>
    <w:rsid w:val="00FC5F0B"/>
    <w:rsid w:val="00FC68AE"/>
    <w:rsid w:val="00FC73C8"/>
    <w:rsid w:val="00FC73DB"/>
    <w:rsid w:val="00FC79CC"/>
    <w:rsid w:val="00FC7BA8"/>
    <w:rsid w:val="00FD0151"/>
    <w:rsid w:val="00FD2100"/>
    <w:rsid w:val="00FD2843"/>
    <w:rsid w:val="00FD3122"/>
    <w:rsid w:val="00FD436C"/>
    <w:rsid w:val="00FD446D"/>
    <w:rsid w:val="00FD4771"/>
    <w:rsid w:val="00FD4F2C"/>
    <w:rsid w:val="00FD4FA8"/>
    <w:rsid w:val="00FD5BDD"/>
    <w:rsid w:val="00FD6394"/>
    <w:rsid w:val="00FD6C1B"/>
    <w:rsid w:val="00FD6CA2"/>
    <w:rsid w:val="00FE0E6C"/>
    <w:rsid w:val="00FE0FD1"/>
    <w:rsid w:val="00FE11F9"/>
    <w:rsid w:val="00FE19B1"/>
    <w:rsid w:val="00FE1BA1"/>
    <w:rsid w:val="00FE1CC8"/>
    <w:rsid w:val="00FE1CDC"/>
    <w:rsid w:val="00FE1D37"/>
    <w:rsid w:val="00FE1EF9"/>
    <w:rsid w:val="00FE23FF"/>
    <w:rsid w:val="00FE345C"/>
    <w:rsid w:val="00FE3746"/>
    <w:rsid w:val="00FE3ACD"/>
    <w:rsid w:val="00FE5343"/>
    <w:rsid w:val="00FE58E8"/>
    <w:rsid w:val="00FE63B0"/>
    <w:rsid w:val="00FE6464"/>
    <w:rsid w:val="00FE70A1"/>
    <w:rsid w:val="00FE70BC"/>
    <w:rsid w:val="00FE70C3"/>
    <w:rsid w:val="00FE7987"/>
    <w:rsid w:val="00FF0341"/>
    <w:rsid w:val="00FF1A8B"/>
    <w:rsid w:val="00FF2896"/>
    <w:rsid w:val="00FF2AD9"/>
    <w:rsid w:val="00FF32FB"/>
    <w:rsid w:val="00FF359F"/>
    <w:rsid w:val="00FF3DCF"/>
    <w:rsid w:val="00FF4097"/>
    <w:rsid w:val="00FF4246"/>
    <w:rsid w:val="00FF47D6"/>
    <w:rsid w:val="00FF492C"/>
    <w:rsid w:val="00FF49D5"/>
    <w:rsid w:val="00FF4A21"/>
    <w:rsid w:val="00FF5AA3"/>
    <w:rsid w:val="00FF5AD8"/>
    <w:rsid w:val="00FF667B"/>
    <w:rsid w:val="00FF6DA8"/>
    <w:rsid w:val="00FF72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7F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Table Legend,Bullet1,Bullet List"/>
    <w:next w:val="ListBullet"/>
    <w:link w:val="ListParagraphChar"/>
    <w:uiPriority w:val="34"/>
    <w:qFormat/>
    <w:rsid w:val="00BB00B3"/>
    <w:pPr>
      <w:numPr>
        <w:numId w:val="2"/>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HealthConsult,Dossier table,new style,MSD Table Grid,PBAC table,RTI AMCP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Verwijzing opmerking"/>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94327"/>
    <w:rPr>
      <w:color w:val="605E5C"/>
      <w:shd w:val="clear" w:color="auto" w:fill="E1DFDD"/>
    </w:rPr>
  </w:style>
  <w:style w:type="paragraph" w:styleId="FootnoteText">
    <w:name w:val="footnote text"/>
    <w:basedOn w:val="Normal"/>
    <w:link w:val="FootnoteTextChar"/>
    <w:semiHidden/>
    <w:unhideWhenUsed/>
    <w:rsid w:val="000F58F6"/>
    <w:rPr>
      <w:sz w:val="20"/>
      <w:szCs w:val="20"/>
    </w:rPr>
  </w:style>
  <w:style w:type="character" w:customStyle="1" w:styleId="FootnoteTextChar">
    <w:name w:val="Footnote Text Char"/>
    <w:basedOn w:val="DefaultParagraphFont"/>
    <w:link w:val="FootnoteText"/>
    <w:semiHidden/>
    <w:rsid w:val="000F58F6"/>
    <w:rPr>
      <w:rFonts w:ascii="Calibri" w:hAnsi="Calibri" w:cs="Arial"/>
    </w:rPr>
  </w:style>
  <w:style w:type="character" w:styleId="FootnoteReference">
    <w:name w:val="footnote reference"/>
    <w:basedOn w:val="DefaultParagraphFont"/>
    <w:semiHidden/>
    <w:unhideWhenUsed/>
    <w:rsid w:val="000F58F6"/>
    <w:rPr>
      <w:vertAlign w:val="superscript"/>
    </w:rPr>
  </w:style>
  <w:style w:type="paragraph" w:customStyle="1" w:styleId="PbacTableHeading">
    <w:name w:val="Pbac Table Heading"/>
    <w:basedOn w:val="PBACTableText"/>
    <w:qFormat/>
    <w:rsid w:val="00975752"/>
    <w:pPr>
      <w:spacing w:before="0" w:after="80"/>
    </w:pPr>
    <w:rPr>
      <w:rFonts w:eastAsiaTheme="minorHAnsi" w:cs="Arial"/>
      <w:b/>
    </w:rPr>
  </w:style>
  <w:style w:type="paragraph" w:customStyle="1" w:styleId="PBACTableText">
    <w:name w:val="PBAC Table Text"/>
    <w:basedOn w:val="Normal"/>
    <w:link w:val="PBACTableTextChar"/>
    <w:qFormat/>
    <w:rsid w:val="0097575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975752"/>
    <w:rPr>
      <w:rFonts w:ascii="Arial Narrow" w:hAnsi="Arial Narrow"/>
      <w:lang w:eastAsia="en-US"/>
    </w:rPr>
  </w:style>
  <w:style w:type="paragraph" w:customStyle="1" w:styleId="TableFigureFooter">
    <w:name w:val="Table/Figure Footer"/>
    <w:basedOn w:val="Normal"/>
    <w:link w:val="TableFigureFooterChar"/>
    <w:qFormat/>
    <w:rsid w:val="00BF79B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F79B6"/>
    <w:rPr>
      <w:rFonts w:ascii="Arial Narrow" w:hAnsi="Arial Narrow" w:cs="Arial"/>
      <w:snapToGrid w:val="0"/>
      <w:sz w:val="18"/>
      <w:szCs w:val="22"/>
    </w:rPr>
  </w:style>
  <w:style w:type="table" w:customStyle="1" w:styleId="MSDAustralia">
    <w:name w:val="MSD Australia"/>
    <w:basedOn w:val="TableGrid"/>
    <w:uiPriority w:val="99"/>
    <w:rsid w:val="00844894"/>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Text1">
    <w:name w:val="TableText"/>
    <w:basedOn w:val="Normal"/>
    <w:link w:val="TableTextChar1"/>
    <w:uiPriority w:val="3"/>
    <w:qFormat/>
    <w:rsid w:val="00AF45BE"/>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AF45BE"/>
    <w:rPr>
      <w:rFonts w:ascii="Calibri" w:hAnsi="Calibri" w:cs="Calibri"/>
      <w:bCs/>
      <w:lang w:eastAsia="zh-CN"/>
    </w:rPr>
  </w:style>
  <w:style w:type="table" w:customStyle="1" w:styleId="HTAtableplain1">
    <w:name w:val="HTAtableplain1"/>
    <w:basedOn w:val="TableNormal"/>
    <w:next w:val="TableGrid"/>
    <w:uiPriority w:val="39"/>
    <w:rsid w:val="00FC79CC"/>
    <w:rPr>
      <w:rFonts w:ascii="Arial" w:eastAsia="Calibr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sid w:val="00FF667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21537"/>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021537"/>
    <w:rPr>
      <w:color w:val="605E5C"/>
      <w:shd w:val="clear" w:color="auto" w:fill="E1DFDD"/>
    </w:rPr>
  </w:style>
  <w:style w:type="character" w:customStyle="1" w:styleId="UnresolvedMention3">
    <w:name w:val="Unresolved Mention3"/>
    <w:basedOn w:val="DefaultParagraphFont"/>
    <w:uiPriority w:val="99"/>
    <w:semiHidden/>
    <w:unhideWhenUsed/>
    <w:rsid w:val="0014093D"/>
    <w:rPr>
      <w:color w:val="605E5C"/>
      <w:shd w:val="clear" w:color="auto" w:fill="E1DFDD"/>
    </w:rPr>
  </w:style>
  <w:style w:type="paragraph" w:customStyle="1" w:styleId="3-SubsectionHeading">
    <w:name w:val="3-Subsection Heading"/>
    <w:basedOn w:val="Heading2"/>
    <w:next w:val="Normal"/>
    <w:link w:val="3-SubsectionHeadingChar"/>
    <w:qFormat/>
    <w:rsid w:val="0047331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7331C"/>
    <w:rPr>
      <w:rFonts w:asciiTheme="minorHAnsi" w:eastAsiaTheme="majorEastAsia" w:hAnsiTheme="minorHAnsi" w:cstheme="majorBidi"/>
      <w:b/>
      <w:i/>
      <w:snapToGrid/>
      <w:spacing w:val="5"/>
      <w:kern w:val="28"/>
      <w:sz w:val="28"/>
      <w:szCs w:val="36"/>
      <w:lang w:eastAsia="en-US"/>
    </w:rPr>
  </w:style>
  <w:style w:type="table" w:customStyle="1" w:styleId="RTIAMCPTable1">
    <w:name w:val="RTI AMCP Table1"/>
    <w:basedOn w:val="TableNormal"/>
    <w:next w:val="TableGrid"/>
    <w:uiPriority w:val="39"/>
    <w:rsid w:val="00A4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3417">
      <w:bodyDiv w:val="1"/>
      <w:marLeft w:val="0"/>
      <w:marRight w:val="0"/>
      <w:marTop w:val="0"/>
      <w:marBottom w:val="0"/>
      <w:divBdr>
        <w:top w:val="none" w:sz="0" w:space="0" w:color="auto"/>
        <w:left w:val="none" w:sz="0" w:space="0" w:color="auto"/>
        <w:bottom w:val="none" w:sz="0" w:space="0" w:color="auto"/>
        <w:right w:val="none" w:sz="0" w:space="0" w:color="auto"/>
      </w:divBdr>
    </w:div>
    <w:div w:id="54284119">
      <w:bodyDiv w:val="1"/>
      <w:marLeft w:val="0"/>
      <w:marRight w:val="0"/>
      <w:marTop w:val="0"/>
      <w:marBottom w:val="0"/>
      <w:divBdr>
        <w:top w:val="none" w:sz="0" w:space="0" w:color="auto"/>
        <w:left w:val="none" w:sz="0" w:space="0" w:color="auto"/>
        <w:bottom w:val="none" w:sz="0" w:space="0" w:color="auto"/>
        <w:right w:val="none" w:sz="0" w:space="0" w:color="auto"/>
      </w:divBdr>
    </w:div>
    <w:div w:id="6772662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7368920">
      <w:bodyDiv w:val="1"/>
      <w:marLeft w:val="0"/>
      <w:marRight w:val="0"/>
      <w:marTop w:val="0"/>
      <w:marBottom w:val="0"/>
      <w:divBdr>
        <w:top w:val="none" w:sz="0" w:space="0" w:color="auto"/>
        <w:left w:val="none" w:sz="0" w:space="0" w:color="auto"/>
        <w:bottom w:val="none" w:sz="0" w:space="0" w:color="auto"/>
        <w:right w:val="none" w:sz="0" w:space="0" w:color="auto"/>
      </w:divBdr>
    </w:div>
    <w:div w:id="560139164">
      <w:bodyDiv w:val="1"/>
      <w:marLeft w:val="0"/>
      <w:marRight w:val="0"/>
      <w:marTop w:val="0"/>
      <w:marBottom w:val="0"/>
      <w:divBdr>
        <w:top w:val="none" w:sz="0" w:space="0" w:color="auto"/>
        <w:left w:val="none" w:sz="0" w:space="0" w:color="auto"/>
        <w:bottom w:val="none" w:sz="0" w:space="0" w:color="auto"/>
        <w:right w:val="none" w:sz="0" w:space="0" w:color="auto"/>
      </w:divBdr>
    </w:div>
    <w:div w:id="635449956">
      <w:bodyDiv w:val="1"/>
      <w:marLeft w:val="0"/>
      <w:marRight w:val="0"/>
      <w:marTop w:val="0"/>
      <w:marBottom w:val="0"/>
      <w:divBdr>
        <w:top w:val="none" w:sz="0" w:space="0" w:color="auto"/>
        <w:left w:val="none" w:sz="0" w:space="0" w:color="auto"/>
        <w:bottom w:val="none" w:sz="0" w:space="0" w:color="auto"/>
        <w:right w:val="none" w:sz="0" w:space="0" w:color="auto"/>
      </w:divBdr>
    </w:div>
    <w:div w:id="80362370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09617787">
      <w:bodyDiv w:val="1"/>
      <w:marLeft w:val="0"/>
      <w:marRight w:val="0"/>
      <w:marTop w:val="0"/>
      <w:marBottom w:val="0"/>
      <w:divBdr>
        <w:top w:val="none" w:sz="0" w:space="0" w:color="auto"/>
        <w:left w:val="none" w:sz="0" w:space="0" w:color="auto"/>
        <w:bottom w:val="none" w:sz="0" w:space="0" w:color="auto"/>
        <w:right w:val="none" w:sz="0" w:space="0" w:color="auto"/>
      </w:divBdr>
    </w:div>
    <w:div w:id="1154950585">
      <w:bodyDiv w:val="1"/>
      <w:marLeft w:val="0"/>
      <w:marRight w:val="0"/>
      <w:marTop w:val="0"/>
      <w:marBottom w:val="0"/>
      <w:divBdr>
        <w:top w:val="none" w:sz="0" w:space="0" w:color="auto"/>
        <w:left w:val="none" w:sz="0" w:space="0" w:color="auto"/>
        <w:bottom w:val="none" w:sz="0" w:space="0" w:color="auto"/>
        <w:right w:val="none" w:sz="0" w:space="0" w:color="auto"/>
      </w:divBdr>
    </w:div>
    <w:div w:id="115699895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10214656">
      <w:bodyDiv w:val="1"/>
      <w:marLeft w:val="0"/>
      <w:marRight w:val="0"/>
      <w:marTop w:val="0"/>
      <w:marBottom w:val="0"/>
      <w:divBdr>
        <w:top w:val="none" w:sz="0" w:space="0" w:color="auto"/>
        <w:left w:val="none" w:sz="0" w:space="0" w:color="auto"/>
        <w:bottom w:val="none" w:sz="0" w:space="0" w:color="auto"/>
        <w:right w:val="none" w:sz="0" w:space="0" w:color="auto"/>
      </w:divBdr>
    </w:div>
    <w:div w:id="1534539218">
      <w:bodyDiv w:val="1"/>
      <w:marLeft w:val="0"/>
      <w:marRight w:val="0"/>
      <w:marTop w:val="0"/>
      <w:marBottom w:val="0"/>
      <w:divBdr>
        <w:top w:val="none" w:sz="0" w:space="0" w:color="auto"/>
        <w:left w:val="none" w:sz="0" w:space="0" w:color="auto"/>
        <w:bottom w:val="none" w:sz="0" w:space="0" w:color="auto"/>
        <w:right w:val="none" w:sz="0" w:space="0" w:color="auto"/>
      </w:divBdr>
    </w:div>
    <w:div w:id="1752434540">
      <w:bodyDiv w:val="1"/>
      <w:marLeft w:val="0"/>
      <w:marRight w:val="0"/>
      <w:marTop w:val="0"/>
      <w:marBottom w:val="0"/>
      <w:divBdr>
        <w:top w:val="none" w:sz="0" w:space="0" w:color="auto"/>
        <w:left w:val="none" w:sz="0" w:space="0" w:color="auto"/>
        <w:bottom w:val="none" w:sz="0" w:space="0" w:color="auto"/>
        <w:right w:val="none" w:sz="0" w:space="0" w:color="auto"/>
      </w:divBdr>
    </w:div>
    <w:div w:id="177571178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how/NCT0238655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S2352-4642(22)00342-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33/JND-229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36/jnnp-2022-ABN.456" TargetMode="External"/><Relationship Id="rId4" Type="http://schemas.openxmlformats.org/officeDocument/2006/relationships/settings" Target="settings.xml"/><Relationship Id="rId9" Type="http://schemas.openxmlformats.org/officeDocument/2006/relationships/hyperlink" Target="https://doi.org/10.3233/JND-229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1498-B996-476A-81AB-1C5B4446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13936</Words>
  <Characters>74965</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2023-10-24T05:51:00Z</dcterms:created>
  <dcterms:modified xsi:type="dcterms:W3CDTF">2023-10-24T05:51:00Z</dcterms:modified>
</cp:coreProperties>
</file>